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57B" w:rsidRPr="00091E27" w:rsidRDefault="00B4357B" w:rsidP="002225F3">
      <w:pPr>
        <w:pStyle w:val="af4"/>
      </w:pPr>
      <w:r w:rsidRPr="00091E27">
        <w:rPr>
          <w:rFonts w:hint="eastAsia"/>
        </w:rPr>
        <w:t>調查</w:t>
      </w:r>
      <w:r w:rsidR="007A4F31">
        <w:rPr>
          <w:rFonts w:hint="eastAsia"/>
        </w:rPr>
        <w:t>報告</w:t>
      </w:r>
      <w:r w:rsidR="002225F3">
        <w:rPr>
          <w:rFonts w:hint="eastAsia"/>
        </w:rPr>
        <w:t>(公布版)</w:t>
      </w:r>
    </w:p>
    <w:p w:rsidR="00B4357B" w:rsidRPr="00A0307A" w:rsidRDefault="00B4357B" w:rsidP="00B4357B">
      <w:pPr>
        <w:pStyle w:val="1"/>
        <w:numPr>
          <w:ilvl w:val="0"/>
          <w:numId w:val="1"/>
        </w:numPr>
      </w:pPr>
      <w:r w:rsidRPr="00FB668D">
        <w:rPr>
          <w:rFonts w:hint="eastAsia"/>
          <w:b/>
        </w:rPr>
        <w:t>案　　由：</w:t>
      </w:r>
      <w:r w:rsidR="00FC154C" w:rsidRPr="00FC154C">
        <w:rPr>
          <w:rFonts w:hint="eastAsia"/>
        </w:rPr>
        <w:t>據審計部</w:t>
      </w:r>
      <w:proofErr w:type="gramStart"/>
      <w:r w:rsidR="00FC154C" w:rsidRPr="00FC154C">
        <w:rPr>
          <w:rFonts w:hint="eastAsia"/>
        </w:rPr>
        <w:t>110</w:t>
      </w:r>
      <w:proofErr w:type="gramEnd"/>
      <w:r w:rsidR="00FC154C" w:rsidRPr="00FC154C">
        <w:rPr>
          <w:rFonts w:hint="eastAsia"/>
        </w:rPr>
        <w:t>年度中央政府總決算審核報告，國軍辦理軍事教育（訓練）業務以儲備人才，有效達成武器系統及裝備操作、訓練與維護，厚植國防戰力之目的，惟基礎教育人才培育、部隊實戰化訓練等</w:t>
      </w:r>
      <w:proofErr w:type="gramStart"/>
      <w:r w:rsidR="00FC154C" w:rsidRPr="00FC154C">
        <w:rPr>
          <w:rFonts w:hint="eastAsia"/>
        </w:rPr>
        <w:t>尚欠精</w:t>
      </w:r>
      <w:proofErr w:type="gramEnd"/>
      <w:r w:rsidR="00FC154C" w:rsidRPr="00FC154C">
        <w:rPr>
          <w:rFonts w:hint="eastAsia"/>
        </w:rPr>
        <w:t>實，亟待檢討改進案</w:t>
      </w:r>
      <w:r w:rsidR="00346E85" w:rsidRPr="00346E85">
        <w:rPr>
          <w:rFonts w:hint="eastAsia"/>
        </w:rPr>
        <w:t>。</w:t>
      </w:r>
    </w:p>
    <w:p w:rsidR="00E3524E" w:rsidRPr="00F36FC3" w:rsidRDefault="00E3524E" w:rsidP="00E3524E">
      <w:pPr>
        <w:pStyle w:val="1"/>
        <w:numPr>
          <w:ilvl w:val="0"/>
          <w:numId w:val="1"/>
        </w:numPr>
        <w:ind w:left="2380" w:hanging="2380"/>
      </w:pPr>
      <w:r w:rsidRPr="00F36FC3">
        <w:rPr>
          <w:rFonts w:hint="eastAsia"/>
        </w:rPr>
        <w:t>調查意見：</w:t>
      </w:r>
    </w:p>
    <w:p w:rsidR="00BE6435" w:rsidRPr="00403012" w:rsidRDefault="00907C99" w:rsidP="005841D8">
      <w:pPr>
        <w:pStyle w:val="2"/>
        <w:numPr>
          <w:ilvl w:val="1"/>
          <w:numId w:val="1"/>
        </w:numPr>
        <w:ind w:left="1020" w:hanging="680"/>
        <w:rPr>
          <w:b/>
        </w:rPr>
      </w:pPr>
      <w:bookmarkStart w:id="0" w:name="_Hlk145496987"/>
      <w:bookmarkStart w:id="1" w:name="_Hlk123221031"/>
      <w:bookmarkStart w:id="2" w:name="_Hlk144973883"/>
      <w:r w:rsidRPr="00942782">
        <w:rPr>
          <w:rFonts w:hint="eastAsia"/>
          <w:b/>
        </w:rPr>
        <w:t>國</w:t>
      </w:r>
      <w:r w:rsidRPr="008779F2">
        <w:rPr>
          <w:rFonts w:hint="eastAsia"/>
          <w:b/>
        </w:rPr>
        <w:t>防部針對專科以上軍事院校教師</w:t>
      </w:r>
      <w:r w:rsidR="00942782" w:rsidRPr="008779F2">
        <w:rPr>
          <w:rFonts w:hint="eastAsia"/>
          <w:b/>
        </w:rPr>
        <w:t>升等及人事處理相關規定不合理亦不符實需，</w:t>
      </w:r>
      <w:r w:rsidRPr="008779F2">
        <w:rPr>
          <w:rFonts w:hint="eastAsia"/>
          <w:b/>
        </w:rPr>
        <w:t>又</w:t>
      </w:r>
      <w:proofErr w:type="gramStart"/>
      <w:r w:rsidRPr="008779F2">
        <w:rPr>
          <w:rFonts w:hint="eastAsia"/>
          <w:b/>
        </w:rPr>
        <w:t>該部</w:t>
      </w:r>
      <w:r w:rsidR="00B36B45" w:rsidRPr="008779F2">
        <w:rPr>
          <w:rFonts w:hint="eastAsia"/>
          <w:b/>
        </w:rPr>
        <w:t>未提供</w:t>
      </w:r>
      <w:proofErr w:type="gramEnd"/>
      <w:r w:rsidR="00B36B45" w:rsidRPr="008779F2">
        <w:rPr>
          <w:rFonts w:hint="eastAsia"/>
          <w:b/>
        </w:rPr>
        <w:t>適足研究支持及資源，</w:t>
      </w:r>
      <w:r w:rsidR="00403012" w:rsidRPr="008779F2">
        <w:rPr>
          <w:rFonts w:hint="eastAsia"/>
          <w:b/>
        </w:rPr>
        <w:t>各校教師教學評量標準設定不一</w:t>
      </w:r>
      <w:r w:rsidR="00403012" w:rsidRPr="008779F2">
        <w:rPr>
          <w:rFonts w:hAnsi="標楷體" w:hint="eastAsia"/>
          <w:b/>
        </w:rPr>
        <w:t>，</w:t>
      </w:r>
      <w:r w:rsidR="00942782" w:rsidRPr="008779F2">
        <w:rPr>
          <w:rFonts w:hint="eastAsia"/>
          <w:b/>
        </w:rPr>
        <w:t>遲未改善教師升等問題，致</w:t>
      </w:r>
      <w:r w:rsidRPr="008779F2">
        <w:rPr>
          <w:rFonts w:hint="eastAsia"/>
          <w:b/>
        </w:rPr>
        <w:t>所屬三軍官校及專科學校逾8年未升等之教師占教師</w:t>
      </w:r>
      <w:r w:rsidRPr="00942782">
        <w:rPr>
          <w:rFonts w:hint="eastAsia"/>
          <w:b/>
        </w:rPr>
        <w:t>人數</w:t>
      </w:r>
      <w:proofErr w:type="gramStart"/>
      <w:r w:rsidRPr="00942782">
        <w:rPr>
          <w:rFonts w:hint="eastAsia"/>
          <w:b/>
        </w:rPr>
        <w:t>4</w:t>
      </w:r>
      <w:proofErr w:type="gramEnd"/>
      <w:r w:rsidRPr="00942782">
        <w:rPr>
          <w:rFonts w:hint="eastAsia"/>
          <w:b/>
        </w:rPr>
        <w:t>成以上</w:t>
      </w:r>
      <w:r w:rsidR="00942782" w:rsidRPr="00942782">
        <w:rPr>
          <w:rFonts w:hint="eastAsia"/>
          <w:b/>
        </w:rPr>
        <w:t>，影響教學品質</w:t>
      </w:r>
      <w:r w:rsidRPr="00942782">
        <w:rPr>
          <w:rFonts w:hint="eastAsia"/>
          <w:b/>
        </w:rPr>
        <w:t>。</w:t>
      </w:r>
      <w:r w:rsidR="00942782" w:rsidRPr="00942782">
        <w:rPr>
          <w:rFonts w:hint="eastAsia"/>
          <w:b/>
        </w:rPr>
        <w:t>軍事院校係國軍養成教育之重要一環，然國防部對於軍事院校教師職</w:t>
      </w:r>
      <w:proofErr w:type="gramStart"/>
      <w:r w:rsidR="00942782" w:rsidRPr="00942782">
        <w:rPr>
          <w:rFonts w:hint="eastAsia"/>
          <w:b/>
        </w:rPr>
        <w:t>涯</w:t>
      </w:r>
      <w:proofErr w:type="gramEnd"/>
      <w:r w:rsidR="00942782" w:rsidRPr="00942782">
        <w:rPr>
          <w:rFonts w:hint="eastAsia"/>
          <w:b/>
        </w:rPr>
        <w:t>發展相關規劃未積極輔導</w:t>
      </w:r>
      <w:r w:rsidR="00942782" w:rsidRPr="00403012">
        <w:rPr>
          <w:rFonts w:hint="eastAsia"/>
          <w:b/>
        </w:rPr>
        <w:t>管控，不利教師持續進修及增益教學品質，核有未當。</w:t>
      </w:r>
      <w:bookmarkEnd w:id="0"/>
    </w:p>
    <w:bookmarkEnd w:id="1"/>
    <w:p w:rsidR="00907C99" w:rsidRPr="00110222" w:rsidRDefault="00617C88" w:rsidP="00907C99">
      <w:pPr>
        <w:pStyle w:val="3"/>
        <w:numPr>
          <w:ilvl w:val="2"/>
          <w:numId w:val="1"/>
        </w:numPr>
        <w:ind w:left="1302"/>
      </w:pPr>
      <w:r w:rsidRPr="00403012">
        <w:rPr>
          <w:rFonts w:hint="eastAsia"/>
        </w:rPr>
        <w:t>按</w:t>
      </w:r>
      <w:r w:rsidR="00907C99" w:rsidRPr="00403012">
        <w:rPr>
          <w:rFonts w:hint="eastAsia"/>
        </w:rPr>
        <w:t>國防部</w:t>
      </w:r>
      <w:r w:rsidR="00907C99" w:rsidRPr="00673DA6">
        <w:rPr>
          <w:rFonts w:hint="eastAsia"/>
        </w:rPr>
        <w:t>105年8月8日</w:t>
      </w:r>
      <w:proofErr w:type="gramStart"/>
      <w:r w:rsidR="00907C99" w:rsidRPr="00673DA6">
        <w:rPr>
          <w:rFonts w:hint="eastAsia"/>
        </w:rPr>
        <w:t>修</w:t>
      </w:r>
      <w:r w:rsidR="00907C99">
        <w:rPr>
          <w:rFonts w:hint="eastAsia"/>
        </w:rPr>
        <w:t>頒</w:t>
      </w:r>
      <w:r w:rsidR="00907C99" w:rsidRPr="00006BE4">
        <w:rPr>
          <w:rFonts w:hint="eastAsia"/>
        </w:rPr>
        <w:t>「</w:t>
      </w:r>
      <w:proofErr w:type="gramEnd"/>
      <w:r w:rsidR="00907C99" w:rsidRPr="00006BE4">
        <w:rPr>
          <w:rFonts w:hint="eastAsia"/>
        </w:rPr>
        <w:t>國軍軍事學校教師人事處理規定」</w:t>
      </w:r>
      <w:r w:rsidR="00907C99">
        <w:rPr>
          <w:rFonts w:hint="eastAsia"/>
        </w:rPr>
        <w:t>第38點規定</w:t>
      </w:r>
      <w:r w:rsidR="00907C99">
        <w:rPr>
          <w:rStyle w:val="aff1"/>
        </w:rPr>
        <w:footnoteReference w:id="1"/>
      </w:r>
      <w:r w:rsidR="00907C99">
        <w:rPr>
          <w:rFonts w:hint="eastAsia"/>
        </w:rPr>
        <w:t>，該校教師未升等自</w:t>
      </w:r>
      <w:r w:rsidR="00907C99" w:rsidRPr="00110222">
        <w:rPr>
          <w:rFonts w:hint="eastAsia"/>
        </w:rPr>
        <w:t>第</w:t>
      </w:r>
      <w:r w:rsidR="002F6A81" w:rsidRPr="00110222">
        <w:rPr>
          <w:rFonts w:hint="eastAsia"/>
        </w:rPr>
        <w:t>9</w:t>
      </w:r>
      <w:r w:rsidR="00907C99" w:rsidRPr="00110222">
        <w:rPr>
          <w:rFonts w:hint="eastAsia"/>
        </w:rPr>
        <w:t>年起不予續聘。查自該規定</w:t>
      </w:r>
      <w:proofErr w:type="gramStart"/>
      <w:r w:rsidR="00907C99" w:rsidRPr="00110222">
        <w:rPr>
          <w:rFonts w:hint="eastAsia"/>
        </w:rPr>
        <w:t>修頒後</w:t>
      </w:r>
      <w:proofErr w:type="gramEnd"/>
      <w:r w:rsidR="00907C99" w:rsidRPr="00110222">
        <w:rPr>
          <w:rFonts w:hint="eastAsia"/>
        </w:rPr>
        <w:t>，三軍官校共聘任教師57人，其中迄今未升等教師46人，因該法</w:t>
      </w:r>
      <w:r w:rsidRPr="00110222">
        <w:rPr>
          <w:rFonts w:hint="eastAsia"/>
        </w:rPr>
        <w:t>自105年</w:t>
      </w:r>
      <w:r w:rsidR="00907C99" w:rsidRPr="00110222">
        <w:rPr>
          <w:rFonts w:hint="eastAsia"/>
        </w:rPr>
        <w:t>修訂</w:t>
      </w:r>
      <w:r w:rsidRPr="00110222">
        <w:rPr>
          <w:rFonts w:hint="eastAsia"/>
        </w:rPr>
        <w:t>迄今</w:t>
      </w:r>
      <w:r w:rsidR="00907C99" w:rsidRPr="00110222">
        <w:rPr>
          <w:rFonts w:hint="eastAsia"/>
        </w:rPr>
        <w:t>尚未滿8年，據國防部查復，目前尚無因</w:t>
      </w:r>
      <w:r w:rsidRPr="00110222">
        <w:rPr>
          <w:rFonts w:hint="eastAsia"/>
        </w:rPr>
        <w:t>該規定</w:t>
      </w:r>
      <w:r w:rsidR="00907C99" w:rsidRPr="00110222">
        <w:rPr>
          <w:rFonts w:hint="eastAsia"/>
        </w:rPr>
        <w:t>未於期限內升等而遭解聘之教師。惟</w:t>
      </w:r>
      <w:r w:rsidRPr="00110222">
        <w:rPr>
          <w:rFonts w:hint="eastAsia"/>
        </w:rPr>
        <w:t>另</w:t>
      </w:r>
      <w:r w:rsidR="00907C99" w:rsidRPr="00110222">
        <w:rPr>
          <w:rFonts w:hint="eastAsia"/>
        </w:rPr>
        <w:t>依教育部</w:t>
      </w:r>
      <w:r w:rsidRPr="00110222">
        <w:rPr>
          <w:rFonts w:hint="eastAsia"/>
        </w:rPr>
        <w:t>107年</w:t>
      </w:r>
      <w:r w:rsidR="00907C99" w:rsidRPr="00110222">
        <w:rPr>
          <w:rFonts w:hint="eastAsia"/>
        </w:rPr>
        <w:t>函</w:t>
      </w:r>
      <w:r w:rsidRPr="00110222">
        <w:rPr>
          <w:rFonts w:hint="eastAsia"/>
        </w:rPr>
        <w:t>釋</w:t>
      </w:r>
      <w:r w:rsidR="00907C99" w:rsidRPr="00110222">
        <w:rPr>
          <w:rStyle w:val="aff1"/>
        </w:rPr>
        <w:footnoteReference w:id="2"/>
      </w:r>
      <w:r w:rsidR="00907C99" w:rsidRPr="00110222">
        <w:rPr>
          <w:rFonts w:hint="eastAsia"/>
        </w:rPr>
        <w:t>意旨，學校依大學法第19條規定另訂</w:t>
      </w:r>
      <w:r w:rsidR="00907C99" w:rsidRPr="00110222">
        <w:rPr>
          <w:rFonts w:hint="eastAsia"/>
        </w:rPr>
        <w:lastRenderedPageBreak/>
        <w:t>教師限期升等之</w:t>
      </w:r>
      <w:proofErr w:type="gramStart"/>
      <w:r w:rsidR="00907C99" w:rsidRPr="00110222">
        <w:rPr>
          <w:rFonts w:hint="eastAsia"/>
        </w:rPr>
        <w:t>不</w:t>
      </w:r>
      <w:proofErr w:type="gramEnd"/>
      <w:r w:rsidR="00907C99" w:rsidRPr="00110222">
        <w:rPr>
          <w:rFonts w:hint="eastAsia"/>
        </w:rPr>
        <w:t>續聘規定，並以教師違反聘約規定的義務為由，擬將其解聘、停聘或不續聘時，仍應受教師法第16條情節重大之限制，</w:t>
      </w:r>
      <w:proofErr w:type="gramStart"/>
      <w:r w:rsidR="00907C99" w:rsidRPr="00110222">
        <w:rPr>
          <w:rFonts w:hint="eastAsia"/>
        </w:rPr>
        <w:t>又為符情</w:t>
      </w:r>
      <w:proofErr w:type="gramEnd"/>
      <w:r w:rsidR="00907C99" w:rsidRPr="00110222">
        <w:rPr>
          <w:rFonts w:hint="eastAsia"/>
        </w:rPr>
        <w:t>節重大之要件，學校教評會應審酌公益性、必要性、符合比例原則、符合正當法律程序等四項原則，並於報教育部核准時說明。</w:t>
      </w:r>
      <w:r w:rsidRPr="00110222">
        <w:rPr>
          <w:rFonts w:hint="eastAsia"/>
        </w:rPr>
        <w:t>是以前述</w:t>
      </w:r>
      <w:r w:rsidR="00907C99" w:rsidRPr="00110222">
        <w:rPr>
          <w:rFonts w:hint="eastAsia"/>
        </w:rPr>
        <w:t>國防部</w:t>
      </w:r>
      <w:r w:rsidRPr="00110222">
        <w:rPr>
          <w:rFonts w:hint="eastAsia"/>
        </w:rPr>
        <w:t>105年所</w:t>
      </w:r>
      <w:proofErr w:type="gramStart"/>
      <w:r w:rsidRPr="00110222">
        <w:rPr>
          <w:rFonts w:hint="eastAsia"/>
        </w:rPr>
        <w:t>修頒規定</w:t>
      </w:r>
      <w:r w:rsidR="00907C99" w:rsidRPr="00110222">
        <w:rPr>
          <w:rFonts w:hint="eastAsia"/>
        </w:rPr>
        <w:t>逕</w:t>
      </w:r>
      <w:proofErr w:type="gramEnd"/>
      <w:r w:rsidR="00907C99" w:rsidRPr="00110222">
        <w:rPr>
          <w:rFonts w:hint="eastAsia"/>
        </w:rPr>
        <w:t>以「教師未升等自第</w:t>
      </w:r>
      <w:r w:rsidR="002F6A81" w:rsidRPr="00110222">
        <w:rPr>
          <w:rFonts w:hint="eastAsia"/>
        </w:rPr>
        <w:t>9</w:t>
      </w:r>
      <w:r w:rsidR="00907C99" w:rsidRPr="00110222">
        <w:rPr>
          <w:rFonts w:hint="eastAsia"/>
        </w:rPr>
        <w:t>年起不予續聘」之作法，顯與教師法規定相悖，容有疑義。</w:t>
      </w:r>
    </w:p>
    <w:p w:rsidR="00907C99" w:rsidRDefault="00907C99" w:rsidP="00907C99">
      <w:pPr>
        <w:pStyle w:val="3"/>
        <w:numPr>
          <w:ilvl w:val="2"/>
          <w:numId w:val="1"/>
        </w:numPr>
        <w:ind w:left="1302"/>
      </w:pPr>
      <w:proofErr w:type="gramStart"/>
      <w:r w:rsidRPr="00110222">
        <w:rPr>
          <w:rFonts w:hint="eastAsia"/>
        </w:rPr>
        <w:t>此外，</w:t>
      </w:r>
      <w:proofErr w:type="gramEnd"/>
      <w:r w:rsidRPr="00110222">
        <w:rPr>
          <w:rFonts w:hint="eastAsia"/>
        </w:rPr>
        <w:t>國軍軍事學校教師人事處理規定第38點規定訂有「教師每年至少應於具雙向匿名審查機制之期刊發表</w:t>
      </w:r>
      <w:r w:rsidR="002F6A81" w:rsidRPr="00110222">
        <w:rPr>
          <w:rFonts w:hint="eastAsia"/>
        </w:rPr>
        <w:t>2</w:t>
      </w:r>
      <w:r w:rsidRPr="00110222">
        <w:rPr>
          <w:rFonts w:hint="eastAsia"/>
        </w:rPr>
        <w:t>篇論文」之規範，然經檢視</w:t>
      </w:r>
      <w:r w:rsidRPr="00110222">
        <w:rPr>
          <w:rFonts w:hint="eastAsia"/>
        </w:rPr>
        <w:tab/>
        <w:t>三軍官校及專科軍事院校校內教師發表期刊文獻情形，平均各校教師每人每年發表期刊</w:t>
      </w:r>
      <w:proofErr w:type="gramStart"/>
      <w:r w:rsidRPr="00110222">
        <w:rPr>
          <w:rFonts w:hint="eastAsia"/>
        </w:rPr>
        <w:t>數量均未</w:t>
      </w:r>
      <w:proofErr w:type="gramEnd"/>
      <w:r w:rsidRPr="00110222">
        <w:rPr>
          <w:rFonts w:hint="eastAsia"/>
        </w:rPr>
        <w:t>達</w:t>
      </w:r>
      <w:r w:rsidR="002F6A81" w:rsidRPr="00110222">
        <w:rPr>
          <w:rFonts w:hint="eastAsia"/>
        </w:rPr>
        <w:t>2</w:t>
      </w:r>
      <w:r w:rsidRPr="00110222">
        <w:rPr>
          <w:rFonts w:hint="eastAsia"/>
        </w:rPr>
        <w:t>篇；又國防部針對所屬軍事院校之特</w:t>
      </w:r>
      <w:r w:rsidR="00FC7F42" w:rsidRPr="00110222">
        <w:rPr>
          <w:rFonts w:hint="eastAsia"/>
        </w:rPr>
        <w:t>性</w:t>
      </w:r>
      <w:r w:rsidRPr="00110222">
        <w:rPr>
          <w:rFonts w:hint="eastAsia"/>
        </w:rPr>
        <w:t>，多次強調「…</w:t>
      </w:r>
      <w:proofErr w:type="gramStart"/>
      <w:r w:rsidRPr="00110222">
        <w:rPr>
          <w:rFonts w:hint="eastAsia"/>
        </w:rPr>
        <w:t>…</w:t>
      </w:r>
      <w:proofErr w:type="gramEnd"/>
      <w:r w:rsidRPr="00110222">
        <w:rPr>
          <w:rFonts w:hint="eastAsia"/>
        </w:rPr>
        <w:t>軍事學校多屬基礎校院，無設置研究所，學術研究方面不易有突破性進展，且教師大部</w:t>
      </w:r>
      <w:r w:rsidR="000F0E24">
        <w:rPr>
          <w:rFonts w:hint="eastAsia"/>
        </w:rPr>
        <w:t>分</w:t>
      </w:r>
      <w:r w:rsidRPr="00110222">
        <w:rPr>
          <w:rFonts w:hint="eastAsia"/>
        </w:rPr>
        <w:t>時間以教學為主……」等語，</w:t>
      </w:r>
      <w:r w:rsidR="009154E0" w:rsidRPr="00110222">
        <w:rPr>
          <w:rFonts w:hint="eastAsia"/>
        </w:rPr>
        <w:t>且國防部又未予以強制要求</w:t>
      </w:r>
      <w:r w:rsidR="009154E0" w:rsidRPr="00110222">
        <w:rPr>
          <w:rFonts w:hAnsi="標楷體" w:hint="eastAsia"/>
        </w:rPr>
        <w:t>，</w:t>
      </w:r>
      <w:r w:rsidR="009154E0" w:rsidRPr="00110222">
        <w:rPr>
          <w:rFonts w:hint="eastAsia"/>
        </w:rPr>
        <w:t>故</w:t>
      </w:r>
      <w:r w:rsidRPr="00110222">
        <w:rPr>
          <w:rFonts w:hint="eastAsia"/>
        </w:rPr>
        <w:t>該規定要求教師每年至少發表</w:t>
      </w:r>
      <w:r w:rsidR="002F6A81" w:rsidRPr="00110222">
        <w:rPr>
          <w:rFonts w:hint="eastAsia"/>
        </w:rPr>
        <w:t>2</w:t>
      </w:r>
      <w:r w:rsidRPr="00110222">
        <w:rPr>
          <w:rFonts w:hint="eastAsia"/>
        </w:rPr>
        <w:t>篇論文</w:t>
      </w:r>
      <w:r w:rsidR="000915BA" w:rsidRPr="00110222">
        <w:rPr>
          <w:rFonts w:hint="eastAsia"/>
        </w:rPr>
        <w:t>之規定</w:t>
      </w:r>
      <w:r w:rsidRPr="00110222">
        <w:rPr>
          <w:rFonts w:hint="eastAsia"/>
        </w:rPr>
        <w:t>，</w:t>
      </w:r>
      <w:r w:rsidR="000915BA">
        <w:rPr>
          <w:rFonts w:hint="eastAsia"/>
        </w:rPr>
        <w:t>實務上</w:t>
      </w:r>
      <w:r w:rsidR="00B64778">
        <w:rPr>
          <w:rFonts w:hint="eastAsia"/>
        </w:rPr>
        <w:t>仍有許多教師</w:t>
      </w:r>
      <w:r w:rsidR="000915BA" w:rsidRPr="00B64778">
        <w:rPr>
          <w:rFonts w:hint="eastAsia"/>
        </w:rPr>
        <w:t>並未</w:t>
      </w:r>
      <w:r w:rsidR="000915BA">
        <w:rPr>
          <w:rFonts w:hint="eastAsia"/>
        </w:rPr>
        <w:t>能達成</w:t>
      </w:r>
      <w:r w:rsidRPr="00017271">
        <w:rPr>
          <w:rFonts w:hint="eastAsia"/>
        </w:rPr>
        <w:t>。有</w:t>
      </w:r>
      <w:r>
        <w:rPr>
          <w:rFonts w:hint="eastAsia"/>
        </w:rPr>
        <w:t>關</w:t>
      </w:r>
      <w:proofErr w:type="gramStart"/>
      <w:r w:rsidRPr="00FC3E17">
        <w:rPr>
          <w:rFonts w:hint="eastAsia"/>
        </w:rPr>
        <w:t>三</w:t>
      </w:r>
      <w:proofErr w:type="gramEnd"/>
      <w:r w:rsidRPr="00FC3E17">
        <w:rPr>
          <w:rFonts w:hint="eastAsia"/>
        </w:rPr>
        <w:t>軍官校及專科軍事院校校內教師發表期刊文獻情形</w:t>
      </w:r>
      <w:r>
        <w:rPr>
          <w:rFonts w:hint="eastAsia"/>
        </w:rPr>
        <w:t>統計如下表。</w:t>
      </w:r>
    </w:p>
    <w:p w:rsidR="00907C99" w:rsidRDefault="00907C99" w:rsidP="00907C99">
      <w:pPr>
        <w:pStyle w:val="a5"/>
      </w:pPr>
      <w:proofErr w:type="gramStart"/>
      <w:r>
        <w:rPr>
          <w:rFonts w:hint="eastAsia"/>
        </w:rPr>
        <w:t>三</w:t>
      </w:r>
      <w:proofErr w:type="gramEnd"/>
      <w:r>
        <w:rPr>
          <w:rFonts w:hint="eastAsia"/>
        </w:rPr>
        <w:t>軍官校及專科軍事院校校內教師發表期刊文獻情形統計表</w:t>
      </w:r>
    </w:p>
    <w:tbl>
      <w:tblPr>
        <w:tblStyle w:val="af9"/>
        <w:tblW w:w="9351" w:type="dxa"/>
        <w:tblLook w:val="04A0" w:firstRow="1" w:lastRow="0" w:firstColumn="1" w:lastColumn="0" w:noHBand="0" w:noVBand="1"/>
      </w:tblPr>
      <w:tblGrid>
        <w:gridCol w:w="2333"/>
        <w:gridCol w:w="923"/>
        <w:gridCol w:w="2126"/>
        <w:gridCol w:w="2126"/>
        <w:gridCol w:w="1843"/>
      </w:tblGrid>
      <w:tr w:rsidR="00907C99" w:rsidTr="006D646D">
        <w:trPr>
          <w:tblHeader/>
        </w:trPr>
        <w:tc>
          <w:tcPr>
            <w:tcW w:w="2333" w:type="dxa"/>
            <w:shd w:val="clear" w:color="auto" w:fill="DAEEF3" w:themeFill="accent5" w:themeFillTint="33"/>
            <w:vAlign w:val="center"/>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學校名稱</w:t>
            </w:r>
          </w:p>
        </w:tc>
        <w:tc>
          <w:tcPr>
            <w:tcW w:w="923" w:type="dxa"/>
            <w:shd w:val="clear" w:color="auto" w:fill="DAEEF3" w:themeFill="accent5" w:themeFillTint="33"/>
            <w:vAlign w:val="center"/>
          </w:tcPr>
          <w:p w:rsidR="00907C99" w:rsidRPr="00612EC5" w:rsidRDefault="00907C99" w:rsidP="00907C99">
            <w:pPr>
              <w:pStyle w:val="6"/>
              <w:numPr>
                <w:ilvl w:val="0"/>
                <w:numId w:val="0"/>
              </w:numPr>
              <w:jc w:val="center"/>
              <w:rPr>
                <w:spacing w:val="-20"/>
                <w:sz w:val="28"/>
                <w:szCs w:val="28"/>
              </w:rPr>
            </w:pPr>
            <w:r w:rsidRPr="00612EC5">
              <w:rPr>
                <w:rFonts w:hint="eastAsia"/>
                <w:spacing w:val="-20"/>
                <w:sz w:val="28"/>
                <w:szCs w:val="28"/>
              </w:rPr>
              <w:t>教師</w:t>
            </w:r>
          </w:p>
          <w:p w:rsidR="00907C99" w:rsidRPr="00612EC5" w:rsidRDefault="00907C99" w:rsidP="00907C99">
            <w:pPr>
              <w:pStyle w:val="6"/>
              <w:numPr>
                <w:ilvl w:val="0"/>
                <w:numId w:val="0"/>
              </w:numPr>
              <w:jc w:val="center"/>
              <w:rPr>
                <w:spacing w:val="-20"/>
                <w:sz w:val="28"/>
                <w:szCs w:val="28"/>
              </w:rPr>
            </w:pPr>
            <w:r w:rsidRPr="00612EC5">
              <w:rPr>
                <w:rFonts w:hint="eastAsia"/>
                <w:spacing w:val="-20"/>
                <w:sz w:val="28"/>
                <w:szCs w:val="28"/>
              </w:rPr>
              <w:t>人數</w:t>
            </w:r>
          </w:p>
        </w:tc>
        <w:tc>
          <w:tcPr>
            <w:tcW w:w="2126" w:type="dxa"/>
            <w:shd w:val="clear" w:color="auto" w:fill="DAEEF3" w:themeFill="accent5" w:themeFillTint="33"/>
            <w:vAlign w:val="center"/>
          </w:tcPr>
          <w:p w:rsidR="00907C99" w:rsidRPr="00612EC5" w:rsidRDefault="00907C99" w:rsidP="00907C99">
            <w:pPr>
              <w:pStyle w:val="6"/>
              <w:numPr>
                <w:ilvl w:val="0"/>
                <w:numId w:val="0"/>
              </w:numPr>
              <w:jc w:val="center"/>
              <w:rPr>
                <w:spacing w:val="-20"/>
                <w:sz w:val="28"/>
                <w:szCs w:val="28"/>
              </w:rPr>
            </w:pPr>
            <w:r w:rsidRPr="00612EC5">
              <w:rPr>
                <w:rFonts w:hint="eastAsia"/>
                <w:spacing w:val="-20"/>
                <w:sz w:val="28"/>
                <w:szCs w:val="28"/>
              </w:rPr>
              <w:t>105~11</w:t>
            </w:r>
            <w:r w:rsidR="00D41F53">
              <w:rPr>
                <w:rFonts w:hint="eastAsia"/>
                <w:spacing w:val="-20"/>
                <w:sz w:val="28"/>
                <w:szCs w:val="28"/>
              </w:rPr>
              <w:t>1</w:t>
            </w:r>
            <w:r w:rsidRPr="00612EC5">
              <w:rPr>
                <w:rFonts w:hint="eastAsia"/>
                <w:spacing w:val="-20"/>
                <w:sz w:val="28"/>
                <w:szCs w:val="28"/>
              </w:rPr>
              <w:t>年校內教師發表期刊數</w:t>
            </w:r>
          </w:p>
        </w:tc>
        <w:tc>
          <w:tcPr>
            <w:tcW w:w="2126" w:type="dxa"/>
            <w:shd w:val="clear" w:color="auto" w:fill="DAEEF3" w:themeFill="accent5" w:themeFillTint="33"/>
            <w:vAlign w:val="center"/>
          </w:tcPr>
          <w:p w:rsidR="00907C99" w:rsidRPr="00612EC5" w:rsidRDefault="00907C99" w:rsidP="00907C99">
            <w:pPr>
              <w:pStyle w:val="6"/>
              <w:numPr>
                <w:ilvl w:val="0"/>
                <w:numId w:val="0"/>
              </w:numPr>
              <w:jc w:val="center"/>
              <w:rPr>
                <w:spacing w:val="-20"/>
                <w:sz w:val="28"/>
                <w:szCs w:val="28"/>
              </w:rPr>
            </w:pPr>
            <w:r w:rsidRPr="00612EC5">
              <w:rPr>
                <w:rFonts w:hint="eastAsia"/>
                <w:spacing w:val="-20"/>
                <w:sz w:val="28"/>
                <w:szCs w:val="28"/>
              </w:rPr>
              <w:t>平均每年</w:t>
            </w:r>
            <w:r w:rsidR="00017271">
              <w:rPr>
                <w:rFonts w:hint="eastAsia"/>
                <w:spacing w:val="-20"/>
                <w:sz w:val="28"/>
                <w:szCs w:val="28"/>
              </w:rPr>
              <w:t>全</w:t>
            </w:r>
            <w:r w:rsidRPr="00612EC5">
              <w:rPr>
                <w:rFonts w:hint="eastAsia"/>
                <w:spacing w:val="-20"/>
                <w:sz w:val="28"/>
                <w:szCs w:val="28"/>
              </w:rPr>
              <w:t>校教師發表期刊數</w:t>
            </w:r>
          </w:p>
        </w:tc>
        <w:tc>
          <w:tcPr>
            <w:tcW w:w="1843" w:type="dxa"/>
            <w:shd w:val="clear" w:color="auto" w:fill="DAEEF3" w:themeFill="accent5" w:themeFillTint="33"/>
            <w:vAlign w:val="center"/>
          </w:tcPr>
          <w:p w:rsidR="00907C99" w:rsidRPr="00612EC5" w:rsidRDefault="00907C99" w:rsidP="00907C99">
            <w:pPr>
              <w:pStyle w:val="6"/>
              <w:numPr>
                <w:ilvl w:val="0"/>
                <w:numId w:val="0"/>
              </w:numPr>
              <w:jc w:val="center"/>
              <w:rPr>
                <w:spacing w:val="-20"/>
                <w:sz w:val="28"/>
                <w:szCs w:val="28"/>
              </w:rPr>
            </w:pPr>
            <w:r w:rsidRPr="00612EC5">
              <w:rPr>
                <w:rFonts w:hint="eastAsia"/>
                <w:spacing w:val="-20"/>
                <w:sz w:val="28"/>
                <w:szCs w:val="28"/>
              </w:rPr>
              <w:t>平均每人每年發表期刊數</w:t>
            </w:r>
          </w:p>
        </w:tc>
      </w:tr>
      <w:tr w:rsidR="00907C99" w:rsidTr="00907C99">
        <w:tc>
          <w:tcPr>
            <w:tcW w:w="2333" w:type="dxa"/>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陸軍官校</w:t>
            </w:r>
          </w:p>
        </w:tc>
        <w:tc>
          <w:tcPr>
            <w:tcW w:w="923" w:type="dxa"/>
            <w:vAlign w:val="center"/>
          </w:tcPr>
          <w:p w:rsidR="00907C99" w:rsidRPr="00612EC5" w:rsidRDefault="00907C99" w:rsidP="00907C99">
            <w:pPr>
              <w:pStyle w:val="5"/>
              <w:numPr>
                <w:ilvl w:val="0"/>
                <w:numId w:val="0"/>
              </w:numPr>
              <w:jc w:val="right"/>
              <w:rPr>
                <w:spacing w:val="-20"/>
                <w:sz w:val="28"/>
                <w:szCs w:val="28"/>
              </w:rPr>
            </w:pPr>
            <w:r w:rsidRPr="00612EC5">
              <w:rPr>
                <w:rFonts w:hint="eastAsia"/>
                <w:spacing w:val="-20"/>
                <w:sz w:val="28"/>
                <w:szCs w:val="28"/>
              </w:rPr>
              <w:t>68</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265</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37.86</w:t>
            </w:r>
          </w:p>
        </w:tc>
        <w:tc>
          <w:tcPr>
            <w:tcW w:w="1843"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0.56</w:t>
            </w:r>
          </w:p>
        </w:tc>
      </w:tr>
      <w:tr w:rsidR="00907C99" w:rsidTr="00907C99">
        <w:tc>
          <w:tcPr>
            <w:tcW w:w="2333" w:type="dxa"/>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海軍官校</w:t>
            </w:r>
          </w:p>
        </w:tc>
        <w:tc>
          <w:tcPr>
            <w:tcW w:w="923" w:type="dxa"/>
            <w:vAlign w:val="center"/>
          </w:tcPr>
          <w:p w:rsidR="00907C99" w:rsidRPr="00612EC5" w:rsidRDefault="00907C99" w:rsidP="00907C99">
            <w:pPr>
              <w:pStyle w:val="5"/>
              <w:numPr>
                <w:ilvl w:val="0"/>
                <w:numId w:val="0"/>
              </w:numPr>
              <w:jc w:val="right"/>
              <w:rPr>
                <w:spacing w:val="-20"/>
                <w:sz w:val="28"/>
                <w:szCs w:val="28"/>
              </w:rPr>
            </w:pPr>
            <w:r w:rsidRPr="00612EC5">
              <w:rPr>
                <w:rFonts w:hint="eastAsia"/>
                <w:spacing w:val="-20"/>
                <w:sz w:val="28"/>
                <w:szCs w:val="28"/>
              </w:rPr>
              <w:t>39</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362</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51.71</w:t>
            </w:r>
          </w:p>
        </w:tc>
        <w:tc>
          <w:tcPr>
            <w:tcW w:w="1843"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1.33</w:t>
            </w:r>
          </w:p>
        </w:tc>
      </w:tr>
      <w:tr w:rsidR="00907C99" w:rsidTr="00907C99">
        <w:tc>
          <w:tcPr>
            <w:tcW w:w="2333" w:type="dxa"/>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空軍官校</w:t>
            </w:r>
          </w:p>
        </w:tc>
        <w:tc>
          <w:tcPr>
            <w:tcW w:w="923" w:type="dxa"/>
            <w:vAlign w:val="center"/>
          </w:tcPr>
          <w:p w:rsidR="00907C99" w:rsidRPr="00612EC5" w:rsidRDefault="00907C99" w:rsidP="00907C99">
            <w:pPr>
              <w:pStyle w:val="5"/>
              <w:numPr>
                <w:ilvl w:val="0"/>
                <w:numId w:val="0"/>
              </w:numPr>
              <w:jc w:val="right"/>
              <w:rPr>
                <w:spacing w:val="-20"/>
                <w:sz w:val="28"/>
                <w:szCs w:val="28"/>
              </w:rPr>
            </w:pPr>
            <w:r w:rsidRPr="00612EC5">
              <w:rPr>
                <w:rFonts w:hint="eastAsia"/>
                <w:spacing w:val="-20"/>
                <w:sz w:val="28"/>
                <w:szCs w:val="28"/>
              </w:rPr>
              <w:t>40</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284</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40.57</w:t>
            </w:r>
          </w:p>
        </w:tc>
        <w:tc>
          <w:tcPr>
            <w:tcW w:w="1843"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1.01</w:t>
            </w:r>
          </w:p>
        </w:tc>
      </w:tr>
      <w:tr w:rsidR="00907C99" w:rsidTr="00907C99">
        <w:tc>
          <w:tcPr>
            <w:tcW w:w="2333" w:type="dxa"/>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陸軍專科學校</w:t>
            </w:r>
          </w:p>
        </w:tc>
        <w:tc>
          <w:tcPr>
            <w:tcW w:w="923" w:type="dxa"/>
            <w:vAlign w:val="center"/>
          </w:tcPr>
          <w:p w:rsidR="00907C99" w:rsidRPr="00612EC5" w:rsidRDefault="00907C99" w:rsidP="00907C99">
            <w:pPr>
              <w:pStyle w:val="5"/>
              <w:numPr>
                <w:ilvl w:val="0"/>
                <w:numId w:val="0"/>
              </w:numPr>
              <w:jc w:val="right"/>
              <w:rPr>
                <w:spacing w:val="-20"/>
                <w:sz w:val="28"/>
                <w:szCs w:val="28"/>
              </w:rPr>
            </w:pPr>
            <w:r w:rsidRPr="00612EC5">
              <w:rPr>
                <w:rFonts w:hint="eastAsia"/>
                <w:spacing w:val="-20"/>
                <w:sz w:val="28"/>
                <w:szCs w:val="28"/>
              </w:rPr>
              <w:t>116</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66</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9.43</w:t>
            </w:r>
          </w:p>
        </w:tc>
        <w:tc>
          <w:tcPr>
            <w:tcW w:w="1843"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0.08</w:t>
            </w:r>
          </w:p>
        </w:tc>
      </w:tr>
      <w:tr w:rsidR="00907C99" w:rsidTr="00907C99">
        <w:tc>
          <w:tcPr>
            <w:tcW w:w="2333" w:type="dxa"/>
          </w:tcPr>
          <w:p w:rsidR="00907C99" w:rsidRPr="00612EC5" w:rsidRDefault="00907C99" w:rsidP="00907C99">
            <w:pPr>
              <w:pStyle w:val="5"/>
              <w:numPr>
                <w:ilvl w:val="0"/>
                <w:numId w:val="0"/>
              </w:numPr>
              <w:rPr>
                <w:spacing w:val="-20"/>
                <w:sz w:val="28"/>
                <w:szCs w:val="28"/>
              </w:rPr>
            </w:pPr>
            <w:r w:rsidRPr="00612EC5">
              <w:rPr>
                <w:rFonts w:hint="eastAsia"/>
                <w:spacing w:val="-20"/>
                <w:sz w:val="28"/>
                <w:szCs w:val="28"/>
              </w:rPr>
              <w:t>空軍航空技術學院</w:t>
            </w:r>
          </w:p>
        </w:tc>
        <w:tc>
          <w:tcPr>
            <w:tcW w:w="923" w:type="dxa"/>
            <w:vAlign w:val="center"/>
          </w:tcPr>
          <w:p w:rsidR="00907C99" w:rsidRPr="00612EC5" w:rsidRDefault="00907C99" w:rsidP="00907C99">
            <w:pPr>
              <w:pStyle w:val="5"/>
              <w:numPr>
                <w:ilvl w:val="0"/>
                <w:numId w:val="0"/>
              </w:numPr>
              <w:jc w:val="right"/>
              <w:rPr>
                <w:spacing w:val="-20"/>
                <w:sz w:val="28"/>
                <w:szCs w:val="28"/>
              </w:rPr>
            </w:pPr>
            <w:r w:rsidRPr="00612EC5">
              <w:rPr>
                <w:rFonts w:hint="eastAsia"/>
                <w:spacing w:val="-20"/>
                <w:sz w:val="28"/>
                <w:szCs w:val="28"/>
              </w:rPr>
              <w:t>68</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141</w:t>
            </w:r>
          </w:p>
        </w:tc>
        <w:tc>
          <w:tcPr>
            <w:tcW w:w="2126"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20.14</w:t>
            </w:r>
          </w:p>
        </w:tc>
        <w:tc>
          <w:tcPr>
            <w:tcW w:w="1843" w:type="dxa"/>
            <w:vAlign w:val="center"/>
          </w:tcPr>
          <w:p w:rsidR="00907C99" w:rsidRPr="00612EC5" w:rsidRDefault="00907C99" w:rsidP="00907C99">
            <w:pPr>
              <w:pStyle w:val="6"/>
              <w:numPr>
                <w:ilvl w:val="0"/>
                <w:numId w:val="0"/>
              </w:numPr>
              <w:jc w:val="right"/>
              <w:rPr>
                <w:spacing w:val="-20"/>
                <w:sz w:val="28"/>
                <w:szCs w:val="28"/>
              </w:rPr>
            </w:pPr>
            <w:r w:rsidRPr="00612EC5">
              <w:rPr>
                <w:rFonts w:hint="eastAsia"/>
                <w:spacing w:val="-20"/>
                <w:sz w:val="28"/>
                <w:szCs w:val="28"/>
              </w:rPr>
              <w:t>0.30</w:t>
            </w:r>
          </w:p>
        </w:tc>
      </w:tr>
    </w:tbl>
    <w:p w:rsidR="00907C99" w:rsidRDefault="00907C99" w:rsidP="00907C99">
      <w:pPr>
        <w:pStyle w:val="4"/>
        <w:numPr>
          <w:ilvl w:val="0"/>
          <w:numId w:val="0"/>
        </w:numPr>
        <w:spacing w:line="360" w:lineRule="exact"/>
        <w:rPr>
          <w:sz w:val="24"/>
        </w:rPr>
      </w:pPr>
      <w:r w:rsidRPr="00391ED6">
        <w:rPr>
          <w:rFonts w:hint="eastAsia"/>
          <w:sz w:val="24"/>
        </w:rPr>
        <w:t>資料來源：</w:t>
      </w:r>
      <w:r>
        <w:rPr>
          <w:rFonts w:hint="eastAsia"/>
          <w:sz w:val="24"/>
        </w:rPr>
        <w:t>本院依</w:t>
      </w:r>
      <w:r w:rsidRPr="00391ED6">
        <w:rPr>
          <w:rFonts w:hint="eastAsia"/>
          <w:sz w:val="24"/>
        </w:rPr>
        <w:t>國防部</w:t>
      </w:r>
      <w:r>
        <w:rPr>
          <w:rFonts w:hint="eastAsia"/>
          <w:sz w:val="24"/>
        </w:rPr>
        <w:t>查</w:t>
      </w:r>
      <w:r w:rsidR="00E205E4">
        <w:rPr>
          <w:rFonts w:hint="eastAsia"/>
          <w:sz w:val="24"/>
        </w:rPr>
        <w:t>復</w:t>
      </w:r>
      <w:r>
        <w:rPr>
          <w:rFonts w:hint="eastAsia"/>
          <w:sz w:val="24"/>
        </w:rPr>
        <w:t>資料自行彙整</w:t>
      </w:r>
    </w:p>
    <w:p w:rsidR="00907C99" w:rsidRDefault="00907C99" w:rsidP="00907C99">
      <w:pPr>
        <w:pStyle w:val="4"/>
        <w:numPr>
          <w:ilvl w:val="0"/>
          <w:numId w:val="0"/>
        </w:numPr>
        <w:spacing w:line="360" w:lineRule="exact"/>
        <w:rPr>
          <w:sz w:val="24"/>
        </w:rPr>
      </w:pPr>
    </w:p>
    <w:p w:rsidR="00B00305" w:rsidRDefault="00B00305" w:rsidP="00907C99">
      <w:pPr>
        <w:pStyle w:val="4"/>
        <w:numPr>
          <w:ilvl w:val="0"/>
          <w:numId w:val="0"/>
        </w:numPr>
        <w:spacing w:line="360" w:lineRule="exact"/>
        <w:rPr>
          <w:sz w:val="24"/>
        </w:rPr>
      </w:pPr>
    </w:p>
    <w:p w:rsidR="00907C99" w:rsidRPr="00CE37EC" w:rsidRDefault="00907C99" w:rsidP="00907C99">
      <w:pPr>
        <w:pStyle w:val="3"/>
        <w:numPr>
          <w:ilvl w:val="2"/>
          <w:numId w:val="1"/>
        </w:numPr>
        <w:ind w:left="1302"/>
        <w:rPr>
          <w:vanish/>
          <w:specVanish/>
        </w:rPr>
      </w:pPr>
      <w:r>
        <w:rPr>
          <w:rFonts w:hint="eastAsia"/>
        </w:rPr>
        <w:lastRenderedPageBreak/>
        <w:t>據本院調查，截至112年3月底，國防部專科以上院校之</w:t>
      </w:r>
      <w:r w:rsidRPr="00006BE4">
        <w:rPr>
          <w:rFonts w:hint="eastAsia"/>
        </w:rPr>
        <w:t>專任教師8年內未升等者計有</w:t>
      </w:r>
      <w:r>
        <w:rPr>
          <w:rFonts w:hint="eastAsia"/>
        </w:rPr>
        <w:t>171人。8年內未升等教師人數占專科教師之比率仍以</w:t>
      </w:r>
      <w:r w:rsidRPr="00006BE4">
        <w:rPr>
          <w:rFonts w:hint="eastAsia"/>
        </w:rPr>
        <w:t>陸軍專科學校</w:t>
      </w:r>
      <w:r>
        <w:rPr>
          <w:rFonts w:hint="eastAsia"/>
        </w:rPr>
        <w:t>68.97%最高，陸軍官校35.29%次之，三軍官校及專科教師</w:t>
      </w:r>
      <w:r w:rsidRPr="005841D8">
        <w:rPr>
          <w:rFonts w:hint="eastAsia"/>
        </w:rPr>
        <w:t>逾8年未升等之教</w:t>
      </w:r>
      <w:r w:rsidRPr="000915BA">
        <w:rPr>
          <w:rFonts w:hint="eastAsia"/>
        </w:rPr>
        <w:t>師占教師人數</w:t>
      </w:r>
      <w:proofErr w:type="gramStart"/>
      <w:r w:rsidRPr="000915BA">
        <w:rPr>
          <w:rFonts w:hint="eastAsia"/>
        </w:rPr>
        <w:t>4成</w:t>
      </w:r>
      <w:proofErr w:type="gramEnd"/>
      <w:r w:rsidRPr="000915BA">
        <w:rPr>
          <w:rFonts w:hint="eastAsia"/>
        </w:rPr>
        <w:t>以上。相關統計</w:t>
      </w:r>
      <w:proofErr w:type="gramStart"/>
      <w:r w:rsidRPr="000915BA">
        <w:rPr>
          <w:rFonts w:hint="eastAsia"/>
        </w:rPr>
        <w:t>詳</w:t>
      </w:r>
      <w:proofErr w:type="gramEnd"/>
      <w:r w:rsidRPr="000915BA">
        <w:rPr>
          <w:rFonts w:hint="eastAsia"/>
        </w:rPr>
        <w:t>如下表</w:t>
      </w:r>
      <w:r w:rsidRPr="000915BA">
        <w:rPr>
          <w:rStyle w:val="aff1"/>
        </w:rPr>
        <w:footnoteReference w:id="3"/>
      </w:r>
      <w:r w:rsidRPr="000915BA">
        <w:rPr>
          <w:rFonts w:hint="eastAsia"/>
        </w:rPr>
        <w:t>。</w:t>
      </w:r>
      <w:r w:rsidR="00B00305" w:rsidRPr="0031273D">
        <w:rPr>
          <w:rFonts w:hint="eastAsia"/>
        </w:rPr>
        <w:t>又依國軍軍事學校教師人事處理規定第21點規定，</w:t>
      </w:r>
      <w:r w:rsidR="00B00305">
        <w:rPr>
          <w:rFonts w:hint="eastAsia"/>
        </w:rPr>
        <w:t>各軍事院校得自訂專任教師升等標準，致各軍事院校對於專任教師升等資格審定標準不一</w:t>
      </w:r>
      <w:r w:rsidR="00B00305" w:rsidRPr="0031273D">
        <w:rPr>
          <w:rStyle w:val="aff1"/>
        </w:rPr>
        <w:footnoteReference w:id="4"/>
      </w:r>
      <w:r w:rsidR="00B00305">
        <w:rPr>
          <w:rFonts w:hint="eastAsia"/>
        </w:rPr>
        <w:t>。</w:t>
      </w:r>
      <w:r w:rsidRPr="0031273D">
        <w:rPr>
          <w:rFonts w:hint="eastAsia"/>
        </w:rPr>
        <w:t>以「研究成績」</w:t>
      </w:r>
      <w:r w:rsidR="008A23C6" w:rsidRPr="0031273D">
        <w:rPr>
          <w:rFonts w:hint="eastAsia"/>
        </w:rPr>
        <w:t>評量</w:t>
      </w:r>
      <w:r w:rsidRPr="0031273D">
        <w:rPr>
          <w:rFonts w:hint="eastAsia"/>
        </w:rPr>
        <w:t>標準為例，陸軍官校及空軍官校評量標準皆無該項指標標準，海</w:t>
      </w:r>
      <w:proofErr w:type="gramStart"/>
      <w:r w:rsidRPr="0031273D">
        <w:rPr>
          <w:rFonts w:hint="eastAsia"/>
        </w:rPr>
        <w:t>軍官校該標準</w:t>
      </w:r>
      <w:proofErr w:type="gramEnd"/>
      <w:r w:rsidRPr="0031273D">
        <w:rPr>
          <w:rFonts w:hint="eastAsia"/>
        </w:rPr>
        <w:t>占比30%，空軍航空技術學</w:t>
      </w:r>
      <w:r w:rsidR="009D392D" w:rsidRPr="0031273D">
        <w:rPr>
          <w:rFonts w:hint="eastAsia"/>
        </w:rPr>
        <w:t>院</w:t>
      </w:r>
      <w:r w:rsidRPr="0031273D">
        <w:rPr>
          <w:rFonts w:hint="eastAsia"/>
        </w:rPr>
        <w:t>該標準占比10%~40%，陸軍專科學校該標準占比則高達70%；對此國防部函復</w:t>
      </w:r>
      <w:r>
        <w:rPr>
          <w:rFonts w:hint="eastAsia"/>
        </w:rPr>
        <w:t>略</w:t>
      </w:r>
      <w:proofErr w:type="gramStart"/>
      <w:r>
        <w:rPr>
          <w:rFonts w:hint="eastAsia"/>
        </w:rPr>
        <w:t>以</w:t>
      </w:r>
      <w:proofErr w:type="gramEnd"/>
      <w:r>
        <w:rPr>
          <w:rFonts w:hint="eastAsia"/>
        </w:rPr>
        <w:t>：「</w:t>
      </w:r>
      <w:r w:rsidRPr="00017271">
        <w:rPr>
          <w:rFonts w:hint="eastAsia"/>
        </w:rPr>
        <w:t>陸軍專科學校…</w:t>
      </w:r>
      <w:proofErr w:type="gramStart"/>
      <w:r w:rsidRPr="00017271">
        <w:rPr>
          <w:rFonts w:hint="eastAsia"/>
        </w:rPr>
        <w:t>…</w:t>
      </w:r>
      <w:proofErr w:type="gramEnd"/>
      <w:r w:rsidRPr="00017271">
        <w:rPr>
          <w:rFonts w:hint="eastAsia"/>
        </w:rPr>
        <w:t>以教師研究70%為主，其目的為送審教師著作為主要審查重點，並強化教師於學術研究上的專業本質</w:t>
      </w:r>
      <w:r w:rsidR="003A1167" w:rsidRPr="00017271">
        <w:rPr>
          <w:rFonts w:hAnsi="標楷體" w:hint="eastAsia"/>
        </w:rPr>
        <w:t>。</w:t>
      </w:r>
      <w:r w:rsidRPr="00017271">
        <w:rPr>
          <w:rFonts w:hint="eastAsia"/>
        </w:rPr>
        <w:t>」惟相較於三軍官校教師，空軍航空技術學院及陸軍專科學校教師發表期刊數明顯較低，兩所專校於</w:t>
      </w:r>
      <w:r>
        <w:rPr>
          <w:rFonts w:hint="eastAsia"/>
        </w:rPr>
        <w:t>教學評量時，</w:t>
      </w:r>
      <w:proofErr w:type="gramStart"/>
      <w:r>
        <w:rPr>
          <w:rFonts w:hint="eastAsia"/>
        </w:rPr>
        <w:t>採</w:t>
      </w:r>
      <w:proofErr w:type="gramEnd"/>
      <w:r>
        <w:rPr>
          <w:rFonts w:hint="eastAsia"/>
        </w:rPr>
        <w:t>計「研究成績」之權重，卻反較三軍官校為高，顯未衡量校內教師之特性。國防部所屬專科學校</w:t>
      </w:r>
      <w:r w:rsidRPr="00CF602E">
        <w:rPr>
          <w:rFonts w:hint="eastAsia"/>
        </w:rPr>
        <w:t>以高比重之「研究成績」作為評量依據限制教師升等，</w:t>
      </w:r>
      <w:r>
        <w:rPr>
          <w:rFonts w:hint="eastAsia"/>
        </w:rPr>
        <w:t>致使</w:t>
      </w:r>
      <w:r w:rsidRPr="005119E4">
        <w:rPr>
          <w:rFonts w:hint="eastAsia"/>
        </w:rPr>
        <w:t>陸軍專科學校</w:t>
      </w:r>
      <w:r>
        <w:rPr>
          <w:rFonts w:hint="eastAsia"/>
        </w:rPr>
        <w:t>及空軍航空技術學院逾8年未升等之教師分別占比</w:t>
      </w:r>
      <w:r w:rsidRPr="008779F2">
        <w:rPr>
          <w:rFonts w:hint="eastAsia"/>
        </w:rPr>
        <w:t>68.97%及26.47%，</w:t>
      </w:r>
      <w:r w:rsidR="00017271" w:rsidRPr="008779F2">
        <w:rPr>
          <w:rFonts w:hint="eastAsia"/>
        </w:rPr>
        <w:t>是以</w:t>
      </w:r>
      <w:proofErr w:type="gramStart"/>
      <w:r w:rsidR="00017271" w:rsidRPr="008779F2">
        <w:rPr>
          <w:rFonts w:hint="eastAsia"/>
        </w:rPr>
        <w:t>攸</w:t>
      </w:r>
      <w:proofErr w:type="gramEnd"/>
      <w:r w:rsidR="00017271" w:rsidRPr="008779F2">
        <w:rPr>
          <w:rFonts w:hint="eastAsia"/>
        </w:rPr>
        <w:t>關教師升等的</w:t>
      </w:r>
      <w:r w:rsidRPr="008779F2">
        <w:rPr>
          <w:rFonts w:hint="eastAsia"/>
        </w:rPr>
        <w:t>各校教學評量標準</w:t>
      </w:r>
      <w:r w:rsidR="00017271" w:rsidRPr="008779F2">
        <w:rPr>
          <w:rFonts w:hint="eastAsia"/>
        </w:rPr>
        <w:t>設定不一</w:t>
      </w:r>
      <w:r w:rsidR="00017271" w:rsidRPr="008779F2">
        <w:rPr>
          <w:rFonts w:hAnsi="標楷體" w:hint="eastAsia"/>
        </w:rPr>
        <w:t>，</w:t>
      </w:r>
      <w:r w:rsidRPr="008779F2">
        <w:rPr>
          <w:rFonts w:hint="eastAsia"/>
        </w:rPr>
        <w:t>確有通盤檢討修正之必要，以符實</w:t>
      </w:r>
      <w:r>
        <w:rPr>
          <w:rFonts w:hint="eastAsia"/>
        </w:rPr>
        <w:t>需。</w:t>
      </w:r>
    </w:p>
    <w:p w:rsidR="00B00305" w:rsidRDefault="00B00305" w:rsidP="00B00305">
      <w:pPr>
        <w:pStyle w:val="a5"/>
      </w:pPr>
    </w:p>
    <w:p w:rsidR="00907C99" w:rsidRDefault="00907C99" w:rsidP="00907C99">
      <w:pPr>
        <w:pStyle w:val="a5"/>
      </w:pPr>
      <w:r>
        <w:rPr>
          <w:rFonts w:hint="eastAsia"/>
        </w:rPr>
        <w:lastRenderedPageBreak/>
        <w:t>國防部專科以上院校8年內未升等教師人數及占比統計表</w:t>
      </w:r>
    </w:p>
    <w:tbl>
      <w:tblPr>
        <w:tblStyle w:val="af9"/>
        <w:tblW w:w="0" w:type="auto"/>
        <w:tblLook w:val="04A0" w:firstRow="1" w:lastRow="0" w:firstColumn="1" w:lastColumn="0" w:noHBand="0" w:noVBand="1"/>
      </w:tblPr>
      <w:tblGrid>
        <w:gridCol w:w="2972"/>
        <w:gridCol w:w="1954"/>
        <w:gridCol w:w="1954"/>
        <w:gridCol w:w="1954"/>
      </w:tblGrid>
      <w:tr w:rsidR="00907C99" w:rsidTr="00907C99">
        <w:tc>
          <w:tcPr>
            <w:tcW w:w="2972" w:type="dxa"/>
            <w:shd w:val="clear" w:color="auto" w:fill="DAEEF3" w:themeFill="accent5" w:themeFillTint="33"/>
          </w:tcPr>
          <w:p w:rsidR="00907C99" w:rsidRPr="00391ED6" w:rsidRDefault="00907C99" w:rsidP="00C07C0E">
            <w:pPr>
              <w:pStyle w:val="5"/>
              <w:numPr>
                <w:ilvl w:val="0"/>
                <w:numId w:val="0"/>
              </w:numPr>
              <w:jc w:val="center"/>
              <w:rPr>
                <w:sz w:val="28"/>
                <w:szCs w:val="28"/>
              </w:rPr>
            </w:pPr>
            <w:r w:rsidRPr="00391ED6">
              <w:rPr>
                <w:rFonts w:hint="eastAsia"/>
                <w:sz w:val="28"/>
                <w:szCs w:val="28"/>
              </w:rPr>
              <w:t>學校名稱</w:t>
            </w:r>
          </w:p>
        </w:tc>
        <w:tc>
          <w:tcPr>
            <w:tcW w:w="1954" w:type="dxa"/>
            <w:shd w:val="clear" w:color="auto" w:fill="DAEEF3" w:themeFill="accent5" w:themeFillTint="33"/>
          </w:tcPr>
          <w:p w:rsidR="00907C99" w:rsidRPr="00391ED6" w:rsidRDefault="00907C99" w:rsidP="00C07C0E">
            <w:pPr>
              <w:pStyle w:val="Default"/>
              <w:jc w:val="center"/>
              <w:rPr>
                <w:sz w:val="28"/>
                <w:szCs w:val="28"/>
              </w:rPr>
            </w:pPr>
            <w:r w:rsidRPr="00391ED6">
              <w:rPr>
                <w:rFonts w:hint="eastAsia"/>
                <w:sz w:val="28"/>
                <w:szCs w:val="28"/>
              </w:rPr>
              <w:t>教師人數</w:t>
            </w:r>
          </w:p>
        </w:tc>
        <w:tc>
          <w:tcPr>
            <w:tcW w:w="1954" w:type="dxa"/>
            <w:shd w:val="clear" w:color="auto" w:fill="DAEEF3" w:themeFill="accent5" w:themeFillTint="33"/>
          </w:tcPr>
          <w:p w:rsidR="00907C99" w:rsidRPr="00391ED6" w:rsidRDefault="00907C99" w:rsidP="00C07C0E">
            <w:pPr>
              <w:pStyle w:val="Default"/>
              <w:ind w:leftChars="-20" w:left="-68"/>
              <w:jc w:val="center"/>
              <w:rPr>
                <w:spacing w:val="-24"/>
                <w:sz w:val="28"/>
                <w:szCs w:val="28"/>
              </w:rPr>
            </w:pPr>
            <w:r w:rsidRPr="00391ED6">
              <w:rPr>
                <w:rFonts w:hint="eastAsia"/>
                <w:spacing w:val="-24"/>
                <w:sz w:val="28"/>
                <w:szCs w:val="28"/>
              </w:rPr>
              <w:t>未升等教師人數</w:t>
            </w:r>
          </w:p>
        </w:tc>
        <w:tc>
          <w:tcPr>
            <w:tcW w:w="1954" w:type="dxa"/>
            <w:shd w:val="clear" w:color="auto" w:fill="DAEEF3" w:themeFill="accent5" w:themeFillTint="33"/>
          </w:tcPr>
          <w:p w:rsidR="00907C99" w:rsidRPr="00391ED6" w:rsidRDefault="00907C99" w:rsidP="00C07C0E">
            <w:pPr>
              <w:pStyle w:val="Default"/>
              <w:ind w:leftChars="-20" w:left="-68"/>
              <w:jc w:val="center"/>
              <w:rPr>
                <w:spacing w:val="-24"/>
                <w:sz w:val="28"/>
                <w:szCs w:val="28"/>
              </w:rPr>
            </w:pPr>
            <w:r w:rsidRPr="00391ED6">
              <w:rPr>
                <w:rFonts w:hint="eastAsia"/>
                <w:spacing w:val="-24"/>
                <w:sz w:val="28"/>
                <w:szCs w:val="28"/>
              </w:rPr>
              <w:t>未升等教師占比</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陸軍官校</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68</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24</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35.29%</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海軍官校</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39</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10</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25.64%</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空軍官校</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40</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9</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22.50%</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國防大學</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203</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25</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12.32%</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國防醫學院</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350</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5</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1.43%</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陸軍專科學校</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116</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80</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68.97</w:t>
            </w:r>
            <w:r w:rsidRPr="00391ED6">
              <w:rPr>
                <w:sz w:val="28"/>
                <w:szCs w:val="28"/>
              </w:rPr>
              <w:t>%</w:t>
            </w:r>
          </w:p>
        </w:tc>
      </w:tr>
      <w:tr w:rsidR="00907C99" w:rsidTr="00907C99">
        <w:tc>
          <w:tcPr>
            <w:tcW w:w="2972" w:type="dxa"/>
          </w:tcPr>
          <w:p w:rsidR="00907C99" w:rsidRPr="00391ED6" w:rsidRDefault="00907C99" w:rsidP="00907C99">
            <w:pPr>
              <w:pStyle w:val="5"/>
              <w:numPr>
                <w:ilvl w:val="0"/>
                <w:numId w:val="0"/>
              </w:numPr>
              <w:rPr>
                <w:sz w:val="28"/>
                <w:szCs w:val="28"/>
              </w:rPr>
            </w:pPr>
            <w:r w:rsidRPr="00391ED6">
              <w:rPr>
                <w:rFonts w:hint="eastAsia"/>
                <w:sz w:val="28"/>
                <w:szCs w:val="28"/>
              </w:rPr>
              <w:t>空軍航空技術學院</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68</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18</w:t>
            </w:r>
          </w:p>
        </w:tc>
        <w:tc>
          <w:tcPr>
            <w:tcW w:w="1954" w:type="dxa"/>
          </w:tcPr>
          <w:p w:rsidR="00907C99" w:rsidRPr="00391ED6" w:rsidRDefault="00907C99" w:rsidP="00907C99">
            <w:pPr>
              <w:pStyle w:val="5"/>
              <w:numPr>
                <w:ilvl w:val="0"/>
                <w:numId w:val="0"/>
              </w:numPr>
              <w:jc w:val="right"/>
              <w:rPr>
                <w:sz w:val="28"/>
                <w:szCs w:val="28"/>
              </w:rPr>
            </w:pPr>
            <w:r w:rsidRPr="00391ED6">
              <w:rPr>
                <w:rFonts w:hint="eastAsia"/>
                <w:sz w:val="28"/>
                <w:szCs w:val="28"/>
              </w:rPr>
              <w:t>26.47%</w:t>
            </w:r>
          </w:p>
        </w:tc>
      </w:tr>
    </w:tbl>
    <w:p w:rsidR="00907C99" w:rsidRPr="00E55A5A" w:rsidRDefault="00907C99" w:rsidP="00907C99">
      <w:pPr>
        <w:pStyle w:val="5"/>
        <w:numPr>
          <w:ilvl w:val="0"/>
          <w:numId w:val="0"/>
        </w:numPr>
        <w:spacing w:line="360" w:lineRule="exact"/>
        <w:rPr>
          <w:sz w:val="24"/>
        </w:rPr>
      </w:pPr>
      <w:r w:rsidRPr="00E55A5A">
        <w:rPr>
          <w:rFonts w:hint="eastAsia"/>
          <w:sz w:val="24"/>
        </w:rPr>
        <w:t>備註：資料統計</w:t>
      </w:r>
      <w:r>
        <w:rPr>
          <w:rFonts w:hint="eastAsia"/>
          <w:sz w:val="24"/>
        </w:rPr>
        <w:t>截</w:t>
      </w:r>
      <w:r w:rsidRPr="00E55A5A">
        <w:rPr>
          <w:rFonts w:hint="eastAsia"/>
          <w:sz w:val="24"/>
        </w:rPr>
        <w:t>至112年3月31日</w:t>
      </w:r>
    </w:p>
    <w:p w:rsidR="00907C99" w:rsidRDefault="00907C99" w:rsidP="00907C99">
      <w:pPr>
        <w:pStyle w:val="5"/>
        <w:numPr>
          <w:ilvl w:val="0"/>
          <w:numId w:val="0"/>
        </w:numPr>
        <w:spacing w:line="360" w:lineRule="exact"/>
        <w:rPr>
          <w:sz w:val="24"/>
        </w:rPr>
      </w:pPr>
      <w:r w:rsidRPr="00E55A5A">
        <w:rPr>
          <w:rFonts w:hint="eastAsia"/>
          <w:sz w:val="24"/>
        </w:rPr>
        <w:t>資料來源：國防部</w:t>
      </w:r>
    </w:p>
    <w:p w:rsidR="001E1A56" w:rsidRDefault="001E1A56" w:rsidP="001E1A56">
      <w:pPr>
        <w:pStyle w:val="3"/>
        <w:numPr>
          <w:ilvl w:val="0"/>
          <w:numId w:val="0"/>
        </w:numPr>
        <w:ind w:left="1302"/>
      </w:pPr>
    </w:p>
    <w:p w:rsidR="00907C99" w:rsidRDefault="00942782" w:rsidP="00790D11">
      <w:pPr>
        <w:pStyle w:val="3"/>
        <w:numPr>
          <w:ilvl w:val="2"/>
          <w:numId w:val="1"/>
        </w:numPr>
        <w:ind w:left="1302"/>
      </w:pPr>
      <w:r>
        <w:rPr>
          <w:rFonts w:hint="eastAsia"/>
        </w:rPr>
        <w:t>又</w:t>
      </w:r>
      <w:r w:rsidR="00907C99" w:rsidRPr="00B60E05">
        <w:rPr>
          <w:rFonts w:hint="eastAsia"/>
        </w:rPr>
        <w:t>三軍官校</w:t>
      </w:r>
      <w:proofErr w:type="gramStart"/>
      <w:r w:rsidR="00907C99">
        <w:rPr>
          <w:rFonts w:hint="eastAsia"/>
        </w:rPr>
        <w:t>校</w:t>
      </w:r>
      <w:proofErr w:type="gramEnd"/>
      <w:r w:rsidR="00907C99" w:rsidRPr="00B60E05">
        <w:rPr>
          <w:rFonts w:hint="eastAsia"/>
        </w:rPr>
        <w:t>內教師可分為軍職及文職教師，軍職教師平</w:t>
      </w:r>
      <w:r w:rsidR="00907C99" w:rsidRPr="001C3A3B">
        <w:rPr>
          <w:rFonts w:hint="eastAsia"/>
        </w:rPr>
        <w:t>均升等年限為5至6年，文職教師平均升等年限為7至7.5年；另查逾8年未升等之教師，身分為軍職教師僅2人，其餘皆為文職教師。對此，國防部說明略</w:t>
      </w:r>
      <w:proofErr w:type="gramStart"/>
      <w:r w:rsidR="00907C99" w:rsidRPr="001C3A3B">
        <w:rPr>
          <w:rFonts w:hint="eastAsia"/>
        </w:rPr>
        <w:t>以</w:t>
      </w:r>
      <w:proofErr w:type="gramEnd"/>
      <w:r w:rsidR="00907C99" w:rsidRPr="001C3A3B">
        <w:rPr>
          <w:rFonts w:hint="eastAsia"/>
        </w:rPr>
        <w:t>：「</w:t>
      </w:r>
      <w:r w:rsidR="00907C99" w:rsidRPr="001C3A3B">
        <w:rPr>
          <w:rFonts w:hAnsi="標楷體" w:hint="eastAsia"/>
          <w:szCs w:val="32"/>
        </w:rPr>
        <w:t>軍職教師本身受到法定役期管制，若未於期限升等，可能面臨調整職務或退伍，文職教師則因受教師法保障，無軍職教師服役年限屆滿須辦理退伍之限制。」據本院112年5月25、26日至三軍官校訪談各校教師，部分文職教師對於逾8年未升等看法</w:t>
      </w:r>
      <w:r w:rsidR="00790D11" w:rsidRPr="001C3A3B">
        <w:rPr>
          <w:rFonts w:hAnsi="標楷體" w:hint="eastAsia"/>
          <w:szCs w:val="32"/>
        </w:rPr>
        <w:t>包括</w:t>
      </w:r>
      <w:r w:rsidR="00907C99" w:rsidRPr="001C3A3B">
        <w:rPr>
          <w:rFonts w:hAnsi="標楷體" w:hint="eastAsia"/>
          <w:szCs w:val="32"/>
        </w:rPr>
        <w:t>：「學校是教學型的大學，沒在做研究，也沒有研究生」</w:t>
      </w:r>
      <w:r w:rsidR="00F05493" w:rsidRPr="001C3A3B">
        <w:rPr>
          <w:rFonts w:hAnsi="標楷體" w:hint="eastAsia"/>
          <w:szCs w:val="32"/>
        </w:rPr>
        <w:t>、</w:t>
      </w:r>
      <w:r w:rsidR="00907C99" w:rsidRPr="001C3A3B">
        <w:rPr>
          <w:rFonts w:hAnsi="標楷體" w:hint="eastAsia"/>
          <w:szCs w:val="32"/>
        </w:rPr>
        <w:t>「因為我們學校教學為主，不是研究型大學，人力也不足」</w:t>
      </w:r>
      <w:r w:rsidR="00F05493" w:rsidRPr="001C3A3B">
        <w:rPr>
          <w:rFonts w:hAnsi="標楷體" w:hint="eastAsia"/>
          <w:szCs w:val="32"/>
        </w:rPr>
        <w:t>、</w:t>
      </w:r>
      <w:r w:rsidR="00907C99" w:rsidRPr="001C3A3B">
        <w:rPr>
          <w:rFonts w:hAnsi="標楷體" w:hint="eastAsia"/>
          <w:szCs w:val="32"/>
        </w:rPr>
        <w:t>「升等耽擱，因為有學校行政的事要忙」</w:t>
      </w:r>
      <w:r w:rsidR="00F05493" w:rsidRPr="001C3A3B">
        <w:rPr>
          <w:rFonts w:hAnsi="標楷體" w:hint="eastAsia"/>
          <w:szCs w:val="32"/>
        </w:rPr>
        <w:t>、</w:t>
      </w:r>
      <w:r w:rsidR="00907C99" w:rsidRPr="001C3A3B">
        <w:rPr>
          <w:rFonts w:hAnsi="標楷體" w:hint="eastAsia"/>
          <w:szCs w:val="32"/>
        </w:rPr>
        <w:t>「剛畢業到校</w:t>
      </w:r>
      <w:r w:rsidR="00907C99" w:rsidRPr="00942782">
        <w:rPr>
          <w:rFonts w:hAnsi="標楷體" w:hint="eastAsia"/>
          <w:szCs w:val="32"/>
        </w:rPr>
        <w:t>有企圖升等，後來結婚，加上這裡也沒有做研究的環境，過了5、6年就沒有這個念頭了，覺得認真教書就可以」</w:t>
      </w:r>
      <w:r w:rsidR="00F05493" w:rsidRPr="001C3A3B">
        <w:rPr>
          <w:rFonts w:hAnsi="標楷體" w:hint="eastAsia"/>
          <w:szCs w:val="32"/>
        </w:rPr>
        <w:t>等語</w:t>
      </w:r>
      <w:r w:rsidR="00907C99" w:rsidRPr="00942782">
        <w:rPr>
          <w:rFonts w:hAnsi="標楷體" w:hint="eastAsia"/>
          <w:szCs w:val="32"/>
        </w:rPr>
        <w:t>。</w:t>
      </w:r>
      <w:proofErr w:type="gramStart"/>
      <w:r w:rsidR="00FC7F42">
        <w:rPr>
          <w:rFonts w:hAnsi="標楷體" w:hint="eastAsia"/>
          <w:szCs w:val="32"/>
        </w:rPr>
        <w:t>三</w:t>
      </w:r>
      <w:proofErr w:type="gramEnd"/>
      <w:r w:rsidR="00FC7F42">
        <w:rPr>
          <w:rFonts w:hAnsi="標楷體" w:hint="eastAsia"/>
          <w:szCs w:val="32"/>
        </w:rPr>
        <w:t>軍官校</w:t>
      </w:r>
      <w:r>
        <w:rPr>
          <w:rFonts w:hAnsi="標楷體" w:hint="eastAsia"/>
          <w:szCs w:val="32"/>
        </w:rPr>
        <w:t>校內文職教師對於升等持保留</w:t>
      </w:r>
      <w:r w:rsidRPr="00017271">
        <w:rPr>
          <w:rFonts w:hAnsi="標楷體" w:hint="eastAsia"/>
          <w:szCs w:val="32"/>
        </w:rPr>
        <w:t>態度，</w:t>
      </w:r>
      <w:r w:rsidR="009154E0" w:rsidRPr="00017271">
        <w:rPr>
          <w:rFonts w:hAnsi="標楷體" w:hint="eastAsia"/>
          <w:szCs w:val="32"/>
        </w:rPr>
        <w:t>未升等</w:t>
      </w:r>
      <w:r w:rsidR="009154E0" w:rsidRPr="00017271">
        <w:rPr>
          <w:rFonts w:hint="eastAsia"/>
        </w:rPr>
        <w:t>的原因態樣繁多</w:t>
      </w:r>
      <w:r w:rsidR="009154E0" w:rsidRPr="00017271">
        <w:rPr>
          <w:rFonts w:hAnsi="標楷體" w:hint="eastAsia"/>
        </w:rPr>
        <w:t>，</w:t>
      </w:r>
      <w:r w:rsidR="00907C99" w:rsidRPr="00017271">
        <w:rPr>
          <w:rFonts w:hint="eastAsia"/>
        </w:rPr>
        <w:t>國防部對於</w:t>
      </w:r>
      <w:r w:rsidR="00C61648" w:rsidRPr="00017271">
        <w:rPr>
          <w:rFonts w:hint="eastAsia"/>
        </w:rPr>
        <w:t>該校</w:t>
      </w:r>
      <w:r w:rsidR="00907C99" w:rsidRPr="00017271">
        <w:rPr>
          <w:rFonts w:hint="eastAsia"/>
        </w:rPr>
        <w:t>校內文職教師職涯發展</w:t>
      </w:r>
      <w:proofErr w:type="gramStart"/>
      <w:r w:rsidR="00907C99" w:rsidRPr="00017271">
        <w:rPr>
          <w:rFonts w:hint="eastAsia"/>
        </w:rPr>
        <w:t>規劃</w:t>
      </w:r>
      <w:proofErr w:type="gramEnd"/>
      <w:r w:rsidR="00907C99" w:rsidRPr="00017271">
        <w:rPr>
          <w:rFonts w:hint="eastAsia"/>
        </w:rPr>
        <w:t>允</w:t>
      </w:r>
      <w:r w:rsidR="009154E0" w:rsidRPr="00017271">
        <w:rPr>
          <w:rFonts w:hint="eastAsia"/>
        </w:rPr>
        <w:t>宜探究其原因困境</w:t>
      </w:r>
      <w:r w:rsidR="009154E0" w:rsidRPr="00017271">
        <w:rPr>
          <w:rFonts w:hAnsi="標楷體" w:hint="eastAsia"/>
        </w:rPr>
        <w:t>，研議</w:t>
      </w:r>
      <w:r w:rsidR="00907C99" w:rsidRPr="00017271">
        <w:rPr>
          <w:rFonts w:hint="eastAsia"/>
        </w:rPr>
        <w:t>更多元</w:t>
      </w:r>
      <w:r w:rsidR="009154E0" w:rsidRPr="00017271">
        <w:rPr>
          <w:rFonts w:hint="eastAsia"/>
        </w:rPr>
        <w:t>鼓勵</w:t>
      </w:r>
      <w:r w:rsidR="00907C99" w:rsidRPr="00017271">
        <w:rPr>
          <w:rFonts w:hint="eastAsia"/>
        </w:rPr>
        <w:t>作法，以利教師持續進修，增益教學量能，確保教學</w:t>
      </w:r>
      <w:r w:rsidR="00907C99" w:rsidRPr="007809C6">
        <w:rPr>
          <w:rFonts w:hint="eastAsia"/>
        </w:rPr>
        <w:t>品質不墜，培育優質國軍骨幹。</w:t>
      </w:r>
    </w:p>
    <w:p w:rsidR="001E1A56" w:rsidRDefault="00942782" w:rsidP="009325B0">
      <w:pPr>
        <w:pStyle w:val="3"/>
        <w:numPr>
          <w:ilvl w:val="2"/>
          <w:numId w:val="1"/>
        </w:numPr>
        <w:ind w:left="1302"/>
      </w:pPr>
      <w:proofErr w:type="gramStart"/>
      <w:r>
        <w:rPr>
          <w:rFonts w:hint="eastAsia"/>
        </w:rPr>
        <w:lastRenderedPageBreak/>
        <w:t>此外，</w:t>
      </w:r>
      <w:proofErr w:type="gramEnd"/>
      <w:r w:rsidR="00907C99" w:rsidRPr="002F6A81">
        <w:rPr>
          <w:rFonts w:hAnsi="標楷體" w:hint="eastAsia"/>
          <w:szCs w:val="32"/>
        </w:rPr>
        <w:t>針對校內提供教師研究資源及研究支持一節，</w:t>
      </w:r>
      <w:r w:rsidR="00C61648" w:rsidRPr="002F6A81">
        <w:rPr>
          <w:rFonts w:hAnsi="標楷體" w:hint="eastAsia"/>
          <w:szCs w:val="32"/>
        </w:rPr>
        <w:t>三軍官校教師</w:t>
      </w:r>
      <w:r w:rsidR="00907C99" w:rsidRPr="002F6A81">
        <w:rPr>
          <w:rFonts w:hAnsi="標楷體" w:hint="eastAsia"/>
          <w:szCs w:val="32"/>
        </w:rPr>
        <w:t>反映內容主要</w:t>
      </w:r>
      <w:r w:rsidR="00790D11" w:rsidRPr="002F6A81">
        <w:rPr>
          <w:rFonts w:hAnsi="標楷體" w:hint="eastAsia"/>
          <w:szCs w:val="32"/>
        </w:rPr>
        <w:t>分為</w:t>
      </w:r>
      <w:r w:rsidR="00907C99" w:rsidRPr="002F6A81">
        <w:rPr>
          <w:rFonts w:hAnsi="標楷體" w:hint="eastAsia"/>
          <w:szCs w:val="32"/>
        </w:rPr>
        <w:t>「對於涉及機密之研究校內未有相關配套措施」</w:t>
      </w:r>
      <w:r w:rsidR="00C61648" w:rsidRPr="002F6A81">
        <w:rPr>
          <w:rFonts w:hAnsi="標楷體" w:hint="eastAsia"/>
          <w:szCs w:val="32"/>
        </w:rPr>
        <w:t>及「校方提供研究資源不足」</w:t>
      </w:r>
      <w:r w:rsidR="00790D11" w:rsidRPr="002F6A81">
        <w:rPr>
          <w:rFonts w:hAnsi="標楷體" w:hint="eastAsia"/>
          <w:szCs w:val="32"/>
        </w:rPr>
        <w:t>兩大類別</w:t>
      </w:r>
      <w:r w:rsidR="00907C99" w:rsidRPr="002F6A81">
        <w:rPr>
          <w:rFonts w:hAnsi="標楷體" w:hint="eastAsia"/>
          <w:szCs w:val="32"/>
        </w:rPr>
        <w:t>，</w:t>
      </w:r>
      <w:r w:rsidR="00C61648" w:rsidRPr="002F6A81">
        <w:rPr>
          <w:rFonts w:hAnsi="標楷體" w:hint="eastAsia"/>
          <w:szCs w:val="32"/>
        </w:rPr>
        <w:t>相關</w:t>
      </w:r>
      <w:r w:rsidR="00907C99" w:rsidRPr="002F6A81">
        <w:rPr>
          <w:rFonts w:hAnsi="標楷體" w:hint="eastAsia"/>
          <w:szCs w:val="32"/>
        </w:rPr>
        <w:t>反映意見簡</w:t>
      </w:r>
      <w:proofErr w:type="gramStart"/>
      <w:r w:rsidR="00907C99" w:rsidRPr="002F6A81">
        <w:rPr>
          <w:rFonts w:hAnsi="標楷體" w:hint="eastAsia"/>
          <w:szCs w:val="32"/>
        </w:rPr>
        <w:t>列</w:t>
      </w:r>
      <w:proofErr w:type="gramEnd"/>
      <w:r w:rsidR="00907C99" w:rsidRPr="002F6A81">
        <w:rPr>
          <w:rFonts w:hAnsi="標楷體" w:hint="eastAsia"/>
          <w:szCs w:val="32"/>
        </w:rPr>
        <w:t>如下表。</w:t>
      </w:r>
      <w:r w:rsidR="00907C99" w:rsidRPr="0005672B">
        <w:rPr>
          <w:rFonts w:hint="eastAsia"/>
        </w:rPr>
        <w:t>針對</w:t>
      </w:r>
      <w:proofErr w:type="gramStart"/>
      <w:r w:rsidR="00907C99" w:rsidRPr="0005672B">
        <w:rPr>
          <w:rFonts w:hint="eastAsia"/>
        </w:rPr>
        <w:t>三</w:t>
      </w:r>
      <w:proofErr w:type="gramEnd"/>
      <w:r w:rsidR="00907C99" w:rsidRPr="0005672B">
        <w:rPr>
          <w:rFonts w:hint="eastAsia"/>
        </w:rPr>
        <w:t>軍官校教師研究內容</w:t>
      </w:r>
      <w:r w:rsidR="00907C99" w:rsidRPr="00017271">
        <w:rPr>
          <w:rFonts w:hint="eastAsia"/>
        </w:rPr>
        <w:t>涉及國防機密，不適合對外發表一節，詢據國防部查復說明，僅以「目前無教師以國防機密研究送審」帶過，卻未表示訂有相關配套措施</w:t>
      </w:r>
      <w:r w:rsidR="009154E0" w:rsidRPr="002F6A81">
        <w:rPr>
          <w:rFonts w:hAnsi="標楷體" w:hint="eastAsia"/>
        </w:rPr>
        <w:t>，有礙</w:t>
      </w:r>
      <w:r w:rsidR="007B72C2" w:rsidRPr="002F6A81">
        <w:rPr>
          <w:rFonts w:hAnsi="標楷體" w:hint="eastAsia"/>
        </w:rPr>
        <w:t>教師發表機密性研究成果</w:t>
      </w:r>
      <w:r w:rsidR="00907C99" w:rsidRPr="00017271">
        <w:rPr>
          <w:rFonts w:hint="eastAsia"/>
        </w:rPr>
        <w:t>。又資料蒐集係研究不可或缺之前置作業，文獻資料取得亦有助於教師研究量能之提升，其所需圖書館資料庫等相關資源，更需校方長期</w:t>
      </w:r>
      <w:proofErr w:type="gramStart"/>
      <w:r w:rsidR="00907C99" w:rsidRPr="00017271">
        <w:rPr>
          <w:rFonts w:hint="eastAsia"/>
        </w:rPr>
        <w:t>挹</w:t>
      </w:r>
      <w:proofErr w:type="gramEnd"/>
      <w:r w:rsidR="00907C99" w:rsidRPr="00017271">
        <w:rPr>
          <w:rFonts w:hint="eastAsia"/>
        </w:rPr>
        <w:t>注支持，持續編列經費以建置校內圖書館資料庫；</w:t>
      </w:r>
      <w:proofErr w:type="gramStart"/>
      <w:r w:rsidR="00907C99" w:rsidRPr="00017271">
        <w:rPr>
          <w:rFonts w:hint="eastAsia"/>
        </w:rPr>
        <w:t>惟查</w:t>
      </w:r>
      <w:proofErr w:type="gramEnd"/>
      <w:r w:rsidR="00907C99" w:rsidRPr="00017271">
        <w:rPr>
          <w:rFonts w:hint="eastAsia"/>
        </w:rPr>
        <w:t>三軍官校圖書館資料庫及期刊資源建置情形，112年空軍官校並無編列校內圖書館資料庫建置之經費，亦無購置相關電子期刊資料庫，致使校內教師研究所需僅能向外校教師借用</w:t>
      </w:r>
      <w:r w:rsidR="007B72C2" w:rsidRPr="00017271">
        <w:rPr>
          <w:rFonts w:hint="eastAsia"/>
        </w:rPr>
        <w:t>，尋求資源</w:t>
      </w:r>
      <w:r w:rsidR="00907C99" w:rsidRPr="00017271">
        <w:rPr>
          <w:rFonts w:hint="eastAsia"/>
        </w:rPr>
        <w:t>，實有欠當。</w:t>
      </w:r>
    </w:p>
    <w:p w:rsidR="00907C99" w:rsidRDefault="00907C99" w:rsidP="00907C99">
      <w:pPr>
        <w:pStyle w:val="a5"/>
      </w:pPr>
      <w:proofErr w:type="gramStart"/>
      <w:r w:rsidRPr="00017271">
        <w:rPr>
          <w:rFonts w:hint="eastAsia"/>
        </w:rPr>
        <w:t>三</w:t>
      </w:r>
      <w:proofErr w:type="gramEnd"/>
      <w:r w:rsidRPr="00017271">
        <w:rPr>
          <w:rFonts w:hint="eastAsia"/>
        </w:rPr>
        <w:t>軍官校教師針對校內提供教師研究支持及資源意見表</w:t>
      </w:r>
    </w:p>
    <w:tbl>
      <w:tblPr>
        <w:tblStyle w:val="af9"/>
        <w:tblW w:w="0" w:type="auto"/>
        <w:tblLook w:val="04A0" w:firstRow="1" w:lastRow="0" w:firstColumn="1" w:lastColumn="0" w:noHBand="0" w:noVBand="1"/>
      </w:tblPr>
      <w:tblGrid>
        <w:gridCol w:w="2220"/>
        <w:gridCol w:w="6614"/>
      </w:tblGrid>
      <w:tr w:rsidR="00907C99" w:rsidTr="00907C99">
        <w:trPr>
          <w:tblHeader/>
        </w:trPr>
        <w:tc>
          <w:tcPr>
            <w:tcW w:w="2220" w:type="dxa"/>
            <w:shd w:val="clear" w:color="auto" w:fill="DAEEF3" w:themeFill="accent5" w:themeFillTint="33"/>
            <w:vAlign w:val="center"/>
          </w:tcPr>
          <w:p w:rsidR="00907C99" w:rsidRPr="00875E41" w:rsidRDefault="00907C99" w:rsidP="00907C99">
            <w:pPr>
              <w:pStyle w:val="4"/>
              <w:numPr>
                <w:ilvl w:val="0"/>
                <w:numId w:val="0"/>
              </w:numPr>
              <w:jc w:val="center"/>
              <w:rPr>
                <w:sz w:val="28"/>
              </w:rPr>
            </w:pPr>
            <w:r w:rsidRPr="00875E41">
              <w:rPr>
                <w:rFonts w:hint="eastAsia"/>
                <w:sz w:val="28"/>
              </w:rPr>
              <w:t>反映事項</w:t>
            </w:r>
          </w:p>
        </w:tc>
        <w:tc>
          <w:tcPr>
            <w:tcW w:w="6614" w:type="dxa"/>
            <w:shd w:val="clear" w:color="auto" w:fill="DAEEF3" w:themeFill="accent5" w:themeFillTint="33"/>
            <w:vAlign w:val="center"/>
          </w:tcPr>
          <w:p w:rsidR="00907C99" w:rsidRPr="00875E41" w:rsidRDefault="00907C99" w:rsidP="00907C99">
            <w:pPr>
              <w:pStyle w:val="4"/>
              <w:numPr>
                <w:ilvl w:val="0"/>
                <w:numId w:val="0"/>
              </w:numPr>
              <w:jc w:val="center"/>
              <w:rPr>
                <w:sz w:val="28"/>
              </w:rPr>
            </w:pPr>
            <w:r w:rsidRPr="00875E41">
              <w:rPr>
                <w:rFonts w:hint="eastAsia"/>
                <w:sz w:val="28"/>
              </w:rPr>
              <w:t>反映內容</w:t>
            </w:r>
          </w:p>
        </w:tc>
      </w:tr>
      <w:tr w:rsidR="00907C99" w:rsidTr="00907C99">
        <w:tc>
          <w:tcPr>
            <w:tcW w:w="2220" w:type="dxa"/>
            <w:vMerge w:val="restart"/>
            <w:vAlign w:val="center"/>
          </w:tcPr>
          <w:p w:rsidR="00907C99" w:rsidRPr="00875E41" w:rsidRDefault="00907C99" w:rsidP="00907C99">
            <w:pPr>
              <w:pStyle w:val="4"/>
              <w:numPr>
                <w:ilvl w:val="0"/>
                <w:numId w:val="0"/>
              </w:numPr>
              <w:rPr>
                <w:sz w:val="28"/>
              </w:rPr>
            </w:pPr>
            <w:r>
              <w:rPr>
                <w:rFonts w:hint="eastAsia"/>
                <w:sz w:val="28"/>
              </w:rPr>
              <w:t>對於涉及機密之研究校內未有相關配套措施</w:t>
            </w:r>
          </w:p>
        </w:tc>
        <w:tc>
          <w:tcPr>
            <w:tcW w:w="6614" w:type="dxa"/>
          </w:tcPr>
          <w:p w:rsidR="00907C99" w:rsidRPr="00875E41" w:rsidRDefault="00907C99" w:rsidP="00907C99">
            <w:pPr>
              <w:pStyle w:val="4"/>
              <w:numPr>
                <w:ilvl w:val="0"/>
                <w:numId w:val="0"/>
              </w:numPr>
              <w:rPr>
                <w:sz w:val="28"/>
              </w:rPr>
            </w:pPr>
            <w:r w:rsidRPr="004D7B54">
              <w:rPr>
                <w:rFonts w:hint="eastAsia"/>
                <w:sz w:val="28"/>
              </w:rPr>
              <w:t>沒辦法升等其中一個原因是因為我們研究的跟部隊有關，但這些研究不適合對外發表</w:t>
            </w:r>
            <w:r>
              <w:rPr>
                <w:rFonts w:hint="eastAsia"/>
                <w:sz w:val="28"/>
              </w:rPr>
              <w:t>。</w:t>
            </w:r>
          </w:p>
        </w:tc>
      </w:tr>
      <w:tr w:rsidR="00907C99" w:rsidTr="00907C99">
        <w:tc>
          <w:tcPr>
            <w:tcW w:w="2220" w:type="dxa"/>
            <w:vMerge/>
          </w:tcPr>
          <w:p w:rsidR="00907C99" w:rsidRPr="00875E41" w:rsidRDefault="00907C99" w:rsidP="00907C99">
            <w:pPr>
              <w:pStyle w:val="4"/>
              <w:numPr>
                <w:ilvl w:val="0"/>
                <w:numId w:val="0"/>
              </w:numPr>
              <w:rPr>
                <w:sz w:val="28"/>
              </w:rPr>
            </w:pPr>
          </w:p>
        </w:tc>
        <w:tc>
          <w:tcPr>
            <w:tcW w:w="6614" w:type="dxa"/>
          </w:tcPr>
          <w:p w:rsidR="00907C99" w:rsidRPr="00875E41" w:rsidRDefault="00907C99" w:rsidP="00907C99">
            <w:pPr>
              <w:pStyle w:val="4"/>
              <w:numPr>
                <w:ilvl w:val="0"/>
                <w:numId w:val="0"/>
              </w:numPr>
              <w:rPr>
                <w:sz w:val="28"/>
              </w:rPr>
            </w:pPr>
            <w:r w:rsidRPr="004D7B54">
              <w:rPr>
                <w:rFonts w:hint="eastAsia"/>
                <w:sz w:val="28"/>
              </w:rPr>
              <w:t>當初我的博士論文再送審的</w:t>
            </w:r>
            <w:proofErr w:type="gramStart"/>
            <w:r w:rsidRPr="004D7B54">
              <w:rPr>
                <w:rFonts w:hint="eastAsia"/>
                <w:sz w:val="28"/>
              </w:rPr>
              <w:t>時候卡關</w:t>
            </w:r>
            <w:proofErr w:type="gramEnd"/>
            <w:r w:rsidRPr="004D7B54">
              <w:rPr>
                <w:rFonts w:hint="eastAsia"/>
                <w:sz w:val="28"/>
              </w:rPr>
              <w:t>，因為校長說我的研究內容</w:t>
            </w:r>
            <w:r>
              <w:rPr>
                <w:rFonts w:hint="eastAsia"/>
                <w:sz w:val="28"/>
              </w:rPr>
              <w:t>是</w:t>
            </w:r>
            <w:r w:rsidRPr="004D7B54">
              <w:rPr>
                <w:rFonts w:hint="eastAsia"/>
                <w:sz w:val="28"/>
              </w:rPr>
              <w:t>國家機密。</w:t>
            </w:r>
          </w:p>
        </w:tc>
      </w:tr>
      <w:tr w:rsidR="00907C99" w:rsidTr="00907C99">
        <w:tc>
          <w:tcPr>
            <w:tcW w:w="2220" w:type="dxa"/>
            <w:vMerge/>
          </w:tcPr>
          <w:p w:rsidR="00907C99" w:rsidRPr="00875E41" w:rsidRDefault="00907C99" w:rsidP="00907C99">
            <w:pPr>
              <w:pStyle w:val="4"/>
              <w:numPr>
                <w:ilvl w:val="0"/>
                <w:numId w:val="0"/>
              </w:numPr>
              <w:rPr>
                <w:sz w:val="28"/>
              </w:rPr>
            </w:pPr>
          </w:p>
        </w:tc>
        <w:tc>
          <w:tcPr>
            <w:tcW w:w="6614" w:type="dxa"/>
          </w:tcPr>
          <w:p w:rsidR="00907C99" w:rsidRPr="00875E41" w:rsidRDefault="00907C99" w:rsidP="00907C99">
            <w:pPr>
              <w:pStyle w:val="4"/>
              <w:numPr>
                <w:ilvl w:val="0"/>
                <w:numId w:val="0"/>
              </w:numPr>
              <w:rPr>
                <w:sz w:val="28"/>
              </w:rPr>
            </w:pPr>
            <w:r w:rsidRPr="004D7B54">
              <w:rPr>
                <w:rFonts w:hint="eastAsia"/>
                <w:sz w:val="28"/>
              </w:rPr>
              <w:t>社會科學跟自然科學研究是有點不一樣的</w:t>
            </w:r>
            <w:r>
              <w:rPr>
                <w:rFonts w:hint="eastAsia"/>
                <w:sz w:val="28"/>
              </w:rPr>
              <w:t>，加上</w:t>
            </w:r>
            <w:r w:rsidRPr="004D7B54">
              <w:rPr>
                <w:rFonts w:hint="eastAsia"/>
                <w:sz w:val="28"/>
              </w:rPr>
              <w:t>國家機密的考量，研究牽扯到特殊機構等等</w:t>
            </w:r>
            <w:r>
              <w:rPr>
                <w:rFonts w:hint="eastAsia"/>
                <w:sz w:val="28"/>
              </w:rPr>
              <w:t>，</w:t>
            </w:r>
            <w:r w:rsidRPr="004D7B54">
              <w:rPr>
                <w:rFonts w:hint="eastAsia"/>
                <w:sz w:val="28"/>
              </w:rPr>
              <w:t>投稿是受挫的</w:t>
            </w:r>
            <w:r>
              <w:rPr>
                <w:rFonts w:hint="eastAsia"/>
                <w:sz w:val="28"/>
              </w:rPr>
              <w:t>。</w:t>
            </w:r>
          </w:p>
        </w:tc>
      </w:tr>
      <w:tr w:rsidR="00907C99" w:rsidTr="00907C99">
        <w:tc>
          <w:tcPr>
            <w:tcW w:w="2220" w:type="dxa"/>
            <w:vMerge w:val="restart"/>
            <w:vAlign w:val="center"/>
          </w:tcPr>
          <w:p w:rsidR="00907C99" w:rsidRPr="00875E41" w:rsidRDefault="00907C99" w:rsidP="00907C99">
            <w:pPr>
              <w:pStyle w:val="4"/>
              <w:numPr>
                <w:ilvl w:val="0"/>
                <w:numId w:val="0"/>
              </w:numPr>
              <w:rPr>
                <w:sz w:val="28"/>
              </w:rPr>
            </w:pPr>
            <w:r>
              <w:rPr>
                <w:rFonts w:hint="eastAsia"/>
                <w:sz w:val="28"/>
              </w:rPr>
              <w:t>校方提供研究資源不足</w:t>
            </w:r>
          </w:p>
        </w:tc>
        <w:tc>
          <w:tcPr>
            <w:tcW w:w="6614" w:type="dxa"/>
          </w:tcPr>
          <w:p w:rsidR="00907C99" w:rsidRPr="00875E41" w:rsidRDefault="00907C99" w:rsidP="00907C99">
            <w:pPr>
              <w:pStyle w:val="4"/>
              <w:numPr>
                <w:ilvl w:val="0"/>
                <w:numId w:val="0"/>
              </w:numPr>
              <w:rPr>
                <w:sz w:val="28"/>
              </w:rPr>
            </w:pPr>
            <w:r w:rsidRPr="00875E41">
              <w:rPr>
                <w:rFonts w:hint="eastAsia"/>
                <w:sz w:val="28"/>
              </w:rPr>
              <w:t>我們學校的圖書館可能因為經費不足，國防部的補助也不是很多，教育部又說我們歸國防部管，所以經費也要從國防部來支出等等。所以我們常常都</w:t>
            </w:r>
            <w:proofErr w:type="gramStart"/>
            <w:r w:rsidRPr="00875E41">
              <w:rPr>
                <w:rFonts w:hint="eastAsia"/>
                <w:sz w:val="28"/>
              </w:rPr>
              <w:t>要跑別的</w:t>
            </w:r>
            <w:proofErr w:type="gramEnd"/>
            <w:r w:rsidRPr="00875E41">
              <w:rPr>
                <w:rFonts w:hint="eastAsia"/>
                <w:sz w:val="28"/>
              </w:rPr>
              <w:t>學校去找資料跟資源</w:t>
            </w:r>
            <w:r>
              <w:rPr>
                <w:rFonts w:hint="eastAsia"/>
                <w:sz w:val="28"/>
              </w:rPr>
              <w:t>。</w:t>
            </w:r>
          </w:p>
        </w:tc>
      </w:tr>
      <w:tr w:rsidR="00907C99" w:rsidTr="00907C99">
        <w:tc>
          <w:tcPr>
            <w:tcW w:w="2220" w:type="dxa"/>
            <w:vMerge/>
            <w:vAlign w:val="center"/>
          </w:tcPr>
          <w:p w:rsidR="00907C99" w:rsidRPr="00875E41" w:rsidRDefault="00907C99" w:rsidP="00907C99">
            <w:pPr>
              <w:pStyle w:val="4"/>
              <w:numPr>
                <w:ilvl w:val="0"/>
                <w:numId w:val="0"/>
              </w:numPr>
              <w:rPr>
                <w:sz w:val="28"/>
              </w:rPr>
            </w:pPr>
          </w:p>
        </w:tc>
        <w:tc>
          <w:tcPr>
            <w:tcW w:w="6614" w:type="dxa"/>
          </w:tcPr>
          <w:p w:rsidR="00907C99" w:rsidRPr="00875E41" w:rsidRDefault="00907C99" w:rsidP="00907C99">
            <w:pPr>
              <w:pStyle w:val="4"/>
              <w:numPr>
                <w:ilvl w:val="0"/>
                <w:numId w:val="0"/>
              </w:numPr>
              <w:rPr>
                <w:sz w:val="28"/>
              </w:rPr>
            </w:pPr>
            <w:r w:rsidRPr="00875E41">
              <w:rPr>
                <w:rFonts w:hint="eastAsia"/>
                <w:sz w:val="28"/>
              </w:rPr>
              <w:t>我是電路設計及半導體專業，而且這裡電腦沒辦法架</w:t>
            </w:r>
            <w:r>
              <w:rPr>
                <w:rFonts w:hint="eastAsia"/>
                <w:sz w:val="28"/>
              </w:rPr>
              <w:t>設</w:t>
            </w:r>
            <w:r w:rsidRPr="00875E41">
              <w:rPr>
                <w:rFonts w:hint="eastAsia"/>
                <w:sz w:val="28"/>
              </w:rPr>
              <w:t>，沒有相關設備，</w:t>
            </w:r>
            <w:r>
              <w:rPr>
                <w:rFonts w:hint="eastAsia"/>
                <w:sz w:val="28"/>
              </w:rPr>
              <w:t>而且</w:t>
            </w:r>
            <w:r w:rsidRPr="00875E41">
              <w:rPr>
                <w:rFonts w:hint="eastAsia"/>
                <w:sz w:val="28"/>
              </w:rPr>
              <w:t>有網管，沒辦法做</w:t>
            </w:r>
            <w:r>
              <w:rPr>
                <w:rFonts w:hint="eastAsia"/>
                <w:sz w:val="28"/>
              </w:rPr>
              <w:t>相關研究。</w:t>
            </w:r>
          </w:p>
        </w:tc>
      </w:tr>
      <w:tr w:rsidR="00907C99" w:rsidTr="00907C99">
        <w:tc>
          <w:tcPr>
            <w:tcW w:w="2220" w:type="dxa"/>
            <w:vMerge/>
            <w:vAlign w:val="center"/>
          </w:tcPr>
          <w:p w:rsidR="00907C99" w:rsidRPr="00875E41" w:rsidRDefault="00907C99" w:rsidP="00907C99">
            <w:pPr>
              <w:pStyle w:val="4"/>
              <w:numPr>
                <w:ilvl w:val="0"/>
                <w:numId w:val="0"/>
              </w:numPr>
              <w:rPr>
                <w:sz w:val="28"/>
              </w:rPr>
            </w:pPr>
          </w:p>
        </w:tc>
        <w:tc>
          <w:tcPr>
            <w:tcW w:w="6614" w:type="dxa"/>
          </w:tcPr>
          <w:p w:rsidR="00907C99" w:rsidRPr="00875E41" w:rsidRDefault="00907C99" w:rsidP="00907C99">
            <w:pPr>
              <w:pStyle w:val="4"/>
              <w:numPr>
                <w:ilvl w:val="0"/>
                <w:numId w:val="0"/>
              </w:numPr>
              <w:rPr>
                <w:sz w:val="28"/>
              </w:rPr>
            </w:pPr>
            <w:r w:rsidRPr="004D7B54">
              <w:rPr>
                <w:rFonts w:hint="eastAsia"/>
                <w:sz w:val="28"/>
              </w:rPr>
              <w:t>現在學校圖書館的</w:t>
            </w:r>
            <w:proofErr w:type="gramStart"/>
            <w:r w:rsidRPr="004D7B54">
              <w:rPr>
                <w:rFonts w:hint="eastAsia"/>
                <w:sz w:val="28"/>
              </w:rPr>
              <w:t>蒐</w:t>
            </w:r>
            <w:proofErr w:type="gramEnd"/>
            <w:r w:rsidRPr="004D7B54">
              <w:rPr>
                <w:rFonts w:hint="eastAsia"/>
                <w:sz w:val="28"/>
              </w:rPr>
              <w:t>尋資料庫，並沒有相關建置。如果有資料搜尋需求都要到其他大學去借。因為圖書資料庫事一年一買，假設今年每有編列經費，我們今年就沒有資料庫可以使用</w:t>
            </w:r>
          </w:p>
        </w:tc>
      </w:tr>
    </w:tbl>
    <w:p w:rsidR="00907C99" w:rsidRPr="00B96315" w:rsidRDefault="00907C99" w:rsidP="00907C99">
      <w:pPr>
        <w:pStyle w:val="5"/>
        <w:numPr>
          <w:ilvl w:val="0"/>
          <w:numId w:val="0"/>
        </w:numPr>
        <w:spacing w:line="360" w:lineRule="exact"/>
        <w:rPr>
          <w:sz w:val="24"/>
        </w:rPr>
      </w:pPr>
      <w:r w:rsidRPr="00B96315">
        <w:rPr>
          <w:rFonts w:hint="eastAsia"/>
          <w:sz w:val="24"/>
        </w:rPr>
        <w:t>資料來源：</w:t>
      </w:r>
      <w:r>
        <w:rPr>
          <w:rFonts w:hint="eastAsia"/>
          <w:sz w:val="24"/>
        </w:rPr>
        <w:t>本院訪談內容</w:t>
      </w:r>
    </w:p>
    <w:p w:rsidR="00B36B45" w:rsidRDefault="00907C99" w:rsidP="00B36B45">
      <w:pPr>
        <w:pStyle w:val="3"/>
      </w:pPr>
      <w:r>
        <w:rPr>
          <w:rFonts w:hint="eastAsia"/>
        </w:rPr>
        <w:t>綜上，</w:t>
      </w:r>
      <w:bookmarkStart w:id="3" w:name="_Hlk144735643"/>
      <w:r w:rsidR="004934DE" w:rsidRPr="004934DE">
        <w:rPr>
          <w:rFonts w:hint="eastAsia"/>
        </w:rPr>
        <w:t>國防部針對專科以上軍事院校教師升等及人事處理相關規定不合理亦不符實需，又</w:t>
      </w:r>
      <w:proofErr w:type="gramStart"/>
      <w:r w:rsidR="004934DE" w:rsidRPr="004934DE">
        <w:rPr>
          <w:rFonts w:hint="eastAsia"/>
        </w:rPr>
        <w:t>該部未提供</w:t>
      </w:r>
      <w:proofErr w:type="gramEnd"/>
      <w:r w:rsidR="004934DE" w:rsidRPr="004934DE">
        <w:rPr>
          <w:rFonts w:hint="eastAsia"/>
        </w:rPr>
        <w:t>適足研究支持及資源，各校教師教學評量標準設定不一，遲未改善教師升等問題，致所屬三軍官校及專科學校逾8年未升等之教師占教師人數</w:t>
      </w:r>
      <w:proofErr w:type="gramStart"/>
      <w:r w:rsidR="004934DE" w:rsidRPr="004934DE">
        <w:rPr>
          <w:rFonts w:hint="eastAsia"/>
        </w:rPr>
        <w:t>4</w:t>
      </w:r>
      <w:proofErr w:type="gramEnd"/>
      <w:r w:rsidR="004934DE" w:rsidRPr="004934DE">
        <w:rPr>
          <w:rFonts w:hint="eastAsia"/>
        </w:rPr>
        <w:t>成以上，影響教學品質。軍事院校係國軍養成教育之重要一環，然國防部對於軍事院校教師職</w:t>
      </w:r>
      <w:proofErr w:type="gramStart"/>
      <w:r w:rsidR="004934DE" w:rsidRPr="004934DE">
        <w:rPr>
          <w:rFonts w:hint="eastAsia"/>
        </w:rPr>
        <w:t>涯</w:t>
      </w:r>
      <w:proofErr w:type="gramEnd"/>
      <w:r w:rsidR="004934DE" w:rsidRPr="004934DE">
        <w:rPr>
          <w:rFonts w:hint="eastAsia"/>
        </w:rPr>
        <w:t>發展相關規劃未積極輔導管控，不利教師持續進修及增益教學品質，核有未當</w:t>
      </w:r>
      <w:r w:rsidR="00403012" w:rsidRPr="00403012">
        <w:rPr>
          <w:rFonts w:hint="eastAsia"/>
        </w:rPr>
        <w:t>。</w:t>
      </w:r>
    </w:p>
    <w:p w:rsidR="00245EEB" w:rsidRPr="00B36B45" w:rsidRDefault="00245EEB" w:rsidP="00245EEB">
      <w:pPr>
        <w:pStyle w:val="3"/>
        <w:numPr>
          <w:ilvl w:val="0"/>
          <w:numId w:val="0"/>
        </w:numPr>
        <w:ind w:left="1361"/>
      </w:pPr>
    </w:p>
    <w:bookmarkEnd w:id="3"/>
    <w:p w:rsidR="00BE6435" w:rsidRPr="005E2E57" w:rsidRDefault="00F87935" w:rsidP="00907C99">
      <w:pPr>
        <w:pStyle w:val="2"/>
        <w:numPr>
          <w:ilvl w:val="1"/>
          <w:numId w:val="1"/>
        </w:numPr>
        <w:ind w:left="1020" w:hanging="680"/>
        <w:rPr>
          <w:b/>
        </w:rPr>
      </w:pPr>
      <w:r w:rsidRPr="005E2E57">
        <w:rPr>
          <w:rFonts w:hint="eastAsia"/>
          <w:b/>
        </w:rPr>
        <w:t>中正預校國中部畢業生直升高中部學生會考成績相較甄選入學學生明顯低落，三軍官校招收之</w:t>
      </w:r>
      <w:proofErr w:type="gramStart"/>
      <w:r w:rsidRPr="005E2E57">
        <w:rPr>
          <w:rFonts w:hint="eastAsia"/>
          <w:b/>
        </w:rPr>
        <w:t>學生學測平均</w:t>
      </w:r>
      <w:proofErr w:type="gramEnd"/>
      <w:r w:rsidRPr="005E2E57">
        <w:rPr>
          <w:rFonts w:hint="eastAsia"/>
          <w:b/>
        </w:rPr>
        <w:t>級分數</w:t>
      </w:r>
      <w:r w:rsidR="00915993">
        <w:rPr>
          <w:rFonts w:hint="eastAsia"/>
          <w:b/>
        </w:rPr>
        <w:t>亦</w:t>
      </w:r>
      <w:r w:rsidRPr="005E2E57">
        <w:rPr>
          <w:rFonts w:hint="eastAsia"/>
          <w:b/>
        </w:rPr>
        <w:t>連年下滑</w:t>
      </w:r>
      <w:r w:rsidR="00DB7AC4" w:rsidRPr="005E2E57">
        <w:rPr>
          <w:rFonts w:hAnsi="標楷體" w:hint="eastAsia"/>
          <w:b/>
        </w:rPr>
        <w:t>，</w:t>
      </w:r>
      <w:r w:rsidR="00A4344A" w:rsidRPr="005E2E57">
        <w:rPr>
          <w:rFonts w:hint="eastAsia"/>
          <w:b/>
        </w:rPr>
        <w:t>且</w:t>
      </w:r>
      <w:r w:rsidRPr="005E2E57">
        <w:rPr>
          <w:rFonts w:hint="eastAsia"/>
          <w:b/>
        </w:rPr>
        <w:t>英語能力普遍低於同年度考生</w:t>
      </w:r>
      <w:r w:rsidR="00915993">
        <w:rPr>
          <w:rFonts w:hint="eastAsia"/>
          <w:b/>
        </w:rPr>
        <w:t>；</w:t>
      </w:r>
      <w:r w:rsidR="00DB7AC4" w:rsidRPr="005E2E57">
        <w:rPr>
          <w:rFonts w:hint="eastAsia"/>
          <w:b/>
        </w:rPr>
        <w:t>各級軍校</w:t>
      </w:r>
      <w:r w:rsidRPr="005E2E57">
        <w:rPr>
          <w:rFonts w:hint="eastAsia"/>
          <w:b/>
        </w:rPr>
        <w:t>校方卻未</w:t>
      </w:r>
      <w:r w:rsidR="00DB7AC4" w:rsidRPr="005E2E57">
        <w:rPr>
          <w:rFonts w:hint="eastAsia"/>
          <w:b/>
        </w:rPr>
        <w:t>致力</w:t>
      </w:r>
      <w:r w:rsidRPr="005E2E57">
        <w:rPr>
          <w:rFonts w:hint="eastAsia"/>
          <w:b/>
        </w:rPr>
        <w:t>於</w:t>
      </w:r>
      <w:r w:rsidR="00DB7AC4" w:rsidRPr="005E2E57">
        <w:rPr>
          <w:rFonts w:hint="eastAsia"/>
          <w:b/>
        </w:rPr>
        <w:t>提升</w:t>
      </w:r>
      <w:r w:rsidRPr="005E2E57">
        <w:rPr>
          <w:rFonts w:hint="eastAsia"/>
          <w:b/>
        </w:rPr>
        <w:t>學生</w:t>
      </w:r>
      <w:r w:rsidR="00DB7AC4" w:rsidRPr="005E2E57">
        <w:rPr>
          <w:rFonts w:hint="eastAsia"/>
          <w:b/>
        </w:rPr>
        <w:t>成績</w:t>
      </w:r>
      <w:r w:rsidR="00DB7AC4" w:rsidRPr="005E2E57">
        <w:rPr>
          <w:rFonts w:hAnsi="標楷體" w:hint="eastAsia"/>
          <w:b/>
        </w:rPr>
        <w:t>，</w:t>
      </w:r>
      <w:r w:rsidR="00DB7AC4" w:rsidRPr="005E2E57">
        <w:rPr>
          <w:rFonts w:hint="eastAsia"/>
          <w:b/>
        </w:rPr>
        <w:t>以及</w:t>
      </w:r>
      <w:r w:rsidRPr="005E2E57">
        <w:rPr>
          <w:rFonts w:hint="eastAsia"/>
          <w:b/>
        </w:rPr>
        <w:t>在校期間提供適足英語教師資源</w:t>
      </w:r>
      <w:r w:rsidR="00DB7AC4" w:rsidRPr="005E2E57">
        <w:rPr>
          <w:rFonts w:hint="eastAsia"/>
          <w:b/>
        </w:rPr>
        <w:t>與鼓勵學</w:t>
      </w:r>
      <w:r w:rsidRPr="005E2E57">
        <w:rPr>
          <w:rFonts w:hint="eastAsia"/>
          <w:b/>
        </w:rPr>
        <w:t>生完成英文能力相關檢定</w:t>
      </w:r>
      <w:r w:rsidR="00DB7AC4" w:rsidRPr="005E2E57">
        <w:rPr>
          <w:rFonts w:hAnsi="標楷體" w:hint="eastAsia"/>
          <w:b/>
        </w:rPr>
        <w:t>，</w:t>
      </w:r>
      <w:proofErr w:type="gramStart"/>
      <w:r w:rsidR="00271DA6" w:rsidRPr="005E2E57">
        <w:rPr>
          <w:rFonts w:hAnsi="標楷體" w:hint="eastAsia"/>
          <w:b/>
        </w:rPr>
        <w:t>俾</w:t>
      </w:r>
      <w:proofErr w:type="gramEnd"/>
      <w:r w:rsidR="00271DA6" w:rsidRPr="005E2E57">
        <w:rPr>
          <w:rFonts w:hAnsi="標楷體" w:hint="eastAsia"/>
          <w:b/>
        </w:rPr>
        <w:t>提升學生學習動力與英語能力</w:t>
      </w:r>
      <w:r w:rsidRPr="005E2E57">
        <w:rPr>
          <w:rFonts w:hint="eastAsia"/>
          <w:b/>
        </w:rPr>
        <w:t>。國防部</w:t>
      </w:r>
      <w:r w:rsidR="00271DA6" w:rsidRPr="005E2E57">
        <w:rPr>
          <w:rFonts w:hint="eastAsia"/>
          <w:b/>
        </w:rPr>
        <w:t>對於</w:t>
      </w:r>
      <w:r w:rsidRPr="005E2E57">
        <w:rPr>
          <w:rFonts w:hint="eastAsia"/>
          <w:b/>
        </w:rPr>
        <w:t>各</w:t>
      </w:r>
      <w:r w:rsidR="00271DA6" w:rsidRPr="005E2E57">
        <w:rPr>
          <w:rFonts w:hint="eastAsia"/>
          <w:b/>
        </w:rPr>
        <w:t>級</w:t>
      </w:r>
      <w:r w:rsidRPr="005E2E57">
        <w:rPr>
          <w:rFonts w:hint="eastAsia"/>
          <w:b/>
        </w:rPr>
        <w:t>軍事院校</w:t>
      </w:r>
      <w:r w:rsidR="00271DA6" w:rsidRPr="005E2E57">
        <w:rPr>
          <w:rFonts w:hint="eastAsia"/>
          <w:b/>
        </w:rPr>
        <w:t>未能積極提升</w:t>
      </w:r>
      <w:r w:rsidRPr="005E2E57">
        <w:rPr>
          <w:rFonts w:hint="eastAsia"/>
          <w:b/>
        </w:rPr>
        <w:t>學生學業素質</w:t>
      </w:r>
      <w:r w:rsidR="00403012">
        <w:rPr>
          <w:rFonts w:hAnsi="標楷體" w:hint="eastAsia"/>
          <w:b/>
        </w:rPr>
        <w:t>，</w:t>
      </w:r>
      <w:r w:rsidR="00403012">
        <w:rPr>
          <w:rFonts w:hint="eastAsia"/>
          <w:b/>
        </w:rPr>
        <w:t>亦</w:t>
      </w:r>
      <w:r w:rsidRPr="005E2E57">
        <w:rPr>
          <w:rFonts w:hint="eastAsia"/>
          <w:b/>
        </w:rPr>
        <w:t>疏於</w:t>
      </w:r>
      <w:r w:rsidR="009169BF" w:rsidRPr="005E2E57">
        <w:rPr>
          <w:rFonts w:hint="eastAsia"/>
          <w:b/>
        </w:rPr>
        <w:t>督導</w:t>
      </w:r>
      <w:r w:rsidRPr="005E2E57">
        <w:rPr>
          <w:rFonts w:hint="eastAsia"/>
          <w:b/>
        </w:rPr>
        <w:t>管控，</w:t>
      </w:r>
      <w:r w:rsidR="00403012">
        <w:rPr>
          <w:rFonts w:hint="eastAsia"/>
          <w:b/>
        </w:rPr>
        <w:t>顯</w:t>
      </w:r>
      <w:r w:rsidRPr="005E2E57">
        <w:rPr>
          <w:rFonts w:hint="eastAsia"/>
          <w:b/>
        </w:rPr>
        <w:t>有不</w:t>
      </w:r>
      <w:r w:rsidR="00271DA6" w:rsidRPr="005E2E57">
        <w:rPr>
          <w:rFonts w:hint="eastAsia"/>
          <w:b/>
        </w:rPr>
        <w:t>當</w:t>
      </w:r>
      <w:r w:rsidRPr="005E2E57">
        <w:rPr>
          <w:rFonts w:hint="eastAsia"/>
          <w:b/>
        </w:rPr>
        <w:t>。</w:t>
      </w:r>
    </w:p>
    <w:p w:rsidR="00907C99" w:rsidRDefault="00907C99" w:rsidP="002225F3">
      <w:pPr>
        <w:pStyle w:val="3"/>
        <w:numPr>
          <w:ilvl w:val="2"/>
          <w:numId w:val="1"/>
        </w:numPr>
        <w:rPr>
          <w:sz w:val="24"/>
          <w:szCs w:val="24"/>
        </w:rPr>
      </w:pPr>
      <w:bookmarkStart w:id="4" w:name="_Hlk144394957"/>
      <w:bookmarkEnd w:id="2"/>
      <w:r>
        <w:rPr>
          <w:rFonts w:hint="eastAsia"/>
        </w:rPr>
        <w:t>中正</w:t>
      </w:r>
      <w:r w:rsidRPr="00A92325">
        <w:rPr>
          <w:rFonts w:hint="eastAsia"/>
        </w:rPr>
        <w:t>預校</w:t>
      </w:r>
      <w:proofErr w:type="gramStart"/>
      <w:r w:rsidRPr="00A92325">
        <w:rPr>
          <w:rFonts w:hint="eastAsia"/>
        </w:rPr>
        <w:t>國中部於</w:t>
      </w:r>
      <w:r>
        <w:rPr>
          <w:rFonts w:hint="eastAsia"/>
        </w:rPr>
        <w:t>旨在</w:t>
      </w:r>
      <w:proofErr w:type="gramEnd"/>
      <w:r>
        <w:rPr>
          <w:rFonts w:hint="eastAsia"/>
        </w:rPr>
        <w:t>培養與奠基</w:t>
      </w:r>
      <w:r w:rsidRPr="001E39E1">
        <w:rPr>
          <w:rFonts w:hint="eastAsia"/>
        </w:rPr>
        <w:t>國軍</w:t>
      </w:r>
      <w:proofErr w:type="gramStart"/>
      <w:r w:rsidRPr="001E39E1">
        <w:rPr>
          <w:rFonts w:hint="eastAsia"/>
        </w:rPr>
        <w:t>未來長役</w:t>
      </w:r>
      <w:proofErr w:type="gramEnd"/>
      <w:r w:rsidRPr="001E39E1">
        <w:rPr>
          <w:rFonts w:hint="eastAsia"/>
        </w:rPr>
        <w:t>期基層軍官</w:t>
      </w:r>
      <w:r>
        <w:rPr>
          <w:rFonts w:hint="eastAsia"/>
        </w:rPr>
        <w:t>，該校國中部自</w:t>
      </w:r>
      <w:proofErr w:type="gramStart"/>
      <w:r w:rsidRPr="00A92325">
        <w:rPr>
          <w:rFonts w:hint="eastAsia"/>
        </w:rPr>
        <w:t>107年</w:t>
      </w:r>
      <w:r>
        <w:rPr>
          <w:rFonts w:hint="eastAsia"/>
        </w:rPr>
        <w:t>起</w:t>
      </w:r>
      <w:r w:rsidRPr="00A92325">
        <w:rPr>
          <w:rFonts w:hint="eastAsia"/>
        </w:rPr>
        <w:t>復</w:t>
      </w:r>
      <w:proofErr w:type="gramEnd"/>
      <w:r w:rsidRPr="00A92325">
        <w:rPr>
          <w:rFonts w:hint="eastAsia"/>
        </w:rPr>
        <w:t>招</w:t>
      </w:r>
      <w:r>
        <w:rPr>
          <w:rFonts w:hint="eastAsia"/>
        </w:rPr>
        <w:t>，</w:t>
      </w:r>
      <w:r w:rsidRPr="00F14D5D">
        <w:rPr>
          <w:rFonts w:hint="eastAsia"/>
        </w:rPr>
        <w:t>110年為國中部畢</w:t>
      </w:r>
      <w:r w:rsidRPr="00110222">
        <w:rPr>
          <w:rFonts w:hint="eastAsia"/>
        </w:rPr>
        <w:t>業生直升至高中部之第</w:t>
      </w:r>
      <w:r w:rsidR="002F6A81" w:rsidRPr="00110222">
        <w:rPr>
          <w:rFonts w:hint="eastAsia"/>
        </w:rPr>
        <w:t>1</w:t>
      </w:r>
      <w:r w:rsidRPr="00110222">
        <w:rPr>
          <w:rFonts w:hint="eastAsia"/>
        </w:rPr>
        <w:t>年，各年度國中部畢業生直升高中部人數皆為187人，占全年度學生人數1/3；又</w:t>
      </w:r>
      <w:proofErr w:type="gramStart"/>
      <w:r w:rsidRPr="00110222">
        <w:rPr>
          <w:rFonts w:hint="eastAsia"/>
        </w:rPr>
        <w:t>詢</w:t>
      </w:r>
      <w:proofErr w:type="gramEnd"/>
      <w:r w:rsidRPr="00110222">
        <w:rPr>
          <w:rFonts w:hint="eastAsia"/>
        </w:rPr>
        <w:t>據國防部查復說明，110年及111年中正預校國中部畢業生分別為205人</w:t>
      </w:r>
      <w:r w:rsidRPr="001E39E1">
        <w:rPr>
          <w:rFonts w:hint="eastAsia"/>
        </w:rPr>
        <w:t>及192人，</w:t>
      </w:r>
      <w:r>
        <w:rPr>
          <w:rFonts w:hint="eastAsia"/>
        </w:rPr>
        <w:t>即</w:t>
      </w:r>
      <w:proofErr w:type="gramStart"/>
      <w:r w:rsidRPr="001E39E1">
        <w:rPr>
          <w:rFonts w:hint="eastAsia"/>
        </w:rPr>
        <w:t>9</w:t>
      </w:r>
      <w:proofErr w:type="gramEnd"/>
      <w:r w:rsidRPr="001E39E1">
        <w:rPr>
          <w:rFonts w:hint="eastAsia"/>
        </w:rPr>
        <w:t>成以上</w:t>
      </w:r>
      <w:r>
        <w:rPr>
          <w:rFonts w:hint="eastAsia"/>
        </w:rPr>
        <w:t>國中部畢業生</w:t>
      </w:r>
      <w:r w:rsidRPr="001E39E1">
        <w:rPr>
          <w:rFonts w:hint="eastAsia"/>
        </w:rPr>
        <w:t>皆能直升進入高中部就讀</w:t>
      </w:r>
      <w:r>
        <w:rPr>
          <w:rFonts w:hint="eastAsia"/>
        </w:rPr>
        <w:t>。經查</w:t>
      </w:r>
      <w:r>
        <w:rPr>
          <w:rFonts w:hint="eastAsia"/>
        </w:rPr>
        <w:lastRenderedPageBreak/>
        <w:t>中正預校對於</w:t>
      </w:r>
      <w:r w:rsidRPr="001E39E1">
        <w:rPr>
          <w:rFonts w:hint="eastAsia"/>
        </w:rPr>
        <w:t>國中部</w:t>
      </w:r>
      <w:r>
        <w:rPr>
          <w:rFonts w:hint="eastAsia"/>
        </w:rPr>
        <w:t>畢業生</w:t>
      </w:r>
      <w:r w:rsidRPr="001E39E1">
        <w:rPr>
          <w:rFonts w:hint="eastAsia"/>
        </w:rPr>
        <w:t>直升高中部</w:t>
      </w:r>
      <w:r>
        <w:rPr>
          <w:rFonts w:hint="eastAsia"/>
        </w:rPr>
        <w:t>之規定，</w:t>
      </w:r>
      <w:r w:rsidRPr="001E39E1">
        <w:rPr>
          <w:rFonts w:hint="eastAsia"/>
        </w:rPr>
        <w:t>僅設定體格及在校</w:t>
      </w:r>
      <w:r>
        <w:rPr>
          <w:rFonts w:hint="eastAsia"/>
        </w:rPr>
        <w:t>懲處</w:t>
      </w:r>
      <w:r w:rsidRPr="001E39E1">
        <w:rPr>
          <w:rFonts w:hint="eastAsia"/>
        </w:rPr>
        <w:t>限制，在校學業成績</w:t>
      </w:r>
      <w:r>
        <w:rPr>
          <w:rFonts w:hint="eastAsia"/>
        </w:rPr>
        <w:t>並未列入直升之考核標準，故國中部學生無論學業成績良</w:t>
      </w:r>
      <w:proofErr w:type="gramStart"/>
      <w:r>
        <w:rPr>
          <w:rFonts w:hint="eastAsia"/>
        </w:rPr>
        <w:t>窳</w:t>
      </w:r>
      <w:proofErr w:type="gramEnd"/>
      <w:r>
        <w:rPr>
          <w:rFonts w:hint="eastAsia"/>
        </w:rPr>
        <w:t>，皆能順利進入高中部繼續就讀，尚難以激發學生精進自身學業之動機。統計110年及111年中正預校國中部畢業生直升高中部學生及對外甄選入學學生之</w:t>
      </w:r>
      <w:r w:rsidRPr="00A00139">
        <w:rPr>
          <w:rFonts w:hint="eastAsia"/>
        </w:rPr>
        <w:t>國中教育</w:t>
      </w:r>
      <w:r>
        <w:rPr>
          <w:rFonts w:hint="eastAsia"/>
        </w:rPr>
        <w:t>會考</w:t>
      </w:r>
      <w:r w:rsidRPr="00A00139">
        <w:rPr>
          <w:rStyle w:val="aff1"/>
        </w:rPr>
        <w:footnoteReference w:id="5"/>
      </w:r>
      <w:r>
        <w:rPr>
          <w:rFonts w:hint="eastAsia"/>
        </w:rPr>
        <w:t>(下稱會考)成績，可知</w:t>
      </w:r>
      <w:r w:rsidRPr="00C802AD">
        <w:rPr>
          <w:rFonts w:hint="eastAsia"/>
        </w:rPr>
        <w:t>中正預校國中部畢業生直升高中部者</w:t>
      </w:r>
      <w:r w:rsidR="00403012">
        <w:rPr>
          <w:rFonts w:hAnsi="標楷體" w:hint="eastAsia"/>
        </w:rPr>
        <w:t>，</w:t>
      </w:r>
      <w:r w:rsidRPr="00C802AD">
        <w:rPr>
          <w:rFonts w:hint="eastAsia"/>
        </w:rPr>
        <w:t>相較甄選入學者之會考成績明顯較低</w:t>
      </w:r>
      <w:r w:rsidR="00CC093B">
        <w:rPr>
          <w:rFonts w:hint="eastAsia"/>
        </w:rPr>
        <w:t>，</w:t>
      </w:r>
      <w:r>
        <w:rPr>
          <w:rFonts w:hint="eastAsia"/>
        </w:rPr>
        <w:t>顯示中正預校國中部畢業生學業表現</w:t>
      </w:r>
      <w:r w:rsidRPr="00C802AD">
        <w:rPr>
          <w:rFonts w:hint="eastAsia"/>
        </w:rPr>
        <w:t>明顯</w:t>
      </w:r>
      <w:r>
        <w:rPr>
          <w:rFonts w:hint="eastAsia"/>
        </w:rPr>
        <w:t>較</w:t>
      </w:r>
      <w:r w:rsidRPr="00C802AD">
        <w:rPr>
          <w:rFonts w:hint="eastAsia"/>
        </w:rPr>
        <w:t>差</w:t>
      </w:r>
      <w:r>
        <w:rPr>
          <w:rFonts w:hint="eastAsia"/>
        </w:rPr>
        <w:t>，該校國中部教學品質及辦學成效亟待提升。</w:t>
      </w:r>
    </w:p>
    <w:p w:rsidR="00907C99" w:rsidRDefault="00907C99" w:rsidP="00907C99">
      <w:pPr>
        <w:pStyle w:val="3"/>
        <w:numPr>
          <w:ilvl w:val="2"/>
          <w:numId w:val="1"/>
        </w:numPr>
      </w:pPr>
      <w:r>
        <w:rPr>
          <w:rFonts w:hint="eastAsia"/>
        </w:rPr>
        <w:t>國防部</w:t>
      </w:r>
      <w:proofErr w:type="gramStart"/>
      <w:r>
        <w:rPr>
          <w:rFonts w:hint="eastAsia"/>
        </w:rPr>
        <w:t>三</w:t>
      </w:r>
      <w:proofErr w:type="gramEnd"/>
      <w:r>
        <w:rPr>
          <w:rFonts w:hint="eastAsia"/>
        </w:rPr>
        <w:t>軍官校招生對象係為</w:t>
      </w:r>
      <w:r w:rsidRPr="00F02048">
        <w:rPr>
          <w:rFonts w:hint="eastAsia"/>
        </w:rPr>
        <w:t>年滿17至22歲，國內公(私)立高級中等學校畢業或同等學歷，並取得當年度</w:t>
      </w:r>
      <w:r>
        <w:rPr>
          <w:rFonts w:hint="eastAsia"/>
        </w:rPr>
        <w:t>大學學科能力測驗</w:t>
      </w:r>
      <w:r>
        <w:rPr>
          <w:rStyle w:val="aff1"/>
        </w:rPr>
        <w:footnoteReference w:id="6"/>
      </w:r>
      <w:r>
        <w:rPr>
          <w:rFonts w:hint="eastAsia"/>
        </w:rPr>
        <w:t>(下</w:t>
      </w:r>
      <w:proofErr w:type="gramStart"/>
      <w:r>
        <w:rPr>
          <w:rFonts w:hint="eastAsia"/>
        </w:rPr>
        <w:t>稱</w:t>
      </w:r>
      <w:r w:rsidRPr="00F02048">
        <w:rPr>
          <w:rFonts w:hint="eastAsia"/>
        </w:rPr>
        <w:t>學</w:t>
      </w:r>
      <w:proofErr w:type="gramEnd"/>
      <w:r w:rsidRPr="00F02048">
        <w:rPr>
          <w:rFonts w:hint="eastAsia"/>
        </w:rPr>
        <w:t>測</w:t>
      </w:r>
      <w:r>
        <w:rPr>
          <w:rFonts w:hint="eastAsia"/>
        </w:rPr>
        <w:t>)</w:t>
      </w:r>
      <w:r w:rsidRPr="00F02048">
        <w:rPr>
          <w:rFonts w:hint="eastAsia"/>
        </w:rPr>
        <w:t>成績</w:t>
      </w:r>
      <w:r>
        <w:rPr>
          <w:rFonts w:hint="eastAsia"/>
        </w:rPr>
        <w:t>者</w:t>
      </w:r>
      <w:r w:rsidRPr="00F02048">
        <w:rPr>
          <w:rFonts w:hint="eastAsia"/>
        </w:rPr>
        <w:t>。</w:t>
      </w:r>
      <w:r>
        <w:rPr>
          <w:rFonts w:hint="eastAsia"/>
        </w:rPr>
        <w:t>統計</w:t>
      </w:r>
      <w:proofErr w:type="gramStart"/>
      <w:r w:rsidRPr="00DB58CC">
        <w:rPr>
          <w:rFonts w:hint="eastAsia"/>
        </w:rPr>
        <w:t>三</w:t>
      </w:r>
      <w:proofErr w:type="gramEnd"/>
      <w:r w:rsidRPr="00DB58CC">
        <w:rPr>
          <w:rFonts w:hint="eastAsia"/>
        </w:rPr>
        <w:t>軍官校108年至111年招收學生之入學學測各科目平均級分數，</w:t>
      </w:r>
      <w:r>
        <w:rPr>
          <w:rFonts w:hint="eastAsia"/>
        </w:rPr>
        <w:t>三軍官校入學學生</w:t>
      </w:r>
      <w:r w:rsidRPr="00DB58CC">
        <w:rPr>
          <w:rFonts w:hint="eastAsia"/>
        </w:rPr>
        <w:t>國文、英文、數學三科目平均級分數普遍落</w:t>
      </w:r>
      <w:proofErr w:type="gramStart"/>
      <w:r w:rsidRPr="00DB58CC">
        <w:rPr>
          <w:rFonts w:hint="eastAsia"/>
        </w:rPr>
        <w:t>在均標</w:t>
      </w:r>
      <w:proofErr w:type="gramEnd"/>
      <w:r w:rsidRPr="00DB58CC">
        <w:rPr>
          <w:rFonts w:hint="eastAsia"/>
        </w:rPr>
        <w:t>及後標；</w:t>
      </w:r>
      <w:r>
        <w:rPr>
          <w:rFonts w:hint="eastAsia"/>
        </w:rPr>
        <w:t>而</w:t>
      </w:r>
      <w:proofErr w:type="gramStart"/>
      <w:r>
        <w:rPr>
          <w:rFonts w:hint="eastAsia"/>
        </w:rPr>
        <w:t>111</w:t>
      </w:r>
      <w:proofErr w:type="gramEnd"/>
      <w:r>
        <w:rPr>
          <w:rFonts w:hint="eastAsia"/>
        </w:rPr>
        <w:t>年度入學之</w:t>
      </w:r>
      <w:r w:rsidRPr="00DB58CC">
        <w:rPr>
          <w:rFonts w:hint="eastAsia"/>
        </w:rPr>
        <w:t>陸軍官校</w:t>
      </w:r>
      <w:r>
        <w:rPr>
          <w:rFonts w:hint="eastAsia"/>
        </w:rPr>
        <w:t>及空軍官校社會組學生，其國文平均級分數及英文平均級分數，</w:t>
      </w:r>
      <w:proofErr w:type="gramStart"/>
      <w:r>
        <w:rPr>
          <w:rFonts w:hint="eastAsia"/>
        </w:rPr>
        <w:t>甚竟</w:t>
      </w:r>
      <w:r w:rsidRPr="00DB58CC">
        <w:rPr>
          <w:rFonts w:hint="eastAsia"/>
        </w:rPr>
        <w:t>僅達</w:t>
      </w:r>
      <w:proofErr w:type="gramEnd"/>
      <w:r w:rsidRPr="00DB58CC">
        <w:rPr>
          <w:rFonts w:hint="eastAsia"/>
        </w:rPr>
        <w:t>底標</w:t>
      </w:r>
      <w:r>
        <w:rPr>
          <w:rFonts w:hint="eastAsia"/>
        </w:rPr>
        <w:t>。</w:t>
      </w:r>
      <w:proofErr w:type="gramStart"/>
      <w:r>
        <w:rPr>
          <w:rFonts w:hint="eastAsia"/>
        </w:rPr>
        <w:t>三</w:t>
      </w:r>
      <w:proofErr w:type="gramEnd"/>
      <w:r>
        <w:rPr>
          <w:rFonts w:hint="eastAsia"/>
        </w:rPr>
        <w:t>軍官校入學學生學科能力普遍未達該年度考生平</w:t>
      </w:r>
      <w:r>
        <w:rPr>
          <w:rFonts w:hint="eastAsia"/>
        </w:rPr>
        <w:lastRenderedPageBreak/>
        <w:t>均水準，且檢視108至111年三軍官校各校系國文、英文、數學三科目加總級分數，亦有成績連年下滑之情形</w:t>
      </w:r>
      <w:r w:rsidRPr="00DB58CC">
        <w:rPr>
          <w:rFonts w:hint="eastAsia"/>
        </w:rPr>
        <w:t>。</w:t>
      </w:r>
    </w:p>
    <w:p w:rsidR="00907C99" w:rsidRPr="00403012" w:rsidRDefault="00907C99" w:rsidP="00907C99">
      <w:pPr>
        <w:pStyle w:val="3"/>
        <w:numPr>
          <w:ilvl w:val="2"/>
          <w:numId w:val="1"/>
        </w:numPr>
      </w:pPr>
      <w:r>
        <w:rPr>
          <w:rFonts w:hint="eastAsia"/>
        </w:rPr>
        <w:t>據本院112年5月25、26日至三軍官校訪談校內教師，對於各校招生情形及學生在學表現，教師提出以下看法：「招生越來越困難，國防部要求的人數會有一定的名額，因此現在入學的分數沒有以前那麼高」</w:t>
      </w:r>
      <w:r w:rsidR="00A06E02" w:rsidRPr="002F6A81">
        <w:rPr>
          <w:rFonts w:hAnsi="標楷體" w:hint="eastAsia"/>
        </w:rPr>
        <w:t>、</w:t>
      </w:r>
      <w:r>
        <w:rPr>
          <w:rFonts w:hint="eastAsia"/>
        </w:rPr>
        <w:t>「課程不能當太</w:t>
      </w:r>
      <w:proofErr w:type="gramStart"/>
      <w:r>
        <w:rPr>
          <w:rFonts w:hint="eastAsia"/>
        </w:rPr>
        <w:t>兇</w:t>
      </w:r>
      <w:proofErr w:type="gramEnd"/>
      <w:r>
        <w:rPr>
          <w:rFonts w:hint="eastAsia"/>
        </w:rPr>
        <w:t>，因為每年國軍編制人數是固定的，畢業生人數不能差太</w:t>
      </w:r>
      <w:r w:rsidRPr="001C3A3B">
        <w:rPr>
          <w:rFonts w:hint="eastAsia"/>
        </w:rPr>
        <w:t>多」</w:t>
      </w:r>
      <w:r w:rsidR="00A06E02" w:rsidRPr="001C3A3B">
        <w:rPr>
          <w:rFonts w:hAnsi="標楷體" w:hint="eastAsia"/>
        </w:rPr>
        <w:t>、</w:t>
      </w:r>
      <w:r w:rsidRPr="001C3A3B">
        <w:rPr>
          <w:rFonts w:hint="eastAsia"/>
        </w:rPr>
        <w:t>「</w:t>
      </w:r>
      <w:r>
        <w:rPr>
          <w:rFonts w:hint="eastAsia"/>
        </w:rPr>
        <w:t>每任校長都有不同做</w:t>
      </w:r>
      <w:r w:rsidRPr="001C3A3B">
        <w:rPr>
          <w:rFonts w:hint="eastAsia"/>
        </w:rPr>
        <w:t>法，但注重教育的校長其實沒有那麼多。學生因為有</w:t>
      </w:r>
      <w:proofErr w:type="gramStart"/>
      <w:r w:rsidRPr="001C3A3B">
        <w:rPr>
          <w:rFonts w:hint="eastAsia"/>
        </w:rPr>
        <w:t>打飯班</w:t>
      </w:r>
      <w:proofErr w:type="gramEnd"/>
      <w:r w:rsidRPr="001C3A3B">
        <w:rPr>
          <w:rFonts w:hint="eastAsia"/>
        </w:rPr>
        <w:t>、洗碗班等等，會早退或遲到，很影響上課」</w:t>
      </w:r>
      <w:r w:rsidR="00A06E02" w:rsidRPr="001C3A3B">
        <w:rPr>
          <w:rFonts w:hAnsi="標楷體" w:hint="eastAsia"/>
        </w:rPr>
        <w:t>、</w:t>
      </w:r>
      <w:r w:rsidRPr="001C3A3B">
        <w:rPr>
          <w:rFonts w:hint="eastAsia"/>
        </w:rPr>
        <w:t>「這裡學生認為讀書沒有用，軍人認為重要的是</w:t>
      </w:r>
      <w:r>
        <w:rPr>
          <w:rFonts w:hint="eastAsia"/>
        </w:rPr>
        <w:t>領導統御這部分」。</w:t>
      </w:r>
      <w:proofErr w:type="gramStart"/>
      <w:r w:rsidRPr="005B61F6">
        <w:rPr>
          <w:rFonts w:hint="eastAsia"/>
        </w:rPr>
        <w:t>三</w:t>
      </w:r>
      <w:proofErr w:type="gramEnd"/>
      <w:r w:rsidRPr="005B61F6">
        <w:rPr>
          <w:rFonts w:hint="eastAsia"/>
        </w:rPr>
        <w:t>軍官校軍事正期班旨在培育國軍指揮、科技及參謀軍官，對於各校學生基本學業能力更應嚴加把關，以提升國軍素質</w:t>
      </w:r>
      <w:r w:rsidR="00D565BB">
        <w:rPr>
          <w:rFonts w:hAnsi="標楷體" w:hint="eastAsia"/>
        </w:rPr>
        <w:t>。</w:t>
      </w:r>
      <w:proofErr w:type="gramStart"/>
      <w:r w:rsidRPr="005B61F6">
        <w:rPr>
          <w:rFonts w:hint="eastAsia"/>
        </w:rPr>
        <w:t>惟礙於</w:t>
      </w:r>
      <w:proofErr w:type="gramEnd"/>
      <w:r w:rsidRPr="005B61F6">
        <w:rPr>
          <w:rFonts w:hint="eastAsia"/>
        </w:rPr>
        <w:t>員額編制，三軍官校各年度招生入學人數、畢業任官人數皆有固定數量編制；加之校方對於學生軍事專業知能及軍事紀律養成之重視與要求</w:t>
      </w:r>
      <w:r w:rsidRPr="00403012">
        <w:rPr>
          <w:rFonts w:hint="eastAsia"/>
        </w:rPr>
        <w:t>遠勝於基礎學業知識培養，致使</w:t>
      </w:r>
      <w:proofErr w:type="gramStart"/>
      <w:r w:rsidRPr="00403012">
        <w:rPr>
          <w:rFonts w:hint="eastAsia"/>
        </w:rPr>
        <w:t>三</w:t>
      </w:r>
      <w:proofErr w:type="gramEnd"/>
      <w:r w:rsidRPr="00403012">
        <w:rPr>
          <w:rFonts w:hint="eastAsia"/>
        </w:rPr>
        <w:t>軍官校對於學業表現不佳之學生難以於入學前篩選過濾，亦不易於入學後汰除</w:t>
      </w:r>
      <w:r w:rsidR="00D565BB" w:rsidRPr="00403012">
        <w:rPr>
          <w:rFonts w:hAnsi="標楷體" w:hint="eastAsia"/>
        </w:rPr>
        <w:t>，</w:t>
      </w:r>
      <w:r w:rsidR="00D565BB" w:rsidRPr="00403012">
        <w:rPr>
          <w:rFonts w:hint="eastAsia"/>
        </w:rPr>
        <w:t>國防部允應正視</w:t>
      </w:r>
      <w:r w:rsidRPr="00403012">
        <w:rPr>
          <w:rFonts w:hint="eastAsia"/>
        </w:rPr>
        <w:t>。</w:t>
      </w:r>
    </w:p>
    <w:p w:rsidR="00C10394" w:rsidRPr="00A12D5C" w:rsidRDefault="00B36B45" w:rsidP="002225F3">
      <w:pPr>
        <w:pStyle w:val="3"/>
        <w:numPr>
          <w:ilvl w:val="2"/>
          <w:numId w:val="1"/>
        </w:numPr>
        <w:rPr>
          <w:sz w:val="24"/>
          <w:szCs w:val="24"/>
        </w:rPr>
      </w:pPr>
      <w:r w:rsidRPr="00403012">
        <w:rPr>
          <w:rFonts w:hint="eastAsia"/>
        </w:rPr>
        <w:t>為面對全球化及國際化浪潮，我國自107年起發展2030雙語政策，積極推動雙語教育。</w:t>
      </w:r>
      <w:proofErr w:type="gramStart"/>
      <w:r w:rsidR="00D42CAC" w:rsidRPr="00403012">
        <w:rPr>
          <w:rFonts w:hint="eastAsia"/>
        </w:rPr>
        <w:t>惟查國防部三</w:t>
      </w:r>
      <w:proofErr w:type="gramEnd"/>
      <w:r w:rsidR="00D42CAC" w:rsidRPr="00403012">
        <w:rPr>
          <w:rFonts w:hint="eastAsia"/>
        </w:rPr>
        <w:t>軍官校英語師資情形，外籍英語教師之師生比明顯不足，海軍官校及空</w:t>
      </w:r>
      <w:proofErr w:type="gramStart"/>
      <w:r w:rsidR="00D42CAC" w:rsidRPr="00403012">
        <w:rPr>
          <w:rFonts w:hint="eastAsia"/>
        </w:rPr>
        <w:t>軍官校僅</w:t>
      </w:r>
      <w:proofErr w:type="gramEnd"/>
      <w:r w:rsidR="00D42CAC" w:rsidRPr="00403012">
        <w:rPr>
          <w:rFonts w:hint="eastAsia"/>
        </w:rPr>
        <w:t>各編制外籍英語教師1名，陸軍</w:t>
      </w:r>
      <w:proofErr w:type="gramStart"/>
      <w:r w:rsidR="00D42CAC" w:rsidRPr="00403012">
        <w:rPr>
          <w:rFonts w:hint="eastAsia"/>
        </w:rPr>
        <w:t>官校甚</w:t>
      </w:r>
      <w:proofErr w:type="gramEnd"/>
      <w:r w:rsidR="00D42CAC" w:rsidRPr="00403012">
        <w:rPr>
          <w:rFonts w:hint="eastAsia"/>
        </w:rPr>
        <w:t>無外籍英語教師之編制。</w:t>
      </w:r>
      <w:r w:rsidR="00D565BB" w:rsidRPr="00403012">
        <w:rPr>
          <w:rFonts w:hint="eastAsia"/>
        </w:rPr>
        <w:t>另</w:t>
      </w:r>
      <w:r w:rsidR="00D42CAC" w:rsidRPr="00403012">
        <w:rPr>
          <w:rFonts w:hint="eastAsia"/>
        </w:rPr>
        <w:t>據三軍官校教師表示：「在這裡當老師最大的壓力就是恨鐵不成鋼。英文是學生最大的壓力」、「學生的程度多半是在中後段，在課程理解上或是要</w:t>
      </w:r>
      <w:proofErr w:type="gramStart"/>
      <w:r w:rsidR="00D42CAC" w:rsidRPr="00403012">
        <w:rPr>
          <w:rFonts w:hint="eastAsia"/>
        </w:rPr>
        <w:t>深入，</w:t>
      </w:r>
      <w:proofErr w:type="gramEnd"/>
      <w:r w:rsidR="00D42CAC" w:rsidRPr="00403012">
        <w:rPr>
          <w:rFonts w:hint="eastAsia"/>
        </w:rPr>
        <w:t>都會比較難一點」</w:t>
      </w:r>
      <w:r w:rsidR="00D565BB" w:rsidRPr="00403012">
        <w:rPr>
          <w:rFonts w:hint="eastAsia"/>
        </w:rPr>
        <w:t>等語，顯見在三軍官校中推動英語教</w:t>
      </w:r>
      <w:r w:rsidR="00D565BB" w:rsidRPr="00403012">
        <w:rPr>
          <w:rFonts w:hint="eastAsia"/>
        </w:rPr>
        <w:lastRenderedPageBreak/>
        <w:t>育確實存在困難</w:t>
      </w:r>
      <w:r w:rsidR="00D565BB" w:rsidRPr="00403012">
        <w:rPr>
          <w:rFonts w:hAnsi="標楷體" w:hint="eastAsia"/>
        </w:rPr>
        <w:t>。</w:t>
      </w:r>
      <w:proofErr w:type="gramStart"/>
      <w:r w:rsidR="00D565BB" w:rsidRPr="00403012">
        <w:rPr>
          <w:rFonts w:hAnsi="標楷體" w:hint="eastAsia"/>
        </w:rPr>
        <w:t>再者，</w:t>
      </w:r>
      <w:proofErr w:type="gramEnd"/>
      <w:r w:rsidR="00D565BB" w:rsidRPr="00403012">
        <w:rPr>
          <w:rFonts w:hAnsi="標楷體" w:hint="eastAsia"/>
        </w:rPr>
        <w:t>經</w:t>
      </w:r>
      <w:r w:rsidRPr="00403012">
        <w:rPr>
          <w:rFonts w:hint="eastAsia"/>
        </w:rPr>
        <w:t>檢視三軍官校</w:t>
      </w:r>
      <w:r w:rsidR="005E2E57" w:rsidRPr="00403012">
        <w:rPr>
          <w:rFonts w:hint="eastAsia"/>
        </w:rPr>
        <w:t>108年至111年各年度入學</w:t>
      </w:r>
      <w:r w:rsidRPr="00403012">
        <w:rPr>
          <w:rFonts w:hint="eastAsia"/>
        </w:rPr>
        <w:t>學生英文科目平均級分數，除</w:t>
      </w:r>
      <w:proofErr w:type="gramStart"/>
      <w:r w:rsidRPr="00403012">
        <w:rPr>
          <w:rFonts w:hint="eastAsia"/>
        </w:rPr>
        <w:t>10</w:t>
      </w:r>
      <w:proofErr w:type="gramEnd"/>
      <w:r w:rsidRPr="00403012">
        <w:rPr>
          <w:rFonts w:hint="eastAsia"/>
        </w:rPr>
        <w:t>9年度海軍</w:t>
      </w:r>
      <w:r>
        <w:rPr>
          <w:rFonts w:hint="eastAsia"/>
        </w:rPr>
        <w:t>官校不分系入學學生平均英文級分數達</w:t>
      </w:r>
      <w:proofErr w:type="gramStart"/>
      <w:r>
        <w:rPr>
          <w:rFonts w:hint="eastAsia"/>
        </w:rPr>
        <w:t>均標</w:t>
      </w:r>
      <w:proofErr w:type="gramEnd"/>
      <w:r>
        <w:rPr>
          <w:rFonts w:hint="eastAsia"/>
        </w:rPr>
        <w:t>外，其餘各年度各校系所入學學生平均英文級分數僅達後標，</w:t>
      </w:r>
      <w:proofErr w:type="gramStart"/>
      <w:r>
        <w:rPr>
          <w:rFonts w:hint="eastAsia"/>
        </w:rPr>
        <w:t>11</w:t>
      </w:r>
      <w:proofErr w:type="gramEnd"/>
      <w:r>
        <w:rPr>
          <w:rFonts w:hint="eastAsia"/>
        </w:rPr>
        <w:t>1年度空軍官校社會組入學學生平均英文級分數更</w:t>
      </w:r>
      <w:proofErr w:type="gramStart"/>
      <w:r>
        <w:rPr>
          <w:rFonts w:hint="eastAsia"/>
        </w:rPr>
        <w:t>僅達底</w:t>
      </w:r>
      <w:proofErr w:type="gramEnd"/>
      <w:r>
        <w:rPr>
          <w:rFonts w:hint="eastAsia"/>
        </w:rPr>
        <w:t>標，意即三軍官校入學學生</w:t>
      </w:r>
      <w:r w:rsidR="005E2E57">
        <w:rPr>
          <w:rFonts w:hint="eastAsia"/>
        </w:rPr>
        <w:t>平均</w:t>
      </w:r>
      <w:r>
        <w:rPr>
          <w:rFonts w:hint="eastAsia"/>
        </w:rPr>
        <w:t>英文能力</w:t>
      </w:r>
      <w:r w:rsidR="005E2E57">
        <w:rPr>
          <w:rFonts w:hint="eastAsia"/>
        </w:rPr>
        <w:t>，</w:t>
      </w:r>
      <w:r>
        <w:rPr>
          <w:rFonts w:hint="eastAsia"/>
        </w:rPr>
        <w:t>普遍未達同年度考生之平均水準。又據國防部查復說明，</w:t>
      </w:r>
      <w:r w:rsidRPr="005126AD">
        <w:rPr>
          <w:rFonts w:hint="eastAsia"/>
        </w:rPr>
        <w:t>目前</w:t>
      </w:r>
      <w:proofErr w:type="gramStart"/>
      <w:r w:rsidRPr="005126AD">
        <w:rPr>
          <w:rFonts w:hint="eastAsia"/>
        </w:rPr>
        <w:t>三</w:t>
      </w:r>
      <w:proofErr w:type="gramEnd"/>
      <w:r w:rsidRPr="005126AD">
        <w:rPr>
          <w:rFonts w:hint="eastAsia"/>
        </w:rPr>
        <w:t>軍官校正期班</w:t>
      </w:r>
      <w:proofErr w:type="gramStart"/>
      <w:r w:rsidRPr="005126AD">
        <w:rPr>
          <w:rFonts w:hint="eastAsia"/>
        </w:rPr>
        <w:t>學生均無設</w:t>
      </w:r>
      <w:proofErr w:type="gramEnd"/>
      <w:r w:rsidRPr="005126AD">
        <w:rPr>
          <w:rFonts w:hint="eastAsia"/>
        </w:rPr>
        <w:t>定英文檢定畢業門檻</w:t>
      </w:r>
      <w:r>
        <w:rPr>
          <w:rFonts w:hint="eastAsia"/>
        </w:rPr>
        <w:t>，</w:t>
      </w:r>
      <w:r w:rsidRPr="005126AD">
        <w:rPr>
          <w:rFonts w:hint="eastAsia"/>
        </w:rPr>
        <w:t>統計107年至112年</w:t>
      </w:r>
      <w:r>
        <w:rPr>
          <w:rFonts w:hint="eastAsia"/>
        </w:rPr>
        <w:t>三軍官校</w:t>
      </w:r>
      <w:r w:rsidRPr="005126AD">
        <w:rPr>
          <w:rFonts w:hint="eastAsia"/>
        </w:rPr>
        <w:t>畢業生通過全民英檢檢定情形</w:t>
      </w:r>
      <w:r>
        <w:rPr>
          <w:rFonts w:hint="eastAsia"/>
        </w:rPr>
        <w:t>，除109年及111年海</w:t>
      </w:r>
      <w:r w:rsidRPr="00403012">
        <w:rPr>
          <w:rFonts w:hint="eastAsia"/>
        </w:rPr>
        <w:t>軍官校畢業生通過全民英檢初級檢定(含以上)者比率達</w:t>
      </w:r>
      <w:proofErr w:type="gramStart"/>
      <w:r w:rsidRPr="00403012">
        <w:rPr>
          <w:rFonts w:hint="eastAsia"/>
        </w:rPr>
        <w:t>4</w:t>
      </w:r>
      <w:proofErr w:type="gramEnd"/>
      <w:r w:rsidRPr="00403012">
        <w:rPr>
          <w:rFonts w:hint="eastAsia"/>
        </w:rPr>
        <w:t>成外，各年度三軍官校畢業生</w:t>
      </w:r>
      <w:proofErr w:type="gramStart"/>
      <w:r w:rsidR="002225F3">
        <w:rPr>
          <w:rFonts w:hint="eastAsia"/>
        </w:rPr>
        <w:t>8</w:t>
      </w:r>
      <w:proofErr w:type="gramEnd"/>
      <w:r w:rsidR="002225F3">
        <w:rPr>
          <w:rFonts w:hint="eastAsia"/>
        </w:rPr>
        <w:t>成以上沒有</w:t>
      </w:r>
      <w:r w:rsidRPr="00403012">
        <w:rPr>
          <w:rFonts w:hint="eastAsia"/>
        </w:rPr>
        <w:t>相關英文檢定</w:t>
      </w:r>
      <w:r w:rsidR="002225F3">
        <w:rPr>
          <w:rFonts w:hint="eastAsia"/>
        </w:rPr>
        <w:t>，各校學生英文能力仍有大幅改善之空間。</w:t>
      </w:r>
    </w:p>
    <w:p w:rsidR="00907C99" w:rsidRDefault="00907C99" w:rsidP="00907C99">
      <w:pPr>
        <w:pStyle w:val="3"/>
        <w:numPr>
          <w:ilvl w:val="2"/>
          <w:numId w:val="1"/>
        </w:numPr>
        <w:ind w:left="1276"/>
      </w:pPr>
      <w:r w:rsidRPr="00915993">
        <w:rPr>
          <w:rFonts w:hint="eastAsia"/>
        </w:rPr>
        <w:t>綜上，</w:t>
      </w:r>
      <w:r w:rsidR="004934DE" w:rsidRPr="004934DE">
        <w:rPr>
          <w:rFonts w:hint="eastAsia"/>
        </w:rPr>
        <w:t>中正預校國中部畢業生直升高中部學生會考成績相較甄選入學學生明顯低落，三軍官校招收之</w:t>
      </w:r>
      <w:proofErr w:type="gramStart"/>
      <w:r w:rsidR="004934DE" w:rsidRPr="004934DE">
        <w:rPr>
          <w:rFonts w:hint="eastAsia"/>
        </w:rPr>
        <w:t>學生學測平均</w:t>
      </w:r>
      <w:proofErr w:type="gramEnd"/>
      <w:r w:rsidR="004934DE" w:rsidRPr="004934DE">
        <w:rPr>
          <w:rFonts w:hint="eastAsia"/>
        </w:rPr>
        <w:t>級分數亦連年下滑，且英語能力普遍低於同年度考生；各級軍校校方卻未致力於提升學生成績，以及在校期間提供適足英語教師資源與鼓勵學生完成英文能力相關檢定，</w:t>
      </w:r>
      <w:proofErr w:type="gramStart"/>
      <w:r w:rsidR="004934DE" w:rsidRPr="004934DE">
        <w:rPr>
          <w:rFonts w:hint="eastAsia"/>
        </w:rPr>
        <w:t>俾</w:t>
      </w:r>
      <w:proofErr w:type="gramEnd"/>
      <w:r w:rsidR="004934DE" w:rsidRPr="004934DE">
        <w:rPr>
          <w:rFonts w:hint="eastAsia"/>
        </w:rPr>
        <w:t>提升學生學習動力與英語能力。國防部對於各級軍事院校未能積極提升學生學業素質，亦疏於督導管控，顯有不當</w:t>
      </w:r>
      <w:r w:rsidRPr="00915993">
        <w:rPr>
          <w:rFonts w:hint="eastAsia"/>
        </w:rPr>
        <w:t>。</w:t>
      </w:r>
    </w:p>
    <w:p w:rsidR="00245EEB" w:rsidRPr="00915993" w:rsidRDefault="00245EEB" w:rsidP="00245EEB">
      <w:pPr>
        <w:pStyle w:val="3"/>
        <w:numPr>
          <w:ilvl w:val="0"/>
          <w:numId w:val="0"/>
        </w:numPr>
        <w:ind w:left="1276"/>
      </w:pPr>
    </w:p>
    <w:p w:rsidR="000146D0" w:rsidRPr="00915993" w:rsidRDefault="00915993" w:rsidP="00C47F36">
      <w:pPr>
        <w:pStyle w:val="2"/>
        <w:numPr>
          <w:ilvl w:val="1"/>
          <w:numId w:val="1"/>
        </w:numPr>
        <w:ind w:left="993"/>
        <w:rPr>
          <w:rFonts w:ascii="Times New Roman" w:hAnsi="Times New Roman"/>
          <w:b/>
        </w:rPr>
      </w:pPr>
      <w:bookmarkStart w:id="5" w:name="_Hlk147137285"/>
      <w:r w:rsidRPr="00915993">
        <w:rPr>
          <w:rFonts w:hint="eastAsia"/>
          <w:b/>
        </w:rPr>
        <w:t>國防部所屬</w:t>
      </w:r>
      <w:proofErr w:type="gramStart"/>
      <w:r w:rsidRPr="00915993">
        <w:rPr>
          <w:rFonts w:hint="eastAsia"/>
          <w:b/>
        </w:rPr>
        <w:t>三</w:t>
      </w:r>
      <w:proofErr w:type="gramEnd"/>
      <w:r w:rsidRPr="00915993">
        <w:rPr>
          <w:rFonts w:hint="eastAsia"/>
          <w:b/>
        </w:rPr>
        <w:t>軍官校學生退學比率持續居高，且在學學生抱有休學或退學想法者人數</w:t>
      </w:r>
      <w:r w:rsidR="00094A30">
        <w:rPr>
          <w:rFonts w:hint="eastAsia"/>
          <w:b/>
        </w:rPr>
        <w:t>較</w:t>
      </w:r>
      <w:r w:rsidRPr="00915993">
        <w:rPr>
          <w:rFonts w:hint="eastAsia"/>
          <w:b/>
        </w:rPr>
        <w:t>多，然校方未</w:t>
      </w:r>
      <w:r>
        <w:rPr>
          <w:rFonts w:hint="eastAsia"/>
          <w:b/>
        </w:rPr>
        <w:t>責</w:t>
      </w:r>
      <w:r w:rsidR="00C61648">
        <w:rPr>
          <w:rFonts w:hint="eastAsia"/>
          <w:b/>
        </w:rPr>
        <w:t>成</w:t>
      </w:r>
      <w:r w:rsidRPr="00915993">
        <w:rPr>
          <w:rFonts w:hint="eastAsia"/>
          <w:b/>
        </w:rPr>
        <w:t>專</w:t>
      </w:r>
      <w:r>
        <w:rPr>
          <w:rFonts w:hint="eastAsia"/>
          <w:b/>
        </w:rPr>
        <w:t>職</w:t>
      </w:r>
      <w:r w:rsidRPr="00915993">
        <w:rPr>
          <w:rFonts w:hint="eastAsia"/>
          <w:b/>
        </w:rPr>
        <w:t>輔導人員介入，提供專業心理輔導與支持，且學生使用校內心理輔導資源者僅占少數，</w:t>
      </w:r>
      <w:r w:rsidR="00094A30">
        <w:rPr>
          <w:rFonts w:hint="eastAsia"/>
          <w:b/>
        </w:rPr>
        <w:t>足</w:t>
      </w:r>
      <w:r w:rsidRPr="00915993">
        <w:rPr>
          <w:rFonts w:hint="eastAsia"/>
          <w:b/>
        </w:rPr>
        <w:t>見校方心輔資源建置與暢通仍有改進空間</w:t>
      </w:r>
      <w:r w:rsidR="00F20DB4">
        <w:rPr>
          <w:rFonts w:hint="eastAsia"/>
          <w:b/>
        </w:rPr>
        <w:t>；</w:t>
      </w:r>
      <w:r w:rsidR="0031273D">
        <w:rPr>
          <w:rFonts w:hint="eastAsia"/>
          <w:b/>
        </w:rPr>
        <w:t>另外</w:t>
      </w:r>
      <w:proofErr w:type="gramStart"/>
      <w:r w:rsidR="0031273D">
        <w:rPr>
          <w:rFonts w:hint="eastAsia"/>
          <w:b/>
        </w:rPr>
        <w:t>三</w:t>
      </w:r>
      <w:proofErr w:type="gramEnd"/>
      <w:r w:rsidR="0031273D">
        <w:rPr>
          <w:rFonts w:hint="eastAsia"/>
          <w:b/>
        </w:rPr>
        <w:t>軍官校教學資源不足，不利教師及學生進修，校長也欠缺教學專長與熱情，致整體教學環境未達理想。</w:t>
      </w:r>
      <w:r w:rsidRPr="00915993">
        <w:rPr>
          <w:rFonts w:hint="eastAsia"/>
          <w:b/>
        </w:rPr>
        <w:t>國防部允</w:t>
      </w:r>
      <w:r w:rsidR="00403012">
        <w:rPr>
          <w:rFonts w:hint="eastAsia"/>
          <w:b/>
        </w:rPr>
        <w:t>宜</w:t>
      </w:r>
      <w:r w:rsidRPr="00915993">
        <w:rPr>
          <w:rFonts w:hint="eastAsia"/>
          <w:b/>
        </w:rPr>
        <w:t>加強</w:t>
      </w:r>
      <w:r w:rsidRPr="00915993">
        <w:rPr>
          <w:rFonts w:hint="eastAsia"/>
          <w:b/>
        </w:rPr>
        <w:lastRenderedPageBreak/>
        <w:t>督導所屬軍事院校落實心輔資源系統</w:t>
      </w:r>
      <w:r w:rsidR="0031273D">
        <w:rPr>
          <w:rFonts w:hint="eastAsia"/>
          <w:b/>
        </w:rPr>
        <w:t>及教學環境、教學資源改善。</w:t>
      </w:r>
    </w:p>
    <w:bookmarkEnd w:id="5"/>
    <w:p w:rsidR="003F635F" w:rsidRPr="00403012" w:rsidRDefault="0067284D" w:rsidP="005068D3">
      <w:pPr>
        <w:pStyle w:val="3"/>
      </w:pPr>
      <w:r w:rsidRPr="00F87935">
        <w:rPr>
          <w:rFonts w:hint="eastAsia"/>
        </w:rPr>
        <w:t>查108年至111年入學就讀</w:t>
      </w:r>
      <w:r>
        <w:rPr>
          <w:rFonts w:hint="eastAsia"/>
        </w:rPr>
        <w:t>國防部所屬軍事院校者，各年度平均退學比率在13.3%至16.1%</w:t>
      </w:r>
      <w:proofErr w:type="gramStart"/>
      <w:r>
        <w:rPr>
          <w:rFonts w:hint="eastAsia"/>
        </w:rPr>
        <w:t>之間，</w:t>
      </w:r>
      <w:proofErr w:type="gramEnd"/>
      <w:r>
        <w:rPr>
          <w:rFonts w:hint="eastAsia"/>
        </w:rPr>
        <w:t>其中又以就讀三</w:t>
      </w:r>
      <w:proofErr w:type="gramStart"/>
      <w:r>
        <w:rPr>
          <w:rFonts w:hint="eastAsia"/>
        </w:rPr>
        <w:t>軍官校者退</w:t>
      </w:r>
      <w:proofErr w:type="gramEnd"/>
      <w:r>
        <w:rPr>
          <w:rFonts w:hint="eastAsia"/>
        </w:rPr>
        <w:t>學比率最高，各年度</w:t>
      </w:r>
      <w:r w:rsidRPr="00F87935">
        <w:rPr>
          <w:rFonts w:hint="eastAsia"/>
        </w:rPr>
        <w:t>退學比率</w:t>
      </w:r>
      <w:r>
        <w:rPr>
          <w:rFonts w:hint="eastAsia"/>
        </w:rPr>
        <w:t>在</w:t>
      </w:r>
      <w:r w:rsidRPr="00F87935">
        <w:rPr>
          <w:rFonts w:hint="eastAsia"/>
        </w:rPr>
        <w:t>14.9%至19.8%之間</w:t>
      </w:r>
      <w:r>
        <w:rPr>
          <w:rFonts w:hint="eastAsia"/>
        </w:rPr>
        <w:t>。以111年入學者為例，陸軍官校學生當年度退學率</w:t>
      </w:r>
      <w:r w:rsidRPr="00403012">
        <w:rPr>
          <w:rFonts w:hint="eastAsia"/>
        </w:rPr>
        <w:t>高達32.7%，空軍官校及海軍官校則分別為26.9%及16.6%，</w:t>
      </w:r>
      <w:r w:rsidR="00C802C7" w:rsidRPr="00403012">
        <w:rPr>
          <w:rFonts w:hint="eastAsia"/>
        </w:rPr>
        <w:t>高退學率確實為軍校招生所應面對的嚴正問題</w:t>
      </w:r>
      <w:r w:rsidRPr="00403012">
        <w:rPr>
          <w:rFonts w:hint="eastAsia"/>
        </w:rPr>
        <w:t>。</w:t>
      </w:r>
    </w:p>
    <w:p w:rsidR="00C10394" w:rsidRPr="009445DD" w:rsidRDefault="0067284D" w:rsidP="00C10394">
      <w:pPr>
        <w:pStyle w:val="3"/>
        <w:numPr>
          <w:ilvl w:val="2"/>
          <w:numId w:val="1"/>
        </w:numPr>
      </w:pPr>
      <w:r w:rsidRPr="009445DD">
        <w:rPr>
          <w:rFonts w:hint="eastAsia"/>
        </w:rPr>
        <w:t>經國防部統計，108年至111年入學就讀</w:t>
      </w:r>
      <w:proofErr w:type="gramStart"/>
      <w:r w:rsidRPr="009445DD">
        <w:rPr>
          <w:rFonts w:hint="eastAsia"/>
        </w:rPr>
        <w:t>三</w:t>
      </w:r>
      <w:proofErr w:type="gramEnd"/>
      <w:r w:rsidRPr="009445DD">
        <w:rPr>
          <w:rFonts w:hint="eastAsia"/>
        </w:rPr>
        <w:t>軍官校學生退學原因，以志趣不合為退學原因最</w:t>
      </w:r>
      <w:proofErr w:type="gramStart"/>
      <w:r w:rsidRPr="009445DD">
        <w:rPr>
          <w:rFonts w:hint="eastAsia"/>
        </w:rPr>
        <w:t>大宗</w:t>
      </w:r>
      <w:proofErr w:type="gramEnd"/>
      <w:r w:rsidRPr="009445DD">
        <w:rPr>
          <w:rFonts w:hint="eastAsia"/>
        </w:rPr>
        <w:t>，占各年度退學人數</w:t>
      </w:r>
      <w:proofErr w:type="gramStart"/>
      <w:r w:rsidRPr="009445DD">
        <w:rPr>
          <w:rFonts w:hint="eastAsia"/>
        </w:rPr>
        <w:t>8</w:t>
      </w:r>
      <w:proofErr w:type="gramEnd"/>
      <w:r w:rsidRPr="009445DD">
        <w:rPr>
          <w:rFonts w:hint="eastAsia"/>
        </w:rPr>
        <w:t>成以上。針對</w:t>
      </w:r>
      <w:proofErr w:type="gramStart"/>
      <w:r w:rsidRPr="009445DD">
        <w:rPr>
          <w:rFonts w:hint="eastAsia"/>
        </w:rPr>
        <w:t>三</w:t>
      </w:r>
      <w:proofErr w:type="gramEnd"/>
      <w:r w:rsidRPr="009445DD">
        <w:rPr>
          <w:rFonts w:hint="eastAsia"/>
        </w:rPr>
        <w:t>軍官校學生退學情形，國防部表示相關精進作為包括：由每班班長、副班長擔任心輔尖兵，協助幹部掌握及發掘新生問題；遴選具服務熱忱及表現優良學生</w:t>
      </w:r>
      <w:proofErr w:type="gramStart"/>
      <w:r w:rsidRPr="009445DD">
        <w:rPr>
          <w:rFonts w:hint="eastAsia"/>
        </w:rPr>
        <w:t>擔任各心輔</w:t>
      </w:r>
      <w:proofErr w:type="gramEnd"/>
      <w:r w:rsidRPr="009445DD">
        <w:rPr>
          <w:rFonts w:hint="eastAsia"/>
        </w:rPr>
        <w:t>天使，每日主動關懷同袍(學)；廣邀</w:t>
      </w:r>
      <w:proofErr w:type="gramStart"/>
      <w:r w:rsidRPr="009445DD">
        <w:rPr>
          <w:rFonts w:hint="eastAsia"/>
        </w:rPr>
        <w:t>家長與班導師</w:t>
      </w:r>
      <w:proofErr w:type="gramEnd"/>
      <w:r w:rsidRPr="009445DD">
        <w:rPr>
          <w:rFonts w:hint="eastAsia"/>
        </w:rPr>
        <w:t>及隊職官辦理親師座談，藉雙向溝通使家長瞭解學生在校就學情形等作法，惟</w:t>
      </w:r>
      <w:r w:rsidR="00C61648" w:rsidRPr="009445DD">
        <w:rPr>
          <w:rFonts w:hint="eastAsia"/>
        </w:rPr>
        <w:t>上述</w:t>
      </w:r>
      <w:r w:rsidRPr="009445DD">
        <w:rPr>
          <w:rFonts w:hint="eastAsia"/>
        </w:rPr>
        <w:t>作法僅透過同儕或家長協助在校學生適應校內環境，未見校方</w:t>
      </w:r>
      <w:bookmarkStart w:id="6" w:name="_Hlk145001797"/>
      <w:r w:rsidR="00915993" w:rsidRPr="009445DD">
        <w:rPr>
          <w:rFonts w:hint="eastAsia"/>
        </w:rPr>
        <w:t>責</w:t>
      </w:r>
      <w:r w:rsidR="00C61648" w:rsidRPr="009445DD">
        <w:rPr>
          <w:rFonts w:hint="eastAsia"/>
        </w:rPr>
        <w:t>成</w:t>
      </w:r>
      <w:r w:rsidRPr="009445DD">
        <w:rPr>
          <w:rFonts w:hint="eastAsia"/>
        </w:rPr>
        <w:t>專</w:t>
      </w:r>
      <w:r w:rsidR="00915993" w:rsidRPr="009445DD">
        <w:rPr>
          <w:rFonts w:hint="eastAsia"/>
        </w:rPr>
        <w:t>職</w:t>
      </w:r>
      <w:r w:rsidRPr="009445DD">
        <w:rPr>
          <w:rFonts w:hint="eastAsia"/>
        </w:rPr>
        <w:t>輔導人員介入輔導改善，對於因「志趣不合」致萌生退學想法之學生，校方顯未能即時給予專業心理輔導與支持</w:t>
      </w:r>
      <w:bookmarkEnd w:id="6"/>
      <w:r w:rsidRPr="009445DD">
        <w:rPr>
          <w:rFonts w:hint="eastAsia"/>
        </w:rPr>
        <w:t>。</w:t>
      </w:r>
    </w:p>
    <w:p w:rsidR="009445DD" w:rsidRDefault="0067284D" w:rsidP="009445DD">
      <w:pPr>
        <w:pStyle w:val="3"/>
      </w:pPr>
      <w:r w:rsidRPr="009445DD">
        <w:rPr>
          <w:rFonts w:hint="eastAsia"/>
        </w:rPr>
        <w:t>綜上，</w:t>
      </w:r>
      <w:r w:rsidR="009445DD" w:rsidRPr="009445DD">
        <w:rPr>
          <w:rFonts w:hint="eastAsia"/>
        </w:rPr>
        <w:t>國防部所屬</w:t>
      </w:r>
      <w:proofErr w:type="gramStart"/>
      <w:r w:rsidR="009445DD" w:rsidRPr="009445DD">
        <w:rPr>
          <w:rFonts w:hint="eastAsia"/>
        </w:rPr>
        <w:t>三</w:t>
      </w:r>
      <w:proofErr w:type="gramEnd"/>
      <w:r w:rsidR="009445DD" w:rsidRPr="009445DD">
        <w:rPr>
          <w:rFonts w:hint="eastAsia"/>
        </w:rPr>
        <w:t>軍官校學生退學比率持續居高，且在學學生抱有休學或退學想法者人數較多，然校方未責成專職輔導人員介入，提供專業心理輔導與支持，且學生使用校內心理輔導資源者僅占少數，足見校方心輔資源建置與暢通仍有改進空間；另外</w:t>
      </w:r>
      <w:proofErr w:type="gramStart"/>
      <w:r w:rsidR="009445DD" w:rsidRPr="009445DD">
        <w:rPr>
          <w:rFonts w:hint="eastAsia"/>
        </w:rPr>
        <w:t>三</w:t>
      </w:r>
      <w:proofErr w:type="gramEnd"/>
      <w:r w:rsidR="009445DD" w:rsidRPr="009445DD">
        <w:rPr>
          <w:rFonts w:hint="eastAsia"/>
        </w:rPr>
        <w:t>軍官校教學資源不足，不利教師及學生進修，校長也欠缺教學專長與熱情，致整體教學環境未達理想。國防部允宜加強督導所屬軍事院校落實心輔資</w:t>
      </w:r>
      <w:r w:rsidR="009445DD" w:rsidRPr="009445DD">
        <w:rPr>
          <w:rFonts w:hint="eastAsia"/>
        </w:rPr>
        <w:lastRenderedPageBreak/>
        <w:t>源系統及教學環境、教學資源改善。</w:t>
      </w:r>
    </w:p>
    <w:p w:rsidR="00595E97" w:rsidRDefault="00595E97" w:rsidP="00245EEB">
      <w:pPr>
        <w:pStyle w:val="3"/>
        <w:numPr>
          <w:ilvl w:val="0"/>
          <w:numId w:val="0"/>
        </w:numPr>
        <w:ind w:left="1361"/>
      </w:pPr>
    </w:p>
    <w:p w:rsidR="002D69E3" w:rsidRPr="009B1716" w:rsidRDefault="004743CE" w:rsidP="008C3EA8">
      <w:pPr>
        <w:pStyle w:val="2"/>
        <w:numPr>
          <w:ilvl w:val="1"/>
          <w:numId w:val="1"/>
        </w:numPr>
        <w:ind w:left="993"/>
        <w:rPr>
          <w:b/>
        </w:rPr>
      </w:pPr>
      <w:r w:rsidRPr="009B1716">
        <w:rPr>
          <w:rFonts w:hint="eastAsia"/>
          <w:b/>
        </w:rPr>
        <w:t>中正預校</w:t>
      </w:r>
      <w:r w:rsidR="00E44C54" w:rsidRPr="009B1716">
        <w:rPr>
          <w:rFonts w:hint="eastAsia"/>
          <w:b/>
        </w:rPr>
        <w:t>連續數年</w:t>
      </w:r>
      <w:r w:rsidRPr="009B1716">
        <w:rPr>
          <w:rFonts w:hint="eastAsia"/>
          <w:b/>
        </w:rPr>
        <w:t>持續有入學後</w:t>
      </w:r>
      <w:r w:rsidR="003A15BC" w:rsidRPr="009B1716">
        <w:rPr>
          <w:rFonts w:hint="eastAsia"/>
          <w:b/>
        </w:rPr>
        <w:t>因</w:t>
      </w:r>
      <w:r w:rsidRPr="009B1716">
        <w:rPr>
          <w:rFonts w:hint="eastAsia"/>
          <w:b/>
        </w:rPr>
        <w:t>「辨色力異常」而得以免賠方式申請退學者，</w:t>
      </w:r>
      <w:r w:rsidR="008C3EA8" w:rsidRPr="009B1716">
        <w:rPr>
          <w:rFonts w:hint="eastAsia"/>
          <w:b/>
        </w:rPr>
        <w:t>然多數色盲皆由先天性遺傳基因</w:t>
      </w:r>
      <w:r w:rsidR="009B1716" w:rsidRPr="009B1716">
        <w:rPr>
          <w:rFonts w:hint="eastAsia"/>
          <w:b/>
        </w:rPr>
        <w:t>缺</w:t>
      </w:r>
      <w:r w:rsidR="008C3EA8" w:rsidRPr="009B1716">
        <w:rPr>
          <w:rFonts w:hint="eastAsia"/>
          <w:b/>
        </w:rPr>
        <w:t>陷造成，</w:t>
      </w:r>
      <w:r w:rsidR="002B2B42" w:rsidRPr="009B1716">
        <w:rPr>
          <w:rFonts w:hint="eastAsia"/>
          <w:b/>
        </w:rPr>
        <w:t>該校學生於報名前體檢結果</w:t>
      </w:r>
      <w:r w:rsidR="00E44C54" w:rsidRPr="009B1716">
        <w:rPr>
          <w:rFonts w:hint="eastAsia"/>
          <w:b/>
        </w:rPr>
        <w:t>為</w:t>
      </w:r>
      <w:r w:rsidR="002B2B42" w:rsidRPr="009B1716">
        <w:rPr>
          <w:rFonts w:hint="eastAsia"/>
          <w:b/>
        </w:rPr>
        <w:t>正常符合報名資格，惟於入學後約半年或1年體檢結果為不正常，前後體檢結果不同，核</w:t>
      </w:r>
      <w:r w:rsidR="00E44C54" w:rsidRPr="009B1716">
        <w:rPr>
          <w:rFonts w:hint="eastAsia"/>
          <w:b/>
        </w:rPr>
        <w:t>與醫學常理有悖</w:t>
      </w:r>
      <w:r w:rsidR="002B2B42" w:rsidRPr="009B1716">
        <w:rPr>
          <w:rFonts w:hint="eastAsia"/>
          <w:b/>
        </w:rPr>
        <w:t>。</w:t>
      </w:r>
      <w:r w:rsidR="009B1716" w:rsidRPr="009B1716">
        <w:rPr>
          <w:rFonts w:hint="eastAsia"/>
          <w:b/>
        </w:rPr>
        <w:t>中正預校</w:t>
      </w:r>
      <w:r w:rsidR="002B2B42" w:rsidRPr="009B1716">
        <w:rPr>
          <w:rFonts w:hint="eastAsia"/>
          <w:b/>
        </w:rPr>
        <w:t>學生</w:t>
      </w:r>
      <w:proofErr w:type="gramStart"/>
      <w:r w:rsidR="002B2B42" w:rsidRPr="009B1716">
        <w:rPr>
          <w:rFonts w:hint="eastAsia"/>
          <w:b/>
        </w:rPr>
        <w:t>是否</w:t>
      </w:r>
      <w:r w:rsidR="00017664" w:rsidRPr="009B1716">
        <w:rPr>
          <w:rFonts w:hint="eastAsia"/>
          <w:b/>
        </w:rPr>
        <w:t>假</w:t>
      </w:r>
      <w:r w:rsidR="002B2B42" w:rsidRPr="009B1716">
        <w:rPr>
          <w:rFonts w:hint="eastAsia"/>
          <w:b/>
        </w:rPr>
        <w:t>此方式</w:t>
      </w:r>
      <w:proofErr w:type="gramEnd"/>
      <w:r w:rsidR="002B2B42" w:rsidRPr="009B1716">
        <w:rPr>
          <w:rFonts w:hint="eastAsia"/>
          <w:b/>
        </w:rPr>
        <w:t>退學</w:t>
      </w:r>
      <w:r w:rsidR="00E44C54" w:rsidRPr="009B1716">
        <w:rPr>
          <w:rFonts w:hint="eastAsia"/>
          <w:b/>
        </w:rPr>
        <w:t>藉以</w:t>
      </w:r>
      <w:r w:rsidR="002B2B42" w:rsidRPr="009B1716">
        <w:rPr>
          <w:rFonts w:hint="eastAsia"/>
          <w:b/>
        </w:rPr>
        <w:t>規避相關賠償</w:t>
      </w:r>
      <w:r w:rsidR="00E44C54" w:rsidRPr="009B1716">
        <w:rPr>
          <w:rFonts w:hint="eastAsia"/>
          <w:b/>
        </w:rPr>
        <w:t>責任</w:t>
      </w:r>
      <w:r w:rsidR="002B2B42" w:rsidRPr="009B1716">
        <w:rPr>
          <w:rFonts w:hint="eastAsia"/>
          <w:b/>
        </w:rPr>
        <w:t>，</w:t>
      </w:r>
      <w:r w:rsidR="009B1716" w:rsidRPr="009B1716">
        <w:rPr>
          <w:rFonts w:hint="eastAsia"/>
          <w:b/>
        </w:rPr>
        <w:t>國防部</w:t>
      </w:r>
      <w:r w:rsidR="00403012">
        <w:rPr>
          <w:rFonts w:hint="eastAsia"/>
          <w:b/>
        </w:rPr>
        <w:t>宜</w:t>
      </w:r>
      <w:r w:rsidR="009B1716" w:rsidRPr="009B1716">
        <w:rPr>
          <w:rFonts w:hint="eastAsia"/>
          <w:b/>
        </w:rPr>
        <w:t>督導</w:t>
      </w:r>
      <w:r w:rsidR="009B1716">
        <w:rPr>
          <w:rFonts w:hint="eastAsia"/>
          <w:b/>
        </w:rPr>
        <w:t>該校</w:t>
      </w:r>
      <w:r w:rsidR="002B2B42" w:rsidRPr="009B1716">
        <w:rPr>
          <w:rFonts w:hint="eastAsia"/>
          <w:b/>
        </w:rPr>
        <w:t>加強確認</w:t>
      </w:r>
      <w:r w:rsidR="00E44C54" w:rsidRPr="009B1716">
        <w:rPr>
          <w:rFonts w:hint="eastAsia"/>
          <w:b/>
        </w:rPr>
        <w:t>與</w:t>
      </w:r>
      <w:r w:rsidR="002B2B42" w:rsidRPr="009B1716">
        <w:rPr>
          <w:rFonts w:hint="eastAsia"/>
          <w:b/>
        </w:rPr>
        <w:t>查核。</w:t>
      </w:r>
    </w:p>
    <w:p w:rsidR="00907C99" w:rsidRPr="004743CE" w:rsidRDefault="00907C99" w:rsidP="00907C99">
      <w:pPr>
        <w:pStyle w:val="3"/>
        <w:numPr>
          <w:ilvl w:val="2"/>
          <w:numId w:val="1"/>
        </w:numPr>
      </w:pPr>
      <w:r w:rsidRPr="004743CE">
        <w:rPr>
          <w:rFonts w:hint="eastAsia"/>
        </w:rPr>
        <w:t>色盲</w:t>
      </w:r>
      <w:r w:rsidRPr="00783254">
        <w:t>(Color Blindness)</w:t>
      </w:r>
      <w:r>
        <w:rPr>
          <w:rFonts w:hint="eastAsia"/>
        </w:rPr>
        <w:t>，</w:t>
      </w:r>
      <w:r w:rsidRPr="004743CE">
        <w:rPr>
          <w:rFonts w:hint="eastAsia"/>
        </w:rPr>
        <w:t>又稱色覺辨認障礙，係指能看見及辨別顏色的能力低於常人的狀況</w:t>
      </w:r>
      <w:r>
        <w:rPr>
          <w:rFonts w:hint="eastAsia"/>
        </w:rPr>
        <w:t>。</w:t>
      </w:r>
      <w:r w:rsidRPr="004743CE">
        <w:rPr>
          <w:rFonts w:hint="eastAsia"/>
        </w:rPr>
        <w:t>又色盲的病因</w:t>
      </w:r>
      <w:r>
        <w:rPr>
          <w:rFonts w:hint="eastAsia"/>
        </w:rPr>
        <w:t>可</w:t>
      </w:r>
      <w:r w:rsidRPr="004743CE">
        <w:rPr>
          <w:rFonts w:hint="eastAsia"/>
        </w:rPr>
        <w:t>分為先天性和後天性兩種，先天性色盲由遺傳基因缺陷所造成，大多</w:t>
      </w:r>
      <w:r>
        <w:rPr>
          <w:rFonts w:hint="eastAsia"/>
        </w:rPr>
        <w:t>數</w:t>
      </w:r>
      <w:r w:rsidRPr="004743CE">
        <w:rPr>
          <w:rFonts w:hint="eastAsia"/>
        </w:rPr>
        <w:t>色盲患者皆屬此類型；後天性色盲則由於視神經或腦部損傷引起，此類型比例較</w:t>
      </w:r>
      <w:r>
        <w:rPr>
          <w:rFonts w:hint="eastAsia"/>
        </w:rPr>
        <w:t>為</w:t>
      </w:r>
      <w:r w:rsidRPr="004743CE">
        <w:rPr>
          <w:rFonts w:hint="eastAsia"/>
        </w:rPr>
        <w:t>少見。</w:t>
      </w:r>
    </w:p>
    <w:p w:rsidR="00907C99" w:rsidRDefault="00907C99" w:rsidP="00907C99">
      <w:pPr>
        <w:pStyle w:val="3"/>
        <w:numPr>
          <w:ilvl w:val="2"/>
          <w:numId w:val="1"/>
        </w:numPr>
      </w:pPr>
      <w:r w:rsidRPr="004743CE">
        <w:rPr>
          <w:rFonts w:hint="eastAsia"/>
        </w:rPr>
        <w:t>軍事學校預備學校軍費生公費待遇津貼賠償辦法第10條第1項規定：「軍費生有下列情形之</w:t>
      </w:r>
      <w:proofErr w:type="gramStart"/>
      <w:r w:rsidRPr="004743CE">
        <w:rPr>
          <w:rFonts w:hint="eastAsia"/>
        </w:rPr>
        <w:t>一</w:t>
      </w:r>
      <w:proofErr w:type="gramEnd"/>
      <w:r w:rsidRPr="004743CE">
        <w:rPr>
          <w:rFonts w:hint="eastAsia"/>
        </w:rPr>
        <w:t>者，</w:t>
      </w:r>
      <w:r w:rsidR="00403012">
        <w:rPr>
          <w:rFonts w:hint="eastAsia"/>
        </w:rPr>
        <w:t>賠</w:t>
      </w:r>
      <w:r w:rsidRPr="004743CE">
        <w:rPr>
          <w:rFonts w:hint="eastAsia"/>
        </w:rPr>
        <w:t>償義務人得向就讀學校申請免予賠償：…</w:t>
      </w:r>
      <w:proofErr w:type="gramStart"/>
      <w:r w:rsidRPr="004743CE">
        <w:rPr>
          <w:rFonts w:hint="eastAsia"/>
        </w:rPr>
        <w:t>…</w:t>
      </w:r>
      <w:proofErr w:type="gramEnd"/>
      <w:r w:rsidRPr="004743CE">
        <w:rPr>
          <w:rFonts w:hint="eastAsia"/>
        </w:rPr>
        <w:t>五、經國軍醫院證明，體格未達招生簡章所定之基準而遭退學、輔導轉學或核定轉為自費學生……。」</w:t>
      </w:r>
      <w:r>
        <w:rPr>
          <w:rFonts w:hint="eastAsia"/>
        </w:rPr>
        <w:t>據此，軍事院校學生就學後如係因體格不符原因遭致退學，無須因</w:t>
      </w:r>
      <w:r w:rsidRPr="008C3EA8">
        <w:rPr>
          <w:rFonts w:hint="eastAsia"/>
        </w:rPr>
        <w:t>違反應履行之義務及應遵守之事項</w:t>
      </w:r>
      <w:r>
        <w:rPr>
          <w:rFonts w:hint="eastAsia"/>
        </w:rPr>
        <w:t>而</w:t>
      </w:r>
      <w:r w:rsidRPr="008C3EA8">
        <w:rPr>
          <w:rFonts w:hint="eastAsia"/>
        </w:rPr>
        <w:t>賠償</w:t>
      </w:r>
      <w:r>
        <w:rPr>
          <w:rFonts w:hint="eastAsia"/>
        </w:rPr>
        <w:t>其</w:t>
      </w:r>
      <w:r w:rsidRPr="008C3EA8">
        <w:rPr>
          <w:rFonts w:hint="eastAsia"/>
        </w:rPr>
        <w:t>所受領之公費待遇及津貼</w:t>
      </w:r>
      <w:r>
        <w:rPr>
          <w:rFonts w:hint="eastAsia"/>
        </w:rPr>
        <w:t>，得向就讀學校申請免予賠償。</w:t>
      </w:r>
    </w:p>
    <w:p w:rsidR="00173112" w:rsidRDefault="00907C99" w:rsidP="00790D11">
      <w:pPr>
        <w:pStyle w:val="3"/>
        <w:numPr>
          <w:ilvl w:val="2"/>
          <w:numId w:val="1"/>
        </w:numPr>
      </w:pPr>
      <w:r w:rsidRPr="004743CE">
        <w:rPr>
          <w:rFonts w:hint="eastAsia"/>
        </w:rPr>
        <w:t>據</w:t>
      </w:r>
      <w:r>
        <w:rPr>
          <w:rFonts w:hint="eastAsia"/>
        </w:rPr>
        <w:t>查</w:t>
      </w:r>
      <w:r w:rsidR="00173112">
        <w:rPr>
          <w:rFonts w:hint="eastAsia"/>
        </w:rPr>
        <w:t>，</w:t>
      </w:r>
      <w:r w:rsidR="00FC0FDE">
        <w:rPr>
          <w:rFonts w:hint="eastAsia"/>
        </w:rPr>
        <w:t>108年至110年入學就讀各軍事院校</w:t>
      </w:r>
      <w:r w:rsidR="00F8180C">
        <w:rPr>
          <w:rFonts w:hint="eastAsia"/>
        </w:rPr>
        <w:t>者，</w:t>
      </w:r>
      <w:r w:rsidR="00FC0FDE">
        <w:rPr>
          <w:rFonts w:hint="eastAsia"/>
        </w:rPr>
        <w:t>因體格不符遭致退學</w:t>
      </w:r>
      <w:r w:rsidR="00F8180C">
        <w:rPr>
          <w:rFonts w:hint="eastAsia"/>
        </w:rPr>
        <w:t>之情形</w:t>
      </w:r>
      <w:r w:rsidR="00FC0FDE">
        <w:rPr>
          <w:rFonts w:hint="eastAsia"/>
        </w:rPr>
        <w:t>，</w:t>
      </w:r>
      <w:r w:rsidR="00FC0FDE" w:rsidRPr="004743CE">
        <w:rPr>
          <w:rFonts w:hint="eastAsia"/>
        </w:rPr>
        <w:t>除</w:t>
      </w:r>
      <w:r w:rsidR="00FC0FDE">
        <w:rPr>
          <w:rFonts w:hint="eastAsia"/>
        </w:rPr>
        <w:t>108年陸軍官校計有學生1名因</w:t>
      </w:r>
      <w:r w:rsidR="00FC0FDE" w:rsidRPr="004743CE">
        <w:rPr>
          <w:rFonts w:hint="eastAsia"/>
        </w:rPr>
        <w:t>「辨色力異常」</w:t>
      </w:r>
      <w:r w:rsidR="00FC0FDE">
        <w:rPr>
          <w:rFonts w:hint="eastAsia"/>
        </w:rPr>
        <w:t>遭致退學外，僅中</w:t>
      </w:r>
      <w:r w:rsidR="00FC0FDE" w:rsidRPr="004743CE">
        <w:rPr>
          <w:rFonts w:hint="eastAsia"/>
        </w:rPr>
        <w:t>正預校</w:t>
      </w:r>
      <w:r w:rsidR="00FC0FDE">
        <w:rPr>
          <w:rFonts w:hint="eastAsia"/>
        </w:rPr>
        <w:t>具有</w:t>
      </w:r>
      <w:r w:rsidR="00FC0FDE" w:rsidRPr="004743CE">
        <w:rPr>
          <w:rFonts w:hint="eastAsia"/>
        </w:rPr>
        <w:t>因「辨色力異常」遭致退學之情事</w:t>
      </w:r>
      <w:r w:rsidR="00FC0FDE">
        <w:rPr>
          <w:rFonts w:hint="eastAsia"/>
        </w:rPr>
        <w:t>。又</w:t>
      </w:r>
      <w:bookmarkStart w:id="7" w:name="_Hlk145573565"/>
      <w:r w:rsidR="00173112" w:rsidRPr="004743CE">
        <w:rPr>
          <w:rFonts w:hint="eastAsia"/>
        </w:rPr>
        <w:t>中正預校108年至11</w:t>
      </w:r>
      <w:r w:rsidR="00380287">
        <w:rPr>
          <w:rFonts w:hint="eastAsia"/>
        </w:rPr>
        <w:t>0</w:t>
      </w:r>
      <w:r w:rsidR="00173112" w:rsidRPr="004743CE">
        <w:rPr>
          <w:rFonts w:hint="eastAsia"/>
        </w:rPr>
        <w:t>年</w:t>
      </w:r>
      <w:r w:rsidR="00380287">
        <w:rPr>
          <w:rFonts w:hint="eastAsia"/>
        </w:rPr>
        <w:t>入學</w:t>
      </w:r>
      <w:r w:rsidR="00FC0FDE">
        <w:rPr>
          <w:rFonts w:hint="eastAsia"/>
        </w:rPr>
        <w:t>就讀該校</w:t>
      </w:r>
      <w:proofErr w:type="gramStart"/>
      <w:r w:rsidR="00173112">
        <w:rPr>
          <w:rFonts w:hint="eastAsia"/>
        </w:rPr>
        <w:t>國中部及高</w:t>
      </w:r>
      <w:proofErr w:type="gramEnd"/>
      <w:r w:rsidR="00173112">
        <w:rPr>
          <w:rFonts w:hint="eastAsia"/>
        </w:rPr>
        <w:t>中部</w:t>
      </w:r>
      <w:r w:rsidR="00FC0FDE">
        <w:rPr>
          <w:rFonts w:hint="eastAsia"/>
        </w:rPr>
        <w:t>者</w:t>
      </w:r>
      <w:r w:rsidR="00173112">
        <w:rPr>
          <w:rFonts w:hint="eastAsia"/>
        </w:rPr>
        <w:t>，</w:t>
      </w:r>
      <w:r w:rsidR="00173112" w:rsidRPr="004743CE">
        <w:rPr>
          <w:rFonts w:hint="eastAsia"/>
        </w:rPr>
        <w:t>體格不符</w:t>
      </w:r>
      <w:r w:rsidR="00FC0FDE">
        <w:rPr>
          <w:rFonts w:hint="eastAsia"/>
        </w:rPr>
        <w:t>至退學者</w:t>
      </w:r>
      <w:r w:rsidR="00173112" w:rsidRPr="004743CE">
        <w:rPr>
          <w:rFonts w:hint="eastAsia"/>
        </w:rPr>
        <w:t>計有</w:t>
      </w:r>
      <w:r w:rsidR="00173112">
        <w:rPr>
          <w:rFonts w:hint="eastAsia"/>
        </w:rPr>
        <w:t>34</w:t>
      </w:r>
      <w:r w:rsidR="00173112" w:rsidRPr="004743CE">
        <w:rPr>
          <w:rFonts w:hint="eastAsia"/>
        </w:rPr>
        <w:t>人，</w:t>
      </w:r>
      <w:r w:rsidR="00FC0FDE">
        <w:rPr>
          <w:rFonts w:hint="eastAsia"/>
        </w:rPr>
        <w:t>該</w:t>
      </w:r>
      <w:r w:rsidR="00173112" w:rsidRPr="004743CE">
        <w:rPr>
          <w:rFonts w:hint="eastAsia"/>
        </w:rPr>
        <w:t>體格不符</w:t>
      </w:r>
      <w:proofErr w:type="gramStart"/>
      <w:r w:rsidR="00173112" w:rsidRPr="004743CE">
        <w:rPr>
          <w:rFonts w:hint="eastAsia"/>
        </w:rPr>
        <w:t>原因為辨</w:t>
      </w:r>
      <w:proofErr w:type="gramEnd"/>
      <w:r w:rsidR="00173112" w:rsidRPr="004743CE">
        <w:rPr>
          <w:rFonts w:hint="eastAsia"/>
        </w:rPr>
        <w:t>色</w:t>
      </w:r>
      <w:r w:rsidR="00173112" w:rsidRPr="004743CE">
        <w:rPr>
          <w:rFonts w:hint="eastAsia"/>
        </w:rPr>
        <w:lastRenderedPageBreak/>
        <w:t>力異常(色盲、</w:t>
      </w:r>
      <w:proofErr w:type="gramStart"/>
      <w:r w:rsidR="00173112" w:rsidRPr="004743CE">
        <w:rPr>
          <w:rFonts w:hint="eastAsia"/>
        </w:rPr>
        <w:t>色</w:t>
      </w:r>
      <w:proofErr w:type="gramEnd"/>
      <w:r w:rsidR="00173112" w:rsidRPr="004743CE">
        <w:rPr>
          <w:rFonts w:hint="eastAsia"/>
        </w:rPr>
        <w:t>弱)者計有</w:t>
      </w:r>
      <w:r w:rsidR="00173112">
        <w:rPr>
          <w:rFonts w:hint="eastAsia"/>
        </w:rPr>
        <w:t>25</w:t>
      </w:r>
      <w:r w:rsidR="00173112" w:rsidRPr="004743CE">
        <w:rPr>
          <w:rFonts w:hint="eastAsia"/>
        </w:rPr>
        <w:t>人</w:t>
      </w:r>
      <w:bookmarkEnd w:id="7"/>
      <w:r w:rsidR="00173112">
        <w:rPr>
          <w:rFonts w:hint="eastAsia"/>
        </w:rPr>
        <w:t>。</w:t>
      </w:r>
      <w:r w:rsidR="00173112" w:rsidRPr="004743CE">
        <w:rPr>
          <w:rFonts w:hint="eastAsia"/>
        </w:rPr>
        <w:t>依</w:t>
      </w:r>
      <w:r w:rsidR="00173112">
        <w:rPr>
          <w:rFonts w:hint="eastAsia"/>
        </w:rPr>
        <w:t>前開</w:t>
      </w:r>
      <w:r w:rsidR="00173112" w:rsidRPr="004743CE">
        <w:rPr>
          <w:rFonts w:hint="eastAsia"/>
        </w:rPr>
        <w:t>辦法規定，</w:t>
      </w:r>
      <w:r w:rsidR="00173112">
        <w:rPr>
          <w:rFonts w:hint="eastAsia"/>
        </w:rPr>
        <w:t>因體檢結果辨色力異常</w:t>
      </w:r>
      <w:r w:rsidR="00173112" w:rsidRPr="004743CE">
        <w:rPr>
          <w:rFonts w:hint="eastAsia"/>
        </w:rPr>
        <w:t>而遭退學，賠償義務</w:t>
      </w:r>
      <w:proofErr w:type="gramStart"/>
      <w:r w:rsidR="00173112" w:rsidRPr="004743CE">
        <w:rPr>
          <w:rFonts w:hint="eastAsia"/>
        </w:rPr>
        <w:t>人均得向</w:t>
      </w:r>
      <w:proofErr w:type="gramEnd"/>
      <w:r w:rsidR="00173112" w:rsidRPr="004743CE">
        <w:rPr>
          <w:rFonts w:hint="eastAsia"/>
        </w:rPr>
        <w:t>就讀學校申請免予賠償。然此類入學</w:t>
      </w:r>
      <w:proofErr w:type="gramStart"/>
      <w:r w:rsidR="00173112" w:rsidRPr="004743CE">
        <w:rPr>
          <w:rFonts w:hint="eastAsia"/>
        </w:rPr>
        <w:t>後以辨色</w:t>
      </w:r>
      <w:proofErr w:type="gramEnd"/>
      <w:r w:rsidR="00173112" w:rsidRPr="004743CE">
        <w:rPr>
          <w:rFonts w:hint="eastAsia"/>
        </w:rPr>
        <w:t>力異常(色盲、</w:t>
      </w:r>
      <w:proofErr w:type="gramStart"/>
      <w:r w:rsidR="00173112" w:rsidRPr="004743CE">
        <w:rPr>
          <w:rFonts w:hint="eastAsia"/>
        </w:rPr>
        <w:t>色</w:t>
      </w:r>
      <w:proofErr w:type="gramEnd"/>
      <w:r w:rsidR="00173112" w:rsidRPr="004743CE">
        <w:rPr>
          <w:rFonts w:hint="eastAsia"/>
        </w:rPr>
        <w:t>弱)遭致退學者，入學</w:t>
      </w:r>
      <w:proofErr w:type="gramStart"/>
      <w:r w:rsidR="00173112" w:rsidRPr="004743CE">
        <w:rPr>
          <w:rFonts w:hint="eastAsia"/>
        </w:rPr>
        <w:t>前均係</w:t>
      </w:r>
      <w:proofErr w:type="gramEnd"/>
      <w:r w:rsidR="00173112" w:rsidRPr="004743CE">
        <w:rPr>
          <w:rFonts w:hint="eastAsia"/>
        </w:rPr>
        <w:t>依招生簡章所載受理體檢指定醫院出具之體檢結果正常，符合報考資格，進而甄選入學</w:t>
      </w:r>
      <w:r w:rsidR="00173112">
        <w:rPr>
          <w:rFonts w:hint="eastAsia"/>
        </w:rPr>
        <w:t>。</w:t>
      </w:r>
      <w:r w:rsidR="00FC0FDE">
        <w:rPr>
          <w:rFonts w:hint="eastAsia"/>
        </w:rPr>
        <w:t>該校</w:t>
      </w:r>
      <w:proofErr w:type="gramStart"/>
      <w:r w:rsidR="00173112" w:rsidRPr="004743CE">
        <w:rPr>
          <w:rFonts w:hint="eastAsia"/>
        </w:rPr>
        <w:t>每年皆近10名</w:t>
      </w:r>
      <w:proofErr w:type="gramEnd"/>
      <w:r w:rsidR="00173112" w:rsidRPr="004743CE">
        <w:rPr>
          <w:rFonts w:hint="eastAsia"/>
        </w:rPr>
        <w:t>學生入學前後「辨色力檢定」體檢結果不同，</w:t>
      </w:r>
      <w:proofErr w:type="gramStart"/>
      <w:r w:rsidR="00173112" w:rsidRPr="004743CE">
        <w:rPr>
          <w:rFonts w:hint="eastAsia"/>
        </w:rPr>
        <w:t>顯違一</w:t>
      </w:r>
      <w:proofErr w:type="gramEnd"/>
      <w:r w:rsidR="00173112" w:rsidRPr="004743CE">
        <w:rPr>
          <w:rFonts w:hint="eastAsia"/>
        </w:rPr>
        <w:t>般醫學認知</w:t>
      </w:r>
      <w:r w:rsidR="00173112">
        <w:rPr>
          <w:rFonts w:hint="eastAsia"/>
        </w:rPr>
        <w:t>。</w:t>
      </w:r>
    </w:p>
    <w:p w:rsidR="00173112" w:rsidRDefault="00FC0FDE" w:rsidP="00173112">
      <w:pPr>
        <w:pStyle w:val="3"/>
      </w:pPr>
      <w:r>
        <w:rPr>
          <w:rFonts w:hint="eastAsia"/>
        </w:rPr>
        <w:t>又據</w:t>
      </w:r>
      <w:r w:rsidR="00173112" w:rsidRPr="004743CE">
        <w:rPr>
          <w:rFonts w:hint="eastAsia"/>
        </w:rPr>
        <w:t>國防部</w:t>
      </w:r>
      <w:r w:rsidR="00173112">
        <w:rPr>
          <w:rFonts w:hint="eastAsia"/>
        </w:rPr>
        <w:t>112年8月補充說明</w:t>
      </w:r>
      <w:r w:rsidR="00173112" w:rsidRPr="004743CE">
        <w:rPr>
          <w:rFonts w:hint="eastAsia"/>
        </w:rPr>
        <w:t>，111年及112年中正預校仍有因「辨色力異常」致輔導轉學之學生，共計18人(111年及112年各9人)，該校學生以「辨色力異常」退學情事，迄今未有明顯改善。</w:t>
      </w:r>
    </w:p>
    <w:p w:rsidR="00907C99" w:rsidRDefault="00907C99" w:rsidP="00907C99">
      <w:pPr>
        <w:pStyle w:val="3"/>
        <w:numPr>
          <w:ilvl w:val="2"/>
          <w:numId w:val="1"/>
        </w:numPr>
        <w:rPr>
          <w:rFonts w:hAnsi="標楷體"/>
        </w:rPr>
      </w:pPr>
      <w:r>
        <w:rPr>
          <w:rFonts w:hint="eastAsia"/>
        </w:rPr>
        <w:t>綜上，</w:t>
      </w:r>
      <w:r w:rsidR="004934DE" w:rsidRPr="004934DE">
        <w:rPr>
          <w:rFonts w:hint="eastAsia"/>
        </w:rPr>
        <w:t>中正預校連續數年持續有入學後因「辨色力異常」而得以免賠方式申請退學者，然多數色盲皆由先天性遺傳基因缺陷造成，該校學生於報名前體檢結果為正常符合報名資格，惟於入學後約半年或1年體檢結果為不正常，前後體檢結果不同，核與醫學常理有悖。中正預校學生</w:t>
      </w:r>
      <w:proofErr w:type="gramStart"/>
      <w:r w:rsidR="004934DE" w:rsidRPr="004934DE">
        <w:rPr>
          <w:rFonts w:hint="eastAsia"/>
        </w:rPr>
        <w:t>是否假此方式</w:t>
      </w:r>
      <w:proofErr w:type="gramEnd"/>
      <w:r w:rsidR="004934DE" w:rsidRPr="004934DE">
        <w:rPr>
          <w:rFonts w:hint="eastAsia"/>
        </w:rPr>
        <w:t>退學藉以規避相關賠償責任，國防部宜督導該校加強確認與查核</w:t>
      </w:r>
      <w:r w:rsidR="00FC0FDE" w:rsidRPr="00A06E02">
        <w:rPr>
          <w:rFonts w:hAnsi="標楷體" w:hint="eastAsia"/>
        </w:rPr>
        <w:t>。</w:t>
      </w:r>
    </w:p>
    <w:p w:rsidR="00245EEB" w:rsidRPr="00A06E02" w:rsidRDefault="00245EEB" w:rsidP="00245EEB">
      <w:pPr>
        <w:pStyle w:val="3"/>
        <w:numPr>
          <w:ilvl w:val="0"/>
          <w:numId w:val="0"/>
        </w:numPr>
        <w:ind w:left="1361"/>
        <w:rPr>
          <w:rFonts w:hAnsi="標楷體"/>
        </w:rPr>
      </w:pPr>
    </w:p>
    <w:p w:rsidR="00C47F36" w:rsidRPr="001C3A3B" w:rsidRDefault="000146D0" w:rsidP="00C47F36">
      <w:pPr>
        <w:pStyle w:val="2"/>
        <w:numPr>
          <w:ilvl w:val="1"/>
          <w:numId w:val="1"/>
        </w:numPr>
        <w:ind w:left="993"/>
        <w:rPr>
          <w:rFonts w:hAnsi="標楷體"/>
          <w:b/>
        </w:rPr>
      </w:pPr>
      <w:r w:rsidRPr="001C3A3B">
        <w:rPr>
          <w:rFonts w:hAnsi="標楷體" w:hint="eastAsia"/>
          <w:b/>
        </w:rPr>
        <w:t>國防部為拓展國軍軍官來源，辦理</w:t>
      </w:r>
      <w:r w:rsidRPr="001C3A3B">
        <w:rPr>
          <w:rFonts w:hAnsi="標楷體"/>
          <w:b/>
        </w:rPr>
        <w:t>大學儲備軍官訓練團制度</w:t>
      </w:r>
      <w:proofErr w:type="gramStart"/>
      <w:r w:rsidR="00EA533B" w:rsidRPr="001C3A3B">
        <w:rPr>
          <w:rFonts w:hAnsi="標楷體" w:hint="eastAsia"/>
          <w:b/>
        </w:rPr>
        <w:t>（</w:t>
      </w:r>
      <w:proofErr w:type="gramEnd"/>
      <w:r w:rsidR="00EA533B" w:rsidRPr="001C3A3B">
        <w:rPr>
          <w:rFonts w:hAnsi="標楷體" w:hint="eastAsia"/>
          <w:b/>
        </w:rPr>
        <w:t>R</w:t>
      </w:r>
      <w:r w:rsidR="00EA533B" w:rsidRPr="001C3A3B">
        <w:rPr>
          <w:rFonts w:hAnsi="標楷體"/>
          <w:b/>
        </w:rPr>
        <w:t>OTC</w:t>
      </w:r>
      <w:r w:rsidR="00EA533B" w:rsidRPr="001C3A3B">
        <w:rPr>
          <w:rFonts w:hAnsi="標楷體" w:hint="eastAsia"/>
          <w:b/>
        </w:rPr>
        <w:t>)</w:t>
      </w:r>
      <w:r w:rsidRPr="001C3A3B">
        <w:rPr>
          <w:rFonts w:hAnsi="標楷體" w:hint="eastAsia"/>
          <w:b/>
        </w:rPr>
        <w:t>以補充中役期之軍官員額，惟</w:t>
      </w:r>
      <w:r w:rsidR="00EA533B" w:rsidRPr="001C3A3B">
        <w:rPr>
          <w:rFonts w:hAnsi="標楷體" w:hint="eastAsia"/>
          <w:b/>
        </w:rPr>
        <w:t>國防部未明顯區隔中、長役期軍官二者</w:t>
      </w:r>
      <w:r w:rsidR="00EA533B" w:rsidRPr="001C3A3B">
        <w:rPr>
          <w:rFonts w:hAnsi="標楷體"/>
          <w:b/>
        </w:rPr>
        <w:t>之差別，致使ROTC</w:t>
      </w:r>
      <w:r w:rsidR="00EA533B" w:rsidRPr="001C3A3B">
        <w:rPr>
          <w:rFonts w:hAnsi="標楷體" w:hint="eastAsia"/>
          <w:b/>
        </w:rPr>
        <w:t>因</w:t>
      </w:r>
      <w:r w:rsidRPr="001C3A3B">
        <w:rPr>
          <w:rFonts w:hAnsi="標楷體"/>
          <w:b/>
        </w:rPr>
        <w:t>訓</w:t>
      </w:r>
      <w:r w:rsidRPr="001C3A3B">
        <w:rPr>
          <w:rFonts w:hAnsi="標楷體" w:hint="eastAsia"/>
          <w:b/>
        </w:rPr>
        <w:t>練期程強度及服役年限</w:t>
      </w:r>
      <w:r w:rsidR="00EA533B" w:rsidRPr="001C3A3B">
        <w:rPr>
          <w:rFonts w:hAnsi="標楷體" w:hint="eastAsia"/>
          <w:b/>
        </w:rPr>
        <w:t>等</w:t>
      </w:r>
      <w:r w:rsidRPr="001C3A3B">
        <w:rPr>
          <w:rFonts w:hAnsi="標楷體" w:hint="eastAsia"/>
          <w:b/>
        </w:rPr>
        <w:t>因素，恐有影響長役期軍校正期生招生之虞，</w:t>
      </w:r>
      <w:r w:rsidR="002B3669" w:rsidRPr="001C3A3B">
        <w:rPr>
          <w:rFonts w:hAnsi="標楷體" w:hint="eastAsia"/>
          <w:b/>
        </w:rPr>
        <w:t>不利於國軍長期精實戰力之建置，</w:t>
      </w:r>
      <w:r w:rsidRPr="001C3A3B">
        <w:rPr>
          <w:rFonts w:hAnsi="標楷體" w:hint="eastAsia"/>
          <w:b/>
        </w:rPr>
        <w:t>國防部允</w:t>
      </w:r>
      <w:r w:rsidR="00403012">
        <w:rPr>
          <w:rFonts w:hAnsi="標楷體" w:hint="eastAsia"/>
          <w:b/>
        </w:rPr>
        <w:t>宜</w:t>
      </w:r>
      <w:r w:rsidRPr="001C3A3B">
        <w:rPr>
          <w:rFonts w:hAnsi="標楷體" w:hint="eastAsia"/>
          <w:b/>
        </w:rPr>
        <w:t>檢討改進。</w:t>
      </w:r>
      <w:bookmarkEnd w:id="4"/>
    </w:p>
    <w:p w:rsidR="00C47F36" w:rsidRPr="00A06E02" w:rsidRDefault="00C47F36" w:rsidP="00C47F36">
      <w:pPr>
        <w:pStyle w:val="3"/>
        <w:numPr>
          <w:ilvl w:val="2"/>
          <w:numId w:val="1"/>
        </w:numPr>
        <w:ind w:left="1276"/>
        <w:rPr>
          <w:rFonts w:hAnsi="標楷體"/>
        </w:rPr>
      </w:pPr>
      <w:r w:rsidRPr="00A06E02">
        <w:rPr>
          <w:rFonts w:hAnsi="標楷體"/>
        </w:rPr>
        <w:t>國防部為廣拓國軍軍官來源，於99年重新向</w:t>
      </w:r>
      <w:r w:rsidR="00403012">
        <w:rPr>
          <w:rFonts w:hAnsi="標楷體" w:hint="eastAsia"/>
        </w:rPr>
        <w:t>國內</w:t>
      </w:r>
      <w:r w:rsidRPr="00A06E02">
        <w:rPr>
          <w:rFonts w:hAnsi="標楷體"/>
        </w:rPr>
        <w:t>大學徵選大學儲備軍官訓練團（Reserve Officers Training Corp，下稱ROTC）學生，並自106年起配合</w:t>
      </w:r>
      <w:r w:rsidRPr="00A06E02">
        <w:rPr>
          <w:rFonts w:hAnsi="標楷體"/>
        </w:rPr>
        <w:lastRenderedPageBreak/>
        <w:t>募兵制政策推動，</w:t>
      </w:r>
      <w:proofErr w:type="gramStart"/>
      <w:r w:rsidRPr="00A06E02">
        <w:rPr>
          <w:rFonts w:hAnsi="標楷體"/>
        </w:rPr>
        <w:t>提升中役期</w:t>
      </w:r>
      <w:proofErr w:type="gramEnd"/>
      <w:r w:rsidRPr="00A06E02">
        <w:rPr>
          <w:rFonts w:hAnsi="標楷體"/>
        </w:rPr>
        <w:t>基層軍官能迅速獲得補充，結合國軍相關福利與待遇調整提升，並經擴大與國內公、私立130所大學合作辦理招生。</w:t>
      </w:r>
      <w:r w:rsidRPr="00A06E02">
        <w:rPr>
          <w:rFonts w:hAnsi="標楷體" w:hint="eastAsia"/>
        </w:rPr>
        <w:t>經查，軍校</w:t>
      </w:r>
      <w:r w:rsidRPr="00A06E02">
        <w:rPr>
          <w:rFonts w:hAnsi="標楷體"/>
        </w:rPr>
        <w:t>軍事正期班自105年起至111年止，除109年及110年報到率分別為77.3</w:t>
      </w:r>
      <w:bookmarkStart w:id="8" w:name="_Hlk145410230"/>
      <w:r w:rsidRPr="00A06E02">
        <w:rPr>
          <w:rFonts w:hAnsi="標楷體"/>
        </w:rPr>
        <w:t>%</w:t>
      </w:r>
      <w:bookmarkEnd w:id="8"/>
      <w:r w:rsidRPr="00A06E02">
        <w:rPr>
          <w:rFonts w:hAnsi="標楷體"/>
        </w:rPr>
        <w:t>及65.3%</w:t>
      </w:r>
      <w:proofErr w:type="gramStart"/>
      <w:r w:rsidRPr="00A06E02">
        <w:rPr>
          <w:rFonts w:hAnsi="標楷體"/>
        </w:rPr>
        <w:t>以外，</w:t>
      </w:r>
      <w:r w:rsidRPr="00A06E02">
        <w:rPr>
          <w:rFonts w:hAnsi="標楷體" w:hint="eastAsia"/>
        </w:rPr>
        <w:t>其餘</w:t>
      </w:r>
      <w:proofErr w:type="gramEnd"/>
      <w:r w:rsidRPr="00A06E02">
        <w:rPr>
          <w:rFonts w:hAnsi="標楷體"/>
        </w:rPr>
        <w:t>報到率均維持90%以上。ROTC於10</w:t>
      </w:r>
      <w:r w:rsidRPr="00A06E02">
        <w:rPr>
          <w:rFonts w:hAnsi="標楷體" w:hint="eastAsia"/>
        </w:rPr>
        <w:t>5</w:t>
      </w:r>
      <w:r w:rsidRPr="00A06E02">
        <w:rPr>
          <w:rFonts w:hAnsi="標楷體"/>
        </w:rPr>
        <w:t>至11</w:t>
      </w:r>
      <w:r w:rsidRPr="00A06E02">
        <w:rPr>
          <w:rFonts w:hAnsi="標楷體" w:hint="eastAsia"/>
        </w:rPr>
        <w:t>1</w:t>
      </w:r>
      <w:r w:rsidRPr="00A06E02">
        <w:rPr>
          <w:rFonts w:hAnsi="標楷體"/>
        </w:rPr>
        <w:t>年班招生情形，各年班報到人數占招生計畫人數之報到率，10</w:t>
      </w:r>
      <w:r w:rsidRPr="00A06E02">
        <w:rPr>
          <w:rFonts w:hAnsi="標楷體" w:hint="eastAsia"/>
        </w:rPr>
        <w:t>5</w:t>
      </w:r>
      <w:r w:rsidRPr="00A06E02">
        <w:rPr>
          <w:rFonts w:hAnsi="標楷體"/>
        </w:rPr>
        <w:t>至107年班介於1</w:t>
      </w:r>
      <w:r w:rsidRPr="00A06E02">
        <w:rPr>
          <w:rFonts w:hAnsi="標楷體" w:hint="eastAsia"/>
        </w:rPr>
        <w:t>3</w:t>
      </w:r>
      <w:r w:rsidR="00A06E02" w:rsidRPr="00A06E02">
        <w:rPr>
          <w:rFonts w:hAnsi="標楷體"/>
        </w:rPr>
        <w:t>%</w:t>
      </w:r>
      <w:r w:rsidRPr="00A06E02">
        <w:rPr>
          <w:rFonts w:hAnsi="標楷體"/>
        </w:rPr>
        <w:t>至81</w:t>
      </w:r>
      <w:r w:rsidRPr="00A06E02">
        <w:rPr>
          <w:rFonts w:hAnsi="標楷體" w:hint="eastAsia"/>
        </w:rPr>
        <w:t>.3</w:t>
      </w:r>
      <w:r w:rsidR="00A06E02" w:rsidRPr="00A06E02">
        <w:rPr>
          <w:rFonts w:hAnsi="標楷體"/>
        </w:rPr>
        <w:t>%</w:t>
      </w:r>
      <w:r w:rsidRPr="00A06E02">
        <w:rPr>
          <w:rFonts w:hAnsi="標楷體"/>
        </w:rPr>
        <w:t>間，並呈現上升趨勢；108至11</w:t>
      </w:r>
      <w:r w:rsidRPr="00A06E02">
        <w:rPr>
          <w:rFonts w:hAnsi="標楷體" w:hint="eastAsia"/>
        </w:rPr>
        <w:t>1</w:t>
      </w:r>
      <w:r w:rsidRPr="00A06E02">
        <w:rPr>
          <w:rFonts w:hAnsi="標楷體"/>
        </w:rPr>
        <w:t>年班學生報到率，除110年班為</w:t>
      </w:r>
      <w:r w:rsidRPr="00A06E02">
        <w:rPr>
          <w:rFonts w:hAnsi="標楷體" w:hint="eastAsia"/>
        </w:rPr>
        <w:t>93.3</w:t>
      </w:r>
      <w:r w:rsidR="00A06E02" w:rsidRPr="00A06E02">
        <w:rPr>
          <w:rFonts w:hAnsi="標楷體"/>
        </w:rPr>
        <w:t>%</w:t>
      </w:r>
      <w:r w:rsidRPr="00A06E02">
        <w:rPr>
          <w:rFonts w:hAnsi="標楷體"/>
        </w:rPr>
        <w:t>外，其餘</w:t>
      </w:r>
      <w:r w:rsidR="00094A30">
        <w:rPr>
          <w:rFonts w:hAnsi="標楷體" w:hint="eastAsia"/>
        </w:rPr>
        <w:t>有超過</w:t>
      </w:r>
      <w:r w:rsidRPr="00A06E02">
        <w:rPr>
          <w:rFonts w:hAnsi="標楷體" w:hint="eastAsia"/>
        </w:rPr>
        <w:t>400</w:t>
      </w:r>
      <w:r w:rsidR="00A06E02" w:rsidRPr="00A06E02">
        <w:rPr>
          <w:rFonts w:hAnsi="標楷體"/>
        </w:rPr>
        <w:t>%</w:t>
      </w:r>
      <w:r w:rsidR="00094A30">
        <w:rPr>
          <w:rFonts w:hAnsi="標楷體" w:hint="eastAsia"/>
        </w:rPr>
        <w:t>以上者</w:t>
      </w:r>
      <w:r w:rsidRPr="00A06E02">
        <w:rPr>
          <w:rFonts w:hAnsi="標楷體" w:hint="eastAsia"/>
        </w:rPr>
        <w:t>，報到人</w:t>
      </w:r>
      <w:r w:rsidRPr="00A06E02">
        <w:rPr>
          <w:rFonts w:hAnsi="標楷體"/>
        </w:rPr>
        <w:t>數亦由105年班之18人增加至111年班之902人，係國防部於108年後以增額錄取方式致報到人數遠超過招生計畫數，顯示國防部對於ROTC制度推動略具成效。惟自108年班起，</w:t>
      </w:r>
      <w:r w:rsidRPr="00A06E02">
        <w:rPr>
          <w:rFonts w:hAnsi="標楷體" w:hint="eastAsia"/>
        </w:rPr>
        <w:t>R</w:t>
      </w:r>
      <w:r w:rsidRPr="00A06E02">
        <w:rPr>
          <w:rFonts w:hAnsi="標楷體"/>
        </w:rPr>
        <w:t>OTC</w:t>
      </w:r>
      <w:r w:rsidRPr="00A06E02">
        <w:rPr>
          <w:rFonts w:hAnsi="標楷體" w:hint="eastAsia"/>
        </w:rPr>
        <w:t>的退訓率由108</w:t>
      </w:r>
      <w:r w:rsidRPr="00A06E02">
        <w:rPr>
          <w:rFonts w:hAnsi="標楷體"/>
        </w:rPr>
        <w:t>年班的4.5</w:t>
      </w:r>
      <w:r w:rsidR="00A06E02" w:rsidRPr="00A06E02">
        <w:rPr>
          <w:rFonts w:hAnsi="標楷體"/>
        </w:rPr>
        <w:t>%</w:t>
      </w:r>
      <w:r w:rsidRPr="00A06E02">
        <w:rPr>
          <w:rFonts w:hAnsi="標楷體"/>
        </w:rPr>
        <w:t>逐年增加至111年班的29.4</w:t>
      </w:r>
      <w:r w:rsidR="00A06E02" w:rsidRPr="00A06E02">
        <w:rPr>
          <w:rFonts w:hAnsi="標楷體"/>
        </w:rPr>
        <w:t>%</w:t>
      </w:r>
      <w:r w:rsidRPr="00A06E02">
        <w:rPr>
          <w:rFonts w:hAnsi="標楷體"/>
        </w:rPr>
        <w:t>，學生退訓人數亦由12人增加至265人；另畢業任官人數由108年班之95.5</w:t>
      </w:r>
      <w:r w:rsidR="00A06E02" w:rsidRPr="00A06E02">
        <w:rPr>
          <w:rFonts w:hAnsi="標楷體"/>
        </w:rPr>
        <w:t>%</w:t>
      </w:r>
      <w:r w:rsidRPr="00A06E02">
        <w:rPr>
          <w:rFonts w:hAnsi="標楷體"/>
        </w:rPr>
        <w:t>逐年下降至111年班之70.6</w:t>
      </w:r>
      <w:r w:rsidR="00A06E02" w:rsidRPr="00A06E02">
        <w:rPr>
          <w:rFonts w:hAnsi="標楷體"/>
        </w:rPr>
        <w:t>%</w:t>
      </w:r>
      <w:r w:rsidRPr="00A06E02">
        <w:rPr>
          <w:rFonts w:hAnsi="標楷體"/>
        </w:rPr>
        <w:t>，顯示ROTC學生自108年班後有退訓率增加，且畢業任官意願逐年降低之趨勢</w:t>
      </w:r>
      <w:r w:rsidRPr="00A06E02">
        <w:rPr>
          <w:rFonts w:hAnsi="標楷體" w:hint="eastAsia"/>
        </w:rPr>
        <w:t>。</w:t>
      </w:r>
      <w:r w:rsidRPr="00A06E02">
        <w:rPr>
          <w:rFonts w:hAnsi="標楷體"/>
        </w:rPr>
        <w:t>有關105年至111年ROTC與軍事正期班招生員額、人員報到、退訓與任官情形統計如下表。</w:t>
      </w:r>
    </w:p>
    <w:p w:rsidR="00C47F36" w:rsidRPr="00A06E02" w:rsidRDefault="00C47F36" w:rsidP="00C47F36">
      <w:pPr>
        <w:pStyle w:val="a5"/>
        <w:rPr>
          <w:rFonts w:hAnsi="標楷體"/>
        </w:rPr>
      </w:pPr>
      <w:r w:rsidRPr="00A06E02">
        <w:rPr>
          <w:rFonts w:hAnsi="標楷體"/>
        </w:rPr>
        <w:t>105年至111年ROTC與軍事正期班人數統計表</w:t>
      </w:r>
    </w:p>
    <w:tbl>
      <w:tblPr>
        <w:tblStyle w:val="13"/>
        <w:tblW w:w="8839" w:type="dxa"/>
        <w:jc w:val="center"/>
        <w:tblLayout w:type="fixed"/>
        <w:tblLook w:val="04A0" w:firstRow="1" w:lastRow="0" w:firstColumn="1" w:lastColumn="0" w:noHBand="0" w:noVBand="1"/>
      </w:tblPr>
      <w:tblGrid>
        <w:gridCol w:w="780"/>
        <w:gridCol w:w="1483"/>
        <w:gridCol w:w="1035"/>
        <w:gridCol w:w="923"/>
        <w:gridCol w:w="1019"/>
        <w:gridCol w:w="828"/>
        <w:gridCol w:w="924"/>
        <w:gridCol w:w="923"/>
        <w:gridCol w:w="924"/>
      </w:tblGrid>
      <w:tr w:rsidR="00C47F36" w:rsidRPr="00A06E02" w:rsidTr="00FF3BE7">
        <w:trPr>
          <w:trHeight w:val="840"/>
          <w:tblHeader/>
          <w:jc w:val="center"/>
        </w:trPr>
        <w:tc>
          <w:tcPr>
            <w:tcW w:w="780" w:type="dxa"/>
            <w:shd w:val="clear" w:color="auto" w:fill="DAEEF3" w:themeFill="accent5" w:themeFillTint="33"/>
            <w:vAlign w:val="center"/>
            <w:hideMark/>
          </w:tcPr>
          <w:p w:rsidR="00C47F36" w:rsidRPr="00A06E02" w:rsidRDefault="00C47F36" w:rsidP="00FF3BE7">
            <w:pPr>
              <w:widowControl/>
              <w:ind w:leftChars="-10" w:left="-34"/>
              <w:jc w:val="center"/>
              <w:rPr>
                <w:rFonts w:hAnsi="標楷體"/>
                <w:spacing w:val="-20"/>
                <w:kern w:val="0"/>
                <w:sz w:val="28"/>
                <w:szCs w:val="24"/>
              </w:rPr>
            </w:pPr>
            <w:r w:rsidRPr="00A06E02">
              <w:rPr>
                <w:rFonts w:hAnsi="標楷體"/>
                <w:spacing w:val="-20"/>
                <w:kern w:val="0"/>
                <w:sz w:val="28"/>
                <w:szCs w:val="24"/>
              </w:rPr>
              <w:t>年度</w:t>
            </w:r>
          </w:p>
        </w:tc>
        <w:tc>
          <w:tcPr>
            <w:tcW w:w="1483" w:type="dxa"/>
            <w:shd w:val="clear" w:color="auto" w:fill="DAEEF3" w:themeFill="accent5" w:themeFillTint="33"/>
            <w:vAlign w:val="center"/>
            <w:hideMark/>
          </w:tcPr>
          <w:p w:rsidR="00C47F36" w:rsidRPr="00A06E02" w:rsidRDefault="00C47F36" w:rsidP="00FF3BE7">
            <w:pPr>
              <w:widowControl/>
              <w:jc w:val="center"/>
              <w:rPr>
                <w:rFonts w:hAnsi="標楷體"/>
                <w:kern w:val="0"/>
                <w:sz w:val="28"/>
                <w:szCs w:val="24"/>
              </w:rPr>
            </w:pPr>
            <w:r w:rsidRPr="00A06E02">
              <w:rPr>
                <w:rFonts w:hAnsi="標楷體"/>
                <w:kern w:val="0"/>
                <w:sz w:val="28"/>
                <w:szCs w:val="24"/>
              </w:rPr>
              <w:t>班別</w:t>
            </w:r>
          </w:p>
        </w:tc>
        <w:tc>
          <w:tcPr>
            <w:tcW w:w="1035" w:type="dxa"/>
            <w:shd w:val="clear" w:color="auto" w:fill="DAEEF3" w:themeFill="accent5" w:themeFillTint="33"/>
            <w:vAlign w:val="center"/>
          </w:tcPr>
          <w:p w:rsidR="00C47F36" w:rsidRPr="00A06E02" w:rsidRDefault="00C47F36" w:rsidP="00FF3BE7">
            <w:pPr>
              <w:widowControl/>
              <w:jc w:val="center"/>
              <w:rPr>
                <w:rFonts w:hAnsi="標楷體"/>
                <w:kern w:val="0"/>
                <w:sz w:val="28"/>
                <w:szCs w:val="24"/>
              </w:rPr>
            </w:pPr>
            <w:r w:rsidRPr="00A06E02">
              <w:rPr>
                <w:rFonts w:hAnsi="標楷體"/>
                <w:kern w:val="0"/>
                <w:sz w:val="28"/>
                <w:szCs w:val="24"/>
              </w:rPr>
              <w:t>招生員額</w:t>
            </w:r>
          </w:p>
        </w:tc>
        <w:tc>
          <w:tcPr>
            <w:tcW w:w="923" w:type="dxa"/>
            <w:shd w:val="clear" w:color="auto" w:fill="DAEEF3" w:themeFill="accent5" w:themeFillTint="33"/>
            <w:vAlign w:val="center"/>
            <w:hideMark/>
          </w:tcPr>
          <w:p w:rsidR="00C47F36" w:rsidRPr="00A06E02" w:rsidRDefault="00C47F36" w:rsidP="00FF3BE7">
            <w:pPr>
              <w:widowControl/>
              <w:jc w:val="center"/>
              <w:rPr>
                <w:rFonts w:hAnsi="標楷體"/>
                <w:kern w:val="0"/>
                <w:sz w:val="28"/>
                <w:szCs w:val="24"/>
              </w:rPr>
            </w:pPr>
            <w:r w:rsidRPr="00A06E02">
              <w:rPr>
                <w:rFonts w:hAnsi="標楷體"/>
                <w:kern w:val="0"/>
                <w:sz w:val="28"/>
                <w:szCs w:val="24"/>
              </w:rPr>
              <w:t>報到人數</w:t>
            </w:r>
          </w:p>
        </w:tc>
        <w:tc>
          <w:tcPr>
            <w:tcW w:w="1019" w:type="dxa"/>
            <w:shd w:val="clear" w:color="auto" w:fill="DAEEF3" w:themeFill="accent5" w:themeFillTint="33"/>
            <w:vAlign w:val="center"/>
            <w:hideMark/>
          </w:tcPr>
          <w:p w:rsidR="00C47F36" w:rsidRPr="00A06E02" w:rsidRDefault="00C47F36" w:rsidP="00FF3BE7">
            <w:pPr>
              <w:widowControl/>
              <w:ind w:leftChars="-65" w:left="-221" w:rightChars="-62" w:right="-211"/>
              <w:jc w:val="center"/>
              <w:rPr>
                <w:rFonts w:hAnsi="標楷體"/>
                <w:kern w:val="0"/>
                <w:sz w:val="28"/>
                <w:szCs w:val="24"/>
              </w:rPr>
            </w:pPr>
            <w:r w:rsidRPr="00A06E02">
              <w:rPr>
                <w:rFonts w:hAnsi="標楷體"/>
                <w:kern w:val="0"/>
                <w:sz w:val="28"/>
                <w:szCs w:val="24"/>
              </w:rPr>
              <w:t>報到率</w:t>
            </w:r>
          </w:p>
        </w:tc>
        <w:tc>
          <w:tcPr>
            <w:tcW w:w="828" w:type="dxa"/>
            <w:shd w:val="clear" w:color="auto" w:fill="DAEEF3" w:themeFill="accent5" w:themeFillTint="33"/>
            <w:vAlign w:val="center"/>
            <w:hideMark/>
          </w:tcPr>
          <w:p w:rsidR="00C47F36" w:rsidRPr="00A06E02" w:rsidRDefault="00C47F36" w:rsidP="00FF3BE7">
            <w:pPr>
              <w:widowControl/>
              <w:jc w:val="center"/>
              <w:rPr>
                <w:rFonts w:hAnsi="標楷體"/>
                <w:kern w:val="0"/>
                <w:sz w:val="28"/>
                <w:szCs w:val="24"/>
              </w:rPr>
            </w:pPr>
            <w:r w:rsidRPr="00A06E02">
              <w:rPr>
                <w:rFonts w:hAnsi="標楷體"/>
                <w:kern w:val="0"/>
                <w:sz w:val="28"/>
                <w:szCs w:val="24"/>
              </w:rPr>
              <w:t>退訓人數</w:t>
            </w:r>
          </w:p>
        </w:tc>
        <w:tc>
          <w:tcPr>
            <w:tcW w:w="924" w:type="dxa"/>
            <w:shd w:val="clear" w:color="auto" w:fill="DAEEF3" w:themeFill="accent5" w:themeFillTint="33"/>
            <w:vAlign w:val="center"/>
            <w:hideMark/>
          </w:tcPr>
          <w:p w:rsidR="00C47F36" w:rsidRPr="00A06E02" w:rsidRDefault="00C47F36" w:rsidP="00FF3BE7">
            <w:pPr>
              <w:widowControl/>
              <w:ind w:leftChars="-65" w:left="-221" w:rightChars="-62" w:right="-211"/>
              <w:jc w:val="center"/>
              <w:rPr>
                <w:rFonts w:hAnsi="標楷體"/>
                <w:kern w:val="0"/>
                <w:sz w:val="28"/>
                <w:szCs w:val="24"/>
              </w:rPr>
            </w:pPr>
            <w:r w:rsidRPr="00A06E02">
              <w:rPr>
                <w:rFonts w:hAnsi="標楷體"/>
                <w:kern w:val="0"/>
                <w:sz w:val="28"/>
                <w:szCs w:val="24"/>
              </w:rPr>
              <w:t>退訓率</w:t>
            </w:r>
          </w:p>
        </w:tc>
        <w:tc>
          <w:tcPr>
            <w:tcW w:w="923" w:type="dxa"/>
            <w:shd w:val="clear" w:color="auto" w:fill="DAEEF3" w:themeFill="accent5" w:themeFillTint="33"/>
            <w:vAlign w:val="center"/>
            <w:hideMark/>
          </w:tcPr>
          <w:p w:rsidR="00C47F36" w:rsidRPr="00A06E02" w:rsidRDefault="00C47F36" w:rsidP="00FF3BE7">
            <w:pPr>
              <w:widowControl/>
              <w:jc w:val="center"/>
              <w:rPr>
                <w:rFonts w:hAnsi="標楷體"/>
                <w:kern w:val="0"/>
                <w:sz w:val="28"/>
                <w:szCs w:val="24"/>
              </w:rPr>
            </w:pPr>
            <w:r w:rsidRPr="00A06E02">
              <w:rPr>
                <w:rFonts w:hAnsi="標楷體"/>
                <w:kern w:val="0"/>
                <w:sz w:val="28"/>
                <w:szCs w:val="24"/>
              </w:rPr>
              <w:t>任官人數</w:t>
            </w:r>
          </w:p>
        </w:tc>
        <w:tc>
          <w:tcPr>
            <w:tcW w:w="924" w:type="dxa"/>
            <w:shd w:val="clear" w:color="auto" w:fill="DAEEF3" w:themeFill="accent5" w:themeFillTint="33"/>
            <w:vAlign w:val="center"/>
            <w:hideMark/>
          </w:tcPr>
          <w:p w:rsidR="00C47F36" w:rsidRPr="00A06E02" w:rsidRDefault="00C47F36" w:rsidP="00FF3BE7">
            <w:pPr>
              <w:widowControl/>
              <w:ind w:leftChars="-65" w:left="-221" w:rightChars="-62" w:right="-211"/>
              <w:jc w:val="center"/>
              <w:rPr>
                <w:rFonts w:hAnsi="標楷體"/>
                <w:kern w:val="0"/>
                <w:sz w:val="28"/>
                <w:szCs w:val="24"/>
              </w:rPr>
            </w:pPr>
            <w:r w:rsidRPr="00A06E02">
              <w:rPr>
                <w:rFonts w:hAnsi="標楷體"/>
                <w:kern w:val="0"/>
                <w:sz w:val="28"/>
                <w:szCs w:val="24"/>
              </w:rPr>
              <w:t>任官率</w:t>
            </w:r>
          </w:p>
        </w:tc>
      </w:tr>
      <w:tr w:rsidR="00C47F36" w:rsidRPr="00A06E02" w:rsidTr="00FF3BE7">
        <w:trPr>
          <w:trHeight w:val="405"/>
          <w:jc w:val="center"/>
        </w:trPr>
        <w:tc>
          <w:tcPr>
            <w:tcW w:w="780" w:type="dxa"/>
            <w:vMerge w:val="restart"/>
            <w:hideMark/>
          </w:tcPr>
          <w:p w:rsidR="00C47F36" w:rsidRPr="00A06E02" w:rsidRDefault="00C47F36" w:rsidP="00FF3BE7">
            <w:pPr>
              <w:widowControl/>
              <w:ind w:leftChars="-10" w:left="-34" w:rightChars="-51" w:right="-173"/>
              <w:rPr>
                <w:rFonts w:hAnsi="標楷體"/>
                <w:spacing w:val="-20"/>
                <w:kern w:val="0"/>
                <w:sz w:val="28"/>
                <w:szCs w:val="24"/>
              </w:rPr>
            </w:pPr>
            <w:r w:rsidRPr="00A06E02">
              <w:rPr>
                <w:rFonts w:hAnsi="標楷體"/>
                <w:spacing w:val="-20"/>
                <w:kern w:val="0"/>
                <w:sz w:val="28"/>
                <w:szCs w:val="24"/>
              </w:rPr>
              <w:t>105年</w:t>
            </w:r>
          </w:p>
        </w:tc>
        <w:tc>
          <w:tcPr>
            <w:tcW w:w="1483" w:type="dxa"/>
            <w:hideMark/>
          </w:tcPr>
          <w:p w:rsidR="00C47F36" w:rsidRPr="00A06E02" w:rsidRDefault="00C47F36" w:rsidP="00FF3BE7">
            <w:pPr>
              <w:widowControl/>
              <w:rPr>
                <w:rFonts w:hAnsi="標楷體"/>
                <w:kern w:val="0"/>
                <w:sz w:val="28"/>
                <w:szCs w:val="24"/>
              </w:rPr>
            </w:pPr>
            <w:r w:rsidRPr="00A06E02">
              <w:rPr>
                <w:rFonts w:hAnsi="標楷體"/>
                <w:kern w:val="0"/>
                <w:sz w:val="28"/>
                <w:szCs w:val="24"/>
              </w:rPr>
              <w:t>ROTC</w:t>
            </w:r>
          </w:p>
        </w:tc>
        <w:tc>
          <w:tcPr>
            <w:tcW w:w="1035"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138</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18</w:t>
            </w:r>
          </w:p>
        </w:tc>
        <w:tc>
          <w:tcPr>
            <w:tcW w:w="1019"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13.0%</w:t>
            </w:r>
          </w:p>
        </w:tc>
        <w:tc>
          <w:tcPr>
            <w:tcW w:w="828"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8</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44.4%</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10</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55.6%</w:t>
            </w:r>
          </w:p>
        </w:tc>
      </w:tr>
      <w:tr w:rsidR="00C47F36" w:rsidRPr="00A06E02" w:rsidTr="00FF3BE7">
        <w:trPr>
          <w:trHeight w:val="439"/>
          <w:jc w:val="center"/>
        </w:trPr>
        <w:tc>
          <w:tcPr>
            <w:tcW w:w="780" w:type="dxa"/>
            <w:vMerge/>
            <w:hideMark/>
          </w:tcPr>
          <w:p w:rsidR="00C47F36" w:rsidRPr="00A06E02" w:rsidRDefault="00C47F36" w:rsidP="00FF3BE7">
            <w:pPr>
              <w:widowControl/>
              <w:ind w:leftChars="-10" w:left="-34"/>
              <w:rPr>
                <w:rFonts w:hAnsi="標楷體"/>
                <w:spacing w:val="-20"/>
                <w:kern w:val="0"/>
                <w:sz w:val="28"/>
                <w:szCs w:val="24"/>
              </w:rPr>
            </w:pPr>
          </w:p>
        </w:tc>
        <w:tc>
          <w:tcPr>
            <w:tcW w:w="1483" w:type="dxa"/>
            <w:hideMark/>
          </w:tcPr>
          <w:p w:rsidR="00C47F36" w:rsidRPr="00A06E02" w:rsidRDefault="00C47F36" w:rsidP="00FF3BE7">
            <w:pPr>
              <w:widowControl/>
              <w:ind w:leftChars="-10" w:left="-34"/>
              <w:rPr>
                <w:rFonts w:hAnsi="標楷體"/>
                <w:spacing w:val="-20"/>
                <w:kern w:val="0"/>
                <w:sz w:val="28"/>
                <w:szCs w:val="24"/>
              </w:rPr>
            </w:pPr>
            <w:r w:rsidRPr="00A06E02">
              <w:rPr>
                <w:rFonts w:hAnsi="標楷體"/>
                <w:spacing w:val="-20"/>
                <w:kern w:val="0"/>
                <w:sz w:val="28"/>
                <w:szCs w:val="24"/>
              </w:rPr>
              <w:t>軍事正期班</w:t>
            </w:r>
          </w:p>
        </w:tc>
        <w:tc>
          <w:tcPr>
            <w:tcW w:w="1035"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1,290</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1,285</w:t>
            </w:r>
          </w:p>
        </w:tc>
        <w:tc>
          <w:tcPr>
            <w:tcW w:w="1019"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99.6%</w:t>
            </w:r>
          </w:p>
        </w:tc>
        <w:tc>
          <w:tcPr>
            <w:tcW w:w="828"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389</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30.3%</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722</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56.2%</w:t>
            </w:r>
          </w:p>
        </w:tc>
      </w:tr>
      <w:tr w:rsidR="00C47F36" w:rsidRPr="00A06E02" w:rsidTr="00FF3BE7">
        <w:trPr>
          <w:trHeight w:val="405"/>
          <w:jc w:val="center"/>
        </w:trPr>
        <w:tc>
          <w:tcPr>
            <w:tcW w:w="780" w:type="dxa"/>
            <w:vMerge w:val="restart"/>
            <w:hideMark/>
          </w:tcPr>
          <w:p w:rsidR="00C47F36" w:rsidRPr="00A06E02" w:rsidRDefault="00C47F36" w:rsidP="00FF3BE7">
            <w:pPr>
              <w:widowControl/>
              <w:ind w:leftChars="-10" w:left="-34" w:rightChars="-51" w:right="-173"/>
              <w:rPr>
                <w:rFonts w:hAnsi="標楷體"/>
                <w:spacing w:val="-20"/>
                <w:kern w:val="0"/>
                <w:sz w:val="28"/>
                <w:szCs w:val="24"/>
              </w:rPr>
            </w:pPr>
            <w:r w:rsidRPr="00A06E02">
              <w:rPr>
                <w:rFonts w:hAnsi="標楷體"/>
                <w:spacing w:val="-20"/>
                <w:kern w:val="0"/>
                <w:sz w:val="28"/>
                <w:szCs w:val="24"/>
              </w:rPr>
              <w:t>106年</w:t>
            </w:r>
          </w:p>
        </w:tc>
        <w:tc>
          <w:tcPr>
            <w:tcW w:w="1483" w:type="dxa"/>
            <w:hideMark/>
          </w:tcPr>
          <w:p w:rsidR="00C47F36" w:rsidRPr="00A06E02" w:rsidRDefault="00C47F36" w:rsidP="00FF3BE7">
            <w:pPr>
              <w:widowControl/>
              <w:rPr>
                <w:rFonts w:hAnsi="標楷體"/>
                <w:kern w:val="0"/>
                <w:sz w:val="28"/>
                <w:szCs w:val="24"/>
              </w:rPr>
            </w:pPr>
            <w:r w:rsidRPr="00A06E02">
              <w:rPr>
                <w:rFonts w:hAnsi="標楷體"/>
                <w:kern w:val="0"/>
                <w:sz w:val="28"/>
                <w:szCs w:val="24"/>
              </w:rPr>
              <w:t>ROTC</w:t>
            </w:r>
          </w:p>
        </w:tc>
        <w:tc>
          <w:tcPr>
            <w:tcW w:w="1035"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60</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26</w:t>
            </w:r>
          </w:p>
        </w:tc>
        <w:tc>
          <w:tcPr>
            <w:tcW w:w="1019"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43.3%</w:t>
            </w:r>
          </w:p>
        </w:tc>
        <w:tc>
          <w:tcPr>
            <w:tcW w:w="828"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5</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19.2%</w:t>
            </w:r>
          </w:p>
        </w:tc>
        <w:tc>
          <w:tcPr>
            <w:tcW w:w="923" w:type="dxa"/>
            <w:hideMark/>
          </w:tcPr>
          <w:p w:rsidR="00C47F36" w:rsidRPr="00A06E02" w:rsidRDefault="00C47F36" w:rsidP="00FF3BE7">
            <w:pPr>
              <w:widowControl/>
              <w:jc w:val="right"/>
              <w:rPr>
                <w:rFonts w:hAnsi="標楷體"/>
                <w:spacing w:val="-20"/>
                <w:kern w:val="0"/>
                <w:sz w:val="28"/>
                <w:szCs w:val="24"/>
              </w:rPr>
            </w:pPr>
            <w:r w:rsidRPr="00A06E02">
              <w:rPr>
                <w:rFonts w:hAnsi="標楷體"/>
                <w:spacing w:val="-20"/>
                <w:kern w:val="0"/>
                <w:sz w:val="28"/>
                <w:szCs w:val="24"/>
              </w:rPr>
              <w:t>21</w:t>
            </w:r>
          </w:p>
        </w:tc>
        <w:tc>
          <w:tcPr>
            <w:tcW w:w="924" w:type="dxa"/>
            <w:hideMark/>
          </w:tcPr>
          <w:p w:rsidR="00C47F36" w:rsidRPr="00A06E02" w:rsidRDefault="00C47F36" w:rsidP="00FF3BE7">
            <w:pPr>
              <w:widowControl/>
              <w:ind w:leftChars="-23" w:left="-78"/>
              <w:jc w:val="right"/>
              <w:rPr>
                <w:rFonts w:hAnsi="標楷體"/>
                <w:spacing w:val="-20"/>
                <w:kern w:val="0"/>
                <w:sz w:val="28"/>
                <w:szCs w:val="24"/>
              </w:rPr>
            </w:pPr>
            <w:r w:rsidRPr="00A06E02">
              <w:rPr>
                <w:rFonts w:hAnsi="標楷體"/>
                <w:spacing w:val="-20"/>
                <w:kern w:val="0"/>
                <w:sz w:val="28"/>
                <w:szCs w:val="24"/>
              </w:rPr>
              <w:t>80.8%</w:t>
            </w:r>
          </w:p>
        </w:tc>
      </w:tr>
      <w:tr w:rsidR="00C47F36" w:rsidRPr="006B27CD" w:rsidTr="00FF3BE7">
        <w:trPr>
          <w:trHeight w:val="282"/>
          <w:jc w:val="center"/>
        </w:trPr>
        <w:tc>
          <w:tcPr>
            <w:tcW w:w="780" w:type="dxa"/>
            <w:vMerge/>
            <w:hideMark/>
          </w:tcPr>
          <w:p w:rsidR="00C47F36" w:rsidRPr="006B27CD" w:rsidRDefault="00C47F36" w:rsidP="00FF3BE7">
            <w:pPr>
              <w:widowControl/>
              <w:ind w:leftChars="-10" w:left="-34" w:rightChars="-51" w:right="-173"/>
              <w:rPr>
                <w:rFonts w:hAnsi="標楷體"/>
                <w:spacing w:val="-20"/>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1,260</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1,192</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94.6%</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253</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21.2%</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898</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75.3%</w:t>
            </w:r>
          </w:p>
        </w:tc>
      </w:tr>
      <w:tr w:rsidR="00C47F36" w:rsidRPr="006B27CD" w:rsidTr="00FF3BE7">
        <w:trPr>
          <w:trHeight w:val="405"/>
          <w:jc w:val="center"/>
        </w:trPr>
        <w:tc>
          <w:tcPr>
            <w:tcW w:w="780" w:type="dxa"/>
            <w:vMerge w:val="restart"/>
            <w:hideMark/>
          </w:tcPr>
          <w:p w:rsidR="00C47F36" w:rsidRPr="006B27CD" w:rsidRDefault="00C47F36" w:rsidP="00FF3BE7">
            <w:pPr>
              <w:widowControl/>
              <w:ind w:leftChars="-10" w:left="-34" w:rightChars="-51" w:right="-173"/>
              <w:rPr>
                <w:rFonts w:hAnsi="標楷體"/>
                <w:spacing w:val="-20"/>
                <w:kern w:val="0"/>
                <w:sz w:val="28"/>
                <w:szCs w:val="24"/>
              </w:rPr>
            </w:pPr>
            <w:r w:rsidRPr="006B27CD">
              <w:rPr>
                <w:rFonts w:hAnsi="標楷體"/>
                <w:spacing w:val="-20"/>
                <w:kern w:val="0"/>
                <w:sz w:val="28"/>
                <w:szCs w:val="24"/>
              </w:rPr>
              <w:t>107年</w:t>
            </w:r>
          </w:p>
        </w:tc>
        <w:tc>
          <w:tcPr>
            <w:tcW w:w="1483" w:type="dxa"/>
            <w:hideMark/>
          </w:tcPr>
          <w:p w:rsidR="00C47F36" w:rsidRPr="006B27CD" w:rsidRDefault="00C47F36" w:rsidP="00FF3BE7">
            <w:pPr>
              <w:widowControl/>
              <w:rPr>
                <w:rFonts w:hAnsi="標楷體"/>
                <w:kern w:val="0"/>
                <w:sz w:val="28"/>
                <w:szCs w:val="24"/>
              </w:rPr>
            </w:pPr>
            <w:r w:rsidRPr="006B27CD">
              <w:rPr>
                <w:rFonts w:hAnsi="標楷體"/>
                <w:kern w:val="0"/>
                <w:sz w:val="28"/>
                <w:szCs w:val="24"/>
              </w:rPr>
              <w:t>ROTC</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91</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74</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81.3%</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5</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6.8%</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69</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93.2%</w:t>
            </w:r>
          </w:p>
        </w:tc>
      </w:tr>
      <w:tr w:rsidR="00C47F36" w:rsidRPr="006B27CD" w:rsidTr="00FF3BE7">
        <w:trPr>
          <w:trHeight w:val="284"/>
          <w:jc w:val="center"/>
        </w:trPr>
        <w:tc>
          <w:tcPr>
            <w:tcW w:w="780" w:type="dxa"/>
            <w:vMerge/>
            <w:hideMark/>
          </w:tcPr>
          <w:p w:rsidR="00C47F36" w:rsidRPr="006B27CD" w:rsidRDefault="00C47F36" w:rsidP="00FF3BE7">
            <w:pPr>
              <w:widowControl/>
              <w:ind w:leftChars="-10" w:left="-34" w:rightChars="-51" w:right="-173"/>
              <w:rPr>
                <w:rFonts w:hAnsi="標楷體"/>
                <w:spacing w:val="-20"/>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1,424</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1,318</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92.6%</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249</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18.9%</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1,035</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78.5%</w:t>
            </w:r>
          </w:p>
        </w:tc>
      </w:tr>
      <w:tr w:rsidR="00C47F36" w:rsidRPr="006B27CD" w:rsidTr="00FF3BE7">
        <w:trPr>
          <w:trHeight w:val="405"/>
          <w:jc w:val="center"/>
        </w:trPr>
        <w:tc>
          <w:tcPr>
            <w:tcW w:w="780" w:type="dxa"/>
            <w:vMerge w:val="restart"/>
            <w:hideMark/>
          </w:tcPr>
          <w:p w:rsidR="00C47F36" w:rsidRPr="006B27CD" w:rsidRDefault="00C47F36" w:rsidP="00FF3BE7">
            <w:pPr>
              <w:widowControl/>
              <w:ind w:leftChars="-10" w:left="-34" w:rightChars="-51" w:right="-173"/>
              <w:rPr>
                <w:rFonts w:hAnsi="標楷體"/>
                <w:spacing w:val="-20"/>
                <w:kern w:val="0"/>
                <w:sz w:val="28"/>
                <w:szCs w:val="24"/>
              </w:rPr>
            </w:pPr>
            <w:r w:rsidRPr="006B27CD">
              <w:rPr>
                <w:rFonts w:hAnsi="標楷體"/>
                <w:spacing w:val="-20"/>
                <w:kern w:val="0"/>
                <w:sz w:val="28"/>
                <w:szCs w:val="24"/>
              </w:rPr>
              <w:t>108年</w:t>
            </w:r>
          </w:p>
        </w:tc>
        <w:tc>
          <w:tcPr>
            <w:tcW w:w="1483" w:type="dxa"/>
            <w:hideMark/>
          </w:tcPr>
          <w:p w:rsidR="00C47F36" w:rsidRPr="006B27CD" w:rsidRDefault="00C47F36" w:rsidP="00FF3BE7">
            <w:pPr>
              <w:widowControl/>
              <w:rPr>
                <w:rFonts w:hAnsi="標楷體"/>
                <w:kern w:val="0"/>
                <w:sz w:val="28"/>
                <w:szCs w:val="24"/>
              </w:rPr>
            </w:pPr>
            <w:r w:rsidRPr="006B27CD">
              <w:rPr>
                <w:rFonts w:hAnsi="標楷體"/>
                <w:kern w:val="0"/>
                <w:sz w:val="28"/>
                <w:szCs w:val="24"/>
              </w:rPr>
              <w:t>ROTC</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56</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265</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473.2%</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12</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4.5%</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253</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95.5%</w:t>
            </w:r>
          </w:p>
        </w:tc>
      </w:tr>
      <w:tr w:rsidR="00C47F36" w:rsidRPr="006B27CD" w:rsidTr="00FF3BE7">
        <w:trPr>
          <w:trHeight w:val="353"/>
          <w:jc w:val="center"/>
        </w:trPr>
        <w:tc>
          <w:tcPr>
            <w:tcW w:w="780" w:type="dxa"/>
            <w:vMerge/>
            <w:hideMark/>
          </w:tcPr>
          <w:p w:rsidR="00C47F36" w:rsidRPr="006B27CD" w:rsidRDefault="00C47F36" w:rsidP="00FF3BE7">
            <w:pPr>
              <w:widowControl/>
              <w:ind w:leftChars="-10" w:left="-34" w:rightChars="-51" w:right="-173"/>
              <w:rPr>
                <w:rFonts w:hAnsi="標楷體"/>
                <w:spacing w:val="-20"/>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1,178</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1,137</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96.5%</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123</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10.8%</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1,001</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88.0%</w:t>
            </w:r>
          </w:p>
        </w:tc>
      </w:tr>
      <w:tr w:rsidR="00C47F36" w:rsidRPr="006B27CD" w:rsidTr="00FF3BE7">
        <w:trPr>
          <w:trHeight w:val="405"/>
          <w:jc w:val="center"/>
        </w:trPr>
        <w:tc>
          <w:tcPr>
            <w:tcW w:w="780" w:type="dxa"/>
            <w:vMerge w:val="restart"/>
            <w:hideMark/>
          </w:tcPr>
          <w:p w:rsidR="00C47F36" w:rsidRPr="006B27CD" w:rsidRDefault="00C47F36" w:rsidP="00FF3BE7">
            <w:pPr>
              <w:widowControl/>
              <w:ind w:leftChars="-10" w:left="-34" w:rightChars="-51" w:right="-173"/>
              <w:rPr>
                <w:rFonts w:hAnsi="標楷體"/>
                <w:spacing w:val="-20"/>
                <w:kern w:val="0"/>
                <w:sz w:val="28"/>
                <w:szCs w:val="24"/>
              </w:rPr>
            </w:pPr>
            <w:r w:rsidRPr="006B27CD">
              <w:rPr>
                <w:rFonts w:hAnsi="標楷體"/>
                <w:spacing w:val="-20"/>
                <w:kern w:val="0"/>
                <w:sz w:val="28"/>
                <w:szCs w:val="24"/>
              </w:rPr>
              <w:t>109年</w:t>
            </w:r>
          </w:p>
        </w:tc>
        <w:tc>
          <w:tcPr>
            <w:tcW w:w="1483" w:type="dxa"/>
            <w:hideMark/>
          </w:tcPr>
          <w:p w:rsidR="00C47F36" w:rsidRPr="006B27CD" w:rsidRDefault="00C47F36" w:rsidP="00FF3BE7">
            <w:pPr>
              <w:widowControl/>
              <w:rPr>
                <w:rFonts w:hAnsi="標楷體"/>
                <w:kern w:val="0"/>
                <w:sz w:val="28"/>
                <w:szCs w:val="24"/>
              </w:rPr>
            </w:pPr>
            <w:r w:rsidRPr="006B27CD">
              <w:rPr>
                <w:rFonts w:hAnsi="標楷體"/>
                <w:kern w:val="0"/>
                <w:sz w:val="28"/>
                <w:szCs w:val="24"/>
              </w:rPr>
              <w:t>ROTC</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138</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195</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141.3%</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32</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16.4%</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163</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83.6%</w:t>
            </w:r>
          </w:p>
        </w:tc>
      </w:tr>
      <w:tr w:rsidR="00C47F36" w:rsidRPr="006B27CD" w:rsidTr="00FF3BE7">
        <w:trPr>
          <w:trHeight w:val="263"/>
          <w:jc w:val="center"/>
        </w:trPr>
        <w:tc>
          <w:tcPr>
            <w:tcW w:w="780" w:type="dxa"/>
            <w:vMerge/>
            <w:hideMark/>
          </w:tcPr>
          <w:p w:rsidR="00C47F36" w:rsidRPr="006B27CD" w:rsidRDefault="00C47F36" w:rsidP="00FF3BE7">
            <w:pPr>
              <w:widowControl/>
              <w:ind w:leftChars="-10" w:left="-34" w:rightChars="-51" w:right="-173"/>
              <w:rPr>
                <w:rFonts w:hAnsi="標楷體"/>
                <w:spacing w:val="-20"/>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1,320</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1,020</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77.3%</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176</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17.3%</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813</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79.7%</w:t>
            </w:r>
          </w:p>
        </w:tc>
      </w:tr>
      <w:tr w:rsidR="00C47F36" w:rsidRPr="006B27CD" w:rsidTr="00FF3BE7">
        <w:trPr>
          <w:trHeight w:val="405"/>
          <w:jc w:val="center"/>
        </w:trPr>
        <w:tc>
          <w:tcPr>
            <w:tcW w:w="780" w:type="dxa"/>
            <w:vMerge w:val="restart"/>
            <w:hideMark/>
          </w:tcPr>
          <w:p w:rsidR="00C47F36" w:rsidRPr="006B27CD" w:rsidRDefault="00C47F36" w:rsidP="00FF3BE7">
            <w:pPr>
              <w:widowControl/>
              <w:ind w:leftChars="-10" w:left="-34" w:rightChars="-51" w:right="-173"/>
              <w:rPr>
                <w:rFonts w:hAnsi="標楷體"/>
                <w:spacing w:val="-20"/>
                <w:kern w:val="0"/>
                <w:sz w:val="28"/>
                <w:szCs w:val="24"/>
              </w:rPr>
            </w:pPr>
            <w:r w:rsidRPr="006B27CD">
              <w:rPr>
                <w:rFonts w:hAnsi="標楷體"/>
                <w:spacing w:val="-20"/>
                <w:kern w:val="0"/>
                <w:sz w:val="28"/>
                <w:szCs w:val="24"/>
              </w:rPr>
              <w:t>110年</w:t>
            </w:r>
          </w:p>
        </w:tc>
        <w:tc>
          <w:tcPr>
            <w:tcW w:w="1483" w:type="dxa"/>
            <w:hideMark/>
          </w:tcPr>
          <w:p w:rsidR="00C47F36" w:rsidRPr="006B27CD" w:rsidRDefault="00C47F36" w:rsidP="00FF3BE7">
            <w:pPr>
              <w:widowControl/>
              <w:rPr>
                <w:rFonts w:hAnsi="標楷體"/>
                <w:kern w:val="0"/>
                <w:sz w:val="28"/>
                <w:szCs w:val="24"/>
              </w:rPr>
            </w:pPr>
            <w:r w:rsidRPr="006B27CD">
              <w:rPr>
                <w:rFonts w:hAnsi="標楷體"/>
                <w:kern w:val="0"/>
                <w:sz w:val="28"/>
                <w:szCs w:val="24"/>
              </w:rPr>
              <w:t>ROTC</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600</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560</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93.3%</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158</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28.2%</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402</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71.8%</w:t>
            </w:r>
          </w:p>
        </w:tc>
      </w:tr>
      <w:tr w:rsidR="00C47F36" w:rsidRPr="006B27CD" w:rsidTr="00FF3BE7">
        <w:trPr>
          <w:trHeight w:val="122"/>
          <w:jc w:val="center"/>
        </w:trPr>
        <w:tc>
          <w:tcPr>
            <w:tcW w:w="780" w:type="dxa"/>
            <w:vMerge/>
            <w:hideMark/>
          </w:tcPr>
          <w:p w:rsidR="00C47F36" w:rsidRPr="006B27CD" w:rsidRDefault="00C47F36" w:rsidP="00FF3BE7">
            <w:pPr>
              <w:widowControl/>
              <w:ind w:leftChars="-10" w:left="-34" w:rightChars="-51" w:right="-173"/>
              <w:rPr>
                <w:rFonts w:hAnsi="標楷體"/>
                <w:spacing w:val="-20"/>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1,848</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1,206</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65.3%</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269</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22.3%</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904</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75.0%</w:t>
            </w:r>
          </w:p>
        </w:tc>
      </w:tr>
      <w:tr w:rsidR="00C47F36" w:rsidRPr="006B27CD" w:rsidTr="00FF3BE7">
        <w:trPr>
          <w:trHeight w:val="405"/>
          <w:jc w:val="center"/>
        </w:trPr>
        <w:tc>
          <w:tcPr>
            <w:tcW w:w="780" w:type="dxa"/>
            <w:vMerge w:val="restart"/>
            <w:hideMark/>
          </w:tcPr>
          <w:p w:rsidR="00C47F36" w:rsidRPr="006B27CD" w:rsidRDefault="00C47F36" w:rsidP="00FF3BE7">
            <w:pPr>
              <w:widowControl/>
              <w:ind w:leftChars="-10" w:left="-34" w:rightChars="-51" w:right="-173"/>
              <w:rPr>
                <w:rFonts w:hAnsi="標楷體"/>
                <w:spacing w:val="-20"/>
                <w:kern w:val="0"/>
                <w:sz w:val="28"/>
                <w:szCs w:val="24"/>
              </w:rPr>
            </w:pPr>
            <w:r w:rsidRPr="006B27CD">
              <w:rPr>
                <w:rFonts w:hAnsi="標楷體"/>
                <w:spacing w:val="-20"/>
                <w:kern w:val="0"/>
                <w:sz w:val="28"/>
                <w:szCs w:val="24"/>
              </w:rPr>
              <w:t>111年</w:t>
            </w:r>
          </w:p>
        </w:tc>
        <w:tc>
          <w:tcPr>
            <w:tcW w:w="1483" w:type="dxa"/>
            <w:hideMark/>
          </w:tcPr>
          <w:p w:rsidR="00C47F36" w:rsidRPr="006B27CD" w:rsidRDefault="00C47F36" w:rsidP="00FF3BE7">
            <w:pPr>
              <w:widowControl/>
              <w:rPr>
                <w:rFonts w:hAnsi="標楷體"/>
                <w:kern w:val="0"/>
                <w:sz w:val="28"/>
                <w:szCs w:val="24"/>
              </w:rPr>
            </w:pPr>
            <w:r w:rsidRPr="006B27CD">
              <w:rPr>
                <w:rFonts w:hAnsi="標楷體"/>
                <w:kern w:val="0"/>
                <w:sz w:val="28"/>
                <w:szCs w:val="24"/>
              </w:rPr>
              <w:t>ROTC</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225</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902</w:t>
            </w:r>
          </w:p>
        </w:tc>
        <w:tc>
          <w:tcPr>
            <w:tcW w:w="1019"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400.9%</w:t>
            </w:r>
          </w:p>
        </w:tc>
        <w:tc>
          <w:tcPr>
            <w:tcW w:w="828"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265</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29.4%</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637</w:t>
            </w:r>
          </w:p>
        </w:tc>
        <w:tc>
          <w:tcPr>
            <w:tcW w:w="924" w:type="dxa"/>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70.6%</w:t>
            </w:r>
          </w:p>
        </w:tc>
      </w:tr>
      <w:tr w:rsidR="00C47F36" w:rsidRPr="006B27CD" w:rsidTr="00FF3BE7">
        <w:trPr>
          <w:trHeight w:val="189"/>
          <w:jc w:val="center"/>
        </w:trPr>
        <w:tc>
          <w:tcPr>
            <w:tcW w:w="780" w:type="dxa"/>
            <w:vMerge/>
            <w:hideMark/>
          </w:tcPr>
          <w:p w:rsidR="00C47F36" w:rsidRPr="006B27CD" w:rsidRDefault="00C47F36" w:rsidP="00FF3BE7">
            <w:pPr>
              <w:widowControl/>
              <w:rPr>
                <w:rFonts w:hAnsi="標楷體"/>
                <w:kern w:val="0"/>
                <w:sz w:val="28"/>
                <w:szCs w:val="24"/>
              </w:rPr>
            </w:pPr>
          </w:p>
        </w:tc>
        <w:tc>
          <w:tcPr>
            <w:tcW w:w="1483" w:type="dxa"/>
            <w:hideMark/>
          </w:tcPr>
          <w:p w:rsidR="00C47F36" w:rsidRPr="006B27CD" w:rsidRDefault="00C47F36" w:rsidP="00FF3BE7">
            <w:pPr>
              <w:widowControl/>
              <w:ind w:leftChars="-10" w:left="-34"/>
              <w:rPr>
                <w:rFonts w:hAnsi="標楷體"/>
                <w:kern w:val="0"/>
                <w:sz w:val="28"/>
                <w:szCs w:val="24"/>
              </w:rPr>
            </w:pPr>
            <w:r w:rsidRPr="006B27CD">
              <w:rPr>
                <w:rFonts w:hAnsi="標楷體"/>
                <w:spacing w:val="-20"/>
                <w:kern w:val="0"/>
                <w:sz w:val="28"/>
                <w:szCs w:val="24"/>
              </w:rPr>
              <w:t>軍事正期班</w:t>
            </w:r>
          </w:p>
        </w:tc>
        <w:tc>
          <w:tcPr>
            <w:tcW w:w="1035"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1,704</w:t>
            </w:r>
          </w:p>
        </w:tc>
        <w:tc>
          <w:tcPr>
            <w:tcW w:w="923" w:type="dxa"/>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1,576</w:t>
            </w:r>
          </w:p>
        </w:tc>
        <w:tc>
          <w:tcPr>
            <w:tcW w:w="1019" w:type="dxa"/>
            <w:tcBorders>
              <w:bottom w:val="single" w:sz="2" w:space="0" w:color="000000"/>
            </w:tcBorders>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92.5%</w:t>
            </w:r>
          </w:p>
        </w:tc>
        <w:tc>
          <w:tcPr>
            <w:tcW w:w="828" w:type="dxa"/>
            <w:tcBorders>
              <w:bottom w:val="single" w:sz="2" w:space="0" w:color="000000"/>
            </w:tcBorders>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299</w:t>
            </w:r>
          </w:p>
        </w:tc>
        <w:tc>
          <w:tcPr>
            <w:tcW w:w="924" w:type="dxa"/>
            <w:tcBorders>
              <w:bottom w:val="single" w:sz="2" w:space="0" w:color="000000"/>
            </w:tcBorders>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19.0%</w:t>
            </w:r>
          </w:p>
        </w:tc>
        <w:tc>
          <w:tcPr>
            <w:tcW w:w="923" w:type="dxa"/>
            <w:tcBorders>
              <w:bottom w:val="single" w:sz="2" w:space="0" w:color="000000"/>
            </w:tcBorders>
            <w:hideMark/>
          </w:tcPr>
          <w:p w:rsidR="00C47F36" w:rsidRPr="006B27CD" w:rsidRDefault="00C47F36" w:rsidP="00FF3BE7">
            <w:pPr>
              <w:widowControl/>
              <w:jc w:val="right"/>
              <w:rPr>
                <w:rFonts w:hAnsi="標楷體"/>
                <w:spacing w:val="-20"/>
                <w:kern w:val="0"/>
                <w:sz w:val="28"/>
                <w:szCs w:val="24"/>
              </w:rPr>
            </w:pPr>
            <w:r w:rsidRPr="006B27CD">
              <w:rPr>
                <w:rFonts w:hAnsi="標楷體"/>
                <w:spacing w:val="-20"/>
                <w:kern w:val="0"/>
                <w:sz w:val="28"/>
                <w:szCs w:val="24"/>
              </w:rPr>
              <w:t>1,143</w:t>
            </w:r>
          </w:p>
        </w:tc>
        <w:tc>
          <w:tcPr>
            <w:tcW w:w="924" w:type="dxa"/>
            <w:tcBorders>
              <w:bottom w:val="single" w:sz="2" w:space="0" w:color="000000"/>
            </w:tcBorders>
            <w:hideMark/>
          </w:tcPr>
          <w:p w:rsidR="00C47F36" w:rsidRPr="006B27CD" w:rsidRDefault="00C47F36" w:rsidP="00FF3BE7">
            <w:pPr>
              <w:widowControl/>
              <w:ind w:leftChars="-23" w:left="-78"/>
              <w:jc w:val="right"/>
              <w:rPr>
                <w:rFonts w:hAnsi="標楷體"/>
                <w:spacing w:val="-20"/>
                <w:kern w:val="0"/>
                <w:sz w:val="28"/>
                <w:szCs w:val="24"/>
              </w:rPr>
            </w:pPr>
            <w:r w:rsidRPr="006B27CD">
              <w:rPr>
                <w:rFonts w:hAnsi="標楷體"/>
                <w:spacing w:val="-20"/>
                <w:kern w:val="0"/>
                <w:sz w:val="28"/>
                <w:szCs w:val="24"/>
              </w:rPr>
              <w:t>72.5%</w:t>
            </w:r>
          </w:p>
        </w:tc>
      </w:tr>
    </w:tbl>
    <w:p w:rsidR="00C47F36" w:rsidRPr="006B27CD" w:rsidRDefault="00C47F36" w:rsidP="00C47F36">
      <w:pPr>
        <w:pStyle w:val="5"/>
        <w:numPr>
          <w:ilvl w:val="0"/>
          <w:numId w:val="0"/>
        </w:numPr>
        <w:spacing w:line="360" w:lineRule="exact"/>
        <w:rPr>
          <w:rFonts w:hAnsi="標楷體"/>
          <w:sz w:val="24"/>
        </w:rPr>
      </w:pPr>
      <w:r w:rsidRPr="006B27CD">
        <w:rPr>
          <w:rFonts w:hAnsi="標楷體"/>
          <w:sz w:val="24"/>
        </w:rPr>
        <w:t>資料來源：本院依國防部函復資料自行彙整</w:t>
      </w:r>
    </w:p>
    <w:p w:rsidR="00C47F36" w:rsidRPr="006B27CD" w:rsidRDefault="00C47F36" w:rsidP="00C47F36">
      <w:pPr>
        <w:pStyle w:val="3"/>
        <w:numPr>
          <w:ilvl w:val="2"/>
          <w:numId w:val="1"/>
        </w:numPr>
        <w:ind w:left="1276"/>
        <w:rPr>
          <w:rFonts w:hAnsi="標楷體"/>
        </w:rPr>
      </w:pPr>
      <w:r w:rsidRPr="006B27CD">
        <w:rPr>
          <w:rFonts w:hAnsi="標楷體" w:hint="eastAsia"/>
        </w:rPr>
        <w:t>另查</w:t>
      </w:r>
      <w:r w:rsidRPr="006B27CD">
        <w:rPr>
          <w:rFonts w:hAnsi="標楷體"/>
        </w:rPr>
        <w:t>，ROTC招生對象係招收年滿18至26歲之國內公私立大學在學學生，</w:t>
      </w:r>
      <w:bookmarkStart w:id="9" w:name="_Hlk144386800"/>
      <w:r w:rsidRPr="006B27CD">
        <w:rPr>
          <w:rFonts w:hAnsi="標楷體"/>
        </w:rPr>
        <w:t>學生來源約略10</w:t>
      </w:r>
      <w:r w:rsidR="006B27CD" w:rsidRPr="006B27CD">
        <w:rPr>
          <w:rFonts w:hAnsi="標楷體"/>
        </w:rPr>
        <w:t>%</w:t>
      </w:r>
      <w:r w:rsidRPr="006B27CD">
        <w:rPr>
          <w:rFonts w:hAnsi="標楷體"/>
        </w:rPr>
        <w:t>為公立大學學生，90</w:t>
      </w:r>
      <w:r w:rsidR="006B27CD" w:rsidRPr="006B27CD">
        <w:rPr>
          <w:rFonts w:hAnsi="標楷體"/>
        </w:rPr>
        <w:t>%</w:t>
      </w:r>
      <w:r w:rsidRPr="006B27CD">
        <w:rPr>
          <w:rFonts w:hAnsi="標楷體" w:hint="eastAsia"/>
        </w:rPr>
        <w:t>為</w:t>
      </w:r>
      <w:r w:rsidRPr="006B27CD">
        <w:rPr>
          <w:rFonts w:hAnsi="標楷體"/>
        </w:rPr>
        <w:t>私立大學學生；</w:t>
      </w:r>
      <w:bookmarkEnd w:id="9"/>
      <w:r w:rsidRPr="006B27CD">
        <w:rPr>
          <w:rFonts w:hAnsi="標楷體"/>
        </w:rPr>
        <w:t>ROTC學生之訓練課程包括入伍訓練、大學階段軍事課程、寒（暑）期軍事訓練及愛國教育等軍事教育訓練，畢業任</w:t>
      </w:r>
      <w:proofErr w:type="gramStart"/>
      <w:r w:rsidRPr="006B27CD">
        <w:rPr>
          <w:rFonts w:hAnsi="標楷體"/>
        </w:rPr>
        <w:t>官後服中役</w:t>
      </w:r>
      <w:proofErr w:type="gramEnd"/>
      <w:r w:rsidRPr="006B27CD">
        <w:rPr>
          <w:rFonts w:hAnsi="標楷體"/>
        </w:rPr>
        <w:t>期預備軍官5年；國防部補助ROTC學生之費用包括津貼、主副食費、住宿費、學雜費、服裝費、</w:t>
      </w:r>
      <w:proofErr w:type="gramStart"/>
      <w:r w:rsidRPr="006B27CD">
        <w:rPr>
          <w:rFonts w:hAnsi="標楷體"/>
        </w:rPr>
        <w:t>教補費</w:t>
      </w:r>
      <w:proofErr w:type="gramEnd"/>
      <w:r w:rsidRPr="006B27CD">
        <w:rPr>
          <w:rFonts w:hAnsi="標楷體"/>
        </w:rPr>
        <w:t>等費用，平均每年補助每人新臺幣（下同</w:t>
      </w:r>
      <w:r w:rsidRPr="006B27CD">
        <w:rPr>
          <w:rFonts w:hAnsi="標楷體" w:hint="eastAsia"/>
        </w:rPr>
        <w:t>）</w:t>
      </w:r>
      <w:r w:rsidRPr="006B27CD">
        <w:rPr>
          <w:rFonts w:hAnsi="標楷體"/>
        </w:rPr>
        <w:t>291,220元。</w:t>
      </w:r>
      <w:r w:rsidRPr="006B27CD">
        <w:rPr>
          <w:rFonts w:hAnsi="標楷體" w:hint="eastAsia"/>
        </w:rPr>
        <w:t>另</w:t>
      </w:r>
      <w:r w:rsidRPr="006B27CD">
        <w:rPr>
          <w:rFonts w:hAnsi="標楷體"/>
        </w:rPr>
        <w:t>軍事正期班則招收高中畢業生或同等學歷入學就讀，</w:t>
      </w:r>
      <w:r w:rsidRPr="006B27CD">
        <w:rPr>
          <w:rFonts w:hAnsi="標楷體" w:hint="eastAsia"/>
        </w:rPr>
        <w:t>學生來源約略80</w:t>
      </w:r>
      <w:r w:rsidR="006B27CD" w:rsidRPr="006B27CD">
        <w:rPr>
          <w:rFonts w:hAnsi="標楷體"/>
        </w:rPr>
        <w:t>%</w:t>
      </w:r>
      <w:r w:rsidRPr="006B27CD">
        <w:rPr>
          <w:rFonts w:hAnsi="標楷體" w:hint="eastAsia"/>
        </w:rPr>
        <w:t>為公立高中職畢業學生，20</w:t>
      </w:r>
      <w:r w:rsidR="006B27CD" w:rsidRPr="006B27CD">
        <w:rPr>
          <w:rFonts w:hAnsi="標楷體"/>
        </w:rPr>
        <w:t>%</w:t>
      </w:r>
      <w:r w:rsidRPr="006B27CD">
        <w:rPr>
          <w:rFonts w:hAnsi="標楷體" w:hint="eastAsia"/>
        </w:rPr>
        <w:t>為私立高中職畢業學生；</w:t>
      </w:r>
      <w:r w:rsidRPr="006B27CD">
        <w:rPr>
          <w:rFonts w:hAnsi="標楷體"/>
        </w:rPr>
        <w:t>軍事正期班學生之訓練包括入伍訓練、軍校階段軍事課程、寒（暑）期軍事訓練及愛國教育等軍事教育訓練；畢業任</w:t>
      </w:r>
      <w:proofErr w:type="gramStart"/>
      <w:r w:rsidRPr="006B27CD">
        <w:rPr>
          <w:rFonts w:hAnsi="標楷體"/>
        </w:rPr>
        <w:t>官後服長役</w:t>
      </w:r>
      <w:proofErr w:type="gramEnd"/>
      <w:r w:rsidRPr="006B27CD">
        <w:rPr>
          <w:rFonts w:hAnsi="標楷體"/>
        </w:rPr>
        <w:t>期常備軍官至少10年；國防部補助軍事正期班學生之費用包括津貼、主副食費、住宿費、學雜費、服裝費、健保費等費用，平均每年補助每人291,777元。</w:t>
      </w:r>
      <w:proofErr w:type="gramStart"/>
      <w:r w:rsidRPr="006B27CD">
        <w:rPr>
          <w:rFonts w:hAnsi="標楷體" w:hint="eastAsia"/>
        </w:rPr>
        <w:t>爰</w:t>
      </w:r>
      <w:proofErr w:type="gramEnd"/>
      <w:r w:rsidRPr="006B27CD">
        <w:rPr>
          <w:rFonts w:hAnsi="標楷體" w:hint="eastAsia"/>
        </w:rPr>
        <w:t>以</w:t>
      </w:r>
      <w:r w:rsidRPr="006B27CD">
        <w:rPr>
          <w:rFonts w:hAnsi="標楷體"/>
        </w:rPr>
        <w:t>ROTC</w:t>
      </w:r>
      <w:r w:rsidRPr="006B27CD">
        <w:rPr>
          <w:rFonts w:hAnsi="標楷體" w:hint="eastAsia"/>
        </w:rPr>
        <w:t>與</w:t>
      </w:r>
      <w:r w:rsidRPr="006B27CD">
        <w:rPr>
          <w:rFonts w:hAnsi="標楷體"/>
        </w:rPr>
        <w:t>軍事正期班</w:t>
      </w:r>
      <w:r w:rsidRPr="006B27CD">
        <w:rPr>
          <w:rFonts w:hAnsi="標楷體" w:hint="eastAsia"/>
        </w:rPr>
        <w:t>學生除了訓練成本皆為29萬元較相似外，其餘包含招生對象、錄取基準、訓練課程及服役年限等均迥不相同。有關</w:t>
      </w:r>
      <w:r w:rsidRPr="006B27CD">
        <w:rPr>
          <w:rFonts w:hAnsi="標楷體"/>
        </w:rPr>
        <w:t>ROTC</w:t>
      </w:r>
      <w:r w:rsidRPr="006B27CD">
        <w:rPr>
          <w:rFonts w:hAnsi="標楷體" w:hint="eastAsia"/>
        </w:rPr>
        <w:t>及</w:t>
      </w:r>
      <w:r w:rsidRPr="006B27CD">
        <w:rPr>
          <w:rFonts w:hAnsi="標楷體"/>
        </w:rPr>
        <w:t>軍事正期班招收學生來源占比分</w:t>
      </w:r>
      <w:proofErr w:type="gramStart"/>
      <w:r w:rsidRPr="006B27CD">
        <w:rPr>
          <w:rFonts w:hAnsi="標楷體"/>
        </w:rPr>
        <w:t>列如</w:t>
      </w:r>
      <w:proofErr w:type="gramEnd"/>
      <w:r w:rsidRPr="006B27CD">
        <w:rPr>
          <w:rFonts w:hAnsi="標楷體"/>
        </w:rPr>
        <w:t>下</w:t>
      </w:r>
      <w:r w:rsidRPr="006B27CD">
        <w:rPr>
          <w:rFonts w:hAnsi="標楷體" w:hint="eastAsia"/>
        </w:rPr>
        <w:t>2表所示。</w:t>
      </w:r>
    </w:p>
    <w:p w:rsidR="00C47F36" w:rsidRPr="00A06E02" w:rsidRDefault="00C47F36" w:rsidP="00C47F36">
      <w:pPr>
        <w:pStyle w:val="a5"/>
        <w:rPr>
          <w:rFonts w:hAnsi="標楷體"/>
        </w:rPr>
      </w:pPr>
      <w:r w:rsidRPr="00A06E02">
        <w:rPr>
          <w:rFonts w:hAnsi="標楷體"/>
        </w:rPr>
        <w:lastRenderedPageBreak/>
        <w:t>105年至111年ROTC學生來源統計表</w:t>
      </w:r>
    </w:p>
    <w:tbl>
      <w:tblPr>
        <w:tblStyle w:val="af9"/>
        <w:tblW w:w="9527" w:type="dxa"/>
        <w:tblLayout w:type="fixed"/>
        <w:tblLook w:val="04A0" w:firstRow="1" w:lastRow="0" w:firstColumn="1" w:lastColumn="0" w:noHBand="0" w:noVBand="1"/>
      </w:tblPr>
      <w:tblGrid>
        <w:gridCol w:w="1021"/>
        <w:gridCol w:w="1215"/>
        <w:gridCol w:w="1215"/>
        <w:gridCol w:w="1215"/>
        <w:gridCol w:w="1215"/>
        <w:gridCol w:w="1215"/>
        <w:gridCol w:w="1215"/>
        <w:gridCol w:w="1216"/>
      </w:tblGrid>
      <w:tr w:rsidR="00C47F36" w:rsidRPr="00A06E02" w:rsidTr="00FF3BE7">
        <w:trPr>
          <w:tblHeader/>
        </w:trPr>
        <w:tc>
          <w:tcPr>
            <w:tcW w:w="1021" w:type="dxa"/>
            <w:shd w:val="clear" w:color="auto" w:fill="DAEEF3" w:themeFill="accent5" w:themeFillTint="33"/>
          </w:tcPr>
          <w:p w:rsidR="00C47F36" w:rsidRPr="00A06E02" w:rsidRDefault="00C47F36" w:rsidP="00FC3386">
            <w:pPr>
              <w:pStyle w:val="4"/>
              <w:numPr>
                <w:ilvl w:val="0"/>
                <w:numId w:val="0"/>
              </w:numPr>
              <w:spacing w:line="320" w:lineRule="exact"/>
              <w:jc w:val="center"/>
              <w:rPr>
                <w:rFonts w:hAnsi="標楷體"/>
                <w:sz w:val="28"/>
                <w:szCs w:val="28"/>
              </w:rPr>
            </w:pPr>
            <w:r w:rsidRPr="00A06E02">
              <w:rPr>
                <w:rFonts w:hAnsi="標楷體"/>
                <w:sz w:val="28"/>
                <w:szCs w:val="28"/>
              </w:rPr>
              <w:t>就讀學校</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105年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106年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107年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108年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109年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110年</w:t>
            </w:r>
          </w:p>
        </w:tc>
        <w:tc>
          <w:tcPr>
            <w:tcW w:w="1216"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111年</w:t>
            </w:r>
          </w:p>
        </w:tc>
      </w:tr>
      <w:tr w:rsidR="00C47F36" w:rsidRPr="00A06E02" w:rsidTr="00FF3BE7">
        <w:tc>
          <w:tcPr>
            <w:tcW w:w="1021" w:type="dxa"/>
            <w:shd w:val="clear" w:color="auto" w:fill="auto"/>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公立</w:t>
            </w:r>
          </w:p>
          <w:p w:rsidR="00C47F36" w:rsidRPr="00A06E02" w:rsidRDefault="00C47F36" w:rsidP="00245EEB">
            <w:pPr>
              <w:pStyle w:val="4"/>
              <w:numPr>
                <w:ilvl w:val="0"/>
                <w:numId w:val="0"/>
              </w:numPr>
              <w:spacing w:line="280" w:lineRule="exact"/>
              <w:jc w:val="center"/>
              <w:rPr>
                <w:rFonts w:hAnsi="標楷體"/>
                <w:sz w:val="28"/>
                <w:szCs w:val="28"/>
              </w:rPr>
            </w:pPr>
            <w:r w:rsidRPr="00A06E02">
              <w:rPr>
                <w:rFonts w:hAnsi="標楷體"/>
                <w:sz w:val="28"/>
                <w:szCs w:val="28"/>
              </w:rPr>
              <w:t>大學</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0%</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6%</w:t>
            </w:r>
          </w:p>
        </w:tc>
        <w:tc>
          <w:tcPr>
            <w:tcW w:w="1215" w:type="dxa"/>
            <w:shd w:val="clear" w:color="auto" w:fill="auto"/>
            <w:vAlign w:val="center"/>
          </w:tcPr>
          <w:p w:rsidR="00C47F36" w:rsidRPr="00A06E02" w:rsidRDefault="00CC0D61" w:rsidP="00245EEB">
            <w:pPr>
              <w:pStyle w:val="4"/>
              <w:numPr>
                <w:ilvl w:val="0"/>
                <w:numId w:val="0"/>
              </w:numPr>
              <w:spacing w:line="280" w:lineRule="exact"/>
              <w:jc w:val="center"/>
              <w:rPr>
                <w:rFonts w:hAnsi="標楷體"/>
                <w:spacing w:val="-20"/>
                <w:sz w:val="28"/>
                <w:szCs w:val="28"/>
              </w:rPr>
            </w:pPr>
            <w:r>
              <w:rPr>
                <w:rFonts w:hAnsi="標楷體"/>
                <w:spacing w:val="-20"/>
                <w:sz w:val="28"/>
                <w:szCs w:val="28"/>
              </w:rPr>
              <w:t>1</w:t>
            </w:r>
            <w:r w:rsidR="00C47F36" w:rsidRPr="00A06E02">
              <w:rPr>
                <w:rFonts w:hAnsi="標楷體"/>
                <w:spacing w:val="-20"/>
                <w:sz w:val="28"/>
                <w:szCs w:val="28"/>
              </w:rPr>
              <w:t>3%</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30"/>
                <w:sz w:val="28"/>
                <w:szCs w:val="28"/>
              </w:rPr>
            </w:pPr>
            <w:r w:rsidRPr="00A06E02">
              <w:rPr>
                <w:rFonts w:hAnsi="標楷體"/>
                <w:spacing w:val="-30"/>
                <w:sz w:val="28"/>
                <w:szCs w:val="28"/>
              </w:rPr>
              <w:t>9%</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7%</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w:t>
            </w:r>
          </w:p>
        </w:tc>
        <w:tc>
          <w:tcPr>
            <w:tcW w:w="1216"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30"/>
                <w:sz w:val="28"/>
                <w:szCs w:val="28"/>
              </w:rPr>
            </w:pPr>
            <w:r w:rsidRPr="00A06E02">
              <w:rPr>
                <w:rFonts w:hAnsi="標楷體"/>
                <w:spacing w:val="-30"/>
                <w:sz w:val="28"/>
                <w:szCs w:val="28"/>
              </w:rPr>
              <w:t>10%</w:t>
            </w:r>
          </w:p>
        </w:tc>
      </w:tr>
      <w:tr w:rsidR="00C47F36" w:rsidRPr="00A06E02" w:rsidTr="00FF3BE7">
        <w:tc>
          <w:tcPr>
            <w:tcW w:w="1021" w:type="dxa"/>
            <w:shd w:val="clear" w:color="auto" w:fill="auto"/>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私立</w:t>
            </w:r>
          </w:p>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大學</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100%</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94%</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87%</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91%</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93%</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92%</w:t>
            </w:r>
          </w:p>
        </w:tc>
        <w:tc>
          <w:tcPr>
            <w:tcW w:w="1216"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90%</w:t>
            </w:r>
          </w:p>
        </w:tc>
      </w:tr>
    </w:tbl>
    <w:p w:rsidR="00C47F36" w:rsidRPr="00A06E02" w:rsidRDefault="00C47F36" w:rsidP="00245EEB">
      <w:pPr>
        <w:pStyle w:val="5"/>
        <w:numPr>
          <w:ilvl w:val="0"/>
          <w:numId w:val="0"/>
        </w:numPr>
        <w:spacing w:line="300" w:lineRule="exact"/>
        <w:rPr>
          <w:rFonts w:hAnsi="標楷體"/>
          <w:sz w:val="24"/>
        </w:rPr>
      </w:pPr>
      <w:r w:rsidRPr="00A06E02">
        <w:rPr>
          <w:rFonts w:hAnsi="標楷體"/>
          <w:sz w:val="24"/>
        </w:rPr>
        <w:t>資料來源：國防部</w:t>
      </w:r>
    </w:p>
    <w:p w:rsidR="00C47F36" w:rsidRPr="00A06E02" w:rsidRDefault="00C47F36" w:rsidP="00C47F36">
      <w:pPr>
        <w:pStyle w:val="a5"/>
        <w:rPr>
          <w:rFonts w:hAnsi="標楷體"/>
        </w:rPr>
      </w:pPr>
      <w:r w:rsidRPr="00A06E02">
        <w:rPr>
          <w:rFonts w:hAnsi="標楷體"/>
        </w:rPr>
        <w:t>105年至111年軍事正期班學生來源統計表</w:t>
      </w:r>
    </w:p>
    <w:tbl>
      <w:tblPr>
        <w:tblStyle w:val="af9"/>
        <w:tblW w:w="9527" w:type="dxa"/>
        <w:tblLayout w:type="fixed"/>
        <w:tblLook w:val="04A0" w:firstRow="1" w:lastRow="0" w:firstColumn="1" w:lastColumn="0" w:noHBand="0" w:noVBand="1"/>
      </w:tblPr>
      <w:tblGrid>
        <w:gridCol w:w="1021"/>
        <w:gridCol w:w="1215"/>
        <w:gridCol w:w="1215"/>
        <w:gridCol w:w="1215"/>
        <w:gridCol w:w="1215"/>
        <w:gridCol w:w="1215"/>
        <w:gridCol w:w="1215"/>
        <w:gridCol w:w="1216"/>
      </w:tblGrid>
      <w:tr w:rsidR="00C47F36" w:rsidRPr="00A06E02" w:rsidTr="00FF3BE7">
        <w:tc>
          <w:tcPr>
            <w:tcW w:w="1021" w:type="dxa"/>
            <w:shd w:val="clear" w:color="auto" w:fill="DAEEF3" w:themeFill="accent5" w:themeFillTint="33"/>
          </w:tcPr>
          <w:p w:rsidR="00C47F36" w:rsidRPr="00A06E02" w:rsidRDefault="00C47F36" w:rsidP="00FC3386">
            <w:pPr>
              <w:pStyle w:val="4"/>
              <w:numPr>
                <w:ilvl w:val="0"/>
                <w:numId w:val="0"/>
              </w:numPr>
              <w:spacing w:line="320" w:lineRule="exact"/>
              <w:jc w:val="center"/>
              <w:rPr>
                <w:rFonts w:hAnsi="標楷體"/>
                <w:sz w:val="28"/>
                <w:szCs w:val="28"/>
              </w:rPr>
            </w:pPr>
            <w:r w:rsidRPr="00A06E02">
              <w:rPr>
                <w:rFonts w:hAnsi="標楷體"/>
                <w:sz w:val="28"/>
                <w:szCs w:val="28"/>
              </w:rPr>
              <w:t>畢業學校</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105年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106年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107年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108年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109年</w:t>
            </w:r>
          </w:p>
        </w:tc>
        <w:tc>
          <w:tcPr>
            <w:tcW w:w="1215"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110年</w:t>
            </w:r>
          </w:p>
        </w:tc>
        <w:tc>
          <w:tcPr>
            <w:tcW w:w="1216" w:type="dxa"/>
            <w:shd w:val="clear" w:color="auto" w:fill="DAEEF3" w:themeFill="accent5" w:themeFillTint="33"/>
            <w:vAlign w:val="center"/>
          </w:tcPr>
          <w:p w:rsidR="00C47F36" w:rsidRPr="00A06E02" w:rsidRDefault="00C47F36" w:rsidP="00FC3386">
            <w:pPr>
              <w:pStyle w:val="4"/>
              <w:numPr>
                <w:ilvl w:val="0"/>
                <w:numId w:val="0"/>
              </w:numPr>
              <w:spacing w:line="320" w:lineRule="exact"/>
              <w:jc w:val="center"/>
              <w:rPr>
                <w:rFonts w:hAnsi="標楷體"/>
                <w:spacing w:val="-20"/>
                <w:sz w:val="28"/>
                <w:szCs w:val="28"/>
              </w:rPr>
            </w:pPr>
            <w:r w:rsidRPr="00A06E02">
              <w:rPr>
                <w:rFonts w:hAnsi="標楷體"/>
                <w:spacing w:val="-20"/>
                <w:sz w:val="28"/>
                <w:szCs w:val="28"/>
              </w:rPr>
              <w:t>111年</w:t>
            </w:r>
          </w:p>
        </w:tc>
      </w:tr>
      <w:tr w:rsidR="00C47F36" w:rsidRPr="00A06E02" w:rsidTr="00FF3BE7">
        <w:tc>
          <w:tcPr>
            <w:tcW w:w="1021" w:type="dxa"/>
            <w:shd w:val="clear" w:color="auto" w:fill="auto"/>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公立</w:t>
            </w:r>
          </w:p>
          <w:p w:rsidR="00C47F36" w:rsidRPr="00A06E02" w:rsidRDefault="00C47F36" w:rsidP="00245EEB">
            <w:pPr>
              <w:pStyle w:val="4"/>
              <w:numPr>
                <w:ilvl w:val="0"/>
                <w:numId w:val="0"/>
              </w:numPr>
              <w:spacing w:line="280" w:lineRule="exact"/>
              <w:jc w:val="center"/>
              <w:rPr>
                <w:rFonts w:hAnsi="標楷體"/>
                <w:sz w:val="28"/>
                <w:szCs w:val="28"/>
              </w:rPr>
            </w:pPr>
            <w:r w:rsidRPr="00A06E02">
              <w:rPr>
                <w:rFonts w:hAnsi="標楷體"/>
                <w:spacing w:val="-20"/>
                <w:sz w:val="28"/>
                <w:szCs w:val="28"/>
              </w:rPr>
              <w:t>高中職</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81%</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80%</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78%</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30"/>
                <w:sz w:val="28"/>
                <w:szCs w:val="28"/>
              </w:rPr>
            </w:pPr>
            <w:r w:rsidRPr="00A06E02">
              <w:rPr>
                <w:rFonts w:hAnsi="標楷體"/>
                <w:spacing w:val="-20"/>
                <w:sz w:val="28"/>
                <w:szCs w:val="28"/>
              </w:rPr>
              <w:t>79%</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81%</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82%</w:t>
            </w:r>
          </w:p>
        </w:tc>
        <w:tc>
          <w:tcPr>
            <w:tcW w:w="1216"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30"/>
                <w:sz w:val="28"/>
                <w:szCs w:val="28"/>
              </w:rPr>
            </w:pPr>
            <w:r w:rsidRPr="00A06E02">
              <w:rPr>
                <w:rFonts w:hAnsi="標楷體"/>
                <w:spacing w:val="-20"/>
                <w:sz w:val="28"/>
                <w:szCs w:val="28"/>
              </w:rPr>
              <w:t>80%</w:t>
            </w:r>
          </w:p>
        </w:tc>
      </w:tr>
      <w:tr w:rsidR="00C47F36" w:rsidRPr="00A06E02" w:rsidTr="00FF3BE7">
        <w:tc>
          <w:tcPr>
            <w:tcW w:w="1021" w:type="dxa"/>
            <w:shd w:val="clear" w:color="auto" w:fill="auto"/>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私立</w:t>
            </w:r>
          </w:p>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高中職</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19%</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20%</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22%</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21%</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19%</w:t>
            </w:r>
          </w:p>
        </w:tc>
        <w:tc>
          <w:tcPr>
            <w:tcW w:w="1215"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18%</w:t>
            </w:r>
          </w:p>
        </w:tc>
        <w:tc>
          <w:tcPr>
            <w:tcW w:w="1216" w:type="dxa"/>
            <w:shd w:val="clear" w:color="auto" w:fill="auto"/>
            <w:vAlign w:val="center"/>
          </w:tcPr>
          <w:p w:rsidR="00C47F36" w:rsidRPr="00A06E02" w:rsidRDefault="00C47F36" w:rsidP="00245EEB">
            <w:pPr>
              <w:pStyle w:val="4"/>
              <w:numPr>
                <w:ilvl w:val="0"/>
                <w:numId w:val="0"/>
              </w:numPr>
              <w:spacing w:line="280" w:lineRule="exact"/>
              <w:jc w:val="center"/>
              <w:rPr>
                <w:rFonts w:hAnsi="標楷體"/>
                <w:spacing w:val="-20"/>
                <w:sz w:val="28"/>
                <w:szCs w:val="28"/>
              </w:rPr>
            </w:pPr>
            <w:r w:rsidRPr="00A06E02">
              <w:rPr>
                <w:rFonts w:hAnsi="標楷體"/>
                <w:spacing w:val="-20"/>
                <w:sz w:val="28"/>
                <w:szCs w:val="28"/>
              </w:rPr>
              <w:t>20%</w:t>
            </w:r>
          </w:p>
        </w:tc>
      </w:tr>
    </w:tbl>
    <w:p w:rsidR="00C47F36" w:rsidRDefault="00C47F36" w:rsidP="00245EEB">
      <w:pPr>
        <w:pStyle w:val="5"/>
        <w:numPr>
          <w:ilvl w:val="0"/>
          <w:numId w:val="0"/>
        </w:numPr>
        <w:spacing w:line="300" w:lineRule="exact"/>
        <w:rPr>
          <w:rFonts w:hAnsi="標楷體"/>
          <w:sz w:val="24"/>
        </w:rPr>
      </w:pPr>
      <w:r w:rsidRPr="00A06E02">
        <w:rPr>
          <w:rFonts w:hAnsi="標楷體"/>
          <w:sz w:val="24"/>
        </w:rPr>
        <w:t>資料來源：國防部</w:t>
      </w:r>
    </w:p>
    <w:p w:rsidR="00C47F36" w:rsidRPr="006B27CD" w:rsidRDefault="00C47F36" w:rsidP="00907C99">
      <w:pPr>
        <w:pStyle w:val="3"/>
        <w:numPr>
          <w:ilvl w:val="2"/>
          <w:numId w:val="1"/>
        </w:numPr>
        <w:ind w:left="1276"/>
        <w:rPr>
          <w:rFonts w:hAnsi="標楷體"/>
        </w:rPr>
      </w:pPr>
      <w:proofErr w:type="gramStart"/>
      <w:r w:rsidRPr="00A06E02">
        <w:rPr>
          <w:rFonts w:hAnsi="標楷體" w:hint="eastAsia"/>
        </w:rPr>
        <w:t>此外，</w:t>
      </w:r>
      <w:proofErr w:type="gramEnd"/>
      <w:r w:rsidRPr="00A06E02">
        <w:rPr>
          <w:rFonts w:hAnsi="標楷體"/>
        </w:rPr>
        <w:t>本院本案至陸軍官校、海軍官校及空軍官校，針對其校內學生對於ROTC之看法進行問卷調查。其中，軍校正期班學生有</w:t>
      </w:r>
      <w:proofErr w:type="gramStart"/>
      <w:r w:rsidRPr="00A06E02">
        <w:rPr>
          <w:rFonts w:hAnsi="標楷體"/>
        </w:rPr>
        <w:t>6成</w:t>
      </w:r>
      <w:proofErr w:type="gramEnd"/>
      <w:r w:rsidRPr="00A06E02">
        <w:rPr>
          <w:rFonts w:hAnsi="標楷體"/>
        </w:rPr>
        <w:t>不同意或非常不同意「相較於成為軍校正期生，我更有意願加入ROTC」，有</w:t>
      </w:r>
      <w:proofErr w:type="gramStart"/>
      <w:r w:rsidRPr="00A06E02">
        <w:rPr>
          <w:rFonts w:hAnsi="標楷體"/>
        </w:rPr>
        <w:t>6</w:t>
      </w:r>
      <w:proofErr w:type="gramEnd"/>
      <w:r w:rsidRPr="00A06E02">
        <w:rPr>
          <w:rFonts w:hAnsi="標楷體"/>
        </w:rPr>
        <w:t>成多的學生不同意或非常不同意「ROTC完成軍事訓練後，足以勝任新進少尉軍官」，有近</w:t>
      </w:r>
      <w:proofErr w:type="gramStart"/>
      <w:r w:rsidRPr="00A06E02">
        <w:rPr>
          <w:rFonts w:hAnsi="標楷體"/>
        </w:rPr>
        <w:t>4</w:t>
      </w:r>
      <w:proofErr w:type="gramEnd"/>
      <w:r w:rsidRPr="00A06E02">
        <w:rPr>
          <w:rFonts w:hAnsi="標楷體"/>
        </w:rPr>
        <w:t>成的學生不同意或非常不同意「ROTC</w:t>
      </w:r>
      <w:proofErr w:type="gramStart"/>
      <w:r w:rsidRPr="00A06E02">
        <w:rPr>
          <w:rFonts w:hAnsi="標楷體"/>
        </w:rPr>
        <w:t>任官後最</w:t>
      </w:r>
      <w:proofErr w:type="gramEnd"/>
      <w:r w:rsidRPr="00A06E02">
        <w:rPr>
          <w:rFonts w:hAnsi="標楷體"/>
        </w:rPr>
        <w:t>少需服役5年，是合理的任官年限」，另有超過</w:t>
      </w:r>
      <w:proofErr w:type="gramStart"/>
      <w:r w:rsidRPr="00A06E02">
        <w:rPr>
          <w:rFonts w:hAnsi="標楷體"/>
        </w:rPr>
        <w:t>4</w:t>
      </w:r>
      <w:proofErr w:type="gramEnd"/>
      <w:r w:rsidRPr="00A06E02">
        <w:rPr>
          <w:rFonts w:hAnsi="標楷體"/>
        </w:rPr>
        <w:t>成的學生不同意或非常不同意「ROTC能有效填補少尉空缺」等議題。</w:t>
      </w:r>
      <w:r w:rsidRPr="00A06E02">
        <w:rPr>
          <w:rFonts w:hAnsi="標楷體" w:hint="eastAsia"/>
        </w:rPr>
        <w:t>問卷結果反映，就讀軍校之正期班因職</w:t>
      </w:r>
      <w:proofErr w:type="gramStart"/>
      <w:r w:rsidRPr="00A06E02">
        <w:rPr>
          <w:rFonts w:hAnsi="標楷體" w:hint="eastAsia"/>
        </w:rPr>
        <w:t>涯</w:t>
      </w:r>
      <w:proofErr w:type="gramEnd"/>
      <w:r w:rsidRPr="00A06E02">
        <w:rPr>
          <w:rFonts w:hAnsi="標楷體" w:hint="eastAsia"/>
        </w:rPr>
        <w:t>規劃因素，學生多數並不認同ROTC，也少有意願加入ROTC；</w:t>
      </w:r>
      <w:proofErr w:type="gramStart"/>
      <w:r w:rsidRPr="00A06E02">
        <w:rPr>
          <w:rFonts w:hAnsi="標楷體" w:hint="eastAsia"/>
        </w:rPr>
        <w:t>另或因為</w:t>
      </w:r>
      <w:proofErr w:type="gramEnd"/>
      <w:r w:rsidRPr="00A06E02">
        <w:rPr>
          <w:rFonts w:hAnsi="標楷體" w:hint="eastAsia"/>
        </w:rPr>
        <w:t>軍校正期生係全時訓練進修，對於ROTC之訓練、服役年限及能否有效填補尉級軍官空缺部分，多數正期班學生亦均不認同。顯示軍校正期班和ROTC係屬於不相同的2個擔任國軍基層軍官途徑，且</w:t>
      </w:r>
      <w:r w:rsidR="00383104" w:rsidRPr="00A06E02">
        <w:rPr>
          <w:rFonts w:hAnsi="標楷體" w:hint="eastAsia"/>
        </w:rPr>
        <w:t>軍校正期生認為</w:t>
      </w:r>
      <w:r w:rsidRPr="00A06E02">
        <w:rPr>
          <w:rFonts w:hAnsi="標楷體" w:hint="eastAsia"/>
        </w:rPr>
        <w:t>ROTC</w:t>
      </w:r>
      <w:r w:rsidRPr="00383104">
        <w:rPr>
          <w:rFonts w:ascii="Times New Roman" w:hAnsi="Times New Roman" w:hint="eastAsia"/>
        </w:rPr>
        <w:t>學</w:t>
      </w:r>
      <w:r w:rsidRPr="006B27CD">
        <w:rPr>
          <w:rFonts w:hAnsi="標楷體" w:hint="eastAsia"/>
        </w:rPr>
        <w:t>生的軍事訓練強度應予加強，有</w:t>
      </w:r>
      <w:r w:rsidR="00383104" w:rsidRPr="006B27CD">
        <w:rPr>
          <w:rFonts w:hAnsi="標楷體" w:hint="eastAsia"/>
        </w:rPr>
        <w:t>關</w:t>
      </w:r>
      <w:proofErr w:type="gramStart"/>
      <w:r w:rsidR="00383104" w:rsidRPr="006B27CD">
        <w:rPr>
          <w:rFonts w:hAnsi="標楷體" w:hint="eastAsia"/>
        </w:rPr>
        <w:t>三</w:t>
      </w:r>
      <w:proofErr w:type="gramEnd"/>
      <w:r w:rsidR="00383104" w:rsidRPr="006B27CD">
        <w:rPr>
          <w:rFonts w:hAnsi="標楷體" w:hint="eastAsia"/>
        </w:rPr>
        <w:t>軍</w:t>
      </w:r>
      <w:r w:rsidRPr="006B27CD">
        <w:rPr>
          <w:rFonts w:hAnsi="標楷體" w:hint="eastAsia"/>
        </w:rPr>
        <w:t>官校正期班學生對</w:t>
      </w:r>
      <w:bookmarkStart w:id="10" w:name="_Hlk144390056"/>
      <w:r w:rsidRPr="006B27CD">
        <w:rPr>
          <w:rFonts w:hAnsi="標楷體" w:hint="eastAsia"/>
        </w:rPr>
        <w:t>ROTC</w:t>
      </w:r>
      <w:bookmarkEnd w:id="10"/>
      <w:r w:rsidRPr="006B27CD">
        <w:rPr>
          <w:rFonts w:hAnsi="標楷體" w:hint="eastAsia"/>
        </w:rPr>
        <w:t>看法統計如下表。</w:t>
      </w:r>
    </w:p>
    <w:p w:rsidR="00C47F36" w:rsidRPr="006B27CD" w:rsidRDefault="00C47F36" w:rsidP="00C47F36">
      <w:pPr>
        <w:pStyle w:val="a5"/>
        <w:rPr>
          <w:rFonts w:hAnsi="標楷體"/>
        </w:rPr>
      </w:pPr>
      <w:proofErr w:type="gramStart"/>
      <w:r w:rsidRPr="006B27CD">
        <w:rPr>
          <w:rFonts w:hAnsi="標楷體"/>
        </w:rPr>
        <w:lastRenderedPageBreak/>
        <w:t>三</w:t>
      </w:r>
      <w:proofErr w:type="gramEnd"/>
      <w:r w:rsidRPr="006B27CD">
        <w:rPr>
          <w:rFonts w:hAnsi="標楷體"/>
        </w:rPr>
        <w:t>軍官校學生</w:t>
      </w:r>
      <w:r w:rsidRPr="006B27CD">
        <w:rPr>
          <w:rFonts w:hAnsi="標楷體" w:hint="eastAsia"/>
        </w:rPr>
        <w:t>對</w:t>
      </w:r>
      <w:r w:rsidRPr="006B27CD">
        <w:rPr>
          <w:rFonts w:hAnsi="標楷體"/>
        </w:rPr>
        <w:t>ROTC看法統計表</w:t>
      </w:r>
    </w:p>
    <w:tbl>
      <w:tblPr>
        <w:tblStyle w:val="af9"/>
        <w:tblW w:w="9209" w:type="dxa"/>
        <w:tblLayout w:type="fixed"/>
        <w:tblLook w:val="04A0" w:firstRow="1" w:lastRow="0" w:firstColumn="1" w:lastColumn="0" w:noHBand="0" w:noVBand="1"/>
      </w:tblPr>
      <w:tblGrid>
        <w:gridCol w:w="3539"/>
        <w:gridCol w:w="1134"/>
        <w:gridCol w:w="1134"/>
        <w:gridCol w:w="1134"/>
        <w:gridCol w:w="1134"/>
        <w:gridCol w:w="1134"/>
      </w:tblGrid>
      <w:tr w:rsidR="00C47F36" w:rsidRPr="006B27CD" w:rsidTr="00FC3386">
        <w:trPr>
          <w:trHeight w:val="743"/>
          <w:tblHeader/>
        </w:trPr>
        <w:tc>
          <w:tcPr>
            <w:tcW w:w="3539" w:type="dxa"/>
            <w:shd w:val="clear" w:color="auto" w:fill="DAEEF3" w:themeFill="accent5" w:themeFillTint="33"/>
            <w:vAlign w:val="center"/>
          </w:tcPr>
          <w:p w:rsidR="00C47F36" w:rsidRPr="006B27CD" w:rsidRDefault="00C47F36" w:rsidP="00FC3386">
            <w:pPr>
              <w:spacing w:line="320" w:lineRule="exact"/>
              <w:jc w:val="center"/>
              <w:rPr>
                <w:rFonts w:hAnsi="標楷體"/>
                <w:sz w:val="28"/>
              </w:rPr>
            </w:pPr>
            <w:proofErr w:type="gramStart"/>
            <w:r w:rsidRPr="006B27CD">
              <w:rPr>
                <w:rFonts w:hAnsi="標楷體"/>
                <w:sz w:val="28"/>
              </w:rPr>
              <w:t>題幹</w:t>
            </w:r>
            <w:proofErr w:type="gramEnd"/>
          </w:p>
        </w:tc>
        <w:tc>
          <w:tcPr>
            <w:tcW w:w="1134" w:type="dxa"/>
            <w:shd w:val="clear" w:color="auto" w:fill="DAEEF3" w:themeFill="accent5" w:themeFillTint="33"/>
            <w:noWrap/>
            <w:vAlign w:val="center"/>
          </w:tcPr>
          <w:p w:rsidR="00C47F36" w:rsidRPr="006B27CD" w:rsidRDefault="00C47F36" w:rsidP="00FC3386">
            <w:pPr>
              <w:spacing w:line="320" w:lineRule="exact"/>
              <w:jc w:val="center"/>
              <w:rPr>
                <w:rFonts w:hAnsi="標楷體"/>
                <w:sz w:val="28"/>
              </w:rPr>
            </w:pPr>
            <w:r w:rsidRPr="006B27CD">
              <w:rPr>
                <w:rFonts w:hAnsi="標楷體"/>
                <w:sz w:val="28"/>
              </w:rPr>
              <w:t>非常</w:t>
            </w:r>
          </w:p>
          <w:p w:rsidR="00C47F36" w:rsidRPr="006B27CD" w:rsidRDefault="00C47F36" w:rsidP="00FC3386">
            <w:pPr>
              <w:spacing w:line="320" w:lineRule="exact"/>
              <w:jc w:val="center"/>
              <w:rPr>
                <w:rFonts w:hAnsi="標楷體"/>
                <w:sz w:val="28"/>
              </w:rPr>
            </w:pPr>
            <w:r w:rsidRPr="006B27CD">
              <w:rPr>
                <w:rFonts w:hAnsi="標楷體"/>
                <w:sz w:val="28"/>
              </w:rPr>
              <w:t>同意</w:t>
            </w:r>
          </w:p>
        </w:tc>
        <w:tc>
          <w:tcPr>
            <w:tcW w:w="1134" w:type="dxa"/>
            <w:shd w:val="clear" w:color="auto" w:fill="DAEEF3" w:themeFill="accent5" w:themeFillTint="33"/>
            <w:noWrap/>
            <w:vAlign w:val="center"/>
          </w:tcPr>
          <w:p w:rsidR="00C47F36" w:rsidRPr="006B27CD" w:rsidRDefault="00C47F36" w:rsidP="00FC3386">
            <w:pPr>
              <w:spacing w:line="320" w:lineRule="exact"/>
              <w:jc w:val="center"/>
              <w:rPr>
                <w:rFonts w:hAnsi="標楷體"/>
                <w:sz w:val="28"/>
              </w:rPr>
            </w:pPr>
            <w:r w:rsidRPr="006B27CD">
              <w:rPr>
                <w:rFonts w:hAnsi="標楷體"/>
                <w:sz w:val="28"/>
              </w:rPr>
              <w:t>同意</w:t>
            </w:r>
          </w:p>
        </w:tc>
        <w:tc>
          <w:tcPr>
            <w:tcW w:w="1134" w:type="dxa"/>
            <w:shd w:val="clear" w:color="auto" w:fill="DAEEF3" w:themeFill="accent5" w:themeFillTint="33"/>
            <w:noWrap/>
            <w:vAlign w:val="center"/>
          </w:tcPr>
          <w:p w:rsidR="00C47F36" w:rsidRPr="006B27CD" w:rsidRDefault="00C47F36" w:rsidP="00FC3386">
            <w:pPr>
              <w:spacing w:line="320" w:lineRule="exact"/>
              <w:jc w:val="center"/>
              <w:rPr>
                <w:rFonts w:hAnsi="標楷體"/>
                <w:sz w:val="28"/>
              </w:rPr>
            </w:pPr>
            <w:r w:rsidRPr="006B27CD">
              <w:rPr>
                <w:rFonts w:hAnsi="標楷體"/>
                <w:sz w:val="28"/>
              </w:rPr>
              <w:t>沒意見</w:t>
            </w:r>
          </w:p>
        </w:tc>
        <w:tc>
          <w:tcPr>
            <w:tcW w:w="1134" w:type="dxa"/>
            <w:shd w:val="clear" w:color="auto" w:fill="DAEEF3" w:themeFill="accent5" w:themeFillTint="33"/>
            <w:noWrap/>
            <w:vAlign w:val="center"/>
          </w:tcPr>
          <w:p w:rsidR="00C47F36" w:rsidRPr="006B27CD" w:rsidRDefault="00C47F36" w:rsidP="00FC3386">
            <w:pPr>
              <w:spacing w:line="320" w:lineRule="exact"/>
              <w:jc w:val="center"/>
              <w:rPr>
                <w:rFonts w:hAnsi="標楷體"/>
                <w:sz w:val="28"/>
              </w:rPr>
            </w:pPr>
            <w:r w:rsidRPr="006B27CD">
              <w:rPr>
                <w:rFonts w:hAnsi="標楷體"/>
                <w:sz w:val="28"/>
              </w:rPr>
              <w:t>不同意</w:t>
            </w:r>
          </w:p>
        </w:tc>
        <w:tc>
          <w:tcPr>
            <w:tcW w:w="1134" w:type="dxa"/>
            <w:shd w:val="clear" w:color="auto" w:fill="DAEEF3" w:themeFill="accent5" w:themeFillTint="33"/>
            <w:noWrap/>
            <w:vAlign w:val="center"/>
          </w:tcPr>
          <w:p w:rsidR="00C47F36" w:rsidRPr="006B27CD" w:rsidRDefault="00C47F36" w:rsidP="00FC3386">
            <w:pPr>
              <w:spacing w:line="320" w:lineRule="exact"/>
              <w:jc w:val="center"/>
              <w:rPr>
                <w:rFonts w:hAnsi="標楷體"/>
                <w:sz w:val="28"/>
              </w:rPr>
            </w:pPr>
            <w:r w:rsidRPr="006B27CD">
              <w:rPr>
                <w:rFonts w:hAnsi="標楷體"/>
                <w:sz w:val="28"/>
              </w:rPr>
              <w:t>非常</w:t>
            </w:r>
          </w:p>
          <w:p w:rsidR="00C47F36" w:rsidRPr="006B27CD" w:rsidRDefault="00C47F36" w:rsidP="00FC3386">
            <w:pPr>
              <w:spacing w:line="320" w:lineRule="exact"/>
              <w:jc w:val="center"/>
              <w:rPr>
                <w:rFonts w:hAnsi="標楷體"/>
                <w:sz w:val="28"/>
              </w:rPr>
            </w:pPr>
            <w:r w:rsidRPr="006B27CD">
              <w:rPr>
                <w:rFonts w:hAnsi="標楷體"/>
                <w:sz w:val="28"/>
              </w:rPr>
              <w:t>不同意</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sz w:val="28"/>
              </w:rPr>
            </w:pPr>
            <w:r w:rsidRPr="006B27CD">
              <w:rPr>
                <w:rFonts w:hAnsi="標楷體"/>
                <w:sz w:val="28"/>
              </w:rPr>
              <w:t>於報考軍校前，我已瞭解ROTC相關制度</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10%</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30%</w:t>
            </w:r>
          </w:p>
        </w:tc>
        <w:tc>
          <w:tcPr>
            <w:tcW w:w="1134" w:type="dxa"/>
            <w:noWrap/>
            <w:vAlign w:val="center"/>
            <w:hideMark/>
          </w:tcPr>
          <w:p w:rsidR="00C47F36" w:rsidRPr="006B27CD" w:rsidRDefault="00CC0D61" w:rsidP="00FC3386">
            <w:pPr>
              <w:spacing w:line="320" w:lineRule="exact"/>
              <w:jc w:val="right"/>
              <w:rPr>
                <w:rFonts w:hAnsi="標楷體"/>
                <w:sz w:val="28"/>
              </w:rPr>
            </w:pPr>
            <w:r>
              <w:rPr>
                <w:rFonts w:hAnsi="標楷體"/>
                <w:sz w:val="28"/>
              </w:rPr>
              <w:t>20</w:t>
            </w:r>
            <w:r w:rsidR="00C47F36" w:rsidRPr="006B27CD">
              <w:rPr>
                <w:rFonts w:hAnsi="標楷體"/>
                <w:sz w:val="28"/>
              </w:rPr>
              <w:t>%</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24%</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16%</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sz w:val="28"/>
              </w:rPr>
            </w:pPr>
            <w:r w:rsidRPr="006B27CD">
              <w:rPr>
                <w:rFonts w:hAnsi="標楷體"/>
                <w:sz w:val="28"/>
              </w:rPr>
              <w:t>報考軍校前，曾考慮至一般公私立大學就讀，並加入ROTC</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3%</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15%</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16%</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34%</w:t>
            </w:r>
          </w:p>
        </w:tc>
        <w:tc>
          <w:tcPr>
            <w:tcW w:w="1134" w:type="dxa"/>
            <w:noWrap/>
            <w:vAlign w:val="center"/>
            <w:hideMark/>
          </w:tcPr>
          <w:p w:rsidR="00C47F36" w:rsidRPr="006B27CD" w:rsidRDefault="00C47F36" w:rsidP="00FC3386">
            <w:pPr>
              <w:spacing w:line="320" w:lineRule="exact"/>
              <w:jc w:val="right"/>
              <w:rPr>
                <w:rFonts w:hAnsi="標楷體"/>
                <w:sz w:val="28"/>
              </w:rPr>
            </w:pPr>
            <w:r w:rsidRPr="006B27CD">
              <w:rPr>
                <w:rFonts w:hAnsi="標楷體"/>
                <w:sz w:val="28"/>
              </w:rPr>
              <w:t>32%</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b/>
                <w:sz w:val="28"/>
              </w:rPr>
            </w:pPr>
            <w:r w:rsidRPr="006B27CD">
              <w:rPr>
                <w:rFonts w:hAnsi="標楷體"/>
                <w:b/>
                <w:sz w:val="28"/>
              </w:rPr>
              <w:t>相較於成為軍校正期生，我更有意願加入ROTC</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7%</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11%</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22%</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33%</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27%</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b/>
                <w:sz w:val="28"/>
              </w:rPr>
            </w:pPr>
            <w:r w:rsidRPr="006B27CD">
              <w:rPr>
                <w:rFonts w:hAnsi="標楷體"/>
                <w:b/>
                <w:sz w:val="28"/>
              </w:rPr>
              <w:t>ROTC完成軍事訓練後，足以勝任新進少尉軍官</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4%</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5%</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2</w:t>
            </w:r>
            <w:r w:rsidR="00CC0D61">
              <w:rPr>
                <w:rFonts w:hAnsi="標楷體"/>
                <w:b/>
                <w:sz w:val="28"/>
              </w:rPr>
              <w:t>8</w:t>
            </w:r>
            <w:r w:rsidRPr="006B27CD">
              <w:rPr>
                <w:rFonts w:hAnsi="標楷體"/>
                <w:b/>
                <w:sz w:val="28"/>
              </w:rPr>
              <w:t>%</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33%</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30%</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b/>
                <w:sz w:val="28"/>
              </w:rPr>
            </w:pPr>
            <w:r w:rsidRPr="006B27CD">
              <w:rPr>
                <w:rFonts w:hAnsi="標楷體"/>
                <w:b/>
                <w:sz w:val="28"/>
              </w:rPr>
              <w:t>ROTC任官後最少需服役5年，是合理的任官年限</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8%</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15%</w:t>
            </w:r>
          </w:p>
        </w:tc>
        <w:tc>
          <w:tcPr>
            <w:tcW w:w="1134" w:type="dxa"/>
            <w:noWrap/>
            <w:vAlign w:val="center"/>
            <w:hideMark/>
          </w:tcPr>
          <w:p w:rsidR="00C47F36" w:rsidRPr="006B27CD" w:rsidRDefault="00CC0D61" w:rsidP="00FC3386">
            <w:pPr>
              <w:spacing w:line="320" w:lineRule="exact"/>
              <w:jc w:val="right"/>
              <w:rPr>
                <w:rFonts w:hAnsi="標楷體"/>
                <w:b/>
                <w:sz w:val="28"/>
              </w:rPr>
            </w:pPr>
            <w:r>
              <w:rPr>
                <w:rFonts w:hAnsi="標楷體"/>
                <w:b/>
                <w:sz w:val="28"/>
              </w:rPr>
              <w:t>41</w:t>
            </w:r>
            <w:r w:rsidR="00C47F36" w:rsidRPr="006B27CD">
              <w:rPr>
                <w:rFonts w:hAnsi="標楷體"/>
                <w:b/>
                <w:sz w:val="28"/>
              </w:rPr>
              <w:t>%</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18%</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18%</w:t>
            </w:r>
          </w:p>
        </w:tc>
      </w:tr>
      <w:tr w:rsidR="00C47F36" w:rsidRPr="006B27CD" w:rsidTr="00FF3BE7">
        <w:trPr>
          <w:trHeight w:val="743"/>
        </w:trPr>
        <w:tc>
          <w:tcPr>
            <w:tcW w:w="3539" w:type="dxa"/>
            <w:hideMark/>
          </w:tcPr>
          <w:p w:rsidR="00C47F36" w:rsidRPr="006B27CD" w:rsidRDefault="00C47F36" w:rsidP="00FC3386">
            <w:pPr>
              <w:spacing w:line="320" w:lineRule="exact"/>
              <w:jc w:val="left"/>
              <w:rPr>
                <w:rFonts w:hAnsi="標楷體"/>
                <w:b/>
                <w:sz w:val="28"/>
              </w:rPr>
            </w:pPr>
            <w:r w:rsidRPr="006B27CD">
              <w:rPr>
                <w:rFonts w:hAnsi="標楷體"/>
                <w:b/>
                <w:sz w:val="28"/>
              </w:rPr>
              <w:t>相信ROTC能有效填補少尉空缺</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10%</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17%</w:t>
            </w:r>
          </w:p>
        </w:tc>
        <w:tc>
          <w:tcPr>
            <w:tcW w:w="1134" w:type="dxa"/>
            <w:noWrap/>
            <w:vAlign w:val="center"/>
            <w:hideMark/>
          </w:tcPr>
          <w:p w:rsidR="00C47F36" w:rsidRPr="006B27CD" w:rsidRDefault="00CC0D61" w:rsidP="00FC3386">
            <w:pPr>
              <w:spacing w:line="320" w:lineRule="exact"/>
              <w:jc w:val="right"/>
              <w:rPr>
                <w:rFonts w:hAnsi="標楷體"/>
                <w:b/>
                <w:sz w:val="28"/>
              </w:rPr>
            </w:pPr>
            <w:r>
              <w:rPr>
                <w:rFonts w:hAnsi="標楷體"/>
                <w:b/>
                <w:sz w:val="28"/>
              </w:rPr>
              <w:t>32</w:t>
            </w:r>
            <w:r w:rsidR="00C47F36" w:rsidRPr="006B27CD">
              <w:rPr>
                <w:rFonts w:hAnsi="標楷體"/>
                <w:b/>
                <w:sz w:val="28"/>
              </w:rPr>
              <w:t>%</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19%</w:t>
            </w:r>
          </w:p>
        </w:tc>
        <w:tc>
          <w:tcPr>
            <w:tcW w:w="1134" w:type="dxa"/>
            <w:noWrap/>
            <w:vAlign w:val="center"/>
            <w:hideMark/>
          </w:tcPr>
          <w:p w:rsidR="00C47F36" w:rsidRPr="006B27CD" w:rsidRDefault="00C47F36" w:rsidP="00FC3386">
            <w:pPr>
              <w:spacing w:line="320" w:lineRule="exact"/>
              <w:jc w:val="right"/>
              <w:rPr>
                <w:rFonts w:hAnsi="標楷體"/>
                <w:b/>
                <w:sz w:val="28"/>
              </w:rPr>
            </w:pPr>
            <w:r w:rsidRPr="006B27CD">
              <w:rPr>
                <w:rFonts w:hAnsi="標楷體"/>
                <w:b/>
                <w:sz w:val="28"/>
              </w:rPr>
              <w:t>22%</w:t>
            </w:r>
          </w:p>
        </w:tc>
      </w:tr>
    </w:tbl>
    <w:p w:rsidR="00C47F36" w:rsidRPr="006B27CD" w:rsidRDefault="00C47F36" w:rsidP="00C47F36">
      <w:pPr>
        <w:kinsoku w:val="0"/>
        <w:overflowPunct/>
        <w:autoSpaceDE/>
        <w:autoSpaceDN/>
        <w:jc w:val="left"/>
        <w:outlineLvl w:val="1"/>
        <w:rPr>
          <w:rFonts w:hAnsi="標楷體"/>
          <w:b/>
        </w:rPr>
      </w:pPr>
      <w:r w:rsidRPr="006B27CD">
        <w:rPr>
          <w:rFonts w:hAnsi="標楷體"/>
          <w:sz w:val="24"/>
        </w:rPr>
        <w:t>資料來源：</w:t>
      </w:r>
      <w:proofErr w:type="gramStart"/>
      <w:r w:rsidRPr="006B27CD">
        <w:rPr>
          <w:rFonts w:hAnsi="標楷體"/>
          <w:sz w:val="24"/>
        </w:rPr>
        <w:t>本院據</w:t>
      </w:r>
      <w:proofErr w:type="gramEnd"/>
      <w:r w:rsidRPr="006B27CD">
        <w:rPr>
          <w:rFonts w:hAnsi="標楷體"/>
          <w:sz w:val="24"/>
        </w:rPr>
        <w:t>三軍官校問卷作答情形統計</w:t>
      </w:r>
    </w:p>
    <w:p w:rsidR="00C47F36" w:rsidRPr="006B27CD" w:rsidRDefault="00C47F36" w:rsidP="00C47F36">
      <w:pPr>
        <w:pStyle w:val="3"/>
        <w:numPr>
          <w:ilvl w:val="2"/>
          <w:numId w:val="1"/>
        </w:numPr>
        <w:ind w:left="1276"/>
        <w:rPr>
          <w:rFonts w:hAnsi="標楷體"/>
          <w:b/>
        </w:rPr>
      </w:pPr>
      <w:r w:rsidRPr="006B27CD">
        <w:rPr>
          <w:rFonts w:hAnsi="標楷體"/>
        </w:rPr>
        <w:t>再</w:t>
      </w:r>
      <w:r w:rsidRPr="006B27CD">
        <w:rPr>
          <w:rFonts w:hAnsi="標楷體" w:hint="eastAsia"/>
        </w:rPr>
        <w:t>查</w:t>
      </w:r>
      <w:r w:rsidRPr="006B27CD">
        <w:rPr>
          <w:rFonts w:hAnsi="標楷體"/>
        </w:rPr>
        <w:t>，</w:t>
      </w:r>
      <w:proofErr w:type="gramStart"/>
      <w:r w:rsidRPr="006B27CD">
        <w:rPr>
          <w:rFonts w:hAnsi="標楷體"/>
        </w:rPr>
        <w:t>詢</w:t>
      </w:r>
      <w:proofErr w:type="gramEnd"/>
      <w:r w:rsidRPr="006B27CD">
        <w:rPr>
          <w:rFonts w:hAnsi="標楷體"/>
        </w:rPr>
        <w:t>據國防部查復，該部稱鑑於基層軍官補充係填補年度退伍軍官、不適服退役人數等因素所造成的人力缺口，並以軍事院校正期生為主，專業軍官班、大學儲備軍官團及士官轉軍官班為輔之人力補充原則，據以估算各年班預計招生員額，其中軍校正期生、專業軍官班及ROTC員額配比分別為50</w:t>
      </w:r>
      <w:r w:rsidR="006B27CD" w:rsidRPr="00A06E02">
        <w:rPr>
          <w:rFonts w:hAnsi="標楷體"/>
        </w:rPr>
        <w:t>%</w:t>
      </w:r>
      <w:r w:rsidRPr="006B27CD">
        <w:rPr>
          <w:rFonts w:hAnsi="標楷體"/>
        </w:rPr>
        <w:t>、30</w:t>
      </w:r>
      <w:r w:rsidR="006B27CD" w:rsidRPr="00A06E02">
        <w:rPr>
          <w:rFonts w:hAnsi="標楷體"/>
        </w:rPr>
        <w:t>%</w:t>
      </w:r>
      <w:r w:rsidRPr="006B27CD">
        <w:rPr>
          <w:rFonts w:hAnsi="標楷體"/>
        </w:rPr>
        <w:t>及20</w:t>
      </w:r>
      <w:r w:rsidR="006B27CD" w:rsidRPr="00A06E02">
        <w:rPr>
          <w:rFonts w:hAnsi="標楷體"/>
        </w:rPr>
        <w:t>%</w:t>
      </w:r>
      <w:r w:rsidRPr="006B27CD">
        <w:rPr>
          <w:rFonts w:hAnsi="標楷體"/>
        </w:rPr>
        <w:t>。</w:t>
      </w:r>
      <w:r w:rsidRPr="006B27CD">
        <w:rPr>
          <w:rFonts w:hAnsi="標楷體" w:hint="eastAsia"/>
        </w:rPr>
        <w:t>然而，</w:t>
      </w:r>
      <w:r w:rsidRPr="006B27CD">
        <w:rPr>
          <w:rFonts w:hAnsi="標楷體"/>
        </w:rPr>
        <w:t>以訓練強度及服役年限分析，ROTC學生僅需完成新生入伍訓練</w:t>
      </w:r>
      <w:r w:rsidRPr="006B27CD">
        <w:rPr>
          <w:rFonts w:hAnsi="標楷體" w:hint="eastAsia"/>
        </w:rPr>
        <w:t>，</w:t>
      </w:r>
      <w:r w:rsidRPr="006B27CD">
        <w:rPr>
          <w:rFonts w:hAnsi="標楷體"/>
        </w:rPr>
        <w:t>大學階段於</w:t>
      </w:r>
      <w:proofErr w:type="gramStart"/>
      <w:r w:rsidRPr="006B27CD">
        <w:rPr>
          <w:rFonts w:hAnsi="標楷體"/>
        </w:rPr>
        <w:t>每週按律定</w:t>
      </w:r>
      <w:proofErr w:type="gramEnd"/>
      <w:r w:rsidRPr="006B27CD">
        <w:rPr>
          <w:rFonts w:hAnsi="標楷體"/>
        </w:rPr>
        <w:t>時間至指定之教育中心接受軍事課程及寒暑訓，與軍校正</w:t>
      </w:r>
      <w:proofErr w:type="gramStart"/>
      <w:r w:rsidRPr="006B27CD">
        <w:rPr>
          <w:rFonts w:hAnsi="標楷體"/>
        </w:rPr>
        <w:t>期生</w:t>
      </w:r>
      <w:r w:rsidRPr="006B27CD">
        <w:rPr>
          <w:rFonts w:hAnsi="標楷體" w:hint="eastAsia"/>
        </w:rPr>
        <w:t>需</w:t>
      </w:r>
      <w:proofErr w:type="gramEnd"/>
      <w:r w:rsidRPr="006B27CD">
        <w:rPr>
          <w:rFonts w:hAnsi="標楷體"/>
        </w:rPr>
        <w:t>全時進修不同，惟軍校正期班最少服役年限10年，ROTC學生服役年限僅需5年，</w:t>
      </w:r>
      <w:r w:rsidRPr="006B27CD">
        <w:rPr>
          <w:rFonts w:hAnsi="標楷體" w:hint="eastAsia"/>
        </w:rPr>
        <w:t>國防部如未能加速提升軍校正期生之誘因，在優遇條件、福祉、升遷及願景方面與</w:t>
      </w:r>
      <w:r w:rsidRPr="006B27CD">
        <w:rPr>
          <w:rFonts w:hAnsi="標楷體"/>
        </w:rPr>
        <w:t>ROTC</w:t>
      </w:r>
      <w:r w:rsidRPr="006B27CD">
        <w:rPr>
          <w:rFonts w:hAnsi="標楷體" w:hint="eastAsia"/>
        </w:rPr>
        <w:t>作出明顯區隔，</w:t>
      </w:r>
      <w:r w:rsidRPr="006B27CD">
        <w:rPr>
          <w:rFonts w:hAnsi="標楷體"/>
        </w:rPr>
        <w:t>恐使有意從軍學生</w:t>
      </w:r>
      <w:proofErr w:type="gramStart"/>
      <w:r w:rsidRPr="006B27CD">
        <w:rPr>
          <w:rFonts w:hAnsi="標楷體"/>
        </w:rPr>
        <w:t>選擇中役</w:t>
      </w:r>
      <w:proofErr w:type="gramEnd"/>
      <w:r w:rsidRPr="006B27CD">
        <w:rPr>
          <w:rFonts w:hAnsi="標楷體"/>
        </w:rPr>
        <w:t>期之ROTC就讀，進而</w:t>
      </w:r>
      <w:bookmarkStart w:id="11" w:name="_Hlk144296938"/>
      <w:proofErr w:type="gramStart"/>
      <w:r w:rsidRPr="006B27CD">
        <w:rPr>
          <w:rFonts w:hAnsi="標楷體"/>
        </w:rPr>
        <w:t>影響長役</w:t>
      </w:r>
      <w:proofErr w:type="gramEnd"/>
      <w:r w:rsidRPr="006B27CD">
        <w:rPr>
          <w:rFonts w:hAnsi="標楷體"/>
        </w:rPr>
        <w:t>期軍校正期生之招生</w:t>
      </w:r>
      <w:bookmarkEnd w:id="11"/>
      <w:r w:rsidRPr="006B27CD">
        <w:rPr>
          <w:rFonts w:hAnsi="標楷體"/>
        </w:rPr>
        <w:t>，不利於國軍長期戰力之建置。</w:t>
      </w:r>
    </w:p>
    <w:p w:rsidR="00C47F36" w:rsidRPr="005068D3" w:rsidRDefault="00C47F36" w:rsidP="00C47F36">
      <w:pPr>
        <w:pStyle w:val="3"/>
        <w:numPr>
          <w:ilvl w:val="2"/>
          <w:numId w:val="1"/>
        </w:numPr>
        <w:ind w:left="1276"/>
        <w:rPr>
          <w:rFonts w:hAnsi="標楷體"/>
          <w:b/>
          <w:color w:val="FF0000"/>
        </w:rPr>
      </w:pPr>
      <w:proofErr w:type="gramStart"/>
      <w:r w:rsidRPr="006B27CD">
        <w:rPr>
          <w:rFonts w:hAnsi="標楷體"/>
        </w:rPr>
        <w:t>此外，</w:t>
      </w:r>
      <w:proofErr w:type="gramEnd"/>
      <w:r w:rsidRPr="00920B4D">
        <w:rPr>
          <w:rFonts w:hAnsi="標楷體"/>
        </w:rPr>
        <w:t>對於ROTC</w:t>
      </w:r>
      <w:proofErr w:type="gramStart"/>
      <w:r w:rsidRPr="00920B4D">
        <w:rPr>
          <w:rFonts w:hAnsi="標楷體"/>
        </w:rPr>
        <w:t>高退訓</w:t>
      </w:r>
      <w:proofErr w:type="gramEnd"/>
      <w:r w:rsidRPr="00920B4D">
        <w:rPr>
          <w:rFonts w:hAnsi="標楷體"/>
        </w:rPr>
        <w:t>率及低任官率之現象，國防部</w:t>
      </w:r>
      <w:r w:rsidRPr="00920B4D">
        <w:rPr>
          <w:rFonts w:hAnsi="標楷體"/>
        </w:rPr>
        <w:lastRenderedPageBreak/>
        <w:t>於本院約</w:t>
      </w:r>
      <w:proofErr w:type="gramStart"/>
      <w:r w:rsidRPr="00920B4D">
        <w:rPr>
          <w:rFonts w:hAnsi="標楷體"/>
        </w:rPr>
        <w:t>詢</w:t>
      </w:r>
      <w:proofErr w:type="gramEnd"/>
      <w:r w:rsidRPr="00920B4D">
        <w:rPr>
          <w:rFonts w:hAnsi="標楷體"/>
        </w:rPr>
        <w:t>時陳稱，</w:t>
      </w:r>
      <w:r w:rsidRPr="00920B4D">
        <w:rPr>
          <w:rFonts w:hAnsi="標楷體"/>
          <w:szCs w:val="32"/>
        </w:rPr>
        <w:t>ROTC退訓原因</w:t>
      </w:r>
      <w:r w:rsidRPr="00920B4D">
        <w:rPr>
          <w:rFonts w:hAnsi="標楷體" w:hint="eastAsia"/>
          <w:szCs w:val="32"/>
        </w:rPr>
        <w:t>在於「</w:t>
      </w:r>
      <w:r w:rsidRPr="00920B4D">
        <w:rPr>
          <w:rFonts w:hAnsi="標楷體"/>
          <w:kern w:val="0"/>
          <w:szCs w:val="32"/>
        </w:rPr>
        <w:t>學生於入伍訓、寒</w:t>
      </w:r>
      <w:r w:rsidRPr="00920B4D">
        <w:rPr>
          <w:rFonts w:hAnsi="標楷體" w:hint="eastAsia"/>
          <w:kern w:val="0"/>
          <w:szCs w:val="32"/>
        </w:rPr>
        <w:t>（</w:t>
      </w:r>
      <w:r w:rsidRPr="00920B4D">
        <w:rPr>
          <w:rFonts w:hAnsi="標楷體"/>
          <w:kern w:val="0"/>
          <w:szCs w:val="32"/>
        </w:rPr>
        <w:t>暑</w:t>
      </w:r>
      <w:r w:rsidRPr="00920B4D">
        <w:rPr>
          <w:rFonts w:hAnsi="標楷體" w:hint="eastAsia"/>
          <w:kern w:val="0"/>
          <w:szCs w:val="32"/>
        </w:rPr>
        <w:t>）</w:t>
      </w:r>
      <w:r w:rsidRPr="00920B4D">
        <w:rPr>
          <w:rFonts w:hAnsi="標楷體"/>
          <w:kern w:val="0"/>
          <w:szCs w:val="32"/>
        </w:rPr>
        <w:t>訓，無法適應軍中作息及訓練課程</w:t>
      </w:r>
      <w:r w:rsidRPr="00920B4D">
        <w:rPr>
          <w:rFonts w:hAnsi="標楷體" w:hint="eastAsia"/>
          <w:kern w:val="0"/>
          <w:szCs w:val="32"/>
        </w:rPr>
        <w:t>」；「</w:t>
      </w:r>
      <w:proofErr w:type="gramStart"/>
      <w:r w:rsidRPr="00920B4D">
        <w:rPr>
          <w:rFonts w:hAnsi="標楷體"/>
          <w:kern w:val="0"/>
          <w:szCs w:val="32"/>
        </w:rPr>
        <w:t>學期間不適應</w:t>
      </w:r>
      <w:proofErr w:type="gramEnd"/>
      <w:r w:rsidRPr="00920B4D">
        <w:rPr>
          <w:rFonts w:hAnsi="標楷體"/>
          <w:kern w:val="0"/>
          <w:szCs w:val="32"/>
        </w:rPr>
        <w:t>每週六須接受相關軍事訓練課程，壓縮學生自由彈性時間</w:t>
      </w:r>
      <w:r w:rsidRPr="00920B4D">
        <w:rPr>
          <w:rFonts w:hAnsi="標楷體" w:hint="eastAsia"/>
          <w:kern w:val="0"/>
          <w:szCs w:val="32"/>
        </w:rPr>
        <w:t>」及「</w:t>
      </w:r>
      <w:r w:rsidRPr="00920B4D">
        <w:rPr>
          <w:rFonts w:hAnsi="標楷體"/>
          <w:kern w:val="0"/>
          <w:szCs w:val="32"/>
        </w:rPr>
        <w:t>發覺軍中環境非自己所嚮往的生活，與個人認知有落差</w:t>
      </w:r>
      <w:r w:rsidRPr="00920B4D">
        <w:rPr>
          <w:rFonts w:hAnsi="標楷體" w:hint="eastAsia"/>
          <w:kern w:val="0"/>
          <w:szCs w:val="32"/>
        </w:rPr>
        <w:t>」等，並</w:t>
      </w:r>
      <w:r w:rsidRPr="00920B4D">
        <w:rPr>
          <w:rFonts w:hAnsi="標楷體"/>
        </w:rPr>
        <w:t>稱</w:t>
      </w:r>
      <w:proofErr w:type="gramStart"/>
      <w:r w:rsidRPr="00920B4D">
        <w:rPr>
          <w:rFonts w:hAnsi="標楷體" w:hint="eastAsia"/>
        </w:rPr>
        <w:t>該部</w:t>
      </w:r>
      <w:r w:rsidRPr="00920B4D">
        <w:rPr>
          <w:rFonts w:hAnsi="標楷體"/>
        </w:rPr>
        <w:t>已增訂</w:t>
      </w:r>
      <w:proofErr w:type="gramEnd"/>
      <w:r w:rsidRPr="00920B4D">
        <w:rPr>
          <w:rFonts w:hAnsi="標楷體"/>
        </w:rPr>
        <w:t>大學儲備軍官訓練團訓練實施指導計畫有關輔導相關機制</w:t>
      </w:r>
      <w:r w:rsidRPr="00920B4D">
        <w:rPr>
          <w:rFonts w:hAnsi="標楷體" w:hint="eastAsia"/>
        </w:rPr>
        <w:t>，相關措施以「要求所屬校長、輔導教官、各教育</w:t>
      </w:r>
      <w:proofErr w:type="gramStart"/>
      <w:r w:rsidRPr="00920B4D">
        <w:rPr>
          <w:rFonts w:hAnsi="標楷體" w:hint="eastAsia"/>
        </w:rPr>
        <w:t>中心辦班人員</w:t>
      </w:r>
      <w:proofErr w:type="gramEnd"/>
      <w:r w:rsidRPr="00920B4D">
        <w:rPr>
          <w:rFonts w:hAnsi="標楷體" w:hint="eastAsia"/>
        </w:rPr>
        <w:t>至三軍官校對所屬學生實施關懷及慰問…</w:t>
      </w:r>
      <w:proofErr w:type="gramStart"/>
      <w:r w:rsidRPr="00920B4D">
        <w:rPr>
          <w:rFonts w:hAnsi="標楷體" w:hint="eastAsia"/>
        </w:rPr>
        <w:t>…</w:t>
      </w:r>
      <w:proofErr w:type="gramEnd"/>
      <w:r w:rsidRPr="00920B4D">
        <w:rPr>
          <w:rFonts w:hAnsi="標楷體" w:hint="eastAsia"/>
        </w:rPr>
        <w:t>」、「建立互動群組，能即時協助學生處理各項反映問題；另在學</w:t>
      </w:r>
      <w:proofErr w:type="gramStart"/>
      <w:r w:rsidRPr="00920B4D">
        <w:rPr>
          <w:rFonts w:hAnsi="標楷體" w:hint="eastAsia"/>
        </w:rPr>
        <w:t>期間，</w:t>
      </w:r>
      <w:proofErr w:type="gramEnd"/>
      <w:r w:rsidRPr="00920B4D">
        <w:rPr>
          <w:rFonts w:hAnsi="標楷體" w:hint="eastAsia"/>
        </w:rPr>
        <w:t>應派遣幹部至各教育中心訪視，以增進學生對所屬軍校及建制單位認知與認同…</w:t>
      </w:r>
      <w:proofErr w:type="gramStart"/>
      <w:r w:rsidRPr="00920B4D">
        <w:rPr>
          <w:rFonts w:hAnsi="標楷體" w:hint="eastAsia"/>
        </w:rPr>
        <w:t>…</w:t>
      </w:r>
      <w:proofErr w:type="gramEnd"/>
      <w:r w:rsidRPr="00920B4D">
        <w:rPr>
          <w:rFonts w:hAnsi="標楷體" w:hint="eastAsia"/>
        </w:rPr>
        <w:t>」及「強化學生體能訓練，由體育老師針對學生不合格項目</w:t>
      </w:r>
      <w:proofErr w:type="gramStart"/>
      <w:r w:rsidRPr="00920B4D">
        <w:rPr>
          <w:rFonts w:hAnsi="標楷體" w:hint="eastAsia"/>
        </w:rPr>
        <w:t>採</w:t>
      </w:r>
      <w:proofErr w:type="gramEnd"/>
      <w:r w:rsidRPr="00920B4D">
        <w:rPr>
          <w:rFonts w:hAnsi="標楷體" w:hint="eastAsia"/>
        </w:rPr>
        <w:t>各別訓練方式實施，期使學生能於四年級下學期結訓前，完成體能</w:t>
      </w:r>
      <w:proofErr w:type="gramStart"/>
      <w:r w:rsidRPr="00920B4D">
        <w:rPr>
          <w:rFonts w:hAnsi="標楷體" w:hint="eastAsia"/>
        </w:rPr>
        <w:t>鑑</w:t>
      </w:r>
      <w:proofErr w:type="gramEnd"/>
      <w:r w:rsidRPr="00920B4D">
        <w:rPr>
          <w:rFonts w:hAnsi="標楷體" w:hint="eastAsia"/>
        </w:rPr>
        <w:t>測」等等，惟</w:t>
      </w:r>
      <w:r w:rsidRPr="00920B4D">
        <w:rPr>
          <w:rFonts w:hAnsi="標楷體"/>
        </w:rPr>
        <w:t>ROTC</w:t>
      </w:r>
      <w:r w:rsidRPr="00920B4D">
        <w:rPr>
          <w:rFonts w:hAnsi="標楷體" w:hint="eastAsia"/>
        </w:rPr>
        <w:t>學生退訓原因甚多，非僅前述所指出之原因而已，國防部除提供上述關懷、建立認同感及加強學生體能要求外，允宜考量招募人力不易，針對</w:t>
      </w:r>
      <w:r w:rsidR="00383104" w:rsidRPr="00920B4D">
        <w:rPr>
          <w:rFonts w:hAnsi="標楷體"/>
        </w:rPr>
        <w:t>ROTC</w:t>
      </w:r>
      <w:r w:rsidR="00383104" w:rsidRPr="00920B4D">
        <w:rPr>
          <w:rFonts w:hAnsi="標楷體" w:hint="eastAsia"/>
        </w:rPr>
        <w:t>學生</w:t>
      </w:r>
      <w:proofErr w:type="gramStart"/>
      <w:r w:rsidRPr="00920B4D">
        <w:rPr>
          <w:rFonts w:hAnsi="標楷體" w:hint="eastAsia"/>
        </w:rPr>
        <w:t>近年來高退訓</w:t>
      </w:r>
      <w:proofErr w:type="gramEnd"/>
      <w:r w:rsidRPr="00920B4D">
        <w:rPr>
          <w:rFonts w:hAnsi="標楷體" w:hint="eastAsia"/>
        </w:rPr>
        <w:t>率及低任官率問題，審慎</w:t>
      </w:r>
      <w:proofErr w:type="gramStart"/>
      <w:r w:rsidRPr="00920B4D">
        <w:rPr>
          <w:rFonts w:hAnsi="標楷體" w:hint="eastAsia"/>
        </w:rPr>
        <w:t>研</w:t>
      </w:r>
      <w:proofErr w:type="gramEnd"/>
      <w:r w:rsidRPr="00920B4D">
        <w:rPr>
          <w:rFonts w:hAnsi="標楷體" w:hint="eastAsia"/>
        </w:rPr>
        <w:t>擬</w:t>
      </w:r>
      <w:proofErr w:type="gramStart"/>
      <w:r w:rsidRPr="00920B4D">
        <w:rPr>
          <w:rFonts w:hAnsi="標楷體" w:hint="eastAsia"/>
        </w:rPr>
        <w:t>對策妥處</w:t>
      </w:r>
      <w:proofErr w:type="gramEnd"/>
      <w:r w:rsidRPr="00920B4D">
        <w:rPr>
          <w:rFonts w:hAnsi="標楷體"/>
        </w:rPr>
        <w:t>。</w:t>
      </w:r>
    </w:p>
    <w:p w:rsidR="00C47F36" w:rsidRDefault="00C47F36" w:rsidP="00C47F36">
      <w:pPr>
        <w:pStyle w:val="3"/>
        <w:numPr>
          <w:ilvl w:val="2"/>
          <w:numId w:val="1"/>
        </w:numPr>
        <w:ind w:left="1276"/>
        <w:rPr>
          <w:rFonts w:hAnsi="標楷體"/>
        </w:rPr>
      </w:pPr>
      <w:r w:rsidRPr="006B27CD">
        <w:rPr>
          <w:rFonts w:hAnsi="標楷體" w:hint="eastAsia"/>
        </w:rPr>
        <w:t>綜上，國防部為廣拓軍官來源，提供多項優惠條件吸引就讀大學之學生參加</w:t>
      </w:r>
      <w:r w:rsidRPr="006B27CD">
        <w:rPr>
          <w:rFonts w:hAnsi="標楷體"/>
        </w:rPr>
        <w:t>ROTC</w:t>
      </w:r>
      <w:r w:rsidRPr="006B27CD">
        <w:rPr>
          <w:rFonts w:hAnsi="標楷體" w:hint="eastAsia"/>
        </w:rPr>
        <w:t>，值得肯定；然</w:t>
      </w:r>
      <w:r w:rsidRPr="006B27CD">
        <w:rPr>
          <w:rFonts w:hAnsi="標楷體"/>
        </w:rPr>
        <w:t>ROTC</w:t>
      </w:r>
      <w:r w:rsidRPr="006B27CD">
        <w:rPr>
          <w:rFonts w:hAnsi="標楷體" w:hint="eastAsia"/>
        </w:rPr>
        <w:t>和軍校正期生是2個迥然不同的招募部隊基層軍官系統，軍校正</w:t>
      </w:r>
      <w:proofErr w:type="gramStart"/>
      <w:r w:rsidRPr="006B27CD">
        <w:rPr>
          <w:rFonts w:hAnsi="標楷體" w:hint="eastAsia"/>
        </w:rPr>
        <w:t>期生需全</w:t>
      </w:r>
      <w:proofErr w:type="gramEnd"/>
      <w:r w:rsidRPr="006B27CD">
        <w:rPr>
          <w:rFonts w:hAnsi="標楷體" w:hint="eastAsia"/>
        </w:rPr>
        <w:t>時進修，</w:t>
      </w:r>
      <w:r w:rsidRPr="006B27CD">
        <w:rPr>
          <w:rFonts w:hAnsi="標楷體"/>
        </w:rPr>
        <w:t>訓練強度</w:t>
      </w:r>
      <w:r w:rsidRPr="006B27CD">
        <w:rPr>
          <w:rFonts w:hAnsi="標楷體" w:hint="eastAsia"/>
        </w:rPr>
        <w:t>強且</w:t>
      </w:r>
      <w:r w:rsidRPr="006B27CD">
        <w:rPr>
          <w:rFonts w:hAnsi="標楷體"/>
        </w:rPr>
        <w:t>服役年限</w:t>
      </w:r>
      <w:r w:rsidRPr="006B27CD">
        <w:rPr>
          <w:rFonts w:hAnsi="標楷體" w:hint="eastAsia"/>
        </w:rPr>
        <w:t>長</w:t>
      </w:r>
      <w:r w:rsidRPr="006B27CD">
        <w:rPr>
          <w:rFonts w:hAnsi="標楷體"/>
        </w:rPr>
        <w:t>，</w:t>
      </w:r>
      <w:r w:rsidRPr="006B27CD">
        <w:rPr>
          <w:rFonts w:hAnsi="標楷體" w:hint="eastAsia"/>
        </w:rPr>
        <w:t>是國軍紮實訓練及強化武力的主幹，</w:t>
      </w:r>
      <w:r w:rsidRPr="006B27CD">
        <w:rPr>
          <w:rFonts w:hAnsi="標楷體"/>
        </w:rPr>
        <w:t>ROTC學生</w:t>
      </w:r>
      <w:r w:rsidRPr="006B27CD">
        <w:rPr>
          <w:rFonts w:hAnsi="標楷體" w:hint="eastAsia"/>
        </w:rPr>
        <w:t>訓練期程及服役</w:t>
      </w:r>
      <w:proofErr w:type="gramStart"/>
      <w:r w:rsidRPr="006B27CD">
        <w:rPr>
          <w:rFonts w:hAnsi="標楷體" w:hint="eastAsia"/>
        </w:rPr>
        <w:t>年限均較</w:t>
      </w:r>
      <w:proofErr w:type="gramEnd"/>
      <w:r w:rsidRPr="006B27CD">
        <w:rPr>
          <w:rFonts w:hAnsi="標楷體" w:hint="eastAsia"/>
        </w:rPr>
        <w:t>正期生為短</w:t>
      </w:r>
      <w:r w:rsidRPr="006B27CD">
        <w:rPr>
          <w:rFonts w:hAnsi="標楷體"/>
        </w:rPr>
        <w:t>，</w:t>
      </w:r>
      <w:r w:rsidRPr="006B27CD">
        <w:rPr>
          <w:rFonts w:hAnsi="標楷體" w:hint="eastAsia"/>
        </w:rPr>
        <w:t>不利於國軍長期精實戰力之建置，國防部宜加強軍校正期生之</w:t>
      </w:r>
      <w:bookmarkStart w:id="12" w:name="_Hlk144804661"/>
      <w:r w:rsidRPr="006B27CD">
        <w:rPr>
          <w:rFonts w:hAnsi="標楷體" w:hint="eastAsia"/>
        </w:rPr>
        <w:t>優遇</w:t>
      </w:r>
      <w:r w:rsidRPr="001D0CE2">
        <w:rPr>
          <w:rFonts w:ascii="Times New Roman" w:hAnsi="Times New Roman" w:hint="eastAsia"/>
        </w:rPr>
        <w:t>條件，於軍人福祉、</w:t>
      </w:r>
      <w:r w:rsidRPr="006B27CD">
        <w:rPr>
          <w:rFonts w:hAnsi="標楷體" w:hint="eastAsia"/>
        </w:rPr>
        <w:t>升遷及願景方面與</w:t>
      </w:r>
      <w:r w:rsidRPr="006B27CD">
        <w:rPr>
          <w:rFonts w:hAnsi="標楷體"/>
        </w:rPr>
        <w:t>ROTC</w:t>
      </w:r>
      <w:r w:rsidRPr="006B27CD">
        <w:rPr>
          <w:rFonts w:hAnsi="標楷體" w:hint="eastAsia"/>
        </w:rPr>
        <w:t>作出明顯區隔，</w:t>
      </w:r>
      <w:bookmarkEnd w:id="12"/>
      <w:r w:rsidRPr="006B27CD">
        <w:rPr>
          <w:rFonts w:hAnsi="標楷體" w:hint="eastAsia"/>
        </w:rPr>
        <w:t>避免排擠</w:t>
      </w:r>
      <w:r w:rsidRPr="006B27CD">
        <w:rPr>
          <w:rFonts w:hAnsi="標楷體"/>
        </w:rPr>
        <w:t>軍校正期生之招生。</w:t>
      </w:r>
      <w:r w:rsidRPr="006B27CD">
        <w:rPr>
          <w:rFonts w:hAnsi="標楷體" w:hint="eastAsia"/>
        </w:rPr>
        <w:t>又國防部為因應募兵制實施，於</w:t>
      </w:r>
      <w:r w:rsidRPr="006B27CD">
        <w:rPr>
          <w:rFonts w:hAnsi="標楷體"/>
        </w:rPr>
        <w:t>106年與大學簽訂招生合作協議後，ROTC報名人數明顯提升，然</w:t>
      </w:r>
      <w:r w:rsidRPr="006B27CD">
        <w:rPr>
          <w:rFonts w:hAnsi="標楷體" w:hint="eastAsia"/>
        </w:rPr>
        <w:t>一般</w:t>
      </w:r>
      <w:r w:rsidRPr="006B27CD">
        <w:rPr>
          <w:rFonts w:hAnsi="標楷體"/>
        </w:rPr>
        <w:t>大學教育相較於</w:t>
      </w:r>
      <w:r w:rsidRPr="006B27CD">
        <w:rPr>
          <w:rFonts w:hAnsi="標楷體"/>
        </w:rPr>
        <w:lastRenderedPageBreak/>
        <w:t>軍事校院正期班的全天候軍事化教育並不相同，ROTC學生可彈性思考及調整後續生涯規劃，且</w:t>
      </w:r>
      <w:r w:rsidRPr="006B27CD">
        <w:rPr>
          <w:rFonts w:hAnsi="標楷體" w:hint="eastAsia"/>
        </w:rPr>
        <w:t>亦</w:t>
      </w:r>
      <w:r w:rsidRPr="006B27CD">
        <w:rPr>
          <w:rFonts w:hAnsi="標楷體"/>
        </w:rPr>
        <w:t>有明確之退場機制可隨時決定是否辦理退訓，</w:t>
      </w:r>
      <w:r w:rsidRPr="006B27CD">
        <w:rPr>
          <w:rFonts w:hAnsi="標楷體" w:hint="eastAsia"/>
        </w:rPr>
        <w:t>為確保國軍基層幹部穩定來源，國防部允應針對前述退訓問題設法解決</w:t>
      </w:r>
      <w:r w:rsidRPr="006B27CD">
        <w:rPr>
          <w:rFonts w:hAnsi="標楷體"/>
        </w:rPr>
        <w:t>。</w:t>
      </w:r>
      <w:r w:rsidRPr="006B27CD">
        <w:rPr>
          <w:rFonts w:hAnsi="標楷體" w:hint="eastAsia"/>
        </w:rPr>
        <w:t>是</w:t>
      </w:r>
      <w:proofErr w:type="gramStart"/>
      <w:r w:rsidRPr="006B27CD">
        <w:rPr>
          <w:rFonts w:hAnsi="標楷體" w:hint="eastAsia"/>
        </w:rPr>
        <w:t>以</w:t>
      </w:r>
      <w:proofErr w:type="gramEnd"/>
      <w:r w:rsidRPr="006B27CD">
        <w:rPr>
          <w:rFonts w:hAnsi="標楷體" w:hint="eastAsia"/>
        </w:rPr>
        <w:t>，國防部為拓展國軍軍官來源，辦理大學儲備軍官訓練團制度以</w:t>
      </w:r>
      <w:proofErr w:type="gramStart"/>
      <w:r w:rsidRPr="006B27CD">
        <w:rPr>
          <w:rFonts w:hAnsi="標楷體" w:hint="eastAsia"/>
        </w:rPr>
        <w:t>補充中役</w:t>
      </w:r>
      <w:proofErr w:type="gramEnd"/>
      <w:r w:rsidRPr="006B27CD">
        <w:rPr>
          <w:rFonts w:hAnsi="標楷體" w:hint="eastAsia"/>
        </w:rPr>
        <w:t>期之軍官員額，惟因訓練期程強度及服役年限因素，恐有</w:t>
      </w:r>
      <w:proofErr w:type="gramStart"/>
      <w:r w:rsidRPr="006B27CD">
        <w:rPr>
          <w:rFonts w:hAnsi="標楷體" w:hint="eastAsia"/>
        </w:rPr>
        <w:t>影響長役</w:t>
      </w:r>
      <w:proofErr w:type="gramEnd"/>
      <w:r w:rsidRPr="006B27CD">
        <w:rPr>
          <w:rFonts w:hAnsi="標楷體" w:hint="eastAsia"/>
        </w:rPr>
        <w:t>期軍校正期生之招生之虞，國防部允</w:t>
      </w:r>
      <w:r w:rsidR="00403012">
        <w:rPr>
          <w:rFonts w:hAnsi="標楷體" w:hint="eastAsia"/>
        </w:rPr>
        <w:t>宜</w:t>
      </w:r>
      <w:r w:rsidRPr="006B27CD">
        <w:rPr>
          <w:rFonts w:hAnsi="標楷體" w:hint="eastAsia"/>
        </w:rPr>
        <w:t>檢討改進。</w:t>
      </w:r>
    </w:p>
    <w:p w:rsidR="00245EEB" w:rsidRPr="006B27CD" w:rsidRDefault="00245EEB" w:rsidP="00245EEB">
      <w:pPr>
        <w:pStyle w:val="3"/>
        <w:numPr>
          <w:ilvl w:val="0"/>
          <w:numId w:val="0"/>
        </w:numPr>
        <w:ind w:left="1276"/>
        <w:rPr>
          <w:rFonts w:hAnsi="標楷體"/>
        </w:rPr>
      </w:pPr>
    </w:p>
    <w:p w:rsidR="00C47F36" w:rsidRDefault="00C47F36" w:rsidP="00C47F36">
      <w:pPr>
        <w:pStyle w:val="2"/>
        <w:numPr>
          <w:ilvl w:val="1"/>
          <w:numId w:val="1"/>
        </w:numPr>
        <w:ind w:left="993"/>
        <w:rPr>
          <w:rFonts w:hAnsi="標楷體"/>
          <w:b/>
        </w:rPr>
      </w:pPr>
      <w:bookmarkStart w:id="13" w:name="_Hlk144729597"/>
      <w:r w:rsidRPr="006B27CD">
        <w:rPr>
          <w:rFonts w:hAnsi="標楷體"/>
          <w:b/>
        </w:rPr>
        <w:t>國防部為厚植國軍堅實戰力，透過招募及訓練提升國軍人力及素質，惟部分國軍部隊仍有人力缺口，志願役人力仍無法達成編現比目標，</w:t>
      </w:r>
      <w:r w:rsidRPr="006B27CD">
        <w:rPr>
          <w:rFonts w:hAnsi="標楷體" w:hint="eastAsia"/>
          <w:b/>
        </w:rPr>
        <w:t>國防部允</w:t>
      </w:r>
      <w:r w:rsidR="00403012">
        <w:rPr>
          <w:rFonts w:hAnsi="標楷體" w:hint="eastAsia"/>
          <w:b/>
        </w:rPr>
        <w:t>宜</w:t>
      </w:r>
      <w:r w:rsidRPr="006B27CD">
        <w:rPr>
          <w:rFonts w:hAnsi="標楷體" w:hint="eastAsia"/>
          <w:b/>
        </w:rPr>
        <w:t>檢討改進</w:t>
      </w:r>
      <w:r w:rsidRPr="006B27CD">
        <w:rPr>
          <w:rFonts w:hAnsi="標楷體"/>
          <w:b/>
        </w:rPr>
        <w:t>。</w:t>
      </w:r>
      <w:bookmarkEnd w:id="13"/>
    </w:p>
    <w:p w:rsidR="00245EEB" w:rsidRPr="006B27CD" w:rsidRDefault="00245EEB" w:rsidP="00245EEB">
      <w:pPr>
        <w:pStyle w:val="2"/>
        <w:numPr>
          <w:ilvl w:val="0"/>
          <w:numId w:val="0"/>
        </w:numPr>
        <w:ind w:left="993"/>
        <w:rPr>
          <w:rFonts w:hAnsi="標楷體"/>
          <w:b/>
        </w:rPr>
      </w:pPr>
    </w:p>
    <w:p w:rsidR="00C47F36" w:rsidRPr="00245EEB" w:rsidRDefault="00C47F36" w:rsidP="00C47F36">
      <w:pPr>
        <w:pStyle w:val="2"/>
        <w:numPr>
          <w:ilvl w:val="1"/>
          <w:numId w:val="1"/>
        </w:numPr>
        <w:ind w:left="993"/>
        <w:rPr>
          <w:rFonts w:hAnsi="標楷體"/>
        </w:rPr>
      </w:pPr>
      <w:bookmarkStart w:id="14" w:name="_Hlk144827944"/>
      <w:r w:rsidRPr="006B27CD">
        <w:rPr>
          <w:rFonts w:hAnsi="標楷體"/>
          <w:b/>
        </w:rPr>
        <w:t>海軍艦隊指揮部所屬艦</w:t>
      </w:r>
      <w:r w:rsidRPr="006B27CD">
        <w:rPr>
          <w:rFonts w:hAnsi="標楷體" w:hint="eastAsia"/>
          <w:b/>
        </w:rPr>
        <w:t>艇</w:t>
      </w:r>
      <w:r w:rsidR="00102D97" w:rsidRPr="006B27CD">
        <w:rPr>
          <w:rFonts w:hAnsi="標楷體" w:hint="eastAsia"/>
          <w:b/>
        </w:rPr>
        <w:t>連續3年</w:t>
      </w:r>
      <w:r w:rsidRPr="006B27CD">
        <w:rPr>
          <w:rFonts w:hAnsi="標楷體"/>
          <w:b/>
        </w:rPr>
        <w:t>未依</w:t>
      </w:r>
      <w:r w:rsidR="00102D97" w:rsidRPr="006B27CD">
        <w:rPr>
          <w:rFonts w:hAnsi="標楷體" w:hint="eastAsia"/>
          <w:b/>
        </w:rPr>
        <w:t>所頒</w:t>
      </w:r>
      <w:r w:rsidRPr="006B27CD">
        <w:rPr>
          <w:rFonts w:hAnsi="標楷體"/>
          <w:b/>
        </w:rPr>
        <w:t>規定週期實施水面射擊</w:t>
      </w:r>
      <w:r w:rsidRPr="006B27CD">
        <w:rPr>
          <w:rFonts w:hAnsi="標楷體" w:hint="eastAsia"/>
          <w:b/>
        </w:rPr>
        <w:t>及</w:t>
      </w:r>
      <w:r w:rsidRPr="006B27CD">
        <w:rPr>
          <w:rFonts w:hAnsi="標楷體"/>
          <w:b/>
        </w:rPr>
        <w:t>方陣快</w:t>
      </w:r>
      <w:proofErr w:type="gramStart"/>
      <w:r w:rsidRPr="006B27CD">
        <w:rPr>
          <w:rFonts w:hAnsi="標楷體"/>
          <w:b/>
        </w:rPr>
        <w:t>砲</w:t>
      </w:r>
      <w:proofErr w:type="gramEnd"/>
      <w:r w:rsidRPr="006B27CD">
        <w:rPr>
          <w:rFonts w:hAnsi="標楷體"/>
          <w:b/>
        </w:rPr>
        <w:t>保養射擊訓練</w:t>
      </w:r>
      <w:r w:rsidRPr="006B27CD">
        <w:rPr>
          <w:rFonts w:hAnsi="標楷體" w:hint="eastAsia"/>
          <w:b/>
        </w:rPr>
        <w:t>，國防部未</w:t>
      </w:r>
      <w:r w:rsidRPr="006B27CD">
        <w:rPr>
          <w:rFonts w:hAnsi="標楷體"/>
          <w:b/>
        </w:rPr>
        <w:t>督促所屬依射擊訓練週期落實</w:t>
      </w:r>
      <w:r w:rsidRPr="006B27CD">
        <w:rPr>
          <w:rFonts w:hAnsi="標楷體" w:hint="eastAsia"/>
          <w:b/>
        </w:rPr>
        <w:t>訓練</w:t>
      </w:r>
      <w:r w:rsidRPr="006B27CD">
        <w:rPr>
          <w:rFonts w:hAnsi="標楷體"/>
          <w:b/>
        </w:rPr>
        <w:t>，</w:t>
      </w:r>
      <w:r w:rsidRPr="006B27CD">
        <w:rPr>
          <w:rFonts w:hAnsi="標楷體" w:hint="eastAsia"/>
          <w:b/>
        </w:rPr>
        <w:t>實</w:t>
      </w:r>
      <w:r w:rsidR="008779F2">
        <w:rPr>
          <w:rFonts w:hAnsi="標楷體" w:hint="eastAsia"/>
          <w:b/>
        </w:rPr>
        <w:t>應</w:t>
      </w:r>
      <w:r w:rsidRPr="006B27CD">
        <w:rPr>
          <w:rFonts w:hAnsi="標楷體" w:hint="eastAsia"/>
          <w:b/>
        </w:rPr>
        <w:t>檢討改進</w:t>
      </w:r>
      <w:r w:rsidRPr="006B27CD">
        <w:rPr>
          <w:rFonts w:hAnsi="標楷體"/>
          <w:b/>
        </w:rPr>
        <w:t>。</w:t>
      </w:r>
      <w:bookmarkEnd w:id="14"/>
    </w:p>
    <w:p w:rsidR="00245EEB" w:rsidRPr="006B27CD" w:rsidRDefault="00245EEB" w:rsidP="00245EEB">
      <w:pPr>
        <w:pStyle w:val="2"/>
        <w:numPr>
          <w:ilvl w:val="0"/>
          <w:numId w:val="0"/>
        </w:numPr>
        <w:ind w:left="993"/>
        <w:rPr>
          <w:rFonts w:hAnsi="標楷體"/>
        </w:rPr>
      </w:pPr>
    </w:p>
    <w:p w:rsidR="00E33A3C" w:rsidRPr="00695CF7" w:rsidRDefault="00C47F36" w:rsidP="00695CF7">
      <w:pPr>
        <w:pStyle w:val="2"/>
        <w:numPr>
          <w:ilvl w:val="1"/>
          <w:numId w:val="1"/>
        </w:numPr>
        <w:ind w:left="993"/>
        <w:rPr>
          <w:sz w:val="24"/>
        </w:rPr>
      </w:pPr>
      <w:r w:rsidRPr="00695CF7">
        <w:rPr>
          <w:rFonts w:hAnsi="標楷體" w:hint="eastAsia"/>
          <w:b/>
        </w:rPr>
        <w:t>海軍一三一</w:t>
      </w:r>
      <w:proofErr w:type="gramStart"/>
      <w:r w:rsidRPr="00695CF7">
        <w:rPr>
          <w:rFonts w:hAnsi="標楷體" w:hint="eastAsia"/>
          <w:b/>
        </w:rPr>
        <w:t>艦隊塔江艦</w:t>
      </w:r>
      <w:proofErr w:type="gramEnd"/>
      <w:r w:rsidRPr="00695CF7">
        <w:rPr>
          <w:rFonts w:hAnsi="標楷體" w:hint="eastAsia"/>
          <w:b/>
        </w:rPr>
        <w:t>於成軍後未依規定辦理戰備</w:t>
      </w:r>
      <w:proofErr w:type="gramStart"/>
      <w:r w:rsidRPr="00695CF7">
        <w:rPr>
          <w:rFonts w:hAnsi="標楷體" w:hint="eastAsia"/>
          <w:b/>
        </w:rPr>
        <w:t>複</w:t>
      </w:r>
      <w:proofErr w:type="gramEnd"/>
      <w:r w:rsidRPr="00695CF7">
        <w:rPr>
          <w:rFonts w:hAnsi="標楷體" w:hint="eastAsia"/>
          <w:b/>
        </w:rPr>
        <w:t>驗，肇致未能檢視該艦結訓驗收缺失後續之改善情形；且飛彈備戰操演成績欠佳，部分項目改進未</w:t>
      </w:r>
      <w:proofErr w:type="gramStart"/>
      <w:r w:rsidRPr="00695CF7">
        <w:rPr>
          <w:rFonts w:hAnsi="標楷體" w:hint="eastAsia"/>
          <w:b/>
        </w:rPr>
        <w:t>臻</w:t>
      </w:r>
      <w:proofErr w:type="gramEnd"/>
      <w:r w:rsidRPr="00695CF7">
        <w:rPr>
          <w:rFonts w:hAnsi="標楷體" w:hint="eastAsia"/>
          <w:b/>
        </w:rPr>
        <w:t>理想，影響該艦艇作戰能力，國防部未能落實督導所屬，允應檢討改進。</w:t>
      </w:r>
    </w:p>
    <w:p w:rsidR="00695CF7" w:rsidRDefault="00695CF7" w:rsidP="00695CF7">
      <w:pPr>
        <w:pStyle w:val="afa"/>
        <w:ind w:left="680"/>
        <w:rPr>
          <w:rFonts w:hint="eastAsia"/>
          <w:sz w:val="24"/>
        </w:rPr>
      </w:pPr>
    </w:p>
    <w:p w:rsidR="00695CF7" w:rsidRPr="00695CF7" w:rsidRDefault="00695CF7" w:rsidP="00695CF7">
      <w:pPr>
        <w:pStyle w:val="2"/>
        <w:numPr>
          <w:ilvl w:val="0"/>
          <w:numId w:val="0"/>
        </w:numPr>
        <w:ind w:left="4536"/>
        <w:rPr>
          <w:sz w:val="40"/>
          <w:szCs w:val="40"/>
        </w:rPr>
      </w:pPr>
      <w:r w:rsidRPr="00695CF7">
        <w:rPr>
          <w:rFonts w:hint="eastAsia"/>
          <w:sz w:val="40"/>
          <w:szCs w:val="40"/>
        </w:rPr>
        <w:t>調查委員</w:t>
      </w:r>
      <w:r w:rsidRPr="00695CF7">
        <w:rPr>
          <w:rFonts w:hAnsi="標楷體" w:hint="eastAsia"/>
          <w:sz w:val="40"/>
          <w:szCs w:val="40"/>
        </w:rPr>
        <w:t>：</w:t>
      </w:r>
      <w:r w:rsidRPr="00695CF7">
        <w:rPr>
          <w:rFonts w:hint="eastAsia"/>
          <w:sz w:val="40"/>
          <w:szCs w:val="40"/>
        </w:rPr>
        <w:t>王美</w:t>
      </w:r>
      <w:bookmarkStart w:id="15" w:name="_GoBack"/>
      <w:bookmarkEnd w:id="15"/>
      <w:r w:rsidRPr="00695CF7">
        <w:rPr>
          <w:rFonts w:hint="eastAsia"/>
          <w:sz w:val="40"/>
          <w:szCs w:val="40"/>
        </w:rPr>
        <w:t>玉</w:t>
      </w:r>
    </w:p>
    <w:p w:rsidR="00695CF7" w:rsidRPr="00695CF7" w:rsidRDefault="00695CF7" w:rsidP="00695CF7">
      <w:pPr>
        <w:pStyle w:val="2"/>
        <w:numPr>
          <w:ilvl w:val="0"/>
          <w:numId w:val="0"/>
        </w:numPr>
        <w:ind w:left="6662"/>
        <w:rPr>
          <w:sz w:val="40"/>
          <w:szCs w:val="40"/>
        </w:rPr>
      </w:pPr>
      <w:r w:rsidRPr="00695CF7">
        <w:rPr>
          <w:rFonts w:hint="eastAsia"/>
          <w:sz w:val="40"/>
          <w:szCs w:val="40"/>
        </w:rPr>
        <w:t>賴鼎銘</w:t>
      </w:r>
    </w:p>
    <w:p w:rsidR="00695CF7" w:rsidRPr="00695CF7" w:rsidRDefault="00695CF7" w:rsidP="00695CF7">
      <w:pPr>
        <w:pStyle w:val="2"/>
        <w:numPr>
          <w:ilvl w:val="0"/>
          <w:numId w:val="0"/>
        </w:numPr>
        <w:ind w:left="6662"/>
        <w:rPr>
          <w:rFonts w:hint="eastAsia"/>
          <w:sz w:val="40"/>
          <w:szCs w:val="40"/>
        </w:rPr>
      </w:pPr>
      <w:proofErr w:type="gramStart"/>
      <w:r w:rsidRPr="00695CF7">
        <w:rPr>
          <w:rFonts w:hint="eastAsia"/>
          <w:sz w:val="40"/>
          <w:szCs w:val="40"/>
        </w:rPr>
        <w:t>范巽</w:t>
      </w:r>
      <w:proofErr w:type="gramEnd"/>
      <w:r w:rsidRPr="00695CF7">
        <w:rPr>
          <w:rFonts w:hint="eastAsia"/>
          <w:sz w:val="40"/>
          <w:szCs w:val="40"/>
        </w:rPr>
        <w:t>綠</w:t>
      </w:r>
    </w:p>
    <w:sectPr w:rsidR="00695CF7" w:rsidRPr="00695CF7" w:rsidSect="00CB4A4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20F" w:rsidRDefault="0073520F">
      <w:r>
        <w:separator/>
      </w:r>
    </w:p>
  </w:endnote>
  <w:endnote w:type="continuationSeparator" w:id="0">
    <w:p w:rsidR="0073520F" w:rsidRDefault="0073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5DD" w:rsidRDefault="009445DD">
    <w:pPr>
      <w:pStyle w:val="af5"/>
      <w:framePr w:wrap="around" w:vAnchor="text" w:hAnchor="margin" w:xAlign="center" w:y="1"/>
      <w:rPr>
        <w:rStyle w:val="ad"/>
        <w:sz w:val="24"/>
      </w:rPr>
    </w:pPr>
  </w:p>
  <w:p w:rsidR="009445DD" w:rsidRDefault="009445D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20F" w:rsidRDefault="0073520F">
      <w:r>
        <w:separator/>
      </w:r>
    </w:p>
  </w:footnote>
  <w:footnote w:type="continuationSeparator" w:id="0">
    <w:p w:rsidR="0073520F" w:rsidRDefault="0073520F">
      <w:r>
        <w:continuationSeparator/>
      </w:r>
    </w:p>
  </w:footnote>
  <w:footnote w:id="1">
    <w:p w:rsidR="009445DD" w:rsidRDefault="009445DD" w:rsidP="00907C99">
      <w:pPr>
        <w:pStyle w:val="aff"/>
      </w:pPr>
      <w:r>
        <w:rPr>
          <w:rStyle w:val="aff1"/>
        </w:rPr>
        <w:footnoteRef/>
      </w:r>
      <w:r w:rsidRPr="00006BE4">
        <w:rPr>
          <w:rFonts w:hint="eastAsia"/>
        </w:rPr>
        <w:t>國軍軍事學校教師人事處理規定</w:t>
      </w:r>
      <w:r>
        <w:rPr>
          <w:rFonts w:hint="eastAsia"/>
        </w:rPr>
        <w:t>新增第38點規定：「</w:t>
      </w:r>
      <w:r w:rsidRPr="00673DA6">
        <w:rPr>
          <w:rFonts w:hint="eastAsia"/>
        </w:rPr>
        <w:t>…</w:t>
      </w:r>
      <w:proofErr w:type="gramStart"/>
      <w:r w:rsidRPr="00673DA6">
        <w:rPr>
          <w:rFonts w:hint="eastAsia"/>
        </w:rPr>
        <w:t>…</w:t>
      </w:r>
      <w:proofErr w:type="gramEnd"/>
      <w:r w:rsidRPr="00673DA6">
        <w:rPr>
          <w:rFonts w:hint="eastAsia"/>
        </w:rPr>
        <w:t>(二)各校(院)應按下列作法，專任教師聘任後升等考核，以提升教師教學研究品質：1、初聘之專任講師、助理教授及副教授應於聘任後六年內通過升等，未通過者，應於二年內在申請升等審查，仍未通過者，自第九年起不予續聘並納入各校院教師聘任作業規定，經校務會議通過後呈報國防部備查。……3、各校院針對現任滿八年仍未通過升等之專任講師、助理教授、副教授，應於每年最後乙次校務會議中檢視其未升等原因，並給予必要之協助與輔導。4、教師每年至少應於具雙向匿名審查機制之期刊發表二篇論文。……」</w:t>
      </w:r>
    </w:p>
  </w:footnote>
  <w:footnote w:id="2">
    <w:p w:rsidR="009445DD" w:rsidRPr="0040399E" w:rsidRDefault="009445DD" w:rsidP="00907C99">
      <w:pPr>
        <w:pStyle w:val="aff"/>
      </w:pPr>
      <w:r>
        <w:rPr>
          <w:rStyle w:val="aff1"/>
        </w:rPr>
        <w:footnoteRef/>
      </w:r>
      <w:r>
        <w:t xml:space="preserve"> </w:t>
      </w:r>
      <w:r>
        <w:rPr>
          <w:rFonts w:hint="eastAsia"/>
        </w:rPr>
        <w:t>教育部107年5月9日臺教高通字第1070047657號函。</w:t>
      </w:r>
    </w:p>
  </w:footnote>
  <w:footnote w:id="3">
    <w:p w:rsidR="009445DD" w:rsidRDefault="009445DD" w:rsidP="00907C99">
      <w:pPr>
        <w:pStyle w:val="aff"/>
      </w:pPr>
      <w:r>
        <w:rPr>
          <w:rStyle w:val="aff1"/>
        </w:rPr>
        <w:footnoteRef/>
      </w:r>
      <w:r>
        <w:t xml:space="preserve"> </w:t>
      </w:r>
      <w:r>
        <w:rPr>
          <w:rFonts w:hint="eastAsia"/>
        </w:rPr>
        <w:t>海軍二專班隸於海軍官校內，與海軍官校共享教師資源，故無另行統計海軍二專班之教師資料。</w:t>
      </w:r>
    </w:p>
  </w:footnote>
  <w:footnote w:id="4">
    <w:p w:rsidR="00B00305" w:rsidRPr="00673DA6" w:rsidRDefault="00B00305" w:rsidP="00B00305">
      <w:pPr>
        <w:pStyle w:val="aff"/>
      </w:pPr>
      <w:r>
        <w:rPr>
          <w:rStyle w:val="aff1"/>
        </w:rPr>
        <w:footnoteRef/>
      </w:r>
      <w:r>
        <w:t xml:space="preserve"> </w:t>
      </w:r>
      <w:r>
        <w:rPr>
          <w:rFonts w:hint="eastAsia"/>
        </w:rPr>
        <w:t>依</w:t>
      </w:r>
      <w:r w:rsidRPr="00006BE4">
        <w:rPr>
          <w:rFonts w:hint="eastAsia"/>
        </w:rPr>
        <w:t>國軍軍事學校教師人事處理規定</w:t>
      </w:r>
      <w:r>
        <w:rPr>
          <w:rFonts w:hint="eastAsia"/>
        </w:rPr>
        <w:t>第21點規定：「專任教師升</w:t>
      </w:r>
      <w:proofErr w:type="gramStart"/>
      <w:r>
        <w:rPr>
          <w:rFonts w:hint="eastAsia"/>
        </w:rPr>
        <w:t>等需合於</w:t>
      </w:r>
      <w:proofErr w:type="gramEnd"/>
      <w:r>
        <w:rPr>
          <w:rFonts w:hint="eastAsia"/>
        </w:rPr>
        <w:t>下列條件，由各校(院)檢具教師升等建議表、教師證書、教師評審委員紀錄，依隸屬系統報由權責單位核定。(</w:t>
      </w:r>
      <w:proofErr w:type="gramStart"/>
      <w:r>
        <w:rPr>
          <w:rFonts w:hint="eastAsia"/>
        </w:rPr>
        <w:t>一</w:t>
      </w:r>
      <w:proofErr w:type="gramEnd"/>
      <w:r>
        <w:rPr>
          <w:rFonts w:hint="eastAsia"/>
        </w:rPr>
        <w:t>)經</w:t>
      </w:r>
      <w:proofErr w:type="gramStart"/>
      <w:r>
        <w:rPr>
          <w:rFonts w:hint="eastAsia"/>
        </w:rPr>
        <w:t>教育部資審合格</w:t>
      </w:r>
      <w:proofErr w:type="gramEnd"/>
      <w:r>
        <w:rPr>
          <w:rFonts w:hint="eastAsia"/>
        </w:rPr>
        <w:t>後，擔任本職定期教務年資屆滿。(二)符合各校(院)自訂之教學評量標準。」依該規定，各軍事院校專任教師，皆須符合各校(院)自訂之「教學評量標準」，</w:t>
      </w:r>
      <w:proofErr w:type="gramStart"/>
      <w:r>
        <w:rPr>
          <w:rFonts w:hint="eastAsia"/>
        </w:rPr>
        <w:t>始得升等</w:t>
      </w:r>
      <w:proofErr w:type="gramEnd"/>
      <w:r>
        <w:rPr>
          <w:rFonts w:hint="eastAsia"/>
        </w:rPr>
        <w:t>。</w:t>
      </w:r>
    </w:p>
  </w:footnote>
  <w:footnote w:id="5">
    <w:p w:rsidR="009445DD" w:rsidRDefault="009445DD" w:rsidP="00907C99">
      <w:pPr>
        <w:pStyle w:val="aff"/>
      </w:pPr>
      <w:r>
        <w:rPr>
          <w:rStyle w:val="aff1"/>
        </w:rPr>
        <w:footnoteRef/>
      </w:r>
      <w:r>
        <w:t xml:space="preserve"> </w:t>
      </w:r>
      <w:r>
        <w:rPr>
          <w:rFonts w:hint="eastAsia"/>
        </w:rPr>
        <w:t>會考係依據教育部「國民小學及國民中學學生成績評量準則」，中央及地方主管機關為瞭解及確保國中畢業生學力品質，辦理會考作為我國國中畢業生學力檢定機制。會考藉由各科成績等級減少(分為3等級)來達到適度減低考試壓力的目的；並藉由標準參照的作法達到學力監控與提供具體學力訊息的目標，有關會考相關說明如下：分為國文、英語、數學、社會及自然等5科，並以標準參照方式呈現評量結果，透過計分程序，將各科成績分為「三等級」，各等級意義說明如下：精熟(A)：表示考生精通熟習該科目國中階段所學的知識與能力。基礎(B)：表示考生具備該科目國中階段之基本學力。待加強(C)：表示考生尚未具備該科目國中階段之基本學力。</w:t>
      </w:r>
    </w:p>
  </w:footnote>
  <w:footnote w:id="6">
    <w:p w:rsidR="009445DD" w:rsidRDefault="009445DD" w:rsidP="00907C99">
      <w:pPr>
        <w:pStyle w:val="aff"/>
      </w:pPr>
      <w:r>
        <w:rPr>
          <w:rStyle w:val="aff1"/>
        </w:rPr>
        <w:footnoteRef/>
      </w:r>
      <w:r>
        <w:t xml:space="preserve"> </w:t>
      </w:r>
      <w:r>
        <w:rPr>
          <w:rFonts w:hint="eastAsia"/>
        </w:rPr>
        <w:t>學測即大學學科能力測驗，考試科目包括國文、英文、數學、社會、自然等5考科，自111年度起，將數學調整為數學A及數學B等2考科。成績表示為級分制，各科最高為15級分，級距計算方式係為以各科到考考生，計算其原得總分前百分之一考生的平均原得總分(取制小數第二位，第三位四捨五入)後，再除以15(取至小數第五位，第六位四捨五入)，作為各該科之級距。訂有五種檢定標準，分別為：頂標：成績位於第88百分位數之考生級分；前標：成績位於第75百分位數之考生級分；均標：成績位於第50百分位數之考生級分；後標：成績位於第25百分位數之考生級分；底標：成績位於第12百分位數之考生級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4D612E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67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28"/>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C9370B7"/>
    <w:multiLevelType w:val="hybridMultilevel"/>
    <w:tmpl w:val="2470629E"/>
    <w:lvl w:ilvl="0" w:tplc="BC16233A">
      <w:start w:val="1"/>
      <w:numFmt w:val="decimal"/>
      <w:pStyle w:val="a5"/>
      <w:lvlText w:val="表%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5"/>
  </w:num>
  <w:num w:numId="6">
    <w:abstractNumId w:val="1"/>
  </w:num>
  <w:num w:numId="7">
    <w:abstractNumId w:val="6"/>
  </w:num>
  <w:num w:numId="8">
    <w:abstractNumId w:val="4"/>
  </w:num>
  <w:num w:numId="9">
    <w:abstractNumId w:val="7"/>
  </w:num>
  <w:num w:numId="10">
    <w:abstractNumId w:val="1"/>
  </w:num>
  <w:num w:numId="11">
    <w:abstractNumId w:val="1"/>
  </w:num>
  <w:num w:numId="12">
    <w:abstractNumId w:val="1"/>
  </w:num>
  <w:num w:numId="13">
    <w:abstractNumId w:val="1"/>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47"/>
    <w:rsid w:val="00002105"/>
    <w:rsid w:val="00002B90"/>
    <w:rsid w:val="00003613"/>
    <w:rsid w:val="00004B15"/>
    <w:rsid w:val="00006913"/>
    <w:rsid w:val="00006961"/>
    <w:rsid w:val="00006BE4"/>
    <w:rsid w:val="000112BF"/>
    <w:rsid w:val="00012233"/>
    <w:rsid w:val="000130E8"/>
    <w:rsid w:val="000146D0"/>
    <w:rsid w:val="000165D1"/>
    <w:rsid w:val="00017271"/>
    <w:rsid w:val="00017318"/>
    <w:rsid w:val="00017582"/>
    <w:rsid w:val="00017664"/>
    <w:rsid w:val="00021850"/>
    <w:rsid w:val="00022755"/>
    <w:rsid w:val="000229AD"/>
    <w:rsid w:val="00023727"/>
    <w:rsid w:val="000246F7"/>
    <w:rsid w:val="00025137"/>
    <w:rsid w:val="00026FDE"/>
    <w:rsid w:val="00030FBB"/>
    <w:rsid w:val="0003114D"/>
    <w:rsid w:val="000317EE"/>
    <w:rsid w:val="00032BD7"/>
    <w:rsid w:val="00036D76"/>
    <w:rsid w:val="00044DEB"/>
    <w:rsid w:val="00045571"/>
    <w:rsid w:val="0004625F"/>
    <w:rsid w:val="000475A8"/>
    <w:rsid w:val="00052FDA"/>
    <w:rsid w:val="000534AB"/>
    <w:rsid w:val="00054FF6"/>
    <w:rsid w:val="0005672B"/>
    <w:rsid w:val="00057433"/>
    <w:rsid w:val="0005790D"/>
    <w:rsid w:val="00057F32"/>
    <w:rsid w:val="0006013E"/>
    <w:rsid w:val="00062A25"/>
    <w:rsid w:val="000655EE"/>
    <w:rsid w:val="000659C5"/>
    <w:rsid w:val="00065AA4"/>
    <w:rsid w:val="000703F9"/>
    <w:rsid w:val="00070FD6"/>
    <w:rsid w:val="00072F15"/>
    <w:rsid w:val="000735E3"/>
    <w:rsid w:val="00073CB5"/>
    <w:rsid w:val="0007425C"/>
    <w:rsid w:val="00077553"/>
    <w:rsid w:val="00077E61"/>
    <w:rsid w:val="00080DEC"/>
    <w:rsid w:val="000851A2"/>
    <w:rsid w:val="00090408"/>
    <w:rsid w:val="00090C5A"/>
    <w:rsid w:val="000915BA"/>
    <w:rsid w:val="00091E27"/>
    <w:rsid w:val="00091F90"/>
    <w:rsid w:val="0009352E"/>
    <w:rsid w:val="00094A30"/>
    <w:rsid w:val="00096B96"/>
    <w:rsid w:val="000A0341"/>
    <w:rsid w:val="000A0A44"/>
    <w:rsid w:val="000A0C2F"/>
    <w:rsid w:val="000A113B"/>
    <w:rsid w:val="000A2F3F"/>
    <w:rsid w:val="000A53D5"/>
    <w:rsid w:val="000A7F36"/>
    <w:rsid w:val="000B0B4A"/>
    <w:rsid w:val="000B279A"/>
    <w:rsid w:val="000B5B87"/>
    <w:rsid w:val="000B61D2"/>
    <w:rsid w:val="000B70A7"/>
    <w:rsid w:val="000B73DD"/>
    <w:rsid w:val="000C02FE"/>
    <w:rsid w:val="000C0C8C"/>
    <w:rsid w:val="000C272F"/>
    <w:rsid w:val="000C495F"/>
    <w:rsid w:val="000C4B9C"/>
    <w:rsid w:val="000D61DD"/>
    <w:rsid w:val="000D6517"/>
    <w:rsid w:val="000D66D9"/>
    <w:rsid w:val="000E07B0"/>
    <w:rsid w:val="000E2E40"/>
    <w:rsid w:val="000E2EDE"/>
    <w:rsid w:val="000E6384"/>
    <w:rsid w:val="000E6431"/>
    <w:rsid w:val="000E754D"/>
    <w:rsid w:val="000E7FFC"/>
    <w:rsid w:val="000F0BF1"/>
    <w:rsid w:val="000F0E24"/>
    <w:rsid w:val="000F21A5"/>
    <w:rsid w:val="000F2FD7"/>
    <w:rsid w:val="000F3BB1"/>
    <w:rsid w:val="00100AD4"/>
    <w:rsid w:val="00102B9F"/>
    <w:rsid w:val="00102D97"/>
    <w:rsid w:val="001051A3"/>
    <w:rsid w:val="00110222"/>
    <w:rsid w:val="00111865"/>
    <w:rsid w:val="00111A44"/>
    <w:rsid w:val="00112637"/>
    <w:rsid w:val="00112ABC"/>
    <w:rsid w:val="00113720"/>
    <w:rsid w:val="00114052"/>
    <w:rsid w:val="0012001E"/>
    <w:rsid w:val="00120E71"/>
    <w:rsid w:val="0012101F"/>
    <w:rsid w:val="00123A33"/>
    <w:rsid w:val="00125094"/>
    <w:rsid w:val="001257A2"/>
    <w:rsid w:val="00126549"/>
    <w:rsid w:val="00126A55"/>
    <w:rsid w:val="0013065E"/>
    <w:rsid w:val="00131873"/>
    <w:rsid w:val="00133F08"/>
    <w:rsid w:val="001340FF"/>
    <w:rsid w:val="001345E6"/>
    <w:rsid w:val="001357C3"/>
    <w:rsid w:val="00135E39"/>
    <w:rsid w:val="00136753"/>
    <w:rsid w:val="001378B0"/>
    <w:rsid w:val="00142E00"/>
    <w:rsid w:val="001449CD"/>
    <w:rsid w:val="00146073"/>
    <w:rsid w:val="00146DF8"/>
    <w:rsid w:val="00147665"/>
    <w:rsid w:val="00147D30"/>
    <w:rsid w:val="00150369"/>
    <w:rsid w:val="00151BDA"/>
    <w:rsid w:val="00152793"/>
    <w:rsid w:val="001532A3"/>
    <w:rsid w:val="00153B7E"/>
    <w:rsid w:val="001545A9"/>
    <w:rsid w:val="00157196"/>
    <w:rsid w:val="001637C7"/>
    <w:rsid w:val="00164134"/>
    <w:rsid w:val="0016480E"/>
    <w:rsid w:val="00166563"/>
    <w:rsid w:val="00171074"/>
    <w:rsid w:val="00171875"/>
    <w:rsid w:val="00171AB7"/>
    <w:rsid w:val="00171E24"/>
    <w:rsid w:val="00171E84"/>
    <w:rsid w:val="00173112"/>
    <w:rsid w:val="00173CD2"/>
    <w:rsid w:val="00173F36"/>
    <w:rsid w:val="00174297"/>
    <w:rsid w:val="00176C2B"/>
    <w:rsid w:val="00177072"/>
    <w:rsid w:val="00177F6E"/>
    <w:rsid w:val="00180E06"/>
    <w:rsid w:val="001817B3"/>
    <w:rsid w:val="00182EC6"/>
    <w:rsid w:val="00182F40"/>
    <w:rsid w:val="00183014"/>
    <w:rsid w:val="00184D19"/>
    <w:rsid w:val="00185989"/>
    <w:rsid w:val="00185C57"/>
    <w:rsid w:val="001949F0"/>
    <w:rsid w:val="001959C2"/>
    <w:rsid w:val="00195F28"/>
    <w:rsid w:val="001A0AB0"/>
    <w:rsid w:val="001A1032"/>
    <w:rsid w:val="001A419B"/>
    <w:rsid w:val="001A451B"/>
    <w:rsid w:val="001A51E3"/>
    <w:rsid w:val="001A5C2E"/>
    <w:rsid w:val="001A7968"/>
    <w:rsid w:val="001A796F"/>
    <w:rsid w:val="001B02A1"/>
    <w:rsid w:val="001B27F3"/>
    <w:rsid w:val="001B2E98"/>
    <w:rsid w:val="001B30F4"/>
    <w:rsid w:val="001B3483"/>
    <w:rsid w:val="001B3C1E"/>
    <w:rsid w:val="001B4494"/>
    <w:rsid w:val="001B5547"/>
    <w:rsid w:val="001B6E91"/>
    <w:rsid w:val="001B7387"/>
    <w:rsid w:val="001C0D8B"/>
    <w:rsid w:val="001C0DA8"/>
    <w:rsid w:val="001C1CD4"/>
    <w:rsid w:val="001C3A3B"/>
    <w:rsid w:val="001C3C02"/>
    <w:rsid w:val="001C4BB4"/>
    <w:rsid w:val="001C5097"/>
    <w:rsid w:val="001C5646"/>
    <w:rsid w:val="001C5D3A"/>
    <w:rsid w:val="001D0D23"/>
    <w:rsid w:val="001D1BB8"/>
    <w:rsid w:val="001D395A"/>
    <w:rsid w:val="001D4AD7"/>
    <w:rsid w:val="001D578E"/>
    <w:rsid w:val="001D58C4"/>
    <w:rsid w:val="001D6D9C"/>
    <w:rsid w:val="001E0A22"/>
    <w:rsid w:val="001E0D8A"/>
    <w:rsid w:val="001E107C"/>
    <w:rsid w:val="001E1A56"/>
    <w:rsid w:val="001E39E1"/>
    <w:rsid w:val="001E4070"/>
    <w:rsid w:val="001E4DD2"/>
    <w:rsid w:val="001E5BEC"/>
    <w:rsid w:val="001E67BA"/>
    <w:rsid w:val="001E70C1"/>
    <w:rsid w:val="001E74C2"/>
    <w:rsid w:val="001E78FF"/>
    <w:rsid w:val="001F0795"/>
    <w:rsid w:val="001F09A3"/>
    <w:rsid w:val="001F4F82"/>
    <w:rsid w:val="001F548F"/>
    <w:rsid w:val="001F5A48"/>
    <w:rsid w:val="001F6260"/>
    <w:rsid w:val="001F7A03"/>
    <w:rsid w:val="00200007"/>
    <w:rsid w:val="002008A5"/>
    <w:rsid w:val="00201860"/>
    <w:rsid w:val="002030A5"/>
    <w:rsid w:val="00203131"/>
    <w:rsid w:val="002035BB"/>
    <w:rsid w:val="0020398E"/>
    <w:rsid w:val="0020608B"/>
    <w:rsid w:val="00207E1E"/>
    <w:rsid w:val="00211777"/>
    <w:rsid w:val="002119D5"/>
    <w:rsid w:val="00211E39"/>
    <w:rsid w:val="00212E88"/>
    <w:rsid w:val="00213C9C"/>
    <w:rsid w:val="0022009E"/>
    <w:rsid w:val="002215BF"/>
    <w:rsid w:val="002225F3"/>
    <w:rsid w:val="00223241"/>
    <w:rsid w:val="0022425C"/>
    <w:rsid w:val="002246DE"/>
    <w:rsid w:val="0022674C"/>
    <w:rsid w:val="0022680E"/>
    <w:rsid w:val="00231FC2"/>
    <w:rsid w:val="002324B9"/>
    <w:rsid w:val="00232B1C"/>
    <w:rsid w:val="00233E66"/>
    <w:rsid w:val="00234529"/>
    <w:rsid w:val="002359FF"/>
    <w:rsid w:val="00235BF9"/>
    <w:rsid w:val="00237AC9"/>
    <w:rsid w:val="00240B2B"/>
    <w:rsid w:val="00240CE8"/>
    <w:rsid w:val="002429E2"/>
    <w:rsid w:val="00243CF9"/>
    <w:rsid w:val="002441B5"/>
    <w:rsid w:val="00245EEB"/>
    <w:rsid w:val="0024709B"/>
    <w:rsid w:val="00247AF3"/>
    <w:rsid w:val="00250867"/>
    <w:rsid w:val="00251530"/>
    <w:rsid w:val="00252BC4"/>
    <w:rsid w:val="00254014"/>
    <w:rsid w:val="00254B39"/>
    <w:rsid w:val="00255717"/>
    <w:rsid w:val="002577C8"/>
    <w:rsid w:val="00261AC7"/>
    <w:rsid w:val="0026504D"/>
    <w:rsid w:val="00265C68"/>
    <w:rsid w:val="00265D31"/>
    <w:rsid w:val="00265DA5"/>
    <w:rsid w:val="00270801"/>
    <w:rsid w:val="00271DA6"/>
    <w:rsid w:val="00273A2F"/>
    <w:rsid w:val="00276120"/>
    <w:rsid w:val="0027668F"/>
    <w:rsid w:val="00280986"/>
    <w:rsid w:val="00280E7E"/>
    <w:rsid w:val="00281ECE"/>
    <w:rsid w:val="002827FF"/>
    <w:rsid w:val="002831C7"/>
    <w:rsid w:val="002835D6"/>
    <w:rsid w:val="002840C6"/>
    <w:rsid w:val="002854D4"/>
    <w:rsid w:val="00285C3F"/>
    <w:rsid w:val="00286129"/>
    <w:rsid w:val="002864B6"/>
    <w:rsid w:val="00291BD4"/>
    <w:rsid w:val="00291DC1"/>
    <w:rsid w:val="0029205E"/>
    <w:rsid w:val="0029315A"/>
    <w:rsid w:val="00295174"/>
    <w:rsid w:val="00296172"/>
    <w:rsid w:val="002962AC"/>
    <w:rsid w:val="00296B92"/>
    <w:rsid w:val="002A029E"/>
    <w:rsid w:val="002A063F"/>
    <w:rsid w:val="002A2258"/>
    <w:rsid w:val="002A2C22"/>
    <w:rsid w:val="002A48B0"/>
    <w:rsid w:val="002B02EB"/>
    <w:rsid w:val="002B0411"/>
    <w:rsid w:val="002B2B42"/>
    <w:rsid w:val="002B3669"/>
    <w:rsid w:val="002B60EC"/>
    <w:rsid w:val="002B7F55"/>
    <w:rsid w:val="002C0262"/>
    <w:rsid w:val="002C0602"/>
    <w:rsid w:val="002C3800"/>
    <w:rsid w:val="002C413B"/>
    <w:rsid w:val="002C4A05"/>
    <w:rsid w:val="002D1F72"/>
    <w:rsid w:val="002D20CA"/>
    <w:rsid w:val="002D3777"/>
    <w:rsid w:val="002D3B06"/>
    <w:rsid w:val="002D50B0"/>
    <w:rsid w:val="002D59B1"/>
    <w:rsid w:val="002D5C16"/>
    <w:rsid w:val="002D69E3"/>
    <w:rsid w:val="002D74BD"/>
    <w:rsid w:val="002E212F"/>
    <w:rsid w:val="002E2C16"/>
    <w:rsid w:val="002E2FA0"/>
    <w:rsid w:val="002E348D"/>
    <w:rsid w:val="002E3C7A"/>
    <w:rsid w:val="002E45A6"/>
    <w:rsid w:val="002E6A41"/>
    <w:rsid w:val="002F2387"/>
    <w:rsid w:val="002F2476"/>
    <w:rsid w:val="002F3CE8"/>
    <w:rsid w:val="002F3DFF"/>
    <w:rsid w:val="002F51B4"/>
    <w:rsid w:val="002F5E05"/>
    <w:rsid w:val="002F6A81"/>
    <w:rsid w:val="00300AEA"/>
    <w:rsid w:val="00301B5A"/>
    <w:rsid w:val="00302593"/>
    <w:rsid w:val="0030513B"/>
    <w:rsid w:val="003059AF"/>
    <w:rsid w:val="00307A76"/>
    <w:rsid w:val="003102E6"/>
    <w:rsid w:val="00311A47"/>
    <w:rsid w:val="0031273D"/>
    <w:rsid w:val="0031455E"/>
    <w:rsid w:val="00315A16"/>
    <w:rsid w:val="00317053"/>
    <w:rsid w:val="0032109C"/>
    <w:rsid w:val="0032261D"/>
    <w:rsid w:val="00322B45"/>
    <w:rsid w:val="00322B6D"/>
    <w:rsid w:val="00323809"/>
    <w:rsid w:val="00323D41"/>
    <w:rsid w:val="00325414"/>
    <w:rsid w:val="003302F1"/>
    <w:rsid w:val="003320DD"/>
    <w:rsid w:val="00335BAB"/>
    <w:rsid w:val="00335F13"/>
    <w:rsid w:val="00336A76"/>
    <w:rsid w:val="003377A8"/>
    <w:rsid w:val="00341150"/>
    <w:rsid w:val="0034193F"/>
    <w:rsid w:val="00343505"/>
    <w:rsid w:val="003443A5"/>
    <w:rsid w:val="0034470E"/>
    <w:rsid w:val="00346E85"/>
    <w:rsid w:val="00346F55"/>
    <w:rsid w:val="00351347"/>
    <w:rsid w:val="00352DB0"/>
    <w:rsid w:val="00354E3B"/>
    <w:rsid w:val="00354E89"/>
    <w:rsid w:val="00356D5E"/>
    <w:rsid w:val="00361063"/>
    <w:rsid w:val="0037094A"/>
    <w:rsid w:val="00371ED3"/>
    <w:rsid w:val="00372659"/>
    <w:rsid w:val="00372BD3"/>
    <w:rsid w:val="00372FFC"/>
    <w:rsid w:val="00376AC3"/>
    <w:rsid w:val="0037728A"/>
    <w:rsid w:val="00380287"/>
    <w:rsid w:val="00380B7D"/>
    <w:rsid w:val="00381A99"/>
    <w:rsid w:val="003829C2"/>
    <w:rsid w:val="003830B2"/>
    <w:rsid w:val="00383104"/>
    <w:rsid w:val="00384724"/>
    <w:rsid w:val="00387402"/>
    <w:rsid w:val="003919B7"/>
    <w:rsid w:val="00391D57"/>
    <w:rsid w:val="00391ED6"/>
    <w:rsid w:val="00392292"/>
    <w:rsid w:val="00393736"/>
    <w:rsid w:val="00394108"/>
    <w:rsid w:val="00394F45"/>
    <w:rsid w:val="00395A33"/>
    <w:rsid w:val="00396353"/>
    <w:rsid w:val="003A02CF"/>
    <w:rsid w:val="003A1167"/>
    <w:rsid w:val="003A15BC"/>
    <w:rsid w:val="003A1AB7"/>
    <w:rsid w:val="003A473E"/>
    <w:rsid w:val="003A5927"/>
    <w:rsid w:val="003A7E84"/>
    <w:rsid w:val="003B07F0"/>
    <w:rsid w:val="003B0D68"/>
    <w:rsid w:val="003B1017"/>
    <w:rsid w:val="003B3C07"/>
    <w:rsid w:val="003B5737"/>
    <w:rsid w:val="003B5D0D"/>
    <w:rsid w:val="003B6081"/>
    <w:rsid w:val="003B6775"/>
    <w:rsid w:val="003C0D48"/>
    <w:rsid w:val="003C24A8"/>
    <w:rsid w:val="003C2510"/>
    <w:rsid w:val="003C254C"/>
    <w:rsid w:val="003C25A7"/>
    <w:rsid w:val="003C349E"/>
    <w:rsid w:val="003C3798"/>
    <w:rsid w:val="003C5FE2"/>
    <w:rsid w:val="003D05FB"/>
    <w:rsid w:val="003D179B"/>
    <w:rsid w:val="003D1B16"/>
    <w:rsid w:val="003D20DB"/>
    <w:rsid w:val="003D3681"/>
    <w:rsid w:val="003D3B4A"/>
    <w:rsid w:val="003D45BF"/>
    <w:rsid w:val="003D508A"/>
    <w:rsid w:val="003D537F"/>
    <w:rsid w:val="003D59E1"/>
    <w:rsid w:val="003D6EAB"/>
    <w:rsid w:val="003D72E0"/>
    <w:rsid w:val="003D7B75"/>
    <w:rsid w:val="003E0208"/>
    <w:rsid w:val="003E26BB"/>
    <w:rsid w:val="003E4B57"/>
    <w:rsid w:val="003E7214"/>
    <w:rsid w:val="003E7EFE"/>
    <w:rsid w:val="003F27E1"/>
    <w:rsid w:val="003F2A42"/>
    <w:rsid w:val="003F37AF"/>
    <w:rsid w:val="003F437A"/>
    <w:rsid w:val="003F5C2B"/>
    <w:rsid w:val="003F61B3"/>
    <w:rsid w:val="003F635F"/>
    <w:rsid w:val="0040196E"/>
    <w:rsid w:val="00402240"/>
    <w:rsid w:val="004023E9"/>
    <w:rsid w:val="00403012"/>
    <w:rsid w:val="0040399E"/>
    <w:rsid w:val="0040454A"/>
    <w:rsid w:val="00410895"/>
    <w:rsid w:val="00410968"/>
    <w:rsid w:val="004131B3"/>
    <w:rsid w:val="00413F83"/>
    <w:rsid w:val="004141E8"/>
    <w:rsid w:val="0041490C"/>
    <w:rsid w:val="00414B17"/>
    <w:rsid w:val="00416191"/>
    <w:rsid w:val="00416721"/>
    <w:rsid w:val="00416A55"/>
    <w:rsid w:val="00421EB9"/>
    <w:rsid w:val="00421EF0"/>
    <w:rsid w:val="004224FA"/>
    <w:rsid w:val="004238E3"/>
    <w:rsid w:val="00423D07"/>
    <w:rsid w:val="00426FC5"/>
    <w:rsid w:val="00427936"/>
    <w:rsid w:val="00430644"/>
    <w:rsid w:val="00430CBB"/>
    <w:rsid w:val="004322D1"/>
    <w:rsid w:val="0043626E"/>
    <w:rsid w:val="004366BB"/>
    <w:rsid w:val="0044346F"/>
    <w:rsid w:val="004443CD"/>
    <w:rsid w:val="004446D2"/>
    <w:rsid w:val="00445079"/>
    <w:rsid w:val="004531BD"/>
    <w:rsid w:val="00453624"/>
    <w:rsid w:val="00453C4A"/>
    <w:rsid w:val="00453FF6"/>
    <w:rsid w:val="004553E6"/>
    <w:rsid w:val="004558F1"/>
    <w:rsid w:val="00455B31"/>
    <w:rsid w:val="00455B89"/>
    <w:rsid w:val="00461EE7"/>
    <w:rsid w:val="00464411"/>
    <w:rsid w:val="0046520A"/>
    <w:rsid w:val="004672AB"/>
    <w:rsid w:val="00470861"/>
    <w:rsid w:val="004714FE"/>
    <w:rsid w:val="0047355F"/>
    <w:rsid w:val="004743CE"/>
    <w:rsid w:val="0047455B"/>
    <w:rsid w:val="00475A45"/>
    <w:rsid w:val="00477BAA"/>
    <w:rsid w:val="00481EE8"/>
    <w:rsid w:val="0048282F"/>
    <w:rsid w:val="0048366F"/>
    <w:rsid w:val="00487D17"/>
    <w:rsid w:val="00491CFB"/>
    <w:rsid w:val="004923E8"/>
    <w:rsid w:val="00492638"/>
    <w:rsid w:val="004934DE"/>
    <w:rsid w:val="00494375"/>
    <w:rsid w:val="00495053"/>
    <w:rsid w:val="004A1098"/>
    <w:rsid w:val="004A1F59"/>
    <w:rsid w:val="004A29BE"/>
    <w:rsid w:val="004A3225"/>
    <w:rsid w:val="004A33EE"/>
    <w:rsid w:val="004A3AA8"/>
    <w:rsid w:val="004A3DE6"/>
    <w:rsid w:val="004A6D5E"/>
    <w:rsid w:val="004B13C7"/>
    <w:rsid w:val="004B15F9"/>
    <w:rsid w:val="004B3B6C"/>
    <w:rsid w:val="004B3DEB"/>
    <w:rsid w:val="004B46E0"/>
    <w:rsid w:val="004B5FE9"/>
    <w:rsid w:val="004B63A5"/>
    <w:rsid w:val="004B6A29"/>
    <w:rsid w:val="004B778F"/>
    <w:rsid w:val="004C0609"/>
    <w:rsid w:val="004C22EF"/>
    <w:rsid w:val="004C3C86"/>
    <w:rsid w:val="004C5D8D"/>
    <w:rsid w:val="004C639F"/>
    <w:rsid w:val="004C697E"/>
    <w:rsid w:val="004D0EA0"/>
    <w:rsid w:val="004D12F6"/>
    <w:rsid w:val="004D141F"/>
    <w:rsid w:val="004D213D"/>
    <w:rsid w:val="004D2742"/>
    <w:rsid w:val="004D332C"/>
    <w:rsid w:val="004D4E16"/>
    <w:rsid w:val="004D6310"/>
    <w:rsid w:val="004D6D1A"/>
    <w:rsid w:val="004D7B54"/>
    <w:rsid w:val="004E0062"/>
    <w:rsid w:val="004E05A1"/>
    <w:rsid w:val="004E0E94"/>
    <w:rsid w:val="004E15EA"/>
    <w:rsid w:val="004E7C71"/>
    <w:rsid w:val="004E7F21"/>
    <w:rsid w:val="004F1135"/>
    <w:rsid w:val="004F391C"/>
    <w:rsid w:val="004F472A"/>
    <w:rsid w:val="004F49FD"/>
    <w:rsid w:val="004F561A"/>
    <w:rsid w:val="004F5E57"/>
    <w:rsid w:val="004F61F9"/>
    <w:rsid w:val="004F6710"/>
    <w:rsid w:val="00500C3E"/>
    <w:rsid w:val="00502849"/>
    <w:rsid w:val="00504334"/>
    <w:rsid w:val="005046AD"/>
    <w:rsid w:val="0050498D"/>
    <w:rsid w:val="00504C2F"/>
    <w:rsid w:val="00505BDB"/>
    <w:rsid w:val="005068D3"/>
    <w:rsid w:val="005104D7"/>
    <w:rsid w:val="00510B9E"/>
    <w:rsid w:val="00510E90"/>
    <w:rsid w:val="005119E4"/>
    <w:rsid w:val="00511F3F"/>
    <w:rsid w:val="00512656"/>
    <w:rsid w:val="00517172"/>
    <w:rsid w:val="005212F7"/>
    <w:rsid w:val="00521E2E"/>
    <w:rsid w:val="00524A5A"/>
    <w:rsid w:val="00524FD4"/>
    <w:rsid w:val="00526CD4"/>
    <w:rsid w:val="00534F4F"/>
    <w:rsid w:val="00534FEE"/>
    <w:rsid w:val="005357EA"/>
    <w:rsid w:val="0053657C"/>
    <w:rsid w:val="00536BC2"/>
    <w:rsid w:val="00537DD5"/>
    <w:rsid w:val="005425E1"/>
    <w:rsid w:val="005427C5"/>
    <w:rsid w:val="00542CF6"/>
    <w:rsid w:val="0054423B"/>
    <w:rsid w:val="00545652"/>
    <w:rsid w:val="00545A71"/>
    <w:rsid w:val="00547C12"/>
    <w:rsid w:val="0055066C"/>
    <w:rsid w:val="00551973"/>
    <w:rsid w:val="00553C03"/>
    <w:rsid w:val="005547BA"/>
    <w:rsid w:val="00557DBD"/>
    <w:rsid w:val="00560DDA"/>
    <w:rsid w:val="005626C1"/>
    <w:rsid w:val="00563692"/>
    <w:rsid w:val="00563D48"/>
    <w:rsid w:val="00570680"/>
    <w:rsid w:val="00571679"/>
    <w:rsid w:val="00574505"/>
    <w:rsid w:val="00575085"/>
    <w:rsid w:val="00575128"/>
    <w:rsid w:val="00576A60"/>
    <w:rsid w:val="00577938"/>
    <w:rsid w:val="0058081A"/>
    <w:rsid w:val="005841D8"/>
    <w:rsid w:val="00584235"/>
    <w:rsid w:val="005844E7"/>
    <w:rsid w:val="005861A3"/>
    <w:rsid w:val="00586BEF"/>
    <w:rsid w:val="00587BDC"/>
    <w:rsid w:val="005908B8"/>
    <w:rsid w:val="0059512E"/>
    <w:rsid w:val="00595C41"/>
    <w:rsid w:val="00595CAE"/>
    <w:rsid w:val="00595E97"/>
    <w:rsid w:val="005968E0"/>
    <w:rsid w:val="00596CA3"/>
    <w:rsid w:val="005974B4"/>
    <w:rsid w:val="005977DF"/>
    <w:rsid w:val="005A13CA"/>
    <w:rsid w:val="005A5521"/>
    <w:rsid w:val="005A6DD2"/>
    <w:rsid w:val="005A7627"/>
    <w:rsid w:val="005B0339"/>
    <w:rsid w:val="005B2BCA"/>
    <w:rsid w:val="005B5194"/>
    <w:rsid w:val="005B61F6"/>
    <w:rsid w:val="005B6891"/>
    <w:rsid w:val="005B78F6"/>
    <w:rsid w:val="005C0797"/>
    <w:rsid w:val="005C1796"/>
    <w:rsid w:val="005C385D"/>
    <w:rsid w:val="005C649E"/>
    <w:rsid w:val="005C7802"/>
    <w:rsid w:val="005D0E63"/>
    <w:rsid w:val="005D0FEF"/>
    <w:rsid w:val="005D17A0"/>
    <w:rsid w:val="005D28EC"/>
    <w:rsid w:val="005D311A"/>
    <w:rsid w:val="005D3B20"/>
    <w:rsid w:val="005D71B7"/>
    <w:rsid w:val="005E26C7"/>
    <w:rsid w:val="005E2BC1"/>
    <w:rsid w:val="005E2E57"/>
    <w:rsid w:val="005E4759"/>
    <w:rsid w:val="005E5C68"/>
    <w:rsid w:val="005E65C0"/>
    <w:rsid w:val="005E71EE"/>
    <w:rsid w:val="005E7627"/>
    <w:rsid w:val="005E7906"/>
    <w:rsid w:val="005F0390"/>
    <w:rsid w:val="005F189F"/>
    <w:rsid w:val="005F1C5C"/>
    <w:rsid w:val="005F3A22"/>
    <w:rsid w:val="005F5A11"/>
    <w:rsid w:val="00602A6C"/>
    <w:rsid w:val="006052C0"/>
    <w:rsid w:val="006072CD"/>
    <w:rsid w:val="00610119"/>
    <w:rsid w:val="0061049B"/>
    <w:rsid w:val="006108BA"/>
    <w:rsid w:val="00610CD6"/>
    <w:rsid w:val="00610E33"/>
    <w:rsid w:val="006111F4"/>
    <w:rsid w:val="00612023"/>
    <w:rsid w:val="006120E9"/>
    <w:rsid w:val="00612EC5"/>
    <w:rsid w:val="00614190"/>
    <w:rsid w:val="00617C88"/>
    <w:rsid w:val="00622A99"/>
    <w:rsid w:val="00622E67"/>
    <w:rsid w:val="00625714"/>
    <w:rsid w:val="00626B57"/>
    <w:rsid w:val="00626C18"/>
    <w:rsid w:val="00626EDC"/>
    <w:rsid w:val="0062742C"/>
    <w:rsid w:val="00630B1A"/>
    <w:rsid w:val="006311FE"/>
    <w:rsid w:val="006319C7"/>
    <w:rsid w:val="00633146"/>
    <w:rsid w:val="00633B24"/>
    <w:rsid w:val="00642160"/>
    <w:rsid w:val="00642625"/>
    <w:rsid w:val="006452D3"/>
    <w:rsid w:val="006470EC"/>
    <w:rsid w:val="006523C9"/>
    <w:rsid w:val="006542D6"/>
    <w:rsid w:val="0065598E"/>
    <w:rsid w:val="00655AF2"/>
    <w:rsid w:val="00655BC5"/>
    <w:rsid w:val="006568BE"/>
    <w:rsid w:val="0066025D"/>
    <w:rsid w:val="0066091A"/>
    <w:rsid w:val="00661F5C"/>
    <w:rsid w:val="00662105"/>
    <w:rsid w:val="00671562"/>
    <w:rsid w:val="0067284D"/>
    <w:rsid w:val="00672A50"/>
    <w:rsid w:val="00672C4D"/>
    <w:rsid w:val="00673DA6"/>
    <w:rsid w:val="00673E33"/>
    <w:rsid w:val="00675EA1"/>
    <w:rsid w:val="006770A8"/>
    <w:rsid w:val="006773EC"/>
    <w:rsid w:val="006804B7"/>
    <w:rsid w:val="00680504"/>
    <w:rsid w:val="00680A07"/>
    <w:rsid w:val="006813A5"/>
    <w:rsid w:val="00681CD9"/>
    <w:rsid w:val="00683E30"/>
    <w:rsid w:val="00686E93"/>
    <w:rsid w:val="00687024"/>
    <w:rsid w:val="0069045D"/>
    <w:rsid w:val="00694603"/>
    <w:rsid w:val="00694D8E"/>
    <w:rsid w:val="00695CF7"/>
    <w:rsid w:val="00695E22"/>
    <w:rsid w:val="006A055F"/>
    <w:rsid w:val="006A1678"/>
    <w:rsid w:val="006A2746"/>
    <w:rsid w:val="006A7455"/>
    <w:rsid w:val="006B0FAA"/>
    <w:rsid w:val="006B1FB4"/>
    <w:rsid w:val="006B27CD"/>
    <w:rsid w:val="006B2E3F"/>
    <w:rsid w:val="006B7093"/>
    <w:rsid w:val="006B7417"/>
    <w:rsid w:val="006B7637"/>
    <w:rsid w:val="006C13F2"/>
    <w:rsid w:val="006C1FF0"/>
    <w:rsid w:val="006C2852"/>
    <w:rsid w:val="006C39EA"/>
    <w:rsid w:val="006C7495"/>
    <w:rsid w:val="006D31F9"/>
    <w:rsid w:val="006D3691"/>
    <w:rsid w:val="006D3B50"/>
    <w:rsid w:val="006D646D"/>
    <w:rsid w:val="006E19F9"/>
    <w:rsid w:val="006E4259"/>
    <w:rsid w:val="006E5EF0"/>
    <w:rsid w:val="006E6031"/>
    <w:rsid w:val="006E7283"/>
    <w:rsid w:val="006E728C"/>
    <w:rsid w:val="006F0127"/>
    <w:rsid w:val="006F3563"/>
    <w:rsid w:val="006F42B9"/>
    <w:rsid w:val="006F4E7A"/>
    <w:rsid w:val="006F6103"/>
    <w:rsid w:val="00704E00"/>
    <w:rsid w:val="007149E9"/>
    <w:rsid w:val="00717166"/>
    <w:rsid w:val="007209E7"/>
    <w:rsid w:val="00720EC3"/>
    <w:rsid w:val="007236F7"/>
    <w:rsid w:val="00723CE4"/>
    <w:rsid w:val="00725626"/>
    <w:rsid w:val="00726182"/>
    <w:rsid w:val="007262B5"/>
    <w:rsid w:val="00727635"/>
    <w:rsid w:val="00727BF0"/>
    <w:rsid w:val="00730074"/>
    <w:rsid w:val="00730603"/>
    <w:rsid w:val="007314B2"/>
    <w:rsid w:val="00732329"/>
    <w:rsid w:val="007337CA"/>
    <w:rsid w:val="00734CE4"/>
    <w:rsid w:val="00735123"/>
    <w:rsid w:val="0073520F"/>
    <w:rsid w:val="00736DB3"/>
    <w:rsid w:val="00740A4F"/>
    <w:rsid w:val="00741837"/>
    <w:rsid w:val="007444B9"/>
    <w:rsid w:val="00744A08"/>
    <w:rsid w:val="007453E6"/>
    <w:rsid w:val="007457EE"/>
    <w:rsid w:val="00750CCD"/>
    <w:rsid w:val="00751A9F"/>
    <w:rsid w:val="007536FE"/>
    <w:rsid w:val="00753BA1"/>
    <w:rsid w:val="00754789"/>
    <w:rsid w:val="00760600"/>
    <w:rsid w:val="0076152C"/>
    <w:rsid w:val="0076249B"/>
    <w:rsid w:val="0076781E"/>
    <w:rsid w:val="00770453"/>
    <w:rsid w:val="0077162B"/>
    <w:rsid w:val="0077309D"/>
    <w:rsid w:val="007732A3"/>
    <w:rsid w:val="00775074"/>
    <w:rsid w:val="00776F1D"/>
    <w:rsid w:val="007774EE"/>
    <w:rsid w:val="007808B3"/>
    <w:rsid w:val="007809C6"/>
    <w:rsid w:val="00781822"/>
    <w:rsid w:val="00783254"/>
    <w:rsid w:val="00783F21"/>
    <w:rsid w:val="00784C97"/>
    <w:rsid w:val="00786AE0"/>
    <w:rsid w:val="00787159"/>
    <w:rsid w:val="0079043A"/>
    <w:rsid w:val="00790D11"/>
    <w:rsid w:val="00790F1C"/>
    <w:rsid w:val="00791668"/>
    <w:rsid w:val="00791AA1"/>
    <w:rsid w:val="00796721"/>
    <w:rsid w:val="00797C38"/>
    <w:rsid w:val="007A18B4"/>
    <w:rsid w:val="007A2025"/>
    <w:rsid w:val="007A24B5"/>
    <w:rsid w:val="007A3793"/>
    <w:rsid w:val="007A4701"/>
    <w:rsid w:val="007A4F31"/>
    <w:rsid w:val="007A729F"/>
    <w:rsid w:val="007B004C"/>
    <w:rsid w:val="007B0D3D"/>
    <w:rsid w:val="007B59AB"/>
    <w:rsid w:val="007B5C76"/>
    <w:rsid w:val="007B72C2"/>
    <w:rsid w:val="007C1BA2"/>
    <w:rsid w:val="007C2B48"/>
    <w:rsid w:val="007C6A4C"/>
    <w:rsid w:val="007D20E9"/>
    <w:rsid w:val="007D5BD3"/>
    <w:rsid w:val="007D7881"/>
    <w:rsid w:val="007D7E3A"/>
    <w:rsid w:val="007E0D89"/>
    <w:rsid w:val="007E0E10"/>
    <w:rsid w:val="007E20CE"/>
    <w:rsid w:val="007E30A8"/>
    <w:rsid w:val="007E4768"/>
    <w:rsid w:val="007E4FB6"/>
    <w:rsid w:val="007E61DB"/>
    <w:rsid w:val="007E6ECF"/>
    <w:rsid w:val="007E777B"/>
    <w:rsid w:val="007F17D8"/>
    <w:rsid w:val="007F2070"/>
    <w:rsid w:val="007F236A"/>
    <w:rsid w:val="007F2CCC"/>
    <w:rsid w:val="007F3F89"/>
    <w:rsid w:val="007F4651"/>
    <w:rsid w:val="007F4F7A"/>
    <w:rsid w:val="007F63C1"/>
    <w:rsid w:val="007F787D"/>
    <w:rsid w:val="008034DA"/>
    <w:rsid w:val="00803762"/>
    <w:rsid w:val="00803818"/>
    <w:rsid w:val="00804536"/>
    <w:rsid w:val="008053F5"/>
    <w:rsid w:val="008054DD"/>
    <w:rsid w:val="00805BF4"/>
    <w:rsid w:val="00807AF7"/>
    <w:rsid w:val="00810198"/>
    <w:rsid w:val="00810CDD"/>
    <w:rsid w:val="0081208B"/>
    <w:rsid w:val="008151C4"/>
    <w:rsid w:val="00815DA8"/>
    <w:rsid w:val="00817047"/>
    <w:rsid w:val="0081722A"/>
    <w:rsid w:val="00821591"/>
    <w:rsid w:val="0082194D"/>
    <w:rsid w:val="00821DE9"/>
    <w:rsid w:val="008221F9"/>
    <w:rsid w:val="00822987"/>
    <w:rsid w:val="00824C89"/>
    <w:rsid w:val="008254B1"/>
    <w:rsid w:val="00825F7E"/>
    <w:rsid w:val="00826EF5"/>
    <w:rsid w:val="00831693"/>
    <w:rsid w:val="00832462"/>
    <w:rsid w:val="00840104"/>
    <w:rsid w:val="00840C1F"/>
    <w:rsid w:val="008411C9"/>
    <w:rsid w:val="00841AF7"/>
    <w:rsid w:val="00841FC5"/>
    <w:rsid w:val="0084293C"/>
    <w:rsid w:val="0084325D"/>
    <w:rsid w:val="00843D0F"/>
    <w:rsid w:val="008447F7"/>
    <w:rsid w:val="00844B30"/>
    <w:rsid w:val="00845010"/>
    <w:rsid w:val="00845709"/>
    <w:rsid w:val="00846524"/>
    <w:rsid w:val="00851A68"/>
    <w:rsid w:val="008522A7"/>
    <w:rsid w:val="00854A64"/>
    <w:rsid w:val="00854E89"/>
    <w:rsid w:val="008558F5"/>
    <w:rsid w:val="008576BD"/>
    <w:rsid w:val="00860463"/>
    <w:rsid w:val="00860820"/>
    <w:rsid w:val="0086189F"/>
    <w:rsid w:val="008622EE"/>
    <w:rsid w:val="00863399"/>
    <w:rsid w:val="00863AC8"/>
    <w:rsid w:val="00864BAE"/>
    <w:rsid w:val="0086509A"/>
    <w:rsid w:val="00865CC1"/>
    <w:rsid w:val="00865EAF"/>
    <w:rsid w:val="00865F11"/>
    <w:rsid w:val="00866C0C"/>
    <w:rsid w:val="008670C9"/>
    <w:rsid w:val="00872E93"/>
    <w:rsid w:val="008733DA"/>
    <w:rsid w:val="00873BC7"/>
    <w:rsid w:val="0087437F"/>
    <w:rsid w:val="00875E41"/>
    <w:rsid w:val="0087630D"/>
    <w:rsid w:val="008771D1"/>
    <w:rsid w:val="008779F2"/>
    <w:rsid w:val="008809BF"/>
    <w:rsid w:val="0088159A"/>
    <w:rsid w:val="00881EE9"/>
    <w:rsid w:val="0088266F"/>
    <w:rsid w:val="00884BAC"/>
    <w:rsid w:val="008850E4"/>
    <w:rsid w:val="008876DD"/>
    <w:rsid w:val="00891047"/>
    <w:rsid w:val="00891453"/>
    <w:rsid w:val="008938C0"/>
    <w:rsid w:val="008939AB"/>
    <w:rsid w:val="00893C2F"/>
    <w:rsid w:val="00894018"/>
    <w:rsid w:val="00896160"/>
    <w:rsid w:val="008A12F5"/>
    <w:rsid w:val="008A1B79"/>
    <w:rsid w:val="008A2243"/>
    <w:rsid w:val="008A23C6"/>
    <w:rsid w:val="008A290D"/>
    <w:rsid w:val="008A2DFC"/>
    <w:rsid w:val="008A3DD7"/>
    <w:rsid w:val="008A631C"/>
    <w:rsid w:val="008A6337"/>
    <w:rsid w:val="008A7227"/>
    <w:rsid w:val="008B04D6"/>
    <w:rsid w:val="008B0FBE"/>
    <w:rsid w:val="008B1587"/>
    <w:rsid w:val="008B1B01"/>
    <w:rsid w:val="008B2FFE"/>
    <w:rsid w:val="008B3440"/>
    <w:rsid w:val="008B3BCD"/>
    <w:rsid w:val="008B6DF8"/>
    <w:rsid w:val="008C0242"/>
    <w:rsid w:val="008C0892"/>
    <w:rsid w:val="008C106C"/>
    <w:rsid w:val="008C10F1"/>
    <w:rsid w:val="008C1735"/>
    <w:rsid w:val="008C1926"/>
    <w:rsid w:val="008C1E99"/>
    <w:rsid w:val="008C2EAD"/>
    <w:rsid w:val="008C3EA8"/>
    <w:rsid w:val="008C4FD1"/>
    <w:rsid w:val="008C7B58"/>
    <w:rsid w:val="008D0E2B"/>
    <w:rsid w:val="008D1696"/>
    <w:rsid w:val="008D6947"/>
    <w:rsid w:val="008D769E"/>
    <w:rsid w:val="008E0085"/>
    <w:rsid w:val="008E135E"/>
    <w:rsid w:val="008E1CBE"/>
    <w:rsid w:val="008E2AA6"/>
    <w:rsid w:val="008E2D20"/>
    <w:rsid w:val="008E307E"/>
    <w:rsid w:val="008E311B"/>
    <w:rsid w:val="008E5ABC"/>
    <w:rsid w:val="008F28A9"/>
    <w:rsid w:val="008F3DB9"/>
    <w:rsid w:val="008F46E7"/>
    <w:rsid w:val="008F50C2"/>
    <w:rsid w:val="008F5241"/>
    <w:rsid w:val="008F525C"/>
    <w:rsid w:val="008F64CA"/>
    <w:rsid w:val="008F6ED3"/>
    <w:rsid w:val="008F6F0B"/>
    <w:rsid w:val="008F7E4B"/>
    <w:rsid w:val="00902010"/>
    <w:rsid w:val="009023C6"/>
    <w:rsid w:val="00904A6F"/>
    <w:rsid w:val="009052DB"/>
    <w:rsid w:val="009057E3"/>
    <w:rsid w:val="00905B0B"/>
    <w:rsid w:val="00907BA7"/>
    <w:rsid w:val="00907C99"/>
    <w:rsid w:val="0091064E"/>
    <w:rsid w:val="00911853"/>
    <w:rsid w:val="00911FC5"/>
    <w:rsid w:val="009131EB"/>
    <w:rsid w:val="00913F59"/>
    <w:rsid w:val="00914696"/>
    <w:rsid w:val="009154E0"/>
    <w:rsid w:val="00915993"/>
    <w:rsid w:val="00915B3B"/>
    <w:rsid w:val="009169BF"/>
    <w:rsid w:val="00916B6B"/>
    <w:rsid w:val="00916D64"/>
    <w:rsid w:val="0091755C"/>
    <w:rsid w:val="00920B4D"/>
    <w:rsid w:val="009244FE"/>
    <w:rsid w:val="00924944"/>
    <w:rsid w:val="00925507"/>
    <w:rsid w:val="00926547"/>
    <w:rsid w:val="00927A12"/>
    <w:rsid w:val="00930BA4"/>
    <w:rsid w:val="009310FC"/>
    <w:rsid w:val="00931A10"/>
    <w:rsid w:val="009325B0"/>
    <w:rsid w:val="00937860"/>
    <w:rsid w:val="00942782"/>
    <w:rsid w:val="009434A0"/>
    <w:rsid w:val="009434C2"/>
    <w:rsid w:val="009445DD"/>
    <w:rsid w:val="0094726A"/>
    <w:rsid w:val="00947967"/>
    <w:rsid w:val="009538E8"/>
    <w:rsid w:val="00955201"/>
    <w:rsid w:val="009607E8"/>
    <w:rsid w:val="00965200"/>
    <w:rsid w:val="009668B3"/>
    <w:rsid w:val="00967957"/>
    <w:rsid w:val="00971471"/>
    <w:rsid w:val="009735AD"/>
    <w:rsid w:val="00973FB3"/>
    <w:rsid w:val="00976071"/>
    <w:rsid w:val="00976D78"/>
    <w:rsid w:val="00982511"/>
    <w:rsid w:val="00982D15"/>
    <w:rsid w:val="009844AF"/>
    <w:rsid w:val="009849C2"/>
    <w:rsid w:val="00984D24"/>
    <w:rsid w:val="009858EB"/>
    <w:rsid w:val="0098778E"/>
    <w:rsid w:val="00990D6E"/>
    <w:rsid w:val="00992C28"/>
    <w:rsid w:val="00997225"/>
    <w:rsid w:val="009973AC"/>
    <w:rsid w:val="009A2E08"/>
    <w:rsid w:val="009A3F47"/>
    <w:rsid w:val="009A4499"/>
    <w:rsid w:val="009A46A5"/>
    <w:rsid w:val="009B0046"/>
    <w:rsid w:val="009B1716"/>
    <w:rsid w:val="009B5BA8"/>
    <w:rsid w:val="009C0993"/>
    <w:rsid w:val="009C1440"/>
    <w:rsid w:val="009C1751"/>
    <w:rsid w:val="009C2107"/>
    <w:rsid w:val="009C39D8"/>
    <w:rsid w:val="009C420B"/>
    <w:rsid w:val="009C51D4"/>
    <w:rsid w:val="009C5D9E"/>
    <w:rsid w:val="009C73D0"/>
    <w:rsid w:val="009D2C3E"/>
    <w:rsid w:val="009D392D"/>
    <w:rsid w:val="009D52A6"/>
    <w:rsid w:val="009D6F87"/>
    <w:rsid w:val="009E0625"/>
    <w:rsid w:val="009E23C0"/>
    <w:rsid w:val="009E3034"/>
    <w:rsid w:val="009E549F"/>
    <w:rsid w:val="009E5621"/>
    <w:rsid w:val="009E5FF3"/>
    <w:rsid w:val="009E61E4"/>
    <w:rsid w:val="009E6A90"/>
    <w:rsid w:val="009E7517"/>
    <w:rsid w:val="009F19F1"/>
    <w:rsid w:val="009F240A"/>
    <w:rsid w:val="009F28A8"/>
    <w:rsid w:val="009F4195"/>
    <w:rsid w:val="009F473E"/>
    <w:rsid w:val="009F4891"/>
    <w:rsid w:val="009F5247"/>
    <w:rsid w:val="009F5327"/>
    <w:rsid w:val="009F53AC"/>
    <w:rsid w:val="009F682A"/>
    <w:rsid w:val="009F7428"/>
    <w:rsid w:val="00A00139"/>
    <w:rsid w:val="00A022BE"/>
    <w:rsid w:val="00A038FF"/>
    <w:rsid w:val="00A05883"/>
    <w:rsid w:val="00A06E02"/>
    <w:rsid w:val="00A07B4B"/>
    <w:rsid w:val="00A12D5C"/>
    <w:rsid w:val="00A14E3A"/>
    <w:rsid w:val="00A20CCA"/>
    <w:rsid w:val="00A22DD9"/>
    <w:rsid w:val="00A238EF"/>
    <w:rsid w:val="00A24C95"/>
    <w:rsid w:val="00A2599A"/>
    <w:rsid w:val="00A26094"/>
    <w:rsid w:val="00A26876"/>
    <w:rsid w:val="00A27134"/>
    <w:rsid w:val="00A27DBD"/>
    <w:rsid w:val="00A301BF"/>
    <w:rsid w:val="00A302B2"/>
    <w:rsid w:val="00A331B4"/>
    <w:rsid w:val="00A3484E"/>
    <w:rsid w:val="00A356D3"/>
    <w:rsid w:val="00A36A48"/>
    <w:rsid w:val="00A36ADA"/>
    <w:rsid w:val="00A3713F"/>
    <w:rsid w:val="00A3792C"/>
    <w:rsid w:val="00A37C4D"/>
    <w:rsid w:val="00A428CD"/>
    <w:rsid w:val="00A4344A"/>
    <w:rsid w:val="00A438D8"/>
    <w:rsid w:val="00A473F5"/>
    <w:rsid w:val="00A504A4"/>
    <w:rsid w:val="00A506B1"/>
    <w:rsid w:val="00A51F9D"/>
    <w:rsid w:val="00A5416A"/>
    <w:rsid w:val="00A56F66"/>
    <w:rsid w:val="00A57543"/>
    <w:rsid w:val="00A57967"/>
    <w:rsid w:val="00A62E56"/>
    <w:rsid w:val="00A639F4"/>
    <w:rsid w:val="00A65864"/>
    <w:rsid w:val="00A65A40"/>
    <w:rsid w:val="00A65FAE"/>
    <w:rsid w:val="00A70083"/>
    <w:rsid w:val="00A70FB8"/>
    <w:rsid w:val="00A718E7"/>
    <w:rsid w:val="00A77262"/>
    <w:rsid w:val="00A81A32"/>
    <w:rsid w:val="00A83420"/>
    <w:rsid w:val="00A835BD"/>
    <w:rsid w:val="00A85CF2"/>
    <w:rsid w:val="00A90081"/>
    <w:rsid w:val="00A92325"/>
    <w:rsid w:val="00A93733"/>
    <w:rsid w:val="00A94A26"/>
    <w:rsid w:val="00A95CEE"/>
    <w:rsid w:val="00A97B15"/>
    <w:rsid w:val="00AA2436"/>
    <w:rsid w:val="00AA25D9"/>
    <w:rsid w:val="00AA30D8"/>
    <w:rsid w:val="00AA42D5"/>
    <w:rsid w:val="00AA62C5"/>
    <w:rsid w:val="00AA6508"/>
    <w:rsid w:val="00AA791B"/>
    <w:rsid w:val="00AB013E"/>
    <w:rsid w:val="00AB2FAB"/>
    <w:rsid w:val="00AB3391"/>
    <w:rsid w:val="00AB4207"/>
    <w:rsid w:val="00AB5C14"/>
    <w:rsid w:val="00AB6909"/>
    <w:rsid w:val="00AC147F"/>
    <w:rsid w:val="00AC1EE7"/>
    <w:rsid w:val="00AC333F"/>
    <w:rsid w:val="00AC47CD"/>
    <w:rsid w:val="00AC585C"/>
    <w:rsid w:val="00AC6D11"/>
    <w:rsid w:val="00AC78DC"/>
    <w:rsid w:val="00AC7965"/>
    <w:rsid w:val="00AD1925"/>
    <w:rsid w:val="00AD1B2C"/>
    <w:rsid w:val="00AD1C05"/>
    <w:rsid w:val="00AD3143"/>
    <w:rsid w:val="00AD54D5"/>
    <w:rsid w:val="00AD7AEB"/>
    <w:rsid w:val="00AE067D"/>
    <w:rsid w:val="00AE14B8"/>
    <w:rsid w:val="00AE2D21"/>
    <w:rsid w:val="00AE490C"/>
    <w:rsid w:val="00AF1181"/>
    <w:rsid w:val="00AF2F79"/>
    <w:rsid w:val="00AF3566"/>
    <w:rsid w:val="00AF4653"/>
    <w:rsid w:val="00AF6C47"/>
    <w:rsid w:val="00AF6D46"/>
    <w:rsid w:val="00AF7DB7"/>
    <w:rsid w:val="00AF7E0B"/>
    <w:rsid w:val="00B00305"/>
    <w:rsid w:val="00B0128A"/>
    <w:rsid w:val="00B01A8B"/>
    <w:rsid w:val="00B027FE"/>
    <w:rsid w:val="00B03AEB"/>
    <w:rsid w:val="00B0628F"/>
    <w:rsid w:val="00B10D02"/>
    <w:rsid w:val="00B11F9F"/>
    <w:rsid w:val="00B125F5"/>
    <w:rsid w:val="00B1349C"/>
    <w:rsid w:val="00B13BBA"/>
    <w:rsid w:val="00B14D75"/>
    <w:rsid w:val="00B17979"/>
    <w:rsid w:val="00B201E2"/>
    <w:rsid w:val="00B21181"/>
    <w:rsid w:val="00B215D0"/>
    <w:rsid w:val="00B22BFB"/>
    <w:rsid w:val="00B24B27"/>
    <w:rsid w:val="00B24D8C"/>
    <w:rsid w:val="00B303B1"/>
    <w:rsid w:val="00B329AA"/>
    <w:rsid w:val="00B33324"/>
    <w:rsid w:val="00B341AF"/>
    <w:rsid w:val="00B34A75"/>
    <w:rsid w:val="00B35C92"/>
    <w:rsid w:val="00B3660B"/>
    <w:rsid w:val="00B36767"/>
    <w:rsid w:val="00B36B45"/>
    <w:rsid w:val="00B40F05"/>
    <w:rsid w:val="00B41F20"/>
    <w:rsid w:val="00B42FCB"/>
    <w:rsid w:val="00B4357B"/>
    <w:rsid w:val="00B443E4"/>
    <w:rsid w:val="00B44450"/>
    <w:rsid w:val="00B44A73"/>
    <w:rsid w:val="00B459C5"/>
    <w:rsid w:val="00B507E1"/>
    <w:rsid w:val="00B51D4C"/>
    <w:rsid w:val="00B5484D"/>
    <w:rsid w:val="00B562A2"/>
    <w:rsid w:val="00B563EA"/>
    <w:rsid w:val="00B56CDF"/>
    <w:rsid w:val="00B60E05"/>
    <w:rsid w:val="00B60E51"/>
    <w:rsid w:val="00B63A54"/>
    <w:rsid w:val="00B64778"/>
    <w:rsid w:val="00B648C5"/>
    <w:rsid w:val="00B654EE"/>
    <w:rsid w:val="00B65666"/>
    <w:rsid w:val="00B657A1"/>
    <w:rsid w:val="00B65903"/>
    <w:rsid w:val="00B666B0"/>
    <w:rsid w:val="00B70B1D"/>
    <w:rsid w:val="00B725C3"/>
    <w:rsid w:val="00B73EAD"/>
    <w:rsid w:val="00B767A1"/>
    <w:rsid w:val="00B77D18"/>
    <w:rsid w:val="00B80E54"/>
    <w:rsid w:val="00B81659"/>
    <w:rsid w:val="00B82E19"/>
    <w:rsid w:val="00B8313A"/>
    <w:rsid w:val="00B864DE"/>
    <w:rsid w:val="00B8719F"/>
    <w:rsid w:val="00B90748"/>
    <w:rsid w:val="00B90F39"/>
    <w:rsid w:val="00B91107"/>
    <w:rsid w:val="00B91E91"/>
    <w:rsid w:val="00B93503"/>
    <w:rsid w:val="00B93E30"/>
    <w:rsid w:val="00B96012"/>
    <w:rsid w:val="00B96315"/>
    <w:rsid w:val="00BA073C"/>
    <w:rsid w:val="00BA0DCE"/>
    <w:rsid w:val="00BA25A4"/>
    <w:rsid w:val="00BA2A99"/>
    <w:rsid w:val="00BA2D12"/>
    <w:rsid w:val="00BA31E8"/>
    <w:rsid w:val="00BA34F7"/>
    <w:rsid w:val="00BA4CA2"/>
    <w:rsid w:val="00BA55E0"/>
    <w:rsid w:val="00BA6BD4"/>
    <w:rsid w:val="00BA6C7A"/>
    <w:rsid w:val="00BB043B"/>
    <w:rsid w:val="00BB17A0"/>
    <w:rsid w:val="00BB17D1"/>
    <w:rsid w:val="00BB3752"/>
    <w:rsid w:val="00BB3F0B"/>
    <w:rsid w:val="00BB6145"/>
    <w:rsid w:val="00BB6688"/>
    <w:rsid w:val="00BB6FB2"/>
    <w:rsid w:val="00BC0872"/>
    <w:rsid w:val="00BC26D4"/>
    <w:rsid w:val="00BC2CC0"/>
    <w:rsid w:val="00BC5636"/>
    <w:rsid w:val="00BC6754"/>
    <w:rsid w:val="00BD5B8D"/>
    <w:rsid w:val="00BD7AF8"/>
    <w:rsid w:val="00BE0C80"/>
    <w:rsid w:val="00BE297A"/>
    <w:rsid w:val="00BE2E12"/>
    <w:rsid w:val="00BE2FD9"/>
    <w:rsid w:val="00BE6435"/>
    <w:rsid w:val="00BE6893"/>
    <w:rsid w:val="00BE77E1"/>
    <w:rsid w:val="00BF1626"/>
    <w:rsid w:val="00BF2A42"/>
    <w:rsid w:val="00BF362B"/>
    <w:rsid w:val="00BF3AC0"/>
    <w:rsid w:val="00BF7500"/>
    <w:rsid w:val="00C01DBA"/>
    <w:rsid w:val="00C02514"/>
    <w:rsid w:val="00C02A0C"/>
    <w:rsid w:val="00C03D8C"/>
    <w:rsid w:val="00C0433F"/>
    <w:rsid w:val="00C055EC"/>
    <w:rsid w:val="00C06A9D"/>
    <w:rsid w:val="00C06B27"/>
    <w:rsid w:val="00C07C0E"/>
    <w:rsid w:val="00C10394"/>
    <w:rsid w:val="00C10DC9"/>
    <w:rsid w:val="00C110DC"/>
    <w:rsid w:val="00C12F3E"/>
    <w:rsid w:val="00C12FB3"/>
    <w:rsid w:val="00C14CBE"/>
    <w:rsid w:val="00C17341"/>
    <w:rsid w:val="00C21D32"/>
    <w:rsid w:val="00C22091"/>
    <w:rsid w:val="00C22500"/>
    <w:rsid w:val="00C2296C"/>
    <w:rsid w:val="00C22A15"/>
    <w:rsid w:val="00C23192"/>
    <w:rsid w:val="00C24EEF"/>
    <w:rsid w:val="00C25BA3"/>
    <w:rsid w:val="00C25CF6"/>
    <w:rsid w:val="00C26C36"/>
    <w:rsid w:val="00C26EE7"/>
    <w:rsid w:val="00C30C45"/>
    <w:rsid w:val="00C316AE"/>
    <w:rsid w:val="00C317BF"/>
    <w:rsid w:val="00C32768"/>
    <w:rsid w:val="00C42CB8"/>
    <w:rsid w:val="00C4314D"/>
    <w:rsid w:val="00C431DF"/>
    <w:rsid w:val="00C456BD"/>
    <w:rsid w:val="00C460B3"/>
    <w:rsid w:val="00C46764"/>
    <w:rsid w:val="00C46DB1"/>
    <w:rsid w:val="00C47F36"/>
    <w:rsid w:val="00C522B3"/>
    <w:rsid w:val="00C52F25"/>
    <w:rsid w:val="00C530DC"/>
    <w:rsid w:val="00C5350D"/>
    <w:rsid w:val="00C544B0"/>
    <w:rsid w:val="00C60369"/>
    <w:rsid w:val="00C60AB1"/>
    <w:rsid w:val="00C6123C"/>
    <w:rsid w:val="00C61648"/>
    <w:rsid w:val="00C6311A"/>
    <w:rsid w:val="00C634DB"/>
    <w:rsid w:val="00C638FE"/>
    <w:rsid w:val="00C65B41"/>
    <w:rsid w:val="00C70486"/>
    <w:rsid w:val="00C7084D"/>
    <w:rsid w:val="00C72C4D"/>
    <w:rsid w:val="00C7315E"/>
    <w:rsid w:val="00C74403"/>
    <w:rsid w:val="00C75895"/>
    <w:rsid w:val="00C75C3B"/>
    <w:rsid w:val="00C764BA"/>
    <w:rsid w:val="00C776CF"/>
    <w:rsid w:val="00C802AD"/>
    <w:rsid w:val="00C802C7"/>
    <w:rsid w:val="00C838F8"/>
    <w:rsid w:val="00C83C9F"/>
    <w:rsid w:val="00C84A36"/>
    <w:rsid w:val="00C93E5F"/>
    <w:rsid w:val="00C94519"/>
    <w:rsid w:val="00C94840"/>
    <w:rsid w:val="00C974DA"/>
    <w:rsid w:val="00CA133A"/>
    <w:rsid w:val="00CA1944"/>
    <w:rsid w:val="00CA3D97"/>
    <w:rsid w:val="00CA4EE3"/>
    <w:rsid w:val="00CA535C"/>
    <w:rsid w:val="00CA6621"/>
    <w:rsid w:val="00CB027F"/>
    <w:rsid w:val="00CB034B"/>
    <w:rsid w:val="00CB1FF8"/>
    <w:rsid w:val="00CB4A46"/>
    <w:rsid w:val="00CB4E6D"/>
    <w:rsid w:val="00CC093B"/>
    <w:rsid w:val="00CC0BA4"/>
    <w:rsid w:val="00CC0D61"/>
    <w:rsid w:val="00CC0EBB"/>
    <w:rsid w:val="00CC38AC"/>
    <w:rsid w:val="00CC6297"/>
    <w:rsid w:val="00CC7690"/>
    <w:rsid w:val="00CD1986"/>
    <w:rsid w:val="00CD22E0"/>
    <w:rsid w:val="00CD3B95"/>
    <w:rsid w:val="00CD54BF"/>
    <w:rsid w:val="00CE1814"/>
    <w:rsid w:val="00CE1D7B"/>
    <w:rsid w:val="00CE37EC"/>
    <w:rsid w:val="00CE3A1A"/>
    <w:rsid w:val="00CE4C08"/>
    <w:rsid w:val="00CE4D5C"/>
    <w:rsid w:val="00CE61AE"/>
    <w:rsid w:val="00CE62B8"/>
    <w:rsid w:val="00CF05DA"/>
    <w:rsid w:val="00CF0E7A"/>
    <w:rsid w:val="00CF4970"/>
    <w:rsid w:val="00CF5116"/>
    <w:rsid w:val="00CF58EB"/>
    <w:rsid w:val="00CF602E"/>
    <w:rsid w:val="00CF6FEC"/>
    <w:rsid w:val="00D0106E"/>
    <w:rsid w:val="00D04428"/>
    <w:rsid w:val="00D04BDC"/>
    <w:rsid w:val="00D06383"/>
    <w:rsid w:val="00D07400"/>
    <w:rsid w:val="00D108B0"/>
    <w:rsid w:val="00D11DEC"/>
    <w:rsid w:val="00D1246D"/>
    <w:rsid w:val="00D1275C"/>
    <w:rsid w:val="00D133F3"/>
    <w:rsid w:val="00D20082"/>
    <w:rsid w:val="00D20E85"/>
    <w:rsid w:val="00D2100B"/>
    <w:rsid w:val="00D21FD0"/>
    <w:rsid w:val="00D2222F"/>
    <w:rsid w:val="00D24615"/>
    <w:rsid w:val="00D25B12"/>
    <w:rsid w:val="00D26D72"/>
    <w:rsid w:val="00D31E56"/>
    <w:rsid w:val="00D323D0"/>
    <w:rsid w:val="00D37842"/>
    <w:rsid w:val="00D37BE3"/>
    <w:rsid w:val="00D41F53"/>
    <w:rsid w:val="00D42CAC"/>
    <w:rsid w:val="00D42DC2"/>
    <w:rsid w:val="00D4302B"/>
    <w:rsid w:val="00D4390B"/>
    <w:rsid w:val="00D455E3"/>
    <w:rsid w:val="00D457C0"/>
    <w:rsid w:val="00D537E1"/>
    <w:rsid w:val="00D5409D"/>
    <w:rsid w:val="00D54B1B"/>
    <w:rsid w:val="00D54F0F"/>
    <w:rsid w:val="00D55BB2"/>
    <w:rsid w:val="00D565BB"/>
    <w:rsid w:val="00D5747E"/>
    <w:rsid w:val="00D605F4"/>
    <w:rsid w:val="00D6091A"/>
    <w:rsid w:val="00D61F8D"/>
    <w:rsid w:val="00D62E67"/>
    <w:rsid w:val="00D64B3F"/>
    <w:rsid w:val="00D6605A"/>
    <w:rsid w:val="00D6695F"/>
    <w:rsid w:val="00D72EB0"/>
    <w:rsid w:val="00D73DA1"/>
    <w:rsid w:val="00D74B80"/>
    <w:rsid w:val="00D750A5"/>
    <w:rsid w:val="00D75644"/>
    <w:rsid w:val="00D76AF2"/>
    <w:rsid w:val="00D81656"/>
    <w:rsid w:val="00D83372"/>
    <w:rsid w:val="00D83581"/>
    <w:rsid w:val="00D83D87"/>
    <w:rsid w:val="00D83F31"/>
    <w:rsid w:val="00D8453A"/>
    <w:rsid w:val="00D84A6D"/>
    <w:rsid w:val="00D85F46"/>
    <w:rsid w:val="00D86A30"/>
    <w:rsid w:val="00D908F1"/>
    <w:rsid w:val="00D91A96"/>
    <w:rsid w:val="00D92450"/>
    <w:rsid w:val="00D933F7"/>
    <w:rsid w:val="00D94677"/>
    <w:rsid w:val="00D9520E"/>
    <w:rsid w:val="00D952B6"/>
    <w:rsid w:val="00D95D37"/>
    <w:rsid w:val="00D97CB4"/>
    <w:rsid w:val="00D97DD4"/>
    <w:rsid w:val="00DA0225"/>
    <w:rsid w:val="00DA1A5B"/>
    <w:rsid w:val="00DA5A8A"/>
    <w:rsid w:val="00DA5F62"/>
    <w:rsid w:val="00DA7405"/>
    <w:rsid w:val="00DA7D4F"/>
    <w:rsid w:val="00DB1170"/>
    <w:rsid w:val="00DB22C6"/>
    <w:rsid w:val="00DB26CD"/>
    <w:rsid w:val="00DB37C4"/>
    <w:rsid w:val="00DB3D3A"/>
    <w:rsid w:val="00DB3F8B"/>
    <w:rsid w:val="00DB441C"/>
    <w:rsid w:val="00DB44AF"/>
    <w:rsid w:val="00DB4720"/>
    <w:rsid w:val="00DB4AAF"/>
    <w:rsid w:val="00DB52DF"/>
    <w:rsid w:val="00DB5314"/>
    <w:rsid w:val="00DB58CC"/>
    <w:rsid w:val="00DB6109"/>
    <w:rsid w:val="00DB788B"/>
    <w:rsid w:val="00DB7AC4"/>
    <w:rsid w:val="00DC1169"/>
    <w:rsid w:val="00DC1F58"/>
    <w:rsid w:val="00DC2119"/>
    <w:rsid w:val="00DC339B"/>
    <w:rsid w:val="00DC5441"/>
    <w:rsid w:val="00DC5D40"/>
    <w:rsid w:val="00DC628A"/>
    <w:rsid w:val="00DC645C"/>
    <w:rsid w:val="00DC69A7"/>
    <w:rsid w:val="00DD0747"/>
    <w:rsid w:val="00DD0D75"/>
    <w:rsid w:val="00DD17D8"/>
    <w:rsid w:val="00DD30E9"/>
    <w:rsid w:val="00DD3C23"/>
    <w:rsid w:val="00DD4F47"/>
    <w:rsid w:val="00DD5CB3"/>
    <w:rsid w:val="00DD71D9"/>
    <w:rsid w:val="00DD7FBB"/>
    <w:rsid w:val="00DE0B9F"/>
    <w:rsid w:val="00DE1CEC"/>
    <w:rsid w:val="00DE2A9E"/>
    <w:rsid w:val="00DE2C9E"/>
    <w:rsid w:val="00DE3D1B"/>
    <w:rsid w:val="00DE4238"/>
    <w:rsid w:val="00DE630D"/>
    <w:rsid w:val="00DE657F"/>
    <w:rsid w:val="00DE7E16"/>
    <w:rsid w:val="00DF0027"/>
    <w:rsid w:val="00DF1218"/>
    <w:rsid w:val="00DF28FF"/>
    <w:rsid w:val="00DF6462"/>
    <w:rsid w:val="00DF69B4"/>
    <w:rsid w:val="00DF6FB6"/>
    <w:rsid w:val="00E02B6E"/>
    <w:rsid w:val="00E02E98"/>
    <w:rsid w:val="00E02FA0"/>
    <w:rsid w:val="00E036DC"/>
    <w:rsid w:val="00E041CA"/>
    <w:rsid w:val="00E05CAA"/>
    <w:rsid w:val="00E10454"/>
    <w:rsid w:val="00E112E5"/>
    <w:rsid w:val="00E122D8"/>
    <w:rsid w:val="00E12CC8"/>
    <w:rsid w:val="00E13943"/>
    <w:rsid w:val="00E15352"/>
    <w:rsid w:val="00E153B3"/>
    <w:rsid w:val="00E153C9"/>
    <w:rsid w:val="00E17F4E"/>
    <w:rsid w:val="00E205E4"/>
    <w:rsid w:val="00E20679"/>
    <w:rsid w:val="00E21CC7"/>
    <w:rsid w:val="00E24D9E"/>
    <w:rsid w:val="00E25849"/>
    <w:rsid w:val="00E312E9"/>
    <w:rsid w:val="00E3163F"/>
    <w:rsid w:val="00E3197E"/>
    <w:rsid w:val="00E32761"/>
    <w:rsid w:val="00E33A3C"/>
    <w:rsid w:val="00E342F8"/>
    <w:rsid w:val="00E351ED"/>
    <w:rsid w:val="00E3524E"/>
    <w:rsid w:val="00E369D5"/>
    <w:rsid w:val="00E36AE1"/>
    <w:rsid w:val="00E3770E"/>
    <w:rsid w:val="00E4145D"/>
    <w:rsid w:val="00E42821"/>
    <w:rsid w:val="00E42B19"/>
    <w:rsid w:val="00E42CA0"/>
    <w:rsid w:val="00E42D7B"/>
    <w:rsid w:val="00E4367F"/>
    <w:rsid w:val="00E44C54"/>
    <w:rsid w:val="00E543C1"/>
    <w:rsid w:val="00E55752"/>
    <w:rsid w:val="00E55A5A"/>
    <w:rsid w:val="00E56367"/>
    <w:rsid w:val="00E6034B"/>
    <w:rsid w:val="00E60E58"/>
    <w:rsid w:val="00E61AC9"/>
    <w:rsid w:val="00E61F62"/>
    <w:rsid w:val="00E628FB"/>
    <w:rsid w:val="00E62E68"/>
    <w:rsid w:val="00E64417"/>
    <w:rsid w:val="00E6549E"/>
    <w:rsid w:val="00E65EDE"/>
    <w:rsid w:val="00E67610"/>
    <w:rsid w:val="00E677E1"/>
    <w:rsid w:val="00E70F81"/>
    <w:rsid w:val="00E7214E"/>
    <w:rsid w:val="00E74B9D"/>
    <w:rsid w:val="00E7547D"/>
    <w:rsid w:val="00E77055"/>
    <w:rsid w:val="00E77460"/>
    <w:rsid w:val="00E8358E"/>
    <w:rsid w:val="00E83ABC"/>
    <w:rsid w:val="00E844F2"/>
    <w:rsid w:val="00E84B7F"/>
    <w:rsid w:val="00E86173"/>
    <w:rsid w:val="00E90AD0"/>
    <w:rsid w:val="00E92FCB"/>
    <w:rsid w:val="00E938EF"/>
    <w:rsid w:val="00E93A9B"/>
    <w:rsid w:val="00E94FA6"/>
    <w:rsid w:val="00E97DB2"/>
    <w:rsid w:val="00EA147F"/>
    <w:rsid w:val="00EA24BF"/>
    <w:rsid w:val="00EA46EF"/>
    <w:rsid w:val="00EA4A27"/>
    <w:rsid w:val="00EA4FA6"/>
    <w:rsid w:val="00EA533B"/>
    <w:rsid w:val="00EB110E"/>
    <w:rsid w:val="00EB1A25"/>
    <w:rsid w:val="00EB66FF"/>
    <w:rsid w:val="00EB6E95"/>
    <w:rsid w:val="00EB7E32"/>
    <w:rsid w:val="00EC101C"/>
    <w:rsid w:val="00EC1EA9"/>
    <w:rsid w:val="00EC41E2"/>
    <w:rsid w:val="00EC666E"/>
    <w:rsid w:val="00EC7363"/>
    <w:rsid w:val="00ED01A3"/>
    <w:rsid w:val="00ED03AB"/>
    <w:rsid w:val="00ED0B2C"/>
    <w:rsid w:val="00ED1963"/>
    <w:rsid w:val="00ED1CD4"/>
    <w:rsid w:val="00ED1D2B"/>
    <w:rsid w:val="00ED38B0"/>
    <w:rsid w:val="00ED64B5"/>
    <w:rsid w:val="00EE2177"/>
    <w:rsid w:val="00EE2965"/>
    <w:rsid w:val="00EE67B6"/>
    <w:rsid w:val="00EE68F0"/>
    <w:rsid w:val="00EE7232"/>
    <w:rsid w:val="00EE7CCA"/>
    <w:rsid w:val="00EF0C6D"/>
    <w:rsid w:val="00EF1E2A"/>
    <w:rsid w:val="00EF7FDF"/>
    <w:rsid w:val="00F00166"/>
    <w:rsid w:val="00F02048"/>
    <w:rsid w:val="00F05493"/>
    <w:rsid w:val="00F064D1"/>
    <w:rsid w:val="00F06E53"/>
    <w:rsid w:val="00F07060"/>
    <w:rsid w:val="00F108EF"/>
    <w:rsid w:val="00F14D5D"/>
    <w:rsid w:val="00F15088"/>
    <w:rsid w:val="00F16A14"/>
    <w:rsid w:val="00F20DB4"/>
    <w:rsid w:val="00F230A3"/>
    <w:rsid w:val="00F230D9"/>
    <w:rsid w:val="00F25687"/>
    <w:rsid w:val="00F30E9F"/>
    <w:rsid w:val="00F362D7"/>
    <w:rsid w:val="00F36FC3"/>
    <w:rsid w:val="00F37D7B"/>
    <w:rsid w:val="00F40183"/>
    <w:rsid w:val="00F40A14"/>
    <w:rsid w:val="00F4455A"/>
    <w:rsid w:val="00F45881"/>
    <w:rsid w:val="00F464CC"/>
    <w:rsid w:val="00F467A3"/>
    <w:rsid w:val="00F50323"/>
    <w:rsid w:val="00F52655"/>
    <w:rsid w:val="00F5314C"/>
    <w:rsid w:val="00F5347F"/>
    <w:rsid w:val="00F552AD"/>
    <w:rsid w:val="00F55752"/>
    <w:rsid w:val="00F5688C"/>
    <w:rsid w:val="00F57E54"/>
    <w:rsid w:val="00F57F45"/>
    <w:rsid w:val="00F60048"/>
    <w:rsid w:val="00F60267"/>
    <w:rsid w:val="00F635DD"/>
    <w:rsid w:val="00F638C3"/>
    <w:rsid w:val="00F63C36"/>
    <w:rsid w:val="00F6627B"/>
    <w:rsid w:val="00F706E1"/>
    <w:rsid w:val="00F715BE"/>
    <w:rsid w:val="00F7255B"/>
    <w:rsid w:val="00F7336E"/>
    <w:rsid w:val="00F734F2"/>
    <w:rsid w:val="00F7364F"/>
    <w:rsid w:val="00F739E7"/>
    <w:rsid w:val="00F73C16"/>
    <w:rsid w:val="00F75052"/>
    <w:rsid w:val="00F8047E"/>
    <w:rsid w:val="00F804D3"/>
    <w:rsid w:val="00F80ED6"/>
    <w:rsid w:val="00F81646"/>
    <w:rsid w:val="00F816CB"/>
    <w:rsid w:val="00F8180C"/>
    <w:rsid w:val="00F81CD2"/>
    <w:rsid w:val="00F82641"/>
    <w:rsid w:val="00F835EC"/>
    <w:rsid w:val="00F8485D"/>
    <w:rsid w:val="00F85517"/>
    <w:rsid w:val="00F862AB"/>
    <w:rsid w:val="00F876EA"/>
    <w:rsid w:val="00F87935"/>
    <w:rsid w:val="00F90F18"/>
    <w:rsid w:val="00F937E4"/>
    <w:rsid w:val="00F94812"/>
    <w:rsid w:val="00F95EE7"/>
    <w:rsid w:val="00F96A2D"/>
    <w:rsid w:val="00F96FF6"/>
    <w:rsid w:val="00FA0758"/>
    <w:rsid w:val="00FA17D8"/>
    <w:rsid w:val="00FA39E6"/>
    <w:rsid w:val="00FA56F7"/>
    <w:rsid w:val="00FA5DDB"/>
    <w:rsid w:val="00FA6C02"/>
    <w:rsid w:val="00FA7BC9"/>
    <w:rsid w:val="00FA7D47"/>
    <w:rsid w:val="00FB1305"/>
    <w:rsid w:val="00FB1369"/>
    <w:rsid w:val="00FB378E"/>
    <w:rsid w:val="00FB37F1"/>
    <w:rsid w:val="00FB47C0"/>
    <w:rsid w:val="00FB501B"/>
    <w:rsid w:val="00FB668D"/>
    <w:rsid w:val="00FB719A"/>
    <w:rsid w:val="00FB7770"/>
    <w:rsid w:val="00FB7AA9"/>
    <w:rsid w:val="00FC0FDE"/>
    <w:rsid w:val="00FC154C"/>
    <w:rsid w:val="00FC3386"/>
    <w:rsid w:val="00FC3E17"/>
    <w:rsid w:val="00FC6946"/>
    <w:rsid w:val="00FC7F42"/>
    <w:rsid w:val="00FD3B91"/>
    <w:rsid w:val="00FD5628"/>
    <w:rsid w:val="00FD576B"/>
    <w:rsid w:val="00FD579E"/>
    <w:rsid w:val="00FD5F5F"/>
    <w:rsid w:val="00FD6845"/>
    <w:rsid w:val="00FE172E"/>
    <w:rsid w:val="00FE1932"/>
    <w:rsid w:val="00FE33EE"/>
    <w:rsid w:val="00FE389A"/>
    <w:rsid w:val="00FE3960"/>
    <w:rsid w:val="00FE4516"/>
    <w:rsid w:val="00FE64C8"/>
    <w:rsid w:val="00FE721B"/>
    <w:rsid w:val="00FF0226"/>
    <w:rsid w:val="00FF0566"/>
    <w:rsid w:val="00FF220C"/>
    <w:rsid w:val="00FF3872"/>
    <w:rsid w:val="00FF3BE7"/>
    <w:rsid w:val="00FF4B6D"/>
    <w:rsid w:val="00FF5249"/>
    <w:rsid w:val="00FF7C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B4357B"/>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customStyle="1" w:styleId="30">
    <w:name w:val="標題 3 字元"/>
    <w:link w:val="3"/>
    <w:rsid w:val="00B4357B"/>
    <w:rPr>
      <w:rFonts w:ascii="標楷體" w:eastAsia="標楷體" w:hAnsi="Arial"/>
      <w:bCs/>
      <w:kern w:val="32"/>
      <w:sz w:val="32"/>
      <w:szCs w:val="36"/>
    </w:rPr>
  </w:style>
  <w:style w:type="character" w:customStyle="1" w:styleId="40">
    <w:name w:val="標題 4 字元"/>
    <w:aliases w:val="表格 字元"/>
    <w:link w:val="4"/>
    <w:rsid w:val="00B4357B"/>
    <w:rPr>
      <w:rFonts w:ascii="標楷體" w:eastAsia="標楷體" w:hAnsi="Arial"/>
      <w:kern w:val="32"/>
      <w:sz w:val="32"/>
      <w:szCs w:val="36"/>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link w:val="aa"/>
    <w:semiHidden/>
    <w:rsid w:val="00B4357B"/>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character" w:customStyle="1" w:styleId="af3">
    <w:name w:val="本文縮排 字元"/>
    <w:basedOn w:val="a7"/>
    <w:link w:val="af2"/>
    <w:semiHidden/>
    <w:rsid w:val="00B4357B"/>
    <w:rPr>
      <w:rFonts w:ascii="標楷體" w:eastAsia="標楷體"/>
      <w:kern w:val="2"/>
      <w:sz w:val="32"/>
    </w:r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character" w:customStyle="1" w:styleId="af6">
    <w:name w:val="頁尾 字元"/>
    <w:link w:val="af5"/>
    <w:semiHidden/>
    <w:rsid w:val="00B4357B"/>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FF220C"/>
    <w:pPr>
      <w:keepNext/>
      <w:widowControl w:val="0"/>
      <w:numPr>
        <w:numId w:val="9"/>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25">
    <w:name w:val="本文第一層縮排 2 字元"/>
    <w:basedOn w:val="af3"/>
    <w:link w:val="24"/>
    <w:uiPriority w:val="99"/>
    <w:rsid w:val="00B4357B"/>
    <w:rPr>
      <w:rFonts w:ascii="標楷體" w:eastAsia="標楷體"/>
      <w:kern w:val="2"/>
      <w:sz w:val="32"/>
    </w:rPr>
  </w:style>
  <w:style w:type="table" w:styleId="affb">
    <w:name w:val="Grid Table Light"/>
    <w:basedOn w:val="a8"/>
    <w:uiPriority w:val="40"/>
    <w:rsid w:val="00FB13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
    <w:name w:val="表格格線1"/>
    <w:basedOn w:val="a8"/>
    <w:next w:val="af9"/>
    <w:uiPriority w:val="39"/>
    <w:rsid w:val="005745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8804">
      <w:bodyDiv w:val="1"/>
      <w:marLeft w:val="0"/>
      <w:marRight w:val="0"/>
      <w:marTop w:val="0"/>
      <w:marBottom w:val="0"/>
      <w:divBdr>
        <w:top w:val="none" w:sz="0" w:space="0" w:color="auto"/>
        <w:left w:val="none" w:sz="0" w:space="0" w:color="auto"/>
        <w:bottom w:val="none" w:sz="0" w:space="0" w:color="auto"/>
        <w:right w:val="none" w:sz="0" w:space="0" w:color="auto"/>
      </w:divBdr>
    </w:div>
    <w:div w:id="506016234">
      <w:bodyDiv w:val="1"/>
      <w:marLeft w:val="0"/>
      <w:marRight w:val="0"/>
      <w:marTop w:val="0"/>
      <w:marBottom w:val="0"/>
      <w:divBdr>
        <w:top w:val="none" w:sz="0" w:space="0" w:color="auto"/>
        <w:left w:val="none" w:sz="0" w:space="0" w:color="auto"/>
        <w:bottom w:val="none" w:sz="0" w:space="0" w:color="auto"/>
        <w:right w:val="none" w:sz="0" w:space="0" w:color="auto"/>
      </w:divBdr>
    </w:div>
    <w:div w:id="6211548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0723557">
      <w:bodyDiv w:val="1"/>
      <w:marLeft w:val="0"/>
      <w:marRight w:val="0"/>
      <w:marTop w:val="0"/>
      <w:marBottom w:val="0"/>
      <w:divBdr>
        <w:top w:val="none" w:sz="0" w:space="0" w:color="auto"/>
        <w:left w:val="none" w:sz="0" w:space="0" w:color="auto"/>
        <w:bottom w:val="none" w:sz="0" w:space="0" w:color="auto"/>
        <w:right w:val="none" w:sz="0" w:space="0" w:color="auto"/>
      </w:divBdr>
    </w:div>
    <w:div w:id="1152136569">
      <w:bodyDiv w:val="1"/>
      <w:marLeft w:val="0"/>
      <w:marRight w:val="0"/>
      <w:marTop w:val="0"/>
      <w:marBottom w:val="0"/>
      <w:divBdr>
        <w:top w:val="none" w:sz="0" w:space="0" w:color="auto"/>
        <w:left w:val="none" w:sz="0" w:space="0" w:color="auto"/>
        <w:bottom w:val="none" w:sz="0" w:space="0" w:color="auto"/>
        <w:right w:val="none" w:sz="0" w:space="0" w:color="auto"/>
      </w:divBdr>
    </w:div>
    <w:div w:id="1266577476">
      <w:bodyDiv w:val="1"/>
      <w:marLeft w:val="0"/>
      <w:marRight w:val="0"/>
      <w:marTop w:val="0"/>
      <w:marBottom w:val="0"/>
      <w:divBdr>
        <w:top w:val="none" w:sz="0" w:space="0" w:color="auto"/>
        <w:left w:val="none" w:sz="0" w:space="0" w:color="auto"/>
        <w:bottom w:val="none" w:sz="0" w:space="0" w:color="auto"/>
        <w:right w:val="none" w:sz="0" w:space="0" w:color="auto"/>
      </w:divBdr>
    </w:div>
    <w:div w:id="1290013852">
      <w:bodyDiv w:val="1"/>
      <w:marLeft w:val="0"/>
      <w:marRight w:val="0"/>
      <w:marTop w:val="0"/>
      <w:marBottom w:val="0"/>
      <w:divBdr>
        <w:top w:val="none" w:sz="0" w:space="0" w:color="auto"/>
        <w:left w:val="none" w:sz="0" w:space="0" w:color="auto"/>
        <w:bottom w:val="none" w:sz="0" w:space="0" w:color="auto"/>
        <w:right w:val="none" w:sz="0" w:space="0" w:color="auto"/>
      </w:divBdr>
    </w:div>
    <w:div w:id="1387341500">
      <w:bodyDiv w:val="1"/>
      <w:marLeft w:val="0"/>
      <w:marRight w:val="0"/>
      <w:marTop w:val="0"/>
      <w:marBottom w:val="0"/>
      <w:divBdr>
        <w:top w:val="none" w:sz="0" w:space="0" w:color="auto"/>
        <w:left w:val="none" w:sz="0" w:space="0" w:color="auto"/>
        <w:bottom w:val="none" w:sz="0" w:space="0" w:color="auto"/>
        <w:right w:val="none" w:sz="0" w:space="0" w:color="auto"/>
      </w:divBdr>
    </w:div>
    <w:div w:id="1590000868">
      <w:bodyDiv w:val="1"/>
      <w:marLeft w:val="0"/>
      <w:marRight w:val="0"/>
      <w:marTop w:val="0"/>
      <w:marBottom w:val="0"/>
      <w:divBdr>
        <w:top w:val="none" w:sz="0" w:space="0" w:color="auto"/>
        <w:left w:val="none" w:sz="0" w:space="0" w:color="auto"/>
        <w:bottom w:val="none" w:sz="0" w:space="0" w:color="auto"/>
        <w:right w:val="none" w:sz="0" w:space="0" w:color="auto"/>
      </w:divBdr>
      <w:divsChild>
        <w:div w:id="1653216897">
          <w:marLeft w:val="0"/>
          <w:marRight w:val="0"/>
          <w:marTop w:val="0"/>
          <w:marBottom w:val="120"/>
          <w:divBdr>
            <w:top w:val="none" w:sz="0" w:space="0" w:color="auto"/>
            <w:left w:val="none" w:sz="0" w:space="0" w:color="auto"/>
            <w:bottom w:val="none" w:sz="0" w:space="0" w:color="auto"/>
            <w:right w:val="none" w:sz="0" w:space="0" w:color="auto"/>
          </w:divBdr>
        </w:div>
        <w:div w:id="1911622361">
          <w:marLeft w:val="0"/>
          <w:marRight w:val="0"/>
          <w:marTop w:val="0"/>
          <w:marBottom w:val="120"/>
          <w:divBdr>
            <w:top w:val="none" w:sz="0" w:space="0" w:color="auto"/>
            <w:left w:val="none" w:sz="0" w:space="0" w:color="auto"/>
            <w:bottom w:val="none" w:sz="0" w:space="0" w:color="auto"/>
            <w:right w:val="none" w:sz="0" w:space="0" w:color="auto"/>
          </w:divBdr>
        </w:div>
        <w:div w:id="539824830">
          <w:marLeft w:val="0"/>
          <w:marRight w:val="0"/>
          <w:marTop w:val="0"/>
          <w:marBottom w:val="120"/>
          <w:divBdr>
            <w:top w:val="none" w:sz="0" w:space="0" w:color="auto"/>
            <w:left w:val="none" w:sz="0" w:space="0" w:color="auto"/>
            <w:bottom w:val="none" w:sz="0" w:space="0" w:color="auto"/>
            <w:right w:val="none" w:sz="0" w:space="0" w:color="auto"/>
          </w:divBdr>
        </w:div>
        <w:div w:id="399139402">
          <w:marLeft w:val="0"/>
          <w:marRight w:val="0"/>
          <w:marTop w:val="0"/>
          <w:marBottom w:val="120"/>
          <w:divBdr>
            <w:top w:val="none" w:sz="0" w:space="0" w:color="auto"/>
            <w:left w:val="none" w:sz="0" w:space="0" w:color="auto"/>
            <w:bottom w:val="none" w:sz="0" w:space="0" w:color="auto"/>
            <w:right w:val="none" w:sz="0" w:space="0" w:color="auto"/>
          </w:divBdr>
        </w:div>
      </w:divsChild>
    </w:div>
    <w:div w:id="1859002672">
      <w:bodyDiv w:val="1"/>
      <w:marLeft w:val="0"/>
      <w:marRight w:val="0"/>
      <w:marTop w:val="0"/>
      <w:marBottom w:val="0"/>
      <w:divBdr>
        <w:top w:val="none" w:sz="0" w:space="0" w:color="auto"/>
        <w:left w:val="none" w:sz="0" w:space="0" w:color="auto"/>
        <w:bottom w:val="none" w:sz="0" w:space="0" w:color="auto"/>
        <w:right w:val="none" w:sz="0" w:space="0" w:color="auto"/>
      </w:divBdr>
    </w:div>
    <w:div w:id="20528786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9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3F7D7-B532-4E81-A35C-EA533A0C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2023-10-13T09:17:00Z</dcterms:created>
  <dcterms:modified xsi:type="dcterms:W3CDTF">2023-10-13T09:17:00Z</dcterms:modified>
  <cp:contentStatus/>
</cp:coreProperties>
</file>