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1D3D" w14:textId="48CF8D7D" w:rsidR="00D75644" w:rsidRPr="00EE2DB0" w:rsidRDefault="00EE2DB0" w:rsidP="00F37D7B">
      <w:pPr>
        <w:pStyle w:val="af6"/>
        <w:rPr>
          <w:rFonts w:hAnsi="標楷體"/>
          <w:b w:val="0"/>
          <w:sz w:val="28"/>
          <w:szCs w:val="28"/>
        </w:rPr>
      </w:pPr>
      <w:r>
        <w:rPr>
          <w:rFonts w:hAnsi="標楷體" w:hint="eastAsia"/>
        </w:rPr>
        <w:t xml:space="preserve"> </w:t>
      </w:r>
      <w:r>
        <w:rPr>
          <w:rFonts w:hAnsi="標楷體"/>
        </w:rPr>
        <w:t xml:space="preserve"> </w:t>
      </w:r>
      <w:r w:rsidR="00D20D26" w:rsidRPr="00293659">
        <w:rPr>
          <w:rFonts w:hAnsi="標楷體" w:hint="eastAsia"/>
        </w:rPr>
        <w:t>調查報告</w:t>
      </w:r>
      <w:bookmarkStart w:id="0" w:name="_GoBack"/>
      <w:r w:rsidR="00067711" w:rsidRPr="00EE2DB0">
        <w:rPr>
          <w:rFonts w:hAnsi="標楷體" w:hint="eastAsia"/>
          <w:b w:val="0"/>
          <w:spacing w:val="0"/>
          <w:sz w:val="28"/>
          <w:szCs w:val="28"/>
        </w:rPr>
        <w:t>（公布版）</w:t>
      </w:r>
      <w:bookmarkEnd w:id="0"/>
    </w:p>
    <w:p w14:paraId="3B8412FB" w14:textId="4EA956EC" w:rsidR="00E25849" w:rsidRPr="00293659" w:rsidRDefault="00E25849" w:rsidP="004E05A1">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145510366"/>
      <w:r w:rsidRPr="00293659">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C66941" w:rsidRPr="00293659">
        <w:rPr>
          <w:rFonts w:hAnsi="標楷體" w:hint="eastAsia"/>
        </w:rPr>
        <w:t>國家中山科學研究院（下稱中科院）肩負先進機密武器研發重任，科技人才聘用、管理及士氣至關重要，然審計部查核指出，該院法人化後，潛藏現職員工利益衝突風險；近日</w:t>
      </w:r>
      <w:proofErr w:type="gramStart"/>
      <w:r w:rsidR="00C66941" w:rsidRPr="00293659">
        <w:rPr>
          <w:rFonts w:hAnsi="標楷體" w:hint="eastAsia"/>
        </w:rPr>
        <w:t>內部爆料</w:t>
      </w:r>
      <w:proofErr w:type="gramEnd"/>
      <w:r w:rsidR="00C66941" w:rsidRPr="00293659">
        <w:rPr>
          <w:rFonts w:hAnsi="標楷體" w:hint="eastAsia"/>
        </w:rPr>
        <w:t>更指控，該院以人事鬆綁為由，大量增設高層職缺，</w:t>
      </w:r>
      <w:proofErr w:type="gramStart"/>
      <w:r w:rsidR="00C66941" w:rsidRPr="00293659">
        <w:rPr>
          <w:rFonts w:hAnsi="標楷體" w:hint="eastAsia"/>
        </w:rPr>
        <w:t>延聘屆退或</w:t>
      </w:r>
      <w:proofErr w:type="gramEnd"/>
      <w:r w:rsidR="00C66941" w:rsidRPr="00293659">
        <w:rPr>
          <w:rFonts w:hAnsi="標楷體" w:hint="eastAsia"/>
        </w:rPr>
        <w:t>退伍軍官擔任主管職，坐領優渥</w:t>
      </w:r>
      <w:proofErr w:type="gramStart"/>
      <w:r w:rsidR="00C66941" w:rsidRPr="00293659">
        <w:rPr>
          <w:rFonts w:hAnsi="標楷體" w:hint="eastAsia"/>
        </w:rPr>
        <w:t>合議薪</w:t>
      </w:r>
      <w:proofErr w:type="gramEnd"/>
      <w:r w:rsidR="00C66941" w:rsidRPr="00293659">
        <w:rPr>
          <w:rFonts w:hAnsi="標楷體" w:hint="eastAsia"/>
        </w:rPr>
        <w:t>，不時領取高額獎金，更有多位超過65歲退休年齡的高階主管順利回聘，擔任關鍵管理職，領了退休</w:t>
      </w:r>
      <w:proofErr w:type="gramStart"/>
      <w:r w:rsidR="00C66941" w:rsidRPr="00293659">
        <w:rPr>
          <w:rFonts w:hAnsi="標楷體" w:hint="eastAsia"/>
        </w:rPr>
        <w:t>俸</w:t>
      </w:r>
      <w:proofErr w:type="gramEnd"/>
      <w:r w:rsidR="00C66941" w:rsidRPr="00293659">
        <w:rPr>
          <w:rFonts w:hAnsi="標楷體" w:hint="eastAsia"/>
        </w:rPr>
        <w:t>又</w:t>
      </w:r>
      <w:proofErr w:type="gramStart"/>
      <w:r w:rsidR="00C66941" w:rsidRPr="00293659">
        <w:rPr>
          <w:rFonts w:hAnsi="標楷體" w:hint="eastAsia"/>
        </w:rPr>
        <w:t>同時爽領</w:t>
      </w:r>
      <w:proofErr w:type="gramEnd"/>
      <w:r w:rsidR="00C66941" w:rsidRPr="00293659">
        <w:rPr>
          <w:rFonts w:hAnsi="標楷體" w:hint="eastAsia"/>
        </w:rPr>
        <w:t>新臺幣10多萬月薪，讓中科院淪「肥貓」院，連帶衍生內部升遷受阻，科技骨幹人才求去，技術斷層恐成國安新危機等情。究實情為何</w:t>
      </w:r>
      <w:r w:rsidR="00C64E4D" w:rsidRPr="00293659">
        <w:rPr>
          <w:rFonts w:hAnsi="標楷體" w:hint="eastAsia"/>
        </w:rPr>
        <w:t>，以及</w:t>
      </w:r>
      <w:r w:rsidR="008D67C4" w:rsidRPr="00293659">
        <w:rPr>
          <w:rFonts w:hAnsi="標楷體" w:hint="eastAsia"/>
        </w:rPr>
        <w:t>國防部</w:t>
      </w:r>
      <w:r w:rsidR="006352D7" w:rsidRPr="00293659">
        <w:rPr>
          <w:rFonts w:hAnsi="標楷體" w:hint="eastAsia"/>
        </w:rPr>
        <w:t>相關監督情形</w:t>
      </w:r>
      <w:r w:rsidR="008D67C4" w:rsidRPr="00293659">
        <w:rPr>
          <w:rFonts w:hAnsi="標楷體" w:hint="eastAsia"/>
        </w:rPr>
        <w:t>，</w:t>
      </w:r>
      <w:proofErr w:type="gramStart"/>
      <w:r w:rsidR="00524BB9" w:rsidRPr="00293659">
        <w:rPr>
          <w:rFonts w:hAnsi="標楷體" w:hint="eastAsia"/>
        </w:rPr>
        <w:t>均</w:t>
      </w:r>
      <w:r w:rsidR="00C66941" w:rsidRPr="00293659">
        <w:rPr>
          <w:rFonts w:hAnsi="標楷體" w:hint="eastAsia"/>
        </w:rPr>
        <w:t>有深入</w:t>
      </w:r>
      <w:proofErr w:type="gramEnd"/>
      <w:r w:rsidR="00C66941" w:rsidRPr="00293659">
        <w:rPr>
          <w:rFonts w:hAnsi="標楷體" w:hint="eastAsia"/>
        </w:rPr>
        <w:t>調查之必要案。</w:t>
      </w:r>
      <w:bookmarkEnd w:id="26"/>
    </w:p>
    <w:p w14:paraId="75605D9F" w14:textId="77777777" w:rsidR="00E25849" w:rsidRPr="00293659" w:rsidRDefault="00E25849" w:rsidP="0089652B">
      <w:pPr>
        <w:pStyle w:val="1"/>
        <w:ind w:left="2380" w:hanging="2380"/>
        <w:rPr>
          <w:rFonts w:hAnsi="標楷體"/>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834157"/>
      <w:bookmarkStart w:id="61" w:name="_Toc145510464"/>
      <w:bookmarkEnd w:id="27"/>
      <w:bookmarkEnd w:id="28"/>
      <w:bookmarkEnd w:id="29"/>
      <w:bookmarkEnd w:id="30"/>
      <w:bookmarkEnd w:id="31"/>
      <w:bookmarkEnd w:id="32"/>
      <w:bookmarkEnd w:id="33"/>
      <w:bookmarkEnd w:id="34"/>
      <w:bookmarkEnd w:id="35"/>
      <w:bookmarkEnd w:id="36"/>
      <w:r w:rsidRPr="00293659">
        <w:rPr>
          <w:rFonts w:hAnsi="標楷體" w:hint="eastAsia"/>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CF480F2" w14:textId="3EF0C4DD" w:rsidR="004F6710" w:rsidRPr="00293659" w:rsidRDefault="00DE3552" w:rsidP="00A639F4">
      <w:pPr>
        <w:pStyle w:val="11"/>
        <w:ind w:left="680" w:firstLine="680"/>
        <w:rPr>
          <w:rFonts w:hAnsi="標楷體"/>
          <w:b/>
        </w:rPr>
      </w:pPr>
      <w:bookmarkStart w:id="62" w:name="_Toc524902730"/>
      <w:r w:rsidRPr="00293659">
        <w:rPr>
          <w:rFonts w:hAnsi="標楷體" w:hint="eastAsia"/>
        </w:rPr>
        <w:t>本案緣於近年審計部查核報告指出</w:t>
      </w:r>
      <w:r w:rsidR="00987188" w:rsidRPr="00293659">
        <w:rPr>
          <w:rFonts w:hAnsi="標楷體" w:hint="eastAsia"/>
        </w:rPr>
        <w:t>國家中山科學研究院(下稱中科院)</w:t>
      </w:r>
      <w:r w:rsidRPr="00293659">
        <w:rPr>
          <w:rFonts w:hAnsi="標楷體" w:hint="eastAsia"/>
        </w:rPr>
        <w:t>行政法人化後衍生人事進用公正性及採購作業違反利益迴避等缺失，又媒體報導中科院大量回聘退休高階主管，</w:t>
      </w:r>
      <w:proofErr w:type="gramStart"/>
      <w:r w:rsidRPr="00293659">
        <w:rPr>
          <w:rFonts w:hAnsi="標楷體" w:hint="eastAsia"/>
        </w:rPr>
        <w:t>淪肥貓院</w:t>
      </w:r>
      <w:proofErr w:type="gramEnd"/>
      <w:r w:rsidRPr="00293659">
        <w:rPr>
          <w:rFonts w:hAnsi="標楷體" w:hint="eastAsia"/>
        </w:rPr>
        <w:t>疑慮等情，</w:t>
      </w:r>
      <w:r w:rsidRPr="00293659">
        <w:rPr>
          <w:rFonts w:hAnsi="標楷體" w:hint="eastAsia"/>
          <w:szCs w:val="32"/>
        </w:rPr>
        <w:t>於</w:t>
      </w:r>
      <w:r w:rsidRPr="00293659">
        <w:rPr>
          <w:rFonts w:hAnsi="標楷體" w:hint="eastAsia"/>
        </w:rPr>
        <w:t>民國（下同）</w:t>
      </w:r>
      <w:r w:rsidRPr="00293659">
        <w:rPr>
          <w:rFonts w:hAnsi="標楷體" w:hint="eastAsia"/>
          <w:szCs w:val="32"/>
        </w:rPr>
        <w:t>1</w:t>
      </w:r>
      <w:r w:rsidRPr="00293659">
        <w:rPr>
          <w:rFonts w:hAnsi="標楷體"/>
          <w:szCs w:val="32"/>
        </w:rPr>
        <w:t>12</w:t>
      </w:r>
      <w:r w:rsidRPr="00293659">
        <w:rPr>
          <w:rFonts w:hAnsi="標楷體" w:hint="eastAsia"/>
          <w:szCs w:val="32"/>
        </w:rPr>
        <w:t>年</w:t>
      </w:r>
      <w:r w:rsidRPr="00293659">
        <w:rPr>
          <w:rFonts w:hAnsi="標楷體"/>
          <w:szCs w:val="32"/>
        </w:rPr>
        <w:t>1</w:t>
      </w:r>
      <w:r w:rsidRPr="00293659">
        <w:rPr>
          <w:rFonts w:hAnsi="標楷體" w:hint="eastAsia"/>
          <w:szCs w:val="32"/>
        </w:rPr>
        <w:t>月</w:t>
      </w:r>
      <w:r w:rsidRPr="00293659">
        <w:rPr>
          <w:rFonts w:hAnsi="標楷體"/>
          <w:szCs w:val="32"/>
        </w:rPr>
        <w:t>17</w:t>
      </w:r>
      <w:r w:rsidRPr="00293659">
        <w:rPr>
          <w:rFonts w:hAnsi="標楷體" w:hint="eastAsia"/>
          <w:szCs w:val="32"/>
        </w:rPr>
        <w:t>日先</w:t>
      </w:r>
      <w:r w:rsidRPr="00293659">
        <w:rPr>
          <w:rFonts w:hAnsi="標楷體" w:hint="eastAsia"/>
        </w:rPr>
        <w:t>請</w:t>
      </w:r>
      <w:proofErr w:type="gramStart"/>
      <w:r w:rsidRPr="00293659">
        <w:rPr>
          <w:rFonts w:hAnsi="標楷體" w:hint="eastAsia"/>
        </w:rPr>
        <w:t>審計部到</w:t>
      </w:r>
      <w:proofErr w:type="gramEnd"/>
      <w:r w:rsidRPr="00293659">
        <w:rPr>
          <w:rFonts w:hAnsi="標楷體" w:hint="eastAsia"/>
        </w:rPr>
        <w:t>院簡報案情與提供資料後，向國防部調閱相關卷證資料，於</w:t>
      </w:r>
      <w:r w:rsidRPr="00293659">
        <w:rPr>
          <w:rFonts w:hAnsi="標楷體"/>
        </w:rPr>
        <w:t>112</w:t>
      </w:r>
      <w:r w:rsidRPr="00293659">
        <w:rPr>
          <w:rFonts w:hAnsi="標楷體" w:hint="eastAsia"/>
        </w:rPr>
        <w:t>年</w:t>
      </w:r>
      <w:r w:rsidRPr="00293659">
        <w:rPr>
          <w:rFonts w:hAnsi="標楷體"/>
        </w:rPr>
        <w:t>5</w:t>
      </w:r>
      <w:r w:rsidRPr="00293659">
        <w:rPr>
          <w:rFonts w:hAnsi="標楷體" w:hint="eastAsia"/>
        </w:rPr>
        <w:t>月</w:t>
      </w:r>
      <w:r w:rsidRPr="00293659">
        <w:rPr>
          <w:rFonts w:hAnsi="標楷體"/>
        </w:rPr>
        <w:t>10</w:t>
      </w:r>
      <w:r w:rsidRPr="00293659">
        <w:rPr>
          <w:rFonts w:hAnsi="標楷體" w:hint="eastAsia"/>
        </w:rPr>
        <w:t>日詢問國防部與中科院等機關人員，並經國防部於會議後補充相關說明與資料後，已調查完畢，</w:t>
      </w:r>
      <w:proofErr w:type="gramStart"/>
      <w:r w:rsidR="00415D6E" w:rsidRPr="00293659">
        <w:rPr>
          <w:rFonts w:hAnsi="標楷體" w:hint="eastAsia"/>
        </w:rPr>
        <w:t>綜整</w:t>
      </w:r>
      <w:r w:rsidRPr="00293659">
        <w:rPr>
          <w:rFonts w:hAnsi="標楷體" w:hint="eastAsia"/>
        </w:rPr>
        <w:t>調</w:t>
      </w:r>
      <w:proofErr w:type="gramEnd"/>
      <w:r w:rsidRPr="00293659">
        <w:rPr>
          <w:rFonts w:hAnsi="標楷體" w:hint="eastAsia"/>
        </w:rPr>
        <w:t>查意見如下：</w:t>
      </w:r>
    </w:p>
    <w:p w14:paraId="1B0371D9" w14:textId="172CEC19" w:rsidR="00E1047E" w:rsidRPr="00293659" w:rsidRDefault="00E1047E" w:rsidP="00E1047E">
      <w:pPr>
        <w:pStyle w:val="2"/>
        <w:widowControl/>
        <w:numPr>
          <w:ilvl w:val="1"/>
          <w:numId w:val="1"/>
        </w:numPr>
        <w:overflowPunct/>
        <w:autoSpaceDE/>
        <w:autoSpaceDN/>
        <w:rPr>
          <w:rFonts w:hAnsi="標楷體"/>
          <w:b/>
        </w:rPr>
      </w:pPr>
      <w:bookmarkStart w:id="63" w:name="_Toc143262181"/>
      <w:bookmarkStart w:id="64" w:name="_Toc145510465"/>
      <w:bookmarkStart w:id="65" w:name="_Toc141964313"/>
      <w:bookmarkStart w:id="66" w:name="_Toc141964314"/>
      <w:r w:rsidRPr="00293659">
        <w:rPr>
          <w:rFonts w:hAnsi="標楷體"/>
          <w:b/>
          <w:szCs w:val="32"/>
        </w:rPr>
        <w:t>中科院</w:t>
      </w:r>
      <w:r w:rsidRPr="00293659">
        <w:rPr>
          <w:rFonts w:hAnsi="標楷體" w:hint="eastAsia"/>
          <w:b/>
          <w:szCs w:val="32"/>
        </w:rPr>
        <w:t>為因應</w:t>
      </w:r>
      <w:r w:rsidRPr="00293659">
        <w:rPr>
          <w:rFonts w:hAnsi="標楷體"/>
          <w:b/>
          <w:szCs w:val="32"/>
        </w:rPr>
        <w:t>營運急速擴張與各項重大任務</w:t>
      </w:r>
      <w:r w:rsidRPr="00293659">
        <w:rPr>
          <w:rFonts w:hAnsi="標楷體" w:hint="eastAsia"/>
          <w:b/>
          <w:szCs w:val="32"/>
        </w:rPr>
        <w:t>推展</w:t>
      </w:r>
      <w:r w:rsidRPr="00293659">
        <w:rPr>
          <w:rFonts w:hAnsi="標楷體"/>
          <w:b/>
          <w:szCs w:val="32"/>
        </w:rPr>
        <w:t>，</w:t>
      </w:r>
      <w:r w:rsidRPr="00293659">
        <w:rPr>
          <w:rFonts w:hAnsi="標楷體" w:hint="eastAsia"/>
          <w:b/>
          <w:szCs w:val="32"/>
        </w:rPr>
        <w:t>須以</w:t>
      </w:r>
      <w:r w:rsidRPr="00293659">
        <w:rPr>
          <w:rFonts w:hAnsi="標楷體"/>
          <w:b/>
          <w:szCs w:val="32"/>
        </w:rPr>
        <w:t>熟練人力即時</w:t>
      </w:r>
      <w:r w:rsidRPr="00293659">
        <w:rPr>
          <w:rFonts w:hAnsi="標楷體" w:hint="eastAsia"/>
          <w:b/>
          <w:szCs w:val="32"/>
        </w:rPr>
        <w:t>投入工作，同時藉經驗傳承深化人才培育等</w:t>
      </w:r>
      <w:r w:rsidRPr="00293659">
        <w:rPr>
          <w:rFonts w:hAnsi="標楷體"/>
          <w:b/>
          <w:szCs w:val="32"/>
        </w:rPr>
        <w:t>需要</w:t>
      </w:r>
      <w:r w:rsidRPr="00293659">
        <w:rPr>
          <w:rFonts w:hAnsi="標楷體" w:hint="eastAsia"/>
          <w:b/>
          <w:szCs w:val="32"/>
        </w:rPr>
        <w:t>，</w:t>
      </w:r>
      <w:proofErr w:type="gramStart"/>
      <w:r w:rsidRPr="00293659">
        <w:rPr>
          <w:rFonts w:hAnsi="標楷體" w:hint="eastAsia"/>
          <w:b/>
          <w:szCs w:val="32"/>
        </w:rPr>
        <w:t>訂定</w:t>
      </w:r>
      <w:r w:rsidRPr="00293659">
        <w:rPr>
          <w:rFonts w:hAnsi="標楷體"/>
          <w:b/>
          <w:szCs w:val="32"/>
        </w:rPr>
        <w:t>進用</w:t>
      </w:r>
      <w:proofErr w:type="gramEnd"/>
      <w:r w:rsidRPr="00293659">
        <w:rPr>
          <w:rFonts w:hAnsi="標楷體"/>
          <w:b/>
          <w:szCs w:val="32"/>
        </w:rPr>
        <w:t>高齡人員實施計畫</w:t>
      </w:r>
      <w:r w:rsidRPr="00293659">
        <w:rPr>
          <w:rFonts w:hAnsi="標楷體" w:hint="eastAsia"/>
          <w:b/>
        </w:rPr>
        <w:t>，以曾</w:t>
      </w:r>
      <w:r w:rsidRPr="00293659">
        <w:rPr>
          <w:rFonts w:hAnsi="標楷體"/>
          <w:b/>
        </w:rPr>
        <w:t>在</w:t>
      </w:r>
      <w:r w:rsidRPr="00293659">
        <w:rPr>
          <w:rFonts w:hAnsi="標楷體" w:hint="eastAsia"/>
          <w:b/>
        </w:rPr>
        <w:t>該</w:t>
      </w:r>
      <w:r w:rsidRPr="00293659">
        <w:rPr>
          <w:rFonts w:hAnsi="標楷體"/>
          <w:b/>
        </w:rPr>
        <w:t>院</w:t>
      </w:r>
      <w:r w:rsidRPr="00293659">
        <w:rPr>
          <w:rFonts w:hAnsi="標楷體" w:hint="eastAsia"/>
          <w:b/>
        </w:rPr>
        <w:t>服務</w:t>
      </w:r>
      <w:r w:rsidRPr="00293659">
        <w:rPr>
          <w:rFonts w:hAnsi="標楷體"/>
          <w:b/>
        </w:rPr>
        <w:t>期間已核定為從事及參與機敏專案之</w:t>
      </w:r>
      <w:proofErr w:type="gramStart"/>
      <w:r w:rsidRPr="00293659">
        <w:rPr>
          <w:rFonts w:hAnsi="標楷體"/>
          <w:b/>
        </w:rPr>
        <w:t>涉密</w:t>
      </w:r>
      <w:proofErr w:type="gramEnd"/>
      <w:r w:rsidRPr="00293659">
        <w:rPr>
          <w:rFonts w:hAnsi="標楷體"/>
          <w:b/>
        </w:rPr>
        <w:t>工項，或具有關鍵、高工藝、外部勞動市場稀少、短期</w:t>
      </w:r>
      <w:r w:rsidRPr="00293659">
        <w:rPr>
          <w:rFonts w:hAnsi="標楷體"/>
          <w:b/>
        </w:rPr>
        <w:lastRenderedPageBreak/>
        <w:t>內無法取得之專業技術者</w:t>
      </w:r>
      <w:r w:rsidRPr="00293659">
        <w:rPr>
          <w:rFonts w:hAnsi="標楷體" w:hint="eastAsia"/>
          <w:b/>
        </w:rPr>
        <w:t>等退休人員列</w:t>
      </w:r>
      <w:r w:rsidRPr="00293659">
        <w:rPr>
          <w:rFonts w:hAnsi="標楷體"/>
          <w:b/>
        </w:rPr>
        <w:t>為聘任對象</w:t>
      </w:r>
      <w:r w:rsidRPr="00293659">
        <w:rPr>
          <w:rFonts w:hAnsi="標楷體" w:hint="eastAsia"/>
          <w:b/>
        </w:rPr>
        <w:t>，其立意良善；</w:t>
      </w:r>
      <w:proofErr w:type="gramStart"/>
      <w:r w:rsidRPr="00293659">
        <w:rPr>
          <w:rFonts w:hAnsi="標楷體" w:hint="eastAsia"/>
          <w:b/>
        </w:rPr>
        <w:t>惟</w:t>
      </w:r>
      <w:proofErr w:type="gramEnd"/>
      <w:r w:rsidR="00C745A4" w:rsidRPr="00293659">
        <w:rPr>
          <w:rFonts w:hAnsi="標楷體"/>
          <w:b/>
          <w:szCs w:val="32"/>
        </w:rPr>
        <w:t>中科院</w:t>
      </w:r>
      <w:r w:rsidR="00C745A4" w:rsidRPr="00293659">
        <w:rPr>
          <w:rFonts w:hAnsi="標楷體" w:hint="eastAsia"/>
          <w:b/>
          <w:szCs w:val="32"/>
        </w:rPr>
        <w:t>卻一再打破</w:t>
      </w:r>
      <w:r w:rsidRPr="00293659">
        <w:rPr>
          <w:rFonts w:hAnsi="標楷體" w:hint="eastAsia"/>
          <w:b/>
        </w:rPr>
        <w:t>該</w:t>
      </w:r>
      <w:r w:rsidRPr="00293659">
        <w:rPr>
          <w:rFonts w:hAnsi="標楷體"/>
          <w:b/>
          <w:szCs w:val="32"/>
        </w:rPr>
        <w:t>實施計畫</w:t>
      </w:r>
      <w:r w:rsidR="00FF5262" w:rsidRPr="00764131">
        <w:rPr>
          <w:rFonts w:hAnsi="標楷體" w:hint="eastAsia"/>
          <w:b/>
          <w:color w:val="000000" w:themeColor="text1"/>
          <w:szCs w:val="32"/>
        </w:rPr>
        <w:t>所</w:t>
      </w:r>
      <w:r w:rsidRPr="00293659">
        <w:rPr>
          <w:rFonts w:hAnsi="標楷體" w:hint="eastAsia"/>
          <w:b/>
          <w:szCs w:val="32"/>
        </w:rPr>
        <w:t>特別訂定</w:t>
      </w:r>
      <w:r w:rsidRPr="00293659">
        <w:rPr>
          <w:rFonts w:hAnsi="標楷體"/>
          <w:b/>
          <w:szCs w:val="32"/>
        </w:rPr>
        <w:t>高齡人員以不任主管職</w:t>
      </w:r>
      <w:r w:rsidR="00C745A4" w:rsidRPr="00293659">
        <w:rPr>
          <w:rFonts w:hAnsi="標楷體" w:hint="eastAsia"/>
          <w:b/>
          <w:szCs w:val="32"/>
        </w:rPr>
        <w:t>的</w:t>
      </w:r>
      <w:r w:rsidRPr="00293659">
        <w:rPr>
          <w:rFonts w:hAnsi="標楷體"/>
          <w:b/>
          <w:szCs w:val="32"/>
        </w:rPr>
        <w:t>原則</w:t>
      </w:r>
      <w:r w:rsidRPr="00293659">
        <w:rPr>
          <w:rFonts w:hAnsi="標楷體" w:hint="eastAsia"/>
          <w:b/>
        </w:rPr>
        <w:t>，</w:t>
      </w:r>
      <w:r w:rsidRPr="00293659">
        <w:rPr>
          <w:rFonts w:hAnsi="標楷體"/>
          <w:b/>
        </w:rPr>
        <w:t>排擠現職人員升遷</w:t>
      </w:r>
      <w:r w:rsidRPr="00293659">
        <w:rPr>
          <w:rFonts w:hAnsi="標楷體" w:hint="eastAsia"/>
          <w:b/>
        </w:rPr>
        <w:t>，打擊工作士氣，相關</w:t>
      </w:r>
      <w:r w:rsidRPr="00293659">
        <w:rPr>
          <w:rFonts w:hAnsi="標楷體"/>
          <w:b/>
        </w:rPr>
        <w:t>高齡回任</w:t>
      </w:r>
      <w:r w:rsidRPr="00293659">
        <w:rPr>
          <w:rFonts w:hAnsi="標楷體" w:hint="eastAsia"/>
          <w:b/>
        </w:rPr>
        <w:t>人員雖於媒體揭露後已分別卸任主管職務，</w:t>
      </w:r>
      <w:r w:rsidR="00C745A4" w:rsidRPr="00293659">
        <w:rPr>
          <w:rFonts w:hAnsi="標楷體" w:hint="eastAsia"/>
          <w:b/>
        </w:rPr>
        <w:t>但</w:t>
      </w:r>
      <w:r w:rsidRPr="00293659">
        <w:rPr>
          <w:rFonts w:hAnsi="標楷體" w:hint="eastAsia"/>
          <w:b/>
        </w:rPr>
        <w:t>已嚴重斲傷中科院形象，且動輒增設非常態之高階職缺予以安置，亦難杜因人設事之譏評。又，竟有個別</w:t>
      </w:r>
      <w:r w:rsidRPr="00293659">
        <w:rPr>
          <w:rFonts w:hAnsi="標楷體"/>
          <w:b/>
        </w:rPr>
        <w:t>高齡回任</w:t>
      </w:r>
      <w:r w:rsidRPr="00293659">
        <w:rPr>
          <w:rFonts w:hAnsi="標楷體" w:hint="eastAsia"/>
          <w:b/>
        </w:rPr>
        <w:t>者</w:t>
      </w:r>
      <w:proofErr w:type="gramStart"/>
      <w:r w:rsidRPr="00293659">
        <w:rPr>
          <w:rFonts w:hAnsi="標楷體" w:hint="eastAsia"/>
          <w:b/>
        </w:rPr>
        <w:t>之</w:t>
      </w:r>
      <w:r w:rsidRPr="00293659">
        <w:rPr>
          <w:rFonts w:hAnsi="標楷體"/>
          <w:b/>
        </w:rPr>
        <w:t>議薪</w:t>
      </w:r>
      <w:r w:rsidRPr="00293659">
        <w:rPr>
          <w:rFonts w:hAnsi="標楷體" w:hint="eastAsia"/>
          <w:b/>
        </w:rPr>
        <w:t>結果</w:t>
      </w:r>
      <w:proofErr w:type="gramEnd"/>
      <w:r w:rsidRPr="00293659">
        <w:rPr>
          <w:rFonts w:hAnsi="標楷體" w:hint="eastAsia"/>
          <w:b/>
        </w:rPr>
        <w:t>，違反該</w:t>
      </w:r>
      <w:r w:rsidRPr="00293659">
        <w:rPr>
          <w:rFonts w:hAnsi="標楷體"/>
          <w:b/>
          <w:szCs w:val="32"/>
        </w:rPr>
        <w:t>實施計畫</w:t>
      </w:r>
      <w:r w:rsidRPr="00293659">
        <w:rPr>
          <w:rFonts w:hAnsi="標楷體" w:hint="eastAsia"/>
          <w:b/>
          <w:szCs w:val="32"/>
        </w:rPr>
        <w:t>規定</w:t>
      </w:r>
      <w:r w:rsidRPr="00293659">
        <w:rPr>
          <w:rFonts w:hAnsi="標楷體" w:hint="eastAsia"/>
          <w:b/>
        </w:rPr>
        <w:t>，逾越原薪資之三分之二之上限，</w:t>
      </w:r>
      <w:proofErr w:type="gramStart"/>
      <w:r w:rsidRPr="00293659">
        <w:rPr>
          <w:rFonts w:hAnsi="標楷體" w:hint="eastAsia"/>
          <w:b/>
        </w:rPr>
        <w:t>核其所</w:t>
      </w:r>
      <w:proofErr w:type="gramEnd"/>
      <w:r w:rsidRPr="00293659">
        <w:rPr>
          <w:rFonts w:hAnsi="標楷體" w:hint="eastAsia"/>
          <w:b/>
        </w:rPr>
        <w:t>為，已有不當濫用人事制度彈性、獨厚特定人之嫌，斷難以契約自由或並未違反法律等語卸責。</w:t>
      </w:r>
      <w:bookmarkStart w:id="67" w:name="_Hlk144210543"/>
      <w:r w:rsidRPr="00293659">
        <w:rPr>
          <w:rFonts w:hAnsi="標楷體" w:hint="eastAsia"/>
          <w:b/>
        </w:rPr>
        <w:t>國防部為中科院之監督機關，</w:t>
      </w:r>
      <w:r w:rsidR="00787EB1" w:rsidRPr="00293659">
        <w:rPr>
          <w:rFonts w:hAnsi="標楷體" w:hint="eastAsia"/>
          <w:b/>
        </w:rPr>
        <w:t>未能</w:t>
      </w:r>
      <w:r w:rsidRPr="00293659">
        <w:rPr>
          <w:rFonts w:hAnsi="標楷體" w:hint="eastAsia"/>
          <w:b/>
        </w:rPr>
        <w:t>積極監督該院落實</w:t>
      </w:r>
      <w:r w:rsidR="004E371D" w:rsidRPr="00293659">
        <w:rPr>
          <w:rFonts w:hAnsi="標楷體"/>
          <w:b/>
          <w:szCs w:val="32"/>
        </w:rPr>
        <w:t>進用</w:t>
      </w:r>
      <w:r w:rsidR="00C745A4" w:rsidRPr="00293659">
        <w:rPr>
          <w:rFonts w:hAnsi="標楷體"/>
          <w:b/>
          <w:szCs w:val="32"/>
        </w:rPr>
        <w:t>高齡人員實施計畫</w:t>
      </w:r>
      <w:r w:rsidRPr="00293659">
        <w:rPr>
          <w:rFonts w:hAnsi="標楷體" w:hint="eastAsia"/>
          <w:b/>
        </w:rPr>
        <w:t>辦理人事相關事務，</w:t>
      </w:r>
      <w:proofErr w:type="gramStart"/>
      <w:r w:rsidRPr="00293659">
        <w:rPr>
          <w:rFonts w:hAnsi="標楷體" w:hint="eastAsia"/>
          <w:b/>
        </w:rPr>
        <w:t>以維該院</w:t>
      </w:r>
      <w:proofErr w:type="gramEnd"/>
      <w:r w:rsidRPr="00293659">
        <w:rPr>
          <w:rFonts w:hAnsi="標楷體" w:hint="eastAsia"/>
          <w:b/>
        </w:rPr>
        <w:t>正面形象與激勵</w:t>
      </w:r>
      <w:r w:rsidRPr="00293659">
        <w:rPr>
          <w:rFonts w:hAnsi="標楷體"/>
          <w:b/>
        </w:rPr>
        <w:t>現職人員</w:t>
      </w:r>
      <w:r w:rsidRPr="00293659">
        <w:rPr>
          <w:rFonts w:hAnsi="標楷體" w:hint="eastAsia"/>
          <w:b/>
        </w:rPr>
        <w:t>之工作士氣</w:t>
      </w:r>
      <w:r w:rsidR="005B2E1C" w:rsidRPr="00293659">
        <w:rPr>
          <w:rFonts w:hAnsi="標楷體" w:hint="eastAsia"/>
          <w:b/>
        </w:rPr>
        <w:t>，核有怠失</w:t>
      </w:r>
      <w:r w:rsidRPr="00293659">
        <w:rPr>
          <w:rFonts w:hAnsi="標楷體" w:hint="eastAsia"/>
          <w:b/>
        </w:rPr>
        <w:t>。</w:t>
      </w:r>
      <w:bookmarkEnd w:id="63"/>
      <w:bookmarkEnd w:id="64"/>
      <w:bookmarkEnd w:id="67"/>
    </w:p>
    <w:p w14:paraId="2D68E1D1" w14:textId="77777777" w:rsidR="00407625" w:rsidRPr="00293659" w:rsidRDefault="00E1047E" w:rsidP="00E1047E">
      <w:pPr>
        <w:pStyle w:val="3"/>
        <w:numPr>
          <w:ilvl w:val="2"/>
          <w:numId w:val="1"/>
        </w:numPr>
        <w:ind w:left="1361"/>
        <w:rPr>
          <w:rFonts w:hAnsi="標楷體"/>
        </w:rPr>
      </w:pPr>
      <w:bookmarkStart w:id="68" w:name="_Toc144211204"/>
      <w:bookmarkStart w:id="69" w:name="_Toc145510466"/>
      <w:bookmarkStart w:id="70" w:name="_Toc143243825"/>
      <w:bookmarkStart w:id="71" w:name="_Toc143262182"/>
      <w:bookmarkStart w:id="72" w:name="_Toc143263067"/>
      <w:bookmarkStart w:id="73" w:name="_Toc143424279"/>
      <w:bookmarkStart w:id="74" w:name="_Toc144140095"/>
      <w:r w:rsidRPr="00293659">
        <w:rPr>
          <w:rFonts w:hAnsi="標楷體" w:hint="eastAsia"/>
        </w:rPr>
        <w:t>中科院依據勞動基準法第54條：「勞工非有下列情形之一，雇主不得強制其退休：一、年滿6</w:t>
      </w:r>
      <w:r w:rsidRPr="00293659">
        <w:rPr>
          <w:rFonts w:hAnsi="標楷體"/>
        </w:rPr>
        <w:t>5</w:t>
      </w:r>
      <w:r w:rsidRPr="00293659">
        <w:rPr>
          <w:rFonts w:hAnsi="標楷體" w:hint="eastAsia"/>
        </w:rPr>
        <w:t>歲者。</w:t>
      </w:r>
      <w:r w:rsidRPr="00293659">
        <w:rPr>
          <w:rFonts w:hAnsi="標楷體"/>
        </w:rPr>
        <w:t>…</w:t>
      </w:r>
      <w:proofErr w:type="gramStart"/>
      <w:r w:rsidRPr="00293659">
        <w:rPr>
          <w:rFonts w:hAnsi="標楷體"/>
        </w:rPr>
        <w:t>…</w:t>
      </w:r>
      <w:proofErr w:type="gramEnd"/>
      <w:r w:rsidRPr="00293659">
        <w:rPr>
          <w:rFonts w:hAnsi="標楷體" w:hint="eastAsia"/>
        </w:rPr>
        <w:t>」、中高齡者及高齡者就業促進法第28條：「65歲以上勞工，雇主得以定期勞動契約僱用之。」該院「定期契約人員管理作業規定」及「聘請顧問作業規章」等相關規定，由該院院長於109年2月17日主持之「定期契約及延後退休人力調節</w:t>
      </w:r>
      <w:proofErr w:type="gramStart"/>
      <w:r w:rsidRPr="00293659">
        <w:rPr>
          <w:rFonts w:hAnsi="標楷體" w:hint="eastAsia"/>
        </w:rPr>
        <w:t>研</w:t>
      </w:r>
      <w:proofErr w:type="gramEnd"/>
      <w:r w:rsidRPr="00293659">
        <w:rPr>
          <w:rFonts w:hAnsi="標楷體" w:hint="eastAsia"/>
        </w:rPr>
        <w:t>處作為研討會議」後，於同年3月1</w:t>
      </w:r>
      <w:r w:rsidRPr="00293659">
        <w:rPr>
          <w:rFonts w:hAnsi="標楷體"/>
        </w:rPr>
        <w:t>1</w:t>
      </w:r>
      <w:r w:rsidRPr="00293659">
        <w:rPr>
          <w:rFonts w:hAnsi="標楷體" w:hint="eastAsia"/>
        </w:rPr>
        <w:t>日訂定「國家中山科學研究院進用高齡人員實施計畫」</w:t>
      </w:r>
      <w:r w:rsidR="005450C4" w:rsidRPr="00293659">
        <w:rPr>
          <w:rFonts w:hAnsi="標楷體" w:hint="eastAsia"/>
        </w:rPr>
        <w:t>（下稱實施計畫）</w:t>
      </w:r>
      <w:r w:rsidRPr="00293659">
        <w:rPr>
          <w:rFonts w:hAnsi="標楷體" w:hint="eastAsia"/>
        </w:rPr>
        <w:t>，依該實施計畫之具體作法內容，對於中科院進用原即服務於該院之相關高齡人員係採「先退再聘」方式，屆滿65歲者，一律先辦理退休，結算退休金後，再視工作特性，合議契約類型及工作內容；現有延退人員至合約結束止，依前述規定辦理。</w:t>
      </w:r>
      <w:bookmarkEnd w:id="68"/>
      <w:bookmarkEnd w:id="69"/>
    </w:p>
    <w:p w14:paraId="6E335291" w14:textId="3BA7BF76" w:rsidR="00E1047E" w:rsidRPr="00293659" w:rsidRDefault="005450C4" w:rsidP="00E1047E">
      <w:pPr>
        <w:pStyle w:val="3"/>
        <w:numPr>
          <w:ilvl w:val="2"/>
          <w:numId w:val="1"/>
        </w:numPr>
        <w:ind w:left="1361"/>
        <w:rPr>
          <w:rFonts w:hAnsi="標楷體"/>
        </w:rPr>
      </w:pPr>
      <w:bookmarkStart w:id="75" w:name="_Toc144211205"/>
      <w:bookmarkStart w:id="76" w:name="_Toc145510467"/>
      <w:r w:rsidRPr="00293659">
        <w:rPr>
          <w:rFonts w:hAnsi="標楷體" w:hint="eastAsia"/>
        </w:rPr>
        <w:t>根據</w:t>
      </w:r>
      <w:r w:rsidR="00E1047E" w:rsidRPr="00293659">
        <w:rPr>
          <w:rFonts w:hAnsi="標楷體" w:hint="eastAsia"/>
        </w:rPr>
        <w:t>上</w:t>
      </w:r>
      <w:r w:rsidR="00944F90" w:rsidRPr="00293659">
        <w:rPr>
          <w:rFonts w:hAnsi="標楷體" w:hint="eastAsia"/>
        </w:rPr>
        <w:t>述</w:t>
      </w:r>
      <w:r w:rsidR="00E1047E" w:rsidRPr="00293659">
        <w:rPr>
          <w:rFonts w:hAnsi="標楷體" w:hint="eastAsia"/>
        </w:rPr>
        <w:t>實施計畫之僱用原則，包括：１、區分為定期契約及顧問2種類型，定期契約以能提供專業技術實務工作者為主，惟行政管理類之主管職不在</w:t>
      </w:r>
      <w:r w:rsidR="00E1047E" w:rsidRPr="00293659">
        <w:rPr>
          <w:rFonts w:hAnsi="標楷體" w:hint="eastAsia"/>
        </w:rPr>
        <w:lastRenderedPageBreak/>
        <w:t>此限；顧問提供專業諮詢，並以無給職為原則。２、</w:t>
      </w:r>
      <w:proofErr w:type="gramStart"/>
      <w:r w:rsidR="00E1047E" w:rsidRPr="00293659">
        <w:rPr>
          <w:rFonts w:hAnsi="標楷體" w:hint="eastAsia"/>
        </w:rPr>
        <w:t>採</w:t>
      </w:r>
      <w:proofErr w:type="gramEnd"/>
      <w:r w:rsidR="00E1047E" w:rsidRPr="00293659">
        <w:rPr>
          <w:rFonts w:hAnsi="標楷體" w:hint="eastAsia"/>
        </w:rPr>
        <w:t>一年一聘制，最大服務年限至70歲止。３、合約</w:t>
      </w:r>
      <w:proofErr w:type="gramStart"/>
      <w:r w:rsidR="00E1047E" w:rsidRPr="00293659">
        <w:rPr>
          <w:rFonts w:hAnsi="標楷體" w:hint="eastAsia"/>
        </w:rPr>
        <w:t>內容需敘明</w:t>
      </w:r>
      <w:proofErr w:type="gramEnd"/>
      <w:r w:rsidR="00E1047E" w:rsidRPr="00293659">
        <w:rPr>
          <w:rFonts w:hAnsi="標楷體" w:hint="eastAsia"/>
        </w:rPr>
        <w:t>傳承事項及預計達成目標；若欲續約須依契約內容交付工作成果報告，並經一級單位審核通過，</w:t>
      </w:r>
      <w:proofErr w:type="gramStart"/>
      <w:r w:rsidR="00E1047E" w:rsidRPr="00293659">
        <w:rPr>
          <w:rFonts w:hAnsi="標楷體" w:hint="eastAsia"/>
        </w:rPr>
        <w:t>送人資處審查</w:t>
      </w:r>
      <w:proofErr w:type="gramEnd"/>
      <w:r w:rsidR="00E1047E" w:rsidRPr="00293659">
        <w:rPr>
          <w:rFonts w:hAnsi="標楷體" w:hint="eastAsia"/>
        </w:rPr>
        <w:t>後，簽奉院長核定。４、以不任主管職為原則；若有特殊需求，須簽奉院長核定。</w:t>
      </w:r>
      <w:proofErr w:type="gramStart"/>
      <w:r w:rsidR="00E1047E" w:rsidRPr="00293659">
        <w:rPr>
          <w:rFonts w:hAnsi="標楷體" w:hint="eastAsia"/>
        </w:rPr>
        <w:t>另</w:t>
      </w:r>
      <w:proofErr w:type="gramEnd"/>
      <w:r w:rsidR="00E1047E" w:rsidRPr="00293659">
        <w:rPr>
          <w:rFonts w:hAnsi="標楷體" w:hint="eastAsia"/>
        </w:rPr>
        <w:t>，實施計畫中，對於薪資待遇明定：「定期契約薪資為勞資合議，惟不得超過原薪資的三分之二；倘若計算後，薪資低於本院「定期契約人</w:t>
      </w:r>
      <w:r w:rsidR="00E1047E" w:rsidRPr="00293659">
        <w:rPr>
          <w:rFonts w:hAnsi="標楷體" w:hint="eastAsia"/>
          <w:szCs w:val="32"/>
        </w:rPr>
        <w:t>員管理作業規定」標準，則依「定期契約人員薪給標準參考表」核予該職務薪資下限或基本工資。」等內容。中科院如確有實際需求，而依</w:t>
      </w:r>
      <w:r w:rsidR="00E1047E" w:rsidRPr="00293659">
        <w:rPr>
          <w:rFonts w:hAnsi="標楷體" w:hint="eastAsia"/>
        </w:rPr>
        <w:t>實施計畫進用已退休之高齡人員時，其回聘原則為退休前核定</w:t>
      </w:r>
      <w:proofErr w:type="gramStart"/>
      <w:r w:rsidR="00E1047E" w:rsidRPr="00293659">
        <w:rPr>
          <w:rFonts w:hAnsi="標楷體" w:hint="eastAsia"/>
        </w:rPr>
        <w:t>為涉密工作</w:t>
      </w:r>
      <w:proofErr w:type="gramEnd"/>
      <w:r w:rsidR="00E1047E" w:rsidRPr="00293659">
        <w:rPr>
          <w:rFonts w:hAnsi="標楷體" w:hint="eastAsia"/>
        </w:rPr>
        <w:t>項目人員或具關鍵、高工藝、外部勞動市場稀少、中科院短期內無法取得之專業技術，且可提供實務工作之一者，且應以不任主管職為原則，俾</w:t>
      </w:r>
      <w:r w:rsidR="00E1047E" w:rsidRPr="00293659">
        <w:rPr>
          <w:rFonts w:hAnsi="標楷體"/>
        </w:rPr>
        <w:t>避免排擠現職人員升遷，</w:t>
      </w:r>
      <w:r w:rsidR="00E1047E" w:rsidRPr="00293659">
        <w:rPr>
          <w:rFonts w:hAnsi="標楷體" w:hint="eastAsia"/>
        </w:rPr>
        <w:t>且應依實施計畫之規範，其議定之薪資不得超過原薪資之三分之二，以符合其所特別訂定之內部規定。中科院於1</w:t>
      </w:r>
      <w:r w:rsidR="00E1047E" w:rsidRPr="00293659">
        <w:rPr>
          <w:rFonts w:hAnsi="標楷體"/>
        </w:rPr>
        <w:t>09</w:t>
      </w:r>
      <w:r w:rsidR="00E1047E" w:rsidRPr="00293659">
        <w:rPr>
          <w:rFonts w:hAnsi="標楷體" w:hint="eastAsia"/>
        </w:rPr>
        <w:t>年回聘1</w:t>
      </w:r>
      <w:r w:rsidR="00E1047E" w:rsidRPr="00293659">
        <w:rPr>
          <w:rFonts w:hAnsi="標楷體"/>
        </w:rPr>
        <w:t>4</w:t>
      </w:r>
      <w:r w:rsidR="00E1047E" w:rsidRPr="00293659">
        <w:rPr>
          <w:rFonts w:hAnsi="標楷體" w:hint="eastAsia"/>
        </w:rPr>
        <w:t>人、1</w:t>
      </w:r>
      <w:r w:rsidR="00E1047E" w:rsidRPr="00293659">
        <w:rPr>
          <w:rFonts w:hAnsi="標楷體"/>
        </w:rPr>
        <w:t>10</w:t>
      </w:r>
      <w:r w:rsidR="00E1047E" w:rsidRPr="00293659">
        <w:rPr>
          <w:rFonts w:hAnsi="標楷體" w:hint="eastAsia"/>
        </w:rPr>
        <w:t>年回聘</w:t>
      </w:r>
      <w:r w:rsidR="00E1047E" w:rsidRPr="00293659">
        <w:rPr>
          <w:rFonts w:hAnsi="標楷體"/>
        </w:rPr>
        <w:t>40</w:t>
      </w:r>
      <w:r w:rsidR="00E1047E" w:rsidRPr="00293659">
        <w:rPr>
          <w:rFonts w:hAnsi="標楷體" w:hint="eastAsia"/>
        </w:rPr>
        <w:t>人、1</w:t>
      </w:r>
      <w:r w:rsidR="00E1047E" w:rsidRPr="00293659">
        <w:rPr>
          <w:rFonts w:hAnsi="標楷體"/>
        </w:rPr>
        <w:t>11</w:t>
      </w:r>
      <w:r w:rsidR="00E1047E" w:rsidRPr="00293659">
        <w:rPr>
          <w:rFonts w:hAnsi="標楷體" w:hint="eastAsia"/>
        </w:rPr>
        <w:t>年回聘1</w:t>
      </w:r>
      <w:r w:rsidR="00E1047E" w:rsidRPr="00293659">
        <w:rPr>
          <w:rFonts w:hAnsi="標楷體"/>
        </w:rPr>
        <w:t>00</w:t>
      </w:r>
      <w:r w:rsidR="00E1047E" w:rsidRPr="00293659">
        <w:rPr>
          <w:rFonts w:hAnsi="標楷體" w:hint="eastAsia"/>
        </w:rPr>
        <w:t>人、1</w:t>
      </w:r>
      <w:r w:rsidR="00E1047E" w:rsidRPr="00293659">
        <w:rPr>
          <w:rFonts w:hAnsi="標楷體"/>
        </w:rPr>
        <w:t>12</w:t>
      </w:r>
      <w:r w:rsidR="00E1047E" w:rsidRPr="00293659">
        <w:rPr>
          <w:rFonts w:hAnsi="標楷體" w:hint="eastAsia"/>
        </w:rPr>
        <w:t>年回聘9</w:t>
      </w:r>
      <w:r w:rsidR="00E1047E" w:rsidRPr="00293659">
        <w:rPr>
          <w:rFonts w:hAnsi="標楷體"/>
        </w:rPr>
        <w:t>2</w:t>
      </w:r>
      <w:r w:rsidR="00E1047E" w:rsidRPr="00293659">
        <w:rPr>
          <w:rFonts w:hAnsi="標楷體" w:hint="eastAsia"/>
        </w:rPr>
        <w:t>人，近年來回聘人數相對較高。</w:t>
      </w:r>
      <w:bookmarkEnd w:id="70"/>
      <w:bookmarkEnd w:id="71"/>
      <w:bookmarkEnd w:id="72"/>
      <w:bookmarkEnd w:id="73"/>
      <w:bookmarkEnd w:id="74"/>
      <w:bookmarkEnd w:id="75"/>
      <w:bookmarkEnd w:id="76"/>
    </w:p>
    <w:p w14:paraId="41F3827B" w14:textId="50DD50E2" w:rsidR="00E1047E" w:rsidRPr="00293659" w:rsidRDefault="00E1047E" w:rsidP="00E1047E">
      <w:pPr>
        <w:pStyle w:val="a3"/>
        <w:spacing w:after="120"/>
        <w:ind w:left="482" w:hanging="482"/>
        <w:rPr>
          <w:rFonts w:hAnsi="標楷體"/>
        </w:rPr>
      </w:pPr>
      <w:r w:rsidRPr="00293659">
        <w:rPr>
          <w:rFonts w:hAnsi="標楷體" w:hint="eastAsia"/>
          <w:b/>
        </w:rPr>
        <w:t>中科院107年起回聘</w:t>
      </w:r>
      <w:r w:rsidRPr="00293659">
        <w:rPr>
          <w:rFonts w:hAnsi="標楷體" w:cs="新細明體" w:hint="eastAsia"/>
          <w:b/>
          <w:kern w:val="0"/>
          <w:sz w:val="26"/>
          <w:szCs w:val="26"/>
        </w:rPr>
        <w:t>退休</w:t>
      </w:r>
      <w:r w:rsidRPr="00293659">
        <w:rPr>
          <w:rFonts w:hAnsi="標楷體" w:hint="eastAsia"/>
          <w:b/>
        </w:rPr>
        <w:t>人員統計</w:t>
      </w:r>
      <w:r w:rsidRPr="00293659">
        <w:rPr>
          <w:rFonts w:hAnsi="標楷體"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1275"/>
        <w:gridCol w:w="1276"/>
        <w:gridCol w:w="1275"/>
        <w:gridCol w:w="1276"/>
        <w:gridCol w:w="1276"/>
      </w:tblGrid>
      <w:tr w:rsidR="00293659" w:rsidRPr="00293659" w14:paraId="10FB2153" w14:textId="77777777" w:rsidTr="00712B16">
        <w:trPr>
          <w:trHeight w:val="629"/>
          <w:jc w:val="center"/>
        </w:trPr>
        <w:tc>
          <w:tcPr>
            <w:tcW w:w="2127" w:type="dxa"/>
            <w:tcBorders>
              <w:top w:val="single" w:sz="8" w:space="0" w:color="auto"/>
              <w:left w:val="single" w:sz="8" w:space="0" w:color="auto"/>
              <w:tl2br w:val="single" w:sz="4" w:space="0" w:color="auto"/>
            </w:tcBorders>
            <w:shd w:val="pct5" w:color="auto" w:fill="auto"/>
            <w:vAlign w:val="center"/>
          </w:tcPr>
          <w:p w14:paraId="35E181A0" w14:textId="77777777" w:rsidR="00E1047E" w:rsidRPr="00293659" w:rsidRDefault="00E1047E" w:rsidP="00712B16">
            <w:pPr>
              <w:widowControl/>
              <w:spacing w:line="320" w:lineRule="exact"/>
              <w:jc w:val="right"/>
              <w:rPr>
                <w:rFonts w:hAnsi="標楷體" w:cs="Calibri"/>
                <w:kern w:val="0"/>
                <w:sz w:val="24"/>
                <w:szCs w:val="24"/>
              </w:rPr>
            </w:pPr>
            <w:r w:rsidRPr="00293659">
              <w:rPr>
                <w:rFonts w:hAnsi="標楷體" w:cs="Calibri" w:hint="eastAsia"/>
                <w:kern w:val="0"/>
                <w:sz w:val="24"/>
                <w:szCs w:val="24"/>
              </w:rPr>
              <w:t>年度</w:t>
            </w:r>
          </w:p>
          <w:p w14:paraId="2736A1E8" w14:textId="77777777" w:rsidR="00E1047E" w:rsidRPr="00293659" w:rsidRDefault="00E1047E" w:rsidP="00712B16">
            <w:pPr>
              <w:spacing w:line="320" w:lineRule="exact"/>
              <w:rPr>
                <w:rFonts w:hAnsi="標楷體" w:cs="Calibri"/>
                <w:kern w:val="0"/>
                <w:sz w:val="28"/>
                <w:szCs w:val="28"/>
              </w:rPr>
            </w:pPr>
            <w:r w:rsidRPr="00293659">
              <w:rPr>
                <w:rFonts w:hAnsi="標楷體" w:cs="Calibri" w:hint="eastAsia"/>
                <w:kern w:val="0"/>
                <w:sz w:val="24"/>
                <w:szCs w:val="24"/>
              </w:rPr>
              <w:t>單位</w:t>
            </w:r>
          </w:p>
        </w:tc>
        <w:tc>
          <w:tcPr>
            <w:tcW w:w="1275" w:type="dxa"/>
            <w:tcBorders>
              <w:top w:val="single" w:sz="8" w:space="0" w:color="auto"/>
            </w:tcBorders>
            <w:shd w:val="pct5" w:color="auto" w:fill="auto"/>
            <w:vAlign w:val="center"/>
          </w:tcPr>
          <w:p w14:paraId="75EDFF65" w14:textId="77777777" w:rsidR="00E1047E" w:rsidRPr="00293659" w:rsidRDefault="00E1047E" w:rsidP="00A8393B">
            <w:pPr>
              <w:widowControl/>
              <w:spacing w:line="400" w:lineRule="exact"/>
              <w:jc w:val="center"/>
              <w:rPr>
                <w:rFonts w:hAnsi="標楷體" w:cs="Calibri"/>
                <w:b/>
                <w:kern w:val="0"/>
                <w:sz w:val="28"/>
                <w:szCs w:val="28"/>
              </w:rPr>
            </w:pPr>
            <w:r w:rsidRPr="00293659">
              <w:rPr>
                <w:rFonts w:hAnsi="標楷體" w:cs="Calibri" w:hint="eastAsia"/>
                <w:b/>
                <w:kern w:val="0"/>
                <w:sz w:val="28"/>
                <w:szCs w:val="28"/>
              </w:rPr>
              <w:t>107-108</w:t>
            </w:r>
          </w:p>
        </w:tc>
        <w:tc>
          <w:tcPr>
            <w:tcW w:w="1276" w:type="dxa"/>
            <w:tcBorders>
              <w:top w:val="single" w:sz="8" w:space="0" w:color="auto"/>
            </w:tcBorders>
            <w:shd w:val="pct5" w:color="auto" w:fill="auto"/>
            <w:vAlign w:val="center"/>
          </w:tcPr>
          <w:p w14:paraId="466BB5C9" w14:textId="77777777" w:rsidR="00E1047E" w:rsidRPr="00293659" w:rsidRDefault="00E1047E" w:rsidP="00A8393B">
            <w:pPr>
              <w:widowControl/>
              <w:spacing w:line="400" w:lineRule="exact"/>
              <w:jc w:val="center"/>
              <w:rPr>
                <w:rFonts w:hAnsi="標楷體" w:cs="Calibri"/>
                <w:b/>
                <w:kern w:val="0"/>
                <w:sz w:val="28"/>
                <w:szCs w:val="28"/>
              </w:rPr>
            </w:pPr>
            <w:r w:rsidRPr="00293659">
              <w:rPr>
                <w:rFonts w:hAnsi="標楷體" w:cs="Calibri" w:hint="eastAsia"/>
                <w:b/>
                <w:kern w:val="0"/>
                <w:sz w:val="28"/>
                <w:szCs w:val="28"/>
              </w:rPr>
              <w:t>109</w:t>
            </w:r>
          </w:p>
        </w:tc>
        <w:tc>
          <w:tcPr>
            <w:tcW w:w="1275" w:type="dxa"/>
            <w:tcBorders>
              <w:top w:val="single" w:sz="8" w:space="0" w:color="auto"/>
            </w:tcBorders>
            <w:shd w:val="pct5" w:color="auto" w:fill="auto"/>
            <w:vAlign w:val="center"/>
          </w:tcPr>
          <w:p w14:paraId="2D29AFAB" w14:textId="77777777" w:rsidR="00E1047E" w:rsidRPr="00293659" w:rsidRDefault="00E1047E" w:rsidP="00A8393B">
            <w:pPr>
              <w:widowControl/>
              <w:spacing w:line="400" w:lineRule="exact"/>
              <w:jc w:val="center"/>
              <w:rPr>
                <w:rFonts w:hAnsi="標楷體" w:cs="Calibri"/>
                <w:b/>
                <w:kern w:val="0"/>
                <w:sz w:val="28"/>
                <w:szCs w:val="28"/>
              </w:rPr>
            </w:pPr>
            <w:r w:rsidRPr="00293659">
              <w:rPr>
                <w:rFonts w:hAnsi="標楷體" w:cs="Calibri" w:hint="eastAsia"/>
                <w:b/>
                <w:kern w:val="0"/>
                <w:sz w:val="28"/>
                <w:szCs w:val="28"/>
              </w:rPr>
              <w:t>110</w:t>
            </w:r>
          </w:p>
        </w:tc>
        <w:tc>
          <w:tcPr>
            <w:tcW w:w="1276" w:type="dxa"/>
            <w:tcBorders>
              <w:top w:val="single" w:sz="8" w:space="0" w:color="auto"/>
            </w:tcBorders>
            <w:shd w:val="pct5" w:color="auto" w:fill="auto"/>
            <w:vAlign w:val="center"/>
          </w:tcPr>
          <w:p w14:paraId="3345102F" w14:textId="77777777" w:rsidR="00E1047E" w:rsidRPr="00293659" w:rsidRDefault="00E1047E" w:rsidP="00A8393B">
            <w:pPr>
              <w:widowControl/>
              <w:spacing w:line="400" w:lineRule="exact"/>
              <w:jc w:val="center"/>
              <w:rPr>
                <w:rFonts w:hAnsi="標楷體" w:cs="Calibri"/>
                <w:b/>
                <w:kern w:val="0"/>
                <w:sz w:val="28"/>
                <w:szCs w:val="28"/>
              </w:rPr>
            </w:pPr>
            <w:r w:rsidRPr="00293659">
              <w:rPr>
                <w:rFonts w:hAnsi="標楷體" w:cs="Calibri" w:hint="eastAsia"/>
                <w:b/>
                <w:kern w:val="0"/>
                <w:sz w:val="28"/>
                <w:szCs w:val="28"/>
              </w:rPr>
              <w:t>111</w:t>
            </w:r>
          </w:p>
        </w:tc>
        <w:tc>
          <w:tcPr>
            <w:tcW w:w="1276" w:type="dxa"/>
            <w:tcBorders>
              <w:top w:val="single" w:sz="8" w:space="0" w:color="auto"/>
              <w:right w:val="single" w:sz="8" w:space="0" w:color="auto"/>
            </w:tcBorders>
            <w:shd w:val="pct5" w:color="auto" w:fill="auto"/>
            <w:vAlign w:val="center"/>
          </w:tcPr>
          <w:p w14:paraId="7B8AA57A" w14:textId="77777777" w:rsidR="00E1047E" w:rsidRPr="00293659" w:rsidRDefault="00E1047E" w:rsidP="00A8393B">
            <w:pPr>
              <w:widowControl/>
              <w:spacing w:line="400" w:lineRule="exact"/>
              <w:jc w:val="center"/>
              <w:rPr>
                <w:rFonts w:hAnsi="標楷體" w:cs="Calibri"/>
                <w:b/>
                <w:kern w:val="0"/>
                <w:sz w:val="28"/>
                <w:szCs w:val="28"/>
              </w:rPr>
            </w:pPr>
            <w:r w:rsidRPr="00293659">
              <w:rPr>
                <w:rFonts w:hAnsi="標楷體" w:cs="Calibri" w:hint="eastAsia"/>
                <w:b/>
                <w:kern w:val="0"/>
                <w:sz w:val="28"/>
                <w:szCs w:val="28"/>
              </w:rPr>
              <w:t>112</w:t>
            </w:r>
          </w:p>
        </w:tc>
      </w:tr>
      <w:tr w:rsidR="00293659" w:rsidRPr="00293659" w14:paraId="4985113C" w14:textId="77777777" w:rsidTr="00A8393B">
        <w:trPr>
          <w:trHeight w:val="376"/>
          <w:jc w:val="center"/>
        </w:trPr>
        <w:tc>
          <w:tcPr>
            <w:tcW w:w="2127" w:type="dxa"/>
            <w:tcBorders>
              <w:left w:val="single" w:sz="8" w:space="0" w:color="auto"/>
            </w:tcBorders>
            <w:vAlign w:val="center"/>
          </w:tcPr>
          <w:p w14:paraId="0D3A2521"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院長室</w:t>
            </w:r>
          </w:p>
        </w:tc>
        <w:tc>
          <w:tcPr>
            <w:tcW w:w="1275" w:type="dxa"/>
            <w:vAlign w:val="center"/>
          </w:tcPr>
          <w:p w14:paraId="0AAF0A67"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782ED9B8"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5" w:type="dxa"/>
            <w:vAlign w:val="center"/>
          </w:tcPr>
          <w:p w14:paraId="386372E9"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2</w:t>
            </w:r>
          </w:p>
        </w:tc>
        <w:tc>
          <w:tcPr>
            <w:tcW w:w="1276" w:type="dxa"/>
            <w:vAlign w:val="center"/>
          </w:tcPr>
          <w:p w14:paraId="5A3C3347" w14:textId="501F6FC0" w:rsidR="00E1047E" w:rsidRPr="00293659" w:rsidRDefault="00104000" w:rsidP="00A8393B">
            <w:pPr>
              <w:widowControl/>
              <w:spacing w:line="400" w:lineRule="exact"/>
              <w:ind w:rightChars="100" w:right="340"/>
              <w:jc w:val="right"/>
              <w:rPr>
                <w:rFonts w:hAnsi="標楷體" w:cs="Calibri"/>
                <w:kern w:val="0"/>
                <w:sz w:val="28"/>
                <w:szCs w:val="28"/>
              </w:rPr>
            </w:pPr>
            <w:r w:rsidRPr="00293659">
              <w:rPr>
                <w:rFonts w:hAnsi="標楷體" w:cs="Calibri"/>
                <w:kern w:val="0"/>
                <w:sz w:val="28"/>
                <w:szCs w:val="28"/>
              </w:rPr>
              <w:t>1</w:t>
            </w:r>
          </w:p>
        </w:tc>
        <w:tc>
          <w:tcPr>
            <w:tcW w:w="1276" w:type="dxa"/>
            <w:tcBorders>
              <w:right w:val="single" w:sz="8" w:space="0" w:color="auto"/>
            </w:tcBorders>
            <w:vAlign w:val="center"/>
          </w:tcPr>
          <w:p w14:paraId="52881471" w14:textId="16075653" w:rsidR="00E1047E" w:rsidRPr="00293659" w:rsidRDefault="00104000" w:rsidP="00A8393B">
            <w:pPr>
              <w:widowControl/>
              <w:spacing w:line="400" w:lineRule="exact"/>
              <w:ind w:rightChars="100" w:right="340"/>
              <w:jc w:val="right"/>
              <w:rPr>
                <w:rFonts w:hAnsi="標楷體" w:cs="Calibri"/>
                <w:kern w:val="0"/>
                <w:sz w:val="28"/>
                <w:szCs w:val="28"/>
              </w:rPr>
            </w:pPr>
            <w:r w:rsidRPr="00293659">
              <w:rPr>
                <w:rFonts w:hAnsi="標楷體" w:cs="Calibri"/>
                <w:kern w:val="0"/>
                <w:sz w:val="28"/>
                <w:szCs w:val="28"/>
              </w:rPr>
              <w:t>1</w:t>
            </w:r>
          </w:p>
        </w:tc>
      </w:tr>
      <w:tr w:rsidR="00293659" w:rsidRPr="00293659" w14:paraId="6861C5A6" w14:textId="77777777" w:rsidTr="00A8393B">
        <w:trPr>
          <w:trHeight w:val="376"/>
          <w:jc w:val="center"/>
        </w:trPr>
        <w:tc>
          <w:tcPr>
            <w:tcW w:w="2127" w:type="dxa"/>
            <w:tcBorders>
              <w:left w:val="single" w:sz="8" w:space="0" w:color="auto"/>
            </w:tcBorders>
            <w:vAlign w:val="center"/>
          </w:tcPr>
          <w:p w14:paraId="10F31101"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策略會</w:t>
            </w:r>
          </w:p>
        </w:tc>
        <w:tc>
          <w:tcPr>
            <w:tcW w:w="1275" w:type="dxa"/>
            <w:vAlign w:val="center"/>
          </w:tcPr>
          <w:p w14:paraId="57DFFD8C"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470EC7D0"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5" w:type="dxa"/>
            <w:vAlign w:val="center"/>
          </w:tcPr>
          <w:p w14:paraId="1D145C3E"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6" w:type="dxa"/>
            <w:vAlign w:val="center"/>
          </w:tcPr>
          <w:p w14:paraId="31237CA8"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6" w:type="dxa"/>
            <w:tcBorders>
              <w:right w:val="single" w:sz="8" w:space="0" w:color="auto"/>
            </w:tcBorders>
            <w:vAlign w:val="center"/>
          </w:tcPr>
          <w:p w14:paraId="39721378" w14:textId="77777777" w:rsidR="00E1047E" w:rsidRPr="00293659" w:rsidRDefault="00E1047E" w:rsidP="00A8393B">
            <w:pPr>
              <w:widowControl/>
              <w:spacing w:line="400" w:lineRule="exact"/>
              <w:ind w:rightChars="100" w:right="340"/>
              <w:jc w:val="right"/>
              <w:rPr>
                <w:rFonts w:hAnsi="標楷體" w:cs="Calibri"/>
                <w:kern w:val="0"/>
                <w:sz w:val="28"/>
                <w:szCs w:val="28"/>
              </w:rPr>
            </w:pPr>
          </w:p>
        </w:tc>
      </w:tr>
      <w:tr w:rsidR="00293659" w:rsidRPr="00293659" w14:paraId="2222F90E" w14:textId="77777777" w:rsidTr="00A8393B">
        <w:trPr>
          <w:trHeight w:val="376"/>
          <w:jc w:val="center"/>
        </w:trPr>
        <w:tc>
          <w:tcPr>
            <w:tcW w:w="2127" w:type="dxa"/>
            <w:tcBorders>
              <w:left w:val="single" w:sz="8" w:space="0" w:color="auto"/>
            </w:tcBorders>
            <w:vAlign w:val="center"/>
          </w:tcPr>
          <w:p w14:paraId="09E85018"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工程處</w:t>
            </w:r>
          </w:p>
        </w:tc>
        <w:tc>
          <w:tcPr>
            <w:tcW w:w="1275" w:type="dxa"/>
            <w:vAlign w:val="center"/>
          </w:tcPr>
          <w:p w14:paraId="30555394"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54742AB5"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5" w:type="dxa"/>
            <w:vAlign w:val="center"/>
          </w:tcPr>
          <w:p w14:paraId="079748B6"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6" w:type="dxa"/>
            <w:vAlign w:val="center"/>
          </w:tcPr>
          <w:p w14:paraId="51CD1142"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6" w:type="dxa"/>
            <w:tcBorders>
              <w:right w:val="single" w:sz="8" w:space="0" w:color="auto"/>
            </w:tcBorders>
            <w:vAlign w:val="center"/>
          </w:tcPr>
          <w:p w14:paraId="431BF215"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r>
      <w:tr w:rsidR="00293659" w:rsidRPr="00293659" w14:paraId="6108548D" w14:textId="77777777" w:rsidTr="00A8393B">
        <w:trPr>
          <w:trHeight w:val="376"/>
          <w:jc w:val="center"/>
        </w:trPr>
        <w:tc>
          <w:tcPr>
            <w:tcW w:w="2127" w:type="dxa"/>
            <w:tcBorders>
              <w:left w:val="single" w:sz="8" w:space="0" w:color="auto"/>
            </w:tcBorders>
            <w:vAlign w:val="center"/>
          </w:tcPr>
          <w:p w14:paraId="32B9575E"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proofErr w:type="gramStart"/>
            <w:r w:rsidRPr="00293659">
              <w:rPr>
                <w:rFonts w:hAnsi="標楷體" w:cs="Calibri" w:hint="eastAsia"/>
                <w:kern w:val="0"/>
                <w:sz w:val="28"/>
                <w:szCs w:val="28"/>
              </w:rPr>
              <w:t>人資處</w:t>
            </w:r>
            <w:proofErr w:type="gramEnd"/>
          </w:p>
        </w:tc>
        <w:tc>
          <w:tcPr>
            <w:tcW w:w="1275" w:type="dxa"/>
            <w:vAlign w:val="center"/>
          </w:tcPr>
          <w:p w14:paraId="0B597D5B"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032AB520"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5" w:type="dxa"/>
            <w:vAlign w:val="center"/>
          </w:tcPr>
          <w:p w14:paraId="18732E6C"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6" w:type="dxa"/>
            <w:vAlign w:val="center"/>
          </w:tcPr>
          <w:p w14:paraId="15C895A5"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6" w:type="dxa"/>
            <w:tcBorders>
              <w:right w:val="single" w:sz="8" w:space="0" w:color="auto"/>
            </w:tcBorders>
            <w:vAlign w:val="center"/>
          </w:tcPr>
          <w:p w14:paraId="4B218C18"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r>
      <w:tr w:rsidR="00293659" w:rsidRPr="00293659" w14:paraId="0342C9FD" w14:textId="77777777" w:rsidTr="00A8393B">
        <w:trPr>
          <w:trHeight w:val="376"/>
          <w:jc w:val="center"/>
        </w:trPr>
        <w:tc>
          <w:tcPr>
            <w:tcW w:w="2127" w:type="dxa"/>
            <w:tcBorders>
              <w:left w:val="single" w:sz="8" w:space="0" w:color="auto"/>
            </w:tcBorders>
            <w:vAlign w:val="center"/>
          </w:tcPr>
          <w:p w14:paraId="17A08B47"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醫務所</w:t>
            </w:r>
          </w:p>
        </w:tc>
        <w:tc>
          <w:tcPr>
            <w:tcW w:w="1275" w:type="dxa"/>
            <w:vAlign w:val="center"/>
          </w:tcPr>
          <w:p w14:paraId="050BE568"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346C8C9E"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5" w:type="dxa"/>
            <w:vAlign w:val="center"/>
          </w:tcPr>
          <w:p w14:paraId="435B47F7"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2</w:t>
            </w:r>
          </w:p>
        </w:tc>
        <w:tc>
          <w:tcPr>
            <w:tcW w:w="1276" w:type="dxa"/>
            <w:vAlign w:val="center"/>
          </w:tcPr>
          <w:p w14:paraId="1FE49BE9"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2</w:t>
            </w:r>
          </w:p>
        </w:tc>
        <w:tc>
          <w:tcPr>
            <w:tcW w:w="1276" w:type="dxa"/>
            <w:tcBorders>
              <w:right w:val="single" w:sz="8" w:space="0" w:color="auto"/>
            </w:tcBorders>
            <w:vAlign w:val="center"/>
          </w:tcPr>
          <w:p w14:paraId="203DF092"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2</w:t>
            </w:r>
          </w:p>
        </w:tc>
      </w:tr>
      <w:tr w:rsidR="00293659" w:rsidRPr="00293659" w14:paraId="79699DE6" w14:textId="77777777" w:rsidTr="00A8393B">
        <w:trPr>
          <w:trHeight w:val="376"/>
          <w:jc w:val="center"/>
        </w:trPr>
        <w:tc>
          <w:tcPr>
            <w:tcW w:w="2127" w:type="dxa"/>
            <w:tcBorders>
              <w:left w:val="single" w:sz="8" w:space="0" w:color="auto"/>
            </w:tcBorders>
            <w:vAlign w:val="center"/>
          </w:tcPr>
          <w:p w14:paraId="344BA42F"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飛彈所</w:t>
            </w:r>
          </w:p>
        </w:tc>
        <w:tc>
          <w:tcPr>
            <w:tcW w:w="1275" w:type="dxa"/>
            <w:vAlign w:val="center"/>
          </w:tcPr>
          <w:p w14:paraId="54E67E89"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299127FC"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4</w:t>
            </w:r>
          </w:p>
        </w:tc>
        <w:tc>
          <w:tcPr>
            <w:tcW w:w="1275" w:type="dxa"/>
            <w:vAlign w:val="center"/>
          </w:tcPr>
          <w:p w14:paraId="40B7BCB3"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11</w:t>
            </w:r>
          </w:p>
        </w:tc>
        <w:tc>
          <w:tcPr>
            <w:tcW w:w="1276" w:type="dxa"/>
            <w:vAlign w:val="center"/>
          </w:tcPr>
          <w:p w14:paraId="63CEE3CF"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33</w:t>
            </w:r>
          </w:p>
        </w:tc>
        <w:tc>
          <w:tcPr>
            <w:tcW w:w="1276" w:type="dxa"/>
            <w:tcBorders>
              <w:right w:val="single" w:sz="8" w:space="0" w:color="auto"/>
            </w:tcBorders>
            <w:vAlign w:val="center"/>
          </w:tcPr>
          <w:p w14:paraId="130672AA"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34</w:t>
            </w:r>
          </w:p>
        </w:tc>
      </w:tr>
      <w:tr w:rsidR="00293659" w:rsidRPr="00293659" w14:paraId="06B71ACD" w14:textId="77777777" w:rsidTr="00A8393B">
        <w:trPr>
          <w:trHeight w:val="376"/>
          <w:jc w:val="center"/>
        </w:trPr>
        <w:tc>
          <w:tcPr>
            <w:tcW w:w="2127" w:type="dxa"/>
            <w:tcBorders>
              <w:left w:val="single" w:sz="8" w:space="0" w:color="auto"/>
            </w:tcBorders>
            <w:vAlign w:val="center"/>
          </w:tcPr>
          <w:p w14:paraId="63DB7EF5"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lastRenderedPageBreak/>
              <w:t>資通所</w:t>
            </w:r>
          </w:p>
        </w:tc>
        <w:tc>
          <w:tcPr>
            <w:tcW w:w="1275" w:type="dxa"/>
            <w:vAlign w:val="center"/>
          </w:tcPr>
          <w:p w14:paraId="76A26753"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4F62D1B0"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5" w:type="dxa"/>
            <w:vAlign w:val="center"/>
          </w:tcPr>
          <w:p w14:paraId="1D133491"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6</w:t>
            </w:r>
          </w:p>
        </w:tc>
        <w:tc>
          <w:tcPr>
            <w:tcW w:w="1276" w:type="dxa"/>
            <w:vAlign w:val="center"/>
          </w:tcPr>
          <w:p w14:paraId="04D45A2C"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8</w:t>
            </w:r>
          </w:p>
        </w:tc>
        <w:tc>
          <w:tcPr>
            <w:tcW w:w="1276" w:type="dxa"/>
            <w:tcBorders>
              <w:right w:val="single" w:sz="8" w:space="0" w:color="auto"/>
            </w:tcBorders>
            <w:vAlign w:val="center"/>
          </w:tcPr>
          <w:p w14:paraId="61940600"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5</w:t>
            </w:r>
          </w:p>
        </w:tc>
      </w:tr>
      <w:tr w:rsidR="00293659" w:rsidRPr="00293659" w14:paraId="6B5D10BC" w14:textId="77777777" w:rsidTr="00A8393B">
        <w:trPr>
          <w:trHeight w:val="376"/>
          <w:jc w:val="center"/>
        </w:trPr>
        <w:tc>
          <w:tcPr>
            <w:tcW w:w="2127" w:type="dxa"/>
            <w:tcBorders>
              <w:left w:val="single" w:sz="8" w:space="0" w:color="auto"/>
            </w:tcBorders>
            <w:vAlign w:val="center"/>
          </w:tcPr>
          <w:p w14:paraId="398BD40F"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化學所</w:t>
            </w:r>
          </w:p>
        </w:tc>
        <w:tc>
          <w:tcPr>
            <w:tcW w:w="1275" w:type="dxa"/>
            <w:vAlign w:val="center"/>
          </w:tcPr>
          <w:p w14:paraId="44531605"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42809E19"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2</w:t>
            </w:r>
          </w:p>
        </w:tc>
        <w:tc>
          <w:tcPr>
            <w:tcW w:w="1275" w:type="dxa"/>
            <w:vAlign w:val="center"/>
          </w:tcPr>
          <w:p w14:paraId="5B3E0E94"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3</w:t>
            </w:r>
          </w:p>
        </w:tc>
        <w:tc>
          <w:tcPr>
            <w:tcW w:w="1276" w:type="dxa"/>
            <w:vAlign w:val="center"/>
          </w:tcPr>
          <w:p w14:paraId="76C23A60"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12</w:t>
            </w:r>
          </w:p>
        </w:tc>
        <w:tc>
          <w:tcPr>
            <w:tcW w:w="1276" w:type="dxa"/>
            <w:tcBorders>
              <w:right w:val="single" w:sz="8" w:space="0" w:color="auto"/>
            </w:tcBorders>
            <w:vAlign w:val="center"/>
          </w:tcPr>
          <w:p w14:paraId="14466353"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12</w:t>
            </w:r>
          </w:p>
        </w:tc>
      </w:tr>
      <w:tr w:rsidR="00293659" w:rsidRPr="00293659" w14:paraId="3D32F299" w14:textId="77777777" w:rsidTr="00A8393B">
        <w:trPr>
          <w:trHeight w:val="376"/>
          <w:jc w:val="center"/>
        </w:trPr>
        <w:tc>
          <w:tcPr>
            <w:tcW w:w="2127" w:type="dxa"/>
            <w:tcBorders>
              <w:left w:val="single" w:sz="8" w:space="0" w:color="auto"/>
            </w:tcBorders>
            <w:vAlign w:val="center"/>
          </w:tcPr>
          <w:p w14:paraId="6C57F53B"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proofErr w:type="gramStart"/>
            <w:r w:rsidRPr="00293659">
              <w:rPr>
                <w:rFonts w:hAnsi="標楷體" w:cs="Calibri" w:hint="eastAsia"/>
                <w:kern w:val="0"/>
                <w:sz w:val="28"/>
                <w:szCs w:val="28"/>
              </w:rPr>
              <w:t>材電所</w:t>
            </w:r>
            <w:proofErr w:type="gramEnd"/>
          </w:p>
        </w:tc>
        <w:tc>
          <w:tcPr>
            <w:tcW w:w="1275" w:type="dxa"/>
            <w:vAlign w:val="center"/>
          </w:tcPr>
          <w:p w14:paraId="0567B8DF"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772BEDCB"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5" w:type="dxa"/>
            <w:vAlign w:val="center"/>
          </w:tcPr>
          <w:p w14:paraId="6B4E7A15"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6" w:type="dxa"/>
            <w:vAlign w:val="center"/>
          </w:tcPr>
          <w:p w14:paraId="3CAE62DA"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c>
          <w:tcPr>
            <w:tcW w:w="1276" w:type="dxa"/>
            <w:tcBorders>
              <w:right w:val="single" w:sz="8" w:space="0" w:color="auto"/>
            </w:tcBorders>
            <w:vAlign w:val="center"/>
          </w:tcPr>
          <w:p w14:paraId="09131C57"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w:t>
            </w:r>
          </w:p>
        </w:tc>
      </w:tr>
      <w:tr w:rsidR="00293659" w:rsidRPr="00293659" w14:paraId="3C9DEC11" w14:textId="77777777" w:rsidTr="00A8393B">
        <w:trPr>
          <w:trHeight w:val="376"/>
          <w:jc w:val="center"/>
        </w:trPr>
        <w:tc>
          <w:tcPr>
            <w:tcW w:w="2127" w:type="dxa"/>
            <w:tcBorders>
              <w:left w:val="single" w:sz="8" w:space="0" w:color="auto"/>
            </w:tcBorders>
            <w:vAlign w:val="center"/>
          </w:tcPr>
          <w:p w14:paraId="6691ABE0"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r w:rsidRPr="00293659">
              <w:rPr>
                <w:rFonts w:hAnsi="標楷體" w:cs="Calibri" w:hint="eastAsia"/>
                <w:kern w:val="0"/>
                <w:sz w:val="28"/>
                <w:szCs w:val="28"/>
              </w:rPr>
              <w:t>電子所</w:t>
            </w:r>
          </w:p>
        </w:tc>
        <w:tc>
          <w:tcPr>
            <w:tcW w:w="1275" w:type="dxa"/>
            <w:vAlign w:val="center"/>
          </w:tcPr>
          <w:p w14:paraId="7D7B9779"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096EFAC4"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5" w:type="dxa"/>
            <w:vAlign w:val="center"/>
          </w:tcPr>
          <w:p w14:paraId="0196E3C9"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7</w:t>
            </w:r>
          </w:p>
        </w:tc>
        <w:tc>
          <w:tcPr>
            <w:tcW w:w="1276" w:type="dxa"/>
            <w:vAlign w:val="center"/>
          </w:tcPr>
          <w:p w14:paraId="14AD3A70"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17</w:t>
            </w:r>
          </w:p>
        </w:tc>
        <w:tc>
          <w:tcPr>
            <w:tcW w:w="1276" w:type="dxa"/>
            <w:tcBorders>
              <w:right w:val="single" w:sz="8" w:space="0" w:color="auto"/>
            </w:tcBorders>
            <w:vAlign w:val="center"/>
          </w:tcPr>
          <w:p w14:paraId="54A798CE"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15</w:t>
            </w:r>
          </w:p>
        </w:tc>
      </w:tr>
      <w:tr w:rsidR="00293659" w:rsidRPr="00293659" w14:paraId="15E1A37E" w14:textId="77777777" w:rsidTr="00A8393B">
        <w:trPr>
          <w:trHeight w:val="376"/>
          <w:jc w:val="center"/>
        </w:trPr>
        <w:tc>
          <w:tcPr>
            <w:tcW w:w="2127" w:type="dxa"/>
            <w:tcBorders>
              <w:left w:val="single" w:sz="8" w:space="0" w:color="auto"/>
            </w:tcBorders>
            <w:vAlign w:val="center"/>
          </w:tcPr>
          <w:p w14:paraId="11762670"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proofErr w:type="gramStart"/>
            <w:r w:rsidRPr="00293659">
              <w:rPr>
                <w:rFonts w:hAnsi="標楷體" w:cs="Calibri" w:hint="eastAsia"/>
                <w:kern w:val="0"/>
                <w:sz w:val="28"/>
                <w:szCs w:val="28"/>
              </w:rPr>
              <w:t>系發中心</w:t>
            </w:r>
            <w:proofErr w:type="gramEnd"/>
          </w:p>
        </w:tc>
        <w:tc>
          <w:tcPr>
            <w:tcW w:w="1275" w:type="dxa"/>
            <w:vAlign w:val="center"/>
          </w:tcPr>
          <w:p w14:paraId="7CAD5D7E"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21E89D91"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5</w:t>
            </w:r>
          </w:p>
        </w:tc>
        <w:tc>
          <w:tcPr>
            <w:tcW w:w="1275" w:type="dxa"/>
            <w:vAlign w:val="center"/>
          </w:tcPr>
          <w:p w14:paraId="73F181A3"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6</w:t>
            </w:r>
          </w:p>
        </w:tc>
        <w:tc>
          <w:tcPr>
            <w:tcW w:w="1276" w:type="dxa"/>
            <w:vAlign w:val="center"/>
          </w:tcPr>
          <w:p w14:paraId="130752BD"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9</w:t>
            </w:r>
          </w:p>
        </w:tc>
        <w:tc>
          <w:tcPr>
            <w:tcW w:w="1276" w:type="dxa"/>
            <w:tcBorders>
              <w:right w:val="single" w:sz="8" w:space="0" w:color="auto"/>
            </w:tcBorders>
            <w:vAlign w:val="center"/>
          </w:tcPr>
          <w:p w14:paraId="1AFDCE57"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6</w:t>
            </w:r>
          </w:p>
        </w:tc>
      </w:tr>
      <w:tr w:rsidR="00293659" w:rsidRPr="00293659" w14:paraId="5FBDA749" w14:textId="77777777" w:rsidTr="00A8393B">
        <w:trPr>
          <w:trHeight w:val="376"/>
          <w:jc w:val="center"/>
        </w:trPr>
        <w:tc>
          <w:tcPr>
            <w:tcW w:w="2127" w:type="dxa"/>
            <w:tcBorders>
              <w:left w:val="single" w:sz="8" w:space="0" w:color="auto"/>
            </w:tcBorders>
            <w:vAlign w:val="center"/>
          </w:tcPr>
          <w:p w14:paraId="0C49E1FB" w14:textId="77777777" w:rsidR="00E1047E" w:rsidRPr="00293659" w:rsidRDefault="00E1047E" w:rsidP="00712B16">
            <w:pPr>
              <w:widowControl/>
              <w:spacing w:beforeLines="10" w:before="45" w:afterLines="10" w:after="45" w:line="300" w:lineRule="exact"/>
              <w:jc w:val="center"/>
              <w:rPr>
                <w:rFonts w:hAnsi="標楷體" w:cs="Calibri"/>
                <w:kern w:val="0"/>
                <w:sz w:val="28"/>
                <w:szCs w:val="28"/>
              </w:rPr>
            </w:pPr>
            <w:proofErr w:type="gramStart"/>
            <w:r w:rsidRPr="00293659">
              <w:rPr>
                <w:rFonts w:hAnsi="標楷體" w:cs="Calibri" w:hint="eastAsia"/>
                <w:kern w:val="0"/>
                <w:sz w:val="28"/>
                <w:szCs w:val="28"/>
              </w:rPr>
              <w:t>系製中心</w:t>
            </w:r>
            <w:proofErr w:type="gramEnd"/>
          </w:p>
        </w:tc>
        <w:tc>
          <w:tcPr>
            <w:tcW w:w="1275" w:type="dxa"/>
            <w:vAlign w:val="center"/>
          </w:tcPr>
          <w:p w14:paraId="096F1F6C" w14:textId="77777777" w:rsidR="00E1047E" w:rsidRPr="00293659" w:rsidRDefault="00E1047E" w:rsidP="00A8393B">
            <w:pPr>
              <w:widowControl/>
              <w:spacing w:line="400" w:lineRule="exact"/>
              <w:rPr>
                <w:rFonts w:hAnsi="標楷體" w:cs="Calibri"/>
                <w:kern w:val="0"/>
                <w:sz w:val="28"/>
                <w:szCs w:val="28"/>
              </w:rPr>
            </w:pPr>
          </w:p>
        </w:tc>
        <w:tc>
          <w:tcPr>
            <w:tcW w:w="1276" w:type="dxa"/>
            <w:vAlign w:val="center"/>
          </w:tcPr>
          <w:p w14:paraId="07151F6C" w14:textId="77777777" w:rsidR="00E1047E" w:rsidRPr="00293659" w:rsidRDefault="00E1047E" w:rsidP="00A8393B">
            <w:pPr>
              <w:widowControl/>
              <w:spacing w:line="400" w:lineRule="exact"/>
              <w:ind w:rightChars="100" w:right="340"/>
              <w:jc w:val="right"/>
              <w:rPr>
                <w:rFonts w:hAnsi="標楷體" w:cs="Calibri"/>
                <w:kern w:val="0"/>
                <w:sz w:val="28"/>
                <w:szCs w:val="28"/>
              </w:rPr>
            </w:pPr>
          </w:p>
        </w:tc>
        <w:tc>
          <w:tcPr>
            <w:tcW w:w="1275" w:type="dxa"/>
            <w:vAlign w:val="center"/>
          </w:tcPr>
          <w:p w14:paraId="506313A7"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2</w:t>
            </w:r>
          </w:p>
        </w:tc>
        <w:tc>
          <w:tcPr>
            <w:tcW w:w="1276" w:type="dxa"/>
            <w:vAlign w:val="center"/>
          </w:tcPr>
          <w:p w14:paraId="03F5C7F6"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14</w:t>
            </w:r>
          </w:p>
        </w:tc>
        <w:tc>
          <w:tcPr>
            <w:tcW w:w="1276" w:type="dxa"/>
            <w:tcBorders>
              <w:right w:val="single" w:sz="8" w:space="0" w:color="auto"/>
            </w:tcBorders>
            <w:vAlign w:val="center"/>
          </w:tcPr>
          <w:p w14:paraId="0704D720"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14</w:t>
            </w:r>
          </w:p>
        </w:tc>
      </w:tr>
      <w:tr w:rsidR="00293659" w:rsidRPr="00293659" w14:paraId="08D2BA02" w14:textId="77777777" w:rsidTr="00712B16">
        <w:trPr>
          <w:trHeight w:val="287"/>
          <w:jc w:val="center"/>
        </w:trPr>
        <w:tc>
          <w:tcPr>
            <w:tcW w:w="2127" w:type="dxa"/>
            <w:tcBorders>
              <w:left w:val="single" w:sz="8" w:space="0" w:color="auto"/>
              <w:bottom w:val="single" w:sz="8" w:space="0" w:color="auto"/>
            </w:tcBorders>
            <w:vAlign w:val="center"/>
          </w:tcPr>
          <w:p w14:paraId="09C7925C" w14:textId="77777777" w:rsidR="00E1047E" w:rsidRPr="00293659" w:rsidRDefault="00E1047E" w:rsidP="00716C76">
            <w:pPr>
              <w:widowControl/>
              <w:spacing w:beforeLines="15" w:before="68" w:afterLines="15" w:after="68" w:line="360" w:lineRule="exact"/>
              <w:jc w:val="center"/>
              <w:rPr>
                <w:rFonts w:hAnsi="標楷體" w:cs="Calibri"/>
                <w:kern w:val="0"/>
                <w:sz w:val="28"/>
                <w:szCs w:val="28"/>
              </w:rPr>
            </w:pPr>
            <w:r w:rsidRPr="00293659">
              <w:rPr>
                <w:rFonts w:hAnsi="標楷體" w:cs="Calibri" w:hint="eastAsia"/>
                <w:kern w:val="0"/>
                <w:sz w:val="28"/>
                <w:szCs w:val="28"/>
              </w:rPr>
              <w:t>總計</w:t>
            </w:r>
          </w:p>
        </w:tc>
        <w:tc>
          <w:tcPr>
            <w:tcW w:w="1275" w:type="dxa"/>
            <w:tcBorders>
              <w:bottom w:val="single" w:sz="8" w:space="0" w:color="auto"/>
            </w:tcBorders>
            <w:vAlign w:val="center"/>
          </w:tcPr>
          <w:p w14:paraId="48468A0B" w14:textId="77777777" w:rsidR="00E1047E" w:rsidRPr="00293659" w:rsidRDefault="00E1047E" w:rsidP="00A8393B">
            <w:pPr>
              <w:widowControl/>
              <w:spacing w:line="400" w:lineRule="exact"/>
              <w:jc w:val="center"/>
              <w:rPr>
                <w:rFonts w:hAnsi="標楷體" w:cs="Calibri"/>
                <w:kern w:val="0"/>
                <w:sz w:val="28"/>
                <w:szCs w:val="28"/>
              </w:rPr>
            </w:pPr>
            <w:r w:rsidRPr="00293659">
              <w:rPr>
                <w:rFonts w:hAnsi="標楷體" w:cs="Calibri" w:hint="eastAsia"/>
                <w:kern w:val="0"/>
                <w:sz w:val="28"/>
                <w:szCs w:val="28"/>
              </w:rPr>
              <w:t>0</w:t>
            </w:r>
          </w:p>
        </w:tc>
        <w:tc>
          <w:tcPr>
            <w:tcW w:w="1276" w:type="dxa"/>
            <w:tcBorders>
              <w:bottom w:val="single" w:sz="8" w:space="0" w:color="auto"/>
            </w:tcBorders>
            <w:vAlign w:val="center"/>
          </w:tcPr>
          <w:p w14:paraId="552AB1CB"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14</w:t>
            </w:r>
          </w:p>
        </w:tc>
        <w:tc>
          <w:tcPr>
            <w:tcW w:w="1275" w:type="dxa"/>
            <w:tcBorders>
              <w:bottom w:val="single" w:sz="8" w:space="0" w:color="auto"/>
            </w:tcBorders>
            <w:vAlign w:val="center"/>
          </w:tcPr>
          <w:p w14:paraId="61F3A4DE" w14:textId="77777777"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40</w:t>
            </w:r>
          </w:p>
        </w:tc>
        <w:tc>
          <w:tcPr>
            <w:tcW w:w="1276" w:type="dxa"/>
            <w:tcBorders>
              <w:bottom w:val="single" w:sz="8" w:space="0" w:color="auto"/>
            </w:tcBorders>
            <w:vAlign w:val="center"/>
          </w:tcPr>
          <w:p w14:paraId="5B08B69B" w14:textId="0DC1FA49"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10</w:t>
            </w:r>
            <w:r w:rsidR="00104000" w:rsidRPr="00293659">
              <w:rPr>
                <w:rFonts w:hAnsi="標楷體" w:cs="Calibri"/>
                <w:kern w:val="0"/>
                <w:sz w:val="28"/>
                <w:szCs w:val="28"/>
              </w:rPr>
              <w:t>0</w:t>
            </w:r>
          </w:p>
        </w:tc>
        <w:tc>
          <w:tcPr>
            <w:tcW w:w="1276" w:type="dxa"/>
            <w:tcBorders>
              <w:bottom w:val="single" w:sz="8" w:space="0" w:color="auto"/>
              <w:right w:val="single" w:sz="8" w:space="0" w:color="auto"/>
            </w:tcBorders>
            <w:vAlign w:val="center"/>
          </w:tcPr>
          <w:p w14:paraId="78524FF7" w14:textId="7F27FA4E" w:rsidR="00E1047E" w:rsidRPr="00293659" w:rsidRDefault="00E1047E" w:rsidP="00A8393B">
            <w:pPr>
              <w:widowControl/>
              <w:spacing w:line="400" w:lineRule="exact"/>
              <w:ind w:rightChars="100" w:right="340"/>
              <w:jc w:val="right"/>
              <w:rPr>
                <w:rFonts w:hAnsi="標楷體" w:cs="Calibri"/>
                <w:kern w:val="0"/>
                <w:sz w:val="28"/>
                <w:szCs w:val="28"/>
              </w:rPr>
            </w:pPr>
            <w:r w:rsidRPr="00293659">
              <w:rPr>
                <w:rFonts w:hAnsi="標楷體" w:cs="Calibri" w:hint="eastAsia"/>
                <w:kern w:val="0"/>
                <w:sz w:val="28"/>
                <w:szCs w:val="28"/>
              </w:rPr>
              <w:t>9</w:t>
            </w:r>
            <w:r w:rsidR="00104000" w:rsidRPr="00293659">
              <w:rPr>
                <w:rFonts w:hAnsi="標楷體" w:cs="Calibri"/>
                <w:kern w:val="0"/>
                <w:sz w:val="28"/>
                <w:szCs w:val="28"/>
              </w:rPr>
              <w:t>2</w:t>
            </w:r>
          </w:p>
        </w:tc>
      </w:tr>
    </w:tbl>
    <w:p w14:paraId="293188A5" w14:textId="67A9FE22" w:rsidR="00C37300" w:rsidRPr="00293659" w:rsidRDefault="00C37300" w:rsidP="00C37300">
      <w:pPr>
        <w:spacing w:line="300" w:lineRule="exact"/>
        <w:ind w:leftChars="41" w:left="139"/>
        <w:rPr>
          <w:rFonts w:hAnsi="標楷體"/>
          <w:sz w:val="24"/>
          <w:szCs w:val="24"/>
        </w:rPr>
      </w:pPr>
      <w:proofErr w:type="gramStart"/>
      <w:r w:rsidRPr="00293659">
        <w:rPr>
          <w:rFonts w:hAnsi="標楷體" w:hint="eastAsia"/>
          <w:sz w:val="24"/>
          <w:szCs w:val="24"/>
        </w:rPr>
        <w:t>註</w:t>
      </w:r>
      <w:proofErr w:type="gramEnd"/>
      <w:r w:rsidRPr="00293659">
        <w:rPr>
          <w:rFonts w:hAnsi="標楷體" w:hint="eastAsia"/>
          <w:sz w:val="24"/>
          <w:szCs w:val="24"/>
        </w:rPr>
        <w:t>：本表統計日期為</w:t>
      </w:r>
      <w:r w:rsidRPr="00293659">
        <w:rPr>
          <w:rFonts w:hAnsi="標楷體" w:cs="標楷體" w:hint="eastAsia"/>
          <w:kern w:val="0"/>
          <w:sz w:val="24"/>
          <w:szCs w:val="24"/>
          <w:lang w:val="zh-TW"/>
        </w:rPr>
        <w:t>112年2月6日。</w:t>
      </w:r>
    </w:p>
    <w:p w14:paraId="17369B32" w14:textId="1A32C80E" w:rsidR="00E1047E" w:rsidRPr="00293659" w:rsidRDefault="00E1047E" w:rsidP="00E1047E">
      <w:pPr>
        <w:spacing w:afterLines="25" w:after="114" w:line="300" w:lineRule="exact"/>
        <w:ind w:leftChars="41" w:left="139"/>
        <w:rPr>
          <w:rFonts w:hAnsi="標楷體"/>
          <w:sz w:val="24"/>
          <w:szCs w:val="24"/>
        </w:rPr>
      </w:pPr>
      <w:r w:rsidRPr="00293659">
        <w:rPr>
          <w:rFonts w:hAnsi="標楷體" w:hint="eastAsia"/>
          <w:sz w:val="24"/>
          <w:szCs w:val="24"/>
        </w:rPr>
        <w:t>資料來源：國防部。</w:t>
      </w:r>
    </w:p>
    <w:p w14:paraId="499639BE" w14:textId="61CBE671" w:rsidR="00712B16" w:rsidRPr="00293659" w:rsidRDefault="00E1047E" w:rsidP="000424A8">
      <w:pPr>
        <w:pStyle w:val="2"/>
        <w:numPr>
          <w:ilvl w:val="2"/>
          <w:numId w:val="1"/>
        </w:numPr>
        <w:ind w:left="1360" w:hanging="680"/>
      </w:pPr>
      <w:bookmarkStart w:id="77" w:name="_Toc144211206"/>
      <w:bookmarkStart w:id="78" w:name="_Toc145510468"/>
      <w:bookmarkStart w:id="79" w:name="_Toc143243826"/>
      <w:bookmarkStart w:id="80" w:name="_Toc143262183"/>
      <w:bookmarkStart w:id="81" w:name="_Toc143263068"/>
      <w:bookmarkStart w:id="82" w:name="_Toc143424280"/>
      <w:bookmarkStart w:id="83" w:name="_Toc144140096"/>
      <w:bookmarkStart w:id="84" w:name="_Toc141964315"/>
      <w:r w:rsidRPr="00293659">
        <w:rPr>
          <w:rFonts w:hAnsi="標楷體" w:hint="eastAsia"/>
        </w:rPr>
        <w:t>國防部表示，</w:t>
      </w:r>
      <w:r w:rsidRPr="00293659">
        <w:rPr>
          <w:rFonts w:hAnsi="標楷體"/>
          <w:szCs w:val="32"/>
        </w:rPr>
        <w:t>中科院</w:t>
      </w:r>
      <w:r w:rsidRPr="00293659">
        <w:rPr>
          <w:rFonts w:hAnsi="標楷體" w:hint="eastAsia"/>
          <w:szCs w:val="32"/>
        </w:rPr>
        <w:t>為因應</w:t>
      </w:r>
      <w:r w:rsidRPr="00293659">
        <w:rPr>
          <w:rFonts w:hAnsi="標楷體"/>
          <w:szCs w:val="32"/>
        </w:rPr>
        <w:t>營運急速擴張與各項重大任務</w:t>
      </w:r>
      <w:r w:rsidRPr="00293659">
        <w:rPr>
          <w:rFonts w:hAnsi="標楷體" w:hint="eastAsia"/>
          <w:szCs w:val="32"/>
        </w:rPr>
        <w:t>推展</w:t>
      </w:r>
      <w:r w:rsidRPr="00293659">
        <w:rPr>
          <w:rFonts w:hAnsi="標楷體"/>
          <w:szCs w:val="32"/>
        </w:rPr>
        <w:t>需要，</w:t>
      </w:r>
      <w:r w:rsidRPr="00293659">
        <w:rPr>
          <w:rFonts w:hAnsi="標楷體" w:hint="eastAsia"/>
          <w:szCs w:val="32"/>
        </w:rPr>
        <w:t>須以</w:t>
      </w:r>
      <w:r w:rsidRPr="00293659">
        <w:rPr>
          <w:rFonts w:hAnsi="標楷體"/>
          <w:szCs w:val="32"/>
        </w:rPr>
        <w:t>熟練人力即時</w:t>
      </w:r>
      <w:r w:rsidRPr="00293659">
        <w:rPr>
          <w:rFonts w:hAnsi="標楷體" w:hint="eastAsia"/>
          <w:szCs w:val="32"/>
        </w:rPr>
        <w:t>投入工作，同時藉經驗傳承深化人才培育，配合</w:t>
      </w:r>
      <w:r w:rsidRPr="00293659">
        <w:rPr>
          <w:rFonts w:hAnsi="標楷體"/>
          <w:szCs w:val="32"/>
        </w:rPr>
        <w:t>109年中高齡者及高齡者就業促進法施行後</w:t>
      </w:r>
      <w:r w:rsidRPr="00293659">
        <w:rPr>
          <w:rFonts w:hAnsi="標楷體" w:hint="eastAsia"/>
          <w:szCs w:val="32"/>
        </w:rPr>
        <w:t>，</w:t>
      </w:r>
      <w:r w:rsidRPr="00293659">
        <w:rPr>
          <w:rFonts w:hAnsi="標楷體"/>
          <w:szCs w:val="32"/>
        </w:rPr>
        <w:t>推動高齡回任制度</w:t>
      </w:r>
      <w:r w:rsidRPr="00293659">
        <w:rPr>
          <w:rFonts w:hAnsi="標楷體" w:hint="eastAsia"/>
          <w:szCs w:val="32"/>
        </w:rPr>
        <w:t>。</w:t>
      </w:r>
      <w:r w:rsidRPr="00293659">
        <w:rPr>
          <w:rFonts w:hAnsi="標楷體"/>
        </w:rPr>
        <w:t>有關</w:t>
      </w:r>
      <w:r w:rsidRPr="00293659">
        <w:rPr>
          <w:rFonts w:hAnsi="標楷體" w:hint="eastAsia"/>
        </w:rPr>
        <w:t>中科院</w:t>
      </w:r>
      <w:r w:rsidRPr="00293659">
        <w:rPr>
          <w:rFonts w:hAnsi="標楷體"/>
        </w:rPr>
        <w:t>高齡</w:t>
      </w:r>
      <w:proofErr w:type="gramStart"/>
      <w:r w:rsidRPr="00293659">
        <w:rPr>
          <w:rFonts w:hAnsi="標楷體"/>
        </w:rPr>
        <w:t>回任敘薪</w:t>
      </w:r>
      <w:proofErr w:type="gramEnd"/>
      <w:r w:rsidRPr="00293659">
        <w:rPr>
          <w:rFonts w:hAnsi="標楷體"/>
        </w:rPr>
        <w:t>原則</w:t>
      </w:r>
      <w:r w:rsidRPr="00293659">
        <w:rPr>
          <w:rFonts w:hAnsi="標楷體" w:hint="eastAsia"/>
        </w:rPr>
        <w:t>，係</w:t>
      </w:r>
      <w:r w:rsidRPr="00293659">
        <w:rPr>
          <w:rFonts w:hAnsi="標楷體"/>
        </w:rPr>
        <w:t>考量高齡者身心狀況，並以經驗傳承為主，適度調整工作內容與肩負責任，以原薪資三分之二為敘薪上限之基礎，據以實施雙方合議事宜</w:t>
      </w:r>
      <w:r w:rsidRPr="00293659">
        <w:rPr>
          <w:rFonts w:hAnsi="標楷體" w:hint="eastAsia"/>
        </w:rPr>
        <w:t>；</w:t>
      </w:r>
      <w:r w:rsidRPr="00293659">
        <w:rPr>
          <w:rFonts w:hAnsi="標楷體"/>
        </w:rPr>
        <w:t>回任一級副主管以上高階管理職，係襄助院長推動計畫整合及管理革新等艱鉅事務，候選人員由</w:t>
      </w:r>
      <w:r w:rsidR="00433209" w:rsidRPr="00293659">
        <w:rPr>
          <w:rFonts w:hAnsi="標楷體" w:hint="eastAsia"/>
        </w:rPr>
        <w:t>人力資源處(下</w:t>
      </w:r>
      <w:proofErr w:type="gramStart"/>
      <w:r w:rsidR="00433209" w:rsidRPr="00293659">
        <w:rPr>
          <w:rFonts w:hAnsi="標楷體" w:hint="eastAsia"/>
        </w:rPr>
        <w:t>稱人資處</w:t>
      </w:r>
      <w:proofErr w:type="gramEnd"/>
      <w:r w:rsidR="00433209" w:rsidRPr="00293659">
        <w:rPr>
          <w:rFonts w:hAnsi="標楷體" w:hint="eastAsia"/>
        </w:rPr>
        <w:t>)</w:t>
      </w:r>
      <w:r w:rsidRPr="00293659">
        <w:rPr>
          <w:rFonts w:hAnsi="標楷體"/>
        </w:rPr>
        <w:t>建議，以個案方式</w:t>
      </w:r>
      <w:proofErr w:type="gramStart"/>
      <w:r w:rsidRPr="00293659">
        <w:rPr>
          <w:rFonts w:hAnsi="標楷體"/>
        </w:rPr>
        <w:t>檢討議</w:t>
      </w:r>
      <w:proofErr w:type="gramEnd"/>
      <w:r w:rsidRPr="00293659">
        <w:rPr>
          <w:rFonts w:hAnsi="標楷體"/>
        </w:rPr>
        <w:t>薪。</w:t>
      </w:r>
      <w:r w:rsidRPr="00293659">
        <w:rPr>
          <w:rFonts w:hint="eastAsia"/>
        </w:rPr>
        <w:t>本院尊重中科院訂定實施計畫據以進用</w:t>
      </w:r>
      <w:r w:rsidRPr="00293659">
        <w:t>高齡回任</w:t>
      </w:r>
      <w:r w:rsidRPr="00293659">
        <w:rPr>
          <w:rFonts w:hint="eastAsia"/>
        </w:rPr>
        <w:t>者之彈性用人機制，然應確實</w:t>
      </w:r>
      <w:r w:rsidR="005450C4" w:rsidRPr="00293659">
        <w:rPr>
          <w:rFonts w:hint="eastAsia"/>
        </w:rPr>
        <w:t>根據</w:t>
      </w:r>
      <w:r w:rsidRPr="00293659">
        <w:rPr>
          <w:rFonts w:hint="eastAsia"/>
        </w:rPr>
        <w:t>實施計畫各項規定內容辦理以示公允與對內部制度之尊重，</w:t>
      </w:r>
      <w:proofErr w:type="gramStart"/>
      <w:r w:rsidRPr="00293659">
        <w:rPr>
          <w:rFonts w:hint="eastAsia"/>
        </w:rPr>
        <w:t>俾</w:t>
      </w:r>
      <w:proofErr w:type="gramEnd"/>
      <w:r w:rsidRPr="00293659">
        <w:rPr>
          <w:rFonts w:hint="eastAsia"/>
        </w:rPr>
        <w:t>杜質疑。</w:t>
      </w:r>
      <w:proofErr w:type="gramStart"/>
      <w:r w:rsidR="00712B16" w:rsidRPr="00293659">
        <w:rPr>
          <w:rFonts w:hint="eastAsia"/>
        </w:rPr>
        <w:t>惟查</w:t>
      </w:r>
      <w:proofErr w:type="gramEnd"/>
      <w:r w:rsidR="00712B16" w:rsidRPr="00293659">
        <w:rPr>
          <w:rFonts w:hint="eastAsia"/>
        </w:rPr>
        <w:t>：</w:t>
      </w:r>
      <w:bookmarkEnd w:id="77"/>
      <w:bookmarkEnd w:id="78"/>
    </w:p>
    <w:p w14:paraId="6B319FA9" w14:textId="6A731C23" w:rsidR="00712B16" w:rsidRPr="00293659" w:rsidRDefault="00E1047E" w:rsidP="00712B16">
      <w:pPr>
        <w:pStyle w:val="4"/>
      </w:pPr>
      <w:r w:rsidRPr="00293659">
        <w:rPr>
          <w:rFonts w:hint="eastAsia"/>
        </w:rPr>
        <w:t>中科院依據實施計畫以高齡定期契約方式進用該院之退休人員，於1</w:t>
      </w:r>
      <w:r w:rsidRPr="00293659">
        <w:t>09</w:t>
      </w:r>
      <w:r w:rsidRPr="00293659">
        <w:rPr>
          <w:rFonts w:hint="eastAsia"/>
        </w:rPr>
        <w:t>年9月8日</w:t>
      </w:r>
      <w:proofErr w:type="gramStart"/>
      <w:r w:rsidRPr="00293659">
        <w:rPr>
          <w:rFonts w:hint="eastAsia"/>
        </w:rPr>
        <w:t>進用黃</w:t>
      </w:r>
      <w:r w:rsidR="003D6A08" w:rsidRPr="00293659">
        <w:rPr>
          <w:rFonts w:hAnsi="標楷體" w:hint="eastAsia"/>
        </w:rPr>
        <w:t>○○</w:t>
      </w:r>
      <w:proofErr w:type="gramEnd"/>
      <w:r w:rsidRPr="00293659">
        <w:rPr>
          <w:rFonts w:hint="eastAsia"/>
        </w:rPr>
        <w:t>為</w:t>
      </w:r>
      <w:r w:rsidR="001B4CA8" w:rsidRPr="00293659">
        <w:t>設施</w:t>
      </w:r>
      <w:r w:rsidRPr="00293659">
        <w:rPr>
          <w:rFonts w:hint="eastAsia"/>
        </w:rPr>
        <w:t>工程處</w:t>
      </w:r>
      <w:r w:rsidR="001B4CA8" w:rsidRPr="00293659">
        <w:rPr>
          <w:rFonts w:hint="eastAsia"/>
        </w:rPr>
        <w:t>（下稱工程處）</w:t>
      </w:r>
      <w:r w:rsidRPr="00293659">
        <w:rPr>
          <w:rFonts w:hint="eastAsia"/>
        </w:rPr>
        <w:t>處長；1</w:t>
      </w:r>
      <w:r w:rsidRPr="00293659">
        <w:t>09</w:t>
      </w:r>
      <w:r w:rsidRPr="00293659">
        <w:rPr>
          <w:rFonts w:hint="eastAsia"/>
        </w:rPr>
        <w:t>年1</w:t>
      </w:r>
      <w:r w:rsidRPr="00293659">
        <w:t>2</w:t>
      </w:r>
      <w:r w:rsidRPr="00293659">
        <w:rPr>
          <w:rFonts w:hint="eastAsia"/>
        </w:rPr>
        <w:t>月8日</w:t>
      </w:r>
      <w:proofErr w:type="gramStart"/>
      <w:r w:rsidRPr="00293659">
        <w:rPr>
          <w:rFonts w:hint="eastAsia"/>
        </w:rPr>
        <w:t>進用徐</w:t>
      </w:r>
      <w:r w:rsidR="003D6A08" w:rsidRPr="00293659">
        <w:rPr>
          <w:rFonts w:hAnsi="標楷體" w:hint="eastAsia"/>
        </w:rPr>
        <w:t>○○</w:t>
      </w:r>
      <w:proofErr w:type="gramEnd"/>
      <w:r w:rsidRPr="00293659">
        <w:rPr>
          <w:rFonts w:hint="eastAsia"/>
        </w:rPr>
        <w:t>為副院長；於11</w:t>
      </w:r>
      <w:r w:rsidRPr="00293659">
        <w:t>0</w:t>
      </w:r>
      <w:r w:rsidRPr="00293659">
        <w:rPr>
          <w:rFonts w:hint="eastAsia"/>
        </w:rPr>
        <w:t>年1月5日進用賀</w:t>
      </w:r>
      <w:r w:rsidR="00800EF3" w:rsidRPr="00293659">
        <w:rPr>
          <w:rFonts w:hAnsi="標楷體" w:hint="eastAsia"/>
        </w:rPr>
        <w:t>○○</w:t>
      </w:r>
      <w:r w:rsidRPr="00293659">
        <w:rPr>
          <w:rFonts w:hint="eastAsia"/>
        </w:rPr>
        <w:t>為系統製造中心（下稱系製中心）副主任；於11</w:t>
      </w:r>
      <w:r w:rsidRPr="00293659">
        <w:t>0</w:t>
      </w:r>
      <w:r w:rsidRPr="00293659">
        <w:rPr>
          <w:rFonts w:hint="eastAsia"/>
        </w:rPr>
        <w:t>年7月1</w:t>
      </w:r>
      <w:r w:rsidRPr="00293659">
        <w:t>6</w:t>
      </w:r>
      <w:r w:rsidRPr="00293659">
        <w:rPr>
          <w:rFonts w:hint="eastAsia"/>
        </w:rPr>
        <w:t>日進用李</w:t>
      </w:r>
      <w:r w:rsidR="00800EF3" w:rsidRPr="00293659">
        <w:rPr>
          <w:rFonts w:hAnsi="標楷體" w:hint="eastAsia"/>
        </w:rPr>
        <w:t>○○</w:t>
      </w:r>
      <w:r w:rsidRPr="00293659">
        <w:rPr>
          <w:rFonts w:hint="eastAsia"/>
        </w:rPr>
        <w:t>為資訊電信研究所（</w:t>
      </w:r>
      <w:r w:rsidR="00E643F6" w:rsidRPr="00293659">
        <w:rPr>
          <w:rFonts w:hint="eastAsia"/>
        </w:rPr>
        <w:t>下稱</w:t>
      </w:r>
      <w:r w:rsidRPr="00293659">
        <w:rPr>
          <w:rFonts w:hint="eastAsia"/>
        </w:rPr>
        <w:t>資電所）新設立之技術長；於11</w:t>
      </w:r>
      <w:r w:rsidRPr="00293659">
        <w:t>0</w:t>
      </w:r>
      <w:r w:rsidRPr="00293659">
        <w:rPr>
          <w:rFonts w:hint="eastAsia"/>
        </w:rPr>
        <w:t>年9月7日</w:t>
      </w:r>
      <w:proofErr w:type="gramStart"/>
      <w:r w:rsidRPr="00293659">
        <w:rPr>
          <w:rFonts w:hint="eastAsia"/>
        </w:rPr>
        <w:t>進用</w:t>
      </w:r>
      <w:r w:rsidRPr="00293659">
        <w:rPr>
          <w:rFonts w:hint="eastAsia"/>
        </w:rPr>
        <w:lastRenderedPageBreak/>
        <w:t>簡</w:t>
      </w:r>
      <w:r w:rsidR="00800EF3" w:rsidRPr="00293659">
        <w:rPr>
          <w:rFonts w:hAnsi="標楷體" w:hint="eastAsia"/>
        </w:rPr>
        <w:t>○○</w:t>
      </w:r>
      <w:proofErr w:type="gramEnd"/>
      <w:r w:rsidRPr="00293659">
        <w:rPr>
          <w:rFonts w:hint="eastAsia"/>
        </w:rPr>
        <w:t>擔任合資公司董事，</w:t>
      </w:r>
      <w:r w:rsidRPr="00293659">
        <w:t>代表中科院行使股東之權利及義務</w:t>
      </w:r>
      <w:r w:rsidRPr="00293659">
        <w:rPr>
          <w:rFonts w:hint="eastAsia"/>
        </w:rPr>
        <w:t>；於11</w:t>
      </w:r>
      <w:r w:rsidRPr="00293659">
        <w:t>1</w:t>
      </w:r>
      <w:r w:rsidRPr="00293659">
        <w:rPr>
          <w:rFonts w:hint="eastAsia"/>
        </w:rPr>
        <w:t>年1月4日進用許</w:t>
      </w:r>
      <w:r w:rsidR="00800EF3" w:rsidRPr="00293659">
        <w:rPr>
          <w:rFonts w:hAnsi="標楷體" w:hint="eastAsia"/>
        </w:rPr>
        <w:t>○○</w:t>
      </w:r>
      <w:r w:rsidRPr="00293659">
        <w:rPr>
          <w:rFonts w:hint="eastAsia"/>
        </w:rPr>
        <w:t>為材料暨光電研究所（下稱材電所）督導長；於11</w:t>
      </w:r>
      <w:r w:rsidRPr="00293659">
        <w:t>1</w:t>
      </w:r>
      <w:r w:rsidRPr="00293659">
        <w:rPr>
          <w:rFonts w:hint="eastAsia"/>
        </w:rPr>
        <w:t>年8月1</w:t>
      </w:r>
      <w:r w:rsidRPr="00293659">
        <w:t>6</w:t>
      </w:r>
      <w:r w:rsidRPr="00293659">
        <w:rPr>
          <w:rFonts w:hint="eastAsia"/>
        </w:rPr>
        <w:t>日進用齊</w:t>
      </w:r>
      <w:r w:rsidR="00800EF3" w:rsidRPr="00293659">
        <w:rPr>
          <w:rFonts w:hAnsi="標楷體" w:hint="eastAsia"/>
        </w:rPr>
        <w:t>○○</w:t>
      </w:r>
      <w:proofErr w:type="gramStart"/>
      <w:r w:rsidRPr="00293659">
        <w:rPr>
          <w:rFonts w:hint="eastAsia"/>
        </w:rPr>
        <w:t>為人資處處長</w:t>
      </w:r>
      <w:proofErr w:type="gramEnd"/>
      <w:r w:rsidRPr="00293659">
        <w:rPr>
          <w:rFonts w:hint="eastAsia"/>
        </w:rPr>
        <w:t>，上</w:t>
      </w:r>
      <w:r w:rsidR="009A7885" w:rsidRPr="00293659">
        <w:rPr>
          <w:rFonts w:hint="eastAsia"/>
        </w:rPr>
        <w:t>述</w:t>
      </w:r>
      <w:r w:rsidRPr="00293659">
        <w:t>高齡回任</w:t>
      </w:r>
      <w:r w:rsidRPr="00293659">
        <w:rPr>
          <w:rFonts w:hint="eastAsia"/>
        </w:rPr>
        <w:t>人員中多擔任主管職位，中科院實施計畫中為</w:t>
      </w:r>
      <w:r w:rsidRPr="00293659">
        <w:t>避免排擠現職人員升遷</w:t>
      </w:r>
      <w:r w:rsidRPr="00293659">
        <w:rPr>
          <w:rFonts w:hint="eastAsia"/>
        </w:rPr>
        <w:t>所訂定之</w:t>
      </w:r>
      <w:r w:rsidRPr="00293659">
        <w:t>高齡回任</w:t>
      </w:r>
      <w:r w:rsidRPr="00293659">
        <w:rPr>
          <w:rFonts w:hint="eastAsia"/>
        </w:rPr>
        <w:t>者以不擔任主管職之原則，顯然已一再被打破，</w:t>
      </w:r>
      <w:proofErr w:type="gramStart"/>
      <w:r w:rsidRPr="00293659">
        <w:rPr>
          <w:rFonts w:hint="eastAsia"/>
        </w:rPr>
        <w:t>縱均經</w:t>
      </w:r>
      <w:proofErr w:type="gramEnd"/>
      <w:r w:rsidRPr="00293659">
        <w:rPr>
          <w:rFonts w:hint="eastAsia"/>
        </w:rPr>
        <w:t>簽奉該院院長核定，</w:t>
      </w:r>
      <w:proofErr w:type="gramStart"/>
      <w:r w:rsidRPr="00293659">
        <w:rPr>
          <w:rFonts w:hint="eastAsia"/>
        </w:rPr>
        <w:t>然勢</w:t>
      </w:r>
      <w:proofErr w:type="gramEnd"/>
      <w:r w:rsidRPr="00293659">
        <w:rPr>
          <w:rFonts w:hint="eastAsia"/>
        </w:rPr>
        <w:t>已嚴重打擊</w:t>
      </w:r>
      <w:r w:rsidRPr="00293659">
        <w:t>現職人員</w:t>
      </w:r>
      <w:r w:rsidRPr="00293659">
        <w:rPr>
          <w:rFonts w:hint="eastAsia"/>
        </w:rPr>
        <w:t>工作士氣</w:t>
      </w:r>
      <w:r w:rsidR="00712B16" w:rsidRPr="00293659">
        <w:rPr>
          <w:rFonts w:hint="eastAsia"/>
        </w:rPr>
        <w:t>。</w:t>
      </w:r>
    </w:p>
    <w:p w14:paraId="519278E3" w14:textId="69C70390" w:rsidR="00712B16" w:rsidRPr="00293659" w:rsidRDefault="005450C4" w:rsidP="00712B16">
      <w:pPr>
        <w:pStyle w:val="4"/>
      </w:pPr>
      <w:r w:rsidRPr="00293659">
        <w:rPr>
          <w:rFonts w:hint="eastAsia"/>
        </w:rPr>
        <w:t>再根據</w:t>
      </w:r>
      <w:r w:rsidR="00E1047E" w:rsidRPr="00293659">
        <w:rPr>
          <w:rFonts w:hint="eastAsia"/>
        </w:rPr>
        <w:t>實施計畫，</w:t>
      </w:r>
      <w:r w:rsidR="00E1047E" w:rsidRPr="00293659">
        <w:t>高齡回任</w:t>
      </w:r>
      <w:r w:rsidR="00E1047E" w:rsidRPr="00293659">
        <w:rPr>
          <w:rFonts w:hint="eastAsia"/>
        </w:rPr>
        <w:t>者若欲續約須依契約內容交付工作成果報告，並經一級單位審核通過，</w:t>
      </w:r>
      <w:proofErr w:type="gramStart"/>
      <w:r w:rsidR="00E1047E" w:rsidRPr="00293659">
        <w:rPr>
          <w:rFonts w:hint="eastAsia"/>
        </w:rPr>
        <w:t>送人資處審查</w:t>
      </w:r>
      <w:proofErr w:type="gramEnd"/>
      <w:r w:rsidR="00E1047E" w:rsidRPr="00293659">
        <w:rPr>
          <w:rFonts w:hint="eastAsia"/>
        </w:rPr>
        <w:t>，</w:t>
      </w:r>
      <w:r w:rsidR="00E219B0" w:rsidRPr="00293659">
        <w:rPr>
          <w:rFonts w:hint="eastAsia"/>
        </w:rPr>
        <w:t>但這些回任者</w:t>
      </w:r>
      <w:r w:rsidR="00E1047E" w:rsidRPr="00293659">
        <w:rPr>
          <w:rFonts w:hint="eastAsia"/>
        </w:rPr>
        <w:t>或擔任一級單位主管，或擔任</w:t>
      </w:r>
      <w:proofErr w:type="gramStart"/>
      <w:r w:rsidR="00E1047E" w:rsidRPr="00293659">
        <w:rPr>
          <w:rFonts w:hint="eastAsia"/>
        </w:rPr>
        <w:t>人資處處</w:t>
      </w:r>
      <w:proofErr w:type="gramEnd"/>
      <w:r w:rsidR="00E1047E" w:rsidRPr="00293659">
        <w:rPr>
          <w:rFonts w:hint="eastAsia"/>
        </w:rPr>
        <w:t>長，形同自己審核/查己身之工作成果報告，似更難杜外界之質疑。</w:t>
      </w:r>
    </w:p>
    <w:p w14:paraId="2C0DB71B" w14:textId="23E410D9" w:rsidR="00712B16" w:rsidRPr="00293659" w:rsidRDefault="00E1047E" w:rsidP="00712B16">
      <w:pPr>
        <w:pStyle w:val="4"/>
      </w:pPr>
      <w:r w:rsidRPr="00293659">
        <w:rPr>
          <w:rFonts w:hint="eastAsia"/>
        </w:rPr>
        <w:t>媒體於1</w:t>
      </w:r>
      <w:r w:rsidRPr="00293659">
        <w:t>11</w:t>
      </w:r>
      <w:r w:rsidRPr="00293659">
        <w:rPr>
          <w:rFonts w:hint="eastAsia"/>
        </w:rPr>
        <w:t>年1</w:t>
      </w:r>
      <w:r w:rsidRPr="00293659">
        <w:t>1</w:t>
      </w:r>
      <w:r w:rsidRPr="00293659">
        <w:rPr>
          <w:rFonts w:hint="eastAsia"/>
        </w:rPr>
        <w:t>月底報導</w:t>
      </w:r>
      <w:r w:rsidRPr="00293659">
        <w:t>中科院不思提升國防科技水準卻在人事上大動手腳，多位超過65歳退休年齡的高階主管順利回聘，領了退休俸又同時爽領10多萬月薪，讓中科院淪「肥貓」院，還連帶衍生更嚴重的問題，就是讓內部升遷受阻，數百科技骨幹人才求去，技術斷層恐成國安新危機等</w:t>
      </w:r>
      <w:r w:rsidRPr="00293659">
        <w:rPr>
          <w:rFonts w:hint="eastAsia"/>
        </w:rPr>
        <w:t>負面報導內容後，中科院</w:t>
      </w:r>
      <w:r w:rsidRPr="00293659">
        <w:t>高齡回任</w:t>
      </w:r>
      <w:r w:rsidRPr="00293659">
        <w:rPr>
          <w:rFonts w:hint="eastAsia"/>
        </w:rPr>
        <w:t>人員中，徐</w:t>
      </w:r>
      <w:r w:rsidR="00800EF3" w:rsidRPr="00293659">
        <w:rPr>
          <w:rFonts w:hAnsi="標楷體" w:hint="eastAsia"/>
        </w:rPr>
        <w:t>○○</w:t>
      </w:r>
      <w:r w:rsidRPr="00293659">
        <w:rPr>
          <w:rFonts w:hint="eastAsia"/>
        </w:rPr>
        <w:t>副院長即自111年12月8日卸任副院長職務、工程處黃</w:t>
      </w:r>
      <w:r w:rsidR="00800EF3" w:rsidRPr="00293659">
        <w:rPr>
          <w:rFonts w:hAnsi="標楷體" w:hint="eastAsia"/>
        </w:rPr>
        <w:t>○○</w:t>
      </w:r>
      <w:r w:rsidRPr="00293659">
        <w:rPr>
          <w:rFonts w:hint="eastAsia"/>
        </w:rPr>
        <w:t>處長於1</w:t>
      </w:r>
      <w:r w:rsidRPr="00293659">
        <w:t>12</w:t>
      </w:r>
      <w:r w:rsidRPr="00293659">
        <w:rPr>
          <w:rFonts w:hint="eastAsia"/>
        </w:rPr>
        <w:t>年2月1日卸任處長職務，轉任</w:t>
      </w:r>
      <w:r w:rsidR="00576086" w:rsidRPr="00293659">
        <w:rPr>
          <w:rFonts w:hint="eastAsia"/>
        </w:rPr>
        <w:t>系統發展中心(下稱系發中心)</w:t>
      </w:r>
      <w:r w:rsidRPr="00293659">
        <w:rPr>
          <w:rFonts w:hint="eastAsia"/>
        </w:rPr>
        <w:t>測試驗證督導長、人資處齊</w:t>
      </w:r>
      <w:r w:rsidR="00800EF3" w:rsidRPr="00293659">
        <w:rPr>
          <w:rFonts w:hAnsi="標楷體" w:hint="eastAsia"/>
        </w:rPr>
        <w:t>○○</w:t>
      </w:r>
      <w:r w:rsidRPr="00293659">
        <w:rPr>
          <w:rFonts w:hint="eastAsia"/>
        </w:rPr>
        <w:t>處長於1</w:t>
      </w:r>
      <w:r w:rsidRPr="00293659">
        <w:t>12</w:t>
      </w:r>
      <w:r w:rsidRPr="00293659">
        <w:rPr>
          <w:rFonts w:hint="eastAsia"/>
        </w:rPr>
        <w:t>年2月1日卸任處長職務</w:t>
      </w:r>
      <w:r w:rsidR="00325D8F" w:rsidRPr="00293659">
        <w:rPr>
          <w:rFonts w:hint="eastAsia"/>
        </w:rPr>
        <w:t>並</w:t>
      </w:r>
      <w:r w:rsidRPr="00293659">
        <w:rPr>
          <w:rFonts w:hint="eastAsia"/>
        </w:rPr>
        <w:t>即轉任該處於同日新設立之督導長，然已嚴重斲傷中科院形象，且動輒增設非常態之高階職缺予以安置，更難杜因人設事之譏評。</w:t>
      </w:r>
    </w:p>
    <w:p w14:paraId="28380E2A" w14:textId="7CDF1D74" w:rsidR="00712B16" w:rsidRPr="00293659" w:rsidRDefault="00764131" w:rsidP="00712B16">
      <w:pPr>
        <w:pStyle w:val="4"/>
      </w:pPr>
      <w:proofErr w:type="gramStart"/>
      <w:r w:rsidRPr="00293659">
        <w:rPr>
          <w:rFonts w:hint="eastAsia"/>
        </w:rPr>
        <w:t>此外，</w:t>
      </w:r>
      <w:proofErr w:type="gramEnd"/>
      <w:r w:rsidRPr="00293659">
        <w:rPr>
          <w:rFonts w:hint="eastAsia"/>
        </w:rPr>
        <w:t>經抽查後竟發現有個別</w:t>
      </w:r>
      <w:r w:rsidRPr="00293659">
        <w:t>高齡回任</w:t>
      </w:r>
      <w:r w:rsidRPr="00293659">
        <w:rPr>
          <w:rFonts w:hint="eastAsia"/>
        </w:rPr>
        <w:t>者</w:t>
      </w:r>
      <w:proofErr w:type="gramStart"/>
      <w:r w:rsidRPr="00293659">
        <w:rPr>
          <w:rFonts w:hint="eastAsia"/>
        </w:rPr>
        <w:t>之</w:t>
      </w:r>
      <w:r w:rsidRPr="00293659">
        <w:t>議薪</w:t>
      </w:r>
      <w:r w:rsidRPr="00293659">
        <w:rPr>
          <w:rFonts w:hint="eastAsia"/>
        </w:rPr>
        <w:t>結</w:t>
      </w:r>
      <w:proofErr w:type="gramEnd"/>
      <w:r w:rsidRPr="00293659">
        <w:rPr>
          <w:rFonts w:hint="eastAsia"/>
        </w:rPr>
        <w:t>果，</w:t>
      </w:r>
      <w:r w:rsidRPr="00293659">
        <w:t>人資處</w:t>
      </w:r>
      <w:r w:rsidRPr="00293659">
        <w:rPr>
          <w:rFonts w:hint="eastAsia"/>
        </w:rPr>
        <w:t>於簽請院長同意之公文中，雖提及</w:t>
      </w:r>
      <w:r w:rsidRPr="00293659">
        <w:rPr>
          <w:rFonts w:hint="eastAsia"/>
        </w:rPr>
        <w:lastRenderedPageBreak/>
        <w:t>實施計畫中不得超過原薪資之三分之二之規定，</w:t>
      </w:r>
      <w:r w:rsidRPr="005D3B05">
        <w:rPr>
          <w:rFonts w:hint="eastAsia"/>
          <w:color w:val="000000" w:themeColor="text1"/>
        </w:rPr>
        <w:t>然仍</w:t>
      </w:r>
      <w:r w:rsidRPr="00293659">
        <w:rPr>
          <w:rFonts w:hint="eastAsia"/>
        </w:rPr>
        <w:t>以超過其原薪資</w:t>
      </w:r>
      <w:proofErr w:type="gramStart"/>
      <w:r w:rsidRPr="00293659">
        <w:rPr>
          <w:rFonts w:hint="eastAsia"/>
        </w:rPr>
        <w:t>之</w:t>
      </w:r>
      <w:r w:rsidRPr="00293659">
        <w:t>議薪</w:t>
      </w:r>
      <w:r w:rsidRPr="00293659">
        <w:rPr>
          <w:rFonts w:hint="eastAsia"/>
        </w:rPr>
        <w:t>結</w:t>
      </w:r>
      <w:proofErr w:type="gramEnd"/>
      <w:r w:rsidRPr="00293659">
        <w:rPr>
          <w:rFonts w:hint="eastAsia"/>
        </w:rPr>
        <w:t>果簽請院長同意而獲核可之情事，完全罔顧實施計畫中對議定之薪資不得超過原薪資之三分之二之情事。</w:t>
      </w:r>
    </w:p>
    <w:p w14:paraId="24EC970C" w14:textId="7B3480A4" w:rsidR="00E1047E" w:rsidRPr="00293659" w:rsidRDefault="00E1047E" w:rsidP="00712B16">
      <w:pPr>
        <w:pStyle w:val="4"/>
      </w:pPr>
      <w:r w:rsidRPr="00293659">
        <w:rPr>
          <w:rFonts w:hint="eastAsia"/>
        </w:rPr>
        <w:t>中科院與</w:t>
      </w:r>
      <w:proofErr w:type="gramStart"/>
      <w:r w:rsidRPr="00293659">
        <w:t>人資處</w:t>
      </w:r>
      <w:r w:rsidRPr="00293659">
        <w:rPr>
          <w:rFonts w:hint="eastAsia"/>
        </w:rPr>
        <w:t>明顯</w:t>
      </w:r>
      <w:proofErr w:type="gramEnd"/>
      <w:r w:rsidRPr="00293659">
        <w:rPr>
          <w:rFonts w:hint="eastAsia"/>
        </w:rPr>
        <w:t>違反進用</w:t>
      </w:r>
      <w:r w:rsidRPr="00293659">
        <w:t>高齡回任</w:t>
      </w:r>
      <w:r w:rsidR="00E219B0" w:rsidRPr="00293659">
        <w:rPr>
          <w:rFonts w:hint="eastAsia"/>
        </w:rPr>
        <w:t>計畫中相關規定，其</w:t>
      </w:r>
      <w:r w:rsidRPr="00293659">
        <w:rPr>
          <w:rFonts w:hint="eastAsia"/>
        </w:rPr>
        <w:t>作為</w:t>
      </w:r>
      <w:r w:rsidR="00E219B0" w:rsidRPr="00293659">
        <w:rPr>
          <w:rFonts w:hint="eastAsia"/>
        </w:rPr>
        <w:t>顯有違失</w:t>
      </w:r>
      <w:r w:rsidRPr="00293659">
        <w:rPr>
          <w:rFonts w:hint="eastAsia"/>
        </w:rPr>
        <w:t>，斷難以契約自由或並未違反法律等語卸責，顯未正確運用</w:t>
      </w:r>
      <w:r w:rsidRPr="00293659">
        <w:t>行政法人具有人事管理自主的特性</w:t>
      </w:r>
      <w:r w:rsidRPr="00293659">
        <w:rPr>
          <w:rFonts w:hint="eastAsia"/>
        </w:rPr>
        <w:t>，獨厚特定個案而</w:t>
      </w:r>
      <w:proofErr w:type="gramStart"/>
      <w:r w:rsidRPr="00293659">
        <w:rPr>
          <w:rFonts w:hint="eastAsia"/>
        </w:rPr>
        <w:t>破壞議薪制</w:t>
      </w:r>
      <w:proofErr w:type="gramEnd"/>
      <w:r w:rsidRPr="00293659">
        <w:rPr>
          <w:rFonts w:hint="eastAsia"/>
        </w:rPr>
        <w:t>度原有之上限規定，亟需深切檢討。</w:t>
      </w:r>
      <w:bookmarkEnd w:id="79"/>
      <w:bookmarkEnd w:id="80"/>
      <w:bookmarkEnd w:id="81"/>
      <w:bookmarkEnd w:id="82"/>
      <w:bookmarkEnd w:id="83"/>
    </w:p>
    <w:p w14:paraId="236B5E95" w14:textId="35C7C501" w:rsidR="00E1047E" w:rsidRDefault="00E1047E" w:rsidP="00E1047E">
      <w:pPr>
        <w:pStyle w:val="2"/>
        <w:numPr>
          <w:ilvl w:val="2"/>
          <w:numId w:val="1"/>
        </w:numPr>
        <w:ind w:left="1360" w:hanging="680"/>
        <w:rPr>
          <w:rFonts w:hAnsi="標楷體"/>
        </w:rPr>
      </w:pPr>
      <w:bookmarkStart w:id="85" w:name="_Toc143243827"/>
      <w:bookmarkStart w:id="86" w:name="_Toc143262184"/>
      <w:bookmarkStart w:id="87" w:name="_Toc143263069"/>
      <w:bookmarkStart w:id="88" w:name="_Toc143424281"/>
      <w:bookmarkStart w:id="89" w:name="_Toc144140097"/>
      <w:bookmarkStart w:id="90" w:name="_Toc144211207"/>
      <w:bookmarkStart w:id="91" w:name="_Toc145510469"/>
      <w:r w:rsidRPr="00293659">
        <w:rPr>
          <w:rFonts w:hAnsi="標楷體"/>
          <w:szCs w:val="32"/>
        </w:rPr>
        <w:t>中科院</w:t>
      </w:r>
      <w:r w:rsidRPr="00293659">
        <w:rPr>
          <w:rFonts w:hAnsi="標楷體" w:hint="eastAsia"/>
          <w:szCs w:val="32"/>
        </w:rPr>
        <w:t>為因應</w:t>
      </w:r>
      <w:r w:rsidRPr="00293659">
        <w:rPr>
          <w:rFonts w:hAnsi="標楷體"/>
          <w:szCs w:val="32"/>
        </w:rPr>
        <w:t>營運急速擴張與各項重大任務</w:t>
      </w:r>
      <w:r w:rsidRPr="00293659">
        <w:rPr>
          <w:rFonts w:hAnsi="標楷體" w:hint="eastAsia"/>
          <w:szCs w:val="32"/>
        </w:rPr>
        <w:t>推展</w:t>
      </w:r>
      <w:r w:rsidRPr="00293659">
        <w:rPr>
          <w:rFonts w:hAnsi="標楷體"/>
          <w:szCs w:val="32"/>
        </w:rPr>
        <w:t>，</w:t>
      </w:r>
      <w:r w:rsidRPr="00293659">
        <w:rPr>
          <w:rFonts w:hAnsi="標楷體" w:hint="eastAsia"/>
          <w:szCs w:val="32"/>
        </w:rPr>
        <w:t>須以</w:t>
      </w:r>
      <w:r w:rsidRPr="00293659">
        <w:rPr>
          <w:rFonts w:hAnsi="標楷體"/>
          <w:szCs w:val="32"/>
        </w:rPr>
        <w:t>熟練人力即時</w:t>
      </w:r>
      <w:r w:rsidRPr="00293659">
        <w:rPr>
          <w:rFonts w:hAnsi="標楷體" w:hint="eastAsia"/>
          <w:szCs w:val="32"/>
        </w:rPr>
        <w:t>投入工作，同時藉經驗傳承深化人才培育等</w:t>
      </w:r>
      <w:r w:rsidRPr="00293659">
        <w:rPr>
          <w:rFonts w:hAnsi="標楷體"/>
          <w:szCs w:val="32"/>
        </w:rPr>
        <w:t>需要</w:t>
      </w:r>
      <w:r w:rsidRPr="00293659">
        <w:rPr>
          <w:rFonts w:hAnsi="標楷體" w:hint="eastAsia"/>
          <w:szCs w:val="32"/>
        </w:rPr>
        <w:t>，</w:t>
      </w:r>
      <w:proofErr w:type="gramStart"/>
      <w:r w:rsidRPr="00293659">
        <w:rPr>
          <w:rFonts w:hAnsi="標楷體" w:hint="eastAsia"/>
          <w:szCs w:val="32"/>
        </w:rPr>
        <w:t>爰訂定</w:t>
      </w:r>
      <w:r w:rsidRPr="00293659">
        <w:rPr>
          <w:rFonts w:hAnsi="標楷體"/>
          <w:szCs w:val="32"/>
        </w:rPr>
        <w:t>進</w:t>
      </w:r>
      <w:proofErr w:type="gramEnd"/>
      <w:r w:rsidRPr="00293659">
        <w:rPr>
          <w:rFonts w:hAnsi="標楷體"/>
          <w:szCs w:val="32"/>
        </w:rPr>
        <w:t>用高齡人員實施計畫</w:t>
      </w:r>
      <w:r w:rsidRPr="00293659">
        <w:rPr>
          <w:rFonts w:hAnsi="標楷體" w:hint="eastAsia"/>
        </w:rPr>
        <w:t>，以曾</w:t>
      </w:r>
      <w:r w:rsidRPr="00293659">
        <w:rPr>
          <w:rFonts w:hAnsi="標楷體"/>
        </w:rPr>
        <w:t>在</w:t>
      </w:r>
      <w:r w:rsidRPr="00293659">
        <w:rPr>
          <w:rFonts w:hAnsi="標楷體" w:hint="eastAsia"/>
        </w:rPr>
        <w:t>該</w:t>
      </w:r>
      <w:r w:rsidRPr="00293659">
        <w:rPr>
          <w:rFonts w:hAnsi="標楷體"/>
        </w:rPr>
        <w:t>院</w:t>
      </w:r>
      <w:r w:rsidRPr="00293659">
        <w:rPr>
          <w:rFonts w:hAnsi="標楷體" w:hint="eastAsia"/>
        </w:rPr>
        <w:t>服務</w:t>
      </w:r>
      <w:r w:rsidRPr="00293659">
        <w:rPr>
          <w:rFonts w:hAnsi="標楷體"/>
        </w:rPr>
        <w:t>期間已核定為從事及參與機敏專案之</w:t>
      </w:r>
      <w:proofErr w:type="gramStart"/>
      <w:r w:rsidRPr="00293659">
        <w:rPr>
          <w:rFonts w:hAnsi="標楷體"/>
        </w:rPr>
        <w:t>涉密</w:t>
      </w:r>
      <w:proofErr w:type="gramEnd"/>
      <w:r w:rsidRPr="00293659">
        <w:rPr>
          <w:rFonts w:hAnsi="標楷體"/>
        </w:rPr>
        <w:t>工項，或具有關鍵、高工藝、外部勞動市場稀少、短期內無法取得之專業技術者為聘任對象</w:t>
      </w:r>
      <w:r w:rsidRPr="00293659">
        <w:rPr>
          <w:rFonts w:hAnsi="標楷體" w:hint="eastAsia"/>
        </w:rPr>
        <w:t>，其立意良善；然中科院依據上</w:t>
      </w:r>
      <w:r w:rsidR="009A7885" w:rsidRPr="00293659">
        <w:rPr>
          <w:rFonts w:hAnsi="標楷體" w:hint="eastAsia"/>
        </w:rPr>
        <w:t>述</w:t>
      </w:r>
      <w:r w:rsidRPr="00293659">
        <w:rPr>
          <w:rFonts w:hAnsi="標楷體" w:hint="eastAsia"/>
        </w:rPr>
        <w:t>實施計畫以高齡定期契約方式進用該院之退休人員中，一再有個案打破為</w:t>
      </w:r>
      <w:r w:rsidRPr="00293659">
        <w:rPr>
          <w:rFonts w:hAnsi="標楷體"/>
        </w:rPr>
        <w:t>避免排擠現職人員升遷</w:t>
      </w:r>
      <w:r w:rsidRPr="00293659">
        <w:rPr>
          <w:rFonts w:hAnsi="標楷體" w:hint="eastAsia"/>
        </w:rPr>
        <w:t>所訂定之</w:t>
      </w:r>
      <w:r w:rsidRPr="00293659">
        <w:rPr>
          <w:rFonts w:hAnsi="標楷體"/>
        </w:rPr>
        <w:t>高齡回任</w:t>
      </w:r>
      <w:r w:rsidRPr="00293659">
        <w:rPr>
          <w:rFonts w:hAnsi="標楷體" w:hint="eastAsia"/>
        </w:rPr>
        <w:t>者以不擔任主管職之原則，縱均業經簽奉該院院長核定，勢已嚴重打擊</w:t>
      </w:r>
      <w:r w:rsidRPr="00293659">
        <w:rPr>
          <w:rFonts w:hAnsi="標楷體"/>
        </w:rPr>
        <w:t>現職人員</w:t>
      </w:r>
      <w:r w:rsidRPr="00293659">
        <w:rPr>
          <w:rFonts w:hAnsi="標楷體" w:hint="eastAsia"/>
        </w:rPr>
        <w:t>工作士氣；復依上</w:t>
      </w:r>
      <w:r w:rsidR="009A7885" w:rsidRPr="00293659">
        <w:rPr>
          <w:rFonts w:hAnsi="標楷體" w:hint="eastAsia"/>
        </w:rPr>
        <w:t>述</w:t>
      </w:r>
      <w:r w:rsidRPr="00293659">
        <w:rPr>
          <w:rFonts w:hAnsi="標楷體" w:hint="eastAsia"/>
        </w:rPr>
        <w:t>實施計畫，</w:t>
      </w:r>
      <w:r w:rsidRPr="00293659">
        <w:rPr>
          <w:rFonts w:hAnsi="標楷體"/>
        </w:rPr>
        <w:t>高齡回任</w:t>
      </w:r>
      <w:r w:rsidRPr="00293659">
        <w:rPr>
          <w:rFonts w:hAnsi="標楷體" w:hint="eastAsia"/>
        </w:rPr>
        <w:t>者若欲續約須依契約內容交付工作成果報告，並經一級單位審核通過，</w:t>
      </w:r>
      <w:proofErr w:type="gramStart"/>
      <w:r w:rsidRPr="00293659">
        <w:rPr>
          <w:rFonts w:hAnsi="標楷體" w:hint="eastAsia"/>
        </w:rPr>
        <w:t>送人資處審查</w:t>
      </w:r>
      <w:proofErr w:type="gramEnd"/>
      <w:r w:rsidRPr="00293659">
        <w:rPr>
          <w:rFonts w:hAnsi="標楷體" w:hint="eastAsia"/>
        </w:rPr>
        <w:t>，然由渠等或擔任一級單位主管，或擔任</w:t>
      </w:r>
      <w:proofErr w:type="gramStart"/>
      <w:r w:rsidRPr="00293659">
        <w:rPr>
          <w:rFonts w:hAnsi="標楷體" w:hint="eastAsia"/>
        </w:rPr>
        <w:t>人資處處</w:t>
      </w:r>
      <w:proofErr w:type="gramEnd"/>
      <w:r w:rsidRPr="00293659">
        <w:rPr>
          <w:rFonts w:hAnsi="標楷體" w:hint="eastAsia"/>
        </w:rPr>
        <w:t>長，形同自己審核（查）己身之工作成果報告，顯有未當，難杜外界之質疑，相關</w:t>
      </w:r>
      <w:r w:rsidRPr="00293659">
        <w:rPr>
          <w:rFonts w:hAnsi="標楷體"/>
        </w:rPr>
        <w:t>高齡回任</w:t>
      </w:r>
      <w:r w:rsidRPr="00293659">
        <w:rPr>
          <w:rFonts w:hAnsi="標楷體" w:hint="eastAsia"/>
        </w:rPr>
        <w:t>人員雖於媒體揭露後已分別卸任主管職務，</w:t>
      </w:r>
      <w:proofErr w:type="gramStart"/>
      <w:r w:rsidRPr="00293659">
        <w:rPr>
          <w:rFonts w:hAnsi="標楷體" w:hint="eastAsia"/>
        </w:rPr>
        <w:t>然實</w:t>
      </w:r>
      <w:proofErr w:type="gramEnd"/>
      <w:r w:rsidRPr="00293659">
        <w:rPr>
          <w:rFonts w:hAnsi="標楷體" w:hint="eastAsia"/>
        </w:rPr>
        <w:t>已嚴重斲傷中科院形象，且動輒增設非常態之高階職缺，亦難杜因人設事之譏評。</w:t>
      </w:r>
      <w:proofErr w:type="gramStart"/>
      <w:r w:rsidRPr="00293659">
        <w:rPr>
          <w:rFonts w:hAnsi="標楷體" w:hint="eastAsia"/>
        </w:rPr>
        <w:t>此外，經查竟</w:t>
      </w:r>
      <w:proofErr w:type="gramEnd"/>
      <w:r w:rsidRPr="00293659">
        <w:rPr>
          <w:rFonts w:hAnsi="標楷體" w:hint="eastAsia"/>
        </w:rPr>
        <w:t>有個別</w:t>
      </w:r>
      <w:r w:rsidRPr="00293659">
        <w:rPr>
          <w:rFonts w:hAnsi="標楷體"/>
        </w:rPr>
        <w:t>高齡回任</w:t>
      </w:r>
      <w:r w:rsidRPr="00293659">
        <w:rPr>
          <w:rFonts w:hAnsi="標楷體" w:hint="eastAsia"/>
        </w:rPr>
        <w:t>者</w:t>
      </w:r>
      <w:proofErr w:type="gramStart"/>
      <w:r w:rsidRPr="00293659">
        <w:rPr>
          <w:rFonts w:hAnsi="標楷體" w:hint="eastAsia"/>
        </w:rPr>
        <w:t>之</w:t>
      </w:r>
      <w:r w:rsidRPr="00293659">
        <w:rPr>
          <w:rFonts w:hAnsi="標楷體"/>
        </w:rPr>
        <w:t>議薪</w:t>
      </w:r>
      <w:r w:rsidRPr="00293659">
        <w:rPr>
          <w:rFonts w:hAnsi="標楷體" w:hint="eastAsia"/>
        </w:rPr>
        <w:t>結</w:t>
      </w:r>
      <w:proofErr w:type="gramEnd"/>
      <w:r w:rsidRPr="00293659">
        <w:rPr>
          <w:rFonts w:hAnsi="標楷體" w:hint="eastAsia"/>
        </w:rPr>
        <w:t>果，逾越原薪資之三分之二之上限規定，完全罔顧上</w:t>
      </w:r>
      <w:r w:rsidR="009A7885" w:rsidRPr="00293659">
        <w:rPr>
          <w:rFonts w:hAnsi="標楷體" w:hint="eastAsia"/>
        </w:rPr>
        <w:t>述</w:t>
      </w:r>
      <w:r w:rsidRPr="00293659">
        <w:rPr>
          <w:rFonts w:hAnsi="標楷體" w:hint="eastAsia"/>
        </w:rPr>
        <w:t>實施計畫之內部規定，斷難以</w:t>
      </w:r>
      <w:r w:rsidRPr="00293659">
        <w:rPr>
          <w:rFonts w:hAnsi="標楷體"/>
        </w:rPr>
        <w:t>回任一級</w:t>
      </w:r>
      <w:r w:rsidRPr="00293659">
        <w:rPr>
          <w:rFonts w:hAnsi="標楷體"/>
        </w:rPr>
        <w:lastRenderedPageBreak/>
        <w:t>副主管以上高階管理職，係襄助院長推動計畫整合及管理革新等艱鉅事務，候選人員由</w:t>
      </w:r>
      <w:proofErr w:type="gramStart"/>
      <w:r w:rsidRPr="00293659">
        <w:rPr>
          <w:rFonts w:hAnsi="標楷體"/>
        </w:rPr>
        <w:t>人資處建</w:t>
      </w:r>
      <w:proofErr w:type="gramEnd"/>
      <w:r w:rsidRPr="00293659">
        <w:rPr>
          <w:rFonts w:hAnsi="標楷體"/>
        </w:rPr>
        <w:t>議，以個案方式</w:t>
      </w:r>
      <w:proofErr w:type="gramStart"/>
      <w:r w:rsidRPr="00293659">
        <w:rPr>
          <w:rFonts w:hAnsi="標楷體"/>
        </w:rPr>
        <w:t>檢討議薪</w:t>
      </w:r>
      <w:proofErr w:type="gramEnd"/>
      <w:r w:rsidRPr="00293659">
        <w:rPr>
          <w:rFonts w:hAnsi="標楷體" w:hint="eastAsia"/>
        </w:rPr>
        <w:t>等語卸責，核中科院未悉依上</w:t>
      </w:r>
      <w:r w:rsidR="009A7885" w:rsidRPr="00293659">
        <w:rPr>
          <w:rFonts w:hAnsi="標楷體" w:hint="eastAsia"/>
        </w:rPr>
        <w:t>述</w:t>
      </w:r>
      <w:r w:rsidRPr="00293659">
        <w:rPr>
          <w:rFonts w:hAnsi="標楷體" w:hint="eastAsia"/>
        </w:rPr>
        <w:t>實施計畫辦理退休同仁</w:t>
      </w:r>
      <w:r w:rsidRPr="00293659">
        <w:rPr>
          <w:rFonts w:hAnsi="標楷體"/>
        </w:rPr>
        <w:t>回任</w:t>
      </w:r>
      <w:r w:rsidRPr="00293659">
        <w:rPr>
          <w:rFonts w:hAnsi="標楷體" w:hint="eastAsia"/>
        </w:rPr>
        <w:t>相關作為，顯非正辦，已有不當濫用人事制度彈性、獨厚特定人之嫌。國防部為中科院之監督機關，</w:t>
      </w:r>
      <w:r w:rsidR="005B2E1C" w:rsidRPr="00293659">
        <w:rPr>
          <w:rFonts w:hAnsi="標楷體" w:hint="eastAsia"/>
        </w:rPr>
        <w:t>未能積極監督該院落實</w:t>
      </w:r>
      <w:r w:rsidR="005B2E1C" w:rsidRPr="00293659">
        <w:rPr>
          <w:rFonts w:hAnsi="標楷體"/>
          <w:szCs w:val="32"/>
        </w:rPr>
        <w:t>進用高齡人員實施計畫</w:t>
      </w:r>
      <w:r w:rsidR="005B2E1C" w:rsidRPr="00293659">
        <w:rPr>
          <w:rFonts w:hAnsi="標楷體" w:hint="eastAsia"/>
        </w:rPr>
        <w:t>辦理人事相關事務，</w:t>
      </w:r>
      <w:proofErr w:type="gramStart"/>
      <w:r w:rsidR="005B2E1C" w:rsidRPr="00293659">
        <w:rPr>
          <w:rFonts w:hAnsi="標楷體" w:hint="eastAsia"/>
        </w:rPr>
        <w:t>以維該院</w:t>
      </w:r>
      <w:proofErr w:type="gramEnd"/>
      <w:r w:rsidR="005B2E1C" w:rsidRPr="00293659">
        <w:rPr>
          <w:rFonts w:hAnsi="標楷體" w:hint="eastAsia"/>
        </w:rPr>
        <w:t>正面形象與激勵</w:t>
      </w:r>
      <w:r w:rsidR="005B2E1C" w:rsidRPr="00293659">
        <w:rPr>
          <w:rFonts w:hAnsi="標楷體"/>
        </w:rPr>
        <w:t>現職人員</w:t>
      </w:r>
      <w:r w:rsidR="005B2E1C" w:rsidRPr="00293659">
        <w:rPr>
          <w:rFonts w:hAnsi="標楷體" w:hint="eastAsia"/>
        </w:rPr>
        <w:t>之工作士氣，核有怠失。</w:t>
      </w:r>
      <w:bookmarkEnd w:id="85"/>
      <w:bookmarkEnd w:id="86"/>
      <w:bookmarkEnd w:id="87"/>
      <w:bookmarkEnd w:id="88"/>
      <w:bookmarkEnd w:id="89"/>
      <w:bookmarkEnd w:id="90"/>
      <w:bookmarkEnd w:id="91"/>
    </w:p>
    <w:p w14:paraId="4BDD92B3" w14:textId="77777777" w:rsidR="00591894" w:rsidRPr="00293659" w:rsidRDefault="00591894" w:rsidP="00591894"/>
    <w:p w14:paraId="64998B6E" w14:textId="6660F532" w:rsidR="00E1047E" w:rsidRPr="00293659" w:rsidRDefault="00E1047E" w:rsidP="00E1047E">
      <w:pPr>
        <w:pStyle w:val="2"/>
        <w:widowControl/>
        <w:numPr>
          <w:ilvl w:val="1"/>
          <w:numId w:val="1"/>
        </w:numPr>
        <w:overflowPunct/>
        <w:autoSpaceDE/>
        <w:autoSpaceDN/>
        <w:rPr>
          <w:rFonts w:hAnsi="標楷體"/>
          <w:b/>
        </w:rPr>
      </w:pPr>
      <w:bookmarkStart w:id="92" w:name="_Toc143262185"/>
      <w:bookmarkStart w:id="93" w:name="_Toc145510470"/>
      <w:bookmarkEnd w:id="84"/>
      <w:r w:rsidRPr="00293659">
        <w:rPr>
          <w:rFonts w:hAnsi="標楷體" w:hint="eastAsia"/>
          <w:b/>
        </w:rPr>
        <w:t>中科院主要業務包括國防科技與主要武器裝備以及軍民通用科技之研究發展、生產製造及銷售等，並配合國防部重大演訓及戰備急需之事項，同時培育國防科技人才，為我國國防軍事領域最重要之行政法人，其需仰賴各相關專業領域之充沛人才，</w:t>
      </w:r>
      <w:proofErr w:type="gramStart"/>
      <w:r w:rsidRPr="00293659">
        <w:rPr>
          <w:rFonts w:hAnsi="標楷體" w:hint="eastAsia"/>
          <w:b/>
        </w:rPr>
        <w:t>俾</w:t>
      </w:r>
      <w:proofErr w:type="gramEnd"/>
      <w:r w:rsidRPr="00293659">
        <w:rPr>
          <w:rFonts w:hAnsi="標楷體" w:hint="eastAsia"/>
          <w:b/>
        </w:rPr>
        <w:t>利達成提升我國國防科技能力，建立自主國防工業，拓展國防及軍民通用技術之目標。中科院</w:t>
      </w:r>
      <w:r w:rsidRPr="00293659">
        <w:rPr>
          <w:rFonts w:hAnsi="標楷體" w:cs="標楷體" w:hint="eastAsia"/>
          <w:b/>
          <w:kern w:val="0"/>
          <w:szCs w:val="32"/>
          <w:lang w:val="zh-TW"/>
        </w:rPr>
        <w:t>目前</w:t>
      </w:r>
      <w:r w:rsidRPr="00293659">
        <w:rPr>
          <w:rFonts w:hAnsi="標楷體" w:cs="Arial" w:hint="eastAsia"/>
          <w:b/>
        </w:rPr>
        <w:t>6</w:t>
      </w:r>
      <w:r w:rsidRPr="00293659">
        <w:rPr>
          <w:rFonts w:hAnsi="標楷體" w:cs="Arial"/>
          <w:b/>
        </w:rPr>
        <w:t>0</w:t>
      </w:r>
      <w:r w:rsidRPr="00293659">
        <w:rPr>
          <w:rFonts w:hAnsi="標楷體" w:cs="Arial" w:hint="eastAsia"/>
          <w:b/>
        </w:rPr>
        <w:t>歲以上、將於</w:t>
      </w:r>
      <w:r w:rsidRPr="00293659">
        <w:rPr>
          <w:rFonts w:hAnsi="標楷體" w:cs="Calibri" w:hint="eastAsia"/>
          <w:b/>
          <w:kern w:val="0"/>
        </w:rPr>
        <w:t>5年內陸續退休</w:t>
      </w:r>
      <w:r w:rsidRPr="00293659">
        <w:rPr>
          <w:rFonts w:hAnsi="標楷體" w:cs="Arial" w:hint="eastAsia"/>
          <w:b/>
        </w:rPr>
        <w:t>人員已達</w:t>
      </w:r>
      <w:r w:rsidRPr="00293659">
        <w:rPr>
          <w:rFonts w:hAnsi="標楷體" w:cs="Calibri" w:hint="eastAsia"/>
          <w:b/>
          <w:kern w:val="0"/>
        </w:rPr>
        <w:t>1,693人</w:t>
      </w:r>
      <w:r w:rsidRPr="00293659">
        <w:rPr>
          <w:rFonts w:hAnsi="標楷體" w:cs="Arial" w:hint="eastAsia"/>
          <w:b/>
        </w:rPr>
        <w:t>、占</w:t>
      </w:r>
      <w:r w:rsidRPr="00293659">
        <w:rPr>
          <w:rFonts w:hAnsi="標楷體" w:cs="Calibri" w:hint="eastAsia"/>
          <w:b/>
          <w:kern w:val="0"/>
        </w:rPr>
        <w:t>14.89%，若未能適時補充其</w:t>
      </w:r>
      <w:r w:rsidRPr="00293659">
        <w:rPr>
          <w:rFonts w:hAnsi="標楷體" w:hint="eastAsia"/>
          <w:b/>
        </w:rPr>
        <w:t>研發產製等核心從業人力，恐不利其業務推展與完成目標與任務，且該院雖為行政法人，可比一般公務機關具有更大的</w:t>
      </w:r>
      <w:r w:rsidRPr="00293659">
        <w:rPr>
          <w:rFonts w:hAnsi="標楷體"/>
          <w:b/>
        </w:rPr>
        <w:t>人事管理自主</w:t>
      </w:r>
      <w:r w:rsidRPr="00293659">
        <w:rPr>
          <w:rFonts w:hAnsi="標楷體" w:hint="eastAsia"/>
          <w:b/>
        </w:rPr>
        <w:t>彈性，然仍面臨</w:t>
      </w:r>
      <w:r w:rsidR="00B55BAF" w:rsidRPr="00764131">
        <w:rPr>
          <w:rFonts w:hAnsi="標楷體" w:hint="eastAsia"/>
          <w:b/>
          <w:color w:val="000000" w:themeColor="text1"/>
        </w:rPr>
        <w:t>較</w:t>
      </w:r>
      <w:r w:rsidR="00B55BAF" w:rsidRPr="00764131">
        <w:rPr>
          <w:rFonts w:hAnsi="標楷體" w:cs="標楷體" w:hint="eastAsia"/>
          <w:b/>
          <w:color w:val="000000" w:themeColor="text1"/>
          <w:kern w:val="0"/>
          <w:szCs w:val="32"/>
          <w:lang w:val="zh-TW"/>
        </w:rPr>
        <w:t>難</w:t>
      </w:r>
      <w:r w:rsidRPr="00764131">
        <w:rPr>
          <w:rFonts w:hAnsi="標楷體" w:cs="標楷體" w:hint="eastAsia"/>
          <w:b/>
          <w:color w:val="000000" w:themeColor="text1"/>
          <w:kern w:val="0"/>
          <w:szCs w:val="32"/>
          <w:lang w:val="zh-TW"/>
        </w:rPr>
        <w:t>招募</w:t>
      </w:r>
      <w:r w:rsidRPr="00764131">
        <w:rPr>
          <w:rFonts w:hAnsi="標楷體" w:hint="eastAsia"/>
          <w:b/>
          <w:color w:val="000000" w:themeColor="text1"/>
          <w:szCs w:val="32"/>
        </w:rPr>
        <w:t>火工作業等特殊專業</w:t>
      </w:r>
      <w:r w:rsidRPr="00764131">
        <w:rPr>
          <w:rFonts w:hAnsi="標楷體" w:cs="標楷體" w:hint="eastAsia"/>
          <w:b/>
          <w:color w:val="000000" w:themeColor="text1"/>
          <w:kern w:val="0"/>
          <w:szCs w:val="32"/>
          <w:lang w:val="zh-TW"/>
        </w:rPr>
        <w:t>與</w:t>
      </w:r>
      <w:r w:rsidRPr="00764131">
        <w:rPr>
          <w:rFonts w:hAnsi="標楷體" w:hint="eastAsia"/>
          <w:b/>
          <w:color w:val="000000" w:themeColor="text1"/>
          <w:szCs w:val="32"/>
        </w:rPr>
        <w:t>資訊安全等人力</w:t>
      </w:r>
      <w:proofErr w:type="gramStart"/>
      <w:r w:rsidRPr="00764131">
        <w:rPr>
          <w:rFonts w:hAnsi="標楷體" w:hint="eastAsia"/>
          <w:b/>
          <w:color w:val="000000" w:themeColor="text1"/>
          <w:szCs w:val="32"/>
        </w:rPr>
        <w:t>市場稀缺</w:t>
      </w:r>
      <w:r w:rsidRPr="00764131">
        <w:rPr>
          <w:rFonts w:hAnsi="標楷體" w:cs="標楷體" w:hint="eastAsia"/>
          <w:b/>
          <w:color w:val="000000" w:themeColor="text1"/>
          <w:kern w:val="0"/>
          <w:szCs w:val="32"/>
          <w:lang w:val="zh-TW"/>
        </w:rPr>
        <w:t>等</w:t>
      </w:r>
      <w:proofErr w:type="gramEnd"/>
      <w:r w:rsidRPr="00764131">
        <w:rPr>
          <w:rFonts w:hAnsi="標楷體" w:cs="標楷體" w:hint="eastAsia"/>
          <w:b/>
          <w:color w:val="000000" w:themeColor="text1"/>
          <w:kern w:val="0"/>
          <w:szCs w:val="32"/>
          <w:lang w:val="zh-TW"/>
        </w:rPr>
        <w:t>領域人力之</w:t>
      </w:r>
      <w:r w:rsidR="00B55BAF" w:rsidRPr="00764131">
        <w:rPr>
          <w:rFonts w:hAnsi="標楷體" w:cs="標楷體" w:hint="eastAsia"/>
          <w:b/>
          <w:color w:val="000000" w:themeColor="text1"/>
          <w:kern w:val="0"/>
          <w:szCs w:val="32"/>
          <w:lang w:val="zh-TW"/>
        </w:rPr>
        <w:t>困境</w:t>
      </w:r>
      <w:r w:rsidRPr="00764131">
        <w:rPr>
          <w:rFonts w:hAnsi="標楷體" w:cs="Calibri" w:hint="eastAsia"/>
          <w:b/>
          <w:color w:val="000000" w:themeColor="text1"/>
          <w:kern w:val="0"/>
        </w:rPr>
        <w:t>。</w:t>
      </w:r>
      <w:r w:rsidRPr="00293659">
        <w:rPr>
          <w:rFonts w:hAnsi="標楷體" w:hint="eastAsia"/>
          <w:b/>
        </w:rPr>
        <w:t>國防部允應督導中科院，針對現職人力資源進行盤點以及預估未來需求與缺口，持續以更積極態度，以</w:t>
      </w:r>
      <w:r w:rsidR="002F3D08" w:rsidRPr="00293659">
        <w:rPr>
          <w:rFonts w:hAnsi="標楷體" w:hint="eastAsia"/>
          <w:b/>
        </w:rPr>
        <w:t>公平、公正、公開、透明</w:t>
      </w:r>
      <w:r w:rsidRPr="00293659">
        <w:rPr>
          <w:rFonts w:hAnsi="標楷體" w:hint="eastAsia"/>
          <w:b/>
        </w:rPr>
        <w:t>方式適時招攬與遴選所需之各專業人才，以避免該</w:t>
      </w:r>
      <w:r w:rsidRPr="00293659">
        <w:rPr>
          <w:rFonts w:hAnsi="標楷體" w:hint="eastAsia"/>
          <w:b/>
          <w:szCs w:val="32"/>
        </w:rPr>
        <w:t>院</w:t>
      </w:r>
      <w:r w:rsidRPr="00293659">
        <w:rPr>
          <w:rFonts w:hAnsi="標楷體" w:cs="Calibri" w:hint="eastAsia"/>
          <w:b/>
          <w:kern w:val="0"/>
          <w:szCs w:val="32"/>
        </w:rPr>
        <w:t>研發與生產技術等</w:t>
      </w:r>
      <w:r w:rsidRPr="00293659">
        <w:rPr>
          <w:rFonts w:hAnsi="標楷體" w:hint="eastAsia"/>
          <w:b/>
          <w:szCs w:val="32"/>
        </w:rPr>
        <w:t>核心從</w:t>
      </w:r>
      <w:r w:rsidRPr="00293659">
        <w:rPr>
          <w:rFonts w:hAnsi="標楷體" w:hint="eastAsia"/>
          <w:b/>
        </w:rPr>
        <w:t>業人力出現不足、發生斷層而嚴重影響該院業務推展與完成目標與任務之情形。</w:t>
      </w:r>
      <w:bookmarkEnd w:id="92"/>
      <w:bookmarkEnd w:id="93"/>
    </w:p>
    <w:p w14:paraId="3643869D" w14:textId="3D0004CC" w:rsidR="00C73E00" w:rsidRPr="00293659" w:rsidRDefault="00C73E00" w:rsidP="000424A8">
      <w:pPr>
        <w:pStyle w:val="2"/>
        <w:numPr>
          <w:ilvl w:val="2"/>
          <w:numId w:val="1"/>
        </w:numPr>
        <w:ind w:left="1360" w:hanging="680"/>
        <w:rPr>
          <w:rFonts w:hAnsi="標楷體"/>
        </w:rPr>
      </w:pPr>
      <w:bookmarkStart w:id="94" w:name="_Toc144211209"/>
      <w:bookmarkStart w:id="95" w:name="_Toc145510471"/>
      <w:bookmarkStart w:id="96" w:name="_Toc143243829"/>
      <w:bookmarkStart w:id="97" w:name="_Toc143262186"/>
      <w:bookmarkStart w:id="98" w:name="_Toc143263071"/>
      <w:bookmarkStart w:id="99" w:name="_Toc143424283"/>
      <w:bookmarkStart w:id="100" w:name="_Toc144140099"/>
      <w:bookmarkStart w:id="101" w:name="_Toc141964317"/>
      <w:r w:rsidRPr="00293659">
        <w:rPr>
          <w:rFonts w:hint="eastAsia"/>
        </w:rPr>
        <w:t>審計部認為中科院研發產製人力結構老化，核心從業人力恐有斷層之虞。</w:t>
      </w:r>
      <w:r w:rsidR="00E1047E" w:rsidRPr="00293659">
        <w:rPr>
          <w:rFonts w:hAnsi="標楷體" w:hint="eastAsia"/>
        </w:rPr>
        <w:t>依審計部查核所得，截至</w:t>
      </w:r>
      <w:r w:rsidR="00E1047E" w:rsidRPr="00293659">
        <w:rPr>
          <w:rFonts w:hAnsi="標楷體"/>
        </w:rPr>
        <w:t>109</w:t>
      </w:r>
      <w:r w:rsidR="00E1047E" w:rsidRPr="00293659">
        <w:rPr>
          <w:rFonts w:hAnsi="標楷體" w:hint="eastAsia"/>
        </w:rPr>
        <w:t>年底止</w:t>
      </w:r>
      <w:r w:rsidRPr="00293659">
        <w:rPr>
          <w:rFonts w:hAnsi="標楷體" w:hint="eastAsia"/>
        </w:rPr>
        <w:t>：</w:t>
      </w:r>
      <w:bookmarkEnd w:id="94"/>
      <w:bookmarkEnd w:id="95"/>
    </w:p>
    <w:p w14:paraId="434055F7" w14:textId="77777777" w:rsidR="00C73E00" w:rsidRPr="00293659" w:rsidRDefault="00E1047E" w:rsidP="00C73E00">
      <w:pPr>
        <w:pStyle w:val="4"/>
      </w:pPr>
      <w:r w:rsidRPr="00293659">
        <w:rPr>
          <w:rFonts w:hint="eastAsia"/>
        </w:rPr>
        <w:lastRenderedPageBreak/>
        <w:t>研發類軍職人員計</w:t>
      </w:r>
      <w:r w:rsidRPr="00293659">
        <w:t>451</w:t>
      </w:r>
      <w:r w:rsidRPr="00293659">
        <w:rPr>
          <w:rFonts w:hint="eastAsia"/>
        </w:rPr>
        <w:t>人，其中依法至遲應於</w:t>
      </w:r>
      <w:r w:rsidRPr="00293659">
        <w:t>5</w:t>
      </w:r>
      <w:r w:rsidRPr="00293659">
        <w:rPr>
          <w:rFonts w:hint="eastAsia"/>
        </w:rPr>
        <w:t>年內，或</w:t>
      </w:r>
      <w:r w:rsidRPr="00293659">
        <w:t>6</w:t>
      </w:r>
      <w:r w:rsidRPr="00293659">
        <w:rPr>
          <w:rFonts w:hint="eastAsia"/>
        </w:rPr>
        <w:t>至</w:t>
      </w:r>
      <w:r w:rsidRPr="00293659">
        <w:t>10</w:t>
      </w:r>
      <w:r w:rsidRPr="00293659">
        <w:rPr>
          <w:rFonts w:hint="eastAsia"/>
        </w:rPr>
        <w:t>年內</w:t>
      </w:r>
      <w:proofErr w:type="gramStart"/>
      <w:r w:rsidRPr="00293659">
        <w:rPr>
          <w:rFonts w:hint="eastAsia"/>
        </w:rPr>
        <w:t>退除者</w:t>
      </w:r>
      <w:proofErr w:type="gramEnd"/>
      <w:r w:rsidRPr="00293659">
        <w:rPr>
          <w:rFonts w:hint="eastAsia"/>
        </w:rPr>
        <w:t>，分別計有</w:t>
      </w:r>
      <w:r w:rsidRPr="00293659">
        <w:t>83</w:t>
      </w:r>
      <w:r w:rsidRPr="00293659">
        <w:rPr>
          <w:rFonts w:hint="eastAsia"/>
        </w:rPr>
        <w:t>人（</w:t>
      </w:r>
      <w:r w:rsidRPr="00293659">
        <w:t>18.40</w:t>
      </w:r>
      <w:r w:rsidRPr="00293659">
        <w:rPr>
          <w:rFonts w:hint="eastAsia"/>
        </w:rPr>
        <w:t>％）及</w:t>
      </w:r>
      <w:r w:rsidRPr="00293659">
        <w:t>127</w:t>
      </w:r>
      <w:r w:rsidRPr="00293659">
        <w:rPr>
          <w:rFonts w:hint="eastAsia"/>
        </w:rPr>
        <w:t>人（</w:t>
      </w:r>
      <w:r w:rsidRPr="00293659">
        <w:t>28.16</w:t>
      </w:r>
      <w:r w:rsidRPr="00293659">
        <w:rPr>
          <w:rFonts w:hint="eastAsia"/>
        </w:rPr>
        <w:t>％），合計</w:t>
      </w:r>
      <w:r w:rsidRPr="00293659">
        <w:t>210</w:t>
      </w:r>
      <w:r w:rsidRPr="00293659">
        <w:rPr>
          <w:rFonts w:hint="eastAsia"/>
        </w:rPr>
        <w:t>人，占該類人員總數之</w:t>
      </w:r>
      <w:r w:rsidRPr="00293659">
        <w:t>46.56</w:t>
      </w:r>
      <w:r w:rsidRPr="00293659">
        <w:rPr>
          <w:rFonts w:hint="eastAsia"/>
        </w:rPr>
        <w:t>％；且未來</w:t>
      </w:r>
      <w:r w:rsidRPr="00293659">
        <w:t>10</w:t>
      </w:r>
      <w:r w:rsidRPr="00293659">
        <w:rPr>
          <w:rFonts w:hint="eastAsia"/>
        </w:rPr>
        <w:t>年內，該院航空研究所（下稱航</w:t>
      </w:r>
      <w:proofErr w:type="gramStart"/>
      <w:r w:rsidRPr="00293659">
        <w:rPr>
          <w:rFonts w:hint="eastAsia"/>
        </w:rPr>
        <w:t>研</w:t>
      </w:r>
      <w:proofErr w:type="gramEnd"/>
      <w:r w:rsidRPr="00293659">
        <w:rPr>
          <w:rFonts w:hint="eastAsia"/>
        </w:rPr>
        <w:t>所）等</w:t>
      </w:r>
      <w:r w:rsidRPr="00293659">
        <w:t>9</w:t>
      </w:r>
      <w:r w:rsidRPr="00293659">
        <w:rPr>
          <w:rFonts w:hint="eastAsia"/>
        </w:rPr>
        <w:t>個負責國防武器裝備研發、產製及維修等工作之功能單位，</w:t>
      </w:r>
      <w:proofErr w:type="gramStart"/>
      <w:r w:rsidRPr="00293659">
        <w:rPr>
          <w:rFonts w:hint="eastAsia"/>
        </w:rPr>
        <w:t>除系</w:t>
      </w:r>
      <w:proofErr w:type="gramEnd"/>
      <w:r w:rsidRPr="00293659">
        <w:rPr>
          <w:rFonts w:hint="eastAsia"/>
        </w:rPr>
        <w:t>製中心退除人數低於現有人數</w:t>
      </w:r>
      <w:proofErr w:type="gramStart"/>
      <w:r w:rsidRPr="00293659">
        <w:t>4</w:t>
      </w:r>
      <w:proofErr w:type="gramEnd"/>
      <w:r w:rsidRPr="00293659">
        <w:rPr>
          <w:rFonts w:hint="eastAsia"/>
        </w:rPr>
        <w:t>成外，其餘</w:t>
      </w:r>
      <w:r w:rsidRPr="00293659">
        <w:t>8</w:t>
      </w:r>
      <w:r w:rsidRPr="00293659">
        <w:rPr>
          <w:rFonts w:hint="eastAsia"/>
        </w:rPr>
        <w:t>個功能單位退除人數介於</w:t>
      </w:r>
      <w:proofErr w:type="gramStart"/>
      <w:r w:rsidRPr="00293659">
        <w:t>4</w:t>
      </w:r>
      <w:proofErr w:type="gramEnd"/>
      <w:r w:rsidRPr="00293659">
        <w:rPr>
          <w:rFonts w:hint="eastAsia"/>
        </w:rPr>
        <w:t>成至</w:t>
      </w:r>
      <w:proofErr w:type="gramStart"/>
      <w:r w:rsidRPr="00293659">
        <w:t>5</w:t>
      </w:r>
      <w:proofErr w:type="gramEnd"/>
      <w:r w:rsidRPr="00293659">
        <w:rPr>
          <w:rFonts w:hint="eastAsia"/>
        </w:rPr>
        <w:t>成</w:t>
      </w:r>
      <w:r w:rsidRPr="00293659">
        <w:t>6</w:t>
      </w:r>
      <w:r w:rsidRPr="00293659">
        <w:rPr>
          <w:rFonts w:hint="eastAsia"/>
        </w:rPr>
        <w:t>之間。</w:t>
      </w:r>
    </w:p>
    <w:p w14:paraId="3D18802C" w14:textId="77777777" w:rsidR="00C73E00" w:rsidRPr="00293659" w:rsidRDefault="009F3CCF" w:rsidP="00C73E00">
      <w:pPr>
        <w:pStyle w:val="4"/>
      </w:pPr>
      <w:r w:rsidRPr="00293659">
        <w:rPr>
          <w:rFonts w:hint="eastAsia"/>
        </w:rPr>
        <w:t>中科</w:t>
      </w:r>
      <w:r w:rsidR="00E1047E" w:rsidRPr="00293659">
        <w:rPr>
          <w:rFonts w:hint="eastAsia"/>
        </w:rPr>
        <w:t>院</w:t>
      </w:r>
      <w:r w:rsidRPr="00293659">
        <w:rPr>
          <w:rFonts w:hint="eastAsia"/>
        </w:rPr>
        <w:t>將於</w:t>
      </w:r>
      <w:r w:rsidRPr="00293659">
        <w:t>10</w:t>
      </w:r>
      <w:r w:rsidRPr="00293659">
        <w:rPr>
          <w:rFonts w:hint="eastAsia"/>
        </w:rPr>
        <w:t>年內屆滿</w:t>
      </w:r>
      <w:r w:rsidRPr="00293659">
        <w:t>65</w:t>
      </w:r>
      <w:r w:rsidRPr="00293659">
        <w:rPr>
          <w:rFonts w:hint="eastAsia"/>
        </w:rPr>
        <w:t>歲應強制離退者，包括</w:t>
      </w:r>
      <w:r w:rsidR="00E1047E" w:rsidRPr="00293659">
        <w:rPr>
          <w:rFonts w:hint="eastAsia"/>
        </w:rPr>
        <w:t>科技聘用人員</w:t>
      </w:r>
      <w:r w:rsidRPr="00293659">
        <w:rPr>
          <w:rFonts w:hint="eastAsia"/>
        </w:rPr>
        <w:t>1</w:t>
      </w:r>
      <w:r w:rsidRPr="00293659">
        <w:t>,179</w:t>
      </w:r>
      <w:r w:rsidRPr="00293659">
        <w:rPr>
          <w:rFonts w:hint="eastAsia"/>
        </w:rPr>
        <w:t>人（占</w:t>
      </w:r>
      <w:r w:rsidRPr="00293659">
        <w:t>4,838</w:t>
      </w:r>
      <w:r w:rsidRPr="00293659">
        <w:rPr>
          <w:rFonts w:hint="eastAsia"/>
        </w:rPr>
        <w:t>人之2</w:t>
      </w:r>
      <w:r w:rsidRPr="00293659">
        <w:t>4.37</w:t>
      </w:r>
      <w:r w:rsidRPr="00293659">
        <w:rPr>
          <w:rFonts w:hint="eastAsia"/>
        </w:rPr>
        <w:t>％）</w:t>
      </w:r>
      <w:r w:rsidR="00E1047E" w:rsidRPr="00293659">
        <w:rPr>
          <w:rFonts w:hint="eastAsia"/>
        </w:rPr>
        <w:t>及技術員</w:t>
      </w:r>
      <w:r w:rsidRPr="00293659">
        <w:rPr>
          <w:rFonts w:hint="eastAsia"/>
        </w:rPr>
        <w:t>1</w:t>
      </w:r>
      <w:r w:rsidRPr="00293659">
        <w:t>,627</w:t>
      </w:r>
      <w:r w:rsidRPr="00293659">
        <w:rPr>
          <w:rFonts w:hint="eastAsia"/>
        </w:rPr>
        <w:t>人（占</w:t>
      </w:r>
      <w:r w:rsidRPr="00293659">
        <w:t>4,200</w:t>
      </w:r>
      <w:r w:rsidRPr="00293659">
        <w:rPr>
          <w:rFonts w:hint="eastAsia"/>
        </w:rPr>
        <w:t>人之3</w:t>
      </w:r>
      <w:r w:rsidRPr="00293659">
        <w:t>8.73</w:t>
      </w:r>
      <w:r w:rsidRPr="00293659">
        <w:rPr>
          <w:rFonts w:hint="eastAsia"/>
        </w:rPr>
        <w:t>％）</w:t>
      </w:r>
      <w:r w:rsidR="00E1047E" w:rsidRPr="00293659">
        <w:rPr>
          <w:rFonts w:hint="eastAsia"/>
        </w:rPr>
        <w:t>，</w:t>
      </w:r>
      <w:r w:rsidRPr="00293659">
        <w:rPr>
          <w:rFonts w:hint="eastAsia"/>
        </w:rPr>
        <w:t>科技人力已呈老化趨勢</w:t>
      </w:r>
      <w:r w:rsidR="00532E4F" w:rsidRPr="00293659">
        <w:rPr>
          <w:rFonts w:hint="eastAsia"/>
        </w:rPr>
        <w:t>。查</w:t>
      </w:r>
      <w:r w:rsidRPr="00293659">
        <w:rPr>
          <w:rFonts w:hint="eastAsia"/>
        </w:rPr>
        <w:t>科技聘用人員已超過</w:t>
      </w:r>
      <w:r w:rsidRPr="00293659">
        <w:t>55</w:t>
      </w:r>
      <w:r w:rsidRPr="00293659">
        <w:rPr>
          <w:rFonts w:hint="eastAsia"/>
        </w:rPr>
        <w:t>歲，將於</w:t>
      </w:r>
      <w:r w:rsidRPr="00293659">
        <w:t>10</w:t>
      </w:r>
      <w:proofErr w:type="gramStart"/>
      <w:r w:rsidRPr="00293659">
        <w:rPr>
          <w:rFonts w:hint="eastAsia"/>
        </w:rPr>
        <w:t>年內屆退者</w:t>
      </w:r>
      <w:proofErr w:type="gramEnd"/>
      <w:r w:rsidRPr="00293659">
        <w:rPr>
          <w:rFonts w:hint="eastAsia"/>
        </w:rPr>
        <w:t>之人數與</w:t>
      </w:r>
      <w:r w:rsidR="005F5DD6" w:rsidRPr="00293659">
        <w:rPr>
          <w:rFonts w:hint="eastAsia"/>
        </w:rPr>
        <w:t>占</w:t>
      </w:r>
      <w:r w:rsidRPr="00293659">
        <w:rPr>
          <w:rFonts w:hint="eastAsia"/>
        </w:rPr>
        <w:t>比，包括航研所</w:t>
      </w:r>
      <w:r w:rsidRPr="00293659">
        <w:t>179</w:t>
      </w:r>
      <w:r w:rsidRPr="00293659">
        <w:rPr>
          <w:rFonts w:hint="eastAsia"/>
        </w:rPr>
        <w:t>人</w:t>
      </w:r>
      <w:r w:rsidRPr="00293659">
        <w:t>(28.41</w:t>
      </w:r>
      <w:r w:rsidRPr="00293659">
        <w:rPr>
          <w:rFonts w:hint="eastAsia"/>
        </w:rPr>
        <w:t>％</w:t>
      </w:r>
      <w:r w:rsidRPr="00293659">
        <w:t>)</w:t>
      </w:r>
      <w:r w:rsidRPr="00293659">
        <w:rPr>
          <w:rFonts w:hint="eastAsia"/>
        </w:rPr>
        <w:t>、飛彈火箭研究所（下稱飛彈所）</w:t>
      </w:r>
      <w:r w:rsidRPr="00293659">
        <w:t>227</w:t>
      </w:r>
      <w:r w:rsidRPr="00293659">
        <w:rPr>
          <w:rFonts w:hint="eastAsia"/>
        </w:rPr>
        <w:t>人</w:t>
      </w:r>
      <w:r w:rsidRPr="00293659">
        <w:t>(</w:t>
      </w:r>
      <w:r w:rsidR="005F5DD6" w:rsidRPr="00293659">
        <w:t>30.68</w:t>
      </w:r>
      <w:r w:rsidR="005F5DD6" w:rsidRPr="00293659">
        <w:rPr>
          <w:rFonts w:hint="eastAsia"/>
        </w:rPr>
        <w:t>％</w:t>
      </w:r>
      <w:r w:rsidRPr="00293659">
        <w:t>)</w:t>
      </w:r>
      <w:proofErr w:type="gramStart"/>
      <w:r w:rsidRPr="00293659">
        <w:rPr>
          <w:rFonts w:hint="eastAsia"/>
        </w:rPr>
        <w:t>及系發中</w:t>
      </w:r>
      <w:proofErr w:type="gramEnd"/>
      <w:r w:rsidRPr="00293659">
        <w:rPr>
          <w:rFonts w:hint="eastAsia"/>
        </w:rPr>
        <w:t>心</w:t>
      </w:r>
      <w:r w:rsidR="005F5DD6" w:rsidRPr="00293659">
        <w:t>155</w:t>
      </w:r>
      <w:r w:rsidR="005F5DD6" w:rsidRPr="00293659">
        <w:rPr>
          <w:rFonts w:hint="eastAsia"/>
        </w:rPr>
        <w:t>人</w:t>
      </w:r>
      <w:r w:rsidRPr="00293659">
        <w:t>(</w:t>
      </w:r>
      <w:r w:rsidR="005F5DD6" w:rsidRPr="00293659">
        <w:t>25.79</w:t>
      </w:r>
      <w:r w:rsidR="005F5DD6" w:rsidRPr="00293659">
        <w:rPr>
          <w:rFonts w:hint="eastAsia"/>
        </w:rPr>
        <w:t>％</w:t>
      </w:r>
      <w:r w:rsidRPr="00293659">
        <w:t>)</w:t>
      </w:r>
      <w:r w:rsidRPr="00293659">
        <w:rPr>
          <w:rFonts w:hint="eastAsia"/>
        </w:rPr>
        <w:t>等</w:t>
      </w:r>
      <w:r w:rsidRPr="00293659">
        <w:t>3</w:t>
      </w:r>
      <w:r w:rsidRPr="00293659">
        <w:rPr>
          <w:rFonts w:hint="eastAsia"/>
        </w:rPr>
        <w:t>個功能單位</w:t>
      </w:r>
      <w:r w:rsidR="005F5DD6" w:rsidRPr="00293659">
        <w:rPr>
          <w:rFonts w:hint="eastAsia"/>
        </w:rPr>
        <w:t>，</w:t>
      </w:r>
      <w:r w:rsidR="0084693E" w:rsidRPr="00293659">
        <w:rPr>
          <w:rFonts w:hint="eastAsia"/>
        </w:rPr>
        <w:t>其占比均高於全院平均值（</w:t>
      </w:r>
      <w:r w:rsidR="0084693E" w:rsidRPr="00293659">
        <w:t>24.37</w:t>
      </w:r>
      <w:r w:rsidR="0084693E" w:rsidRPr="00293659">
        <w:rPr>
          <w:rFonts w:hint="eastAsia"/>
        </w:rPr>
        <w:t>％）</w:t>
      </w:r>
      <w:r w:rsidR="00532E4F" w:rsidRPr="00293659">
        <w:rPr>
          <w:rFonts w:hint="eastAsia"/>
        </w:rPr>
        <w:t>情事</w:t>
      </w:r>
      <w:r w:rsidR="0084693E" w:rsidRPr="00293659">
        <w:rPr>
          <w:rFonts w:hint="eastAsia"/>
        </w:rPr>
        <w:t>，</w:t>
      </w:r>
      <w:r w:rsidR="00532E4F" w:rsidRPr="00293659">
        <w:rPr>
          <w:rFonts w:hint="eastAsia"/>
        </w:rPr>
        <w:t>且飛彈所科技聘用人員更有</w:t>
      </w:r>
      <w:r w:rsidR="00532E4F" w:rsidRPr="00293659">
        <w:t>148</w:t>
      </w:r>
      <w:r w:rsidR="00532E4F" w:rsidRPr="00293659">
        <w:rPr>
          <w:rFonts w:hint="eastAsia"/>
        </w:rPr>
        <w:t>人</w:t>
      </w:r>
      <w:r w:rsidR="00532E4F" w:rsidRPr="00293659">
        <w:rPr>
          <w:rFonts w:ascii="新細明體" w:eastAsia="新細明體" w:hAnsi="新細明體" w:hint="eastAsia"/>
        </w:rPr>
        <w:t>、</w:t>
      </w:r>
      <w:r w:rsidR="00532E4F" w:rsidRPr="00293659">
        <w:t>20</w:t>
      </w:r>
      <w:r w:rsidR="00532E4F" w:rsidRPr="00293659">
        <w:rPr>
          <w:rFonts w:hint="eastAsia"/>
        </w:rPr>
        <w:t>％即將於</w:t>
      </w:r>
      <w:r w:rsidR="00532E4F" w:rsidRPr="00293659">
        <w:t>5</w:t>
      </w:r>
      <w:proofErr w:type="gramStart"/>
      <w:r w:rsidR="00532E4F" w:rsidRPr="00293659">
        <w:rPr>
          <w:rFonts w:hint="eastAsia"/>
        </w:rPr>
        <w:t>年內屆</w:t>
      </w:r>
      <w:proofErr w:type="gramEnd"/>
      <w:r w:rsidR="00532E4F" w:rsidRPr="00293659">
        <w:rPr>
          <w:rFonts w:hint="eastAsia"/>
        </w:rPr>
        <w:t>退；技術員將於</w:t>
      </w:r>
      <w:r w:rsidR="00532E4F" w:rsidRPr="00293659">
        <w:t>10</w:t>
      </w:r>
      <w:proofErr w:type="gramStart"/>
      <w:r w:rsidR="00532E4F" w:rsidRPr="00293659">
        <w:rPr>
          <w:rFonts w:hint="eastAsia"/>
        </w:rPr>
        <w:t>年內屆齡退休</w:t>
      </w:r>
      <w:proofErr w:type="gramEnd"/>
      <w:r w:rsidR="00532E4F" w:rsidRPr="00293659">
        <w:rPr>
          <w:rFonts w:hint="eastAsia"/>
        </w:rPr>
        <w:t>者之人數與比例，包括航研所1</w:t>
      </w:r>
      <w:r w:rsidR="00532E4F" w:rsidRPr="00293659">
        <w:t>11</w:t>
      </w:r>
      <w:r w:rsidR="00532E4F" w:rsidRPr="00293659">
        <w:rPr>
          <w:rFonts w:hint="eastAsia"/>
        </w:rPr>
        <w:t>人</w:t>
      </w:r>
      <w:r w:rsidR="00532E4F" w:rsidRPr="00293659">
        <w:t>(45.87</w:t>
      </w:r>
      <w:r w:rsidR="00532E4F" w:rsidRPr="00293659">
        <w:rPr>
          <w:rFonts w:hint="eastAsia"/>
        </w:rPr>
        <w:t>％</w:t>
      </w:r>
      <w:r w:rsidR="00532E4F" w:rsidRPr="00293659">
        <w:t>)</w:t>
      </w:r>
      <w:r w:rsidR="00532E4F" w:rsidRPr="00293659">
        <w:rPr>
          <w:rFonts w:hint="eastAsia"/>
        </w:rPr>
        <w:t>、</w:t>
      </w:r>
      <w:proofErr w:type="gramStart"/>
      <w:r w:rsidR="00532E4F" w:rsidRPr="00293659">
        <w:rPr>
          <w:rFonts w:hint="eastAsia"/>
        </w:rPr>
        <w:t>材電</w:t>
      </w:r>
      <w:proofErr w:type="gramEnd"/>
      <w:r w:rsidR="00532E4F" w:rsidRPr="00293659">
        <w:rPr>
          <w:rFonts w:hint="eastAsia"/>
        </w:rPr>
        <w:t>所1</w:t>
      </w:r>
      <w:r w:rsidR="00532E4F" w:rsidRPr="00293659">
        <w:t>09</w:t>
      </w:r>
      <w:r w:rsidR="00532E4F" w:rsidRPr="00293659">
        <w:rPr>
          <w:rFonts w:hint="eastAsia"/>
        </w:rPr>
        <w:t>人</w:t>
      </w:r>
      <w:r w:rsidR="00532E4F" w:rsidRPr="00293659">
        <w:t>(47.39</w:t>
      </w:r>
      <w:r w:rsidR="00532E4F" w:rsidRPr="00293659">
        <w:rPr>
          <w:rFonts w:hint="eastAsia"/>
        </w:rPr>
        <w:t>％</w:t>
      </w:r>
      <w:r w:rsidR="00532E4F" w:rsidRPr="00293659">
        <w:t>)</w:t>
      </w:r>
      <w:r w:rsidR="00532E4F" w:rsidRPr="00293659">
        <w:rPr>
          <w:rFonts w:hint="eastAsia"/>
        </w:rPr>
        <w:t>、電子系統研究所（下稱電子所）</w:t>
      </w:r>
      <w:r w:rsidR="00532E4F" w:rsidRPr="00293659">
        <w:t>22</w:t>
      </w:r>
      <w:r w:rsidR="00361EBA" w:rsidRPr="00293659">
        <w:t>5</w:t>
      </w:r>
      <w:r w:rsidR="00532E4F" w:rsidRPr="00293659">
        <w:rPr>
          <w:rFonts w:hint="eastAsia"/>
        </w:rPr>
        <w:t>人</w:t>
      </w:r>
      <w:r w:rsidR="00532E4F" w:rsidRPr="00293659">
        <w:t>(</w:t>
      </w:r>
      <w:r w:rsidR="00361EBA" w:rsidRPr="00293659">
        <w:t>4</w:t>
      </w:r>
      <w:r w:rsidR="00532E4F" w:rsidRPr="00293659">
        <w:t>3.</w:t>
      </w:r>
      <w:r w:rsidR="00361EBA" w:rsidRPr="00293659">
        <w:t>35</w:t>
      </w:r>
      <w:r w:rsidR="00532E4F" w:rsidRPr="00293659">
        <w:rPr>
          <w:rFonts w:hint="eastAsia"/>
        </w:rPr>
        <w:t>％</w:t>
      </w:r>
      <w:r w:rsidR="00532E4F" w:rsidRPr="00293659">
        <w:t>)</w:t>
      </w:r>
      <w:r w:rsidR="00532E4F" w:rsidRPr="00293659">
        <w:rPr>
          <w:rFonts w:hint="eastAsia"/>
        </w:rPr>
        <w:t>，</w:t>
      </w:r>
      <w:proofErr w:type="gramStart"/>
      <w:r w:rsidR="00532E4F" w:rsidRPr="00293659">
        <w:rPr>
          <w:rFonts w:hint="eastAsia"/>
        </w:rPr>
        <w:t>系發中</w:t>
      </w:r>
      <w:proofErr w:type="gramEnd"/>
      <w:r w:rsidR="00532E4F" w:rsidRPr="00293659">
        <w:rPr>
          <w:rFonts w:hint="eastAsia"/>
        </w:rPr>
        <w:t>心</w:t>
      </w:r>
      <w:r w:rsidR="00361EBA" w:rsidRPr="00293659">
        <w:rPr>
          <w:rFonts w:hint="eastAsia"/>
        </w:rPr>
        <w:t>1</w:t>
      </w:r>
      <w:r w:rsidR="00532E4F" w:rsidRPr="00293659">
        <w:t>22</w:t>
      </w:r>
      <w:r w:rsidR="00532E4F" w:rsidRPr="00293659">
        <w:rPr>
          <w:rFonts w:hint="eastAsia"/>
        </w:rPr>
        <w:t>人</w:t>
      </w:r>
      <w:r w:rsidR="00532E4F" w:rsidRPr="00293659">
        <w:t>(</w:t>
      </w:r>
      <w:r w:rsidR="00361EBA" w:rsidRPr="00293659">
        <w:t>45</w:t>
      </w:r>
      <w:r w:rsidR="00532E4F" w:rsidRPr="00293659">
        <w:t>.</w:t>
      </w:r>
      <w:r w:rsidR="00361EBA" w:rsidRPr="00293659">
        <w:t>19</w:t>
      </w:r>
      <w:r w:rsidR="00532E4F" w:rsidRPr="00293659">
        <w:rPr>
          <w:rFonts w:hint="eastAsia"/>
        </w:rPr>
        <w:t>％</w:t>
      </w:r>
      <w:r w:rsidR="00532E4F" w:rsidRPr="00293659">
        <w:t>)</w:t>
      </w:r>
      <w:proofErr w:type="gramStart"/>
      <w:r w:rsidR="00532E4F" w:rsidRPr="00293659">
        <w:rPr>
          <w:rFonts w:hint="eastAsia"/>
        </w:rPr>
        <w:t>及系製中</w:t>
      </w:r>
      <w:proofErr w:type="gramEnd"/>
      <w:r w:rsidR="00532E4F" w:rsidRPr="00293659">
        <w:rPr>
          <w:rFonts w:hint="eastAsia"/>
        </w:rPr>
        <w:t>心</w:t>
      </w:r>
      <w:r w:rsidR="00361EBA" w:rsidRPr="00293659">
        <w:rPr>
          <w:rFonts w:hint="eastAsia"/>
        </w:rPr>
        <w:t>3</w:t>
      </w:r>
      <w:r w:rsidR="00361EBA" w:rsidRPr="00293659">
        <w:t>01</w:t>
      </w:r>
      <w:r w:rsidR="00532E4F" w:rsidRPr="00293659">
        <w:rPr>
          <w:rFonts w:hint="eastAsia"/>
        </w:rPr>
        <w:t>人</w:t>
      </w:r>
      <w:r w:rsidR="00532E4F" w:rsidRPr="00293659">
        <w:t>(</w:t>
      </w:r>
      <w:r w:rsidR="00361EBA" w:rsidRPr="00293659">
        <w:t>56</w:t>
      </w:r>
      <w:r w:rsidR="00532E4F" w:rsidRPr="00293659">
        <w:t>.</w:t>
      </w:r>
      <w:r w:rsidR="00361EBA" w:rsidRPr="00293659">
        <w:t>5</w:t>
      </w:r>
      <w:r w:rsidR="00532E4F" w:rsidRPr="00293659">
        <w:t>8</w:t>
      </w:r>
      <w:r w:rsidR="00532E4F" w:rsidRPr="00293659">
        <w:rPr>
          <w:rFonts w:hint="eastAsia"/>
        </w:rPr>
        <w:t>％</w:t>
      </w:r>
      <w:r w:rsidR="00532E4F" w:rsidRPr="00293659">
        <w:t>)</w:t>
      </w:r>
      <w:r w:rsidR="00532E4F" w:rsidRPr="00293659">
        <w:rPr>
          <w:rFonts w:hint="eastAsia"/>
        </w:rPr>
        <w:t>等</w:t>
      </w:r>
      <w:r w:rsidR="00532E4F" w:rsidRPr="00293659">
        <w:t>5</w:t>
      </w:r>
      <w:r w:rsidR="00532E4F" w:rsidRPr="00293659">
        <w:rPr>
          <w:rFonts w:hint="eastAsia"/>
        </w:rPr>
        <w:t>個單位</w:t>
      </w:r>
      <w:r w:rsidR="00361EBA" w:rsidRPr="00293659">
        <w:rPr>
          <w:rFonts w:hint="eastAsia"/>
        </w:rPr>
        <w:t>，其</w:t>
      </w:r>
      <w:r w:rsidR="00361EBA" w:rsidRPr="00293659">
        <w:t>10</w:t>
      </w:r>
      <w:proofErr w:type="gramStart"/>
      <w:r w:rsidR="00361EBA" w:rsidRPr="00293659">
        <w:rPr>
          <w:rFonts w:hint="eastAsia"/>
        </w:rPr>
        <w:t>年內屆齡退</w:t>
      </w:r>
      <w:proofErr w:type="gramEnd"/>
      <w:r w:rsidR="00361EBA" w:rsidRPr="00293659">
        <w:rPr>
          <w:rFonts w:hint="eastAsia"/>
        </w:rPr>
        <w:t>休者之比例較高，</w:t>
      </w:r>
      <w:proofErr w:type="gramStart"/>
      <w:r w:rsidR="00361EBA" w:rsidRPr="00293659">
        <w:rPr>
          <w:rFonts w:hint="eastAsia"/>
        </w:rPr>
        <w:t>且材</w:t>
      </w:r>
      <w:proofErr w:type="gramEnd"/>
      <w:r w:rsidR="00361EBA" w:rsidRPr="00293659">
        <w:rPr>
          <w:rFonts w:hint="eastAsia"/>
        </w:rPr>
        <w:t>電所及電子所等單位之技術員將於</w:t>
      </w:r>
      <w:r w:rsidR="00361EBA" w:rsidRPr="00293659">
        <w:t>5</w:t>
      </w:r>
      <w:r w:rsidR="00361EBA" w:rsidRPr="00293659">
        <w:rPr>
          <w:rFonts w:hint="eastAsia"/>
        </w:rPr>
        <w:t>年內</w:t>
      </w:r>
      <w:proofErr w:type="gramStart"/>
      <w:r w:rsidR="00361EBA" w:rsidRPr="00293659">
        <w:rPr>
          <w:rFonts w:hint="eastAsia"/>
        </w:rPr>
        <w:t>屆退占比均</w:t>
      </w:r>
      <w:proofErr w:type="gramEnd"/>
      <w:r w:rsidR="00361EBA" w:rsidRPr="00293659">
        <w:rPr>
          <w:rFonts w:hint="eastAsia"/>
        </w:rPr>
        <w:t>已超過3</w:t>
      </w:r>
      <w:r w:rsidR="00361EBA" w:rsidRPr="00293659">
        <w:t>0</w:t>
      </w:r>
      <w:r w:rsidR="00361EBA" w:rsidRPr="00293659">
        <w:rPr>
          <w:rFonts w:hint="eastAsia"/>
        </w:rPr>
        <w:t>％，</w:t>
      </w:r>
      <w:proofErr w:type="gramStart"/>
      <w:r w:rsidR="00361EBA" w:rsidRPr="00293659">
        <w:rPr>
          <w:rFonts w:hint="eastAsia"/>
        </w:rPr>
        <w:t>均</w:t>
      </w:r>
      <w:r w:rsidR="0084693E" w:rsidRPr="00293659">
        <w:rPr>
          <w:rFonts w:hint="eastAsia"/>
        </w:rPr>
        <w:t>應留</w:t>
      </w:r>
      <w:proofErr w:type="gramEnd"/>
      <w:r w:rsidR="0084693E" w:rsidRPr="00293659">
        <w:rPr>
          <w:rFonts w:hint="eastAsia"/>
        </w:rPr>
        <w:t>意後續專業人力</w:t>
      </w:r>
      <w:r w:rsidR="00361EBA" w:rsidRPr="00293659">
        <w:rPr>
          <w:rFonts w:hint="eastAsia"/>
        </w:rPr>
        <w:t>招募</w:t>
      </w:r>
      <w:r w:rsidR="0084693E" w:rsidRPr="00293659">
        <w:rPr>
          <w:rFonts w:hint="eastAsia"/>
        </w:rPr>
        <w:t>情形</w:t>
      </w:r>
      <w:r w:rsidR="00E1047E" w:rsidRPr="00293659">
        <w:rPr>
          <w:rFonts w:hint="eastAsia"/>
        </w:rPr>
        <w:t>。</w:t>
      </w:r>
    </w:p>
    <w:p w14:paraId="03F806BC" w14:textId="7EABC635" w:rsidR="00B5559B" w:rsidRPr="00591894" w:rsidRDefault="00A37657" w:rsidP="00591894">
      <w:pPr>
        <w:pStyle w:val="4"/>
      </w:pPr>
      <w:r w:rsidRPr="00293659">
        <w:rPr>
          <w:rFonts w:hint="eastAsia"/>
        </w:rPr>
        <w:t>另外，</w:t>
      </w:r>
      <w:r w:rsidR="00E1047E" w:rsidRPr="00293659">
        <w:rPr>
          <w:rFonts w:hint="eastAsia"/>
        </w:rPr>
        <w:t>該院自</w:t>
      </w:r>
      <w:r w:rsidR="00E1047E" w:rsidRPr="00293659">
        <w:t>103</w:t>
      </w:r>
      <w:r w:rsidR="00E1047E" w:rsidRPr="00293659">
        <w:rPr>
          <w:rFonts w:hint="eastAsia"/>
        </w:rPr>
        <w:t>年行政</w:t>
      </w:r>
      <w:proofErr w:type="gramStart"/>
      <w:r w:rsidR="00E1047E" w:rsidRPr="00293659">
        <w:rPr>
          <w:rFonts w:hint="eastAsia"/>
        </w:rPr>
        <w:t>法人化迄</w:t>
      </w:r>
      <w:proofErr w:type="gramEnd"/>
      <w:r w:rsidR="00E1047E" w:rsidRPr="00293659">
        <w:t>109</w:t>
      </w:r>
      <w:r w:rsidR="00E1047E" w:rsidRPr="00293659">
        <w:rPr>
          <w:rFonts w:hint="eastAsia"/>
        </w:rPr>
        <w:t>年底止，自請離職者，計有</w:t>
      </w:r>
      <w:r w:rsidR="00E1047E" w:rsidRPr="00293659">
        <w:t>952</w:t>
      </w:r>
      <w:r w:rsidR="00E1047E" w:rsidRPr="00293659">
        <w:rPr>
          <w:rFonts w:hint="eastAsia"/>
        </w:rPr>
        <w:t>人，占總離職人數</w:t>
      </w:r>
      <w:r w:rsidR="00E1047E" w:rsidRPr="00293659">
        <w:t>(</w:t>
      </w:r>
      <w:proofErr w:type="gramStart"/>
      <w:r w:rsidR="00E1047E" w:rsidRPr="00293659">
        <w:rPr>
          <w:rFonts w:hint="eastAsia"/>
        </w:rPr>
        <w:t>含屆退</w:t>
      </w:r>
      <w:proofErr w:type="gramEnd"/>
      <w:r w:rsidR="00E1047E" w:rsidRPr="00293659">
        <w:rPr>
          <w:rFonts w:hint="eastAsia"/>
        </w:rPr>
        <w:t>者</w:t>
      </w:r>
      <w:r w:rsidR="00E1047E" w:rsidRPr="00293659">
        <w:t>)3,354</w:t>
      </w:r>
      <w:r w:rsidR="00E1047E" w:rsidRPr="00293659">
        <w:rPr>
          <w:rFonts w:hint="eastAsia"/>
        </w:rPr>
        <w:t>人之</w:t>
      </w:r>
      <w:r w:rsidR="00E1047E" w:rsidRPr="00293659">
        <w:t>28.38</w:t>
      </w:r>
      <w:r w:rsidR="00E1047E" w:rsidRPr="00293659">
        <w:rPr>
          <w:rFonts w:hint="eastAsia"/>
        </w:rPr>
        <w:t>％，其中以科技聘用人員</w:t>
      </w:r>
      <w:r w:rsidR="00E1047E" w:rsidRPr="00293659">
        <w:t>572</w:t>
      </w:r>
      <w:r w:rsidR="00E1047E" w:rsidRPr="00293659">
        <w:rPr>
          <w:rFonts w:hint="eastAsia"/>
        </w:rPr>
        <w:t>人為最多</w:t>
      </w:r>
      <w:r w:rsidR="00E1047E" w:rsidRPr="00293659">
        <w:t>(</w:t>
      </w:r>
      <w:r w:rsidR="00E1047E" w:rsidRPr="00293659">
        <w:rPr>
          <w:rFonts w:hint="eastAsia"/>
        </w:rPr>
        <w:t>占自請離職總數之</w:t>
      </w:r>
      <w:r w:rsidR="00E1047E" w:rsidRPr="00293659">
        <w:t>60.08</w:t>
      </w:r>
      <w:r w:rsidR="00E1047E" w:rsidRPr="00293659">
        <w:rPr>
          <w:rFonts w:hint="eastAsia"/>
        </w:rPr>
        <w:t>％，下同</w:t>
      </w:r>
      <w:r w:rsidR="00E1047E" w:rsidRPr="00293659">
        <w:t>)</w:t>
      </w:r>
      <w:r w:rsidR="00E1047E" w:rsidRPr="00293659">
        <w:rPr>
          <w:rFonts w:hint="eastAsia"/>
        </w:rPr>
        <w:t>，技術員</w:t>
      </w:r>
      <w:r w:rsidR="00E1047E" w:rsidRPr="00293659">
        <w:t>250</w:t>
      </w:r>
      <w:r w:rsidR="00E1047E" w:rsidRPr="00293659">
        <w:rPr>
          <w:rFonts w:hint="eastAsia"/>
        </w:rPr>
        <w:t>人次之</w:t>
      </w:r>
      <w:r w:rsidR="00E1047E" w:rsidRPr="00293659">
        <w:t>(</w:t>
      </w:r>
      <w:r w:rsidR="00E1047E" w:rsidRPr="00293659">
        <w:rPr>
          <w:rFonts w:hint="eastAsia"/>
        </w:rPr>
        <w:t>占</w:t>
      </w:r>
      <w:r w:rsidR="00E1047E" w:rsidRPr="00293659">
        <w:t>26.26</w:t>
      </w:r>
      <w:r w:rsidR="00E1047E" w:rsidRPr="00293659">
        <w:rPr>
          <w:rFonts w:hint="eastAsia"/>
        </w:rPr>
        <w:t>％</w:t>
      </w:r>
      <w:r w:rsidR="00E1047E" w:rsidRPr="00293659">
        <w:t>)</w:t>
      </w:r>
      <w:r w:rsidR="00E1047E" w:rsidRPr="00293659">
        <w:rPr>
          <w:rFonts w:hint="eastAsia"/>
        </w:rPr>
        <w:t>，又其中任職</w:t>
      </w:r>
      <w:r w:rsidR="00E1047E" w:rsidRPr="00293659">
        <w:t>1</w:t>
      </w:r>
      <w:r w:rsidR="00E1047E" w:rsidRPr="00293659">
        <w:rPr>
          <w:rFonts w:hint="eastAsia"/>
        </w:rPr>
        <w:t>年以</w:t>
      </w:r>
      <w:r w:rsidR="00E1047E" w:rsidRPr="00293659">
        <w:rPr>
          <w:rFonts w:hint="eastAsia"/>
        </w:rPr>
        <w:lastRenderedPageBreak/>
        <w:t>內自請離職者高達</w:t>
      </w:r>
      <w:r w:rsidR="00E1047E" w:rsidRPr="00293659">
        <w:t>298</w:t>
      </w:r>
      <w:r w:rsidR="00E1047E" w:rsidRPr="00293659">
        <w:rPr>
          <w:rFonts w:hint="eastAsia"/>
        </w:rPr>
        <w:t>人</w:t>
      </w:r>
      <w:r w:rsidR="00E1047E" w:rsidRPr="00293659">
        <w:t>(</w:t>
      </w:r>
      <w:r w:rsidR="00E1047E" w:rsidRPr="00293659">
        <w:rPr>
          <w:rFonts w:hint="eastAsia"/>
        </w:rPr>
        <w:t>前後者分別為</w:t>
      </w:r>
      <w:r w:rsidR="00E1047E" w:rsidRPr="00293659">
        <w:t>183</w:t>
      </w:r>
      <w:r w:rsidR="00E1047E" w:rsidRPr="00293659">
        <w:rPr>
          <w:rFonts w:hint="eastAsia"/>
        </w:rPr>
        <w:t>人及</w:t>
      </w:r>
      <w:r w:rsidR="00E1047E" w:rsidRPr="00293659">
        <w:t>115</w:t>
      </w:r>
      <w:r w:rsidR="00E1047E" w:rsidRPr="00293659">
        <w:rPr>
          <w:rFonts w:hint="eastAsia"/>
        </w:rPr>
        <w:t>人</w:t>
      </w:r>
      <w:r w:rsidR="00E1047E" w:rsidRPr="00293659">
        <w:t>)</w:t>
      </w:r>
      <w:r w:rsidR="00E1047E" w:rsidRPr="00293659">
        <w:rPr>
          <w:rFonts w:hint="eastAsia"/>
        </w:rPr>
        <w:t>，占整體之</w:t>
      </w:r>
      <w:r w:rsidR="00E1047E" w:rsidRPr="00293659">
        <w:t>31.30</w:t>
      </w:r>
      <w:r w:rsidR="00E1047E" w:rsidRPr="00293659">
        <w:rPr>
          <w:rFonts w:hint="eastAsia"/>
        </w:rPr>
        <w:t>％、任職</w:t>
      </w:r>
      <w:r w:rsidR="00E1047E" w:rsidRPr="00293659">
        <w:t>4</w:t>
      </w:r>
      <w:r w:rsidR="00E1047E" w:rsidRPr="00293659">
        <w:rPr>
          <w:rFonts w:hint="eastAsia"/>
        </w:rPr>
        <w:t>年以上自請離職者亦有</w:t>
      </w:r>
      <w:r w:rsidR="00E1047E" w:rsidRPr="00293659">
        <w:t>155</w:t>
      </w:r>
      <w:r w:rsidR="00E1047E" w:rsidRPr="00293659">
        <w:rPr>
          <w:rFonts w:hint="eastAsia"/>
        </w:rPr>
        <w:t>人</w:t>
      </w:r>
      <w:r w:rsidR="00E1047E" w:rsidRPr="00293659">
        <w:t>(</w:t>
      </w:r>
      <w:r w:rsidR="00E1047E" w:rsidRPr="00293659">
        <w:rPr>
          <w:rFonts w:hint="eastAsia"/>
        </w:rPr>
        <w:t>前後者分別為</w:t>
      </w:r>
      <w:r w:rsidR="00E1047E" w:rsidRPr="00293659">
        <w:t>121</w:t>
      </w:r>
      <w:r w:rsidR="00E1047E" w:rsidRPr="00293659">
        <w:rPr>
          <w:rFonts w:hint="eastAsia"/>
        </w:rPr>
        <w:t>人及</w:t>
      </w:r>
      <w:r w:rsidR="00E1047E" w:rsidRPr="00293659">
        <w:t>34</w:t>
      </w:r>
      <w:r w:rsidR="00E1047E" w:rsidRPr="00293659">
        <w:rPr>
          <w:rFonts w:hint="eastAsia"/>
        </w:rPr>
        <w:t>人</w:t>
      </w:r>
      <w:r w:rsidR="00E1047E" w:rsidRPr="00293659">
        <w:t>)</w:t>
      </w:r>
      <w:r w:rsidR="00E1047E" w:rsidRPr="00293659">
        <w:rPr>
          <w:rFonts w:hint="eastAsia"/>
        </w:rPr>
        <w:t>，占整體之</w:t>
      </w:r>
      <w:r w:rsidR="00E1047E" w:rsidRPr="00293659">
        <w:t>16.28</w:t>
      </w:r>
      <w:r w:rsidR="00E1047E" w:rsidRPr="00293659">
        <w:rPr>
          <w:rFonts w:hint="eastAsia"/>
        </w:rPr>
        <w:t>％，經分析主要</w:t>
      </w:r>
      <w:proofErr w:type="gramStart"/>
      <w:r w:rsidR="00E1047E" w:rsidRPr="00293659">
        <w:rPr>
          <w:rFonts w:hint="eastAsia"/>
        </w:rPr>
        <w:t>係資電</w:t>
      </w:r>
      <w:proofErr w:type="gramEnd"/>
      <w:r w:rsidR="00E1047E" w:rsidRPr="00293659">
        <w:rPr>
          <w:rFonts w:hint="eastAsia"/>
        </w:rPr>
        <w:t>所、化學研究所及飛彈所之科技人才不論新進或具一定工作經驗者之離職率居高不下所致。</w:t>
      </w:r>
      <w:bookmarkEnd w:id="96"/>
      <w:bookmarkEnd w:id="97"/>
      <w:bookmarkEnd w:id="98"/>
      <w:bookmarkEnd w:id="99"/>
      <w:bookmarkEnd w:id="100"/>
    </w:p>
    <w:p w14:paraId="5E1FFE6B" w14:textId="30AB76D3" w:rsidR="002B417F" w:rsidRPr="00293659" w:rsidRDefault="00E1047E" w:rsidP="000424A8">
      <w:pPr>
        <w:pStyle w:val="2"/>
        <w:numPr>
          <w:ilvl w:val="2"/>
          <w:numId w:val="1"/>
        </w:numPr>
        <w:ind w:left="1360" w:hanging="680"/>
        <w:rPr>
          <w:rFonts w:hAnsi="標楷體"/>
        </w:rPr>
      </w:pPr>
      <w:bookmarkStart w:id="102" w:name="_Toc144211212"/>
      <w:bookmarkStart w:id="103" w:name="_Toc145510474"/>
      <w:bookmarkStart w:id="104" w:name="_Toc143243832"/>
      <w:bookmarkStart w:id="105" w:name="_Toc143262189"/>
      <w:bookmarkStart w:id="106" w:name="_Toc143263074"/>
      <w:bookmarkStart w:id="107" w:name="_Toc143424286"/>
      <w:bookmarkStart w:id="108" w:name="_Toc144140102"/>
      <w:proofErr w:type="gramStart"/>
      <w:r w:rsidRPr="00591894">
        <w:rPr>
          <w:rFonts w:hAnsi="標楷體" w:hint="eastAsia"/>
        </w:rPr>
        <w:t>詢</w:t>
      </w:r>
      <w:proofErr w:type="gramEnd"/>
      <w:r w:rsidRPr="00591894">
        <w:rPr>
          <w:rFonts w:hAnsi="標楷體" w:hint="eastAsia"/>
        </w:rPr>
        <w:t>據國防部之說明，中科院人力資源政策係於「滿足國軍戰備需求」與「振興臺灣國防產業」兩大任務主軸下</w:t>
      </w:r>
      <w:r w:rsidRPr="00591894">
        <w:rPr>
          <w:rFonts w:hAnsi="標楷體" w:cs="標楷體" w:hint="eastAsia"/>
          <w:kern w:val="0"/>
          <w:lang w:val="zh-TW"/>
        </w:rPr>
        <w:t>，依整體任務需求及人員離退實況，分階段增補所需人力，</w:t>
      </w:r>
      <w:r w:rsidRPr="00591894">
        <w:rPr>
          <w:rFonts w:hAnsi="標楷體" w:hint="eastAsia"/>
        </w:rPr>
        <w:t>滿足任務需求；人力資源</w:t>
      </w:r>
      <w:proofErr w:type="gramStart"/>
      <w:r w:rsidRPr="00591894">
        <w:rPr>
          <w:rFonts w:hAnsi="標楷體" w:hint="eastAsia"/>
        </w:rPr>
        <w:t>目標為循公開</w:t>
      </w:r>
      <w:proofErr w:type="gramEnd"/>
      <w:r w:rsidRPr="00591894">
        <w:rPr>
          <w:rFonts w:hAnsi="標楷體" w:hint="eastAsia"/>
        </w:rPr>
        <w:t>考選、校園培育及研替甄選等途徑羅致人才</w:t>
      </w:r>
      <w:r w:rsidRPr="00591894">
        <w:rPr>
          <w:rFonts w:hAnsi="標楷體" w:cs="標楷體" w:hint="eastAsia"/>
          <w:kern w:val="0"/>
          <w:lang w:val="zh-TW"/>
        </w:rPr>
        <w:t>，至中科院後施以專業訓練，結合職涯發展路徑，</w:t>
      </w:r>
      <w:r w:rsidRPr="00591894">
        <w:rPr>
          <w:rFonts w:hAnsi="標楷體" w:hint="eastAsia"/>
        </w:rPr>
        <w:t>投入國防科技研究及產製任務</w:t>
      </w:r>
      <w:r w:rsidRPr="00591894">
        <w:rPr>
          <w:rFonts w:hAnsi="標楷體" w:cs="標楷體" w:hint="eastAsia"/>
          <w:kern w:val="0"/>
          <w:lang w:val="zh-TW"/>
        </w:rPr>
        <w:t>。</w:t>
      </w:r>
      <w:r w:rsidRPr="00591894">
        <w:rPr>
          <w:rFonts w:hAnsi="標楷體" w:hint="eastAsia"/>
        </w:rPr>
        <w:t>截至112年2月7日止</w:t>
      </w:r>
      <w:r w:rsidRPr="00591894">
        <w:rPr>
          <w:rFonts w:hAnsi="標楷體" w:cs="標楷體" w:hint="eastAsia"/>
          <w:kern w:val="0"/>
          <w:lang w:val="zh-TW"/>
        </w:rPr>
        <w:t>，中科院計11,373人，</w:t>
      </w:r>
      <w:r w:rsidRPr="00591894">
        <w:rPr>
          <w:rFonts w:hAnsi="標楷體" w:hint="eastAsia"/>
        </w:rPr>
        <w:t>學歷</w:t>
      </w:r>
      <w:r w:rsidRPr="00591894">
        <w:rPr>
          <w:rFonts w:hAnsi="標楷體" w:cs="標楷體" w:hint="eastAsia"/>
          <w:kern w:val="0"/>
          <w:lang w:val="zh-TW"/>
        </w:rPr>
        <w:t>部分</w:t>
      </w:r>
      <w:r w:rsidRPr="00591894">
        <w:rPr>
          <w:rFonts w:hAnsi="標楷體" w:hint="eastAsia"/>
        </w:rPr>
        <w:t>以碩士學歷人數為最高</w:t>
      </w:r>
      <w:r w:rsidRPr="00591894">
        <w:rPr>
          <w:rFonts w:hAnsi="標楷體" w:cs="標楷體" w:hint="eastAsia"/>
          <w:kern w:val="0"/>
          <w:lang w:val="zh-TW"/>
        </w:rPr>
        <w:t>，</w:t>
      </w:r>
      <w:r w:rsidR="0079004E" w:rsidRPr="00591894">
        <w:rPr>
          <w:rFonts w:hAnsi="標楷體" w:cs="標楷體" w:hint="eastAsia"/>
          <w:kern w:val="0"/>
          <w:lang w:val="zh-TW"/>
        </w:rPr>
        <w:t>占</w:t>
      </w:r>
      <w:r w:rsidRPr="00591894">
        <w:rPr>
          <w:rFonts w:hAnsi="標楷體" w:cs="標楷體" w:hint="eastAsia"/>
          <w:kern w:val="0"/>
          <w:lang w:val="zh-TW"/>
        </w:rPr>
        <w:t>比45.1%；</w:t>
      </w:r>
      <w:r w:rsidRPr="00591894">
        <w:rPr>
          <w:rFonts w:hAnsi="標楷體" w:hint="eastAsia"/>
        </w:rPr>
        <w:t>年齡</w:t>
      </w:r>
      <w:r w:rsidRPr="00591894">
        <w:rPr>
          <w:rFonts w:hAnsi="標楷體" w:cs="標楷體" w:hint="eastAsia"/>
          <w:kern w:val="0"/>
          <w:lang w:val="zh-TW"/>
        </w:rPr>
        <w:t>分布，</w:t>
      </w:r>
      <w:r w:rsidRPr="00591894">
        <w:rPr>
          <w:rFonts w:hAnsi="標楷體" w:hint="eastAsia"/>
        </w:rPr>
        <w:t>以30~45歲人數為最多</w:t>
      </w:r>
      <w:r w:rsidRPr="00591894">
        <w:rPr>
          <w:rFonts w:hAnsi="標楷體" w:cs="標楷體" w:hint="eastAsia"/>
          <w:kern w:val="0"/>
          <w:lang w:val="zh-TW"/>
        </w:rPr>
        <w:t>，</w:t>
      </w:r>
      <w:r w:rsidR="0079004E" w:rsidRPr="00591894">
        <w:rPr>
          <w:rFonts w:hAnsi="標楷體" w:cs="標楷體" w:hint="eastAsia"/>
          <w:kern w:val="0"/>
          <w:lang w:val="zh-TW"/>
        </w:rPr>
        <w:t>占</w:t>
      </w:r>
      <w:r w:rsidRPr="00591894">
        <w:rPr>
          <w:rFonts w:hAnsi="標楷體" w:cs="標楷體" w:hint="eastAsia"/>
          <w:kern w:val="0"/>
          <w:lang w:val="zh-TW"/>
        </w:rPr>
        <w:t>比47.69%。</w:t>
      </w:r>
      <w:r w:rsidRPr="00591894">
        <w:rPr>
          <w:rFonts w:hAnsi="標楷體" w:hint="eastAsia"/>
        </w:rPr>
        <w:t>因應近年科技業人才競爭</w:t>
      </w:r>
      <w:r w:rsidRPr="00591894">
        <w:rPr>
          <w:rFonts w:hAnsi="標楷體" w:cs="Arial" w:hint="eastAsia"/>
        </w:rPr>
        <w:t>，</w:t>
      </w:r>
      <w:proofErr w:type="gramStart"/>
      <w:r w:rsidRPr="00591894">
        <w:rPr>
          <w:rFonts w:hAnsi="標楷體" w:hint="eastAsia"/>
        </w:rPr>
        <w:t>及少子化</w:t>
      </w:r>
      <w:proofErr w:type="gramEnd"/>
      <w:r w:rsidRPr="00591894">
        <w:rPr>
          <w:rFonts w:hAnsi="標楷體" w:cs="Arial" w:hint="eastAsia"/>
        </w:rPr>
        <w:t>浪潮，致使徵才不易</w:t>
      </w:r>
      <w:r w:rsidR="00B55BAF" w:rsidRPr="00BC75A5">
        <w:rPr>
          <w:rFonts w:hAnsi="標楷體" w:cs="Arial" w:hint="eastAsia"/>
          <w:color w:val="000000" w:themeColor="text1"/>
        </w:rPr>
        <w:t>。</w:t>
      </w:r>
      <w:r w:rsidRPr="00591894">
        <w:rPr>
          <w:rFonts w:hAnsi="標楷體" w:hint="eastAsia"/>
        </w:rPr>
        <w:t>中科院因應方式，</w:t>
      </w:r>
      <w:proofErr w:type="gramStart"/>
      <w:r w:rsidRPr="00591894">
        <w:rPr>
          <w:rFonts w:hAnsi="標楷體" w:hint="eastAsia"/>
        </w:rPr>
        <w:t>就招才</w:t>
      </w:r>
      <w:proofErr w:type="gramEnd"/>
      <w:r w:rsidRPr="00591894">
        <w:rPr>
          <w:rFonts w:hAnsi="標楷體" w:hint="eastAsia"/>
        </w:rPr>
        <w:t>措施方面，</w:t>
      </w:r>
      <w:r w:rsidRPr="00591894">
        <w:rPr>
          <w:rFonts w:hAnsi="標楷體" w:cs="Arial" w:hint="eastAsia"/>
        </w:rPr>
        <w:t>為延攬優質人力，中科院除依市場薪資行情，</w:t>
      </w:r>
      <w:r w:rsidRPr="00591894">
        <w:rPr>
          <w:rFonts w:hAnsi="標楷體" w:hint="eastAsia"/>
        </w:rPr>
        <w:t>核予研發人才較業界為高的</w:t>
      </w:r>
      <w:proofErr w:type="gramStart"/>
      <w:r w:rsidRPr="00591894">
        <w:rPr>
          <w:rFonts w:hAnsi="標楷體" w:hint="eastAsia"/>
        </w:rPr>
        <w:t>起薪</w:t>
      </w:r>
      <w:proofErr w:type="gramEnd"/>
      <w:r w:rsidRPr="00591894">
        <w:rPr>
          <w:rFonts w:hAnsi="標楷體" w:hint="eastAsia"/>
        </w:rPr>
        <w:t>外</w:t>
      </w:r>
      <w:r w:rsidRPr="00591894">
        <w:rPr>
          <w:rFonts w:hAnsi="標楷體" w:cs="Arial" w:hint="eastAsia"/>
        </w:rPr>
        <w:t>，</w:t>
      </w:r>
      <w:r w:rsidRPr="00591894">
        <w:rPr>
          <w:rFonts w:hAnsi="標楷體" w:hint="eastAsia"/>
        </w:rPr>
        <w:t>年度視員工績效差異化調薪</w:t>
      </w:r>
      <w:r w:rsidRPr="00591894">
        <w:rPr>
          <w:rFonts w:hAnsi="標楷體" w:cs="Arial" w:hint="eastAsia"/>
        </w:rPr>
        <w:t>，依營運績效，</w:t>
      </w:r>
      <w:r w:rsidRPr="00591894">
        <w:rPr>
          <w:rFonts w:hAnsi="標楷體" w:hint="eastAsia"/>
        </w:rPr>
        <w:t>針對</w:t>
      </w:r>
      <w:r w:rsidRPr="00293659">
        <w:rPr>
          <w:rFonts w:hAnsi="標楷體" w:hint="eastAsia"/>
        </w:rPr>
        <w:t>表現優異人員</w:t>
      </w:r>
      <w:proofErr w:type="gramStart"/>
      <w:r w:rsidRPr="00293659">
        <w:rPr>
          <w:rFonts w:hAnsi="標楷體" w:hint="eastAsia"/>
        </w:rPr>
        <w:t>加發增</w:t>
      </w:r>
      <w:proofErr w:type="gramEnd"/>
      <w:r w:rsidRPr="00293659">
        <w:rPr>
          <w:rFonts w:hAnsi="標楷體" w:hint="eastAsia"/>
        </w:rPr>
        <w:t>額年終獎金</w:t>
      </w:r>
      <w:r w:rsidRPr="00293659">
        <w:rPr>
          <w:rFonts w:hAnsi="標楷體" w:cs="Arial" w:hint="eastAsia"/>
        </w:rPr>
        <w:t>。另就</w:t>
      </w:r>
      <w:r w:rsidRPr="00293659">
        <w:rPr>
          <w:rFonts w:hAnsi="標楷體" w:hint="eastAsia"/>
        </w:rPr>
        <w:t>留才機制部分，訂有全時進修、公餘進修、在職訓練及證照培訓等措施，</w:t>
      </w:r>
      <w:proofErr w:type="gramStart"/>
      <w:r w:rsidRPr="00293659">
        <w:rPr>
          <w:rFonts w:hAnsi="標楷體" w:hint="eastAsia"/>
        </w:rPr>
        <w:t>循多管道</w:t>
      </w:r>
      <w:proofErr w:type="gramEnd"/>
      <w:r w:rsidRPr="00293659">
        <w:rPr>
          <w:rFonts w:hAnsi="標楷體" w:hint="eastAsia"/>
        </w:rPr>
        <w:t>模式強化同仁專業能力，並</w:t>
      </w:r>
      <w:r w:rsidRPr="00293659">
        <w:rPr>
          <w:rFonts w:hAnsi="標楷體" w:cs="Arial" w:hint="eastAsia"/>
        </w:rPr>
        <w:t>提供優質工作環境與福利，以提高留任意願。</w:t>
      </w:r>
      <w:bookmarkEnd w:id="102"/>
      <w:bookmarkEnd w:id="103"/>
    </w:p>
    <w:p w14:paraId="1F163C2A" w14:textId="598765F9" w:rsidR="00E1047E" w:rsidRPr="00293659" w:rsidRDefault="00E1047E" w:rsidP="000424A8">
      <w:pPr>
        <w:pStyle w:val="2"/>
        <w:numPr>
          <w:ilvl w:val="2"/>
          <w:numId w:val="1"/>
        </w:numPr>
        <w:ind w:left="1360" w:hanging="680"/>
        <w:rPr>
          <w:rFonts w:hAnsi="標楷體"/>
        </w:rPr>
      </w:pPr>
      <w:bookmarkStart w:id="109" w:name="_Toc144211213"/>
      <w:bookmarkStart w:id="110" w:name="_Toc145510475"/>
      <w:r w:rsidRPr="00293659">
        <w:rPr>
          <w:rFonts w:hAnsi="標楷體" w:cs="Arial" w:hint="eastAsia"/>
        </w:rPr>
        <w:t>國防部雖表示統計</w:t>
      </w:r>
      <w:r w:rsidRPr="00293659">
        <w:rPr>
          <w:rFonts w:hAnsi="標楷體" w:hint="eastAsia"/>
        </w:rPr>
        <w:t>中科院</w:t>
      </w:r>
      <w:r w:rsidRPr="00293659">
        <w:rPr>
          <w:rFonts w:hAnsi="標楷體" w:cs="Arial" w:hint="eastAsia"/>
        </w:rPr>
        <w:t>111年人員離職率約為8.2%，相較業界整體離職率16.0%尚在合理範圍，惟亦坦承</w:t>
      </w:r>
      <w:r w:rsidRPr="00293659">
        <w:rPr>
          <w:rFonts w:hAnsi="標楷體" w:hint="eastAsia"/>
          <w:szCs w:val="32"/>
        </w:rPr>
        <w:t>中科院特殊專業</w:t>
      </w:r>
      <w:r w:rsidRPr="00293659">
        <w:rPr>
          <w:rFonts w:hAnsi="標楷體" w:cs="標楷體" w:hint="eastAsia"/>
          <w:kern w:val="0"/>
          <w:szCs w:val="32"/>
          <w:lang w:val="zh-TW"/>
        </w:rPr>
        <w:t>(</w:t>
      </w:r>
      <w:r w:rsidRPr="00293659">
        <w:rPr>
          <w:rFonts w:hAnsi="標楷體" w:hint="eastAsia"/>
          <w:szCs w:val="32"/>
        </w:rPr>
        <w:t>火工作業</w:t>
      </w:r>
      <w:r w:rsidRPr="00293659">
        <w:rPr>
          <w:rFonts w:hAnsi="標楷體" w:cs="標楷體" w:hint="eastAsia"/>
          <w:kern w:val="0"/>
          <w:szCs w:val="32"/>
          <w:lang w:val="zh-TW"/>
        </w:rPr>
        <w:t>)</w:t>
      </w:r>
      <w:r w:rsidRPr="00293659">
        <w:rPr>
          <w:rFonts w:hAnsi="標楷體" w:hint="eastAsia"/>
          <w:szCs w:val="32"/>
        </w:rPr>
        <w:t>及人力</w:t>
      </w:r>
      <w:proofErr w:type="gramStart"/>
      <w:r w:rsidRPr="00293659">
        <w:rPr>
          <w:rFonts w:hAnsi="標楷體" w:hint="eastAsia"/>
          <w:szCs w:val="32"/>
        </w:rPr>
        <w:t>市場稀缺</w:t>
      </w:r>
      <w:proofErr w:type="gramEnd"/>
      <w:r w:rsidRPr="00293659">
        <w:rPr>
          <w:rFonts w:hAnsi="標楷體" w:cs="標楷體" w:hint="eastAsia"/>
          <w:kern w:val="0"/>
          <w:szCs w:val="32"/>
          <w:lang w:val="zh-TW"/>
        </w:rPr>
        <w:t>(</w:t>
      </w:r>
      <w:r w:rsidRPr="00293659">
        <w:rPr>
          <w:rFonts w:hAnsi="標楷體" w:hint="eastAsia"/>
          <w:szCs w:val="32"/>
        </w:rPr>
        <w:t>資訊安全</w:t>
      </w:r>
      <w:r w:rsidRPr="00293659">
        <w:rPr>
          <w:rFonts w:hAnsi="標楷體" w:cs="標楷體" w:hint="eastAsia"/>
          <w:kern w:val="0"/>
          <w:szCs w:val="32"/>
          <w:lang w:val="zh-TW"/>
        </w:rPr>
        <w:t>)等領域之人力資源，確實較難招募</w:t>
      </w:r>
      <w:r w:rsidR="002B417F" w:rsidRPr="00293659">
        <w:rPr>
          <w:rFonts w:hAnsi="標楷體" w:cs="標楷體" w:hint="eastAsia"/>
          <w:kern w:val="0"/>
          <w:szCs w:val="32"/>
          <w:lang w:val="zh-TW"/>
        </w:rPr>
        <w:t>。</w:t>
      </w:r>
      <w:proofErr w:type="gramStart"/>
      <w:r w:rsidRPr="00293659">
        <w:rPr>
          <w:rFonts w:hAnsi="標楷體" w:cs="標楷體" w:hint="eastAsia"/>
          <w:kern w:val="0"/>
          <w:szCs w:val="32"/>
          <w:lang w:val="zh-TW"/>
        </w:rPr>
        <w:t>審酌</w:t>
      </w:r>
      <w:r w:rsidRPr="00293659">
        <w:rPr>
          <w:rFonts w:hAnsi="標楷體" w:cs="Arial" w:hint="eastAsia"/>
        </w:rPr>
        <w:t>該院</w:t>
      </w:r>
      <w:proofErr w:type="gramEnd"/>
      <w:r w:rsidRPr="00293659">
        <w:rPr>
          <w:rFonts w:hAnsi="標楷體" w:cs="Arial" w:hint="eastAsia"/>
        </w:rPr>
        <w:t>6</w:t>
      </w:r>
      <w:r w:rsidRPr="00293659">
        <w:rPr>
          <w:rFonts w:hAnsi="標楷體" w:cs="Arial"/>
        </w:rPr>
        <w:t>0</w:t>
      </w:r>
      <w:r w:rsidRPr="00293659">
        <w:rPr>
          <w:rFonts w:hAnsi="標楷體" w:cs="Arial" w:hint="eastAsia"/>
        </w:rPr>
        <w:t>歲以上、將於</w:t>
      </w:r>
      <w:r w:rsidRPr="00293659">
        <w:rPr>
          <w:rFonts w:hAnsi="標楷體" w:cs="Calibri" w:hint="eastAsia"/>
          <w:kern w:val="0"/>
        </w:rPr>
        <w:t>5年內陸續退休</w:t>
      </w:r>
      <w:r w:rsidRPr="00293659">
        <w:rPr>
          <w:rFonts w:hAnsi="標楷體" w:cs="Arial" w:hint="eastAsia"/>
        </w:rPr>
        <w:t>人員已達</w:t>
      </w:r>
      <w:r w:rsidRPr="00293659">
        <w:rPr>
          <w:rFonts w:hAnsi="標楷體" w:cs="Calibri" w:hint="eastAsia"/>
          <w:kern w:val="0"/>
        </w:rPr>
        <w:t>1,693人</w:t>
      </w:r>
      <w:r w:rsidRPr="00293659">
        <w:rPr>
          <w:rFonts w:hAnsi="標楷體" w:cs="Arial" w:hint="eastAsia"/>
        </w:rPr>
        <w:t>、占</w:t>
      </w:r>
      <w:r w:rsidRPr="00293659">
        <w:rPr>
          <w:rFonts w:hAnsi="標楷體" w:cs="Calibri" w:hint="eastAsia"/>
          <w:kern w:val="0"/>
        </w:rPr>
        <w:t>14.89%之現況，</w:t>
      </w:r>
      <w:r w:rsidR="00C73E00" w:rsidRPr="00293659">
        <w:rPr>
          <w:rFonts w:hAnsi="標楷體" w:cs="Calibri" w:hint="eastAsia"/>
          <w:kern w:val="0"/>
        </w:rPr>
        <w:t>以及</w:t>
      </w:r>
      <w:r w:rsidR="00C73E00" w:rsidRPr="00293659">
        <w:rPr>
          <w:rFonts w:hint="eastAsia"/>
        </w:rPr>
        <w:t>再就中科院自10</w:t>
      </w:r>
      <w:r w:rsidR="00C73E00" w:rsidRPr="00293659">
        <w:t>8</w:t>
      </w:r>
      <w:r w:rsidR="00C73E00" w:rsidRPr="00293659">
        <w:rPr>
          <w:rFonts w:hint="eastAsia"/>
        </w:rPr>
        <w:lastRenderedPageBreak/>
        <w:t>年至11</w:t>
      </w:r>
      <w:r w:rsidR="00C73E00" w:rsidRPr="00293659">
        <w:t>1</w:t>
      </w:r>
      <w:r w:rsidR="00C73E00" w:rsidRPr="00293659">
        <w:rPr>
          <w:rFonts w:hint="eastAsia"/>
        </w:rPr>
        <w:t>年之統計，此</w:t>
      </w:r>
      <w:proofErr w:type="gramStart"/>
      <w:r w:rsidR="00C73E00" w:rsidRPr="00293659">
        <w:rPr>
          <w:rFonts w:hint="eastAsia"/>
        </w:rPr>
        <w:t>期間計進</w:t>
      </w:r>
      <w:proofErr w:type="gramEnd"/>
      <w:r w:rsidR="00C73E00" w:rsidRPr="00293659">
        <w:rPr>
          <w:rFonts w:hint="eastAsia"/>
        </w:rPr>
        <w:t>用5,</w:t>
      </w:r>
      <w:r w:rsidR="00B451D6" w:rsidRPr="00293659">
        <w:t>4</w:t>
      </w:r>
      <w:r w:rsidR="00C73E00" w:rsidRPr="00293659">
        <w:t>2</w:t>
      </w:r>
      <w:r w:rsidR="00C73E00" w:rsidRPr="00293659">
        <w:rPr>
          <w:rFonts w:hint="eastAsia"/>
        </w:rPr>
        <w:t>6人，但同期間內離退人數亦累積達3,</w:t>
      </w:r>
      <w:r w:rsidR="00C73E00" w:rsidRPr="00293659">
        <w:t>7</w:t>
      </w:r>
      <w:r w:rsidR="00B451D6" w:rsidRPr="00293659">
        <w:t>68</w:t>
      </w:r>
      <w:r w:rsidR="00C73E00" w:rsidRPr="00293659">
        <w:rPr>
          <w:rFonts w:hint="eastAsia"/>
        </w:rPr>
        <w:t>人，此期間離退人數略呈逐年微增，且離職人數2</w:t>
      </w:r>
      <w:r w:rsidR="00C73E00" w:rsidRPr="00293659">
        <w:t>,0</w:t>
      </w:r>
      <w:r w:rsidR="00B451D6" w:rsidRPr="00293659">
        <w:t>95</w:t>
      </w:r>
      <w:r w:rsidR="00C73E00" w:rsidRPr="00293659">
        <w:rPr>
          <w:rFonts w:hint="eastAsia"/>
        </w:rPr>
        <w:t>人</w:t>
      </w:r>
      <w:r w:rsidR="00B451D6" w:rsidRPr="00293659">
        <w:rPr>
          <w:rFonts w:hint="eastAsia"/>
        </w:rPr>
        <w:t>明顯</w:t>
      </w:r>
      <w:r w:rsidR="00C73E00" w:rsidRPr="00293659">
        <w:rPr>
          <w:rFonts w:hint="eastAsia"/>
        </w:rPr>
        <w:t>高於退休人數1</w:t>
      </w:r>
      <w:r w:rsidR="00C73E00" w:rsidRPr="00293659">
        <w:t>,6</w:t>
      </w:r>
      <w:r w:rsidR="00B451D6" w:rsidRPr="00293659">
        <w:t>7</w:t>
      </w:r>
      <w:r w:rsidR="00C73E00" w:rsidRPr="00293659">
        <w:t>3</w:t>
      </w:r>
      <w:r w:rsidR="00C73E00" w:rsidRPr="00293659">
        <w:rPr>
          <w:rFonts w:hint="eastAsia"/>
        </w:rPr>
        <w:t>人等情況</w:t>
      </w:r>
      <w:r w:rsidR="00C73E00" w:rsidRPr="00293659">
        <w:rPr>
          <w:rFonts w:hAnsi="標楷體" w:cs="Calibri" w:hint="eastAsia"/>
          <w:kern w:val="0"/>
        </w:rPr>
        <w:t>，</w:t>
      </w:r>
      <w:proofErr w:type="gramStart"/>
      <w:r w:rsidRPr="00293659">
        <w:rPr>
          <w:rFonts w:hAnsi="標楷體" w:cs="Calibri" w:hint="eastAsia"/>
          <w:kern w:val="0"/>
        </w:rPr>
        <w:t>實允</w:t>
      </w:r>
      <w:proofErr w:type="gramEnd"/>
      <w:r w:rsidRPr="00293659">
        <w:rPr>
          <w:rFonts w:hAnsi="標楷體" w:cs="Calibri" w:hint="eastAsia"/>
          <w:kern w:val="0"/>
        </w:rPr>
        <w:t>應</w:t>
      </w:r>
      <w:r w:rsidRPr="00293659">
        <w:rPr>
          <w:rFonts w:hAnsi="標楷體" w:hint="eastAsia"/>
        </w:rPr>
        <w:t>針對現職人力資源進行盤點與預估未來需求與缺口，</w:t>
      </w:r>
      <w:r w:rsidRPr="00293659">
        <w:rPr>
          <w:rFonts w:hAnsi="標楷體" w:cs="Calibri" w:hint="eastAsia"/>
          <w:kern w:val="0"/>
        </w:rPr>
        <w:t>就未來之工作量與所需人力資源預為進行相關規劃，以資周妥</w:t>
      </w:r>
      <w:r w:rsidRPr="00293659">
        <w:rPr>
          <w:rFonts w:hAnsi="標楷體" w:cs="Arial" w:hint="eastAsia"/>
        </w:rPr>
        <w:t>。</w:t>
      </w:r>
      <w:bookmarkEnd w:id="104"/>
      <w:bookmarkEnd w:id="105"/>
      <w:bookmarkEnd w:id="106"/>
      <w:bookmarkEnd w:id="107"/>
      <w:bookmarkEnd w:id="108"/>
      <w:bookmarkEnd w:id="109"/>
      <w:bookmarkEnd w:id="110"/>
    </w:p>
    <w:p w14:paraId="330ED4A0" w14:textId="7F08E248" w:rsidR="00E1047E" w:rsidRPr="006B2BF4" w:rsidRDefault="00E1047E" w:rsidP="00E1047E">
      <w:pPr>
        <w:pStyle w:val="a3"/>
        <w:spacing w:after="120"/>
        <w:ind w:left="482" w:hanging="482"/>
        <w:rPr>
          <w:rFonts w:hAnsi="標楷體"/>
        </w:rPr>
      </w:pPr>
      <w:r w:rsidRPr="006B2BF4">
        <w:rPr>
          <w:rFonts w:hAnsi="標楷體" w:hint="eastAsia"/>
          <w:b/>
        </w:rPr>
        <w:t>中科院人員學歷分</w:t>
      </w:r>
      <w:r w:rsidR="00EF7366" w:rsidRPr="006B2BF4">
        <w:rPr>
          <w:rFonts w:hAnsi="標楷體" w:hint="eastAsia"/>
          <w:b/>
        </w:rPr>
        <w:t>布</w:t>
      </w:r>
      <w:r w:rsidRPr="006B2BF4">
        <w:rPr>
          <w:rFonts w:hAnsi="標楷體" w:hint="eastAsia"/>
          <w:b/>
        </w:rPr>
        <w:t>表資料</w:t>
      </w:r>
      <w:r w:rsidRPr="006B2BF4">
        <w:rPr>
          <w:rFonts w:hAnsi="標楷體" w:hint="eastAsia"/>
        </w:rPr>
        <w:t xml:space="preserve"> </w:t>
      </w:r>
    </w:p>
    <w:tbl>
      <w:tblPr>
        <w:tblW w:w="8736" w:type="dxa"/>
        <w:tblInd w:w="38" w:type="dxa"/>
        <w:tblLayout w:type="fixed"/>
        <w:tblCellMar>
          <w:left w:w="28" w:type="dxa"/>
          <w:right w:w="28" w:type="dxa"/>
        </w:tblCellMar>
        <w:tblLook w:val="04A0" w:firstRow="1" w:lastRow="0" w:firstColumn="1" w:lastColumn="0" w:noHBand="0" w:noVBand="1"/>
      </w:tblPr>
      <w:tblGrid>
        <w:gridCol w:w="6"/>
        <w:gridCol w:w="1645"/>
        <w:gridCol w:w="1187"/>
        <w:gridCol w:w="1188"/>
        <w:gridCol w:w="1188"/>
        <w:gridCol w:w="1188"/>
        <w:gridCol w:w="1188"/>
        <w:gridCol w:w="1131"/>
        <w:gridCol w:w="15"/>
      </w:tblGrid>
      <w:tr w:rsidR="006B2BF4" w:rsidRPr="0050214A" w14:paraId="71FD0772" w14:textId="77777777" w:rsidTr="002B417F">
        <w:trPr>
          <w:gridBefore w:val="1"/>
          <w:trHeight w:val="513"/>
        </w:trPr>
        <w:tc>
          <w:tcPr>
            <w:tcW w:w="1648" w:type="dxa"/>
            <w:tcBorders>
              <w:top w:val="single" w:sz="12" w:space="0" w:color="auto"/>
              <w:left w:val="single" w:sz="12" w:space="0" w:color="auto"/>
              <w:bottom w:val="single" w:sz="6" w:space="0" w:color="auto"/>
              <w:right w:val="single" w:sz="6" w:space="0" w:color="auto"/>
              <w:tl2br w:val="single" w:sz="4" w:space="0" w:color="auto"/>
            </w:tcBorders>
            <w:shd w:val="pct5" w:color="auto" w:fill="auto"/>
            <w:noWrap/>
            <w:vAlign w:val="center"/>
          </w:tcPr>
          <w:p w14:paraId="22B1200E" w14:textId="2632890B" w:rsidR="00E1047E" w:rsidRPr="006B2BF4" w:rsidRDefault="00E1047E" w:rsidP="0050214A">
            <w:pPr>
              <w:widowControl/>
              <w:spacing w:line="400" w:lineRule="exact"/>
              <w:jc w:val="center"/>
              <w:rPr>
                <w:rFonts w:hAnsi="標楷體" w:cs="Calibri"/>
                <w:kern w:val="0"/>
                <w:sz w:val="26"/>
                <w:szCs w:val="26"/>
              </w:rPr>
            </w:pPr>
          </w:p>
        </w:tc>
        <w:tc>
          <w:tcPr>
            <w:tcW w:w="1190" w:type="dxa"/>
            <w:tcBorders>
              <w:top w:val="single" w:sz="12" w:space="0" w:color="auto"/>
              <w:left w:val="single" w:sz="6" w:space="0" w:color="auto"/>
              <w:bottom w:val="single" w:sz="6" w:space="0" w:color="auto"/>
              <w:right w:val="single" w:sz="6" w:space="0" w:color="auto"/>
            </w:tcBorders>
            <w:shd w:val="pct5" w:color="auto" w:fill="auto"/>
            <w:noWrap/>
            <w:vAlign w:val="center"/>
            <w:hideMark/>
          </w:tcPr>
          <w:p w14:paraId="00276C0B" w14:textId="77777777" w:rsidR="00E1047E" w:rsidRPr="006B2BF4" w:rsidRDefault="00E1047E" w:rsidP="0050214A">
            <w:pPr>
              <w:widowControl/>
              <w:spacing w:line="400" w:lineRule="exact"/>
              <w:jc w:val="center"/>
              <w:rPr>
                <w:rFonts w:hAnsi="標楷體" w:cs="Calibri"/>
                <w:kern w:val="0"/>
                <w:sz w:val="26"/>
                <w:szCs w:val="26"/>
              </w:rPr>
            </w:pPr>
            <w:r w:rsidRPr="006B2BF4">
              <w:rPr>
                <w:rFonts w:hAnsi="標楷體" w:cs="Calibri" w:hint="eastAsia"/>
                <w:kern w:val="0"/>
                <w:sz w:val="26"/>
                <w:szCs w:val="26"/>
              </w:rPr>
              <w:t>博士</w:t>
            </w:r>
          </w:p>
        </w:tc>
        <w:tc>
          <w:tcPr>
            <w:tcW w:w="1191" w:type="dxa"/>
            <w:tcBorders>
              <w:top w:val="single" w:sz="12" w:space="0" w:color="auto"/>
              <w:left w:val="single" w:sz="6" w:space="0" w:color="auto"/>
              <w:bottom w:val="single" w:sz="6" w:space="0" w:color="auto"/>
              <w:right w:val="single" w:sz="6" w:space="0" w:color="auto"/>
            </w:tcBorders>
            <w:shd w:val="pct5" w:color="auto" w:fill="auto"/>
            <w:noWrap/>
            <w:vAlign w:val="center"/>
            <w:hideMark/>
          </w:tcPr>
          <w:p w14:paraId="036882E5" w14:textId="77777777" w:rsidR="00E1047E" w:rsidRPr="006B2BF4" w:rsidRDefault="00E1047E" w:rsidP="0050214A">
            <w:pPr>
              <w:widowControl/>
              <w:spacing w:line="400" w:lineRule="exact"/>
              <w:jc w:val="center"/>
              <w:rPr>
                <w:rFonts w:hAnsi="標楷體" w:cs="Calibri"/>
                <w:kern w:val="0"/>
                <w:sz w:val="26"/>
                <w:szCs w:val="26"/>
              </w:rPr>
            </w:pPr>
            <w:r w:rsidRPr="006B2BF4">
              <w:rPr>
                <w:rFonts w:hAnsi="標楷體" w:cs="Calibri" w:hint="eastAsia"/>
                <w:kern w:val="0"/>
                <w:sz w:val="26"/>
                <w:szCs w:val="26"/>
              </w:rPr>
              <w:t>碩士</w:t>
            </w:r>
          </w:p>
        </w:tc>
        <w:tc>
          <w:tcPr>
            <w:tcW w:w="1191" w:type="dxa"/>
            <w:tcBorders>
              <w:top w:val="single" w:sz="12" w:space="0" w:color="auto"/>
              <w:left w:val="single" w:sz="6" w:space="0" w:color="auto"/>
              <w:bottom w:val="single" w:sz="6" w:space="0" w:color="auto"/>
              <w:right w:val="single" w:sz="6" w:space="0" w:color="auto"/>
            </w:tcBorders>
            <w:shd w:val="pct5" w:color="auto" w:fill="auto"/>
            <w:noWrap/>
            <w:vAlign w:val="center"/>
            <w:hideMark/>
          </w:tcPr>
          <w:p w14:paraId="5B7234B4" w14:textId="77777777" w:rsidR="00E1047E" w:rsidRPr="006B2BF4" w:rsidRDefault="00E1047E" w:rsidP="0050214A">
            <w:pPr>
              <w:widowControl/>
              <w:spacing w:line="400" w:lineRule="exact"/>
              <w:jc w:val="center"/>
              <w:rPr>
                <w:rFonts w:hAnsi="標楷體" w:cs="Calibri"/>
                <w:kern w:val="0"/>
                <w:sz w:val="26"/>
                <w:szCs w:val="26"/>
              </w:rPr>
            </w:pPr>
            <w:r w:rsidRPr="006B2BF4">
              <w:rPr>
                <w:rFonts w:hAnsi="標楷體" w:cs="Calibri" w:hint="eastAsia"/>
                <w:kern w:val="0"/>
                <w:sz w:val="26"/>
                <w:szCs w:val="26"/>
              </w:rPr>
              <w:t>學士</w:t>
            </w:r>
          </w:p>
        </w:tc>
        <w:tc>
          <w:tcPr>
            <w:tcW w:w="1191" w:type="dxa"/>
            <w:tcBorders>
              <w:top w:val="single" w:sz="12" w:space="0" w:color="auto"/>
              <w:left w:val="single" w:sz="6" w:space="0" w:color="auto"/>
              <w:bottom w:val="single" w:sz="6" w:space="0" w:color="auto"/>
              <w:right w:val="single" w:sz="6" w:space="0" w:color="auto"/>
            </w:tcBorders>
            <w:shd w:val="pct5" w:color="auto" w:fill="auto"/>
            <w:noWrap/>
            <w:vAlign w:val="center"/>
            <w:hideMark/>
          </w:tcPr>
          <w:p w14:paraId="475CB75E" w14:textId="77777777" w:rsidR="00E1047E" w:rsidRPr="006B2BF4" w:rsidRDefault="00E1047E" w:rsidP="0050214A">
            <w:pPr>
              <w:widowControl/>
              <w:spacing w:line="400" w:lineRule="exact"/>
              <w:jc w:val="center"/>
              <w:rPr>
                <w:rFonts w:hAnsi="標楷體" w:cs="Calibri"/>
                <w:kern w:val="0"/>
                <w:sz w:val="26"/>
                <w:szCs w:val="26"/>
              </w:rPr>
            </w:pPr>
            <w:r w:rsidRPr="006B2BF4">
              <w:rPr>
                <w:rFonts w:hAnsi="標楷體" w:cs="Calibri" w:hint="eastAsia"/>
                <w:kern w:val="0"/>
                <w:sz w:val="26"/>
                <w:szCs w:val="26"/>
              </w:rPr>
              <w:t>副學士</w:t>
            </w:r>
          </w:p>
        </w:tc>
        <w:tc>
          <w:tcPr>
            <w:tcW w:w="1191" w:type="dxa"/>
            <w:tcBorders>
              <w:top w:val="single" w:sz="12" w:space="0" w:color="auto"/>
              <w:left w:val="single" w:sz="6" w:space="0" w:color="auto"/>
              <w:bottom w:val="single" w:sz="6" w:space="0" w:color="auto"/>
              <w:right w:val="single" w:sz="6" w:space="0" w:color="auto"/>
            </w:tcBorders>
            <w:shd w:val="pct5" w:color="auto" w:fill="auto"/>
            <w:noWrap/>
            <w:vAlign w:val="center"/>
            <w:hideMark/>
          </w:tcPr>
          <w:p w14:paraId="4AF359E7" w14:textId="77777777" w:rsidR="00E1047E" w:rsidRPr="006B2BF4" w:rsidRDefault="00E1047E" w:rsidP="0050214A">
            <w:pPr>
              <w:widowControl/>
              <w:spacing w:line="400" w:lineRule="exact"/>
              <w:jc w:val="center"/>
              <w:rPr>
                <w:rFonts w:hAnsi="標楷體" w:cs="Calibri"/>
                <w:kern w:val="0"/>
                <w:sz w:val="26"/>
                <w:szCs w:val="26"/>
              </w:rPr>
            </w:pPr>
            <w:r w:rsidRPr="006B2BF4">
              <w:rPr>
                <w:rFonts w:hAnsi="標楷體" w:cs="Calibri" w:hint="eastAsia"/>
                <w:kern w:val="0"/>
                <w:sz w:val="26"/>
                <w:szCs w:val="26"/>
              </w:rPr>
              <w:t>高中以下</w:t>
            </w:r>
          </w:p>
        </w:tc>
        <w:tc>
          <w:tcPr>
            <w:tcW w:w="1134" w:type="dxa"/>
            <w:gridSpan w:val="2"/>
            <w:tcBorders>
              <w:top w:val="single" w:sz="12" w:space="0" w:color="auto"/>
              <w:left w:val="single" w:sz="6" w:space="0" w:color="auto"/>
              <w:bottom w:val="single" w:sz="6" w:space="0" w:color="auto"/>
              <w:right w:val="single" w:sz="12" w:space="0" w:color="auto"/>
            </w:tcBorders>
            <w:shd w:val="pct5" w:color="auto" w:fill="auto"/>
            <w:noWrap/>
            <w:vAlign w:val="center"/>
            <w:hideMark/>
          </w:tcPr>
          <w:p w14:paraId="74CCDB11" w14:textId="77777777" w:rsidR="00E1047E" w:rsidRPr="006B2BF4" w:rsidRDefault="00E1047E" w:rsidP="0050214A">
            <w:pPr>
              <w:widowControl/>
              <w:spacing w:line="400" w:lineRule="exact"/>
              <w:jc w:val="center"/>
              <w:rPr>
                <w:rFonts w:hAnsi="標楷體" w:cs="Calibri"/>
                <w:kern w:val="0"/>
                <w:sz w:val="26"/>
                <w:szCs w:val="26"/>
              </w:rPr>
            </w:pPr>
            <w:r w:rsidRPr="006B2BF4">
              <w:rPr>
                <w:rFonts w:hAnsi="標楷體" w:cs="Calibri" w:hint="eastAsia"/>
                <w:kern w:val="0"/>
                <w:sz w:val="26"/>
                <w:szCs w:val="26"/>
              </w:rPr>
              <w:t>合計</w:t>
            </w:r>
          </w:p>
        </w:tc>
      </w:tr>
      <w:tr w:rsidR="006B2BF4" w:rsidRPr="006B2BF4" w14:paraId="6313B3A7" w14:textId="77777777" w:rsidTr="002B417F">
        <w:trPr>
          <w:gridBefore w:val="1"/>
          <w:trHeight w:hRule="exact" w:val="369"/>
        </w:trPr>
        <w:tc>
          <w:tcPr>
            <w:tcW w:w="1648"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82151A8" w14:textId="77777777" w:rsidR="00E1047E" w:rsidRPr="006B2BF4" w:rsidRDefault="00E1047E" w:rsidP="002B417F">
            <w:pPr>
              <w:widowControl/>
              <w:spacing w:line="340" w:lineRule="exact"/>
              <w:jc w:val="center"/>
              <w:rPr>
                <w:rFonts w:hAnsi="標楷體" w:cs="Calibri"/>
                <w:kern w:val="0"/>
                <w:sz w:val="26"/>
                <w:szCs w:val="26"/>
              </w:rPr>
            </w:pPr>
            <w:r w:rsidRPr="006B2BF4">
              <w:rPr>
                <w:rFonts w:hAnsi="標楷體" w:cs="Calibri" w:hint="eastAsia"/>
                <w:kern w:val="0"/>
                <w:sz w:val="26"/>
                <w:szCs w:val="26"/>
              </w:rPr>
              <w:t>人數</w:t>
            </w:r>
          </w:p>
        </w:tc>
        <w:tc>
          <w:tcPr>
            <w:tcW w:w="11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146888D" w14:textId="77777777" w:rsidR="00E1047E" w:rsidRPr="006B2BF4" w:rsidRDefault="00E1047E" w:rsidP="00C73E00">
            <w:pPr>
              <w:widowControl/>
              <w:spacing w:line="360" w:lineRule="exact"/>
              <w:ind w:rightChars="75" w:right="255"/>
              <w:jc w:val="right"/>
              <w:rPr>
                <w:rFonts w:hAnsi="標楷體" w:cs="Calibri"/>
                <w:kern w:val="0"/>
                <w:sz w:val="26"/>
                <w:szCs w:val="26"/>
              </w:rPr>
            </w:pPr>
            <w:r w:rsidRPr="006B2BF4">
              <w:rPr>
                <w:rFonts w:hAnsi="標楷體" w:cs="Calibri" w:hint="eastAsia"/>
                <w:kern w:val="0"/>
                <w:sz w:val="26"/>
                <w:szCs w:val="26"/>
              </w:rPr>
              <w:t>784</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F15FFD" w14:textId="77777777" w:rsidR="00E1047E" w:rsidRPr="006B2BF4" w:rsidRDefault="00E1047E" w:rsidP="00C73E00">
            <w:pPr>
              <w:widowControl/>
              <w:spacing w:line="360" w:lineRule="exact"/>
              <w:ind w:rightChars="75" w:right="255"/>
              <w:jc w:val="right"/>
              <w:rPr>
                <w:rFonts w:hAnsi="標楷體" w:cs="Calibri"/>
                <w:kern w:val="0"/>
                <w:sz w:val="26"/>
                <w:szCs w:val="26"/>
              </w:rPr>
            </w:pPr>
            <w:r w:rsidRPr="006B2BF4">
              <w:rPr>
                <w:rFonts w:hAnsi="標楷體" w:cs="Calibri" w:hint="eastAsia"/>
                <w:kern w:val="0"/>
                <w:sz w:val="26"/>
                <w:szCs w:val="26"/>
              </w:rPr>
              <w:t>5,129</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FC53C9" w14:textId="77777777" w:rsidR="00E1047E" w:rsidRPr="006B2BF4" w:rsidRDefault="00E1047E" w:rsidP="00C73E00">
            <w:pPr>
              <w:widowControl/>
              <w:spacing w:line="360" w:lineRule="exact"/>
              <w:ind w:rightChars="75" w:right="255"/>
              <w:jc w:val="right"/>
              <w:rPr>
                <w:rFonts w:hAnsi="標楷體" w:cs="Calibri"/>
                <w:kern w:val="0"/>
                <w:sz w:val="26"/>
                <w:szCs w:val="26"/>
              </w:rPr>
            </w:pPr>
            <w:r w:rsidRPr="006B2BF4">
              <w:rPr>
                <w:rFonts w:hAnsi="標楷體" w:cs="Calibri" w:hint="eastAsia"/>
                <w:kern w:val="0"/>
                <w:sz w:val="26"/>
                <w:szCs w:val="26"/>
              </w:rPr>
              <w:t>3,654</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272EEC" w14:textId="77777777" w:rsidR="00E1047E" w:rsidRPr="006B2BF4" w:rsidRDefault="00E1047E" w:rsidP="00C73E00">
            <w:pPr>
              <w:widowControl/>
              <w:spacing w:line="360" w:lineRule="exact"/>
              <w:ind w:rightChars="75" w:right="255"/>
              <w:jc w:val="right"/>
              <w:rPr>
                <w:rFonts w:hAnsi="標楷體" w:cs="Calibri"/>
                <w:kern w:val="0"/>
                <w:sz w:val="26"/>
                <w:szCs w:val="26"/>
              </w:rPr>
            </w:pPr>
            <w:r w:rsidRPr="006B2BF4">
              <w:rPr>
                <w:rFonts w:hAnsi="標楷體" w:cs="Calibri" w:hint="eastAsia"/>
                <w:kern w:val="0"/>
                <w:sz w:val="26"/>
                <w:szCs w:val="26"/>
              </w:rPr>
              <w:t>1,103</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3FD29A" w14:textId="77777777" w:rsidR="00E1047E" w:rsidRPr="006B2BF4" w:rsidRDefault="00E1047E" w:rsidP="00C73E00">
            <w:pPr>
              <w:widowControl/>
              <w:spacing w:line="360" w:lineRule="exact"/>
              <w:ind w:rightChars="75" w:right="255"/>
              <w:jc w:val="right"/>
              <w:rPr>
                <w:rFonts w:hAnsi="標楷體" w:cs="Calibri"/>
                <w:kern w:val="0"/>
                <w:sz w:val="26"/>
                <w:szCs w:val="26"/>
              </w:rPr>
            </w:pPr>
            <w:r w:rsidRPr="006B2BF4">
              <w:rPr>
                <w:rFonts w:hAnsi="標楷體" w:cs="Calibri" w:hint="eastAsia"/>
                <w:kern w:val="0"/>
                <w:sz w:val="26"/>
                <w:szCs w:val="26"/>
              </w:rPr>
              <w:t>703</w:t>
            </w:r>
          </w:p>
        </w:tc>
        <w:tc>
          <w:tcPr>
            <w:tcW w:w="1134"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77F20A1" w14:textId="77777777" w:rsidR="00E1047E" w:rsidRPr="006B2BF4" w:rsidRDefault="00E1047E" w:rsidP="00C73E00">
            <w:pPr>
              <w:widowControl/>
              <w:spacing w:line="360" w:lineRule="exact"/>
              <w:ind w:rightChars="50" w:right="170"/>
              <w:jc w:val="right"/>
              <w:rPr>
                <w:rFonts w:hAnsi="標楷體" w:cs="Calibri"/>
                <w:kern w:val="0"/>
                <w:sz w:val="26"/>
                <w:szCs w:val="26"/>
              </w:rPr>
            </w:pPr>
            <w:r w:rsidRPr="006B2BF4">
              <w:rPr>
                <w:rFonts w:hAnsi="標楷體" w:cs="Calibri" w:hint="eastAsia"/>
                <w:kern w:val="0"/>
                <w:sz w:val="26"/>
                <w:szCs w:val="26"/>
              </w:rPr>
              <w:t>11,373</w:t>
            </w:r>
          </w:p>
        </w:tc>
      </w:tr>
      <w:tr w:rsidR="006B2BF4" w:rsidRPr="006B2BF4" w14:paraId="43D90589" w14:textId="77777777" w:rsidTr="002B417F">
        <w:trPr>
          <w:gridAfter w:val="1"/>
          <w:wAfter w:w="15" w:type="dxa"/>
          <w:trHeight w:hRule="exact" w:val="369"/>
        </w:trPr>
        <w:tc>
          <w:tcPr>
            <w:tcW w:w="1648" w:type="dxa"/>
            <w:gridSpan w:val="2"/>
            <w:tcBorders>
              <w:top w:val="single" w:sz="6" w:space="0" w:color="auto"/>
              <w:left w:val="single" w:sz="12" w:space="0" w:color="auto"/>
              <w:bottom w:val="single" w:sz="12" w:space="0" w:color="auto"/>
              <w:right w:val="single" w:sz="6" w:space="0" w:color="auto"/>
            </w:tcBorders>
            <w:shd w:val="clear" w:color="auto" w:fill="auto"/>
            <w:noWrap/>
            <w:vAlign w:val="center"/>
            <w:hideMark/>
          </w:tcPr>
          <w:p w14:paraId="05DFEE8E" w14:textId="77777777" w:rsidR="00E1047E" w:rsidRPr="006B2BF4" w:rsidRDefault="00E1047E" w:rsidP="002B417F">
            <w:pPr>
              <w:widowControl/>
              <w:spacing w:line="340" w:lineRule="exact"/>
              <w:jc w:val="center"/>
              <w:rPr>
                <w:rFonts w:hAnsi="標楷體" w:cs="Calibri"/>
                <w:kern w:val="0"/>
                <w:sz w:val="26"/>
                <w:szCs w:val="26"/>
              </w:rPr>
            </w:pPr>
            <w:r w:rsidRPr="006B2BF4">
              <w:rPr>
                <w:rFonts w:hAnsi="標楷體" w:cs="Calibri" w:hint="eastAsia"/>
                <w:kern w:val="0"/>
                <w:sz w:val="26"/>
                <w:szCs w:val="26"/>
              </w:rPr>
              <w:t>占比%</w:t>
            </w:r>
          </w:p>
        </w:tc>
        <w:tc>
          <w:tcPr>
            <w:tcW w:w="1190"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7ACF6BBD" w14:textId="77777777" w:rsidR="00E1047E" w:rsidRPr="006B2BF4" w:rsidRDefault="00E1047E" w:rsidP="00C73E00">
            <w:pPr>
              <w:widowControl/>
              <w:spacing w:line="360" w:lineRule="exact"/>
              <w:jc w:val="center"/>
              <w:rPr>
                <w:rFonts w:hAnsi="標楷體" w:cs="Calibri"/>
                <w:kern w:val="0"/>
                <w:sz w:val="26"/>
                <w:szCs w:val="26"/>
              </w:rPr>
            </w:pPr>
            <w:r w:rsidRPr="006B2BF4">
              <w:rPr>
                <w:rFonts w:hAnsi="標楷體" w:cs="Calibri" w:hint="eastAsia"/>
                <w:kern w:val="0"/>
                <w:sz w:val="26"/>
                <w:szCs w:val="26"/>
              </w:rPr>
              <w:t>6.89%</w:t>
            </w:r>
          </w:p>
        </w:tc>
        <w:tc>
          <w:tcPr>
            <w:tcW w:w="1191"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02652DAC" w14:textId="77777777" w:rsidR="00E1047E" w:rsidRPr="006B2BF4" w:rsidRDefault="00E1047E" w:rsidP="00C73E00">
            <w:pPr>
              <w:widowControl/>
              <w:spacing w:line="360" w:lineRule="exact"/>
              <w:jc w:val="center"/>
              <w:rPr>
                <w:rFonts w:hAnsi="標楷體" w:cs="Calibri"/>
                <w:kern w:val="0"/>
                <w:sz w:val="26"/>
                <w:szCs w:val="26"/>
              </w:rPr>
            </w:pPr>
            <w:r w:rsidRPr="006B2BF4">
              <w:rPr>
                <w:rFonts w:hAnsi="標楷體" w:cs="Calibri" w:hint="eastAsia"/>
                <w:kern w:val="0"/>
                <w:sz w:val="26"/>
                <w:szCs w:val="26"/>
              </w:rPr>
              <w:t>45.10%</w:t>
            </w:r>
          </w:p>
        </w:tc>
        <w:tc>
          <w:tcPr>
            <w:tcW w:w="1191"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7E95C445" w14:textId="77777777" w:rsidR="00E1047E" w:rsidRPr="006B2BF4" w:rsidRDefault="00E1047E" w:rsidP="00C73E00">
            <w:pPr>
              <w:widowControl/>
              <w:spacing w:line="360" w:lineRule="exact"/>
              <w:jc w:val="center"/>
              <w:rPr>
                <w:rFonts w:hAnsi="標楷體" w:cs="Calibri"/>
                <w:kern w:val="0"/>
                <w:sz w:val="26"/>
                <w:szCs w:val="26"/>
              </w:rPr>
            </w:pPr>
            <w:r w:rsidRPr="006B2BF4">
              <w:rPr>
                <w:rFonts w:hAnsi="標楷體" w:cs="Calibri" w:hint="eastAsia"/>
                <w:kern w:val="0"/>
                <w:sz w:val="26"/>
                <w:szCs w:val="26"/>
              </w:rPr>
              <w:t>32.13%</w:t>
            </w:r>
          </w:p>
        </w:tc>
        <w:tc>
          <w:tcPr>
            <w:tcW w:w="1191"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52979263" w14:textId="77777777" w:rsidR="00E1047E" w:rsidRPr="006B2BF4" w:rsidRDefault="00E1047E" w:rsidP="00C73E00">
            <w:pPr>
              <w:widowControl/>
              <w:spacing w:line="360" w:lineRule="exact"/>
              <w:jc w:val="center"/>
              <w:rPr>
                <w:rFonts w:hAnsi="標楷體" w:cs="Calibri"/>
                <w:kern w:val="0"/>
                <w:sz w:val="26"/>
                <w:szCs w:val="26"/>
              </w:rPr>
            </w:pPr>
            <w:r w:rsidRPr="006B2BF4">
              <w:rPr>
                <w:rFonts w:hAnsi="標楷體" w:cs="Calibri" w:hint="eastAsia"/>
                <w:kern w:val="0"/>
                <w:sz w:val="26"/>
                <w:szCs w:val="26"/>
              </w:rPr>
              <w:t>9.70%</w:t>
            </w:r>
          </w:p>
        </w:tc>
        <w:tc>
          <w:tcPr>
            <w:tcW w:w="1191"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1BD7D288" w14:textId="77777777" w:rsidR="00E1047E" w:rsidRPr="006B2BF4" w:rsidRDefault="00E1047E" w:rsidP="00C73E00">
            <w:pPr>
              <w:widowControl/>
              <w:spacing w:line="360" w:lineRule="exact"/>
              <w:jc w:val="center"/>
              <w:rPr>
                <w:rFonts w:hAnsi="標楷體" w:cs="Calibri"/>
                <w:kern w:val="0"/>
                <w:sz w:val="26"/>
                <w:szCs w:val="26"/>
              </w:rPr>
            </w:pPr>
            <w:r w:rsidRPr="006B2BF4">
              <w:rPr>
                <w:rFonts w:hAnsi="標楷體" w:cs="Calibri" w:hint="eastAsia"/>
                <w:kern w:val="0"/>
                <w:sz w:val="26"/>
                <w:szCs w:val="26"/>
              </w:rPr>
              <w:t>6.18%</w:t>
            </w:r>
          </w:p>
        </w:tc>
        <w:tc>
          <w:tcPr>
            <w:tcW w:w="1134"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14:paraId="41B47AD5" w14:textId="77777777" w:rsidR="00E1047E" w:rsidRPr="006B2BF4" w:rsidRDefault="00E1047E" w:rsidP="00C73E00">
            <w:pPr>
              <w:widowControl/>
              <w:spacing w:line="360" w:lineRule="exact"/>
              <w:ind w:leftChars="-8" w:left="-27" w:rightChars="-8" w:right="-27"/>
              <w:jc w:val="center"/>
              <w:rPr>
                <w:rFonts w:hAnsi="標楷體" w:cs="Calibri"/>
                <w:kern w:val="0"/>
                <w:sz w:val="26"/>
                <w:szCs w:val="26"/>
              </w:rPr>
            </w:pPr>
            <w:r w:rsidRPr="006B2BF4">
              <w:rPr>
                <w:rFonts w:hAnsi="標楷體" w:cs="Calibri" w:hint="eastAsia"/>
                <w:kern w:val="0"/>
                <w:sz w:val="26"/>
                <w:szCs w:val="26"/>
              </w:rPr>
              <w:t>100.00%</w:t>
            </w:r>
          </w:p>
        </w:tc>
      </w:tr>
    </w:tbl>
    <w:p w14:paraId="3A7D8143" w14:textId="1ADFEC50" w:rsidR="00C37300" w:rsidRPr="006B2BF4" w:rsidRDefault="00C37300" w:rsidP="00C37300">
      <w:pPr>
        <w:spacing w:line="300" w:lineRule="exact"/>
        <w:rPr>
          <w:rFonts w:hAnsi="標楷體"/>
          <w:sz w:val="24"/>
          <w:szCs w:val="24"/>
        </w:rPr>
      </w:pPr>
      <w:proofErr w:type="gramStart"/>
      <w:r w:rsidRPr="006B2BF4">
        <w:rPr>
          <w:rFonts w:hAnsi="標楷體" w:hint="eastAsia"/>
          <w:sz w:val="24"/>
          <w:szCs w:val="24"/>
        </w:rPr>
        <w:t>註</w:t>
      </w:r>
      <w:proofErr w:type="gramEnd"/>
      <w:r w:rsidRPr="006B2BF4">
        <w:rPr>
          <w:rFonts w:hAnsi="標楷體" w:hint="eastAsia"/>
          <w:sz w:val="24"/>
          <w:szCs w:val="24"/>
        </w:rPr>
        <w:t>：本表統計日期為</w:t>
      </w:r>
      <w:r w:rsidRPr="006B2BF4">
        <w:rPr>
          <w:rFonts w:hAnsi="標楷體" w:cs="標楷體" w:hint="eastAsia"/>
          <w:kern w:val="0"/>
          <w:sz w:val="24"/>
          <w:szCs w:val="24"/>
          <w:lang w:val="zh-TW"/>
        </w:rPr>
        <w:t>112年2月7日。</w:t>
      </w:r>
    </w:p>
    <w:p w14:paraId="77B62F89" w14:textId="653EEFAC" w:rsidR="00E1047E" w:rsidRPr="006B2BF4" w:rsidRDefault="00E1047E" w:rsidP="00E1047E">
      <w:pPr>
        <w:spacing w:afterLines="25" w:after="114" w:line="300" w:lineRule="exact"/>
        <w:rPr>
          <w:rFonts w:hAnsi="標楷體"/>
          <w:sz w:val="24"/>
          <w:szCs w:val="24"/>
        </w:rPr>
      </w:pPr>
      <w:r w:rsidRPr="006B2BF4">
        <w:rPr>
          <w:rFonts w:hAnsi="標楷體" w:hint="eastAsia"/>
          <w:sz w:val="24"/>
          <w:szCs w:val="24"/>
        </w:rPr>
        <w:t>資料來源：國防部。</w:t>
      </w:r>
    </w:p>
    <w:p w14:paraId="234A81A6" w14:textId="6CD709C8" w:rsidR="00E1047E" w:rsidRPr="006B2BF4" w:rsidRDefault="00E1047E" w:rsidP="00E1047E">
      <w:pPr>
        <w:pStyle w:val="a3"/>
        <w:spacing w:after="120"/>
        <w:ind w:left="482" w:hanging="482"/>
        <w:rPr>
          <w:rFonts w:hAnsi="標楷體"/>
        </w:rPr>
      </w:pPr>
      <w:r w:rsidRPr="006B2BF4">
        <w:rPr>
          <w:rFonts w:hAnsi="標楷體" w:hint="eastAsia"/>
          <w:b/>
        </w:rPr>
        <w:t>中科院人員年齡分</w:t>
      </w:r>
      <w:r w:rsidR="00EF7366" w:rsidRPr="006B2BF4">
        <w:rPr>
          <w:rFonts w:hAnsi="標楷體" w:hint="eastAsia"/>
          <w:b/>
        </w:rPr>
        <w:t>布</w:t>
      </w:r>
      <w:r w:rsidRPr="006B2BF4">
        <w:rPr>
          <w:rFonts w:hAnsi="標楷體" w:hint="eastAsia"/>
          <w:b/>
        </w:rPr>
        <w:t>表</w:t>
      </w:r>
      <w:r w:rsidRPr="006B2BF4">
        <w:rPr>
          <w:rFonts w:hAnsi="標楷體" w:cs="Calibri" w:hint="eastAsia"/>
          <w:kern w:val="0"/>
        </w:rPr>
        <w:t xml:space="preserve">     </w:t>
      </w:r>
      <w:r w:rsidRPr="006B2BF4">
        <w:rPr>
          <w:rFonts w:hAnsi="標楷體" w:cs="Calibri"/>
          <w:kern w:val="0"/>
        </w:rPr>
        <w:t xml:space="preserve">   </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51"/>
        <w:gridCol w:w="1209"/>
        <w:gridCol w:w="1209"/>
        <w:gridCol w:w="1210"/>
        <w:gridCol w:w="1209"/>
        <w:gridCol w:w="1210"/>
        <w:gridCol w:w="1116"/>
      </w:tblGrid>
      <w:tr w:rsidR="006B2BF4" w:rsidRPr="006B2BF4" w14:paraId="28F8022C" w14:textId="77777777" w:rsidTr="00AA69F7">
        <w:trPr>
          <w:trHeight w:val="465"/>
        </w:trPr>
        <w:tc>
          <w:tcPr>
            <w:tcW w:w="1651" w:type="dxa"/>
            <w:tcBorders>
              <w:top w:val="single" w:sz="12" w:space="0" w:color="auto"/>
              <w:left w:val="single" w:sz="12" w:space="0" w:color="auto"/>
              <w:tl2br w:val="single" w:sz="12" w:space="0" w:color="auto"/>
            </w:tcBorders>
            <w:shd w:val="pct5" w:color="auto" w:fill="auto"/>
            <w:noWrap/>
            <w:vAlign w:val="center"/>
            <w:hideMark/>
          </w:tcPr>
          <w:p w14:paraId="7C5C7FEA" w14:textId="65F5EA83" w:rsidR="00E1047E" w:rsidRPr="006B2BF4" w:rsidRDefault="00E1047E" w:rsidP="00A8393B">
            <w:pPr>
              <w:widowControl/>
              <w:spacing w:line="400" w:lineRule="exact"/>
              <w:jc w:val="center"/>
              <w:rPr>
                <w:rFonts w:hAnsi="標楷體" w:cs="Calibri"/>
                <w:kern w:val="0"/>
                <w:sz w:val="26"/>
                <w:szCs w:val="26"/>
              </w:rPr>
            </w:pPr>
          </w:p>
        </w:tc>
        <w:tc>
          <w:tcPr>
            <w:tcW w:w="1209" w:type="dxa"/>
            <w:tcBorders>
              <w:top w:val="single" w:sz="12" w:space="0" w:color="auto"/>
            </w:tcBorders>
            <w:shd w:val="pct5" w:color="auto" w:fill="auto"/>
            <w:noWrap/>
            <w:vAlign w:val="center"/>
            <w:hideMark/>
          </w:tcPr>
          <w:p w14:paraId="03A42035"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30歲以下</w:t>
            </w:r>
          </w:p>
        </w:tc>
        <w:tc>
          <w:tcPr>
            <w:tcW w:w="1209" w:type="dxa"/>
            <w:tcBorders>
              <w:top w:val="single" w:sz="12" w:space="0" w:color="auto"/>
            </w:tcBorders>
            <w:shd w:val="pct5" w:color="auto" w:fill="auto"/>
            <w:noWrap/>
            <w:vAlign w:val="center"/>
            <w:hideMark/>
          </w:tcPr>
          <w:p w14:paraId="4A744FD2"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30-45歲</w:t>
            </w:r>
          </w:p>
        </w:tc>
        <w:tc>
          <w:tcPr>
            <w:tcW w:w="1210" w:type="dxa"/>
            <w:tcBorders>
              <w:top w:val="single" w:sz="12" w:space="0" w:color="auto"/>
            </w:tcBorders>
            <w:shd w:val="pct5" w:color="auto" w:fill="auto"/>
            <w:noWrap/>
            <w:vAlign w:val="center"/>
            <w:hideMark/>
          </w:tcPr>
          <w:p w14:paraId="6B26F877"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45-60歲</w:t>
            </w:r>
          </w:p>
        </w:tc>
        <w:tc>
          <w:tcPr>
            <w:tcW w:w="1209" w:type="dxa"/>
            <w:tcBorders>
              <w:top w:val="single" w:sz="12" w:space="0" w:color="auto"/>
            </w:tcBorders>
            <w:shd w:val="pct5" w:color="auto" w:fill="auto"/>
            <w:noWrap/>
            <w:vAlign w:val="center"/>
            <w:hideMark/>
          </w:tcPr>
          <w:p w14:paraId="5116CA84"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60歲以上</w:t>
            </w:r>
          </w:p>
        </w:tc>
        <w:tc>
          <w:tcPr>
            <w:tcW w:w="1210" w:type="dxa"/>
            <w:tcBorders>
              <w:top w:val="single" w:sz="12" w:space="0" w:color="auto"/>
            </w:tcBorders>
            <w:shd w:val="pct5" w:color="auto" w:fill="auto"/>
            <w:noWrap/>
            <w:vAlign w:val="center"/>
            <w:hideMark/>
          </w:tcPr>
          <w:p w14:paraId="72640956"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人數總計</w:t>
            </w:r>
          </w:p>
        </w:tc>
        <w:tc>
          <w:tcPr>
            <w:tcW w:w="1116" w:type="dxa"/>
            <w:tcBorders>
              <w:top w:val="single" w:sz="12" w:space="0" w:color="auto"/>
              <w:right w:val="single" w:sz="12" w:space="0" w:color="auto"/>
            </w:tcBorders>
            <w:shd w:val="pct5" w:color="auto" w:fill="auto"/>
            <w:noWrap/>
            <w:vAlign w:val="center"/>
            <w:hideMark/>
          </w:tcPr>
          <w:p w14:paraId="02C70ADA" w14:textId="77777777" w:rsidR="00E1047E" w:rsidRPr="006B2BF4" w:rsidRDefault="00E1047E" w:rsidP="00A8393B">
            <w:pPr>
              <w:widowControl/>
              <w:spacing w:line="400" w:lineRule="exact"/>
              <w:ind w:leftChars="-12" w:left="-41" w:rightChars="-9" w:right="-31"/>
              <w:jc w:val="center"/>
              <w:rPr>
                <w:rFonts w:hAnsi="標楷體" w:cs="Calibri"/>
                <w:kern w:val="0"/>
                <w:sz w:val="26"/>
                <w:szCs w:val="26"/>
              </w:rPr>
            </w:pPr>
            <w:r w:rsidRPr="006B2BF4">
              <w:rPr>
                <w:rFonts w:hAnsi="標楷體" w:cs="Calibri" w:hint="eastAsia"/>
                <w:kern w:val="0"/>
                <w:sz w:val="26"/>
                <w:szCs w:val="26"/>
              </w:rPr>
              <w:t>平均年齡</w:t>
            </w:r>
          </w:p>
        </w:tc>
      </w:tr>
      <w:tr w:rsidR="006B2BF4" w:rsidRPr="006B2BF4" w14:paraId="205C19A4" w14:textId="77777777" w:rsidTr="0077469E">
        <w:trPr>
          <w:trHeight w:hRule="exact" w:val="397"/>
        </w:trPr>
        <w:tc>
          <w:tcPr>
            <w:tcW w:w="1651" w:type="dxa"/>
            <w:tcBorders>
              <w:left w:val="single" w:sz="12" w:space="0" w:color="auto"/>
            </w:tcBorders>
            <w:shd w:val="clear" w:color="auto" w:fill="auto"/>
            <w:noWrap/>
            <w:vAlign w:val="center"/>
            <w:hideMark/>
          </w:tcPr>
          <w:p w14:paraId="09241A54" w14:textId="77777777" w:rsidR="00E1047E" w:rsidRPr="006B2BF4" w:rsidRDefault="00E1047E" w:rsidP="00C73E00">
            <w:pPr>
              <w:widowControl/>
              <w:spacing w:line="380" w:lineRule="exact"/>
              <w:jc w:val="center"/>
              <w:rPr>
                <w:rFonts w:hAnsi="標楷體" w:cs="Calibri"/>
                <w:kern w:val="0"/>
                <w:sz w:val="26"/>
                <w:szCs w:val="26"/>
              </w:rPr>
            </w:pPr>
            <w:r w:rsidRPr="006B2BF4">
              <w:rPr>
                <w:rFonts w:hAnsi="標楷體" w:cs="Calibri" w:hint="eastAsia"/>
                <w:kern w:val="0"/>
                <w:sz w:val="26"/>
                <w:szCs w:val="26"/>
              </w:rPr>
              <w:t>人數</w:t>
            </w:r>
          </w:p>
        </w:tc>
        <w:tc>
          <w:tcPr>
            <w:tcW w:w="1209" w:type="dxa"/>
            <w:shd w:val="clear" w:color="auto" w:fill="auto"/>
            <w:noWrap/>
            <w:vAlign w:val="center"/>
            <w:hideMark/>
          </w:tcPr>
          <w:p w14:paraId="4912C954" w14:textId="77777777" w:rsidR="00E1047E" w:rsidRPr="006B2BF4" w:rsidRDefault="00E1047E" w:rsidP="00A8393B">
            <w:pPr>
              <w:widowControl/>
              <w:spacing w:line="400" w:lineRule="exact"/>
              <w:ind w:rightChars="75" w:right="255"/>
              <w:jc w:val="right"/>
              <w:rPr>
                <w:rFonts w:hAnsi="標楷體" w:cs="Calibri"/>
                <w:kern w:val="0"/>
                <w:sz w:val="26"/>
                <w:szCs w:val="26"/>
              </w:rPr>
            </w:pPr>
            <w:r w:rsidRPr="006B2BF4">
              <w:rPr>
                <w:rFonts w:hAnsi="標楷體" w:cs="Calibri" w:hint="eastAsia"/>
                <w:kern w:val="0"/>
                <w:sz w:val="26"/>
                <w:szCs w:val="26"/>
              </w:rPr>
              <w:t>1,595</w:t>
            </w:r>
          </w:p>
        </w:tc>
        <w:tc>
          <w:tcPr>
            <w:tcW w:w="1209" w:type="dxa"/>
            <w:shd w:val="clear" w:color="auto" w:fill="auto"/>
            <w:noWrap/>
            <w:vAlign w:val="center"/>
            <w:hideMark/>
          </w:tcPr>
          <w:p w14:paraId="70C279EC" w14:textId="77777777" w:rsidR="00E1047E" w:rsidRPr="006B2BF4" w:rsidRDefault="00E1047E" w:rsidP="00A8393B">
            <w:pPr>
              <w:widowControl/>
              <w:spacing w:line="400" w:lineRule="exact"/>
              <w:ind w:rightChars="75" w:right="255"/>
              <w:jc w:val="right"/>
              <w:rPr>
                <w:rFonts w:hAnsi="標楷體" w:cs="Calibri"/>
                <w:kern w:val="0"/>
                <w:sz w:val="26"/>
                <w:szCs w:val="26"/>
              </w:rPr>
            </w:pPr>
            <w:r w:rsidRPr="006B2BF4">
              <w:rPr>
                <w:rFonts w:hAnsi="標楷體" w:cs="Calibri" w:hint="eastAsia"/>
                <w:kern w:val="0"/>
                <w:sz w:val="26"/>
                <w:szCs w:val="26"/>
              </w:rPr>
              <w:t>5,424</w:t>
            </w:r>
          </w:p>
        </w:tc>
        <w:tc>
          <w:tcPr>
            <w:tcW w:w="1210" w:type="dxa"/>
            <w:shd w:val="clear" w:color="auto" w:fill="auto"/>
            <w:noWrap/>
            <w:vAlign w:val="center"/>
            <w:hideMark/>
          </w:tcPr>
          <w:p w14:paraId="6FCC4DD7" w14:textId="77777777" w:rsidR="00E1047E" w:rsidRPr="006B2BF4" w:rsidRDefault="00E1047E" w:rsidP="00A8393B">
            <w:pPr>
              <w:widowControl/>
              <w:spacing w:line="400" w:lineRule="exact"/>
              <w:ind w:rightChars="75" w:right="255"/>
              <w:jc w:val="right"/>
              <w:rPr>
                <w:rFonts w:hAnsi="標楷體" w:cs="Calibri"/>
                <w:kern w:val="0"/>
                <w:sz w:val="26"/>
                <w:szCs w:val="26"/>
              </w:rPr>
            </w:pPr>
            <w:r w:rsidRPr="006B2BF4">
              <w:rPr>
                <w:rFonts w:hAnsi="標楷體" w:cs="Calibri" w:hint="eastAsia"/>
                <w:kern w:val="0"/>
                <w:sz w:val="26"/>
                <w:szCs w:val="26"/>
              </w:rPr>
              <w:t>2,661</w:t>
            </w:r>
          </w:p>
        </w:tc>
        <w:tc>
          <w:tcPr>
            <w:tcW w:w="1209" w:type="dxa"/>
            <w:shd w:val="clear" w:color="auto" w:fill="auto"/>
            <w:noWrap/>
            <w:vAlign w:val="center"/>
            <w:hideMark/>
          </w:tcPr>
          <w:p w14:paraId="0BD31BBB" w14:textId="77777777" w:rsidR="00E1047E" w:rsidRPr="006B2BF4" w:rsidRDefault="00E1047E" w:rsidP="00A8393B">
            <w:pPr>
              <w:widowControl/>
              <w:spacing w:line="400" w:lineRule="exact"/>
              <w:ind w:rightChars="75" w:right="255"/>
              <w:jc w:val="right"/>
              <w:rPr>
                <w:rFonts w:hAnsi="標楷體" w:cs="Calibri"/>
                <w:kern w:val="0"/>
                <w:sz w:val="26"/>
                <w:szCs w:val="26"/>
              </w:rPr>
            </w:pPr>
            <w:r w:rsidRPr="006B2BF4">
              <w:rPr>
                <w:rFonts w:hAnsi="標楷體" w:cs="Calibri" w:hint="eastAsia"/>
                <w:kern w:val="0"/>
                <w:sz w:val="26"/>
                <w:szCs w:val="26"/>
              </w:rPr>
              <w:t>1,693</w:t>
            </w:r>
          </w:p>
        </w:tc>
        <w:tc>
          <w:tcPr>
            <w:tcW w:w="1210" w:type="dxa"/>
            <w:shd w:val="clear" w:color="auto" w:fill="auto"/>
            <w:noWrap/>
            <w:vAlign w:val="center"/>
            <w:hideMark/>
          </w:tcPr>
          <w:p w14:paraId="3CDB9AB1" w14:textId="77777777" w:rsidR="00E1047E" w:rsidRPr="006B2BF4" w:rsidRDefault="00E1047E" w:rsidP="00A8393B">
            <w:pPr>
              <w:widowControl/>
              <w:spacing w:line="400" w:lineRule="exact"/>
              <w:ind w:rightChars="50" w:right="170"/>
              <w:jc w:val="right"/>
              <w:rPr>
                <w:rFonts w:hAnsi="標楷體" w:cs="Calibri"/>
                <w:kern w:val="0"/>
                <w:sz w:val="26"/>
                <w:szCs w:val="26"/>
              </w:rPr>
            </w:pPr>
            <w:r w:rsidRPr="006B2BF4">
              <w:rPr>
                <w:rFonts w:hAnsi="標楷體" w:cs="Calibri" w:hint="eastAsia"/>
                <w:kern w:val="0"/>
                <w:sz w:val="26"/>
                <w:szCs w:val="26"/>
              </w:rPr>
              <w:t>11,373</w:t>
            </w:r>
          </w:p>
        </w:tc>
        <w:tc>
          <w:tcPr>
            <w:tcW w:w="1116" w:type="dxa"/>
            <w:tcBorders>
              <w:bottom w:val="single" w:sz="4" w:space="0" w:color="auto"/>
              <w:right w:val="single" w:sz="12" w:space="0" w:color="auto"/>
            </w:tcBorders>
            <w:shd w:val="clear" w:color="auto" w:fill="auto"/>
            <w:noWrap/>
            <w:vAlign w:val="center"/>
            <w:hideMark/>
          </w:tcPr>
          <w:p w14:paraId="4FCA5643"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42.92</w:t>
            </w:r>
          </w:p>
        </w:tc>
      </w:tr>
      <w:tr w:rsidR="006B2BF4" w:rsidRPr="006B2BF4" w14:paraId="1F72BE67" w14:textId="77777777" w:rsidTr="0077469E">
        <w:trPr>
          <w:trHeight w:hRule="exact" w:val="397"/>
        </w:trPr>
        <w:tc>
          <w:tcPr>
            <w:tcW w:w="1651" w:type="dxa"/>
            <w:tcBorders>
              <w:left w:val="single" w:sz="12" w:space="0" w:color="auto"/>
              <w:bottom w:val="single" w:sz="12" w:space="0" w:color="auto"/>
            </w:tcBorders>
            <w:shd w:val="clear" w:color="auto" w:fill="auto"/>
            <w:noWrap/>
            <w:vAlign w:val="center"/>
            <w:hideMark/>
          </w:tcPr>
          <w:p w14:paraId="08505F21" w14:textId="77777777" w:rsidR="00E1047E" w:rsidRPr="006B2BF4" w:rsidRDefault="00E1047E" w:rsidP="00C73E00">
            <w:pPr>
              <w:widowControl/>
              <w:spacing w:line="380" w:lineRule="exact"/>
              <w:jc w:val="center"/>
              <w:rPr>
                <w:rFonts w:hAnsi="標楷體" w:cs="Calibri"/>
                <w:kern w:val="0"/>
                <w:sz w:val="26"/>
                <w:szCs w:val="26"/>
              </w:rPr>
            </w:pPr>
            <w:r w:rsidRPr="006B2BF4">
              <w:rPr>
                <w:rFonts w:hAnsi="標楷體" w:cs="Calibri" w:hint="eastAsia"/>
                <w:kern w:val="0"/>
                <w:sz w:val="26"/>
                <w:szCs w:val="26"/>
              </w:rPr>
              <w:t>占比%</w:t>
            </w:r>
          </w:p>
        </w:tc>
        <w:tc>
          <w:tcPr>
            <w:tcW w:w="1209" w:type="dxa"/>
            <w:tcBorders>
              <w:bottom w:val="single" w:sz="12" w:space="0" w:color="auto"/>
            </w:tcBorders>
            <w:shd w:val="clear" w:color="auto" w:fill="auto"/>
            <w:noWrap/>
            <w:vAlign w:val="center"/>
            <w:hideMark/>
          </w:tcPr>
          <w:p w14:paraId="0E5E3175"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14.02%</w:t>
            </w:r>
          </w:p>
        </w:tc>
        <w:tc>
          <w:tcPr>
            <w:tcW w:w="1209" w:type="dxa"/>
            <w:tcBorders>
              <w:bottom w:val="single" w:sz="12" w:space="0" w:color="auto"/>
            </w:tcBorders>
            <w:shd w:val="clear" w:color="auto" w:fill="auto"/>
            <w:noWrap/>
            <w:vAlign w:val="center"/>
            <w:hideMark/>
          </w:tcPr>
          <w:p w14:paraId="4E9C1F62"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47.69%</w:t>
            </w:r>
          </w:p>
        </w:tc>
        <w:tc>
          <w:tcPr>
            <w:tcW w:w="1210" w:type="dxa"/>
            <w:tcBorders>
              <w:bottom w:val="single" w:sz="12" w:space="0" w:color="auto"/>
            </w:tcBorders>
            <w:shd w:val="clear" w:color="auto" w:fill="auto"/>
            <w:noWrap/>
            <w:vAlign w:val="center"/>
            <w:hideMark/>
          </w:tcPr>
          <w:p w14:paraId="566CD030"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23.40%</w:t>
            </w:r>
          </w:p>
        </w:tc>
        <w:tc>
          <w:tcPr>
            <w:tcW w:w="1209" w:type="dxa"/>
            <w:tcBorders>
              <w:bottom w:val="single" w:sz="12" w:space="0" w:color="auto"/>
            </w:tcBorders>
            <w:shd w:val="clear" w:color="auto" w:fill="auto"/>
            <w:noWrap/>
            <w:vAlign w:val="center"/>
            <w:hideMark/>
          </w:tcPr>
          <w:p w14:paraId="277B9642"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14.89%</w:t>
            </w:r>
          </w:p>
        </w:tc>
        <w:tc>
          <w:tcPr>
            <w:tcW w:w="1210" w:type="dxa"/>
            <w:tcBorders>
              <w:bottom w:val="single" w:sz="12" w:space="0" w:color="auto"/>
            </w:tcBorders>
            <w:shd w:val="clear" w:color="auto" w:fill="auto"/>
            <w:noWrap/>
            <w:vAlign w:val="center"/>
            <w:hideMark/>
          </w:tcPr>
          <w:p w14:paraId="4B402D21" w14:textId="77777777" w:rsidR="00E1047E" w:rsidRPr="006B2BF4" w:rsidRDefault="00E1047E" w:rsidP="00A8393B">
            <w:pPr>
              <w:widowControl/>
              <w:spacing w:line="400" w:lineRule="exact"/>
              <w:jc w:val="center"/>
              <w:rPr>
                <w:rFonts w:hAnsi="標楷體" w:cs="Calibri"/>
                <w:kern w:val="0"/>
                <w:sz w:val="26"/>
                <w:szCs w:val="26"/>
              </w:rPr>
            </w:pPr>
            <w:r w:rsidRPr="006B2BF4">
              <w:rPr>
                <w:rFonts w:hAnsi="標楷體" w:cs="Calibri" w:hint="eastAsia"/>
                <w:kern w:val="0"/>
                <w:sz w:val="26"/>
                <w:szCs w:val="26"/>
              </w:rPr>
              <w:t>100.00%</w:t>
            </w:r>
          </w:p>
        </w:tc>
        <w:tc>
          <w:tcPr>
            <w:tcW w:w="1116" w:type="dxa"/>
            <w:tcBorders>
              <w:bottom w:val="single" w:sz="12" w:space="0" w:color="auto"/>
              <w:right w:val="single" w:sz="12" w:space="0" w:color="auto"/>
              <w:tr2bl w:val="single" w:sz="4" w:space="0" w:color="auto"/>
            </w:tcBorders>
            <w:shd w:val="clear" w:color="auto" w:fill="auto"/>
            <w:noWrap/>
            <w:vAlign w:val="bottom"/>
            <w:hideMark/>
          </w:tcPr>
          <w:p w14:paraId="78102BF1" w14:textId="77777777" w:rsidR="00E1047E" w:rsidRPr="006B2BF4" w:rsidRDefault="00E1047E" w:rsidP="00A8393B">
            <w:pPr>
              <w:widowControl/>
              <w:spacing w:line="400" w:lineRule="exact"/>
              <w:jc w:val="center"/>
              <w:rPr>
                <w:rFonts w:hAnsi="標楷體" w:cs="Calibri"/>
                <w:kern w:val="0"/>
                <w:sz w:val="26"/>
                <w:szCs w:val="26"/>
              </w:rPr>
            </w:pPr>
          </w:p>
        </w:tc>
      </w:tr>
    </w:tbl>
    <w:p w14:paraId="7913A24C" w14:textId="77777777" w:rsidR="00C37300" w:rsidRPr="006B2BF4" w:rsidRDefault="00C37300" w:rsidP="00C37300">
      <w:pPr>
        <w:spacing w:line="300" w:lineRule="exact"/>
        <w:rPr>
          <w:rFonts w:hAnsi="標楷體"/>
          <w:sz w:val="24"/>
          <w:szCs w:val="24"/>
        </w:rPr>
      </w:pPr>
      <w:bookmarkStart w:id="111" w:name="_Toc143243833"/>
      <w:bookmarkStart w:id="112" w:name="_Toc143262190"/>
      <w:bookmarkStart w:id="113" w:name="_Toc143263075"/>
      <w:bookmarkEnd w:id="101"/>
      <w:proofErr w:type="gramStart"/>
      <w:r w:rsidRPr="006B2BF4">
        <w:rPr>
          <w:rFonts w:hAnsi="標楷體" w:hint="eastAsia"/>
          <w:sz w:val="24"/>
          <w:szCs w:val="24"/>
        </w:rPr>
        <w:t>註</w:t>
      </w:r>
      <w:proofErr w:type="gramEnd"/>
      <w:r w:rsidRPr="006B2BF4">
        <w:rPr>
          <w:rFonts w:hAnsi="標楷體" w:hint="eastAsia"/>
          <w:sz w:val="24"/>
          <w:szCs w:val="24"/>
        </w:rPr>
        <w:t>：本表統計日期為</w:t>
      </w:r>
      <w:r w:rsidRPr="006B2BF4">
        <w:rPr>
          <w:rFonts w:hAnsi="標楷體" w:cs="標楷體" w:hint="eastAsia"/>
          <w:kern w:val="0"/>
          <w:sz w:val="24"/>
          <w:szCs w:val="24"/>
          <w:lang w:val="zh-TW"/>
        </w:rPr>
        <w:t>112年2月7日。</w:t>
      </w:r>
    </w:p>
    <w:p w14:paraId="01463C78" w14:textId="2FE4BE24" w:rsidR="00C37300" w:rsidRPr="006B2BF4" w:rsidRDefault="00C37300" w:rsidP="00C73E00">
      <w:pPr>
        <w:spacing w:afterLines="50" w:after="228" w:line="300" w:lineRule="exact"/>
        <w:rPr>
          <w:rFonts w:hAnsi="標楷體"/>
          <w:sz w:val="24"/>
          <w:szCs w:val="24"/>
        </w:rPr>
      </w:pPr>
      <w:r w:rsidRPr="006B2BF4">
        <w:rPr>
          <w:rFonts w:hAnsi="標楷體" w:hint="eastAsia"/>
          <w:sz w:val="24"/>
          <w:szCs w:val="24"/>
        </w:rPr>
        <w:t>資料來源：國防部。</w:t>
      </w:r>
    </w:p>
    <w:p w14:paraId="02DA6ABB" w14:textId="77777777" w:rsidR="00C73E00" w:rsidRPr="00293659" w:rsidRDefault="00C73E00" w:rsidP="00C73E00">
      <w:pPr>
        <w:pStyle w:val="a3"/>
        <w:rPr>
          <w:rFonts w:hAnsi="標楷體"/>
        </w:rPr>
      </w:pPr>
      <w:r w:rsidRPr="00293659">
        <w:rPr>
          <w:rFonts w:hAnsi="標楷體" w:hint="eastAsia"/>
        </w:rPr>
        <w:t>中科院1</w:t>
      </w:r>
      <w:r w:rsidRPr="00293659">
        <w:rPr>
          <w:rFonts w:hAnsi="標楷體"/>
        </w:rPr>
        <w:t>08</w:t>
      </w:r>
      <w:r w:rsidRPr="00293659">
        <w:rPr>
          <w:rFonts w:hAnsi="標楷體" w:hint="eastAsia"/>
        </w:rPr>
        <w:t>年至1</w:t>
      </w:r>
      <w:r w:rsidRPr="00293659">
        <w:rPr>
          <w:rFonts w:hAnsi="標楷體"/>
        </w:rPr>
        <w:t>11</w:t>
      </w:r>
      <w:r w:rsidRPr="00293659">
        <w:rPr>
          <w:rFonts w:hAnsi="標楷體" w:hint="eastAsia"/>
        </w:rPr>
        <w:t>年離職率統計表</w:t>
      </w:r>
    </w:p>
    <w:tbl>
      <w:tblPr>
        <w:tblW w:w="8784" w:type="dxa"/>
        <w:tblLayout w:type="fixed"/>
        <w:tblCellMar>
          <w:left w:w="28" w:type="dxa"/>
          <w:right w:w="28" w:type="dxa"/>
        </w:tblCellMar>
        <w:tblLook w:val="04A0" w:firstRow="1" w:lastRow="0" w:firstColumn="1" w:lastColumn="0" w:noHBand="0" w:noVBand="1"/>
      </w:tblPr>
      <w:tblGrid>
        <w:gridCol w:w="2122"/>
        <w:gridCol w:w="1240"/>
        <w:gridCol w:w="1240"/>
        <w:gridCol w:w="1240"/>
        <w:gridCol w:w="1241"/>
        <w:gridCol w:w="1701"/>
      </w:tblGrid>
      <w:tr w:rsidR="00293659" w:rsidRPr="00293659" w14:paraId="171F3674" w14:textId="77777777" w:rsidTr="000424A8">
        <w:trPr>
          <w:trHeight w:val="724"/>
        </w:trPr>
        <w:tc>
          <w:tcPr>
            <w:tcW w:w="2122" w:type="dxa"/>
            <w:tcBorders>
              <w:top w:val="single" w:sz="4" w:space="0" w:color="auto"/>
              <w:left w:val="single" w:sz="4" w:space="0" w:color="auto"/>
              <w:bottom w:val="single" w:sz="4" w:space="0" w:color="auto"/>
              <w:right w:val="single" w:sz="4" w:space="0" w:color="auto"/>
              <w:tl2br w:val="single" w:sz="4" w:space="0" w:color="auto"/>
            </w:tcBorders>
            <w:shd w:val="pct5" w:color="auto" w:fill="auto"/>
            <w:noWrap/>
            <w:vAlign w:val="center"/>
            <w:hideMark/>
          </w:tcPr>
          <w:p w14:paraId="103D375E" w14:textId="77777777" w:rsidR="00C73E00" w:rsidRPr="00293659" w:rsidRDefault="00C73E00" w:rsidP="000424A8">
            <w:pPr>
              <w:widowControl/>
              <w:spacing w:line="400" w:lineRule="exact"/>
              <w:jc w:val="center"/>
              <w:rPr>
                <w:rFonts w:hAnsi="標楷體" w:cs="Calibri"/>
                <w:kern w:val="0"/>
                <w:sz w:val="24"/>
                <w:szCs w:val="24"/>
              </w:rPr>
            </w:pPr>
            <w:r w:rsidRPr="00293659">
              <w:rPr>
                <w:rFonts w:hAnsi="標楷體" w:cs="Calibri" w:hint="eastAsia"/>
                <w:kern w:val="0"/>
                <w:sz w:val="28"/>
                <w:szCs w:val="28"/>
              </w:rPr>
              <w:t xml:space="preserve">        </w:t>
            </w:r>
            <w:r w:rsidRPr="00293659">
              <w:rPr>
                <w:rFonts w:hAnsi="標楷體" w:cs="Calibri" w:hint="eastAsia"/>
                <w:kern w:val="0"/>
                <w:sz w:val="24"/>
                <w:szCs w:val="24"/>
              </w:rPr>
              <w:t>年度</w:t>
            </w:r>
          </w:p>
          <w:p w14:paraId="1781C3CE" w14:textId="77777777" w:rsidR="00C73E00" w:rsidRPr="00293659" w:rsidRDefault="00C73E00" w:rsidP="000424A8">
            <w:pPr>
              <w:widowControl/>
              <w:spacing w:line="400" w:lineRule="exact"/>
              <w:jc w:val="left"/>
              <w:rPr>
                <w:rFonts w:hAnsi="標楷體" w:cs="Calibri"/>
                <w:kern w:val="0"/>
                <w:sz w:val="24"/>
                <w:szCs w:val="24"/>
              </w:rPr>
            </w:pPr>
            <w:r w:rsidRPr="00293659">
              <w:rPr>
                <w:rFonts w:hAnsi="標楷體" w:cs="Calibri" w:hint="eastAsia"/>
                <w:kern w:val="0"/>
                <w:sz w:val="24"/>
                <w:szCs w:val="24"/>
              </w:rPr>
              <w:t>項目</w:t>
            </w:r>
          </w:p>
        </w:tc>
        <w:tc>
          <w:tcPr>
            <w:tcW w:w="1240" w:type="dxa"/>
            <w:tcBorders>
              <w:top w:val="single" w:sz="4" w:space="0" w:color="auto"/>
              <w:left w:val="single" w:sz="4" w:space="0" w:color="auto"/>
              <w:bottom w:val="single" w:sz="4" w:space="0" w:color="auto"/>
              <w:right w:val="single" w:sz="4" w:space="0" w:color="auto"/>
            </w:tcBorders>
            <w:shd w:val="pct5" w:color="auto" w:fill="auto"/>
            <w:noWrap/>
            <w:vAlign w:val="center"/>
          </w:tcPr>
          <w:p w14:paraId="68417838" w14:textId="77777777" w:rsidR="00C73E00" w:rsidRPr="00293659" w:rsidRDefault="00C73E00" w:rsidP="000424A8">
            <w:pPr>
              <w:widowControl/>
              <w:spacing w:line="400" w:lineRule="exact"/>
              <w:jc w:val="center"/>
              <w:rPr>
                <w:rFonts w:hAnsi="標楷體" w:cs="Calibri"/>
                <w:kern w:val="0"/>
                <w:sz w:val="26"/>
                <w:szCs w:val="26"/>
              </w:rPr>
            </w:pPr>
            <w:r w:rsidRPr="00293659">
              <w:rPr>
                <w:rFonts w:hAnsi="標楷體" w:cs="Calibri" w:hint="eastAsia"/>
                <w:kern w:val="0"/>
                <w:sz w:val="26"/>
                <w:szCs w:val="26"/>
              </w:rPr>
              <w:t>1</w:t>
            </w:r>
            <w:r w:rsidRPr="00293659">
              <w:rPr>
                <w:rFonts w:hAnsi="標楷體" w:cs="Calibri"/>
                <w:kern w:val="0"/>
                <w:sz w:val="26"/>
                <w:szCs w:val="26"/>
              </w:rPr>
              <w:t>08</w:t>
            </w:r>
            <w:r w:rsidRPr="00293659">
              <w:rPr>
                <w:rFonts w:hAnsi="標楷體" w:cs="Calibri" w:hint="eastAsia"/>
                <w:kern w:val="0"/>
                <w:sz w:val="26"/>
                <w:szCs w:val="26"/>
              </w:rPr>
              <w:t>年</w:t>
            </w:r>
          </w:p>
        </w:tc>
        <w:tc>
          <w:tcPr>
            <w:tcW w:w="1240" w:type="dxa"/>
            <w:tcBorders>
              <w:top w:val="single" w:sz="4" w:space="0" w:color="auto"/>
              <w:left w:val="single" w:sz="4" w:space="0" w:color="auto"/>
              <w:bottom w:val="single" w:sz="4" w:space="0" w:color="auto"/>
              <w:right w:val="single" w:sz="4" w:space="0" w:color="auto"/>
            </w:tcBorders>
            <w:shd w:val="pct5" w:color="auto" w:fill="auto"/>
            <w:vAlign w:val="center"/>
          </w:tcPr>
          <w:p w14:paraId="32ADFA00" w14:textId="77777777" w:rsidR="00C73E00" w:rsidRPr="00293659" w:rsidRDefault="00C73E00" w:rsidP="000424A8">
            <w:pPr>
              <w:widowControl/>
              <w:spacing w:line="400" w:lineRule="exact"/>
              <w:jc w:val="center"/>
              <w:rPr>
                <w:rFonts w:hAnsi="標楷體" w:cs="Calibri"/>
                <w:kern w:val="0"/>
                <w:sz w:val="26"/>
                <w:szCs w:val="26"/>
              </w:rPr>
            </w:pPr>
            <w:r w:rsidRPr="00293659">
              <w:rPr>
                <w:rFonts w:hAnsi="標楷體" w:cs="Calibri" w:hint="eastAsia"/>
                <w:kern w:val="0"/>
                <w:sz w:val="26"/>
                <w:szCs w:val="26"/>
              </w:rPr>
              <w:t>1</w:t>
            </w:r>
            <w:r w:rsidRPr="00293659">
              <w:rPr>
                <w:rFonts w:hAnsi="標楷體" w:cs="Calibri"/>
                <w:kern w:val="0"/>
                <w:sz w:val="26"/>
                <w:szCs w:val="26"/>
              </w:rPr>
              <w:t>09</w:t>
            </w:r>
            <w:r w:rsidRPr="00293659">
              <w:rPr>
                <w:rFonts w:hAnsi="標楷體" w:cs="Calibri" w:hint="eastAsia"/>
                <w:kern w:val="0"/>
                <w:sz w:val="26"/>
                <w:szCs w:val="26"/>
              </w:rPr>
              <w:t>年</w:t>
            </w:r>
          </w:p>
        </w:tc>
        <w:tc>
          <w:tcPr>
            <w:tcW w:w="124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575C9CED" w14:textId="77777777" w:rsidR="00C73E00" w:rsidRPr="00293659" w:rsidRDefault="00C73E00" w:rsidP="000424A8">
            <w:pPr>
              <w:widowControl/>
              <w:spacing w:line="400" w:lineRule="exact"/>
              <w:jc w:val="center"/>
              <w:rPr>
                <w:rFonts w:hAnsi="標楷體" w:cs="Calibri"/>
                <w:kern w:val="0"/>
                <w:sz w:val="26"/>
                <w:szCs w:val="26"/>
              </w:rPr>
            </w:pPr>
            <w:r w:rsidRPr="00293659">
              <w:rPr>
                <w:rFonts w:hAnsi="標楷體" w:cs="Calibri" w:hint="eastAsia"/>
                <w:kern w:val="0"/>
                <w:sz w:val="26"/>
                <w:szCs w:val="26"/>
              </w:rPr>
              <w:t>1</w:t>
            </w:r>
            <w:r w:rsidRPr="00293659">
              <w:rPr>
                <w:rFonts w:hAnsi="標楷體" w:cs="Calibri"/>
                <w:kern w:val="0"/>
                <w:sz w:val="26"/>
                <w:szCs w:val="26"/>
              </w:rPr>
              <w:t>10</w:t>
            </w:r>
            <w:r w:rsidRPr="00293659">
              <w:rPr>
                <w:rFonts w:hAnsi="標楷體" w:cs="Calibri" w:hint="eastAsia"/>
                <w:kern w:val="0"/>
                <w:sz w:val="26"/>
                <w:szCs w:val="26"/>
              </w:rPr>
              <w:t>年</w:t>
            </w:r>
          </w:p>
        </w:tc>
        <w:tc>
          <w:tcPr>
            <w:tcW w:w="1241" w:type="dxa"/>
            <w:tcBorders>
              <w:top w:val="single" w:sz="4" w:space="0" w:color="auto"/>
              <w:left w:val="single" w:sz="4" w:space="0" w:color="auto"/>
              <w:bottom w:val="single" w:sz="4" w:space="0" w:color="auto"/>
              <w:right w:val="double" w:sz="4" w:space="0" w:color="auto"/>
            </w:tcBorders>
            <w:shd w:val="pct5" w:color="auto" w:fill="auto"/>
            <w:vAlign w:val="center"/>
          </w:tcPr>
          <w:p w14:paraId="16FD2284" w14:textId="77777777" w:rsidR="00C73E00" w:rsidRPr="00293659" w:rsidRDefault="00C73E00" w:rsidP="000424A8">
            <w:pPr>
              <w:spacing w:line="400" w:lineRule="exact"/>
              <w:jc w:val="center"/>
              <w:rPr>
                <w:rFonts w:hAnsi="標楷體" w:cs="Calibri"/>
                <w:kern w:val="0"/>
                <w:sz w:val="26"/>
                <w:szCs w:val="26"/>
              </w:rPr>
            </w:pPr>
            <w:r w:rsidRPr="00293659">
              <w:rPr>
                <w:rFonts w:hAnsi="標楷體" w:cs="Calibri"/>
                <w:kern w:val="0"/>
                <w:sz w:val="26"/>
                <w:szCs w:val="26"/>
              </w:rPr>
              <w:t>111</w:t>
            </w:r>
            <w:r w:rsidRPr="00293659">
              <w:rPr>
                <w:rFonts w:hAnsi="標楷體" w:cs="Calibri" w:hint="eastAsia"/>
                <w:kern w:val="0"/>
                <w:sz w:val="26"/>
                <w:szCs w:val="26"/>
              </w:rPr>
              <w:t>年</w:t>
            </w:r>
          </w:p>
        </w:tc>
        <w:tc>
          <w:tcPr>
            <w:tcW w:w="1701" w:type="dxa"/>
            <w:tcBorders>
              <w:top w:val="single" w:sz="4" w:space="0" w:color="auto"/>
              <w:left w:val="double" w:sz="4" w:space="0" w:color="auto"/>
              <w:bottom w:val="single" w:sz="4" w:space="0" w:color="auto"/>
              <w:right w:val="single" w:sz="4" w:space="0" w:color="auto"/>
            </w:tcBorders>
            <w:shd w:val="pct5" w:color="auto" w:fill="auto"/>
            <w:vAlign w:val="center"/>
          </w:tcPr>
          <w:p w14:paraId="0821E372" w14:textId="77777777" w:rsidR="00C73E00" w:rsidRPr="00293659" w:rsidRDefault="00C73E00" w:rsidP="000424A8">
            <w:pPr>
              <w:spacing w:line="400" w:lineRule="exact"/>
              <w:jc w:val="center"/>
              <w:rPr>
                <w:rFonts w:hAnsi="標楷體" w:cs="Calibri"/>
                <w:kern w:val="0"/>
                <w:sz w:val="26"/>
                <w:szCs w:val="26"/>
                <w:vertAlign w:val="superscript"/>
              </w:rPr>
            </w:pPr>
            <w:r w:rsidRPr="00293659">
              <w:rPr>
                <w:rFonts w:hAnsi="標楷體" w:cs="Calibri" w:hint="eastAsia"/>
                <w:kern w:val="0"/>
                <w:sz w:val="26"/>
                <w:szCs w:val="26"/>
              </w:rPr>
              <w:t>1</w:t>
            </w:r>
            <w:r w:rsidRPr="00293659">
              <w:rPr>
                <w:rFonts w:hAnsi="標楷體" w:cs="Calibri"/>
                <w:kern w:val="0"/>
                <w:sz w:val="26"/>
                <w:szCs w:val="26"/>
              </w:rPr>
              <w:t>08~111</w:t>
            </w:r>
            <w:r w:rsidRPr="00293659">
              <w:rPr>
                <w:rFonts w:hAnsi="標楷體" w:cs="Calibri" w:hint="eastAsia"/>
                <w:kern w:val="0"/>
                <w:sz w:val="26"/>
                <w:szCs w:val="26"/>
              </w:rPr>
              <w:t>年</w:t>
            </w:r>
            <w:proofErr w:type="gramStart"/>
            <w:r w:rsidRPr="00293659">
              <w:rPr>
                <w:rFonts w:hAnsi="標楷體" w:cs="Calibri" w:hint="eastAsia"/>
                <w:kern w:val="0"/>
                <w:sz w:val="26"/>
                <w:szCs w:val="26"/>
                <w:vertAlign w:val="superscript"/>
              </w:rPr>
              <w:t>＊</w:t>
            </w:r>
            <w:proofErr w:type="gramEnd"/>
          </w:p>
        </w:tc>
      </w:tr>
      <w:tr w:rsidR="00293659" w:rsidRPr="00293659" w14:paraId="56C714B0" w14:textId="77777777" w:rsidTr="000424A8">
        <w:trPr>
          <w:trHeight w:val="764"/>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8AFCC" w14:textId="77777777" w:rsidR="00CB0D6C" w:rsidRPr="00293659" w:rsidRDefault="00CB0D6C" w:rsidP="00CB0D6C">
            <w:pPr>
              <w:widowControl/>
              <w:spacing w:line="400" w:lineRule="exact"/>
              <w:jc w:val="center"/>
              <w:rPr>
                <w:rFonts w:hAnsi="標楷體" w:cs="Calibri"/>
                <w:kern w:val="0"/>
                <w:sz w:val="26"/>
                <w:szCs w:val="26"/>
              </w:rPr>
            </w:pPr>
            <w:r w:rsidRPr="00293659">
              <w:rPr>
                <w:rFonts w:hAnsi="標楷體" w:cs="Calibri" w:hint="eastAsia"/>
                <w:kern w:val="0"/>
                <w:sz w:val="26"/>
                <w:szCs w:val="26"/>
              </w:rPr>
              <w:t>退休人數</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CECAA" w14:textId="0D3DEEE5"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474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D102181" w14:textId="2695FEE1"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441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23359" w14:textId="6E5420A5"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398</w:t>
            </w:r>
          </w:p>
        </w:tc>
        <w:tc>
          <w:tcPr>
            <w:tcW w:w="1241" w:type="dxa"/>
            <w:tcBorders>
              <w:top w:val="single" w:sz="4" w:space="0" w:color="auto"/>
              <w:left w:val="single" w:sz="4" w:space="0" w:color="auto"/>
              <w:bottom w:val="single" w:sz="4" w:space="0" w:color="auto"/>
              <w:right w:val="double" w:sz="4" w:space="0" w:color="auto"/>
            </w:tcBorders>
            <w:shd w:val="clear" w:color="auto" w:fill="auto"/>
            <w:vAlign w:val="center"/>
          </w:tcPr>
          <w:p w14:paraId="66D89CF2" w14:textId="282507D6"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360</w:t>
            </w:r>
          </w:p>
        </w:tc>
        <w:tc>
          <w:tcPr>
            <w:tcW w:w="1701" w:type="dxa"/>
            <w:tcBorders>
              <w:top w:val="single" w:sz="4" w:space="0" w:color="auto"/>
              <w:left w:val="double" w:sz="4" w:space="0" w:color="auto"/>
              <w:bottom w:val="single" w:sz="4" w:space="0" w:color="auto"/>
              <w:right w:val="single" w:sz="4" w:space="0" w:color="auto"/>
            </w:tcBorders>
            <w:vAlign w:val="center"/>
          </w:tcPr>
          <w:p w14:paraId="1F09D1EC" w14:textId="35191767" w:rsidR="00CB0D6C" w:rsidRPr="00293659" w:rsidRDefault="00CB0D6C" w:rsidP="00CB0D6C">
            <w:pPr>
              <w:widowControl/>
              <w:spacing w:line="400" w:lineRule="exact"/>
              <w:jc w:val="center"/>
              <w:rPr>
                <w:rFonts w:hAnsi="標楷體"/>
                <w:kern w:val="0"/>
                <w:sz w:val="26"/>
                <w:szCs w:val="26"/>
              </w:rPr>
            </w:pPr>
            <w:r w:rsidRPr="00293659">
              <w:rPr>
                <w:rFonts w:hint="eastAsia"/>
                <w:sz w:val="26"/>
                <w:szCs w:val="26"/>
              </w:rPr>
              <w:t xml:space="preserve">1,673 </w:t>
            </w:r>
          </w:p>
        </w:tc>
      </w:tr>
      <w:tr w:rsidR="00293659" w:rsidRPr="00293659" w14:paraId="181456C5" w14:textId="77777777" w:rsidTr="000424A8">
        <w:trPr>
          <w:trHeight w:val="70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1887E" w14:textId="77777777" w:rsidR="00CB0D6C" w:rsidRPr="00293659" w:rsidRDefault="00CB0D6C" w:rsidP="00CB0D6C">
            <w:pPr>
              <w:widowControl/>
              <w:spacing w:line="400" w:lineRule="exact"/>
              <w:jc w:val="center"/>
              <w:rPr>
                <w:rFonts w:hAnsi="標楷體" w:cs="Calibri"/>
                <w:kern w:val="0"/>
                <w:sz w:val="26"/>
                <w:szCs w:val="26"/>
              </w:rPr>
            </w:pPr>
            <w:r w:rsidRPr="00293659">
              <w:rPr>
                <w:rFonts w:hAnsi="標楷體" w:cs="Calibri" w:hint="eastAsia"/>
                <w:kern w:val="0"/>
                <w:sz w:val="26"/>
                <w:szCs w:val="26"/>
              </w:rPr>
              <w:t>離職人數</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E1A78" w14:textId="0603F39C"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423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A9A5F7C" w14:textId="4424E147"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461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F57C" w14:textId="07955E50"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551</w:t>
            </w:r>
          </w:p>
        </w:tc>
        <w:tc>
          <w:tcPr>
            <w:tcW w:w="1241" w:type="dxa"/>
            <w:tcBorders>
              <w:top w:val="single" w:sz="4" w:space="0" w:color="auto"/>
              <w:left w:val="single" w:sz="4" w:space="0" w:color="auto"/>
              <w:bottom w:val="single" w:sz="4" w:space="0" w:color="auto"/>
              <w:right w:val="double" w:sz="4" w:space="0" w:color="auto"/>
            </w:tcBorders>
            <w:shd w:val="clear" w:color="auto" w:fill="auto"/>
            <w:vAlign w:val="center"/>
          </w:tcPr>
          <w:p w14:paraId="2CCF5CEE" w14:textId="7C5601BD"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660</w:t>
            </w:r>
          </w:p>
        </w:tc>
        <w:tc>
          <w:tcPr>
            <w:tcW w:w="1701" w:type="dxa"/>
            <w:tcBorders>
              <w:top w:val="single" w:sz="4" w:space="0" w:color="auto"/>
              <w:left w:val="double" w:sz="4" w:space="0" w:color="auto"/>
              <w:bottom w:val="single" w:sz="4" w:space="0" w:color="auto"/>
              <w:right w:val="single" w:sz="4" w:space="0" w:color="auto"/>
            </w:tcBorders>
            <w:vAlign w:val="center"/>
          </w:tcPr>
          <w:p w14:paraId="2A2CE9DC" w14:textId="76C63871" w:rsidR="00CB0D6C" w:rsidRPr="00293659" w:rsidRDefault="00CB0D6C" w:rsidP="00CB0D6C">
            <w:pPr>
              <w:widowControl/>
              <w:spacing w:line="400" w:lineRule="exact"/>
              <w:jc w:val="center"/>
              <w:rPr>
                <w:rFonts w:hAnsi="標楷體"/>
                <w:kern w:val="0"/>
                <w:sz w:val="26"/>
                <w:szCs w:val="26"/>
              </w:rPr>
            </w:pPr>
            <w:r w:rsidRPr="00293659">
              <w:rPr>
                <w:rFonts w:hint="eastAsia"/>
                <w:sz w:val="26"/>
                <w:szCs w:val="26"/>
              </w:rPr>
              <w:t xml:space="preserve">2,095 </w:t>
            </w:r>
          </w:p>
        </w:tc>
      </w:tr>
      <w:tr w:rsidR="00293659" w:rsidRPr="00293659" w14:paraId="093C1B6F" w14:textId="77777777" w:rsidTr="000424A8">
        <w:trPr>
          <w:trHeight w:val="800"/>
        </w:trPr>
        <w:tc>
          <w:tcPr>
            <w:tcW w:w="212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F517FBB" w14:textId="77777777" w:rsidR="00CB0D6C" w:rsidRPr="00293659" w:rsidRDefault="00CB0D6C" w:rsidP="00CB0D6C">
            <w:pPr>
              <w:widowControl/>
              <w:spacing w:line="400" w:lineRule="exact"/>
              <w:jc w:val="center"/>
              <w:rPr>
                <w:rFonts w:hAnsi="標楷體" w:cs="Calibri"/>
                <w:kern w:val="0"/>
                <w:sz w:val="26"/>
                <w:szCs w:val="26"/>
              </w:rPr>
            </w:pPr>
            <w:r w:rsidRPr="00293659">
              <w:rPr>
                <w:rFonts w:hAnsi="標楷體" w:cs="Calibri" w:hint="eastAsia"/>
                <w:kern w:val="0"/>
                <w:sz w:val="26"/>
                <w:szCs w:val="26"/>
              </w:rPr>
              <w:t>退休與離職</w:t>
            </w:r>
          </w:p>
          <w:p w14:paraId="549E23AA" w14:textId="77777777" w:rsidR="00CB0D6C" w:rsidRPr="00293659" w:rsidRDefault="00CB0D6C" w:rsidP="00CB0D6C">
            <w:pPr>
              <w:widowControl/>
              <w:spacing w:line="400" w:lineRule="exact"/>
              <w:jc w:val="center"/>
              <w:rPr>
                <w:rFonts w:hAnsi="標楷體" w:cs="Calibri"/>
                <w:kern w:val="0"/>
                <w:sz w:val="26"/>
                <w:szCs w:val="26"/>
              </w:rPr>
            </w:pPr>
            <w:r w:rsidRPr="00293659">
              <w:rPr>
                <w:rFonts w:hAnsi="標楷體" w:cs="Calibri" w:hint="eastAsia"/>
                <w:kern w:val="0"/>
                <w:sz w:val="26"/>
                <w:szCs w:val="26"/>
              </w:rPr>
              <w:t>人數合計數</w:t>
            </w:r>
          </w:p>
        </w:tc>
        <w:tc>
          <w:tcPr>
            <w:tcW w:w="124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1CB1ED4" w14:textId="47DA7564"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897</w:t>
            </w:r>
          </w:p>
        </w:tc>
        <w:tc>
          <w:tcPr>
            <w:tcW w:w="1240" w:type="dxa"/>
            <w:tcBorders>
              <w:top w:val="single" w:sz="4" w:space="0" w:color="auto"/>
              <w:left w:val="single" w:sz="4" w:space="0" w:color="auto"/>
              <w:bottom w:val="double" w:sz="4" w:space="0" w:color="auto"/>
              <w:right w:val="single" w:sz="4" w:space="0" w:color="auto"/>
            </w:tcBorders>
            <w:shd w:val="clear" w:color="auto" w:fill="auto"/>
            <w:vAlign w:val="center"/>
          </w:tcPr>
          <w:p w14:paraId="786A7E55" w14:textId="14C97390"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902</w:t>
            </w:r>
          </w:p>
        </w:tc>
        <w:tc>
          <w:tcPr>
            <w:tcW w:w="124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87D827C" w14:textId="66A58844"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949</w:t>
            </w:r>
          </w:p>
        </w:tc>
        <w:tc>
          <w:tcPr>
            <w:tcW w:w="1241" w:type="dxa"/>
            <w:tcBorders>
              <w:top w:val="single" w:sz="4" w:space="0" w:color="auto"/>
              <w:left w:val="single" w:sz="4" w:space="0" w:color="auto"/>
              <w:bottom w:val="double" w:sz="4" w:space="0" w:color="auto"/>
              <w:right w:val="double" w:sz="4" w:space="0" w:color="auto"/>
            </w:tcBorders>
            <w:shd w:val="clear" w:color="auto" w:fill="auto"/>
            <w:vAlign w:val="center"/>
          </w:tcPr>
          <w:p w14:paraId="72038F68" w14:textId="292FED0D" w:rsidR="00CB0D6C" w:rsidRPr="00293659" w:rsidRDefault="00CB0D6C" w:rsidP="00CB0D6C">
            <w:pPr>
              <w:widowControl/>
              <w:spacing w:line="400" w:lineRule="exact"/>
              <w:jc w:val="center"/>
              <w:rPr>
                <w:rFonts w:hAnsi="標楷體"/>
                <w:kern w:val="0"/>
                <w:sz w:val="26"/>
                <w:szCs w:val="26"/>
              </w:rPr>
            </w:pPr>
            <w:r w:rsidRPr="00293659">
              <w:rPr>
                <w:rFonts w:hAnsi="標楷體" w:hint="eastAsia"/>
                <w:sz w:val="26"/>
                <w:szCs w:val="26"/>
              </w:rPr>
              <w:t>1,020</w:t>
            </w:r>
          </w:p>
        </w:tc>
        <w:tc>
          <w:tcPr>
            <w:tcW w:w="1701" w:type="dxa"/>
            <w:tcBorders>
              <w:top w:val="single" w:sz="4" w:space="0" w:color="auto"/>
              <w:left w:val="double" w:sz="4" w:space="0" w:color="auto"/>
              <w:bottom w:val="double" w:sz="4" w:space="0" w:color="auto"/>
              <w:right w:val="single" w:sz="4" w:space="0" w:color="auto"/>
            </w:tcBorders>
            <w:vAlign w:val="center"/>
          </w:tcPr>
          <w:p w14:paraId="0DA18A1C" w14:textId="2903896C" w:rsidR="00CB0D6C" w:rsidRPr="00293659" w:rsidRDefault="00CB0D6C" w:rsidP="00CB0D6C">
            <w:pPr>
              <w:widowControl/>
              <w:spacing w:line="400" w:lineRule="exact"/>
              <w:jc w:val="center"/>
              <w:rPr>
                <w:rFonts w:hAnsi="標楷體"/>
                <w:kern w:val="0"/>
                <w:sz w:val="26"/>
                <w:szCs w:val="26"/>
              </w:rPr>
            </w:pPr>
            <w:r w:rsidRPr="00293659">
              <w:rPr>
                <w:rFonts w:hint="eastAsia"/>
                <w:sz w:val="26"/>
                <w:szCs w:val="26"/>
              </w:rPr>
              <w:t xml:space="preserve">3,768 </w:t>
            </w:r>
          </w:p>
        </w:tc>
      </w:tr>
      <w:tr w:rsidR="00293659" w:rsidRPr="00293659" w14:paraId="73691B77" w14:textId="77777777" w:rsidTr="000424A8">
        <w:trPr>
          <w:trHeight w:val="719"/>
        </w:trPr>
        <w:tc>
          <w:tcPr>
            <w:tcW w:w="2122" w:type="dxa"/>
            <w:tcBorders>
              <w:top w:val="double" w:sz="4" w:space="0" w:color="auto"/>
              <w:left w:val="single" w:sz="4" w:space="0" w:color="auto"/>
              <w:bottom w:val="double" w:sz="4" w:space="0" w:color="auto"/>
              <w:right w:val="single" w:sz="4" w:space="0" w:color="auto"/>
            </w:tcBorders>
            <w:shd w:val="clear" w:color="auto" w:fill="auto"/>
            <w:noWrap/>
            <w:vAlign w:val="center"/>
          </w:tcPr>
          <w:p w14:paraId="61F51AD5" w14:textId="77777777" w:rsidR="00CB0D6C" w:rsidRPr="00293659" w:rsidRDefault="00CB0D6C" w:rsidP="00CB0D6C">
            <w:pPr>
              <w:widowControl/>
              <w:spacing w:line="400" w:lineRule="exact"/>
              <w:jc w:val="center"/>
              <w:rPr>
                <w:rFonts w:hAnsi="標楷體" w:cs="Calibri"/>
                <w:kern w:val="0"/>
                <w:sz w:val="26"/>
                <w:szCs w:val="26"/>
              </w:rPr>
            </w:pPr>
            <w:r w:rsidRPr="00293659">
              <w:rPr>
                <w:rFonts w:hAnsi="標楷體" w:cs="Calibri" w:hint="eastAsia"/>
                <w:kern w:val="0"/>
                <w:sz w:val="26"/>
                <w:szCs w:val="26"/>
              </w:rPr>
              <w:t>進用人數</w:t>
            </w:r>
          </w:p>
        </w:tc>
        <w:tc>
          <w:tcPr>
            <w:tcW w:w="1240"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3134F59" w14:textId="4A310855"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1,973</w:t>
            </w:r>
          </w:p>
        </w:tc>
        <w:tc>
          <w:tcPr>
            <w:tcW w:w="1240" w:type="dxa"/>
            <w:tcBorders>
              <w:top w:val="double" w:sz="4" w:space="0" w:color="auto"/>
              <w:left w:val="single" w:sz="4" w:space="0" w:color="auto"/>
              <w:bottom w:val="double" w:sz="4" w:space="0" w:color="auto"/>
              <w:right w:val="single" w:sz="4" w:space="0" w:color="auto"/>
            </w:tcBorders>
            <w:shd w:val="clear" w:color="auto" w:fill="auto"/>
            <w:vAlign w:val="center"/>
          </w:tcPr>
          <w:p w14:paraId="66D7C75F" w14:textId="2D9D4DCF"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1,579</w:t>
            </w:r>
          </w:p>
        </w:tc>
        <w:tc>
          <w:tcPr>
            <w:tcW w:w="1240" w:type="dxa"/>
            <w:tcBorders>
              <w:top w:val="double" w:sz="4" w:space="0" w:color="auto"/>
              <w:left w:val="single" w:sz="4" w:space="0" w:color="auto"/>
              <w:bottom w:val="double" w:sz="4" w:space="0" w:color="auto"/>
              <w:right w:val="single" w:sz="4" w:space="0" w:color="auto"/>
            </w:tcBorders>
            <w:shd w:val="clear" w:color="auto" w:fill="auto"/>
            <w:noWrap/>
            <w:vAlign w:val="center"/>
          </w:tcPr>
          <w:p w14:paraId="7F0870A2" w14:textId="5D820235"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867</w:t>
            </w:r>
          </w:p>
        </w:tc>
        <w:tc>
          <w:tcPr>
            <w:tcW w:w="1241" w:type="dxa"/>
            <w:tcBorders>
              <w:top w:val="double" w:sz="4" w:space="0" w:color="auto"/>
              <w:left w:val="single" w:sz="4" w:space="0" w:color="auto"/>
              <w:bottom w:val="double" w:sz="4" w:space="0" w:color="auto"/>
              <w:right w:val="double" w:sz="4" w:space="0" w:color="auto"/>
            </w:tcBorders>
            <w:shd w:val="clear" w:color="auto" w:fill="auto"/>
            <w:vAlign w:val="center"/>
          </w:tcPr>
          <w:p w14:paraId="01D5F0FD" w14:textId="6DC36A93"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1,007</w:t>
            </w:r>
          </w:p>
        </w:tc>
        <w:tc>
          <w:tcPr>
            <w:tcW w:w="1701" w:type="dxa"/>
            <w:tcBorders>
              <w:top w:val="double" w:sz="4" w:space="0" w:color="auto"/>
              <w:left w:val="double" w:sz="4" w:space="0" w:color="auto"/>
              <w:bottom w:val="double" w:sz="4" w:space="0" w:color="auto"/>
              <w:right w:val="single" w:sz="4" w:space="0" w:color="auto"/>
            </w:tcBorders>
            <w:vAlign w:val="center"/>
          </w:tcPr>
          <w:p w14:paraId="078AD063" w14:textId="33BA4F81" w:rsidR="00CB0D6C" w:rsidRPr="00293659" w:rsidRDefault="00CB0D6C" w:rsidP="00CB0D6C">
            <w:pPr>
              <w:widowControl/>
              <w:spacing w:line="400" w:lineRule="exact"/>
              <w:jc w:val="center"/>
              <w:rPr>
                <w:rFonts w:hAnsi="標楷體"/>
                <w:kern w:val="0"/>
                <w:sz w:val="26"/>
                <w:szCs w:val="26"/>
              </w:rPr>
            </w:pPr>
            <w:r w:rsidRPr="00293659">
              <w:rPr>
                <w:rFonts w:hint="eastAsia"/>
                <w:sz w:val="26"/>
                <w:szCs w:val="26"/>
              </w:rPr>
              <w:t xml:space="preserve">5,426 </w:t>
            </w:r>
          </w:p>
        </w:tc>
      </w:tr>
      <w:tr w:rsidR="00293659" w:rsidRPr="00293659" w14:paraId="5E6F9FDE" w14:textId="77777777" w:rsidTr="000424A8">
        <w:trPr>
          <w:trHeight w:val="681"/>
        </w:trPr>
        <w:tc>
          <w:tcPr>
            <w:tcW w:w="2122"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24F893A" w14:textId="77777777" w:rsidR="00CB0D6C" w:rsidRPr="00293659" w:rsidRDefault="00CB0D6C" w:rsidP="00CB0D6C">
            <w:pPr>
              <w:widowControl/>
              <w:spacing w:line="400" w:lineRule="exact"/>
              <w:jc w:val="center"/>
              <w:rPr>
                <w:rFonts w:hAnsi="標楷體" w:cs="Calibri"/>
                <w:kern w:val="0"/>
                <w:sz w:val="26"/>
                <w:szCs w:val="26"/>
              </w:rPr>
            </w:pPr>
            <w:r w:rsidRPr="00293659">
              <w:rPr>
                <w:rFonts w:hAnsi="標楷體" w:cs="Calibri" w:hint="eastAsia"/>
                <w:kern w:val="0"/>
                <w:sz w:val="26"/>
                <w:szCs w:val="26"/>
              </w:rPr>
              <w:t>年底總人數</w:t>
            </w:r>
          </w:p>
        </w:tc>
        <w:tc>
          <w:tcPr>
            <w:tcW w:w="1240"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0503B14" w14:textId="569B0FD2"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10,808</w:t>
            </w:r>
          </w:p>
        </w:tc>
        <w:tc>
          <w:tcPr>
            <w:tcW w:w="1240" w:type="dxa"/>
            <w:tcBorders>
              <w:top w:val="double" w:sz="4" w:space="0" w:color="auto"/>
              <w:left w:val="single" w:sz="4" w:space="0" w:color="auto"/>
              <w:bottom w:val="single" w:sz="4" w:space="0" w:color="auto"/>
              <w:right w:val="single" w:sz="4" w:space="0" w:color="auto"/>
            </w:tcBorders>
            <w:shd w:val="clear" w:color="auto" w:fill="auto"/>
            <w:vAlign w:val="center"/>
          </w:tcPr>
          <w:p w14:paraId="00F75346" w14:textId="3BA777F3"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11,485</w:t>
            </w:r>
          </w:p>
        </w:tc>
        <w:tc>
          <w:tcPr>
            <w:tcW w:w="1240"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B425236" w14:textId="0F356A43"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11,403</w:t>
            </w:r>
          </w:p>
        </w:tc>
        <w:tc>
          <w:tcPr>
            <w:tcW w:w="1241" w:type="dxa"/>
            <w:tcBorders>
              <w:top w:val="double" w:sz="4" w:space="0" w:color="auto"/>
              <w:left w:val="single" w:sz="4" w:space="0" w:color="auto"/>
              <w:bottom w:val="single" w:sz="4" w:space="0" w:color="auto"/>
              <w:right w:val="double" w:sz="4" w:space="0" w:color="auto"/>
            </w:tcBorders>
            <w:shd w:val="clear" w:color="auto" w:fill="auto"/>
            <w:vAlign w:val="center"/>
          </w:tcPr>
          <w:p w14:paraId="2A58BAC9" w14:textId="4A24B5C9" w:rsidR="00CB0D6C" w:rsidRPr="00293659" w:rsidRDefault="00CB0D6C" w:rsidP="00CB0D6C">
            <w:pPr>
              <w:adjustRightInd w:val="0"/>
              <w:spacing w:line="320" w:lineRule="exact"/>
              <w:jc w:val="center"/>
              <w:rPr>
                <w:rFonts w:hAnsi="標楷體" w:cs="標楷體"/>
                <w:kern w:val="0"/>
                <w:sz w:val="26"/>
                <w:szCs w:val="26"/>
              </w:rPr>
            </w:pPr>
            <w:r w:rsidRPr="00293659">
              <w:rPr>
                <w:rFonts w:hAnsi="標楷體" w:hint="eastAsia"/>
                <w:sz w:val="26"/>
                <w:szCs w:val="26"/>
              </w:rPr>
              <w:t>11,390</w:t>
            </w:r>
          </w:p>
        </w:tc>
        <w:tc>
          <w:tcPr>
            <w:tcW w:w="1701" w:type="dxa"/>
            <w:tcBorders>
              <w:top w:val="double" w:sz="4" w:space="0" w:color="auto"/>
              <w:left w:val="double" w:sz="4" w:space="0" w:color="auto"/>
              <w:bottom w:val="single" w:sz="4" w:space="0" w:color="auto"/>
              <w:right w:val="single" w:sz="4" w:space="0" w:color="auto"/>
            </w:tcBorders>
            <w:vAlign w:val="center"/>
          </w:tcPr>
          <w:p w14:paraId="290275D8" w14:textId="362F7D0B" w:rsidR="00CB0D6C" w:rsidRPr="00293659" w:rsidRDefault="00CB0D6C" w:rsidP="00CB0D6C">
            <w:pPr>
              <w:adjustRightInd w:val="0"/>
              <w:spacing w:line="320" w:lineRule="exact"/>
              <w:jc w:val="center"/>
              <w:rPr>
                <w:rFonts w:hAnsi="標楷體" w:cs="標楷體"/>
                <w:kern w:val="0"/>
                <w:sz w:val="26"/>
                <w:szCs w:val="26"/>
              </w:rPr>
            </w:pPr>
            <w:r w:rsidRPr="00293659">
              <w:rPr>
                <w:rFonts w:hint="eastAsia"/>
                <w:sz w:val="26"/>
                <w:szCs w:val="26"/>
              </w:rPr>
              <w:t>11,272</w:t>
            </w:r>
          </w:p>
        </w:tc>
      </w:tr>
      <w:tr w:rsidR="00293659" w:rsidRPr="00293659" w14:paraId="47F4BEAF" w14:textId="77777777" w:rsidTr="000424A8">
        <w:trPr>
          <w:trHeight w:val="689"/>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4F946" w14:textId="77777777" w:rsidR="00B716F9" w:rsidRPr="00293659" w:rsidRDefault="00B716F9" w:rsidP="00B716F9">
            <w:pPr>
              <w:widowControl/>
              <w:spacing w:line="400" w:lineRule="exact"/>
              <w:jc w:val="center"/>
              <w:rPr>
                <w:rFonts w:hAnsi="標楷體" w:cs="Calibri"/>
                <w:kern w:val="0"/>
                <w:sz w:val="26"/>
                <w:szCs w:val="26"/>
              </w:rPr>
            </w:pPr>
            <w:proofErr w:type="gramStart"/>
            <w:r w:rsidRPr="00293659">
              <w:rPr>
                <w:rFonts w:hAnsi="標楷體" w:cs="Calibri" w:hint="eastAsia"/>
                <w:kern w:val="0"/>
                <w:sz w:val="26"/>
                <w:szCs w:val="26"/>
              </w:rPr>
              <w:lastRenderedPageBreak/>
              <w:t>離退率</w:t>
            </w:r>
            <w:proofErr w:type="gramEnd"/>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BF110" w14:textId="631FEA1B" w:rsidR="00B716F9" w:rsidRPr="00293659" w:rsidRDefault="00BC2115" w:rsidP="00B716F9">
            <w:pPr>
              <w:widowControl/>
              <w:spacing w:line="400" w:lineRule="exact"/>
              <w:jc w:val="center"/>
              <w:rPr>
                <w:rFonts w:hAnsi="標楷體"/>
                <w:kern w:val="0"/>
                <w:sz w:val="26"/>
                <w:szCs w:val="26"/>
              </w:rPr>
            </w:pPr>
            <w:r w:rsidRPr="00293659">
              <w:rPr>
                <w:rFonts w:hAnsi="標楷體"/>
                <w:sz w:val="26"/>
                <w:szCs w:val="26"/>
              </w:rPr>
              <w:t>7.62</w:t>
            </w:r>
            <w:r w:rsidR="00B716F9" w:rsidRPr="00293659">
              <w:rPr>
                <w:rFonts w:hAnsi="標楷體" w:hint="eastAsia"/>
                <w:sz w:val="26"/>
                <w:szCs w:val="26"/>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78BA564" w14:textId="4C8CFF7F" w:rsidR="00B716F9" w:rsidRPr="00293659" w:rsidRDefault="00BC2115" w:rsidP="00B716F9">
            <w:pPr>
              <w:widowControl/>
              <w:spacing w:line="400" w:lineRule="exact"/>
              <w:jc w:val="center"/>
              <w:rPr>
                <w:rFonts w:hAnsi="標楷體"/>
                <w:kern w:val="0"/>
                <w:sz w:val="26"/>
                <w:szCs w:val="26"/>
              </w:rPr>
            </w:pPr>
            <w:r w:rsidRPr="00293659">
              <w:rPr>
                <w:rFonts w:hAnsi="標楷體"/>
                <w:sz w:val="26"/>
                <w:szCs w:val="26"/>
              </w:rPr>
              <w:t>7.28</w:t>
            </w:r>
            <w:r w:rsidR="00B716F9" w:rsidRPr="00293659">
              <w:rPr>
                <w:rFonts w:hAnsi="標楷體" w:hint="eastAsia"/>
                <w:sz w:val="26"/>
                <w:szCs w:val="26"/>
              </w:rPr>
              <w: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B81B" w14:textId="7F0FFB3F" w:rsidR="00B716F9" w:rsidRPr="00293659" w:rsidRDefault="00BC2115" w:rsidP="00B716F9">
            <w:pPr>
              <w:widowControl/>
              <w:spacing w:line="400" w:lineRule="exact"/>
              <w:jc w:val="center"/>
              <w:rPr>
                <w:rFonts w:hAnsi="標楷體"/>
                <w:kern w:val="0"/>
                <w:sz w:val="26"/>
                <w:szCs w:val="26"/>
              </w:rPr>
            </w:pPr>
            <w:r w:rsidRPr="00293659">
              <w:rPr>
                <w:rFonts w:hAnsi="標楷體"/>
                <w:sz w:val="26"/>
                <w:szCs w:val="26"/>
              </w:rPr>
              <w:t>7.68</w:t>
            </w:r>
            <w:r w:rsidR="00B716F9" w:rsidRPr="00293659">
              <w:rPr>
                <w:rFonts w:hAnsi="標楷體" w:hint="eastAsia"/>
                <w:sz w:val="26"/>
                <w:szCs w:val="26"/>
              </w:rPr>
              <w:t>%</w:t>
            </w:r>
          </w:p>
        </w:tc>
        <w:tc>
          <w:tcPr>
            <w:tcW w:w="1241" w:type="dxa"/>
            <w:tcBorders>
              <w:top w:val="single" w:sz="4" w:space="0" w:color="auto"/>
              <w:left w:val="single" w:sz="4" w:space="0" w:color="auto"/>
              <w:bottom w:val="single" w:sz="4" w:space="0" w:color="auto"/>
              <w:right w:val="double" w:sz="4" w:space="0" w:color="auto"/>
            </w:tcBorders>
            <w:shd w:val="clear" w:color="auto" w:fill="auto"/>
            <w:vAlign w:val="center"/>
          </w:tcPr>
          <w:p w14:paraId="7427C849" w14:textId="67AC8101" w:rsidR="00B716F9" w:rsidRPr="00293659" w:rsidRDefault="00BC2115" w:rsidP="00B716F9">
            <w:pPr>
              <w:widowControl/>
              <w:spacing w:line="400" w:lineRule="exact"/>
              <w:jc w:val="center"/>
              <w:rPr>
                <w:rFonts w:hAnsi="標楷體"/>
                <w:kern w:val="0"/>
                <w:sz w:val="26"/>
                <w:szCs w:val="26"/>
              </w:rPr>
            </w:pPr>
            <w:r w:rsidRPr="00293659">
              <w:rPr>
                <w:rFonts w:hAnsi="標楷體"/>
                <w:sz w:val="26"/>
                <w:szCs w:val="26"/>
              </w:rPr>
              <w:t>8.22</w:t>
            </w:r>
            <w:r w:rsidR="00B716F9" w:rsidRPr="00293659">
              <w:rPr>
                <w:rFonts w:hAnsi="標楷體" w:hint="eastAsia"/>
                <w:sz w:val="26"/>
                <w:szCs w:val="26"/>
              </w:rPr>
              <w:t>%</w:t>
            </w:r>
          </w:p>
        </w:tc>
        <w:tc>
          <w:tcPr>
            <w:tcW w:w="1701" w:type="dxa"/>
            <w:tcBorders>
              <w:top w:val="single" w:sz="4" w:space="0" w:color="auto"/>
              <w:left w:val="double" w:sz="4" w:space="0" w:color="auto"/>
              <w:bottom w:val="single" w:sz="4" w:space="0" w:color="auto"/>
              <w:right w:val="single" w:sz="4" w:space="0" w:color="auto"/>
            </w:tcBorders>
            <w:vAlign w:val="center"/>
          </w:tcPr>
          <w:p w14:paraId="353B889D" w14:textId="5F450800" w:rsidR="00B716F9" w:rsidRPr="00293659" w:rsidRDefault="00BC2115" w:rsidP="00B716F9">
            <w:pPr>
              <w:adjustRightInd w:val="0"/>
              <w:spacing w:line="320" w:lineRule="exact"/>
              <w:jc w:val="center"/>
              <w:rPr>
                <w:rFonts w:hAnsi="標楷體" w:cs="標楷體"/>
                <w:kern w:val="0"/>
                <w:sz w:val="26"/>
                <w:szCs w:val="26"/>
              </w:rPr>
            </w:pPr>
            <w:r w:rsidRPr="00293659">
              <w:rPr>
                <w:sz w:val="26"/>
                <w:szCs w:val="26"/>
              </w:rPr>
              <w:t>7</w:t>
            </w:r>
            <w:r w:rsidR="00B716F9" w:rsidRPr="00293659">
              <w:rPr>
                <w:rFonts w:hint="eastAsia"/>
                <w:sz w:val="26"/>
                <w:szCs w:val="26"/>
              </w:rPr>
              <w:t>.</w:t>
            </w:r>
            <w:r w:rsidR="00D932BB" w:rsidRPr="00293659">
              <w:rPr>
                <w:sz w:val="26"/>
                <w:szCs w:val="26"/>
              </w:rPr>
              <w:t>70</w:t>
            </w:r>
            <w:r w:rsidR="00B716F9" w:rsidRPr="00293659">
              <w:rPr>
                <w:rFonts w:hint="eastAsia"/>
                <w:sz w:val="26"/>
                <w:szCs w:val="26"/>
              </w:rPr>
              <w:t>%</w:t>
            </w:r>
          </w:p>
        </w:tc>
      </w:tr>
    </w:tbl>
    <w:p w14:paraId="7A5AA079" w14:textId="3515CBE9" w:rsidR="00104000" w:rsidRPr="00293659" w:rsidRDefault="00C73E00" w:rsidP="00D07009">
      <w:pPr>
        <w:spacing w:line="300" w:lineRule="exact"/>
        <w:ind w:left="770" w:hangingChars="296" w:hanging="770"/>
        <w:rPr>
          <w:rFonts w:hAnsi="標楷體"/>
          <w:sz w:val="24"/>
          <w:szCs w:val="24"/>
        </w:rPr>
      </w:pPr>
      <w:proofErr w:type="gramStart"/>
      <w:r w:rsidRPr="00293659">
        <w:rPr>
          <w:rFonts w:hAnsi="標楷體" w:hint="eastAsia"/>
          <w:sz w:val="24"/>
          <w:szCs w:val="24"/>
        </w:rPr>
        <w:t>註</w:t>
      </w:r>
      <w:proofErr w:type="gramEnd"/>
      <w:r w:rsidRPr="00293659">
        <w:rPr>
          <w:rFonts w:hAnsi="標楷體" w:hint="eastAsia"/>
          <w:sz w:val="24"/>
          <w:szCs w:val="24"/>
        </w:rPr>
        <w:t>：</w:t>
      </w:r>
      <w:r w:rsidR="00104000" w:rsidRPr="00293659">
        <w:rPr>
          <w:rFonts w:hAnsi="標楷體" w:hint="eastAsia"/>
          <w:sz w:val="24"/>
          <w:szCs w:val="24"/>
        </w:rPr>
        <w:t>1</w:t>
      </w:r>
      <w:r w:rsidR="00104000" w:rsidRPr="00293659">
        <w:rPr>
          <w:rFonts w:hAnsi="標楷體"/>
          <w:sz w:val="24"/>
          <w:szCs w:val="24"/>
        </w:rPr>
        <w:t>.</w:t>
      </w:r>
      <w:r w:rsidR="00306459" w:rsidRPr="00293659">
        <w:rPr>
          <w:rFonts w:hAnsi="標楷體" w:hint="eastAsia"/>
          <w:sz w:val="24"/>
          <w:szCs w:val="24"/>
        </w:rPr>
        <w:t>中科院提供之</w:t>
      </w:r>
      <w:r w:rsidR="002A3EED" w:rsidRPr="00293659">
        <w:rPr>
          <w:rFonts w:hAnsi="標楷體" w:cs="Calibri" w:hint="eastAsia"/>
          <w:kern w:val="0"/>
          <w:sz w:val="24"/>
          <w:szCs w:val="24"/>
        </w:rPr>
        <w:t>離職人數</w:t>
      </w:r>
      <w:r w:rsidR="00D07009" w:rsidRPr="00293659">
        <w:rPr>
          <w:rFonts w:hAnsi="標楷體" w:cs="Calibri" w:hint="eastAsia"/>
          <w:kern w:val="0"/>
          <w:sz w:val="24"/>
          <w:szCs w:val="24"/>
        </w:rPr>
        <w:t>統計，</w:t>
      </w:r>
      <w:r w:rsidR="004C115B" w:rsidRPr="00293659">
        <w:rPr>
          <w:rFonts w:hAnsi="標楷體" w:cs="Calibri" w:hint="eastAsia"/>
          <w:kern w:val="0"/>
          <w:sz w:val="24"/>
          <w:szCs w:val="24"/>
        </w:rPr>
        <w:t>係</w:t>
      </w:r>
      <w:r w:rsidR="00D07009" w:rsidRPr="00293659">
        <w:rPr>
          <w:rFonts w:hAnsi="標楷體" w:cs="Calibri" w:hint="eastAsia"/>
          <w:kern w:val="0"/>
          <w:sz w:val="24"/>
          <w:szCs w:val="24"/>
        </w:rPr>
        <w:t>包括：辭職、資遣、研發</w:t>
      </w:r>
      <w:proofErr w:type="gramStart"/>
      <w:r w:rsidR="00D07009" w:rsidRPr="00293659">
        <w:rPr>
          <w:rFonts w:hAnsi="標楷體" w:cs="Calibri" w:hint="eastAsia"/>
          <w:kern w:val="0"/>
          <w:sz w:val="24"/>
          <w:szCs w:val="24"/>
        </w:rPr>
        <w:t>替代役回役</w:t>
      </w:r>
      <w:proofErr w:type="gramEnd"/>
      <w:r w:rsidR="00D07009" w:rsidRPr="00293659">
        <w:rPr>
          <w:rFonts w:hAnsi="標楷體" w:cs="Calibri" w:hint="eastAsia"/>
          <w:kern w:val="0"/>
          <w:sz w:val="24"/>
          <w:szCs w:val="24"/>
        </w:rPr>
        <w:t>與退伍、定期契約到期、死亡等。</w:t>
      </w:r>
      <w:proofErr w:type="gramStart"/>
      <w:r w:rsidR="00BC2115" w:rsidRPr="00293659">
        <w:rPr>
          <w:rFonts w:hAnsi="標楷體" w:cs="Calibri" w:hint="eastAsia"/>
          <w:kern w:val="0"/>
          <w:sz w:val="26"/>
          <w:szCs w:val="26"/>
        </w:rPr>
        <w:t>離退率</w:t>
      </w:r>
      <w:proofErr w:type="gramEnd"/>
      <w:r w:rsidR="00BC2115" w:rsidRPr="00293659">
        <w:rPr>
          <w:rFonts w:hAnsi="標楷體" w:cs="Calibri" w:hint="eastAsia"/>
          <w:kern w:val="0"/>
          <w:sz w:val="26"/>
          <w:szCs w:val="26"/>
        </w:rPr>
        <w:t>=當年度離退人數/（上年底人數+本年度進用人數）。</w:t>
      </w:r>
    </w:p>
    <w:p w14:paraId="13441CA3" w14:textId="34C96C56" w:rsidR="00C73E00" w:rsidRPr="00293659" w:rsidRDefault="00B451D6" w:rsidP="00104000">
      <w:pPr>
        <w:spacing w:line="300" w:lineRule="exact"/>
        <w:ind w:leftChars="152" w:left="756" w:hangingChars="92" w:hanging="239"/>
        <w:rPr>
          <w:rFonts w:hAnsi="標楷體"/>
          <w:sz w:val="24"/>
          <w:szCs w:val="24"/>
        </w:rPr>
      </w:pPr>
      <w:r w:rsidRPr="00293659">
        <w:rPr>
          <w:rFonts w:hAnsi="標楷體" w:hint="eastAsia"/>
          <w:sz w:val="24"/>
          <w:szCs w:val="24"/>
        </w:rPr>
        <w:t>2</w:t>
      </w:r>
      <w:r w:rsidRPr="00293659">
        <w:rPr>
          <w:rFonts w:hAnsi="標楷體"/>
          <w:sz w:val="24"/>
          <w:szCs w:val="24"/>
        </w:rPr>
        <w:t>.</w:t>
      </w:r>
      <w:r w:rsidR="00C73E00" w:rsidRPr="00293659">
        <w:rPr>
          <w:rFonts w:hAnsi="標楷體" w:hint="eastAsia"/>
          <w:sz w:val="24"/>
          <w:szCs w:val="24"/>
        </w:rPr>
        <w:t>1</w:t>
      </w:r>
      <w:r w:rsidR="00C73E00" w:rsidRPr="00293659">
        <w:rPr>
          <w:rFonts w:hAnsi="標楷體"/>
          <w:sz w:val="24"/>
          <w:szCs w:val="24"/>
        </w:rPr>
        <w:t>08~111</w:t>
      </w:r>
      <w:r w:rsidR="00C73E00" w:rsidRPr="00293659">
        <w:rPr>
          <w:rFonts w:hAnsi="標楷體" w:hint="eastAsia"/>
          <w:sz w:val="24"/>
          <w:szCs w:val="24"/>
        </w:rPr>
        <w:t>年欄位，</w:t>
      </w:r>
      <w:r w:rsidRPr="00293659">
        <w:rPr>
          <w:rFonts w:hAnsi="標楷體" w:hint="eastAsia"/>
          <w:sz w:val="24"/>
          <w:szCs w:val="24"/>
        </w:rPr>
        <w:t>係本院自行計算，</w:t>
      </w:r>
      <w:r w:rsidR="00C73E00" w:rsidRPr="00293659">
        <w:rPr>
          <w:rFonts w:hAnsi="標楷體" w:hint="eastAsia"/>
          <w:sz w:val="24"/>
          <w:szCs w:val="24"/>
        </w:rPr>
        <w:t>退休人數</w:t>
      </w:r>
      <w:r w:rsidR="00C73E00" w:rsidRPr="00293659">
        <w:rPr>
          <w:rFonts w:ascii="新細明體" w:eastAsia="新細明體" w:hAnsi="新細明體" w:hint="eastAsia"/>
          <w:sz w:val="24"/>
          <w:szCs w:val="24"/>
        </w:rPr>
        <w:t>、</w:t>
      </w:r>
      <w:r w:rsidR="00C73E00" w:rsidRPr="00293659">
        <w:rPr>
          <w:rFonts w:hAnsi="標楷體" w:hint="eastAsia"/>
          <w:sz w:val="24"/>
          <w:szCs w:val="24"/>
        </w:rPr>
        <w:t>離職人數</w:t>
      </w:r>
      <w:r w:rsidR="00C73E00" w:rsidRPr="00293659">
        <w:rPr>
          <w:rFonts w:ascii="新細明體" w:eastAsia="新細明體" w:hAnsi="新細明體" w:hint="eastAsia"/>
          <w:sz w:val="24"/>
          <w:szCs w:val="24"/>
        </w:rPr>
        <w:t>、</w:t>
      </w:r>
      <w:r w:rsidR="00C73E00" w:rsidRPr="00293659">
        <w:rPr>
          <w:rFonts w:hAnsi="標楷體" w:cs="Calibri" w:hint="eastAsia"/>
          <w:kern w:val="0"/>
          <w:sz w:val="24"/>
          <w:szCs w:val="24"/>
        </w:rPr>
        <w:t>退休與離職</w:t>
      </w:r>
      <w:r w:rsidR="00C73E00" w:rsidRPr="00293659">
        <w:rPr>
          <w:rFonts w:hAnsi="標楷體" w:hint="eastAsia"/>
          <w:sz w:val="24"/>
          <w:szCs w:val="24"/>
        </w:rPr>
        <w:t>人數</w:t>
      </w:r>
      <w:r w:rsidR="00C73E00" w:rsidRPr="00293659">
        <w:rPr>
          <w:rFonts w:hAnsi="標楷體" w:cs="Calibri" w:hint="eastAsia"/>
          <w:kern w:val="0"/>
          <w:sz w:val="24"/>
          <w:szCs w:val="24"/>
        </w:rPr>
        <w:t>合計數</w:t>
      </w:r>
      <w:r w:rsidR="00C73E00" w:rsidRPr="00293659">
        <w:rPr>
          <w:rFonts w:ascii="新細明體" w:eastAsia="新細明體" w:hAnsi="新細明體" w:cs="Calibri" w:hint="eastAsia"/>
          <w:kern w:val="0"/>
          <w:sz w:val="24"/>
          <w:szCs w:val="24"/>
        </w:rPr>
        <w:t>、</w:t>
      </w:r>
      <w:r w:rsidR="00C73E00" w:rsidRPr="00293659">
        <w:rPr>
          <w:rFonts w:hAnsi="標楷體" w:hint="eastAsia"/>
          <w:sz w:val="24"/>
          <w:szCs w:val="24"/>
        </w:rPr>
        <w:t>進用人數等項目為合計數；年底總人數</w:t>
      </w:r>
      <w:r w:rsidR="00C73E00" w:rsidRPr="00293659">
        <w:rPr>
          <w:rFonts w:ascii="新細明體" w:eastAsia="新細明體" w:hAnsi="新細明體" w:hint="eastAsia"/>
          <w:sz w:val="24"/>
          <w:szCs w:val="24"/>
        </w:rPr>
        <w:t>、</w:t>
      </w:r>
      <w:proofErr w:type="gramStart"/>
      <w:r w:rsidR="00C73E00" w:rsidRPr="00293659">
        <w:rPr>
          <w:rFonts w:hAnsi="標楷體" w:hint="eastAsia"/>
          <w:sz w:val="24"/>
          <w:szCs w:val="24"/>
        </w:rPr>
        <w:t>離退率等</w:t>
      </w:r>
      <w:proofErr w:type="gramEnd"/>
      <w:r w:rsidR="00C73E00" w:rsidRPr="00293659">
        <w:rPr>
          <w:rFonts w:hAnsi="標楷體" w:hint="eastAsia"/>
          <w:sz w:val="24"/>
          <w:szCs w:val="24"/>
        </w:rPr>
        <w:t>項目為平均數。</w:t>
      </w:r>
    </w:p>
    <w:p w14:paraId="370B639F" w14:textId="616291D9" w:rsidR="00C73E00" w:rsidRPr="00293659" w:rsidRDefault="00C73E00" w:rsidP="00C73E00">
      <w:pPr>
        <w:spacing w:afterLines="50" w:after="228" w:line="300" w:lineRule="exact"/>
        <w:rPr>
          <w:rFonts w:hAnsi="標楷體"/>
          <w:sz w:val="24"/>
          <w:szCs w:val="24"/>
        </w:rPr>
      </w:pPr>
      <w:r w:rsidRPr="00293659">
        <w:rPr>
          <w:rFonts w:hAnsi="標楷體" w:hint="eastAsia"/>
          <w:sz w:val="24"/>
          <w:szCs w:val="24"/>
        </w:rPr>
        <w:t>資料來源：</w:t>
      </w:r>
      <w:r w:rsidR="00104000" w:rsidRPr="00293659">
        <w:rPr>
          <w:rFonts w:hAnsi="標楷體" w:hint="eastAsia"/>
          <w:sz w:val="24"/>
          <w:szCs w:val="24"/>
        </w:rPr>
        <w:t>中科院</w:t>
      </w:r>
      <w:r w:rsidRPr="00293659">
        <w:rPr>
          <w:rFonts w:hAnsi="標楷體" w:hint="eastAsia"/>
          <w:sz w:val="24"/>
          <w:szCs w:val="24"/>
        </w:rPr>
        <w:t>。</w:t>
      </w:r>
    </w:p>
    <w:p w14:paraId="33D74739" w14:textId="77777777" w:rsidR="0077469E" w:rsidRPr="00293659" w:rsidRDefault="00E1047E" w:rsidP="00E1047E">
      <w:pPr>
        <w:pStyle w:val="2"/>
        <w:numPr>
          <w:ilvl w:val="2"/>
          <w:numId w:val="1"/>
        </w:numPr>
        <w:ind w:left="1360" w:hanging="680"/>
        <w:rPr>
          <w:rFonts w:hAnsi="標楷體"/>
        </w:rPr>
      </w:pPr>
      <w:bookmarkStart w:id="114" w:name="_Toc144211214"/>
      <w:bookmarkStart w:id="115" w:name="_Toc145510476"/>
      <w:bookmarkStart w:id="116" w:name="_Toc143424287"/>
      <w:bookmarkStart w:id="117" w:name="_Toc144140103"/>
      <w:r w:rsidRPr="00293659">
        <w:rPr>
          <w:rFonts w:hAnsi="標楷體" w:hint="eastAsia"/>
        </w:rPr>
        <w:t>經查</w:t>
      </w:r>
      <w:r w:rsidR="0077469E" w:rsidRPr="00293659">
        <w:rPr>
          <w:rFonts w:hAnsi="標楷體" w:hint="eastAsia"/>
        </w:rPr>
        <w:t>：</w:t>
      </w:r>
      <w:bookmarkEnd w:id="114"/>
      <w:bookmarkEnd w:id="115"/>
    </w:p>
    <w:p w14:paraId="26C5741D" w14:textId="3A5FEE67" w:rsidR="0077469E" w:rsidRPr="00293659" w:rsidRDefault="00E1047E" w:rsidP="0077469E">
      <w:pPr>
        <w:pStyle w:val="4"/>
      </w:pPr>
      <w:r w:rsidRPr="00293659">
        <w:t>我國行政法人制度創設之目的，是為以新的公部門組織型態來執行公共事務，在不增加政府支出的條件下，期以有效提升營運績效與服務品質</w:t>
      </w:r>
      <w:r w:rsidRPr="00293659">
        <w:rPr>
          <w:rFonts w:hint="eastAsia"/>
        </w:rPr>
        <w:t>。</w:t>
      </w:r>
      <w:r w:rsidRPr="00293659">
        <w:t>行政法人是藉由法律的創設，打破以往政府、民間體制上的二分法，在傳統行政機關之外，成立公法性質的法人，將不適合由行政機關及民間辦理的公共事務，改由行政法人來處理。行政機關受限於公務人員任用法、公務人員俸給法等法令規定，不易網羅適當人才，而行政法人具有人事管理自主的特性，使公共事務執行更具效率。</w:t>
      </w:r>
    </w:p>
    <w:p w14:paraId="3F9B07C2" w14:textId="0D49C34E" w:rsidR="0077469E" w:rsidRPr="00293659" w:rsidRDefault="00E1047E" w:rsidP="0077469E">
      <w:pPr>
        <w:pStyle w:val="4"/>
      </w:pPr>
      <w:r w:rsidRPr="00293659">
        <w:rPr>
          <w:rFonts w:hint="eastAsia"/>
        </w:rPr>
        <w:t>中科院主要業務包括：國防科技及主要武器裝備之研究發展、生產製造及銷售；軍民通用科技之研究發展、生產製造及銷售；國內外科技之合作、資訊交流及推廣；國內外科技之技術移轉、技術服務及產業服務；國防科技人才之培育；重要國防軍事設施工程；配合國防部重大演訓及戰備急需之事項；其他與該院設立目的相關之事項等，考量其特殊性，於1</w:t>
      </w:r>
      <w:r w:rsidRPr="00293659">
        <w:t>03</w:t>
      </w:r>
      <w:r w:rsidRPr="00293659">
        <w:rPr>
          <w:rFonts w:cs="Arial"/>
          <w:szCs w:val="32"/>
          <w:shd w:val="clear" w:color="auto" w:fill="FFFFFF"/>
        </w:rPr>
        <w:t>年4月16日</w:t>
      </w:r>
      <w:r w:rsidRPr="00293659">
        <w:rPr>
          <w:rFonts w:hint="eastAsia"/>
        </w:rPr>
        <w:t>將中科院</w:t>
      </w:r>
      <w:r w:rsidRPr="00293659">
        <w:rPr>
          <w:rFonts w:cs="Arial"/>
          <w:szCs w:val="32"/>
          <w:shd w:val="clear" w:color="auto" w:fill="FFFFFF"/>
        </w:rPr>
        <w:t>改制為行政法人</w:t>
      </w:r>
      <w:r w:rsidRPr="00293659">
        <w:rPr>
          <w:rFonts w:cs="Arial" w:hint="eastAsia"/>
          <w:szCs w:val="32"/>
          <w:shd w:val="clear" w:color="auto" w:fill="FFFFFF"/>
        </w:rPr>
        <w:t>，</w:t>
      </w:r>
      <w:proofErr w:type="gramStart"/>
      <w:r w:rsidRPr="00293659">
        <w:rPr>
          <w:rFonts w:cs="Arial" w:hint="eastAsia"/>
          <w:szCs w:val="32"/>
          <w:shd w:val="clear" w:color="auto" w:fill="FFFFFF"/>
        </w:rPr>
        <w:t>俾</w:t>
      </w:r>
      <w:proofErr w:type="gramEnd"/>
      <w:r w:rsidRPr="00293659">
        <w:rPr>
          <w:rFonts w:cs="Arial" w:hint="eastAsia"/>
          <w:szCs w:val="32"/>
          <w:shd w:val="clear" w:color="auto" w:fill="FFFFFF"/>
        </w:rPr>
        <w:t>利其</w:t>
      </w:r>
      <w:r w:rsidRPr="00293659">
        <w:t>具有人事管理自主的特性</w:t>
      </w:r>
      <w:r w:rsidRPr="00293659">
        <w:rPr>
          <w:rFonts w:hint="eastAsia"/>
        </w:rPr>
        <w:t>，以方便</w:t>
      </w:r>
      <w:r w:rsidRPr="00293659">
        <w:t>網羅</w:t>
      </w:r>
      <w:r w:rsidRPr="00293659">
        <w:rPr>
          <w:rFonts w:hint="eastAsia"/>
        </w:rPr>
        <w:t>各相關專業之</w:t>
      </w:r>
      <w:r w:rsidRPr="00293659">
        <w:t>適當人才，</w:t>
      </w:r>
      <w:r w:rsidRPr="00293659">
        <w:rPr>
          <w:rFonts w:hint="eastAsia"/>
        </w:rPr>
        <w:t>達成</w:t>
      </w:r>
      <w:r w:rsidRPr="00293659">
        <w:t>提升營運績效</w:t>
      </w:r>
      <w:r w:rsidRPr="00293659">
        <w:rPr>
          <w:rFonts w:hint="eastAsia"/>
        </w:rPr>
        <w:t>之目標</w:t>
      </w:r>
      <w:r w:rsidRPr="00293659">
        <w:t>。</w:t>
      </w:r>
    </w:p>
    <w:p w14:paraId="4DFA9815" w14:textId="77777777" w:rsidR="0077469E" w:rsidRPr="00293659" w:rsidRDefault="00E1047E" w:rsidP="0077469E">
      <w:pPr>
        <w:pStyle w:val="4"/>
      </w:pPr>
      <w:r w:rsidRPr="00293659">
        <w:rPr>
          <w:rFonts w:hint="eastAsia"/>
        </w:rPr>
        <w:t>中科院</w:t>
      </w:r>
      <w:r w:rsidRPr="00293659">
        <w:rPr>
          <w:rFonts w:cs="Arial"/>
          <w:szCs w:val="32"/>
          <w:shd w:val="clear" w:color="auto" w:fill="FFFFFF"/>
        </w:rPr>
        <w:t>改制</w:t>
      </w:r>
      <w:r w:rsidRPr="00293659">
        <w:rPr>
          <w:rFonts w:cs="Arial" w:hint="eastAsia"/>
          <w:szCs w:val="32"/>
          <w:shd w:val="clear" w:color="auto" w:fill="FFFFFF"/>
        </w:rPr>
        <w:t>後為</w:t>
      </w:r>
      <w:r w:rsidRPr="00293659">
        <w:rPr>
          <w:rFonts w:hint="eastAsia"/>
        </w:rPr>
        <w:t>我國國防軍事領域最重要之行</w:t>
      </w:r>
      <w:r w:rsidRPr="00293659">
        <w:rPr>
          <w:rFonts w:hint="eastAsia"/>
        </w:rPr>
        <w:lastRenderedPageBreak/>
        <w:t>政法人，其需仰賴各相關專業領域之充沛人才，</w:t>
      </w:r>
      <w:proofErr w:type="gramStart"/>
      <w:r w:rsidRPr="00293659">
        <w:rPr>
          <w:rFonts w:hint="eastAsia"/>
        </w:rPr>
        <w:t>俾</w:t>
      </w:r>
      <w:proofErr w:type="gramEnd"/>
      <w:r w:rsidRPr="00293659">
        <w:rPr>
          <w:rFonts w:hint="eastAsia"/>
        </w:rPr>
        <w:t>利達成提升我國國防科技能力，建立自主國防工業，拓展國防及軍民通用技術之目標。中科院雖有比一般公務機關更大的</w:t>
      </w:r>
      <w:r w:rsidRPr="00293659">
        <w:t>人事管理自主</w:t>
      </w:r>
      <w:r w:rsidRPr="00293659">
        <w:rPr>
          <w:rFonts w:hint="eastAsia"/>
        </w:rPr>
        <w:t>彈性，然該院研發產製人力結構老化，核心從業人力恐有斷層之虞，且</w:t>
      </w:r>
      <w:r w:rsidRPr="00293659">
        <w:rPr>
          <w:rFonts w:cs="標楷體" w:hint="eastAsia"/>
          <w:kern w:val="0"/>
          <w:szCs w:val="32"/>
          <w:lang w:val="zh-TW"/>
        </w:rPr>
        <w:t>較難招募</w:t>
      </w:r>
      <w:r w:rsidRPr="00293659">
        <w:rPr>
          <w:rFonts w:hint="eastAsia"/>
          <w:szCs w:val="32"/>
        </w:rPr>
        <w:t>特殊專業</w:t>
      </w:r>
      <w:r w:rsidRPr="00293659">
        <w:rPr>
          <w:rFonts w:cs="標楷體" w:hint="eastAsia"/>
          <w:kern w:val="0"/>
          <w:szCs w:val="32"/>
          <w:lang w:val="zh-TW"/>
        </w:rPr>
        <w:t>(</w:t>
      </w:r>
      <w:r w:rsidRPr="00293659">
        <w:rPr>
          <w:rFonts w:hint="eastAsia"/>
          <w:szCs w:val="32"/>
        </w:rPr>
        <w:t>火工作業</w:t>
      </w:r>
      <w:r w:rsidRPr="00293659">
        <w:rPr>
          <w:rFonts w:cs="標楷體" w:hint="eastAsia"/>
          <w:kern w:val="0"/>
          <w:szCs w:val="32"/>
          <w:lang w:val="zh-TW"/>
        </w:rPr>
        <w:t>)與</w:t>
      </w:r>
      <w:r w:rsidRPr="00293659">
        <w:rPr>
          <w:rFonts w:hint="eastAsia"/>
          <w:szCs w:val="32"/>
        </w:rPr>
        <w:t>人力</w:t>
      </w:r>
      <w:proofErr w:type="gramStart"/>
      <w:r w:rsidRPr="00293659">
        <w:rPr>
          <w:rFonts w:hint="eastAsia"/>
          <w:szCs w:val="32"/>
        </w:rPr>
        <w:t>市場稀缺</w:t>
      </w:r>
      <w:proofErr w:type="gramEnd"/>
      <w:r w:rsidRPr="00293659">
        <w:rPr>
          <w:rFonts w:cs="標楷體" w:hint="eastAsia"/>
          <w:kern w:val="0"/>
          <w:szCs w:val="32"/>
          <w:lang w:val="zh-TW"/>
        </w:rPr>
        <w:t>(</w:t>
      </w:r>
      <w:r w:rsidRPr="00293659">
        <w:rPr>
          <w:rFonts w:hint="eastAsia"/>
          <w:szCs w:val="32"/>
        </w:rPr>
        <w:t>資訊安全</w:t>
      </w:r>
      <w:r w:rsidRPr="00293659">
        <w:rPr>
          <w:rFonts w:cs="標楷體" w:hint="eastAsia"/>
          <w:kern w:val="0"/>
          <w:szCs w:val="32"/>
          <w:lang w:val="zh-TW"/>
        </w:rPr>
        <w:t>)等領域之人力，</w:t>
      </w:r>
      <w:r w:rsidRPr="00293659">
        <w:rPr>
          <w:rFonts w:cs="Arial" w:hint="eastAsia"/>
        </w:rPr>
        <w:t>又</w:t>
      </w:r>
      <w:r w:rsidRPr="00293659">
        <w:rPr>
          <w:rFonts w:cs="標楷體" w:hint="eastAsia"/>
          <w:kern w:val="0"/>
          <w:szCs w:val="32"/>
          <w:lang w:val="zh-TW"/>
        </w:rPr>
        <w:t>目前</w:t>
      </w:r>
      <w:r w:rsidRPr="00293659">
        <w:rPr>
          <w:rFonts w:cs="Arial" w:hint="eastAsia"/>
        </w:rPr>
        <w:t>該院6</w:t>
      </w:r>
      <w:r w:rsidRPr="00293659">
        <w:rPr>
          <w:rFonts w:cs="Arial"/>
        </w:rPr>
        <w:t>0</w:t>
      </w:r>
      <w:r w:rsidRPr="00293659">
        <w:rPr>
          <w:rFonts w:cs="Arial" w:hint="eastAsia"/>
        </w:rPr>
        <w:t>歲以上、將於</w:t>
      </w:r>
      <w:r w:rsidRPr="00293659">
        <w:rPr>
          <w:rFonts w:cs="Calibri" w:hint="eastAsia"/>
          <w:kern w:val="0"/>
        </w:rPr>
        <w:t>5年內陸續退休</w:t>
      </w:r>
      <w:r w:rsidRPr="00293659">
        <w:rPr>
          <w:rFonts w:cs="Arial" w:hint="eastAsia"/>
        </w:rPr>
        <w:t>人員已達</w:t>
      </w:r>
      <w:r w:rsidRPr="00293659">
        <w:rPr>
          <w:rFonts w:cs="Calibri" w:hint="eastAsia"/>
          <w:kern w:val="0"/>
        </w:rPr>
        <w:t>1,693人</w:t>
      </w:r>
      <w:r w:rsidRPr="00293659">
        <w:rPr>
          <w:rFonts w:cs="Arial" w:hint="eastAsia"/>
        </w:rPr>
        <w:t>、占</w:t>
      </w:r>
      <w:r w:rsidRPr="00293659">
        <w:rPr>
          <w:rFonts w:cs="Calibri" w:hint="eastAsia"/>
          <w:kern w:val="0"/>
        </w:rPr>
        <w:t>14.89%之情況，相關</w:t>
      </w:r>
      <w:proofErr w:type="gramStart"/>
      <w:r w:rsidRPr="00293659">
        <w:rPr>
          <w:rFonts w:cs="Calibri" w:hint="eastAsia"/>
          <w:kern w:val="0"/>
        </w:rPr>
        <w:t>困難均仍</w:t>
      </w:r>
      <w:proofErr w:type="gramEnd"/>
      <w:r w:rsidRPr="00293659">
        <w:rPr>
          <w:rFonts w:cs="Calibri" w:hint="eastAsia"/>
          <w:kern w:val="0"/>
        </w:rPr>
        <w:t>待逐一克服。</w:t>
      </w:r>
    </w:p>
    <w:p w14:paraId="4F5436E0" w14:textId="53578346" w:rsidR="00E1047E" w:rsidRDefault="00E1047E" w:rsidP="0077469E">
      <w:pPr>
        <w:pStyle w:val="4"/>
      </w:pPr>
      <w:r w:rsidRPr="00293659">
        <w:rPr>
          <w:rFonts w:hint="eastAsia"/>
        </w:rPr>
        <w:t>國防部允應督導中科院，針對現職人力資源進行盤點與預估未來需求與缺口，允應持續以更積極態度，以及可受公評之客觀公正方式適時招攬與遴選所需之各專業人才，</w:t>
      </w:r>
      <w:bookmarkEnd w:id="111"/>
      <w:r w:rsidRPr="00293659">
        <w:rPr>
          <w:rFonts w:hint="eastAsia"/>
        </w:rPr>
        <w:t>以避免該</w:t>
      </w:r>
      <w:r w:rsidRPr="00293659">
        <w:rPr>
          <w:rFonts w:hint="eastAsia"/>
          <w:szCs w:val="32"/>
        </w:rPr>
        <w:t>院</w:t>
      </w:r>
      <w:r w:rsidRPr="00293659">
        <w:rPr>
          <w:rFonts w:cs="Calibri" w:hint="eastAsia"/>
          <w:kern w:val="0"/>
          <w:szCs w:val="32"/>
        </w:rPr>
        <w:t>研發與生產技術等</w:t>
      </w:r>
      <w:r w:rsidRPr="00293659">
        <w:rPr>
          <w:rFonts w:hint="eastAsia"/>
          <w:szCs w:val="32"/>
        </w:rPr>
        <w:t>核心從</w:t>
      </w:r>
      <w:r w:rsidRPr="00293659">
        <w:rPr>
          <w:rFonts w:hint="eastAsia"/>
        </w:rPr>
        <w:t>業人力出現不足、發生斷層而嚴重影響該院業務推展與完成目標與任務之情形。</w:t>
      </w:r>
      <w:bookmarkEnd w:id="112"/>
      <w:bookmarkEnd w:id="113"/>
      <w:bookmarkEnd w:id="116"/>
      <w:bookmarkEnd w:id="117"/>
    </w:p>
    <w:p w14:paraId="5F53F2B0" w14:textId="77777777" w:rsidR="006B2BF4" w:rsidRPr="00293659" w:rsidRDefault="006B2BF4" w:rsidP="006B2BF4"/>
    <w:p w14:paraId="1CB0E196" w14:textId="3CFA5990" w:rsidR="00E1047E" w:rsidRPr="00293659" w:rsidRDefault="00E1047E" w:rsidP="00E1047E">
      <w:pPr>
        <w:pStyle w:val="2"/>
        <w:widowControl/>
        <w:numPr>
          <w:ilvl w:val="1"/>
          <w:numId w:val="1"/>
        </w:numPr>
        <w:overflowPunct/>
        <w:autoSpaceDE/>
        <w:autoSpaceDN/>
        <w:rPr>
          <w:rFonts w:hAnsi="標楷體"/>
          <w:b/>
          <w:bCs w:val="0"/>
        </w:rPr>
      </w:pPr>
      <w:bookmarkStart w:id="118" w:name="_Toc143262191"/>
      <w:bookmarkStart w:id="119" w:name="_Toc145510477"/>
      <w:r w:rsidRPr="00293659">
        <w:rPr>
          <w:rFonts w:hAnsi="標楷體" w:hint="eastAsia"/>
          <w:b/>
          <w:bCs w:val="0"/>
          <w:noProof/>
        </w:rPr>
        <w:t>國防部未能於1</w:t>
      </w:r>
      <w:r w:rsidRPr="00293659">
        <w:rPr>
          <w:rFonts w:hAnsi="標楷體" w:cs="Arial"/>
          <w:b/>
          <w:bCs w:val="0"/>
          <w:szCs w:val="32"/>
          <w:shd w:val="clear" w:color="auto" w:fill="FFFFFF"/>
        </w:rPr>
        <w:t>03年4月16日</w:t>
      </w:r>
      <w:r w:rsidRPr="00293659">
        <w:rPr>
          <w:rFonts w:hAnsi="標楷體" w:hint="eastAsia"/>
          <w:b/>
          <w:bCs w:val="0"/>
          <w:noProof/>
        </w:rPr>
        <w:t>中科院</w:t>
      </w:r>
      <w:r w:rsidRPr="00293659">
        <w:rPr>
          <w:rFonts w:hAnsi="標楷體" w:cs="Arial"/>
          <w:b/>
          <w:bCs w:val="0"/>
          <w:szCs w:val="32"/>
          <w:shd w:val="clear" w:color="auto" w:fill="FFFFFF"/>
        </w:rPr>
        <w:t>改制為行政法人</w:t>
      </w:r>
      <w:r w:rsidRPr="00293659">
        <w:rPr>
          <w:rFonts w:hAnsi="標楷體" w:cs="Arial" w:hint="eastAsia"/>
          <w:b/>
          <w:bCs w:val="0"/>
          <w:szCs w:val="32"/>
          <w:shd w:val="clear" w:color="auto" w:fill="FFFFFF"/>
        </w:rPr>
        <w:t>初期，</w:t>
      </w:r>
      <w:r w:rsidRPr="00293659">
        <w:rPr>
          <w:rFonts w:hAnsi="標楷體" w:hint="eastAsia"/>
          <w:b/>
          <w:bCs w:val="0"/>
          <w:noProof/>
        </w:rPr>
        <w:t>督促該院建立完備之</w:t>
      </w:r>
      <w:r w:rsidRPr="00293659">
        <w:rPr>
          <w:rFonts w:hAnsi="標楷體" w:cs="Arial"/>
          <w:b/>
          <w:bCs w:val="0"/>
          <w:szCs w:val="32"/>
          <w:shd w:val="clear" w:color="auto" w:fill="FFFFFF"/>
        </w:rPr>
        <w:t>利</w:t>
      </w:r>
      <w:proofErr w:type="gramStart"/>
      <w:r w:rsidRPr="00293659">
        <w:rPr>
          <w:rFonts w:hAnsi="標楷體" w:cs="Arial"/>
          <w:b/>
          <w:bCs w:val="0"/>
          <w:szCs w:val="32"/>
          <w:shd w:val="clear" w:color="auto" w:fill="FFFFFF"/>
        </w:rPr>
        <w:t>衝</w:t>
      </w:r>
      <w:proofErr w:type="gramEnd"/>
      <w:r w:rsidRPr="00293659">
        <w:rPr>
          <w:rFonts w:hAnsi="標楷體" w:cs="Arial"/>
          <w:b/>
          <w:bCs w:val="0"/>
          <w:szCs w:val="32"/>
          <w:shd w:val="clear" w:color="auto" w:fill="FFFFFF"/>
        </w:rPr>
        <w:t>規範</w:t>
      </w:r>
      <w:r w:rsidRPr="00293659">
        <w:rPr>
          <w:rFonts w:hAnsi="標楷體" w:cs="Arial" w:hint="eastAsia"/>
          <w:b/>
          <w:bCs w:val="0"/>
          <w:szCs w:val="32"/>
        </w:rPr>
        <w:t>，致</w:t>
      </w:r>
      <w:r w:rsidRPr="00293659">
        <w:rPr>
          <w:rFonts w:hAnsi="標楷體" w:cs="Arial" w:hint="eastAsia"/>
          <w:b/>
          <w:bCs w:val="0"/>
          <w:szCs w:val="32"/>
          <w:shd w:val="clear" w:color="auto" w:fill="FFFFFF"/>
        </w:rPr>
        <w:t>審計部清</w:t>
      </w:r>
      <w:r w:rsidRPr="00293659">
        <w:rPr>
          <w:rFonts w:hAnsi="標楷體" w:cs="Arial" w:hint="eastAsia"/>
          <w:b/>
          <w:bCs w:val="0"/>
          <w:szCs w:val="32"/>
        </w:rPr>
        <w:t>查</w:t>
      </w:r>
      <w:r w:rsidRPr="00293659">
        <w:rPr>
          <w:rFonts w:hAnsi="標楷體" w:cs="HiddenHorzOCR" w:hint="eastAsia"/>
          <w:b/>
          <w:bCs w:val="0"/>
          <w:kern w:val="0"/>
          <w:szCs w:val="32"/>
        </w:rPr>
        <w:t>中科院</w:t>
      </w:r>
      <w:r w:rsidRPr="00293659">
        <w:rPr>
          <w:rFonts w:hAnsi="標楷體" w:cs="HiddenHorzOCR"/>
          <w:b/>
          <w:bCs w:val="0"/>
          <w:kern w:val="0"/>
          <w:szCs w:val="32"/>
        </w:rPr>
        <w:t>103</w:t>
      </w:r>
      <w:r w:rsidRPr="00293659">
        <w:rPr>
          <w:rFonts w:hAnsi="標楷體" w:cs="HiddenHorzOCR" w:hint="eastAsia"/>
          <w:b/>
          <w:bCs w:val="0"/>
          <w:kern w:val="0"/>
          <w:szCs w:val="32"/>
        </w:rPr>
        <w:t>至</w:t>
      </w:r>
      <w:r w:rsidRPr="00293659">
        <w:rPr>
          <w:rFonts w:hAnsi="標楷體" w:cs="HiddenHorzOCR"/>
          <w:b/>
          <w:bCs w:val="0"/>
          <w:kern w:val="0"/>
          <w:szCs w:val="32"/>
        </w:rPr>
        <w:t>109</w:t>
      </w:r>
      <w:r w:rsidRPr="00293659">
        <w:rPr>
          <w:rFonts w:hAnsi="標楷體" w:cs="HiddenHorzOCR" w:hint="eastAsia"/>
          <w:b/>
          <w:bCs w:val="0"/>
          <w:kern w:val="0"/>
          <w:szCs w:val="32"/>
        </w:rPr>
        <w:t>年度得標廠商與該院現職人員關係後，即發現採購作業中</w:t>
      </w:r>
      <w:r w:rsidRPr="00293659">
        <w:rPr>
          <w:rFonts w:hAnsi="標楷體" w:cs="Yu Gothic" w:hint="eastAsia"/>
          <w:b/>
          <w:bCs w:val="0"/>
          <w:kern w:val="0"/>
          <w:szCs w:val="32"/>
        </w:rPr>
        <w:t>存在多起</w:t>
      </w:r>
      <w:r w:rsidRPr="00293659">
        <w:rPr>
          <w:rFonts w:hAnsi="標楷體" w:cs="HiddenHorzOCR" w:hint="eastAsia"/>
          <w:b/>
          <w:bCs w:val="0"/>
          <w:kern w:val="0"/>
          <w:szCs w:val="32"/>
        </w:rPr>
        <w:t>利益衝突之不當情形，顯有未當</w:t>
      </w:r>
      <w:r w:rsidRPr="00293659">
        <w:rPr>
          <w:rFonts w:hAnsi="標楷體" w:cs="Yu Gothic" w:hint="eastAsia"/>
          <w:b/>
          <w:bCs w:val="0"/>
          <w:kern w:val="0"/>
          <w:szCs w:val="32"/>
        </w:rPr>
        <w:t>。</w:t>
      </w:r>
      <w:r w:rsidRPr="00293659">
        <w:rPr>
          <w:rFonts w:hAnsi="標楷體" w:hint="eastAsia"/>
          <w:b/>
          <w:bCs w:val="0"/>
          <w:szCs w:val="32"/>
        </w:rPr>
        <w:t>中科院雖於110年12月23日訂頒</w:t>
      </w:r>
      <w:r w:rsidRPr="00293659">
        <w:rPr>
          <w:rFonts w:hAnsi="標楷體" w:cs="標楷體" w:hint="eastAsia"/>
          <w:b/>
          <w:bCs w:val="0"/>
          <w:kern w:val="0"/>
          <w:szCs w:val="32"/>
          <w:lang w:val="zh-TW"/>
        </w:rPr>
        <w:t>「</w:t>
      </w:r>
      <w:r w:rsidRPr="00293659">
        <w:rPr>
          <w:rFonts w:hAnsi="標楷體" w:hint="eastAsia"/>
          <w:b/>
          <w:bCs w:val="0"/>
          <w:szCs w:val="32"/>
        </w:rPr>
        <w:t>採購利益迴避與衝突禁止及請託關說事件處理作業規定</w:t>
      </w:r>
      <w:r w:rsidRPr="00293659">
        <w:rPr>
          <w:rFonts w:hAnsi="標楷體" w:cs="標楷體" w:hint="eastAsia"/>
          <w:b/>
          <w:bCs w:val="0"/>
          <w:kern w:val="0"/>
          <w:szCs w:val="32"/>
          <w:lang w:val="zh-TW"/>
        </w:rPr>
        <w:t>」，</w:t>
      </w:r>
      <w:r w:rsidR="00F71FFF" w:rsidRPr="00293659">
        <w:rPr>
          <w:rFonts w:hAnsi="標楷體" w:cs="標楷體" w:hint="eastAsia"/>
          <w:b/>
          <w:bCs w:val="0"/>
          <w:kern w:val="0"/>
          <w:szCs w:val="32"/>
          <w:lang w:val="zh-TW"/>
        </w:rPr>
        <w:t>擴</w:t>
      </w:r>
      <w:r w:rsidRPr="00293659">
        <w:rPr>
          <w:rFonts w:hAnsi="標楷體" w:cs="標楷體" w:hint="eastAsia"/>
          <w:b/>
          <w:bCs w:val="0"/>
          <w:kern w:val="0"/>
          <w:szCs w:val="32"/>
          <w:lang w:val="zh-TW"/>
        </w:rPr>
        <w:t>大對利</w:t>
      </w:r>
      <w:proofErr w:type="gramStart"/>
      <w:r w:rsidRPr="00293659">
        <w:rPr>
          <w:rFonts w:hAnsi="標楷體" w:cs="Arial"/>
          <w:b/>
          <w:bCs w:val="0"/>
          <w:szCs w:val="32"/>
          <w:shd w:val="clear" w:color="auto" w:fill="FFFFFF"/>
        </w:rPr>
        <w:t>衝</w:t>
      </w:r>
      <w:proofErr w:type="gramEnd"/>
      <w:r w:rsidRPr="00293659">
        <w:rPr>
          <w:rFonts w:hAnsi="標楷體" w:cs="Arial" w:hint="eastAsia"/>
          <w:b/>
          <w:bCs w:val="0"/>
          <w:szCs w:val="32"/>
          <w:shd w:val="clear" w:color="auto" w:fill="FFFFFF"/>
        </w:rPr>
        <w:t>之</w:t>
      </w:r>
      <w:r w:rsidRPr="00293659">
        <w:rPr>
          <w:rFonts w:hAnsi="標楷體" w:cs="Arial"/>
          <w:b/>
          <w:bCs w:val="0"/>
          <w:szCs w:val="32"/>
          <w:shd w:val="clear" w:color="auto" w:fill="FFFFFF"/>
        </w:rPr>
        <w:t>規範對象及並</w:t>
      </w:r>
      <w:r w:rsidRPr="00293659">
        <w:rPr>
          <w:rFonts w:hAnsi="標楷體" w:cs="Arial" w:hint="eastAsia"/>
          <w:b/>
          <w:bCs w:val="0"/>
          <w:szCs w:val="32"/>
          <w:shd w:val="clear" w:color="auto" w:fill="FFFFFF"/>
        </w:rPr>
        <w:t>加強其規範內</w:t>
      </w:r>
      <w:r w:rsidRPr="00293659">
        <w:rPr>
          <w:rFonts w:hAnsi="標楷體" w:cs="Arial"/>
          <w:b/>
          <w:bCs w:val="0"/>
          <w:szCs w:val="32"/>
          <w:shd w:val="clear" w:color="auto" w:fill="FFFFFF"/>
        </w:rPr>
        <w:t>容</w:t>
      </w:r>
      <w:r w:rsidRPr="00293659">
        <w:rPr>
          <w:rFonts w:hAnsi="標楷體" w:cs="Arial" w:hint="eastAsia"/>
          <w:b/>
          <w:bCs w:val="0"/>
          <w:szCs w:val="32"/>
          <w:shd w:val="clear" w:color="auto" w:fill="FFFFFF"/>
        </w:rPr>
        <w:t>，惟</w:t>
      </w:r>
      <w:proofErr w:type="gramStart"/>
      <w:r w:rsidRPr="00293659">
        <w:rPr>
          <w:rFonts w:hAnsi="標楷體" w:hint="eastAsia"/>
          <w:b/>
          <w:bCs w:val="0"/>
          <w:szCs w:val="32"/>
        </w:rPr>
        <w:t>11</w:t>
      </w:r>
      <w:proofErr w:type="gramEnd"/>
      <w:r w:rsidRPr="00293659">
        <w:rPr>
          <w:rFonts w:hAnsi="標楷體" w:hint="eastAsia"/>
          <w:b/>
          <w:bCs w:val="0"/>
          <w:szCs w:val="32"/>
        </w:rPr>
        <w:t>1年度</w:t>
      </w:r>
      <w:r w:rsidRPr="00293659">
        <w:rPr>
          <w:rFonts w:hAnsi="標楷體" w:cs="標楷體" w:hint="eastAsia"/>
          <w:b/>
          <w:bCs w:val="0"/>
          <w:kern w:val="0"/>
          <w:szCs w:val="32"/>
          <w:lang w:val="zh-TW"/>
        </w:rPr>
        <w:t>仍查出該院4位現職人員</w:t>
      </w:r>
      <w:r w:rsidRPr="00293659">
        <w:rPr>
          <w:rFonts w:hAnsi="標楷體" w:hint="eastAsia"/>
          <w:b/>
          <w:bCs w:val="0"/>
          <w:szCs w:val="32"/>
        </w:rPr>
        <w:t>違反利衝規定情事，國防部顯應持續嚴</w:t>
      </w:r>
      <w:r w:rsidR="00F71FFF" w:rsidRPr="00293659">
        <w:rPr>
          <w:rFonts w:hAnsi="標楷體" w:hint="eastAsia"/>
          <w:b/>
          <w:bCs w:val="0"/>
          <w:szCs w:val="32"/>
        </w:rPr>
        <w:t>格</w:t>
      </w:r>
      <w:r w:rsidRPr="00293659">
        <w:rPr>
          <w:rFonts w:hAnsi="標楷體" w:hint="eastAsia"/>
          <w:b/>
          <w:bCs w:val="0"/>
          <w:szCs w:val="32"/>
        </w:rPr>
        <w:t>督</w:t>
      </w:r>
      <w:r w:rsidR="00F71FFF" w:rsidRPr="00293659">
        <w:rPr>
          <w:rFonts w:hAnsi="標楷體" w:hint="eastAsia"/>
          <w:b/>
          <w:bCs w:val="0"/>
          <w:szCs w:val="32"/>
        </w:rPr>
        <w:t>導</w:t>
      </w:r>
      <w:r w:rsidRPr="00293659">
        <w:rPr>
          <w:rFonts w:hAnsi="標楷體" w:hint="eastAsia"/>
          <w:b/>
          <w:bCs w:val="0"/>
          <w:szCs w:val="32"/>
        </w:rPr>
        <w:t>中科院加強宣導相關規定並積極查核</w:t>
      </w:r>
      <w:r w:rsidR="002F3D08" w:rsidRPr="00293659">
        <w:rPr>
          <w:rFonts w:hAnsi="標楷體" w:hint="eastAsia"/>
          <w:b/>
          <w:bCs w:val="0"/>
          <w:szCs w:val="32"/>
        </w:rPr>
        <w:t>，</w:t>
      </w:r>
      <w:r w:rsidRPr="00293659">
        <w:rPr>
          <w:rFonts w:hAnsi="標楷體" w:hint="eastAsia"/>
          <w:b/>
          <w:bCs w:val="0"/>
          <w:szCs w:val="32"/>
        </w:rPr>
        <w:t>俾防杜類似違反利益衝突情事之發生。又，中科院對相關廠商因涉及利益衝突而列為該院限制參與購案廠商時，於</w:t>
      </w:r>
      <w:r w:rsidR="004A57F0" w:rsidRPr="00293659">
        <w:rPr>
          <w:rFonts w:hAnsi="標楷體" w:hint="eastAsia"/>
          <w:b/>
          <w:bCs w:val="0"/>
          <w:szCs w:val="32"/>
        </w:rPr>
        <w:t>中科院相關現職人員離職後，抑或</w:t>
      </w:r>
      <w:r w:rsidRPr="00293659">
        <w:rPr>
          <w:rFonts w:hAnsi="標楷體" w:hint="eastAsia"/>
          <w:b/>
          <w:bCs w:val="0"/>
          <w:szCs w:val="32"/>
        </w:rPr>
        <w:t>廠商告知中科院現職人員之親屬已離職或卸除</w:t>
      </w:r>
      <w:r w:rsidRPr="00293659">
        <w:rPr>
          <w:rFonts w:hAnsi="標楷體" w:hint="eastAsia"/>
          <w:b/>
          <w:bCs w:val="0"/>
          <w:szCs w:val="32"/>
        </w:rPr>
        <w:lastRenderedPageBreak/>
        <w:t>相關職務後，中科院迅即對該廠商解除管制之作為，以及</w:t>
      </w:r>
      <w:r w:rsidRPr="00293659">
        <w:rPr>
          <w:rFonts w:hAnsi="標楷體" w:hint="eastAsia"/>
          <w:b/>
          <w:bCs w:val="0"/>
          <w:shd w:val="clear" w:color="auto" w:fill="FFFFFF" w:themeFill="background1"/>
        </w:rPr>
        <w:t>投標廠商代表於</w:t>
      </w:r>
      <w:r w:rsidRPr="00293659">
        <w:rPr>
          <w:rFonts w:hAnsi="標楷體"/>
          <w:b/>
          <w:bCs w:val="0"/>
          <w:u w:color="FF0000"/>
        </w:rPr>
        <w:t>投標文件中</w:t>
      </w:r>
      <w:r w:rsidRPr="00293659">
        <w:rPr>
          <w:rFonts w:hAnsi="標楷體" w:hint="eastAsia"/>
          <w:b/>
          <w:bCs w:val="0"/>
          <w:u w:color="FF0000"/>
        </w:rPr>
        <w:t>做</w:t>
      </w:r>
      <w:proofErr w:type="gramStart"/>
      <w:r w:rsidRPr="00293659">
        <w:rPr>
          <w:rFonts w:hAnsi="標楷體"/>
          <w:b/>
          <w:bCs w:val="0"/>
          <w:u w:color="FF0000"/>
        </w:rPr>
        <w:t>不實勾選</w:t>
      </w:r>
      <w:proofErr w:type="gramEnd"/>
      <w:r w:rsidR="00F71FFF" w:rsidRPr="00293659">
        <w:rPr>
          <w:rFonts w:hAnsi="標楷體" w:hint="eastAsia"/>
          <w:b/>
          <w:bCs w:val="0"/>
          <w:u w:color="FF0000"/>
        </w:rPr>
        <w:t>，簡直目無法紀，中科院卻推卸以</w:t>
      </w:r>
      <w:r w:rsidRPr="00293659">
        <w:rPr>
          <w:rFonts w:hAnsi="標楷體" w:hint="eastAsia"/>
          <w:b/>
          <w:bCs w:val="0"/>
          <w:u w:color="FF0000"/>
        </w:rPr>
        <w:t>無法對其與其所代表</w:t>
      </w:r>
      <w:proofErr w:type="gramStart"/>
      <w:r w:rsidRPr="00293659">
        <w:rPr>
          <w:rFonts w:hAnsi="標楷體" w:hint="eastAsia"/>
          <w:b/>
          <w:bCs w:val="0"/>
          <w:u w:color="FF0000"/>
        </w:rPr>
        <w:t>廠商課</w:t>
      </w:r>
      <w:proofErr w:type="gramEnd"/>
      <w:r w:rsidRPr="00293659">
        <w:rPr>
          <w:rFonts w:hAnsi="標楷體" w:hint="eastAsia"/>
          <w:b/>
          <w:bCs w:val="0"/>
          <w:u w:color="FF0000"/>
        </w:rPr>
        <w:t>責，致</w:t>
      </w:r>
      <w:r w:rsidRPr="00293659">
        <w:rPr>
          <w:rFonts w:hAnsi="標楷體"/>
          <w:b/>
          <w:bCs w:val="0"/>
          <w:u w:color="FF0000"/>
        </w:rPr>
        <w:t>中科院</w:t>
      </w:r>
      <w:r w:rsidRPr="00293659">
        <w:rPr>
          <w:rFonts w:hAnsi="標楷體" w:hint="eastAsia"/>
          <w:b/>
          <w:bCs w:val="0"/>
          <w:u w:color="FF0000"/>
        </w:rPr>
        <w:t>利衝規範或</w:t>
      </w:r>
      <w:r w:rsidRPr="00293659">
        <w:rPr>
          <w:rFonts w:hAnsi="標楷體"/>
          <w:b/>
          <w:bCs w:val="0"/>
          <w:u w:color="FF0000"/>
        </w:rPr>
        <w:t>內部行政規則</w:t>
      </w:r>
      <w:r w:rsidRPr="00293659">
        <w:rPr>
          <w:rFonts w:hAnsi="標楷體" w:hint="eastAsia"/>
          <w:b/>
          <w:bCs w:val="0"/>
          <w:u w:color="FF0000"/>
        </w:rPr>
        <w:t>形同具文，</w:t>
      </w:r>
      <w:r w:rsidR="004A57F0" w:rsidRPr="00293659">
        <w:rPr>
          <w:rFonts w:hAnsi="標楷體" w:hint="eastAsia"/>
          <w:b/>
          <w:bCs w:val="0"/>
          <w:u w:color="FF0000"/>
        </w:rPr>
        <w:t>顯見該院</w:t>
      </w:r>
      <w:r w:rsidRPr="00293659">
        <w:rPr>
          <w:rFonts w:hAnsi="標楷體" w:hint="eastAsia"/>
          <w:b/>
          <w:bCs w:val="0"/>
          <w:u w:color="FF0000"/>
        </w:rPr>
        <w:t>利衝規範或採購相關機制，</w:t>
      </w:r>
      <w:r w:rsidR="00F71FFF" w:rsidRPr="00293659">
        <w:rPr>
          <w:rFonts w:hAnsi="標楷體" w:hint="eastAsia"/>
          <w:b/>
          <w:bCs w:val="0"/>
          <w:u w:color="FF0000"/>
        </w:rPr>
        <w:t>難</w:t>
      </w:r>
      <w:r w:rsidR="00DB2B70" w:rsidRPr="00293659">
        <w:rPr>
          <w:rFonts w:hAnsi="標楷體" w:hint="eastAsia"/>
          <w:b/>
          <w:bCs w:val="0"/>
          <w:szCs w:val="32"/>
        </w:rPr>
        <w:t>以杜絕一再發生的利衝違失</w:t>
      </w:r>
      <w:r w:rsidR="00F71FFF" w:rsidRPr="00293659">
        <w:rPr>
          <w:rFonts w:hAnsi="標楷體" w:hint="eastAsia"/>
          <w:b/>
          <w:bCs w:val="0"/>
          <w:szCs w:val="32"/>
        </w:rPr>
        <w:t>，國防部難辭其</w:t>
      </w:r>
      <w:r w:rsidR="00E21922" w:rsidRPr="00293659">
        <w:rPr>
          <w:rFonts w:hAnsi="標楷體" w:hint="eastAsia"/>
          <w:b/>
          <w:bCs w:val="0"/>
          <w:szCs w:val="32"/>
        </w:rPr>
        <w:t>咎</w:t>
      </w:r>
      <w:r w:rsidRPr="00293659">
        <w:rPr>
          <w:rFonts w:hAnsi="標楷體" w:hint="eastAsia"/>
          <w:b/>
          <w:bCs w:val="0"/>
          <w:szCs w:val="32"/>
        </w:rPr>
        <w:t>。</w:t>
      </w:r>
      <w:bookmarkEnd w:id="118"/>
      <w:bookmarkEnd w:id="119"/>
    </w:p>
    <w:p w14:paraId="48CB0724" w14:textId="61D651AA" w:rsidR="00E1047E" w:rsidRPr="00293659" w:rsidRDefault="00E1047E" w:rsidP="00E1047E">
      <w:pPr>
        <w:pStyle w:val="2"/>
        <w:numPr>
          <w:ilvl w:val="2"/>
          <w:numId w:val="1"/>
        </w:numPr>
        <w:ind w:left="1360" w:hanging="680"/>
        <w:rPr>
          <w:rFonts w:hAnsi="標楷體" w:cs="Yu Gothic"/>
        </w:rPr>
      </w:pPr>
      <w:bookmarkStart w:id="120" w:name="_Toc143243835"/>
      <w:bookmarkStart w:id="121" w:name="_Toc143262192"/>
      <w:bookmarkStart w:id="122" w:name="_Toc143263077"/>
      <w:bookmarkStart w:id="123" w:name="_Toc143424289"/>
      <w:bookmarkStart w:id="124" w:name="_Toc144140105"/>
      <w:bookmarkStart w:id="125" w:name="_Toc144211216"/>
      <w:bookmarkStart w:id="126" w:name="_Toc145510478"/>
      <w:r w:rsidRPr="00293659">
        <w:rPr>
          <w:rFonts w:hAnsi="標楷體" w:hint="eastAsia"/>
        </w:rPr>
        <w:t>據審計部查核發現，中科院</w:t>
      </w:r>
      <w:r w:rsidRPr="00293659">
        <w:rPr>
          <w:rFonts w:hAnsi="標楷體"/>
        </w:rPr>
        <w:t>103</w:t>
      </w:r>
      <w:r w:rsidRPr="00293659">
        <w:rPr>
          <w:rFonts w:hAnsi="標楷體" w:hint="eastAsia"/>
        </w:rPr>
        <w:t>至</w:t>
      </w:r>
      <w:r w:rsidRPr="00293659">
        <w:rPr>
          <w:rFonts w:hAnsi="標楷體"/>
        </w:rPr>
        <w:t>109</w:t>
      </w:r>
      <w:r w:rsidRPr="00293659">
        <w:rPr>
          <w:rFonts w:hAnsi="標楷體" w:hint="eastAsia"/>
        </w:rPr>
        <w:t>年度得標廠商名單中，計有</w:t>
      </w:r>
      <w:r w:rsidRPr="00293659">
        <w:rPr>
          <w:rFonts w:hAnsi="標楷體"/>
        </w:rPr>
        <w:t>36</w:t>
      </w:r>
      <w:r w:rsidRPr="00293659">
        <w:rPr>
          <w:rFonts w:hAnsi="標楷體" w:hint="eastAsia"/>
        </w:rPr>
        <w:t>家得標廠商之董、監事，與該院</w:t>
      </w:r>
      <w:r w:rsidRPr="00293659">
        <w:rPr>
          <w:rFonts w:hAnsi="標楷體"/>
        </w:rPr>
        <w:t>35</w:t>
      </w:r>
      <w:r w:rsidRPr="00293659">
        <w:rPr>
          <w:rFonts w:hAnsi="標楷體" w:hint="eastAsia"/>
        </w:rPr>
        <w:t>名現職員工互為配</w:t>
      </w:r>
      <w:r w:rsidRPr="00293659">
        <w:rPr>
          <w:rFonts w:hAnsi="標楷體" w:cs="Yu Gothic" w:hint="eastAsia"/>
        </w:rPr>
        <w:t>偶或一等親之親屬關係，</w:t>
      </w:r>
      <w:r w:rsidRPr="00293659">
        <w:rPr>
          <w:rFonts w:hAnsi="標楷體" w:hint="eastAsia"/>
        </w:rPr>
        <w:t>經統計截至</w:t>
      </w:r>
      <w:r w:rsidRPr="00293659">
        <w:rPr>
          <w:rFonts w:hAnsi="標楷體"/>
        </w:rPr>
        <w:t>109</w:t>
      </w:r>
      <w:r w:rsidRPr="00293659">
        <w:rPr>
          <w:rFonts w:hAnsi="標楷體" w:hint="eastAsia"/>
        </w:rPr>
        <w:t>年底止，該等得標廠商已獲取該院</w:t>
      </w:r>
      <w:r w:rsidRPr="00293659">
        <w:rPr>
          <w:rFonts w:hAnsi="標楷體"/>
        </w:rPr>
        <w:t>631</w:t>
      </w:r>
      <w:r w:rsidRPr="00293659">
        <w:rPr>
          <w:rFonts w:hAnsi="標楷體" w:hint="eastAsia"/>
        </w:rPr>
        <w:t>件購案、合約金額</w:t>
      </w:r>
      <w:proofErr w:type="gramStart"/>
      <w:r w:rsidRPr="00293659">
        <w:rPr>
          <w:rFonts w:hAnsi="標楷體" w:hint="eastAsia"/>
        </w:rPr>
        <w:t>共約</w:t>
      </w:r>
      <w:r w:rsidR="00993B10" w:rsidRPr="00293659">
        <w:rPr>
          <w:rFonts w:hAnsi="標楷體" w:hint="eastAsia"/>
        </w:rPr>
        <w:t>新臺幣</w:t>
      </w:r>
      <w:proofErr w:type="gramEnd"/>
      <w:r w:rsidR="00993B10" w:rsidRPr="00293659">
        <w:rPr>
          <w:rFonts w:hAnsi="標楷體" w:hint="eastAsia"/>
        </w:rPr>
        <w:t>（下同）</w:t>
      </w:r>
      <w:r w:rsidRPr="00293659">
        <w:rPr>
          <w:rFonts w:hAnsi="標楷體"/>
        </w:rPr>
        <w:t>19.6</w:t>
      </w:r>
      <w:r w:rsidRPr="00293659">
        <w:rPr>
          <w:rFonts w:hAnsi="標楷體" w:hint="eastAsia"/>
        </w:rPr>
        <w:t>億元，其中屬於該院可逕洽廠商採購之小額購案計有</w:t>
      </w:r>
      <w:r w:rsidRPr="00293659">
        <w:rPr>
          <w:rFonts w:hAnsi="標楷體"/>
        </w:rPr>
        <w:t>431</w:t>
      </w:r>
      <w:r w:rsidRPr="00293659">
        <w:rPr>
          <w:rFonts w:hAnsi="標楷體" w:hint="eastAsia"/>
        </w:rPr>
        <w:t>件、合約金額共約</w:t>
      </w:r>
      <w:r w:rsidRPr="00293659">
        <w:rPr>
          <w:rFonts w:hAnsi="標楷體"/>
        </w:rPr>
        <w:t>5,080</w:t>
      </w:r>
      <w:r w:rsidRPr="00293659">
        <w:rPr>
          <w:rFonts w:hAnsi="標楷體" w:hint="eastAsia"/>
        </w:rPr>
        <w:t>萬元，小額購案件數及金額之占比分別為</w:t>
      </w:r>
      <w:r w:rsidRPr="00293659">
        <w:rPr>
          <w:rFonts w:hAnsi="標楷體"/>
        </w:rPr>
        <w:t>68.30</w:t>
      </w:r>
      <w:r w:rsidRPr="00293659">
        <w:rPr>
          <w:rFonts w:hAnsi="標楷體" w:hint="eastAsia"/>
        </w:rPr>
        <w:t>％及</w:t>
      </w:r>
      <w:r w:rsidRPr="00293659">
        <w:rPr>
          <w:rFonts w:hAnsi="標楷體"/>
        </w:rPr>
        <w:t>2.59</w:t>
      </w:r>
      <w:r w:rsidRPr="00293659">
        <w:rPr>
          <w:rFonts w:hAnsi="標楷體" w:hint="eastAsia"/>
        </w:rPr>
        <w:t>％。又，上</w:t>
      </w:r>
      <w:r w:rsidRPr="00293659">
        <w:rPr>
          <w:rFonts w:hAnsi="標楷體" w:cs="Yu Gothic" w:hint="eastAsia"/>
        </w:rPr>
        <w:t>述</w:t>
      </w:r>
      <w:r w:rsidRPr="00293659">
        <w:rPr>
          <w:rFonts w:hAnsi="標楷體"/>
        </w:rPr>
        <w:t>35</w:t>
      </w:r>
      <w:r w:rsidRPr="00293659">
        <w:rPr>
          <w:rFonts w:hAnsi="標楷體" w:hint="eastAsia"/>
        </w:rPr>
        <w:t>名員工中，計有</w:t>
      </w:r>
      <w:r w:rsidRPr="00293659">
        <w:rPr>
          <w:rFonts w:hAnsi="標楷體"/>
        </w:rPr>
        <w:t>3</w:t>
      </w:r>
      <w:r w:rsidRPr="00293659">
        <w:rPr>
          <w:rFonts w:hAnsi="標楷體" w:hint="eastAsia"/>
        </w:rPr>
        <w:t>人擔任主管、審核及採購等重要職務，所涉利益衝突可能性相對較高。依行政院人事行政總處之說明，</w:t>
      </w:r>
      <w:r w:rsidRPr="00293659">
        <w:rPr>
          <w:rFonts w:hAnsi="標楷體"/>
        </w:rPr>
        <w:t>我國行政法人制度創設之目的，</w:t>
      </w:r>
      <w:r w:rsidRPr="00293659">
        <w:rPr>
          <w:rFonts w:hAnsi="標楷體" w:hint="eastAsia"/>
        </w:rPr>
        <w:t>係期待</w:t>
      </w:r>
      <w:r w:rsidRPr="00293659">
        <w:rPr>
          <w:rFonts w:hAnsi="標楷體"/>
        </w:rPr>
        <w:t>以新的公部門組織型態來執行公共事務，在不增加政府支出的條件下，</w:t>
      </w:r>
      <w:r w:rsidRPr="00293659">
        <w:rPr>
          <w:rFonts w:hAnsi="標楷體" w:hint="eastAsia"/>
        </w:rPr>
        <w:t>可</w:t>
      </w:r>
      <w:r w:rsidRPr="00293659">
        <w:rPr>
          <w:rFonts w:hAnsi="標楷體"/>
        </w:rPr>
        <w:t>有效提升營運績效與服務品質</w:t>
      </w:r>
      <w:r w:rsidRPr="00293659">
        <w:rPr>
          <w:rFonts w:hAnsi="標楷體" w:hint="eastAsia"/>
        </w:rPr>
        <w:t>，且</w:t>
      </w:r>
      <w:r w:rsidRPr="00293659">
        <w:rPr>
          <w:rFonts w:hAnsi="標楷體"/>
        </w:rPr>
        <w:t>在會計、財務與採購上適度鬆綁及賦予彈性，使公共事務執行更具效率。行政法人執行特定公共事務，除給予適度彈性與自主</w:t>
      </w:r>
      <w:r w:rsidRPr="00293659">
        <w:rPr>
          <w:rFonts w:hAnsi="標楷體" w:hint="eastAsia"/>
        </w:rPr>
        <w:t>外</w:t>
      </w:r>
      <w:r w:rsidRPr="00293659">
        <w:rPr>
          <w:rFonts w:hAnsi="標楷體"/>
        </w:rPr>
        <w:t>，</w:t>
      </w:r>
      <w:r w:rsidRPr="00293659">
        <w:rPr>
          <w:rFonts w:hAnsi="標楷體" w:hint="eastAsia"/>
        </w:rPr>
        <w:t>然應</w:t>
      </w:r>
      <w:r w:rsidRPr="00293659">
        <w:rPr>
          <w:rFonts w:hAnsi="標楷體"/>
        </w:rPr>
        <w:t>課予責任及適當監督</w:t>
      </w:r>
      <w:r w:rsidRPr="00293659">
        <w:rPr>
          <w:rFonts w:hAnsi="標楷體" w:hint="eastAsia"/>
        </w:rPr>
        <w:t>，</w:t>
      </w:r>
      <w:r w:rsidRPr="00293659">
        <w:rPr>
          <w:rFonts w:hAnsi="標楷體" w:cs="Arial"/>
        </w:rPr>
        <w:t>賦予一定監督機制</w:t>
      </w:r>
      <w:r w:rsidRPr="00293659">
        <w:rPr>
          <w:rFonts w:hAnsi="標楷體" w:cs="Arial" w:hint="eastAsia"/>
        </w:rPr>
        <w:t>。</w:t>
      </w:r>
      <w:r w:rsidRPr="00293659">
        <w:rPr>
          <w:rFonts w:hAnsi="標楷體" w:hint="eastAsia"/>
        </w:rPr>
        <w:t>中科院係於1</w:t>
      </w:r>
      <w:r w:rsidRPr="00293659">
        <w:rPr>
          <w:rFonts w:hAnsi="標楷體" w:cs="Arial"/>
          <w:shd w:val="clear" w:color="auto" w:fill="FFFFFF"/>
        </w:rPr>
        <w:t>03年4月16日改制為行政法人</w:t>
      </w:r>
      <w:r w:rsidRPr="00293659">
        <w:rPr>
          <w:rFonts w:hAnsi="標楷體" w:cs="Arial" w:hint="eastAsia"/>
          <w:shd w:val="clear" w:color="auto" w:fill="FFFFFF"/>
        </w:rPr>
        <w:t>，改制初期對於</w:t>
      </w:r>
      <w:r w:rsidRPr="00293659">
        <w:rPr>
          <w:rFonts w:hAnsi="標楷體" w:cs="Arial"/>
          <w:shd w:val="clear" w:color="auto" w:fill="FFFFFF"/>
        </w:rPr>
        <w:t>利</w:t>
      </w:r>
      <w:proofErr w:type="gramStart"/>
      <w:r w:rsidRPr="00293659">
        <w:rPr>
          <w:rFonts w:hAnsi="標楷體" w:cs="Arial"/>
          <w:shd w:val="clear" w:color="auto" w:fill="FFFFFF"/>
        </w:rPr>
        <w:t>衝</w:t>
      </w:r>
      <w:proofErr w:type="gramEnd"/>
      <w:r w:rsidRPr="00293659">
        <w:rPr>
          <w:rFonts w:hAnsi="標楷體" w:cs="Arial"/>
          <w:shd w:val="clear" w:color="auto" w:fill="FFFFFF"/>
        </w:rPr>
        <w:t>適用</w:t>
      </w:r>
      <w:r w:rsidRPr="00293659">
        <w:rPr>
          <w:rFonts w:hAnsi="標楷體" w:cs="Arial" w:hint="eastAsia"/>
          <w:shd w:val="clear" w:color="auto" w:fill="FFFFFF"/>
        </w:rPr>
        <w:t>相關</w:t>
      </w:r>
      <w:r w:rsidRPr="00293659">
        <w:rPr>
          <w:rFonts w:hAnsi="標楷體" w:cs="Arial"/>
          <w:shd w:val="clear" w:color="auto" w:fill="FFFFFF"/>
        </w:rPr>
        <w:t>法規</w:t>
      </w:r>
      <w:r w:rsidRPr="00293659">
        <w:rPr>
          <w:rFonts w:hAnsi="標楷體" w:cs="Arial" w:hint="eastAsia"/>
          <w:shd w:val="clear" w:color="auto" w:fill="FFFFFF"/>
        </w:rPr>
        <w:t>包括：</w:t>
      </w:r>
      <w:r w:rsidRPr="00293659">
        <w:rPr>
          <w:rFonts w:hAnsi="標楷體" w:cs="Arial"/>
          <w:shd w:val="clear" w:color="auto" w:fill="FFFFFF"/>
        </w:rPr>
        <w:t>公職人員利益衝突迴避法</w:t>
      </w:r>
      <w:r w:rsidRPr="00293659">
        <w:rPr>
          <w:rFonts w:hAnsi="標楷體" w:cs="Arial" w:hint="eastAsia"/>
          <w:shd w:val="clear" w:color="auto" w:fill="FFFFFF"/>
        </w:rPr>
        <w:t>、</w:t>
      </w:r>
      <w:r w:rsidRPr="00293659">
        <w:rPr>
          <w:rFonts w:hAnsi="標楷體" w:cs="Arial"/>
          <w:shd w:val="clear" w:color="auto" w:fill="FFFFFF"/>
        </w:rPr>
        <w:t>公務員服務法</w:t>
      </w:r>
      <w:r w:rsidRPr="00293659">
        <w:rPr>
          <w:rFonts w:hAnsi="標楷體" w:cs="Arial" w:hint="eastAsia"/>
          <w:shd w:val="clear" w:color="auto" w:fill="FFFFFF"/>
        </w:rPr>
        <w:t>、</w:t>
      </w:r>
      <w:r w:rsidRPr="00293659">
        <w:rPr>
          <w:rFonts w:hAnsi="標楷體" w:cs="Arial"/>
          <w:shd w:val="clear" w:color="auto" w:fill="FFFFFF"/>
        </w:rPr>
        <w:t>採購作業實施規章</w:t>
      </w:r>
      <w:r w:rsidRPr="00293659">
        <w:rPr>
          <w:rFonts w:hAnsi="標楷體" w:cs="Arial" w:hint="eastAsia"/>
          <w:shd w:val="clear" w:color="auto" w:fill="FFFFFF"/>
        </w:rPr>
        <w:t>，</w:t>
      </w:r>
      <w:r w:rsidRPr="00293659">
        <w:rPr>
          <w:rFonts w:hAnsi="標楷體" w:cs="Arial"/>
          <w:shd w:val="clear" w:color="auto" w:fill="FFFFFF"/>
        </w:rPr>
        <w:t>規範對象</w:t>
      </w:r>
      <w:r w:rsidRPr="00293659">
        <w:rPr>
          <w:rFonts w:hAnsi="標楷體" w:cs="Arial" w:hint="eastAsia"/>
          <w:shd w:val="clear" w:color="auto" w:fill="FFFFFF"/>
        </w:rPr>
        <w:t>為中科院</w:t>
      </w:r>
      <w:r w:rsidRPr="00293659">
        <w:rPr>
          <w:rFonts w:hAnsi="標楷體" w:cs="Arial"/>
          <w:shd w:val="clear" w:color="auto" w:fill="FFFFFF"/>
        </w:rPr>
        <w:t>董事長、董事、監事、院長</w:t>
      </w:r>
      <w:r w:rsidRPr="00293659">
        <w:rPr>
          <w:rFonts w:hAnsi="標楷體" w:cs="Arial" w:hint="eastAsia"/>
          <w:shd w:val="clear" w:color="auto" w:fill="FFFFFF"/>
        </w:rPr>
        <w:t>、</w:t>
      </w:r>
      <w:r w:rsidRPr="00293659">
        <w:rPr>
          <w:rFonts w:hAnsi="標楷體" w:cs="Arial"/>
          <w:shd w:val="clear" w:color="auto" w:fill="FFFFFF"/>
        </w:rPr>
        <w:t>軍職人員</w:t>
      </w:r>
      <w:r w:rsidRPr="00293659">
        <w:rPr>
          <w:rFonts w:hAnsi="標楷體" w:cs="Arial" w:hint="eastAsia"/>
          <w:shd w:val="clear" w:color="auto" w:fill="FFFFFF"/>
        </w:rPr>
        <w:t>、</w:t>
      </w:r>
      <w:r w:rsidRPr="00293659">
        <w:rPr>
          <w:rFonts w:hAnsi="標楷體" w:cs="Arial"/>
          <w:shd w:val="clear" w:color="auto" w:fill="FFFFFF"/>
        </w:rPr>
        <w:t>承辦採購</w:t>
      </w:r>
      <w:r w:rsidRPr="00293659">
        <w:rPr>
          <w:rFonts w:hAnsi="標楷體" w:cs="Arial" w:hint="eastAsia"/>
          <w:shd w:val="clear" w:color="auto" w:fill="FFFFFF"/>
        </w:rPr>
        <w:t>與</w:t>
      </w:r>
      <w:r w:rsidRPr="00293659">
        <w:rPr>
          <w:rFonts w:hAnsi="標楷體" w:cs="Arial"/>
          <w:shd w:val="clear" w:color="auto" w:fill="FFFFFF"/>
        </w:rPr>
        <w:t>監辦人員</w:t>
      </w:r>
      <w:r w:rsidRPr="00293659">
        <w:rPr>
          <w:rFonts w:hAnsi="標楷體" w:cs="Arial" w:hint="eastAsia"/>
          <w:shd w:val="clear" w:color="auto" w:fill="FFFFFF"/>
        </w:rPr>
        <w:t>等，主要</w:t>
      </w:r>
      <w:r w:rsidRPr="00293659">
        <w:rPr>
          <w:rFonts w:hAnsi="標楷體" w:cs="Arial"/>
          <w:shd w:val="clear" w:color="auto" w:fill="FFFFFF"/>
        </w:rPr>
        <w:t>規範內容</w:t>
      </w:r>
      <w:r w:rsidRPr="00293659">
        <w:rPr>
          <w:rFonts w:hAnsi="標楷體" w:cs="Arial" w:hint="eastAsia"/>
          <w:shd w:val="clear" w:color="auto" w:fill="FFFFFF"/>
        </w:rPr>
        <w:t>為</w:t>
      </w:r>
      <w:r w:rsidRPr="00293659">
        <w:rPr>
          <w:rFonts w:hAnsi="標楷體" w:cs="Arial"/>
          <w:shd w:val="clear" w:color="auto" w:fill="FFFFFF"/>
        </w:rPr>
        <w:t>軍職人員離職3年內不得參與離職前5年業務有關採購案</w:t>
      </w:r>
      <w:r w:rsidRPr="00293659">
        <w:rPr>
          <w:rFonts w:hAnsi="標楷體" w:cs="Arial" w:hint="eastAsia"/>
          <w:shd w:val="clear" w:color="auto" w:fill="FFFFFF"/>
        </w:rPr>
        <w:t>，以及</w:t>
      </w:r>
      <w:r w:rsidRPr="00293659">
        <w:rPr>
          <w:rFonts w:hAnsi="標楷體" w:cs="Arial"/>
          <w:shd w:val="clear" w:color="auto" w:fill="FFFFFF"/>
        </w:rPr>
        <w:t>採購、監辦人員對於採購</w:t>
      </w:r>
      <w:proofErr w:type="gramStart"/>
      <w:r w:rsidRPr="00293659">
        <w:rPr>
          <w:rFonts w:hAnsi="標楷體" w:cs="Arial"/>
          <w:shd w:val="clear" w:color="auto" w:fill="FFFFFF"/>
        </w:rPr>
        <w:t>利益均應迴避</w:t>
      </w:r>
      <w:proofErr w:type="gramEnd"/>
      <w:r w:rsidRPr="00293659">
        <w:rPr>
          <w:rFonts w:hAnsi="標楷體" w:cs="Arial" w:hint="eastAsia"/>
          <w:shd w:val="clear" w:color="auto" w:fill="FFFFFF"/>
        </w:rPr>
        <w:t>等，</w:t>
      </w:r>
      <w:r w:rsidRPr="00293659">
        <w:rPr>
          <w:rFonts w:hAnsi="標楷體" w:cs="Arial"/>
          <w:shd w:val="clear" w:color="auto" w:fill="FFFFFF"/>
        </w:rPr>
        <w:t>規範對象及內容</w:t>
      </w:r>
      <w:r w:rsidRPr="00293659">
        <w:rPr>
          <w:rFonts w:hAnsi="標楷體" w:cs="Arial" w:hint="eastAsia"/>
          <w:shd w:val="clear" w:color="auto" w:fill="FFFFFF"/>
        </w:rPr>
        <w:t>相對</w:t>
      </w:r>
      <w:r w:rsidRPr="00293659">
        <w:rPr>
          <w:rFonts w:hAnsi="標楷體" w:cs="Arial"/>
          <w:shd w:val="clear" w:color="auto" w:fill="FFFFFF"/>
        </w:rPr>
        <w:t>較少</w:t>
      </w:r>
      <w:r w:rsidRPr="00293659">
        <w:rPr>
          <w:rFonts w:hAnsi="標楷體" w:cs="Arial" w:hint="eastAsia"/>
          <w:shd w:val="clear" w:color="auto" w:fill="FFFFFF"/>
        </w:rPr>
        <w:t>，</w:t>
      </w:r>
      <w:r w:rsidRPr="00293659">
        <w:rPr>
          <w:rFonts w:hAnsi="標楷體" w:cs="Arial" w:hint="eastAsia"/>
          <w:shd w:val="clear" w:color="auto" w:fill="FFFFFF"/>
        </w:rPr>
        <w:lastRenderedPageBreak/>
        <w:t>爰審計部清</w:t>
      </w:r>
      <w:r w:rsidRPr="00293659">
        <w:rPr>
          <w:rFonts w:hAnsi="標楷體" w:cs="Arial" w:hint="eastAsia"/>
        </w:rPr>
        <w:t>查</w:t>
      </w:r>
      <w:r w:rsidRPr="00293659">
        <w:rPr>
          <w:rFonts w:hAnsi="標楷體" w:hint="eastAsia"/>
        </w:rPr>
        <w:t>中科院</w:t>
      </w:r>
      <w:r w:rsidRPr="00293659">
        <w:rPr>
          <w:rFonts w:hAnsi="標楷體"/>
        </w:rPr>
        <w:t>103</w:t>
      </w:r>
      <w:r w:rsidRPr="00293659">
        <w:rPr>
          <w:rFonts w:hAnsi="標楷體" w:hint="eastAsia"/>
        </w:rPr>
        <w:t>至</w:t>
      </w:r>
      <w:r w:rsidRPr="00293659">
        <w:rPr>
          <w:rFonts w:hAnsi="標楷體"/>
        </w:rPr>
        <w:t>109</w:t>
      </w:r>
      <w:r w:rsidRPr="00293659">
        <w:rPr>
          <w:rFonts w:hAnsi="標楷體" w:hint="eastAsia"/>
        </w:rPr>
        <w:t>年度得標廠商名單中，即發現計有</w:t>
      </w:r>
      <w:r w:rsidRPr="00293659">
        <w:rPr>
          <w:rFonts w:hAnsi="標楷體"/>
        </w:rPr>
        <w:t>36</w:t>
      </w:r>
      <w:r w:rsidRPr="00293659">
        <w:rPr>
          <w:rFonts w:hAnsi="標楷體" w:hint="eastAsia"/>
        </w:rPr>
        <w:t>家得標廠商之董、監事，與該院</w:t>
      </w:r>
      <w:r w:rsidRPr="00293659">
        <w:rPr>
          <w:rFonts w:hAnsi="標楷體"/>
        </w:rPr>
        <w:t>35</w:t>
      </w:r>
      <w:r w:rsidRPr="00293659">
        <w:rPr>
          <w:rFonts w:hAnsi="標楷體" w:hint="eastAsia"/>
        </w:rPr>
        <w:t>名現職員工互為配</w:t>
      </w:r>
      <w:r w:rsidRPr="00293659">
        <w:rPr>
          <w:rFonts w:hAnsi="標楷體" w:cs="Yu Gothic" w:hint="eastAsia"/>
        </w:rPr>
        <w:t>偶或一等親之親屬關係，且有3位或任職主管職或涉及審核、採購等敏感職務等存在</w:t>
      </w:r>
      <w:r w:rsidRPr="00293659">
        <w:rPr>
          <w:rFonts w:hAnsi="標楷體" w:hint="eastAsia"/>
        </w:rPr>
        <w:t>利益衝突之不當情形</w:t>
      </w:r>
      <w:r w:rsidRPr="00293659">
        <w:rPr>
          <w:rFonts w:hAnsi="標楷體" w:cs="Yu Gothic" w:hint="eastAsia"/>
        </w:rPr>
        <w:t>。</w:t>
      </w:r>
      <w:bookmarkEnd w:id="120"/>
      <w:bookmarkEnd w:id="121"/>
      <w:bookmarkEnd w:id="122"/>
      <w:bookmarkEnd w:id="123"/>
      <w:bookmarkEnd w:id="124"/>
      <w:bookmarkEnd w:id="125"/>
      <w:bookmarkEnd w:id="126"/>
    </w:p>
    <w:p w14:paraId="2FDDCD24" w14:textId="27B15421" w:rsidR="00E1047E" w:rsidRPr="00293659" w:rsidRDefault="008B457F" w:rsidP="00E1047E">
      <w:pPr>
        <w:pStyle w:val="a3"/>
        <w:spacing w:after="120"/>
        <w:ind w:left="482" w:hanging="482"/>
        <w:rPr>
          <w:rFonts w:hAnsi="標楷體"/>
          <w:b/>
        </w:rPr>
      </w:pPr>
      <w:r w:rsidRPr="006B2BF4">
        <w:rPr>
          <w:rFonts w:hAnsi="標楷體" w:hint="eastAsia"/>
          <w:b/>
        </w:rPr>
        <w:t>1</w:t>
      </w:r>
      <w:r w:rsidRPr="006B2BF4">
        <w:rPr>
          <w:rFonts w:hAnsi="標楷體"/>
          <w:b/>
        </w:rPr>
        <w:t>03</w:t>
      </w:r>
      <w:r w:rsidRPr="006B2BF4">
        <w:rPr>
          <w:rFonts w:hAnsi="標楷體" w:hint="eastAsia"/>
          <w:b/>
        </w:rPr>
        <w:t>至1</w:t>
      </w:r>
      <w:r w:rsidRPr="006B2BF4">
        <w:rPr>
          <w:rFonts w:hAnsi="標楷體"/>
          <w:b/>
        </w:rPr>
        <w:t>09</w:t>
      </w:r>
      <w:r w:rsidRPr="006B2BF4">
        <w:rPr>
          <w:rFonts w:hAnsi="標楷體" w:hint="eastAsia"/>
          <w:b/>
        </w:rPr>
        <w:t>年度</w:t>
      </w:r>
      <w:r w:rsidR="00E1047E" w:rsidRPr="006B2BF4">
        <w:rPr>
          <w:rFonts w:hAnsi="標楷體" w:hint="eastAsia"/>
          <w:b/>
        </w:rPr>
        <w:t>中科院</w:t>
      </w:r>
      <w:r w:rsidRPr="006B2BF4">
        <w:rPr>
          <w:rFonts w:hAnsi="標楷體" w:hint="eastAsia"/>
          <w:b/>
        </w:rPr>
        <w:t>3</w:t>
      </w:r>
      <w:r w:rsidRPr="006B2BF4">
        <w:rPr>
          <w:rFonts w:hAnsi="標楷體"/>
          <w:b/>
        </w:rPr>
        <w:t>5</w:t>
      </w:r>
      <w:r w:rsidRPr="006B2BF4">
        <w:rPr>
          <w:rFonts w:hAnsi="標楷體" w:hint="eastAsia"/>
          <w:b/>
        </w:rPr>
        <w:t>位</w:t>
      </w:r>
      <w:r w:rsidR="00E1047E" w:rsidRPr="006B2BF4">
        <w:rPr>
          <w:rFonts w:hAnsi="標楷體" w:hint="eastAsia"/>
          <w:b/>
        </w:rPr>
        <w:t>現職員工與</w:t>
      </w:r>
      <w:r w:rsidR="00E1047E" w:rsidRPr="00293659">
        <w:rPr>
          <w:rFonts w:hAnsi="標楷體" w:hint="eastAsia"/>
          <w:b/>
        </w:rPr>
        <w:t>得標廠商互為配</w:t>
      </w:r>
      <w:r w:rsidR="00E1047E" w:rsidRPr="00293659">
        <w:rPr>
          <w:rFonts w:hAnsi="標楷體" w:cs="Yu Gothic" w:hint="eastAsia"/>
          <w:b/>
        </w:rPr>
        <w:t>偶或一等親親屬</w:t>
      </w:r>
      <w:r w:rsidR="00E1047E" w:rsidRPr="00293659">
        <w:rPr>
          <w:rFonts w:hAnsi="標楷體" w:cs="新細明體" w:hint="eastAsia"/>
          <w:b/>
          <w:kern w:val="0"/>
        </w:rPr>
        <w:t>之購案統計</w:t>
      </w:r>
    </w:p>
    <w:tbl>
      <w:tblPr>
        <w:tblStyle w:val="afb"/>
        <w:tblW w:w="878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40"/>
        <w:gridCol w:w="1396"/>
        <w:gridCol w:w="1367"/>
        <w:gridCol w:w="2251"/>
        <w:gridCol w:w="1830"/>
      </w:tblGrid>
      <w:tr w:rsidR="00293659" w:rsidRPr="00293659" w14:paraId="1FE2946A" w14:textId="77777777" w:rsidTr="00FE1961">
        <w:trPr>
          <w:trHeight w:val="1114"/>
          <w:jc w:val="center"/>
        </w:trPr>
        <w:tc>
          <w:tcPr>
            <w:tcW w:w="1980" w:type="dxa"/>
            <w:vAlign w:val="center"/>
          </w:tcPr>
          <w:p w14:paraId="6B13A87B" w14:textId="77777777" w:rsidR="00E1047E" w:rsidRPr="00293659" w:rsidRDefault="00E1047E" w:rsidP="00A8393B">
            <w:pPr>
              <w:jc w:val="center"/>
              <w:rPr>
                <w:rFonts w:hAnsi="標楷體" w:cs="新細明體"/>
                <w:b/>
                <w:spacing w:val="-10"/>
                <w:kern w:val="0"/>
                <w:sz w:val="28"/>
                <w:szCs w:val="28"/>
              </w:rPr>
            </w:pPr>
            <w:r w:rsidRPr="00293659">
              <w:rPr>
                <w:rFonts w:hAnsi="標楷體" w:cs="新細明體" w:hint="eastAsia"/>
                <w:b/>
                <w:spacing w:val="-10"/>
                <w:kern w:val="0"/>
                <w:sz w:val="28"/>
                <w:szCs w:val="28"/>
              </w:rPr>
              <w:t>購案金額</w:t>
            </w:r>
          </w:p>
          <w:p w14:paraId="6C335EAF" w14:textId="77777777" w:rsidR="00E1047E" w:rsidRPr="00293659" w:rsidRDefault="00E1047E" w:rsidP="00A8393B">
            <w:pPr>
              <w:jc w:val="center"/>
              <w:rPr>
                <w:rFonts w:hAnsi="標楷體" w:cs="新細明體"/>
                <w:b/>
                <w:spacing w:val="-10"/>
                <w:kern w:val="0"/>
                <w:sz w:val="28"/>
                <w:szCs w:val="28"/>
              </w:rPr>
            </w:pPr>
            <w:r w:rsidRPr="00293659">
              <w:rPr>
                <w:rFonts w:hAnsi="標楷體" w:cs="新細明體" w:hint="eastAsia"/>
                <w:b/>
                <w:spacing w:val="-10"/>
                <w:kern w:val="0"/>
                <w:sz w:val="28"/>
                <w:szCs w:val="28"/>
              </w:rPr>
              <w:t>分類級距</w:t>
            </w:r>
          </w:p>
        </w:tc>
        <w:tc>
          <w:tcPr>
            <w:tcW w:w="2693" w:type="dxa"/>
            <w:gridSpan w:val="2"/>
            <w:vAlign w:val="center"/>
          </w:tcPr>
          <w:p w14:paraId="09C43DEA" w14:textId="77777777" w:rsidR="00E1047E" w:rsidRPr="00293659" w:rsidRDefault="00E1047E" w:rsidP="00A8393B">
            <w:pPr>
              <w:jc w:val="center"/>
              <w:rPr>
                <w:rFonts w:hAnsi="標楷體" w:cs="新細明體"/>
                <w:b/>
                <w:spacing w:val="-10"/>
                <w:kern w:val="0"/>
                <w:sz w:val="28"/>
                <w:szCs w:val="28"/>
              </w:rPr>
            </w:pPr>
            <w:r w:rsidRPr="00293659">
              <w:rPr>
                <w:rFonts w:hAnsi="標楷體" w:cs="新細明體" w:hint="eastAsia"/>
                <w:b/>
                <w:spacing w:val="-10"/>
                <w:kern w:val="0"/>
                <w:sz w:val="28"/>
                <w:szCs w:val="28"/>
              </w:rPr>
              <w:t>筆數</w:t>
            </w:r>
          </w:p>
        </w:tc>
        <w:tc>
          <w:tcPr>
            <w:tcW w:w="4111" w:type="dxa"/>
            <w:gridSpan w:val="2"/>
            <w:vAlign w:val="center"/>
          </w:tcPr>
          <w:p w14:paraId="4887E17F" w14:textId="77777777" w:rsidR="00E1047E" w:rsidRPr="00293659" w:rsidRDefault="00E1047E" w:rsidP="00A8393B">
            <w:pPr>
              <w:jc w:val="center"/>
              <w:rPr>
                <w:rFonts w:hAnsi="標楷體" w:cs="新細明體"/>
                <w:b/>
                <w:spacing w:val="-10"/>
                <w:kern w:val="0"/>
                <w:sz w:val="28"/>
                <w:szCs w:val="28"/>
              </w:rPr>
            </w:pPr>
            <w:r w:rsidRPr="00293659">
              <w:rPr>
                <w:rFonts w:hAnsi="標楷體" w:cs="新細明體" w:hint="eastAsia"/>
                <w:b/>
                <w:spacing w:val="-10"/>
                <w:kern w:val="0"/>
                <w:sz w:val="28"/>
                <w:szCs w:val="28"/>
              </w:rPr>
              <w:t>中科院轉型行政法人後</w:t>
            </w:r>
            <w:r w:rsidRPr="00293659">
              <w:rPr>
                <w:rFonts w:hAnsi="標楷體" w:cs="新細明體" w:hint="eastAsia"/>
                <w:b/>
                <w:spacing w:val="-10"/>
                <w:kern w:val="0"/>
                <w:sz w:val="28"/>
                <w:szCs w:val="28"/>
              </w:rPr>
              <w:br/>
              <w:t>購案之合約金額(萬</w:t>
            </w:r>
            <w:r w:rsidRPr="00293659">
              <w:rPr>
                <w:rFonts w:hAnsi="標楷體" w:cs="新細明體" w:hint="eastAsia"/>
                <w:b/>
                <w:spacing w:val="-10"/>
                <w:kern w:val="0"/>
                <w:sz w:val="28"/>
                <w:szCs w:val="28"/>
                <w:lang w:eastAsia="zh-HK"/>
              </w:rPr>
              <w:t>元)</w:t>
            </w:r>
          </w:p>
        </w:tc>
      </w:tr>
      <w:tr w:rsidR="00293659" w:rsidRPr="00293659" w14:paraId="5DDD22B7" w14:textId="77777777" w:rsidTr="00FE1961">
        <w:trPr>
          <w:trHeight w:val="812"/>
          <w:jc w:val="center"/>
        </w:trPr>
        <w:tc>
          <w:tcPr>
            <w:tcW w:w="1980" w:type="dxa"/>
            <w:vAlign w:val="center"/>
          </w:tcPr>
          <w:p w14:paraId="526460BA" w14:textId="77777777" w:rsidR="00E1047E" w:rsidRPr="00293659" w:rsidRDefault="00E1047E" w:rsidP="00A8393B">
            <w:pPr>
              <w:jc w:val="center"/>
              <w:rPr>
                <w:rFonts w:hAnsi="標楷體" w:cs="新細明體"/>
                <w:b/>
                <w:spacing w:val="-10"/>
                <w:kern w:val="0"/>
                <w:sz w:val="28"/>
                <w:szCs w:val="28"/>
              </w:rPr>
            </w:pPr>
            <w:r w:rsidRPr="00293659">
              <w:rPr>
                <w:rFonts w:hAnsi="標楷體" w:cs="新細明體" w:hint="eastAsia"/>
                <w:b/>
                <w:spacing w:val="-10"/>
                <w:kern w:val="0"/>
                <w:sz w:val="28"/>
                <w:szCs w:val="28"/>
              </w:rPr>
              <w:t>20萬元以下</w:t>
            </w:r>
          </w:p>
        </w:tc>
        <w:tc>
          <w:tcPr>
            <w:tcW w:w="1417" w:type="dxa"/>
            <w:vAlign w:val="center"/>
          </w:tcPr>
          <w:p w14:paraId="6FDF9E94" w14:textId="77777777" w:rsidR="00E1047E" w:rsidRPr="00293659" w:rsidRDefault="00E1047E" w:rsidP="00A8393B">
            <w:pPr>
              <w:jc w:val="center"/>
              <w:rPr>
                <w:rFonts w:hAnsi="標楷體"/>
                <w:kern w:val="0"/>
                <w:sz w:val="26"/>
                <w:szCs w:val="26"/>
              </w:rPr>
            </w:pPr>
            <w:r w:rsidRPr="00293659">
              <w:rPr>
                <w:rFonts w:hAnsi="標楷體" w:hint="eastAsia"/>
                <w:sz w:val="26"/>
                <w:szCs w:val="26"/>
              </w:rPr>
              <w:t>431</w:t>
            </w:r>
          </w:p>
        </w:tc>
        <w:tc>
          <w:tcPr>
            <w:tcW w:w="1276" w:type="dxa"/>
            <w:vAlign w:val="center"/>
          </w:tcPr>
          <w:p w14:paraId="70D379E4" w14:textId="77777777" w:rsidR="00E1047E" w:rsidRPr="00293659" w:rsidRDefault="00E1047E" w:rsidP="00A8393B">
            <w:pPr>
              <w:ind w:rightChars="50" w:right="170"/>
              <w:jc w:val="right"/>
              <w:rPr>
                <w:rFonts w:hAnsi="標楷體" w:cs="新細明體"/>
                <w:kern w:val="0"/>
                <w:sz w:val="26"/>
                <w:szCs w:val="26"/>
              </w:rPr>
            </w:pPr>
            <w:r w:rsidRPr="00293659">
              <w:rPr>
                <w:rFonts w:hAnsi="標楷體" w:cs="新細明體" w:hint="eastAsia"/>
                <w:kern w:val="0"/>
                <w:sz w:val="26"/>
                <w:szCs w:val="26"/>
              </w:rPr>
              <w:t>68.30%</w:t>
            </w:r>
          </w:p>
        </w:tc>
        <w:tc>
          <w:tcPr>
            <w:tcW w:w="2268" w:type="dxa"/>
            <w:vAlign w:val="center"/>
          </w:tcPr>
          <w:p w14:paraId="7BF80FD8" w14:textId="77777777" w:rsidR="00E1047E" w:rsidRPr="00293659" w:rsidRDefault="00E1047E" w:rsidP="00A8393B">
            <w:pPr>
              <w:jc w:val="left"/>
              <w:rPr>
                <w:rFonts w:hAnsi="標楷體"/>
                <w:sz w:val="26"/>
                <w:szCs w:val="26"/>
              </w:rPr>
            </w:pPr>
            <w:r w:rsidRPr="00293659">
              <w:rPr>
                <w:rFonts w:hAnsi="標楷體" w:hint="eastAsia"/>
                <w:sz w:val="26"/>
                <w:szCs w:val="26"/>
              </w:rPr>
              <w:t xml:space="preserve">      5,080.88 </w:t>
            </w:r>
          </w:p>
        </w:tc>
        <w:tc>
          <w:tcPr>
            <w:tcW w:w="1843" w:type="dxa"/>
            <w:vAlign w:val="center"/>
          </w:tcPr>
          <w:p w14:paraId="7684C096" w14:textId="77777777" w:rsidR="00E1047E" w:rsidRPr="00293659" w:rsidRDefault="00E1047E" w:rsidP="00A8393B">
            <w:pPr>
              <w:ind w:rightChars="50" w:right="170"/>
              <w:jc w:val="right"/>
              <w:rPr>
                <w:rFonts w:hAnsi="標楷體" w:cs="新細明體"/>
                <w:kern w:val="0"/>
                <w:sz w:val="26"/>
                <w:szCs w:val="26"/>
              </w:rPr>
            </w:pPr>
            <w:r w:rsidRPr="00293659">
              <w:rPr>
                <w:rFonts w:hAnsi="標楷體" w:cs="新細明體" w:hint="eastAsia"/>
                <w:kern w:val="0"/>
                <w:sz w:val="26"/>
                <w:szCs w:val="26"/>
              </w:rPr>
              <w:t>2.59%</w:t>
            </w:r>
          </w:p>
        </w:tc>
      </w:tr>
      <w:tr w:rsidR="00293659" w:rsidRPr="00293659" w14:paraId="5B0E751B" w14:textId="77777777" w:rsidTr="00FE1961">
        <w:trPr>
          <w:trHeight w:val="822"/>
          <w:jc w:val="center"/>
        </w:trPr>
        <w:tc>
          <w:tcPr>
            <w:tcW w:w="1980" w:type="dxa"/>
            <w:vAlign w:val="center"/>
          </w:tcPr>
          <w:p w14:paraId="0789B9CD" w14:textId="309184FD" w:rsidR="00E1047E" w:rsidRPr="00293659" w:rsidRDefault="006908B0" w:rsidP="00A8393B">
            <w:pPr>
              <w:jc w:val="center"/>
              <w:rPr>
                <w:rFonts w:hAnsi="標楷體" w:cs="新細明體"/>
                <w:b/>
                <w:spacing w:val="-10"/>
                <w:kern w:val="0"/>
                <w:sz w:val="28"/>
                <w:szCs w:val="28"/>
              </w:rPr>
            </w:pPr>
            <w:r w:rsidRPr="006908B0">
              <w:rPr>
                <w:rFonts w:hAnsi="標楷體" w:cs="新細明體" w:hint="eastAsia"/>
                <w:b/>
                <w:spacing w:val="-10"/>
                <w:kern w:val="0"/>
                <w:sz w:val="28"/>
                <w:szCs w:val="28"/>
              </w:rPr>
              <w:t>超過20萬元</w:t>
            </w:r>
          </w:p>
        </w:tc>
        <w:tc>
          <w:tcPr>
            <w:tcW w:w="1417" w:type="dxa"/>
            <w:vAlign w:val="center"/>
          </w:tcPr>
          <w:p w14:paraId="49A98F7D" w14:textId="77777777" w:rsidR="00E1047E" w:rsidRPr="00293659" w:rsidRDefault="00E1047E" w:rsidP="00A8393B">
            <w:pPr>
              <w:jc w:val="center"/>
              <w:rPr>
                <w:rFonts w:hAnsi="標楷體"/>
                <w:sz w:val="26"/>
                <w:szCs w:val="26"/>
              </w:rPr>
            </w:pPr>
            <w:r w:rsidRPr="00293659">
              <w:rPr>
                <w:rFonts w:hAnsi="標楷體" w:hint="eastAsia"/>
                <w:sz w:val="26"/>
                <w:szCs w:val="26"/>
              </w:rPr>
              <w:t>200</w:t>
            </w:r>
          </w:p>
        </w:tc>
        <w:tc>
          <w:tcPr>
            <w:tcW w:w="1276" w:type="dxa"/>
            <w:vAlign w:val="center"/>
          </w:tcPr>
          <w:p w14:paraId="08F29A16" w14:textId="77777777" w:rsidR="00E1047E" w:rsidRPr="00293659" w:rsidRDefault="00E1047E" w:rsidP="00A8393B">
            <w:pPr>
              <w:ind w:rightChars="50" w:right="170"/>
              <w:jc w:val="right"/>
              <w:rPr>
                <w:rFonts w:hAnsi="標楷體" w:cs="新細明體"/>
                <w:kern w:val="0"/>
                <w:sz w:val="26"/>
                <w:szCs w:val="26"/>
              </w:rPr>
            </w:pPr>
            <w:r w:rsidRPr="00293659">
              <w:rPr>
                <w:rFonts w:hAnsi="標楷體" w:cs="新細明體" w:hint="eastAsia"/>
                <w:kern w:val="0"/>
                <w:sz w:val="26"/>
                <w:szCs w:val="26"/>
              </w:rPr>
              <w:t>31.70%</w:t>
            </w:r>
          </w:p>
        </w:tc>
        <w:tc>
          <w:tcPr>
            <w:tcW w:w="2268" w:type="dxa"/>
            <w:vAlign w:val="center"/>
          </w:tcPr>
          <w:p w14:paraId="5E0DF224" w14:textId="77777777" w:rsidR="00E1047E" w:rsidRPr="00293659" w:rsidRDefault="00E1047E" w:rsidP="00A8393B">
            <w:pPr>
              <w:jc w:val="left"/>
              <w:rPr>
                <w:rFonts w:hAnsi="標楷體"/>
                <w:sz w:val="26"/>
                <w:szCs w:val="26"/>
              </w:rPr>
            </w:pPr>
            <w:r w:rsidRPr="00293659">
              <w:rPr>
                <w:rFonts w:hAnsi="標楷體" w:hint="eastAsia"/>
                <w:sz w:val="26"/>
                <w:szCs w:val="26"/>
              </w:rPr>
              <w:t xml:space="preserve">    190,936.38 </w:t>
            </w:r>
          </w:p>
        </w:tc>
        <w:tc>
          <w:tcPr>
            <w:tcW w:w="1843" w:type="dxa"/>
            <w:vAlign w:val="center"/>
          </w:tcPr>
          <w:p w14:paraId="580F391A" w14:textId="77777777" w:rsidR="00E1047E" w:rsidRPr="00293659" w:rsidRDefault="00E1047E" w:rsidP="00A8393B">
            <w:pPr>
              <w:ind w:rightChars="50" w:right="170"/>
              <w:jc w:val="right"/>
              <w:rPr>
                <w:rFonts w:hAnsi="標楷體" w:cs="新細明體"/>
                <w:kern w:val="0"/>
                <w:sz w:val="26"/>
                <w:szCs w:val="26"/>
              </w:rPr>
            </w:pPr>
            <w:r w:rsidRPr="00293659">
              <w:rPr>
                <w:rFonts w:hAnsi="標楷體" w:cs="新細明體" w:hint="eastAsia"/>
                <w:kern w:val="0"/>
                <w:sz w:val="26"/>
                <w:szCs w:val="26"/>
              </w:rPr>
              <w:t>97.41%</w:t>
            </w:r>
          </w:p>
        </w:tc>
      </w:tr>
      <w:tr w:rsidR="00293659" w:rsidRPr="00293659" w14:paraId="1CCF5EF7" w14:textId="77777777" w:rsidTr="00C37300">
        <w:trPr>
          <w:trHeight w:val="717"/>
          <w:jc w:val="center"/>
        </w:trPr>
        <w:tc>
          <w:tcPr>
            <w:tcW w:w="1980" w:type="dxa"/>
            <w:vAlign w:val="center"/>
          </w:tcPr>
          <w:p w14:paraId="54AF84C5" w14:textId="77777777" w:rsidR="00E1047E" w:rsidRPr="00293659" w:rsidRDefault="00E1047E" w:rsidP="00A8393B">
            <w:pPr>
              <w:spacing w:line="240" w:lineRule="exact"/>
              <w:jc w:val="center"/>
              <w:rPr>
                <w:rFonts w:hAnsi="標楷體" w:cs="新細明體"/>
                <w:b/>
                <w:spacing w:val="-10"/>
                <w:kern w:val="0"/>
                <w:sz w:val="28"/>
                <w:szCs w:val="28"/>
              </w:rPr>
            </w:pPr>
            <w:r w:rsidRPr="00293659">
              <w:rPr>
                <w:rFonts w:hAnsi="標楷體" w:cs="新細明體" w:hint="eastAsia"/>
                <w:b/>
                <w:spacing w:val="-10"/>
                <w:kern w:val="0"/>
                <w:sz w:val="28"/>
                <w:szCs w:val="28"/>
              </w:rPr>
              <w:t xml:space="preserve">合 </w:t>
            </w:r>
            <w:r w:rsidRPr="00293659">
              <w:rPr>
                <w:rFonts w:hAnsi="標楷體" w:cs="新細明體"/>
                <w:b/>
                <w:spacing w:val="-10"/>
                <w:kern w:val="0"/>
                <w:sz w:val="28"/>
                <w:szCs w:val="28"/>
              </w:rPr>
              <w:t xml:space="preserve">   </w:t>
            </w:r>
            <w:r w:rsidRPr="00293659">
              <w:rPr>
                <w:rFonts w:hAnsi="標楷體" w:cs="新細明體" w:hint="eastAsia"/>
                <w:b/>
                <w:spacing w:val="-10"/>
                <w:kern w:val="0"/>
                <w:sz w:val="28"/>
                <w:szCs w:val="28"/>
              </w:rPr>
              <w:t>計</w:t>
            </w:r>
          </w:p>
        </w:tc>
        <w:tc>
          <w:tcPr>
            <w:tcW w:w="1417" w:type="dxa"/>
            <w:vAlign w:val="center"/>
          </w:tcPr>
          <w:p w14:paraId="6C854BFC" w14:textId="77777777" w:rsidR="00E1047E" w:rsidRPr="00293659" w:rsidRDefault="00E1047E" w:rsidP="00A8393B">
            <w:pPr>
              <w:jc w:val="center"/>
              <w:rPr>
                <w:rFonts w:hAnsi="標楷體"/>
                <w:sz w:val="26"/>
                <w:szCs w:val="26"/>
              </w:rPr>
            </w:pPr>
            <w:r w:rsidRPr="00293659">
              <w:rPr>
                <w:rFonts w:hAnsi="標楷體" w:hint="eastAsia"/>
                <w:sz w:val="26"/>
                <w:szCs w:val="26"/>
              </w:rPr>
              <w:t>631</w:t>
            </w:r>
          </w:p>
        </w:tc>
        <w:tc>
          <w:tcPr>
            <w:tcW w:w="1276" w:type="dxa"/>
            <w:vAlign w:val="center"/>
          </w:tcPr>
          <w:p w14:paraId="50C0FB41" w14:textId="77777777" w:rsidR="00E1047E" w:rsidRPr="00293659" w:rsidRDefault="00E1047E" w:rsidP="00A8393B">
            <w:pPr>
              <w:ind w:rightChars="50" w:right="170"/>
              <w:jc w:val="right"/>
              <w:rPr>
                <w:rFonts w:hAnsi="標楷體" w:cs="新細明體"/>
                <w:kern w:val="0"/>
                <w:sz w:val="26"/>
                <w:szCs w:val="26"/>
              </w:rPr>
            </w:pPr>
            <w:r w:rsidRPr="00293659">
              <w:rPr>
                <w:rFonts w:hAnsi="標楷體" w:cs="新細明體" w:hint="eastAsia"/>
                <w:kern w:val="0"/>
                <w:sz w:val="26"/>
                <w:szCs w:val="26"/>
              </w:rPr>
              <w:t>100.00%</w:t>
            </w:r>
          </w:p>
        </w:tc>
        <w:tc>
          <w:tcPr>
            <w:tcW w:w="2268" w:type="dxa"/>
            <w:vAlign w:val="center"/>
          </w:tcPr>
          <w:p w14:paraId="1673DE6F" w14:textId="77777777" w:rsidR="00E1047E" w:rsidRPr="00293659" w:rsidRDefault="00E1047E" w:rsidP="00A8393B">
            <w:pPr>
              <w:jc w:val="left"/>
              <w:rPr>
                <w:rFonts w:hAnsi="標楷體"/>
                <w:sz w:val="26"/>
                <w:szCs w:val="26"/>
              </w:rPr>
            </w:pPr>
            <w:r w:rsidRPr="00293659">
              <w:rPr>
                <w:rFonts w:hAnsi="標楷體" w:hint="eastAsia"/>
                <w:sz w:val="26"/>
                <w:szCs w:val="26"/>
              </w:rPr>
              <w:t xml:space="preserve">    196,017.26 </w:t>
            </w:r>
          </w:p>
        </w:tc>
        <w:tc>
          <w:tcPr>
            <w:tcW w:w="1843" w:type="dxa"/>
            <w:vAlign w:val="center"/>
          </w:tcPr>
          <w:p w14:paraId="7628F86D" w14:textId="77777777" w:rsidR="00E1047E" w:rsidRPr="00293659" w:rsidRDefault="00E1047E" w:rsidP="00A8393B">
            <w:pPr>
              <w:ind w:rightChars="50" w:right="170"/>
              <w:jc w:val="right"/>
              <w:rPr>
                <w:rFonts w:hAnsi="標楷體" w:cs="新細明體"/>
                <w:kern w:val="0"/>
                <w:sz w:val="26"/>
                <w:szCs w:val="26"/>
              </w:rPr>
            </w:pPr>
            <w:r w:rsidRPr="00293659">
              <w:rPr>
                <w:rFonts w:hAnsi="標楷體" w:cs="新細明體" w:hint="eastAsia"/>
                <w:kern w:val="0"/>
                <w:sz w:val="26"/>
                <w:szCs w:val="26"/>
              </w:rPr>
              <w:t>100.00%</w:t>
            </w:r>
          </w:p>
        </w:tc>
      </w:tr>
    </w:tbl>
    <w:p w14:paraId="5A7AFCD3" w14:textId="37491892" w:rsidR="00E1047E" w:rsidRDefault="00E1047E" w:rsidP="00E1047E">
      <w:pPr>
        <w:pStyle w:val="1"/>
        <w:numPr>
          <w:ilvl w:val="0"/>
          <w:numId w:val="0"/>
        </w:numPr>
        <w:spacing w:afterLines="25" w:after="114" w:line="300" w:lineRule="exact"/>
        <w:ind w:left="515" w:hangingChars="198" w:hanging="515"/>
        <w:rPr>
          <w:rFonts w:hAnsi="標楷體"/>
          <w:sz w:val="24"/>
          <w:szCs w:val="24"/>
        </w:rPr>
      </w:pPr>
      <w:bookmarkStart w:id="127" w:name="_Toc143262193"/>
      <w:bookmarkStart w:id="128" w:name="_Toc143263078"/>
      <w:bookmarkStart w:id="129" w:name="_Toc143424290"/>
      <w:bookmarkStart w:id="130" w:name="_Toc144140106"/>
      <w:bookmarkStart w:id="131" w:name="_Toc144211217"/>
      <w:bookmarkStart w:id="132" w:name="_Toc145510479"/>
      <w:r w:rsidRPr="00293659">
        <w:rPr>
          <w:rFonts w:hAnsi="標楷體" w:hint="eastAsia"/>
          <w:sz w:val="24"/>
          <w:szCs w:val="24"/>
        </w:rPr>
        <w:t>資料來源：審計部。</w:t>
      </w:r>
      <w:bookmarkEnd w:id="127"/>
      <w:bookmarkEnd w:id="128"/>
      <w:bookmarkEnd w:id="129"/>
      <w:bookmarkEnd w:id="130"/>
      <w:bookmarkEnd w:id="131"/>
      <w:bookmarkEnd w:id="132"/>
    </w:p>
    <w:p w14:paraId="370249A6" w14:textId="77777777" w:rsidR="002927A9" w:rsidRPr="00AC0BF7" w:rsidRDefault="002927A9" w:rsidP="002927A9">
      <w:pPr>
        <w:pStyle w:val="a3"/>
        <w:spacing w:after="120"/>
        <w:ind w:left="482" w:hanging="482"/>
        <w:rPr>
          <w:rFonts w:hAnsi="標楷體"/>
          <w:b/>
        </w:rPr>
      </w:pPr>
      <w:r w:rsidRPr="00AC0BF7">
        <w:rPr>
          <w:rFonts w:hAnsi="標楷體" w:hint="eastAsia"/>
          <w:b/>
        </w:rPr>
        <w:t>1</w:t>
      </w:r>
      <w:r w:rsidRPr="00AC0BF7">
        <w:rPr>
          <w:rFonts w:hAnsi="標楷體"/>
          <w:b/>
        </w:rPr>
        <w:t>03</w:t>
      </w:r>
      <w:r w:rsidRPr="00AC0BF7">
        <w:rPr>
          <w:rFonts w:hAnsi="標楷體" w:hint="eastAsia"/>
          <w:b/>
        </w:rPr>
        <w:t>至1</w:t>
      </w:r>
      <w:r w:rsidRPr="00AC0BF7">
        <w:rPr>
          <w:rFonts w:hAnsi="標楷體"/>
          <w:b/>
        </w:rPr>
        <w:t>09</w:t>
      </w:r>
      <w:r w:rsidRPr="00AC0BF7">
        <w:rPr>
          <w:rFonts w:hAnsi="標楷體" w:hint="eastAsia"/>
          <w:b/>
        </w:rPr>
        <w:t>年度中科院3</w:t>
      </w:r>
      <w:r w:rsidRPr="00AC0BF7">
        <w:rPr>
          <w:rFonts w:hAnsi="標楷體"/>
          <w:b/>
        </w:rPr>
        <w:t>5</w:t>
      </w:r>
      <w:r w:rsidRPr="00AC0BF7">
        <w:rPr>
          <w:rFonts w:hAnsi="標楷體" w:hint="eastAsia"/>
          <w:b/>
        </w:rPr>
        <w:t>位現職員工與得標廠商互為配</w:t>
      </w:r>
      <w:r w:rsidRPr="00AC0BF7">
        <w:rPr>
          <w:rFonts w:hAnsi="標楷體" w:cs="Yu Gothic" w:hint="eastAsia"/>
          <w:b/>
        </w:rPr>
        <w:t>偶或一等親親屬</w:t>
      </w:r>
      <w:r w:rsidRPr="00AC0BF7">
        <w:rPr>
          <w:rFonts w:hAnsi="標楷體" w:cs="新細明體" w:hint="eastAsia"/>
          <w:b/>
          <w:kern w:val="0"/>
        </w:rPr>
        <w:t>之個案概況</w:t>
      </w:r>
    </w:p>
    <w:tbl>
      <w:tblPr>
        <w:tblW w:w="8926" w:type="dxa"/>
        <w:tblCellMar>
          <w:left w:w="28" w:type="dxa"/>
          <w:right w:w="28" w:type="dxa"/>
        </w:tblCellMar>
        <w:tblLook w:val="04A0" w:firstRow="1" w:lastRow="0" w:firstColumn="1" w:lastColumn="0" w:noHBand="0" w:noVBand="1"/>
      </w:tblPr>
      <w:tblGrid>
        <w:gridCol w:w="380"/>
        <w:gridCol w:w="721"/>
        <w:gridCol w:w="1304"/>
        <w:gridCol w:w="894"/>
        <w:gridCol w:w="1374"/>
        <w:gridCol w:w="851"/>
        <w:gridCol w:w="1134"/>
        <w:gridCol w:w="708"/>
        <w:gridCol w:w="1560"/>
      </w:tblGrid>
      <w:tr w:rsidR="002927A9" w:rsidRPr="00AC0BF7" w14:paraId="2CF51A20" w14:textId="77777777" w:rsidTr="002927A9">
        <w:trPr>
          <w:trHeight w:val="828"/>
          <w:tblHeader/>
        </w:trPr>
        <w:tc>
          <w:tcPr>
            <w:tcW w:w="3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DD0455C"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序</w:t>
            </w:r>
            <w:r w:rsidRPr="00AC0BF7">
              <w:rPr>
                <w:rFonts w:hAnsi="標楷體" w:cs="新細明體" w:hint="eastAsia"/>
                <w:b/>
                <w:spacing w:val="-10"/>
                <w:kern w:val="0"/>
                <w:sz w:val="20"/>
              </w:rPr>
              <w:br/>
              <w:t>號</w:t>
            </w:r>
          </w:p>
        </w:tc>
        <w:tc>
          <w:tcPr>
            <w:tcW w:w="721" w:type="dxa"/>
            <w:tcBorders>
              <w:top w:val="single" w:sz="8" w:space="0" w:color="auto"/>
              <w:left w:val="nil"/>
              <w:bottom w:val="single" w:sz="4" w:space="0" w:color="auto"/>
              <w:right w:val="single" w:sz="4" w:space="0" w:color="auto"/>
            </w:tcBorders>
            <w:shd w:val="clear" w:color="auto" w:fill="auto"/>
            <w:vAlign w:val="center"/>
            <w:hideMark/>
          </w:tcPr>
          <w:p w14:paraId="6A01D561"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現職員</w:t>
            </w:r>
            <w:r w:rsidRPr="00AC0BF7">
              <w:rPr>
                <w:rFonts w:hAnsi="標楷體" w:cs="新細明體" w:hint="eastAsia"/>
                <w:b/>
                <w:spacing w:val="-10"/>
                <w:kern w:val="0"/>
                <w:sz w:val="20"/>
              </w:rPr>
              <w:br/>
              <w:t>工姓名</w:t>
            </w:r>
          </w:p>
        </w:tc>
        <w:tc>
          <w:tcPr>
            <w:tcW w:w="1304" w:type="dxa"/>
            <w:tcBorders>
              <w:top w:val="single" w:sz="8" w:space="0" w:color="auto"/>
              <w:left w:val="nil"/>
              <w:bottom w:val="single" w:sz="4" w:space="0" w:color="auto"/>
              <w:right w:val="single" w:sz="4" w:space="0" w:color="auto"/>
            </w:tcBorders>
            <w:shd w:val="clear" w:color="auto" w:fill="auto"/>
            <w:vAlign w:val="center"/>
            <w:hideMark/>
          </w:tcPr>
          <w:p w14:paraId="6363C6EC"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任職主管職或涉及審核、採購等敏感職務</w:t>
            </w:r>
          </w:p>
        </w:tc>
        <w:tc>
          <w:tcPr>
            <w:tcW w:w="894" w:type="dxa"/>
            <w:tcBorders>
              <w:top w:val="single" w:sz="8" w:space="0" w:color="auto"/>
              <w:left w:val="nil"/>
              <w:bottom w:val="single" w:sz="4" w:space="0" w:color="auto"/>
              <w:right w:val="single" w:sz="4" w:space="0" w:color="auto"/>
            </w:tcBorders>
            <w:shd w:val="clear" w:color="auto" w:fill="auto"/>
            <w:vAlign w:val="center"/>
            <w:hideMark/>
          </w:tcPr>
          <w:p w14:paraId="05D34007" w14:textId="77777777" w:rsidR="002927A9" w:rsidRPr="00AC0BF7" w:rsidRDefault="002927A9" w:rsidP="002927A9">
            <w:pPr>
              <w:spacing w:line="240" w:lineRule="exact"/>
              <w:ind w:rightChars="-8" w:right="-27"/>
              <w:jc w:val="center"/>
              <w:rPr>
                <w:rFonts w:hAnsi="標楷體" w:cs="新細明體"/>
                <w:b/>
                <w:spacing w:val="-10"/>
                <w:kern w:val="0"/>
                <w:sz w:val="20"/>
              </w:rPr>
            </w:pPr>
            <w:r w:rsidRPr="00AC0BF7">
              <w:rPr>
                <w:rFonts w:hAnsi="標楷體" w:cs="新細明體" w:hint="eastAsia"/>
                <w:b/>
                <w:spacing w:val="-10"/>
                <w:kern w:val="0"/>
                <w:sz w:val="20"/>
              </w:rPr>
              <w:t>員工之配偶或親屬姓名</w:t>
            </w:r>
          </w:p>
        </w:tc>
        <w:tc>
          <w:tcPr>
            <w:tcW w:w="1374" w:type="dxa"/>
            <w:tcBorders>
              <w:top w:val="single" w:sz="8" w:space="0" w:color="auto"/>
              <w:left w:val="nil"/>
              <w:bottom w:val="single" w:sz="4" w:space="0" w:color="auto"/>
              <w:right w:val="single" w:sz="4" w:space="0" w:color="auto"/>
            </w:tcBorders>
            <w:shd w:val="clear" w:color="auto" w:fill="auto"/>
            <w:noWrap/>
            <w:vAlign w:val="center"/>
            <w:hideMark/>
          </w:tcPr>
          <w:p w14:paraId="144BFC6D"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得標廠商</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421F97B2" w14:textId="77777777" w:rsidR="002927A9" w:rsidRPr="00AC0BF7" w:rsidRDefault="002927A9" w:rsidP="002927A9">
            <w:pPr>
              <w:spacing w:line="240" w:lineRule="exact"/>
              <w:ind w:leftChars="-12" w:left="-41" w:rightChars="-12" w:right="-41"/>
              <w:jc w:val="center"/>
              <w:rPr>
                <w:rFonts w:hAnsi="標楷體" w:cs="新細明體"/>
                <w:b/>
                <w:spacing w:val="-10"/>
                <w:kern w:val="0"/>
                <w:sz w:val="20"/>
              </w:rPr>
            </w:pPr>
            <w:r w:rsidRPr="00AC0BF7">
              <w:rPr>
                <w:rFonts w:hAnsi="標楷體" w:cs="新細明體" w:hint="eastAsia"/>
                <w:b/>
                <w:spacing w:val="-10"/>
                <w:kern w:val="0"/>
                <w:sz w:val="20"/>
              </w:rPr>
              <w:t>員工配偶或親屬擔任得標廠商之職務</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10B670C"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購案金額</w:t>
            </w:r>
            <w:r w:rsidRPr="00AC0BF7">
              <w:rPr>
                <w:rFonts w:hAnsi="標楷體" w:cs="新細明體" w:hint="eastAsia"/>
                <w:b/>
                <w:spacing w:val="-10"/>
                <w:kern w:val="0"/>
                <w:sz w:val="20"/>
              </w:rPr>
              <w:br/>
              <w:t>分類級距</w:t>
            </w:r>
          </w:p>
        </w:tc>
        <w:tc>
          <w:tcPr>
            <w:tcW w:w="708" w:type="dxa"/>
            <w:tcBorders>
              <w:top w:val="single" w:sz="8" w:space="0" w:color="auto"/>
              <w:left w:val="nil"/>
              <w:bottom w:val="single" w:sz="4" w:space="0" w:color="auto"/>
              <w:right w:val="single" w:sz="4" w:space="0" w:color="auto"/>
            </w:tcBorders>
            <w:shd w:val="clear" w:color="auto" w:fill="auto"/>
            <w:vAlign w:val="center"/>
            <w:hideMark/>
          </w:tcPr>
          <w:p w14:paraId="3D7D19F7"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筆數</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0359F412"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轉型行政法人後</w:t>
            </w:r>
            <w:r w:rsidRPr="00AC0BF7">
              <w:rPr>
                <w:rFonts w:hAnsi="標楷體" w:cs="新細明體" w:hint="eastAsia"/>
                <w:b/>
                <w:spacing w:val="-10"/>
                <w:kern w:val="0"/>
                <w:sz w:val="20"/>
              </w:rPr>
              <w:br/>
              <w:t>購案之合約金額(萬</w:t>
            </w:r>
            <w:r w:rsidRPr="00AC0BF7">
              <w:rPr>
                <w:rFonts w:hAnsi="標楷體" w:cs="新細明體" w:hint="eastAsia"/>
                <w:b/>
                <w:spacing w:val="-10"/>
                <w:kern w:val="0"/>
                <w:sz w:val="20"/>
                <w:lang w:eastAsia="zh-HK"/>
              </w:rPr>
              <w:t>元)</w:t>
            </w:r>
          </w:p>
        </w:tc>
      </w:tr>
      <w:tr w:rsidR="002927A9" w:rsidRPr="00AC0BF7" w14:paraId="2025F2CD" w14:textId="77777777" w:rsidTr="002927A9">
        <w:trPr>
          <w:trHeight w:val="370"/>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1F81152"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BD4C82" w14:textId="6EF1571F"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徐</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2CE946"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FDF84D" w14:textId="06587E7E"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102B5B99" w14:textId="332048ED"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A</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65A3D8"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584B7633"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2026F79"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14:paraId="127B52D8" w14:textId="77777777" w:rsidR="002927A9" w:rsidRPr="00AC0BF7" w:rsidRDefault="002927A9" w:rsidP="002927A9">
            <w:pPr>
              <w:spacing w:line="300" w:lineRule="exact"/>
              <w:ind w:rightChars="25" w:right="85"/>
              <w:jc w:val="right"/>
              <w:rPr>
                <w:rFonts w:hAnsi="標楷體"/>
                <w:kern w:val="0"/>
                <w:sz w:val="20"/>
              </w:rPr>
            </w:pPr>
            <w:r w:rsidRPr="00AC0BF7">
              <w:rPr>
                <w:rFonts w:hAnsi="標楷體" w:hint="eastAsia"/>
                <w:sz w:val="20"/>
              </w:rPr>
              <w:t xml:space="preserve">      204.48 </w:t>
            </w:r>
          </w:p>
        </w:tc>
      </w:tr>
      <w:tr w:rsidR="002927A9" w:rsidRPr="00AC0BF7" w14:paraId="5BED9BE3" w14:textId="77777777" w:rsidTr="002927A9">
        <w:trPr>
          <w:trHeight w:val="264"/>
        </w:trPr>
        <w:tc>
          <w:tcPr>
            <w:tcW w:w="380" w:type="dxa"/>
            <w:vMerge/>
            <w:tcBorders>
              <w:top w:val="nil"/>
              <w:left w:val="single" w:sz="8" w:space="0" w:color="auto"/>
              <w:bottom w:val="single" w:sz="4" w:space="0" w:color="auto"/>
              <w:right w:val="single" w:sz="4" w:space="0" w:color="auto"/>
            </w:tcBorders>
            <w:vAlign w:val="center"/>
            <w:hideMark/>
          </w:tcPr>
          <w:p w14:paraId="6AE05D24"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3C621089"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19212553"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27A1948E"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7CCCD649"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5945B264"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1D99A8A"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740A95C4"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108 </w:t>
            </w:r>
          </w:p>
        </w:tc>
        <w:tc>
          <w:tcPr>
            <w:tcW w:w="1560" w:type="dxa"/>
            <w:tcBorders>
              <w:top w:val="nil"/>
              <w:left w:val="nil"/>
              <w:bottom w:val="single" w:sz="4" w:space="0" w:color="auto"/>
              <w:right w:val="single" w:sz="8" w:space="0" w:color="auto"/>
            </w:tcBorders>
            <w:shd w:val="clear" w:color="auto" w:fill="auto"/>
            <w:noWrap/>
            <w:vAlign w:val="center"/>
            <w:hideMark/>
          </w:tcPr>
          <w:p w14:paraId="55208726"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117,524.30 </w:t>
            </w:r>
          </w:p>
        </w:tc>
      </w:tr>
      <w:tr w:rsidR="002927A9" w:rsidRPr="00AC0BF7" w14:paraId="3419E9D0" w14:textId="77777777" w:rsidTr="002927A9">
        <w:trPr>
          <w:trHeight w:val="324"/>
        </w:trPr>
        <w:tc>
          <w:tcPr>
            <w:tcW w:w="380" w:type="dxa"/>
            <w:vMerge w:val="restart"/>
            <w:tcBorders>
              <w:top w:val="nil"/>
              <w:left w:val="single" w:sz="8" w:space="0" w:color="auto"/>
              <w:right w:val="single" w:sz="4" w:space="0" w:color="auto"/>
            </w:tcBorders>
            <w:shd w:val="clear" w:color="auto" w:fill="auto"/>
            <w:noWrap/>
            <w:vAlign w:val="center"/>
            <w:hideMark/>
          </w:tcPr>
          <w:p w14:paraId="4582408F"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p>
        </w:tc>
        <w:tc>
          <w:tcPr>
            <w:tcW w:w="721" w:type="dxa"/>
            <w:vMerge w:val="restart"/>
            <w:tcBorders>
              <w:top w:val="nil"/>
              <w:left w:val="single" w:sz="4" w:space="0" w:color="auto"/>
              <w:right w:val="single" w:sz="4" w:space="0" w:color="auto"/>
            </w:tcBorders>
            <w:shd w:val="clear" w:color="auto" w:fill="auto"/>
            <w:noWrap/>
            <w:vAlign w:val="center"/>
            <w:hideMark/>
          </w:tcPr>
          <w:p w14:paraId="30F399C6" w14:textId="3EE39C64"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F0305"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03923C" w14:textId="7A845D05"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080DE337" w14:textId="17034025"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B</w:t>
            </w:r>
            <w:r w:rsidR="0015282E">
              <w:rPr>
                <w:rFonts w:hAnsi="標楷體" w:cs="新細明體" w:hint="eastAsia"/>
                <w:spacing w:val="-10"/>
                <w:kern w:val="0"/>
                <w:sz w:val="20"/>
              </w:rPr>
              <w:t>公</w:t>
            </w:r>
            <w:r w:rsidRPr="00AC0BF7">
              <w:rPr>
                <w:rFonts w:hAnsi="標楷體" w:cs="新細明體" w:hint="eastAsia"/>
                <w:spacing w:val="-10"/>
                <w:kern w:val="0"/>
                <w:sz w:val="20"/>
              </w:rPr>
              <w:t>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2592C"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14:paraId="7BB3BC8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3955900B"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52 </w:t>
            </w:r>
          </w:p>
        </w:tc>
        <w:tc>
          <w:tcPr>
            <w:tcW w:w="1560" w:type="dxa"/>
            <w:tcBorders>
              <w:top w:val="nil"/>
              <w:left w:val="nil"/>
              <w:bottom w:val="single" w:sz="4" w:space="0" w:color="auto"/>
              <w:right w:val="single" w:sz="8" w:space="0" w:color="auto"/>
            </w:tcBorders>
            <w:shd w:val="clear" w:color="auto" w:fill="auto"/>
            <w:noWrap/>
            <w:vAlign w:val="center"/>
            <w:hideMark/>
          </w:tcPr>
          <w:p w14:paraId="2283C499"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703.81 </w:t>
            </w:r>
          </w:p>
        </w:tc>
      </w:tr>
      <w:tr w:rsidR="002927A9" w:rsidRPr="00AC0BF7" w14:paraId="64F039B0" w14:textId="77777777" w:rsidTr="002927A9">
        <w:trPr>
          <w:trHeight w:val="324"/>
        </w:trPr>
        <w:tc>
          <w:tcPr>
            <w:tcW w:w="380" w:type="dxa"/>
            <w:vMerge/>
            <w:tcBorders>
              <w:left w:val="single" w:sz="8" w:space="0" w:color="auto"/>
              <w:right w:val="single" w:sz="4" w:space="0" w:color="auto"/>
            </w:tcBorders>
            <w:vAlign w:val="center"/>
            <w:hideMark/>
          </w:tcPr>
          <w:p w14:paraId="612BAE4C"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left w:val="single" w:sz="4" w:space="0" w:color="auto"/>
              <w:right w:val="single" w:sz="4" w:space="0" w:color="auto"/>
            </w:tcBorders>
            <w:vAlign w:val="center"/>
            <w:hideMark/>
          </w:tcPr>
          <w:p w14:paraId="63CA7C5D"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6A11E50F"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4B8D5228"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07959CFB"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11B3F180"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F446456"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3DCA10DB"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14 </w:t>
            </w:r>
          </w:p>
        </w:tc>
        <w:tc>
          <w:tcPr>
            <w:tcW w:w="1560" w:type="dxa"/>
            <w:tcBorders>
              <w:top w:val="nil"/>
              <w:left w:val="nil"/>
              <w:bottom w:val="single" w:sz="4" w:space="0" w:color="auto"/>
              <w:right w:val="single" w:sz="8" w:space="0" w:color="auto"/>
            </w:tcBorders>
            <w:shd w:val="clear" w:color="auto" w:fill="auto"/>
            <w:noWrap/>
            <w:vAlign w:val="center"/>
            <w:hideMark/>
          </w:tcPr>
          <w:p w14:paraId="0BF584B1"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38,235.22 </w:t>
            </w:r>
          </w:p>
        </w:tc>
      </w:tr>
      <w:tr w:rsidR="002927A9" w:rsidRPr="00AC0BF7" w14:paraId="01BAFE98" w14:textId="77777777" w:rsidTr="002927A9">
        <w:trPr>
          <w:trHeight w:val="324"/>
        </w:trPr>
        <w:tc>
          <w:tcPr>
            <w:tcW w:w="380" w:type="dxa"/>
            <w:vMerge/>
            <w:tcBorders>
              <w:left w:val="single" w:sz="8" w:space="0" w:color="auto"/>
              <w:right w:val="single" w:sz="4" w:space="0" w:color="auto"/>
            </w:tcBorders>
            <w:vAlign w:val="center"/>
          </w:tcPr>
          <w:p w14:paraId="6EE20866"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left w:val="single" w:sz="4" w:space="0" w:color="auto"/>
              <w:right w:val="single" w:sz="4" w:space="0" w:color="auto"/>
            </w:tcBorders>
            <w:vAlign w:val="center"/>
          </w:tcPr>
          <w:p w14:paraId="70692DBC" w14:textId="77777777" w:rsidR="002927A9" w:rsidRPr="00AC0BF7" w:rsidRDefault="002927A9" w:rsidP="002927A9">
            <w:pPr>
              <w:spacing w:line="240" w:lineRule="exact"/>
              <w:rPr>
                <w:rFonts w:hAnsi="標楷體" w:cs="新細明體"/>
                <w:spacing w:val="-10"/>
                <w:kern w:val="0"/>
                <w:sz w:val="20"/>
              </w:rPr>
            </w:pPr>
          </w:p>
        </w:tc>
        <w:tc>
          <w:tcPr>
            <w:tcW w:w="1304" w:type="dxa"/>
            <w:vMerge w:val="restart"/>
            <w:tcBorders>
              <w:top w:val="nil"/>
              <w:left w:val="single" w:sz="4" w:space="0" w:color="auto"/>
              <w:right w:val="single" w:sz="4" w:space="0" w:color="auto"/>
            </w:tcBorders>
            <w:vAlign w:val="center"/>
          </w:tcPr>
          <w:p w14:paraId="0E0C68BB" w14:textId="77777777" w:rsidR="002927A9" w:rsidRPr="00AC0BF7" w:rsidRDefault="002927A9" w:rsidP="002927A9">
            <w:pPr>
              <w:spacing w:line="240" w:lineRule="exact"/>
              <w:rPr>
                <w:rFonts w:hAnsi="標楷體" w:cs="新細明體"/>
                <w:spacing w:val="-10"/>
                <w:kern w:val="0"/>
                <w:sz w:val="20"/>
              </w:rPr>
            </w:pPr>
          </w:p>
        </w:tc>
        <w:tc>
          <w:tcPr>
            <w:tcW w:w="894" w:type="dxa"/>
            <w:vMerge w:val="restart"/>
            <w:tcBorders>
              <w:top w:val="nil"/>
              <w:left w:val="single" w:sz="4" w:space="0" w:color="auto"/>
              <w:right w:val="single" w:sz="4" w:space="0" w:color="auto"/>
            </w:tcBorders>
            <w:vAlign w:val="center"/>
          </w:tcPr>
          <w:p w14:paraId="0D1A82E9" w14:textId="45172E1A"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right w:val="single" w:sz="4" w:space="0" w:color="auto"/>
            </w:tcBorders>
            <w:vAlign w:val="center"/>
          </w:tcPr>
          <w:p w14:paraId="4D1CE83B" w14:textId="72C08B34"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C</w:t>
            </w:r>
            <w:r w:rsidRPr="00AC0BF7">
              <w:rPr>
                <w:rFonts w:hAnsi="標楷體" w:cs="新細明體" w:hint="eastAsia"/>
                <w:spacing w:val="-10"/>
                <w:kern w:val="0"/>
                <w:sz w:val="20"/>
              </w:rPr>
              <w:t>公司</w:t>
            </w:r>
          </w:p>
        </w:tc>
        <w:tc>
          <w:tcPr>
            <w:tcW w:w="851" w:type="dxa"/>
            <w:vMerge w:val="restart"/>
            <w:tcBorders>
              <w:top w:val="nil"/>
              <w:left w:val="single" w:sz="4" w:space="0" w:color="auto"/>
              <w:right w:val="single" w:sz="4" w:space="0" w:color="auto"/>
            </w:tcBorders>
            <w:vAlign w:val="center"/>
          </w:tcPr>
          <w:p w14:paraId="6905F320"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tcPr>
          <w:p w14:paraId="244D0EB5"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tcPr>
          <w:p w14:paraId="3B3A07CD"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tcPr>
          <w:p w14:paraId="3C4A1957"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36.57 </w:t>
            </w:r>
          </w:p>
        </w:tc>
      </w:tr>
      <w:tr w:rsidR="002927A9" w:rsidRPr="00AC0BF7" w14:paraId="2016497E" w14:textId="77777777" w:rsidTr="002927A9">
        <w:trPr>
          <w:trHeight w:val="324"/>
        </w:trPr>
        <w:tc>
          <w:tcPr>
            <w:tcW w:w="380" w:type="dxa"/>
            <w:vMerge/>
            <w:tcBorders>
              <w:left w:val="single" w:sz="8" w:space="0" w:color="auto"/>
              <w:bottom w:val="single" w:sz="4" w:space="0" w:color="auto"/>
              <w:right w:val="single" w:sz="4" w:space="0" w:color="auto"/>
            </w:tcBorders>
            <w:vAlign w:val="center"/>
          </w:tcPr>
          <w:p w14:paraId="7DC5B47A"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left w:val="single" w:sz="4" w:space="0" w:color="auto"/>
              <w:bottom w:val="single" w:sz="4" w:space="0" w:color="auto"/>
              <w:right w:val="single" w:sz="4" w:space="0" w:color="auto"/>
            </w:tcBorders>
            <w:vAlign w:val="center"/>
          </w:tcPr>
          <w:p w14:paraId="24A9B36C" w14:textId="77777777" w:rsidR="002927A9" w:rsidRPr="00AC0BF7" w:rsidRDefault="002927A9" w:rsidP="002927A9">
            <w:pPr>
              <w:spacing w:line="240" w:lineRule="exact"/>
              <w:rPr>
                <w:rFonts w:hAnsi="標楷體" w:cs="新細明體"/>
                <w:spacing w:val="-10"/>
                <w:kern w:val="0"/>
                <w:sz w:val="20"/>
              </w:rPr>
            </w:pPr>
          </w:p>
        </w:tc>
        <w:tc>
          <w:tcPr>
            <w:tcW w:w="1304" w:type="dxa"/>
            <w:vMerge/>
            <w:tcBorders>
              <w:left w:val="single" w:sz="4" w:space="0" w:color="auto"/>
              <w:bottom w:val="single" w:sz="4" w:space="0" w:color="auto"/>
              <w:right w:val="single" w:sz="4" w:space="0" w:color="auto"/>
            </w:tcBorders>
            <w:vAlign w:val="center"/>
          </w:tcPr>
          <w:p w14:paraId="1D54ED75" w14:textId="77777777" w:rsidR="002927A9" w:rsidRPr="00AC0BF7" w:rsidRDefault="002927A9" w:rsidP="002927A9">
            <w:pPr>
              <w:spacing w:line="240" w:lineRule="exact"/>
              <w:rPr>
                <w:rFonts w:hAnsi="標楷體" w:cs="新細明體"/>
                <w:spacing w:val="-10"/>
                <w:kern w:val="0"/>
                <w:sz w:val="20"/>
              </w:rPr>
            </w:pPr>
          </w:p>
        </w:tc>
        <w:tc>
          <w:tcPr>
            <w:tcW w:w="894" w:type="dxa"/>
            <w:vMerge/>
            <w:tcBorders>
              <w:left w:val="single" w:sz="4" w:space="0" w:color="auto"/>
              <w:bottom w:val="single" w:sz="4" w:space="0" w:color="auto"/>
              <w:right w:val="single" w:sz="4" w:space="0" w:color="auto"/>
            </w:tcBorders>
            <w:vAlign w:val="center"/>
          </w:tcPr>
          <w:p w14:paraId="5E267652"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left w:val="single" w:sz="4" w:space="0" w:color="auto"/>
              <w:bottom w:val="single" w:sz="4" w:space="0" w:color="auto"/>
              <w:right w:val="single" w:sz="4" w:space="0" w:color="auto"/>
            </w:tcBorders>
            <w:vAlign w:val="center"/>
          </w:tcPr>
          <w:p w14:paraId="0496194F" w14:textId="77777777" w:rsidR="002927A9" w:rsidRPr="00AC0BF7" w:rsidRDefault="002927A9" w:rsidP="002927A9">
            <w:pPr>
              <w:spacing w:line="300" w:lineRule="exact"/>
              <w:rPr>
                <w:rFonts w:hAnsi="標楷體" w:cs="新細明體"/>
                <w:spacing w:val="-10"/>
                <w:kern w:val="0"/>
                <w:sz w:val="20"/>
              </w:rPr>
            </w:pPr>
          </w:p>
        </w:tc>
        <w:tc>
          <w:tcPr>
            <w:tcW w:w="851" w:type="dxa"/>
            <w:vMerge/>
            <w:tcBorders>
              <w:left w:val="single" w:sz="4" w:space="0" w:color="auto"/>
              <w:bottom w:val="single" w:sz="4" w:space="0" w:color="auto"/>
              <w:right w:val="single" w:sz="4" w:space="0" w:color="auto"/>
            </w:tcBorders>
            <w:vAlign w:val="center"/>
          </w:tcPr>
          <w:p w14:paraId="0D55A64C"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9D966BC"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tcPr>
          <w:p w14:paraId="14470BD2"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tcPr>
          <w:p w14:paraId="049D42BF"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55.80 </w:t>
            </w:r>
          </w:p>
        </w:tc>
      </w:tr>
      <w:tr w:rsidR="002927A9" w:rsidRPr="00AC0BF7" w14:paraId="6AF5B2F2"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20E31C8"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987250" w14:textId="1DDDF479"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施</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664ACC"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501E84" w14:textId="191535B0"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施</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13AFA6D1" w14:textId="5FA939D5"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D</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9F52E0"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7F3B48F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206C2E83"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31 </w:t>
            </w:r>
          </w:p>
        </w:tc>
        <w:tc>
          <w:tcPr>
            <w:tcW w:w="1560" w:type="dxa"/>
            <w:tcBorders>
              <w:top w:val="nil"/>
              <w:left w:val="nil"/>
              <w:bottom w:val="single" w:sz="4" w:space="0" w:color="auto"/>
              <w:right w:val="single" w:sz="8" w:space="0" w:color="auto"/>
            </w:tcBorders>
            <w:shd w:val="clear" w:color="auto" w:fill="auto"/>
            <w:noWrap/>
            <w:vAlign w:val="center"/>
            <w:hideMark/>
          </w:tcPr>
          <w:p w14:paraId="71412357"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392.15 </w:t>
            </w:r>
          </w:p>
        </w:tc>
      </w:tr>
      <w:tr w:rsidR="002927A9" w:rsidRPr="00AC0BF7" w14:paraId="4932B29D"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6EDECEF2"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74B5FC71"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04A275DD"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679047AB"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251A67A7"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0107472A"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F41D367"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B57D249"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18 </w:t>
            </w:r>
          </w:p>
        </w:tc>
        <w:tc>
          <w:tcPr>
            <w:tcW w:w="1560" w:type="dxa"/>
            <w:tcBorders>
              <w:top w:val="nil"/>
              <w:left w:val="nil"/>
              <w:bottom w:val="single" w:sz="4" w:space="0" w:color="auto"/>
              <w:right w:val="single" w:sz="8" w:space="0" w:color="auto"/>
            </w:tcBorders>
            <w:shd w:val="clear" w:color="auto" w:fill="auto"/>
            <w:noWrap/>
            <w:vAlign w:val="center"/>
            <w:hideMark/>
          </w:tcPr>
          <w:p w14:paraId="232B24E2"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12,695.59 </w:t>
            </w:r>
          </w:p>
        </w:tc>
      </w:tr>
      <w:tr w:rsidR="002927A9" w:rsidRPr="00AC0BF7" w14:paraId="7EC73241"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8FB19EF"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4</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1ECB0E" w14:textId="651DEB95"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許</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609AC5"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1E6ABC" w14:textId="2BEAC108"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許</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26F168D1" w14:textId="7A1C889A"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E</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4EEE73"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14:paraId="6D1E610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17E4787"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248AE02F"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19.90 </w:t>
            </w:r>
          </w:p>
        </w:tc>
      </w:tr>
      <w:tr w:rsidR="002927A9" w:rsidRPr="00AC0BF7" w14:paraId="2E705049"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3ADFD6E2"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38436BE7"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0D8F418E"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4BD2A6BF"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6B53D622"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0A4AD403"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3B41BBA"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F98A7F4"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14:paraId="7E701F5E"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10,405.22 </w:t>
            </w:r>
          </w:p>
        </w:tc>
      </w:tr>
      <w:tr w:rsidR="002927A9" w:rsidRPr="00AC0BF7" w14:paraId="380BBD54"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5C4D32B"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5</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E5D983" w14:textId="006D0EB8"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D6359B"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D34BEE" w14:textId="4E78C5F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4714D462" w14:textId="33B16F30"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F</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24953D"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677DEC45"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4DE0C39"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3587DBE5"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1.38 </w:t>
            </w:r>
          </w:p>
        </w:tc>
      </w:tr>
      <w:tr w:rsidR="002927A9" w:rsidRPr="00AC0BF7" w14:paraId="649B7C63"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356B10E4"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6773B858"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5D73E6AD"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42656B77"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47D88E4B"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59D7B9D2"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400A0A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721028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786C0F7F"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3,931.20 </w:t>
            </w:r>
          </w:p>
        </w:tc>
      </w:tr>
      <w:tr w:rsidR="002927A9" w:rsidRPr="00AC0BF7" w14:paraId="726FF873"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BFFC88B"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lastRenderedPageBreak/>
              <w:t>6</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BD4985" w14:textId="3B06AAA4"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1EBA6908" w14:textId="77777777"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航空研究所</w:t>
            </w:r>
            <w:r w:rsidRPr="00AC0BF7">
              <w:rPr>
                <w:rFonts w:hAnsi="標楷體" w:cs="新細明體" w:hint="eastAsia"/>
                <w:spacing w:val="-10"/>
                <w:kern w:val="0"/>
                <w:sz w:val="20"/>
              </w:rPr>
              <w:br/>
              <w:t>組長</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C1917" w14:textId="2579BB64"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183B889C" w14:textId="39034600"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G</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F488E3"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4634397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C8E661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49 </w:t>
            </w:r>
          </w:p>
        </w:tc>
        <w:tc>
          <w:tcPr>
            <w:tcW w:w="1560" w:type="dxa"/>
            <w:tcBorders>
              <w:top w:val="nil"/>
              <w:left w:val="nil"/>
              <w:bottom w:val="single" w:sz="4" w:space="0" w:color="auto"/>
              <w:right w:val="single" w:sz="8" w:space="0" w:color="auto"/>
            </w:tcBorders>
            <w:shd w:val="clear" w:color="auto" w:fill="auto"/>
            <w:noWrap/>
            <w:vAlign w:val="center"/>
            <w:hideMark/>
          </w:tcPr>
          <w:p w14:paraId="5DF09AD0"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339.49 </w:t>
            </w:r>
          </w:p>
        </w:tc>
      </w:tr>
      <w:tr w:rsidR="002927A9" w:rsidRPr="00AC0BF7" w14:paraId="7DED2A61"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4C9B3A47"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7A17A236"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77B6EB73"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3F73821B" w14:textId="77777777" w:rsidR="002927A9" w:rsidRPr="00AC0BF7" w:rsidRDefault="002927A9" w:rsidP="002927A9">
            <w:pPr>
              <w:spacing w:line="300" w:lineRule="exact"/>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4D530BDE"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05FB171F"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CB2C114"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0A5D450"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24 </w:t>
            </w:r>
          </w:p>
        </w:tc>
        <w:tc>
          <w:tcPr>
            <w:tcW w:w="1560" w:type="dxa"/>
            <w:tcBorders>
              <w:top w:val="nil"/>
              <w:left w:val="nil"/>
              <w:bottom w:val="single" w:sz="4" w:space="0" w:color="auto"/>
              <w:right w:val="single" w:sz="8" w:space="0" w:color="auto"/>
            </w:tcBorders>
            <w:shd w:val="clear" w:color="auto" w:fill="auto"/>
            <w:noWrap/>
            <w:vAlign w:val="center"/>
            <w:hideMark/>
          </w:tcPr>
          <w:p w14:paraId="34CED5CF"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3,220.81 </w:t>
            </w:r>
          </w:p>
        </w:tc>
      </w:tr>
      <w:tr w:rsidR="002927A9" w:rsidRPr="00AC0BF7" w14:paraId="3A1177F6"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E7FD6AF"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7</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5BAC66" w14:textId="1CCC8E23"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F1A111"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BCE51D" w14:textId="6626B956"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05AE5E82" w14:textId="4DA1455E"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H</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6C53F5"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14:paraId="0FDD905C"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1F7CF4C"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49 </w:t>
            </w:r>
          </w:p>
        </w:tc>
        <w:tc>
          <w:tcPr>
            <w:tcW w:w="1560" w:type="dxa"/>
            <w:tcBorders>
              <w:top w:val="nil"/>
              <w:left w:val="nil"/>
              <w:bottom w:val="single" w:sz="4" w:space="0" w:color="auto"/>
              <w:right w:val="single" w:sz="8" w:space="0" w:color="auto"/>
            </w:tcBorders>
            <w:shd w:val="clear" w:color="auto" w:fill="auto"/>
            <w:noWrap/>
            <w:vAlign w:val="center"/>
            <w:hideMark/>
          </w:tcPr>
          <w:p w14:paraId="5AD86116"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625.04 </w:t>
            </w:r>
          </w:p>
        </w:tc>
      </w:tr>
      <w:tr w:rsidR="002927A9" w:rsidRPr="00AC0BF7" w14:paraId="4E9D0EEE"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4B33F295"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22EE0C48"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2159EAF1"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1196EFA7"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667493CF"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21576A9B"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1A18032"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BBFC75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14:paraId="27504CBF"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956.30 </w:t>
            </w:r>
          </w:p>
        </w:tc>
      </w:tr>
      <w:tr w:rsidR="002927A9" w:rsidRPr="00AC0BF7" w14:paraId="34DD8609"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A52AE9A"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8</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014A99" w14:textId="2E4CCD98"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97A4C7"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992DEE" w14:textId="18797589"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5483A973" w14:textId="0F44D008"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I</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087E23"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12DBEAFF"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9D2E9CB"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19 </w:t>
            </w:r>
          </w:p>
        </w:tc>
        <w:tc>
          <w:tcPr>
            <w:tcW w:w="1560" w:type="dxa"/>
            <w:tcBorders>
              <w:top w:val="nil"/>
              <w:left w:val="nil"/>
              <w:bottom w:val="single" w:sz="4" w:space="0" w:color="auto"/>
              <w:right w:val="single" w:sz="8" w:space="0" w:color="auto"/>
            </w:tcBorders>
            <w:shd w:val="clear" w:color="auto" w:fill="auto"/>
            <w:noWrap/>
            <w:vAlign w:val="center"/>
            <w:hideMark/>
          </w:tcPr>
          <w:p w14:paraId="4B5FCA37"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276.63 </w:t>
            </w:r>
          </w:p>
        </w:tc>
      </w:tr>
      <w:tr w:rsidR="002927A9" w:rsidRPr="00AC0BF7" w14:paraId="351F1B57"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316BC9E2"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0F2CA8F0"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3F59BDC1"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70D16249"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2BB48E2C"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48BEE701"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EB0F3F8"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58C4C6E"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325D01E9"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799.30 </w:t>
            </w:r>
          </w:p>
        </w:tc>
      </w:tr>
      <w:tr w:rsidR="002927A9" w:rsidRPr="00AC0BF7" w14:paraId="1BF0F270"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568AE54"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9</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47834" w14:textId="403392A4"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41266"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328CAC" w14:textId="13E4C056"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754B9678" w14:textId="7CF9DBB5"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J</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D880B0"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14:paraId="5FCDCCF5"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753CB7EE"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33 </w:t>
            </w:r>
          </w:p>
        </w:tc>
        <w:tc>
          <w:tcPr>
            <w:tcW w:w="1560" w:type="dxa"/>
            <w:tcBorders>
              <w:top w:val="nil"/>
              <w:left w:val="nil"/>
              <w:bottom w:val="single" w:sz="4" w:space="0" w:color="auto"/>
              <w:right w:val="single" w:sz="8" w:space="0" w:color="auto"/>
            </w:tcBorders>
            <w:shd w:val="clear" w:color="auto" w:fill="auto"/>
            <w:noWrap/>
            <w:vAlign w:val="center"/>
            <w:hideMark/>
          </w:tcPr>
          <w:p w14:paraId="35691900"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402.31 </w:t>
            </w:r>
          </w:p>
        </w:tc>
      </w:tr>
      <w:tr w:rsidR="002927A9" w:rsidRPr="00AC0BF7" w14:paraId="5F76E642"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05917993"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38F1A96F"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29FDE789"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0CA82EF1"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2B1D818F"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260012A8"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BD88A59"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D4077E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6 </w:t>
            </w:r>
          </w:p>
        </w:tc>
        <w:tc>
          <w:tcPr>
            <w:tcW w:w="1560" w:type="dxa"/>
            <w:tcBorders>
              <w:top w:val="nil"/>
              <w:left w:val="nil"/>
              <w:bottom w:val="single" w:sz="4" w:space="0" w:color="auto"/>
              <w:right w:val="single" w:sz="8" w:space="0" w:color="auto"/>
            </w:tcBorders>
            <w:shd w:val="clear" w:color="auto" w:fill="auto"/>
            <w:noWrap/>
            <w:vAlign w:val="center"/>
            <w:hideMark/>
          </w:tcPr>
          <w:p w14:paraId="5D45F28D"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577.48 </w:t>
            </w:r>
          </w:p>
        </w:tc>
      </w:tr>
      <w:tr w:rsidR="002927A9" w:rsidRPr="00AC0BF7" w14:paraId="163B82CB"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F6C666A"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10</w:t>
            </w:r>
          </w:p>
        </w:tc>
        <w:tc>
          <w:tcPr>
            <w:tcW w:w="721" w:type="dxa"/>
            <w:tcBorders>
              <w:top w:val="nil"/>
              <w:left w:val="nil"/>
              <w:bottom w:val="single" w:sz="4" w:space="0" w:color="auto"/>
              <w:right w:val="single" w:sz="4" w:space="0" w:color="auto"/>
            </w:tcBorders>
            <w:shd w:val="clear" w:color="auto" w:fill="auto"/>
            <w:noWrap/>
            <w:vAlign w:val="center"/>
            <w:hideMark/>
          </w:tcPr>
          <w:p w14:paraId="2CA1D4B0" w14:textId="6E78DD8F"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5769383B"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7A9F1688" w14:textId="010F9724" w:rsidR="002927A9" w:rsidRPr="00AC0BF7" w:rsidRDefault="002927A9" w:rsidP="002927A9">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蔡</w:t>
            </w:r>
            <w:proofErr w:type="gramEnd"/>
            <w:r w:rsidRPr="00AC0BF7">
              <w:rPr>
                <w:rFonts w:hAnsi="標楷體" w:cs="新細明體" w:hint="eastAsia"/>
                <w:spacing w:val="-10"/>
                <w:kern w:val="0"/>
                <w:sz w:val="20"/>
              </w:rPr>
              <w:t>ＯＯ</w:t>
            </w:r>
          </w:p>
        </w:tc>
        <w:tc>
          <w:tcPr>
            <w:tcW w:w="1374" w:type="dxa"/>
            <w:tcBorders>
              <w:top w:val="nil"/>
              <w:left w:val="nil"/>
              <w:bottom w:val="single" w:sz="4" w:space="0" w:color="auto"/>
              <w:right w:val="single" w:sz="4" w:space="0" w:color="auto"/>
            </w:tcBorders>
            <w:shd w:val="clear" w:color="auto" w:fill="auto"/>
            <w:vAlign w:val="center"/>
            <w:hideMark/>
          </w:tcPr>
          <w:p w14:paraId="44305D36" w14:textId="660D4346"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K</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0E74B98F"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2EFF6DBB"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8215D0D"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46 </w:t>
            </w:r>
          </w:p>
        </w:tc>
        <w:tc>
          <w:tcPr>
            <w:tcW w:w="1560" w:type="dxa"/>
            <w:tcBorders>
              <w:top w:val="nil"/>
              <w:left w:val="nil"/>
              <w:bottom w:val="single" w:sz="4" w:space="0" w:color="auto"/>
              <w:right w:val="single" w:sz="8" w:space="0" w:color="auto"/>
            </w:tcBorders>
            <w:shd w:val="clear" w:color="auto" w:fill="auto"/>
            <w:noWrap/>
            <w:vAlign w:val="center"/>
            <w:hideMark/>
          </w:tcPr>
          <w:p w14:paraId="52FB8574"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697.02 </w:t>
            </w:r>
          </w:p>
        </w:tc>
      </w:tr>
      <w:tr w:rsidR="002927A9" w:rsidRPr="00AC0BF7" w14:paraId="43855C3B"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4155C73"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11</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884BD1" w14:textId="6BF1BC31"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D178EE"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18FA6E" w14:textId="1E513F0A"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454C421A" w14:textId="53986500"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L</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0BEC2"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14:paraId="60F2CDC0"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DCC1E35"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7AAFC0D3"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10.57 </w:t>
            </w:r>
          </w:p>
        </w:tc>
      </w:tr>
      <w:tr w:rsidR="002927A9" w:rsidRPr="00AC0BF7" w14:paraId="4083424B"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6E302DC1"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49583BA6"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58F536EE"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52492A51"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5BE947CE"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1F7496A2"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6C394CD"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28304F0C"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60553947"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658.64 </w:t>
            </w:r>
          </w:p>
        </w:tc>
      </w:tr>
      <w:tr w:rsidR="002927A9" w:rsidRPr="00AC0BF7" w14:paraId="28E4E975"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6930780"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12</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35B38" w14:textId="70424CE7"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F4325"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5FA713" w14:textId="5A012954" w:rsidR="002927A9" w:rsidRPr="00AC0BF7" w:rsidRDefault="002927A9" w:rsidP="002927A9">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詹</w:t>
            </w:r>
            <w:proofErr w:type="gramEnd"/>
            <w:r w:rsidRPr="00AC0BF7">
              <w:rPr>
                <w:rFonts w:hAnsi="標楷體" w:cs="新細明體" w:hint="eastAsia"/>
                <w:spacing w:val="-10"/>
                <w:kern w:val="0"/>
                <w:sz w:val="20"/>
              </w:rPr>
              <w:t>ＯＯ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17996C6E" w14:textId="5AC9E34C"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M</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17A58"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2C1F7FA0"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F6FE821"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23 </w:t>
            </w:r>
          </w:p>
        </w:tc>
        <w:tc>
          <w:tcPr>
            <w:tcW w:w="1560" w:type="dxa"/>
            <w:tcBorders>
              <w:top w:val="nil"/>
              <w:left w:val="nil"/>
              <w:bottom w:val="single" w:sz="4" w:space="0" w:color="auto"/>
              <w:right w:val="single" w:sz="8" w:space="0" w:color="auto"/>
            </w:tcBorders>
            <w:shd w:val="clear" w:color="auto" w:fill="auto"/>
            <w:noWrap/>
            <w:vAlign w:val="center"/>
            <w:hideMark/>
          </w:tcPr>
          <w:p w14:paraId="13290D03"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133.68 </w:t>
            </w:r>
          </w:p>
        </w:tc>
      </w:tr>
      <w:tr w:rsidR="002927A9" w:rsidRPr="00AC0BF7" w14:paraId="495B320B"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70DCFE46"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6913BC49"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352B3C46"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56B417A7"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55FC53C8"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4C2711FF"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1EA4486"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35376D5"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14:paraId="1402C563"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455.82 </w:t>
            </w:r>
          </w:p>
        </w:tc>
      </w:tr>
      <w:tr w:rsidR="002927A9" w:rsidRPr="00AC0BF7" w14:paraId="2D4E12B1"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A9BA9FC"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13</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50828" w14:textId="5446C840"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A6B7AE"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E15D2F" w14:textId="576872C1"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6DC0BF25" w14:textId="402DF944" w:rsidR="002927A9" w:rsidRPr="00AC0BF7" w:rsidRDefault="002927A9" w:rsidP="002927A9">
            <w:pPr>
              <w:spacing w:line="300" w:lineRule="exact"/>
              <w:rPr>
                <w:rFonts w:hAnsi="標楷體" w:cs="新細明體"/>
                <w:spacing w:val="-10"/>
                <w:kern w:val="0"/>
                <w:sz w:val="20"/>
              </w:rPr>
            </w:pPr>
            <w:r>
              <w:rPr>
                <w:rFonts w:hAnsi="標楷體" w:cs="新細明體" w:hint="eastAsia"/>
                <w:spacing w:val="-10"/>
                <w:kern w:val="0"/>
                <w:sz w:val="20"/>
              </w:rPr>
              <w:t>N</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71DE03"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295EDE66"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3786C992"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7 </w:t>
            </w:r>
          </w:p>
        </w:tc>
        <w:tc>
          <w:tcPr>
            <w:tcW w:w="1560" w:type="dxa"/>
            <w:tcBorders>
              <w:top w:val="nil"/>
              <w:left w:val="nil"/>
              <w:bottom w:val="single" w:sz="4" w:space="0" w:color="auto"/>
              <w:right w:val="single" w:sz="8" w:space="0" w:color="auto"/>
            </w:tcBorders>
            <w:shd w:val="clear" w:color="auto" w:fill="auto"/>
            <w:noWrap/>
            <w:vAlign w:val="center"/>
            <w:hideMark/>
          </w:tcPr>
          <w:p w14:paraId="48EFA9B3"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43.47 </w:t>
            </w:r>
          </w:p>
        </w:tc>
      </w:tr>
      <w:tr w:rsidR="002927A9" w:rsidRPr="00AC0BF7" w14:paraId="3B6498E9"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272FE1E6"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72FA06F9"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7CEA772A"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49EA7813"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430D4772"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6F7AB262"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11A4EDD"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79505876"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1A5EA174"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523.08 </w:t>
            </w:r>
          </w:p>
        </w:tc>
      </w:tr>
      <w:tr w:rsidR="002927A9" w:rsidRPr="00AC0BF7" w14:paraId="0CB8A7A0"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1D4AFE36"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14</w:t>
            </w:r>
          </w:p>
        </w:tc>
        <w:tc>
          <w:tcPr>
            <w:tcW w:w="721" w:type="dxa"/>
            <w:tcBorders>
              <w:top w:val="nil"/>
              <w:left w:val="nil"/>
              <w:bottom w:val="single" w:sz="4" w:space="0" w:color="auto"/>
              <w:right w:val="single" w:sz="4" w:space="0" w:color="auto"/>
            </w:tcBorders>
            <w:shd w:val="clear" w:color="auto" w:fill="auto"/>
            <w:noWrap/>
            <w:vAlign w:val="center"/>
            <w:hideMark/>
          </w:tcPr>
          <w:p w14:paraId="61070FBE" w14:textId="188BB320"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66F3D9B7"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33F43EB0" w14:textId="0300A1BE"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3C15AD6B" w14:textId="58CCBB72"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O</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26AAC6A7"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0093B3E9"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3D69B0C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1AB0D3C3"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480.00 </w:t>
            </w:r>
          </w:p>
        </w:tc>
      </w:tr>
      <w:tr w:rsidR="002927A9" w:rsidRPr="00AC0BF7" w14:paraId="3E0E2FE8"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303590D"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15</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7C1CD7" w14:textId="023E610A"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B4B21"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2E27D2" w14:textId="05CA92C2"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06BAA6CB" w14:textId="492A41B3"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P</w:t>
            </w:r>
            <w:r w:rsidR="002927A9"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9D64D5"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4E3203DD"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6FCB0FD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14:paraId="5C2CCF01"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71.66 </w:t>
            </w:r>
          </w:p>
        </w:tc>
      </w:tr>
      <w:tr w:rsidR="002927A9" w:rsidRPr="00AC0BF7" w14:paraId="211D5AE6" w14:textId="77777777" w:rsidTr="002927A9">
        <w:trPr>
          <w:trHeight w:val="324"/>
        </w:trPr>
        <w:tc>
          <w:tcPr>
            <w:tcW w:w="380" w:type="dxa"/>
            <w:vMerge/>
            <w:tcBorders>
              <w:top w:val="nil"/>
              <w:left w:val="single" w:sz="8" w:space="0" w:color="auto"/>
              <w:bottom w:val="single" w:sz="4" w:space="0" w:color="auto"/>
              <w:right w:val="single" w:sz="4" w:space="0" w:color="auto"/>
            </w:tcBorders>
            <w:vAlign w:val="center"/>
            <w:hideMark/>
          </w:tcPr>
          <w:p w14:paraId="4150A941"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4E79F183"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373312B2"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3D6103EA"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4DE00C43"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27434188"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A35B40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9495906"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6DE91025"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385.00 </w:t>
            </w:r>
          </w:p>
        </w:tc>
      </w:tr>
      <w:tr w:rsidR="002927A9" w:rsidRPr="00AC0BF7" w14:paraId="6337804F"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7E34DBFA"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16</w:t>
            </w:r>
          </w:p>
        </w:tc>
        <w:tc>
          <w:tcPr>
            <w:tcW w:w="721" w:type="dxa"/>
            <w:tcBorders>
              <w:top w:val="nil"/>
              <w:left w:val="nil"/>
              <w:bottom w:val="single" w:sz="4" w:space="0" w:color="auto"/>
              <w:right w:val="single" w:sz="4" w:space="0" w:color="auto"/>
            </w:tcBorders>
            <w:shd w:val="clear" w:color="auto" w:fill="auto"/>
            <w:noWrap/>
            <w:vAlign w:val="center"/>
            <w:hideMark/>
          </w:tcPr>
          <w:p w14:paraId="4CE80F63" w14:textId="3A7C92AF"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賴</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7DA335AF"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794F69EA"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p>
        </w:tc>
        <w:tc>
          <w:tcPr>
            <w:tcW w:w="1374" w:type="dxa"/>
            <w:tcBorders>
              <w:top w:val="nil"/>
              <w:left w:val="nil"/>
              <w:bottom w:val="single" w:sz="4" w:space="0" w:color="auto"/>
              <w:right w:val="single" w:sz="4" w:space="0" w:color="auto"/>
            </w:tcBorders>
            <w:shd w:val="clear" w:color="auto" w:fill="auto"/>
            <w:vAlign w:val="center"/>
            <w:hideMark/>
          </w:tcPr>
          <w:p w14:paraId="769F3336" w14:textId="01044769"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Q</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547C8C89"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49284F97"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2A823C4F"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29 </w:t>
            </w:r>
          </w:p>
        </w:tc>
        <w:tc>
          <w:tcPr>
            <w:tcW w:w="1560" w:type="dxa"/>
            <w:tcBorders>
              <w:top w:val="nil"/>
              <w:left w:val="nil"/>
              <w:bottom w:val="single" w:sz="4" w:space="0" w:color="auto"/>
              <w:right w:val="single" w:sz="8" w:space="0" w:color="auto"/>
            </w:tcBorders>
            <w:shd w:val="clear" w:color="auto" w:fill="auto"/>
            <w:noWrap/>
            <w:vAlign w:val="center"/>
            <w:hideMark/>
          </w:tcPr>
          <w:p w14:paraId="61505E1E"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377.75 </w:t>
            </w:r>
          </w:p>
        </w:tc>
      </w:tr>
      <w:tr w:rsidR="002927A9" w:rsidRPr="00AC0BF7" w14:paraId="16B26F78"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342479D"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17</w:t>
            </w:r>
          </w:p>
        </w:tc>
        <w:tc>
          <w:tcPr>
            <w:tcW w:w="721" w:type="dxa"/>
            <w:tcBorders>
              <w:top w:val="nil"/>
              <w:left w:val="nil"/>
              <w:bottom w:val="single" w:sz="4" w:space="0" w:color="auto"/>
              <w:right w:val="single" w:sz="4" w:space="0" w:color="auto"/>
            </w:tcBorders>
            <w:shd w:val="clear" w:color="auto" w:fill="auto"/>
            <w:noWrap/>
            <w:vAlign w:val="center"/>
            <w:hideMark/>
          </w:tcPr>
          <w:p w14:paraId="00C247FA" w14:textId="148B9646"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384FF18D"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6DF27CBF" w14:textId="33AF1E1C" w:rsidR="002927A9" w:rsidRPr="00AC0BF7" w:rsidRDefault="002927A9" w:rsidP="002927A9">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游</w:t>
            </w:r>
            <w:proofErr w:type="gramEnd"/>
            <w:r w:rsidRPr="00AC0BF7">
              <w:rPr>
                <w:rFonts w:hAnsi="標楷體" w:cs="新細明體" w:hint="eastAsia"/>
                <w:spacing w:val="-10"/>
                <w:kern w:val="0"/>
                <w:sz w:val="20"/>
              </w:rPr>
              <w:t>Ｏ</w:t>
            </w:r>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0AA89E7B" w14:textId="17895C2B"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R</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01D4882A"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14:paraId="51785E91"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1D0BA12"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10 </w:t>
            </w:r>
          </w:p>
        </w:tc>
        <w:tc>
          <w:tcPr>
            <w:tcW w:w="1560" w:type="dxa"/>
            <w:tcBorders>
              <w:top w:val="nil"/>
              <w:left w:val="nil"/>
              <w:bottom w:val="single" w:sz="4" w:space="0" w:color="auto"/>
              <w:right w:val="single" w:sz="8" w:space="0" w:color="auto"/>
            </w:tcBorders>
            <w:shd w:val="clear" w:color="auto" w:fill="auto"/>
            <w:noWrap/>
            <w:vAlign w:val="center"/>
            <w:hideMark/>
          </w:tcPr>
          <w:p w14:paraId="0F7F0368"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136.80 </w:t>
            </w:r>
          </w:p>
        </w:tc>
      </w:tr>
      <w:tr w:rsidR="002927A9" w:rsidRPr="00AC0BF7" w14:paraId="6818BFF8"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566B1B65"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18</w:t>
            </w:r>
          </w:p>
        </w:tc>
        <w:tc>
          <w:tcPr>
            <w:tcW w:w="721" w:type="dxa"/>
            <w:tcBorders>
              <w:top w:val="nil"/>
              <w:left w:val="nil"/>
              <w:bottom w:val="single" w:sz="4" w:space="0" w:color="auto"/>
              <w:right w:val="single" w:sz="4" w:space="0" w:color="auto"/>
            </w:tcBorders>
            <w:shd w:val="clear" w:color="auto" w:fill="auto"/>
            <w:noWrap/>
            <w:vAlign w:val="center"/>
            <w:hideMark/>
          </w:tcPr>
          <w:p w14:paraId="6606D27F" w14:textId="7C15D755"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vAlign w:val="center"/>
            <w:hideMark/>
          </w:tcPr>
          <w:p w14:paraId="2EC6460D" w14:textId="77777777"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財務室管理師</w:t>
            </w:r>
          </w:p>
        </w:tc>
        <w:tc>
          <w:tcPr>
            <w:tcW w:w="894" w:type="dxa"/>
            <w:tcBorders>
              <w:top w:val="nil"/>
              <w:left w:val="nil"/>
              <w:bottom w:val="single" w:sz="4" w:space="0" w:color="auto"/>
              <w:right w:val="single" w:sz="4" w:space="0" w:color="auto"/>
            </w:tcBorders>
            <w:shd w:val="clear" w:color="auto" w:fill="auto"/>
            <w:noWrap/>
            <w:vAlign w:val="center"/>
            <w:hideMark/>
          </w:tcPr>
          <w:p w14:paraId="077A3A7E" w14:textId="339A9D94"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7722981C" w14:textId="4F1BDB45"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S</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05326E0D"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14:paraId="7AB49035"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7C0D36E3"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14:paraId="21FFA990"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129.03 </w:t>
            </w:r>
          </w:p>
        </w:tc>
      </w:tr>
      <w:tr w:rsidR="002927A9" w:rsidRPr="00AC0BF7" w14:paraId="2F5B3977" w14:textId="77777777" w:rsidTr="002927A9">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88971F3"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spacing w:val="-10"/>
                <w:kern w:val="0"/>
                <w:sz w:val="20"/>
              </w:rPr>
              <w:t>19</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53D7C" w14:textId="3822545D"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金</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49F74" w14:textId="77777777" w:rsidR="002927A9" w:rsidRPr="00AC0BF7" w:rsidRDefault="002927A9" w:rsidP="002927A9">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160414" w14:textId="767DE441"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金</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14:paraId="7CA72C0F" w14:textId="74A4DBEF"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T</w:t>
            </w:r>
            <w:r w:rsidR="002927A9"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522F84"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14:paraId="4FF59C5D"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C7C8B95"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14:paraId="710386E7"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41.44 </w:t>
            </w:r>
          </w:p>
        </w:tc>
      </w:tr>
      <w:tr w:rsidR="002927A9" w:rsidRPr="00AC0BF7" w14:paraId="7B1D9760" w14:textId="77777777" w:rsidTr="002927A9">
        <w:trPr>
          <w:trHeight w:val="475"/>
        </w:trPr>
        <w:tc>
          <w:tcPr>
            <w:tcW w:w="380" w:type="dxa"/>
            <w:vMerge/>
            <w:tcBorders>
              <w:top w:val="nil"/>
              <w:left w:val="single" w:sz="8" w:space="0" w:color="auto"/>
              <w:bottom w:val="single" w:sz="4" w:space="0" w:color="auto"/>
              <w:right w:val="single" w:sz="4" w:space="0" w:color="auto"/>
            </w:tcBorders>
            <w:vAlign w:val="center"/>
            <w:hideMark/>
          </w:tcPr>
          <w:p w14:paraId="59B85349" w14:textId="77777777" w:rsidR="002927A9" w:rsidRPr="00AC0BF7" w:rsidRDefault="002927A9" w:rsidP="002927A9">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14:paraId="0F5FF52F" w14:textId="77777777" w:rsidR="002927A9" w:rsidRPr="00AC0BF7" w:rsidRDefault="002927A9" w:rsidP="002927A9">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14:paraId="6F4DC17F" w14:textId="77777777" w:rsidR="002927A9" w:rsidRPr="00AC0BF7" w:rsidRDefault="002927A9" w:rsidP="002927A9">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14:paraId="15051289" w14:textId="77777777" w:rsidR="002927A9" w:rsidRPr="00AC0BF7" w:rsidRDefault="002927A9" w:rsidP="002927A9">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14:paraId="7EA4CCBC" w14:textId="77777777" w:rsidR="002927A9" w:rsidRPr="00AC0BF7" w:rsidRDefault="002927A9" w:rsidP="002927A9">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14:paraId="134F46A1" w14:textId="77777777" w:rsidR="002927A9" w:rsidRPr="00AC0BF7" w:rsidRDefault="002927A9" w:rsidP="002927A9">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3554B8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A4061D9"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72F6A4CF"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32.62 </w:t>
            </w:r>
          </w:p>
        </w:tc>
      </w:tr>
      <w:tr w:rsidR="002927A9" w:rsidRPr="00AC0BF7" w14:paraId="207E7DB8" w14:textId="77777777" w:rsidTr="002927A9">
        <w:trPr>
          <w:trHeight w:val="552"/>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453995"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0</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2FBEDEC6" w14:textId="04128BC9"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宋</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48751D02" w14:textId="77777777" w:rsidR="002927A9" w:rsidRPr="00AC0BF7" w:rsidRDefault="002927A9" w:rsidP="002927A9">
            <w:pPr>
              <w:spacing w:line="240" w:lineRule="exact"/>
              <w:rPr>
                <w:rFonts w:hAnsi="標楷體" w:cs="新細明體"/>
                <w:spacing w:val="-10"/>
                <w:kern w:val="0"/>
                <w:sz w:val="20"/>
              </w:rPr>
            </w:pP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4FE6AFB7" w14:textId="67DF99B9"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FEFDF16" w14:textId="69E64A2F"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U</w:t>
            </w:r>
            <w:r w:rsidR="002927A9" w:rsidRPr="00AC0BF7">
              <w:rPr>
                <w:rFonts w:hAnsi="標楷體" w:cs="新細明體" w:hint="eastAsia"/>
                <w:spacing w:val="-10"/>
                <w:kern w:val="0"/>
                <w:sz w:val="20"/>
              </w:rPr>
              <w:t>公司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4E4682"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F391D7"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single" w:sz="4" w:space="0" w:color="auto"/>
              <w:left w:val="nil"/>
              <w:bottom w:val="single" w:sz="4" w:space="0" w:color="auto"/>
              <w:right w:val="single" w:sz="4" w:space="0" w:color="auto"/>
            </w:tcBorders>
            <w:shd w:val="clear" w:color="auto" w:fill="auto"/>
            <w:noWrap/>
            <w:tcMar>
              <w:right w:w="57" w:type="dxa"/>
            </w:tcMar>
            <w:vAlign w:val="center"/>
            <w:hideMark/>
          </w:tcPr>
          <w:p w14:paraId="0C2EA9D1"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14:paraId="7535800E"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63.27 </w:t>
            </w:r>
          </w:p>
        </w:tc>
      </w:tr>
      <w:tr w:rsidR="002927A9" w:rsidRPr="00AC0BF7" w14:paraId="100D4268"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2FA9AD39"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1</w:t>
            </w:r>
          </w:p>
        </w:tc>
        <w:tc>
          <w:tcPr>
            <w:tcW w:w="721" w:type="dxa"/>
            <w:tcBorders>
              <w:top w:val="nil"/>
              <w:left w:val="nil"/>
              <w:bottom w:val="single" w:sz="4" w:space="0" w:color="auto"/>
              <w:right w:val="single" w:sz="4" w:space="0" w:color="auto"/>
            </w:tcBorders>
            <w:shd w:val="clear" w:color="auto" w:fill="auto"/>
            <w:noWrap/>
            <w:vAlign w:val="center"/>
            <w:hideMark/>
          </w:tcPr>
          <w:p w14:paraId="1B673216" w14:textId="6BD1D4C6" w:rsidR="002927A9" w:rsidRPr="00AC0BF7" w:rsidRDefault="002927A9" w:rsidP="002927A9">
            <w:pPr>
              <w:spacing w:line="240" w:lineRule="exact"/>
              <w:rPr>
                <w:rFonts w:hAnsi="標楷體" w:cs="新細明體"/>
                <w:spacing w:val="-10"/>
                <w:kern w:val="0"/>
                <w:sz w:val="20"/>
              </w:rPr>
            </w:pPr>
            <w:proofErr w:type="gramStart"/>
            <w:r w:rsidRPr="00AC0BF7">
              <w:rPr>
                <w:rFonts w:hAnsi="標楷體" w:cs="新細明體" w:hint="eastAsia"/>
                <w:spacing w:val="-10"/>
                <w:kern w:val="0"/>
                <w:sz w:val="20"/>
              </w:rPr>
              <w:t>詹</w:t>
            </w:r>
            <w:proofErr w:type="gramEnd"/>
            <w:r w:rsidRPr="00AC0BF7">
              <w:rPr>
                <w:rFonts w:hAnsi="標楷體" w:cs="新細明體" w:hint="eastAsia"/>
                <w:spacing w:val="-10"/>
                <w:kern w:val="0"/>
                <w:sz w:val="20"/>
              </w:rPr>
              <w:t>Ｏ</w:t>
            </w:r>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60F92951"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51B2F286" w14:textId="4C18D861"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590EE04F" w14:textId="4BC40AD8"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V</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2AC02A8A"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292CC2EE"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353EF349"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6 </w:t>
            </w:r>
          </w:p>
        </w:tc>
        <w:tc>
          <w:tcPr>
            <w:tcW w:w="1560" w:type="dxa"/>
            <w:tcBorders>
              <w:top w:val="nil"/>
              <w:left w:val="nil"/>
              <w:bottom w:val="single" w:sz="4" w:space="0" w:color="auto"/>
              <w:right w:val="single" w:sz="8" w:space="0" w:color="auto"/>
            </w:tcBorders>
            <w:shd w:val="clear" w:color="auto" w:fill="auto"/>
            <w:noWrap/>
            <w:vAlign w:val="center"/>
            <w:hideMark/>
          </w:tcPr>
          <w:p w14:paraId="4B0814A8"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60.45 </w:t>
            </w:r>
          </w:p>
        </w:tc>
      </w:tr>
      <w:tr w:rsidR="002927A9" w:rsidRPr="00AC0BF7" w14:paraId="1FE6639C"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7B94D4C"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2</w:t>
            </w:r>
          </w:p>
        </w:tc>
        <w:tc>
          <w:tcPr>
            <w:tcW w:w="721" w:type="dxa"/>
            <w:tcBorders>
              <w:top w:val="nil"/>
              <w:left w:val="nil"/>
              <w:bottom w:val="single" w:sz="4" w:space="0" w:color="auto"/>
              <w:right w:val="single" w:sz="4" w:space="0" w:color="auto"/>
            </w:tcBorders>
            <w:shd w:val="clear" w:color="auto" w:fill="auto"/>
            <w:noWrap/>
            <w:vAlign w:val="center"/>
            <w:hideMark/>
          </w:tcPr>
          <w:p w14:paraId="4AD73B52" w14:textId="5DF87082"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3E0B830B"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5AAF170F" w14:textId="4412FB69"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0A148108" w14:textId="5F071BAA"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W</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4FA6B692"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49B6CE63"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05189385"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14:paraId="1AE009D8"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57.51 </w:t>
            </w:r>
          </w:p>
        </w:tc>
      </w:tr>
      <w:tr w:rsidR="002927A9" w:rsidRPr="00AC0BF7" w14:paraId="153A6C36"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4881DBA"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3</w:t>
            </w:r>
          </w:p>
        </w:tc>
        <w:tc>
          <w:tcPr>
            <w:tcW w:w="721" w:type="dxa"/>
            <w:tcBorders>
              <w:top w:val="nil"/>
              <w:left w:val="nil"/>
              <w:bottom w:val="single" w:sz="4" w:space="0" w:color="auto"/>
              <w:right w:val="single" w:sz="4" w:space="0" w:color="auto"/>
            </w:tcBorders>
            <w:shd w:val="clear" w:color="auto" w:fill="auto"/>
            <w:noWrap/>
            <w:vAlign w:val="center"/>
            <w:hideMark/>
          </w:tcPr>
          <w:p w14:paraId="54E96267" w14:textId="05C487FF"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傅</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1870F099"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3FCAD5A1" w14:textId="6F3BF9F5"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傅</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6372563B" w14:textId="2941151E"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X</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3462FFFC"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14:paraId="55032543"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74B95673"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 </w:t>
            </w:r>
          </w:p>
        </w:tc>
        <w:tc>
          <w:tcPr>
            <w:tcW w:w="1560" w:type="dxa"/>
            <w:tcBorders>
              <w:top w:val="nil"/>
              <w:left w:val="nil"/>
              <w:bottom w:val="single" w:sz="4" w:space="0" w:color="auto"/>
              <w:right w:val="single" w:sz="8" w:space="0" w:color="auto"/>
            </w:tcBorders>
            <w:shd w:val="clear" w:color="auto" w:fill="auto"/>
            <w:noWrap/>
            <w:vAlign w:val="center"/>
            <w:hideMark/>
          </w:tcPr>
          <w:p w14:paraId="05367530"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40.46 </w:t>
            </w:r>
          </w:p>
        </w:tc>
      </w:tr>
      <w:tr w:rsidR="002927A9" w:rsidRPr="00AC0BF7" w14:paraId="749F8F8C"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7D5608D0"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4</w:t>
            </w:r>
          </w:p>
        </w:tc>
        <w:tc>
          <w:tcPr>
            <w:tcW w:w="721" w:type="dxa"/>
            <w:tcBorders>
              <w:top w:val="nil"/>
              <w:left w:val="nil"/>
              <w:bottom w:val="single" w:sz="4" w:space="0" w:color="auto"/>
              <w:right w:val="single" w:sz="4" w:space="0" w:color="auto"/>
            </w:tcBorders>
            <w:shd w:val="clear" w:color="auto" w:fill="auto"/>
            <w:noWrap/>
            <w:vAlign w:val="center"/>
            <w:hideMark/>
          </w:tcPr>
          <w:p w14:paraId="689D126A" w14:textId="64F737AD"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6CD85A46"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430C339A" w14:textId="3D45EC86"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462484AB" w14:textId="1C8B7714"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Y</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02027947"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33F35483"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8FDF684"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61E6F706"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38.64 </w:t>
            </w:r>
          </w:p>
        </w:tc>
      </w:tr>
      <w:tr w:rsidR="002927A9" w:rsidRPr="00AC0BF7" w14:paraId="26BFC292"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2852DD0E"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5</w:t>
            </w:r>
          </w:p>
        </w:tc>
        <w:tc>
          <w:tcPr>
            <w:tcW w:w="721" w:type="dxa"/>
            <w:tcBorders>
              <w:top w:val="nil"/>
              <w:left w:val="nil"/>
              <w:bottom w:val="single" w:sz="4" w:space="0" w:color="auto"/>
              <w:right w:val="single" w:sz="4" w:space="0" w:color="auto"/>
            </w:tcBorders>
            <w:shd w:val="clear" w:color="auto" w:fill="auto"/>
            <w:noWrap/>
            <w:vAlign w:val="center"/>
            <w:hideMark/>
          </w:tcPr>
          <w:p w14:paraId="0DF72AD8" w14:textId="10BFFBCA"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蘇</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5E336241"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744D43E2" w14:textId="28768306"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noWrap/>
            <w:vAlign w:val="center"/>
            <w:hideMark/>
          </w:tcPr>
          <w:p w14:paraId="533220FF" w14:textId="71A3B5A7"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Z</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4528C60E"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4842E4BF"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94E4F2C"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5C403861"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34.65 </w:t>
            </w:r>
          </w:p>
        </w:tc>
      </w:tr>
      <w:tr w:rsidR="002927A9" w:rsidRPr="00AC0BF7" w14:paraId="6FC9C6A7"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25983302"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lastRenderedPageBreak/>
              <w:t>2</w:t>
            </w:r>
            <w:r w:rsidRPr="00AC0BF7">
              <w:rPr>
                <w:rFonts w:hAnsi="標楷體" w:cs="新細明體"/>
                <w:spacing w:val="-10"/>
                <w:kern w:val="0"/>
                <w:sz w:val="20"/>
              </w:rPr>
              <w:t>6</w:t>
            </w:r>
          </w:p>
        </w:tc>
        <w:tc>
          <w:tcPr>
            <w:tcW w:w="721" w:type="dxa"/>
            <w:tcBorders>
              <w:top w:val="nil"/>
              <w:left w:val="nil"/>
              <w:bottom w:val="single" w:sz="4" w:space="0" w:color="auto"/>
              <w:right w:val="single" w:sz="4" w:space="0" w:color="auto"/>
            </w:tcBorders>
            <w:shd w:val="clear" w:color="auto" w:fill="auto"/>
            <w:noWrap/>
            <w:vAlign w:val="center"/>
            <w:hideMark/>
          </w:tcPr>
          <w:p w14:paraId="5AE990A4" w14:textId="0157839A"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4D5ED744"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4A7536ED" w14:textId="796FF693"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0DC8F92B" w14:textId="01FF380D"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A</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720B9CA4"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42853E5B"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0CB60FCA"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3F886CFC"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26.17 </w:t>
            </w:r>
          </w:p>
        </w:tc>
      </w:tr>
      <w:tr w:rsidR="002927A9" w:rsidRPr="00AC0BF7" w14:paraId="5F6981E8"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2AD6DCF8"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7</w:t>
            </w:r>
          </w:p>
        </w:tc>
        <w:tc>
          <w:tcPr>
            <w:tcW w:w="721" w:type="dxa"/>
            <w:tcBorders>
              <w:top w:val="nil"/>
              <w:left w:val="nil"/>
              <w:bottom w:val="single" w:sz="4" w:space="0" w:color="auto"/>
              <w:right w:val="single" w:sz="4" w:space="0" w:color="auto"/>
            </w:tcBorders>
            <w:shd w:val="clear" w:color="auto" w:fill="auto"/>
            <w:noWrap/>
            <w:vAlign w:val="center"/>
            <w:hideMark/>
          </w:tcPr>
          <w:p w14:paraId="0FE7E9F1" w14:textId="29E88B61"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4F067FD7"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47634B46" w14:textId="31CA66F5"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474B930C" w14:textId="1EEDB6FE"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B</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39550C4D"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0EC5B0C1"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11A9A3A"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049B932B"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20.37 </w:t>
            </w:r>
          </w:p>
        </w:tc>
      </w:tr>
      <w:tr w:rsidR="002927A9" w:rsidRPr="00AC0BF7" w14:paraId="3489E02E"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DA97E57"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8</w:t>
            </w:r>
          </w:p>
        </w:tc>
        <w:tc>
          <w:tcPr>
            <w:tcW w:w="721" w:type="dxa"/>
            <w:tcBorders>
              <w:top w:val="nil"/>
              <w:left w:val="nil"/>
              <w:bottom w:val="single" w:sz="4" w:space="0" w:color="auto"/>
              <w:right w:val="single" w:sz="4" w:space="0" w:color="auto"/>
            </w:tcBorders>
            <w:shd w:val="clear" w:color="auto" w:fill="auto"/>
            <w:noWrap/>
            <w:vAlign w:val="center"/>
            <w:hideMark/>
          </w:tcPr>
          <w:p w14:paraId="1A60C060" w14:textId="4D8056AD"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秦</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0CC0E497"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5F0E33CB" w14:textId="76A137D2"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3EE5E2C4" w14:textId="1316C921"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C</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143941E3"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73A15C48"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05E268D"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06F9B463"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19.30 </w:t>
            </w:r>
          </w:p>
        </w:tc>
      </w:tr>
      <w:tr w:rsidR="002927A9" w:rsidRPr="00AC0BF7" w14:paraId="03D03E78"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286A109D"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9</w:t>
            </w:r>
          </w:p>
        </w:tc>
        <w:tc>
          <w:tcPr>
            <w:tcW w:w="721" w:type="dxa"/>
            <w:tcBorders>
              <w:top w:val="nil"/>
              <w:left w:val="nil"/>
              <w:bottom w:val="single" w:sz="4" w:space="0" w:color="auto"/>
              <w:right w:val="single" w:sz="4" w:space="0" w:color="auto"/>
            </w:tcBorders>
            <w:shd w:val="clear" w:color="auto" w:fill="auto"/>
            <w:noWrap/>
            <w:vAlign w:val="center"/>
            <w:hideMark/>
          </w:tcPr>
          <w:p w14:paraId="080C30F4" w14:textId="7FEDA28F"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孫</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56BEB2EB"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6CE2B6A3" w14:textId="43BD032F"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蘇</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5085802D" w14:textId="637B50D5"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D</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2C932D05"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14:paraId="2532D729"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2A74F82B"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64614CE8"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18.95 </w:t>
            </w:r>
          </w:p>
        </w:tc>
      </w:tr>
      <w:tr w:rsidR="002927A9" w:rsidRPr="00AC0BF7" w14:paraId="73E2F542"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6F9416E"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0</w:t>
            </w:r>
          </w:p>
        </w:tc>
        <w:tc>
          <w:tcPr>
            <w:tcW w:w="721" w:type="dxa"/>
            <w:tcBorders>
              <w:top w:val="nil"/>
              <w:left w:val="nil"/>
              <w:bottom w:val="single" w:sz="4" w:space="0" w:color="auto"/>
              <w:right w:val="single" w:sz="4" w:space="0" w:color="auto"/>
            </w:tcBorders>
            <w:shd w:val="clear" w:color="auto" w:fill="auto"/>
            <w:noWrap/>
            <w:vAlign w:val="center"/>
            <w:hideMark/>
          </w:tcPr>
          <w:p w14:paraId="03500FE0" w14:textId="5261B9FD"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張</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317DC1F8"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40870669" w14:textId="5BE03D30"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張</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170DC749" w14:textId="4AECC7E8"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E</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06A2E688"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3272ACEC"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7460B871"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14:paraId="3D90B7AB"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16.50 </w:t>
            </w:r>
          </w:p>
        </w:tc>
      </w:tr>
      <w:tr w:rsidR="002927A9" w:rsidRPr="00AC0BF7" w14:paraId="7022DC8F"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64E7D285"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1</w:t>
            </w:r>
          </w:p>
        </w:tc>
        <w:tc>
          <w:tcPr>
            <w:tcW w:w="721" w:type="dxa"/>
            <w:tcBorders>
              <w:top w:val="nil"/>
              <w:left w:val="nil"/>
              <w:bottom w:val="single" w:sz="4" w:space="0" w:color="auto"/>
              <w:right w:val="single" w:sz="4" w:space="0" w:color="auto"/>
            </w:tcBorders>
            <w:shd w:val="clear" w:color="auto" w:fill="auto"/>
            <w:noWrap/>
            <w:vAlign w:val="center"/>
            <w:hideMark/>
          </w:tcPr>
          <w:p w14:paraId="2C8427BC" w14:textId="5F745F96"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vAlign w:val="center"/>
            <w:hideMark/>
          </w:tcPr>
          <w:p w14:paraId="64F534F5" w14:textId="77777777" w:rsidR="002927A9" w:rsidRPr="00AC0BF7" w:rsidRDefault="002927A9" w:rsidP="002927A9">
            <w:pPr>
              <w:spacing w:line="240" w:lineRule="exact"/>
              <w:rPr>
                <w:rFonts w:hAnsi="標楷體" w:cs="新細明體"/>
                <w:spacing w:val="-10"/>
                <w:kern w:val="0"/>
                <w:sz w:val="20"/>
              </w:rPr>
            </w:pPr>
            <w:proofErr w:type="gramStart"/>
            <w:r w:rsidRPr="00AC0BF7">
              <w:rPr>
                <w:rFonts w:hAnsi="標楷體" w:cs="新細明體" w:hint="eastAsia"/>
                <w:spacing w:val="-10"/>
                <w:kern w:val="0"/>
                <w:sz w:val="20"/>
              </w:rPr>
              <w:t>設工處</w:t>
            </w:r>
            <w:proofErr w:type="gramEnd"/>
            <w:r w:rsidRPr="00AC0BF7">
              <w:rPr>
                <w:rFonts w:hAnsi="標楷體" w:cs="新細明體" w:hint="eastAsia"/>
                <w:spacing w:val="-10"/>
                <w:kern w:val="0"/>
                <w:sz w:val="20"/>
              </w:rPr>
              <w:t>工程師(採購人員)</w:t>
            </w:r>
          </w:p>
        </w:tc>
        <w:tc>
          <w:tcPr>
            <w:tcW w:w="894" w:type="dxa"/>
            <w:tcBorders>
              <w:top w:val="nil"/>
              <w:left w:val="nil"/>
              <w:bottom w:val="single" w:sz="4" w:space="0" w:color="auto"/>
              <w:right w:val="single" w:sz="4" w:space="0" w:color="auto"/>
            </w:tcBorders>
            <w:shd w:val="clear" w:color="auto" w:fill="auto"/>
            <w:noWrap/>
            <w:vAlign w:val="center"/>
            <w:hideMark/>
          </w:tcPr>
          <w:p w14:paraId="2DFD76CB" w14:textId="21421520"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6FC310C7" w14:textId="787C9E8E"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F</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296783A0"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0331692B"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199C5A82"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14:paraId="1E48F670"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13.33 </w:t>
            </w:r>
          </w:p>
        </w:tc>
      </w:tr>
      <w:tr w:rsidR="002927A9" w:rsidRPr="00AC0BF7" w14:paraId="54A95312"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04744ACC"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2</w:t>
            </w:r>
          </w:p>
        </w:tc>
        <w:tc>
          <w:tcPr>
            <w:tcW w:w="721" w:type="dxa"/>
            <w:tcBorders>
              <w:top w:val="nil"/>
              <w:left w:val="nil"/>
              <w:bottom w:val="single" w:sz="4" w:space="0" w:color="auto"/>
              <w:right w:val="single" w:sz="4" w:space="0" w:color="auto"/>
            </w:tcBorders>
            <w:shd w:val="clear" w:color="auto" w:fill="auto"/>
            <w:noWrap/>
            <w:vAlign w:val="center"/>
            <w:hideMark/>
          </w:tcPr>
          <w:p w14:paraId="7C661680" w14:textId="754CEE00"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趙</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737A14A6"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2D7710BA" w14:textId="1F46C1F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趙</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4BC9831D" w14:textId="19C4DEC3"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G</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0CB7DDAF"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04C03681"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CF7A19E"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2300116D"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11.35 </w:t>
            </w:r>
          </w:p>
        </w:tc>
      </w:tr>
      <w:tr w:rsidR="002927A9" w:rsidRPr="00AC0BF7" w14:paraId="2DE6E660"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7EE4B686"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3</w:t>
            </w:r>
          </w:p>
        </w:tc>
        <w:tc>
          <w:tcPr>
            <w:tcW w:w="721" w:type="dxa"/>
            <w:tcBorders>
              <w:top w:val="nil"/>
              <w:left w:val="nil"/>
              <w:bottom w:val="single" w:sz="4" w:space="0" w:color="auto"/>
              <w:right w:val="single" w:sz="4" w:space="0" w:color="auto"/>
            </w:tcBorders>
            <w:shd w:val="clear" w:color="auto" w:fill="auto"/>
            <w:noWrap/>
            <w:vAlign w:val="center"/>
            <w:hideMark/>
          </w:tcPr>
          <w:p w14:paraId="273B1C7B" w14:textId="54889399"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21C06072"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6C40AD02" w14:textId="2C2CCF51"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083A1D64" w14:textId="48C91D32"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H</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38863BF4"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10B6C314"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4E669C06"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 </w:t>
            </w:r>
          </w:p>
        </w:tc>
        <w:tc>
          <w:tcPr>
            <w:tcW w:w="1560" w:type="dxa"/>
            <w:tcBorders>
              <w:top w:val="nil"/>
              <w:left w:val="nil"/>
              <w:bottom w:val="single" w:sz="4" w:space="0" w:color="auto"/>
              <w:right w:val="single" w:sz="8" w:space="0" w:color="auto"/>
            </w:tcBorders>
            <w:shd w:val="clear" w:color="auto" w:fill="auto"/>
            <w:noWrap/>
            <w:vAlign w:val="center"/>
            <w:hideMark/>
          </w:tcPr>
          <w:p w14:paraId="517C7024"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8.18 </w:t>
            </w:r>
          </w:p>
        </w:tc>
      </w:tr>
      <w:tr w:rsidR="002927A9" w:rsidRPr="00AC0BF7" w14:paraId="48CEB786" w14:textId="77777777" w:rsidTr="002927A9">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14:paraId="0E20CDCA"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4</w:t>
            </w:r>
          </w:p>
        </w:tc>
        <w:tc>
          <w:tcPr>
            <w:tcW w:w="721" w:type="dxa"/>
            <w:tcBorders>
              <w:top w:val="nil"/>
              <w:left w:val="nil"/>
              <w:bottom w:val="single" w:sz="4" w:space="0" w:color="auto"/>
              <w:right w:val="single" w:sz="4" w:space="0" w:color="auto"/>
            </w:tcBorders>
            <w:shd w:val="clear" w:color="auto" w:fill="auto"/>
            <w:noWrap/>
            <w:vAlign w:val="center"/>
            <w:hideMark/>
          </w:tcPr>
          <w:p w14:paraId="1B837ADA" w14:textId="29F5398D"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14:paraId="1E0CC714" w14:textId="77777777" w:rsidR="002927A9" w:rsidRPr="00AC0BF7" w:rsidRDefault="002927A9" w:rsidP="002927A9">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14:paraId="6B3E017C" w14:textId="5C8F7FD3"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r w:rsidR="0015282E"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14:paraId="44CBED3B" w14:textId="60EB7732"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I</w:t>
            </w:r>
            <w:r w:rsidR="002927A9"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14:paraId="5E58BB96"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14:paraId="0D214A74"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14:paraId="5131F944"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14:paraId="0534773B"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7.70 </w:t>
            </w:r>
          </w:p>
        </w:tc>
      </w:tr>
      <w:tr w:rsidR="002927A9" w:rsidRPr="00AC0BF7" w14:paraId="1BB69B52" w14:textId="77777777" w:rsidTr="002927A9">
        <w:trPr>
          <w:trHeight w:val="552"/>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636626"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5</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14:paraId="29528ACF" w14:textId="7370B7D6" w:rsidR="002927A9" w:rsidRPr="00AC0BF7" w:rsidRDefault="002927A9" w:rsidP="002927A9">
            <w:pPr>
              <w:spacing w:line="240" w:lineRule="exact"/>
              <w:rPr>
                <w:rFonts w:hAnsi="標楷體" w:cs="新細明體"/>
                <w:spacing w:val="-10"/>
                <w:kern w:val="0"/>
                <w:sz w:val="20"/>
              </w:rPr>
            </w:pPr>
            <w:r w:rsidRPr="00AC0BF7">
              <w:rPr>
                <w:rFonts w:hAnsi="標楷體" w:cs="新細明體" w:hint="eastAsia"/>
                <w:spacing w:val="-10"/>
                <w:kern w:val="0"/>
                <w:sz w:val="20"/>
              </w:rPr>
              <w:t>江</w:t>
            </w:r>
            <w:proofErr w:type="gramStart"/>
            <w:r w:rsidRPr="00AC0BF7">
              <w:rPr>
                <w:rFonts w:hAnsi="標楷體" w:cs="新細明體" w:hint="eastAsia"/>
                <w:spacing w:val="-10"/>
                <w:kern w:val="0"/>
                <w:sz w:val="20"/>
              </w:rPr>
              <w:t>Ｏ</w:t>
            </w:r>
            <w:proofErr w:type="gramEnd"/>
            <w:r w:rsidR="0015282E" w:rsidRPr="00AC0BF7">
              <w:rPr>
                <w:rFonts w:hAnsi="標楷體" w:cs="新細明體" w:hint="eastAsia"/>
                <w:spacing w:val="-10"/>
                <w:kern w:val="0"/>
                <w:sz w:val="20"/>
              </w:rPr>
              <w:t>Ｏ</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5EA3FA38" w14:textId="77777777" w:rsidR="002927A9" w:rsidRPr="00AC0BF7" w:rsidRDefault="002927A9" w:rsidP="002927A9">
            <w:pPr>
              <w:spacing w:line="240" w:lineRule="exact"/>
              <w:rPr>
                <w:rFonts w:hAnsi="標楷體" w:cs="新細明體"/>
                <w:spacing w:val="-10"/>
                <w:kern w:val="0"/>
                <w:sz w:val="20"/>
              </w:rPr>
            </w:pP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53C31A13" w14:textId="0FB965C4" w:rsidR="002927A9" w:rsidRPr="00AC0BF7" w:rsidRDefault="002927A9" w:rsidP="002927A9">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蔡</w:t>
            </w:r>
            <w:proofErr w:type="gramEnd"/>
            <w:r w:rsidRPr="00AC0BF7">
              <w:rPr>
                <w:rFonts w:hAnsi="標楷體" w:cs="新細明體" w:hint="eastAsia"/>
                <w:spacing w:val="-10"/>
                <w:kern w:val="0"/>
                <w:sz w:val="20"/>
              </w:rPr>
              <w:t>Ｏ</w:t>
            </w:r>
            <w:r w:rsidR="0015282E" w:rsidRPr="00AC0BF7">
              <w:rPr>
                <w:rFonts w:hAnsi="標楷體" w:cs="新細明體" w:hint="eastAsia"/>
                <w:spacing w:val="-10"/>
                <w:kern w:val="0"/>
                <w:sz w:val="20"/>
              </w:rPr>
              <w:t>Ｏ</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ECC1BAC" w14:textId="4F02825C" w:rsidR="002927A9" w:rsidRPr="00AC0BF7" w:rsidRDefault="0015282E" w:rsidP="002927A9">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J</w:t>
            </w:r>
            <w:r w:rsidR="002927A9" w:rsidRPr="00AC0BF7">
              <w:rPr>
                <w:rFonts w:hAnsi="標楷體" w:cs="新細明體" w:hint="eastAsia"/>
                <w:spacing w:val="-10"/>
                <w:kern w:val="0"/>
                <w:sz w:val="20"/>
              </w:rPr>
              <w:t>公司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4E8E57" w14:textId="77777777" w:rsidR="002927A9" w:rsidRPr="00AC0BF7" w:rsidRDefault="002927A9" w:rsidP="002927A9">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B79F5C" w14:textId="77777777" w:rsidR="002927A9" w:rsidRPr="00AC0BF7" w:rsidRDefault="002927A9" w:rsidP="002927A9">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single" w:sz="4" w:space="0" w:color="auto"/>
              <w:left w:val="nil"/>
              <w:bottom w:val="single" w:sz="4" w:space="0" w:color="auto"/>
              <w:right w:val="single" w:sz="4" w:space="0" w:color="auto"/>
            </w:tcBorders>
            <w:shd w:val="clear" w:color="auto" w:fill="auto"/>
            <w:noWrap/>
            <w:tcMar>
              <w:right w:w="57" w:type="dxa"/>
            </w:tcMar>
            <w:vAlign w:val="center"/>
            <w:hideMark/>
          </w:tcPr>
          <w:p w14:paraId="6E695AB8" w14:textId="77777777" w:rsidR="002927A9" w:rsidRPr="00AC0BF7" w:rsidRDefault="002927A9" w:rsidP="002927A9">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14:paraId="5ACA3DED" w14:textId="77777777" w:rsidR="002927A9" w:rsidRPr="00AC0BF7" w:rsidRDefault="002927A9" w:rsidP="002927A9">
            <w:pPr>
              <w:spacing w:line="300" w:lineRule="exact"/>
              <w:ind w:rightChars="25" w:right="85"/>
              <w:jc w:val="right"/>
              <w:rPr>
                <w:rFonts w:hAnsi="標楷體"/>
                <w:sz w:val="20"/>
              </w:rPr>
            </w:pPr>
            <w:r w:rsidRPr="00AC0BF7">
              <w:rPr>
                <w:rFonts w:hAnsi="標楷體" w:hint="eastAsia"/>
                <w:sz w:val="20"/>
              </w:rPr>
              <w:t xml:space="preserve">        0.87 </w:t>
            </w:r>
          </w:p>
        </w:tc>
      </w:tr>
      <w:tr w:rsidR="002927A9" w:rsidRPr="00AC0BF7" w14:paraId="1187DD01" w14:textId="77777777" w:rsidTr="002927A9">
        <w:trPr>
          <w:trHeight w:val="552"/>
        </w:trPr>
        <w:tc>
          <w:tcPr>
            <w:tcW w:w="6658" w:type="dxa"/>
            <w:gridSpan w:val="7"/>
            <w:tcBorders>
              <w:top w:val="single" w:sz="4" w:space="0" w:color="auto"/>
              <w:left w:val="single" w:sz="8" w:space="0" w:color="auto"/>
              <w:bottom w:val="single" w:sz="8" w:space="0" w:color="auto"/>
              <w:right w:val="single" w:sz="4" w:space="0" w:color="auto"/>
            </w:tcBorders>
            <w:shd w:val="clear" w:color="auto" w:fill="auto"/>
            <w:noWrap/>
            <w:vAlign w:val="center"/>
          </w:tcPr>
          <w:p w14:paraId="477153AF" w14:textId="77777777" w:rsidR="002927A9" w:rsidRPr="00AC0BF7" w:rsidRDefault="002927A9" w:rsidP="002927A9">
            <w:pPr>
              <w:spacing w:line="240" w:lineRule="exact"/>
              <w:jc w:val="center"/>
              <w:rPr>
                <w:rFonts w:hAnsi="標楷體" w:cs="新細明體"/>
                <w:spacing w:val="-10"/>
                <w:kern w:val="0"/>
                <w:sz w:val="20"/>
              </w:rPr>
            </w:pPr>
            <w:r w:rsidRPr="00AC0BF7">
              <w:rPr>
                <w:rFonts w:hAnsi="標楷體" w:cs="新細明體" w:hint="eastAsia"/>
                <w:b/>
                <w:spacing w:val="-10"/>
                <w:kern w:val="0"/>
                <w:sz w:val="22"/>
              </w:rPr>
              <w:t>合       計</w:t>
            </w:r>
          </w:p>
        </w:tc>
        <w:tc>
          <w:tcPr>
            <w:tcW w:w="708" w:type="dxa"/>
            <w:tcBorders>
              <w:top w:val="single" w:sz="4" w:space="0" w:color="auto"/>
              <w:left w:val="nil"/>
              <w:bottom w:val="single" w:sz="8" w:space="0" w:color="auto"/>
              <w:right w:val="single" w:sz="4" w:space="0" w:color="auto"/>
            </w:tcBorders>
            <w:shd w:val="clear" w:color="auto" w:fill="auto"/>
            <w:noWrap/>
            <w:tcMar>
              <w:right w:w="57" w:type="dxa"/>
            </w:tcMar>
            <w:vAlign w:val="center"/>
          </w:tcPr>
          <w:p w14:paraId="61A43192" w14:textId="77777777" w:rsidR="002927A9" w:rsidRPr="00AC0BF7" w:rsidRDefault="002927A9" w:rsidP="002927A9">
            <w:pPr>
              <w:spacing w:line="240" w:lineRule="exact"/>
              <w:jc w:val="center"/>
              <w:rPr>
                <w:rFonts w:hAnsi="標楷體" w:cs="新細明體"/>
                <w:b/>
                <w:spacing w:val="-10"/>
                <w:kern w:val="0"/>
                <w:sz w:val="20"/>
              </w:rPr>
            </w:pPr>
            <w:r w:rsidRPr="00AC0BF7">
              <w:rPr>
                <w:rFonts w:hAnsi="標楷體" w:cs="新細明體" w:hint="eastAsia"/>
                <w:b/>
                <w:spacing w:val="-10"/>
                <w:kern w:val="0"/>
                <w:sz w:val="20"/>
              </w:rPr>
              <w:t>631</w:t>
            </w:r>
          </w:p>
        </w:tc>
        <w:tc>
          <w:tcPr>
            <w:tcW w:w="1560" w:type="dxa"/>
            <w:tcBorders>
              <w:top w:val="single" w:sz="4" w:space="0" w:color="auto"/>
              <w:left w:val="nil"/>
              <w:bottom w:val="single" w:sz="8" w:space="0" w:color="auto"/>
              <w:right w:val="single" w:sz="8" w:space="0" w:color="auto"/>
            </w:tcBorders>
            <w:shd w:val="clear" w:color="auto" w:fill="auto"/>
            <w:noWrap/>
            <w:vAlign w:val="center"/>
          </w:tcPr>
          <w:p w14:paraId="730E9570" w14:textId="77777777" w:rsidR="002927A9" w:rsidRPr="00AC0BF7" w:rsidRDefault="002927A9" w:rsidP="002927A9">
            <w:pPr>
              <w:spacing w:line="240" w:lineRule="exact"/>
              <w:ind w:rightChars="25" w:right="85"/>
              <w:jc w:val="right"/>
              <w:rPr>
                <w:rFonts w:hAnsi="標楷體" w:cs="新細明體"/>
                <w:b/>
                <w:spacing w:val="-10"/>
                <w:kern w:val="0"/>
                <w:sz w:val="20"/>
              </w:rPr>
            </w:pPr>
            <w:r w:rsidRPr="00AC0BF7">
              <w:rPr>
                <w:rFonts w:hAnsi="標楷體" w:cs="新細明體"/>
                <w:b/>
                <w:spacing w:val="-10"/>
                <w:kern w:val="0"/>
                <w:sz w:val="20"/>
              </w:rPr>
              <w:t>196,017</w:t>
            </w:r>
            <w:r w:rsidRPr="00AC0BF7">
              <w:rPr>
                <w:rFonts w:hAnsi="標楷體" w:cs="新細明體" w:hint="eastAsia"/>
                <w:b/>
                <w:spacing w:val="-10"/>
                <w:kern w:val="0"/>
                <w:sz w:val="20"/>
              </w:rPr>
              <w:t>.</w:t>
            </w:r>
            <w:r w:rsidRPr="00AC0BF7">
              <w:rPr>
                <w:rFonts w:hAnsi="標楷體" w:cs="新細明體"/>
                <w:b/>
                <w:spacing w:val="-10"/>
                <w:kern w:val="0"/>
                <w:sz w:val="20"/>
              </w:rPr>
              <w:t>26</w:t>
            </w:r>
          </w:p>
        </w:tc>
      </w:tr>
    </w:tbl>
    <w:p w14:paraId="6E3A0BD5" w14:textId="243637D2" w:rsidR="002927A9" w:rsidRDefault="002927A9" w:rsidP="0015282E">
      <w:pPr>
        <w:pStyle w:val="1"/>
        <w:numPr>
          <w:ilvl w:val="0"/>
          <w:numId w:val="0"/>
        </w:numPr>
        <w:spacing w:afterLines="50" w:after="228" w:line="300" w:lineRule="exact"/>
        <w:ind w:left="515" w:hangingChars="198" w:hanging="515"/>
        <w:rPr>
          <w:rFonts w:hAnsi="標楷體"/>
          <w:sz w:val="24"/>
          <w:szCs w:val="24"/>
        </w:rPr>
      </w:pPr>
      <w:bookmarkStart w:id="133" w:name="_Toc143243836"/>
      <w:bookmarkStart w:id="134" w:name="_Toc143262194"/>
      <w:bookmarkStart w:id="135" w:name="_Toc143263079"/>
      <w:bookmarkStart w:id="136" w:name="_Toc143424291"/>
      <w:bookmarkStart w:id="137" w:name="_Toc144140107"/>
      <w:bookmarkStart w:id="138" w:name="_Toc144211218"/>
      <w:bookmarkStart w:id="139" w:name="_Toc145510480"/>
      <w:r w:rsidRPr="00AC0BF7">
        <w:rPr>
          <w:rFonts w:hAnsi="標楷體" w:hint="eastAsia"/>
          <w:sz w:val="24"/>
          <w:szCs w:val="24"/>
        </w:rPr>
        <w:t>資料來源：審計部。</w:t>
      </w:r>
      <w:bookmarkEnd w:id="133"/>
      <w:bookmarkEnd w:id="134"/>
      <w:bookmarkEnd w:id="135"/>
      <w:bookmarkEnd w:id="136"/>
      <w:bookmarkEnd w:id="137"/>
      <w:bookmarkEnd w:id="138"/>
      <w:bookmarkEnd w:id="139"/>
    </w:p>
    <w:p w14:paraId="756E14FE" w14:textId="77777777" w:rsidR="0077469E" w:rsidRPr="00293659" w:rsidRDefault="00E1047E" w:rsidP="00E1047E">
      <w:pPr>
        <w:pStyle w:val="2"/>
        <w:numPr>
          <w:ilvl w:val="2"/>
          <w:numId w:val="1"/>
        </w:numPr>
        <w:ind w:left="1360" w:hanging="680"/>
        <w:rPr>
          <w:rFonts w:hAnsi="標楷體"/>
        </w:rPr>
      </w:pPr>
      <w:bookmarkStart w:id="140" w:name="_Toc144211219"/>
      <w:bookmarkStart w:id="141" w:name="_Toc145510481"/>
      <w:bookmarkStart w:id="142" w:name="_Toc143243838"/>
      <w:bookmarkStart w:id="143" w:name="_Toc143262195"/>
      <w:bookmarkStart w:id="144" w:name="_Toc143263080"/>
      <w:bookmarkStart w:id="145" w:name="_Toc143424292"/>
      <w:bookmarkStart w:id="146" w:name="_Toc144140108"/>
      <w:r w:rsidRPr="00293659">
        <w:rPr>
          <w:rFonts w:hAnsi="標楷體" w:hint="eastAsia"/>
        </w:rPr>
        <w:t>關於中科院各單位辦理採購作業時，如何防止上</w:t>
      </w:r>
      <w:r w:rsidR="009A7885" w:rsidRPr="00293659">
        <w:rPr>
          <w:rFonts w:hAnsi="標楷體" w:hint="eastAsia"/>
        </w:rPr>
        <w:t>述</w:t>
      </w:r>
      <w:r w:rsidRPr="00293659">
        <w:rPr>
          <w:rFonts w:hAnsi="標楷體" w:hint="eastAsia"/>
        </w:rPr>
        <w:t>利益衝突情形，</w:t>
      </w:r>
      <w:proofErr w:type="gramStart"/>
      <w:r w:rsidRPr="00293659">
        <w:rPr>
          <w:rFonts w:hAnsi="標楷體" w:hint="eastAsia"/>
        </w:rPr>
        <w:t>詢</w:t>
      </w:r>
      <w:proofErr w:type="gramEnd"/>
      <w:r w:rsidRPr="00293659">
        <w:rPr>
          <w:rFonts w:hAnsi="標楷體" w:hint="eastAsia"/>
        </w:rPr>
        <w:t>據</w:t>
      </w:r>
      <w:r w:rsidRPr="00293659">
        <w:rPr>
          <w:rFonts w:hAnsi="標楷體" w:cs="Yu Gothic" w:hint="eastAsia"/>
        </w:rPr>
        <w:t>國防部</w:t>
      </w:r>
      <w:r w:rsidRPr="00293659">
        <w:rPr>
          <w:rFonts w:hAnsi="標楷體" w:hint="eastAsia"/>
        </w:rPr>
        <w:t>表示，中科院已於110年12月23日訂頒</w:t>
      </w:r>
      <w:r w:rsidRPr="00293659">
        <w:rPr>
          <w:rFonts w:hAnsi="標楷體" w:cs="標楷體" w:hint="eastAsia"/>
          <w:kern w:val="0"/>
          <w:lang w:val="zh-TW"/>
        </w:rPr>
        <w:t>「</w:t>
      </w:r>
      <w:r w:rsidRPr="00293659">
        <w:rPr>
          <w:rFonts w:hAnsi="標楷體" w:hint="eastAsia"/>
        </w:rPr>
        <w:t>採購利益迴避與衝突禁止及請託關說事件處理作業規定</w:t>
      </w:r>
      <w:r w:rsidRPr="00293659">
        <w:rPr>
          <w:rFonts w:hAnsi="標楷體" w:cs="標楷體" w:hint="eastAsia"/>
          <w:kern w:val="0"/>
          <w:lang w:val="zh-TW"/>
        </w:rPr>
        <w:t>」，</w:t>
      </w:r>
      <w:r w:rsidRPr="00293659">
        <w:rPr>
          <w:rFonts w:hAnsi="標楷體" w:hint="eastAsia"/>
        </w:rPr>
        <w:t>中科院人員對於採購有關之</w:t>
      </w:r>
      <w:proofErr w:type="gramStart"/>
      <w:r w:rsidRPr="00293659">
        <w:rPr>
          <w:rFonts w:hAnsi="標楷體" w:hint="eastAsia"/>
        </w:rPr>
        <w:t>利益均應迴</w:t>
      </w:r>
      <w:proofErr w:type="gramEnd"/>
      <w:r w:rsidRPr="00293659">
        <w:rPr>
          <w:rFonts w:hAnsi="標楷體" w:hint="eastAsia"/>
        </w:rPr>
        <w:t>避，中科院一級以上正(副)主管及辦理</w:t>
      </w:r>
      <w:proofErr w:type="gramStart"/>
      <w:r w:rsidRPr="00293659">
        <w:rPr>
          <w:rFonts w:hAnsi="標楷體" w:hint="eastAsia"/>
        </w:rPr>
        <w:t>全院性</w:t>
      </w:r>
      <w:proofErr w:type="gramEnd"/>
      <w:r w:rsidRPr="00293659">
        <w:rPr>
          <w:rFonts w:hAnsi="標楷體" w:hint="eastAsia"/>
        </w:rPr>
        <w:t>之採購</w:t>
      </w:r>
      <w:r w:rsidRPr="00293659">
        <w:rPr>
          <w:rFonts w:hAnsi="標楷體" w:cs="標楷體" w:hint="eastAsia"/>
          <w:kern w:val="0"/>
          <w:lang w:val="zh-TW"/>
        </w:rPr>
        <w:t>、</w:t>
      </w:r>
      <w:r w:rsidRPr="00293659">
        <w:rPr>
          <w:rFonts w:hAnsi="標楷體" w:hint="eastAsia"/>
        </w:rPr>
        <w:t>監辦人員</w:t>
      </w:r>
      <w:r w:rsidRPr="00293659">
        <w:rPr>
          <w:rFonts w:hAnsi="標楷體" w:cs="標楷體" w:hint="eastAsia"/>
          <w:kern w:val="0"/>
          <w:lang w:val="zh-TW"/>
        </w:rPr>
        <w:t>，</w:t>
      </w:r>
      <w:r w:rsidRPr="00293659">
        <w:rPr>
          <w:rFonts w:hAnsi="標楷體" w:hint="eastAsia"/>
        </w:rPr>
        <w:t>本人併其配偶</w:t>
      </w:r>
      <w:r w:rsidRPr="00293659">
        <w:rPr>
          <w:rFonts w:hAnsi="標楷體" w:cs="標楷體" w:hint="eastAsia"/>
          <w:kern w:val="0"/>
          <w:lang w:val="zh-TW"/>
        </w:rPr>
        <w:t>、</w:t>
      </w:r>
      <w:r w:rsidRPr="00293659">
        <w:rPr>
          <w:rFonts w:hAnsi="標楷體" w:hint="eastAsia"/>
        </w:rPr>
        <w:t>二親等以內親屬及共同生活之家屬</w:t>
      </w:r>
      <w:r w:rsidRPr="00293659">
        <w:rPr>
          <w:rFonts w:hAnsi="標楷體" w:cs="標楷體" w:hint="eastAsia"/>
          <w:kern w:val="0"/>
          <w:lang w:val="zh-TW"/>
        </w:rPr>
        <w:t>，有</w:t>
      </w:r>
      <w:r w:rsidRPr="00293659">
        <w:rPr>
          <w:rFonts w:hAnsi="標楷體" w:hint="eastAsia"/>
        </w:rPr>
        <w:t>擔任廠商之負責人</w:t>
      </w:r>
      <w:r w:rsidRPr="00293659">
        <w:rPr>
          <w:rFonts w:hAnsi="標楷體" w:cs="標楷體" w:hint="eastAsia"/>
          <w:kern w:val="0"/>
          <w:lang w:val="zh-TW"/>
        </w:rPr>
        <w:t>、</w:t>
      </w:r>
      <w:r w:rsidRPr="00293659">
        <w:rPr>
          <w:rFonts w:hAnsi="標楷體" w:hint="eastAsia"/>
        </w:rPr>
        <w:t>董事</w:t>
      </w:r>
      <w:r w:rsidRPr="00293659">
        <w:rPr>
          <w:rFonts w:hAnsi="標楷體" w:cs="標楷體" w:hint="eastAsia"/>
          <w:kern w:val="0"/>
          <w:lang w:val="zh-TW"/>
        </w:rPr>
        <w:t>、</w:t>
      </w:r>
      <w:r w:rsidRPr="00293659">
        <w:rPr>
          <w:rFonts w:hAnsi="標楷體" w:hint="eastAsia"/>
        </w:rPr>
        <w:t>獨立董事</w:t>
      </w:r>
      <w:r w:rsidRPr="00293659">
        <w:rPr>
          <w:rFonts w:hAnsi="標楷體" w:cs="標楷體" w:hint="eastAsia"/>
          <w:kern w:val="0"/>
          <w:lang w:val="zh-TW"/>
        </w:rPr>
        <w:t>、</w:t>
      </w:r>
      <w:r w:rsidRPr="00293659">
        <w:rPr>
          <w:rFonts w:hAnsi="標楷體" w:hint="eastAsia"/>
        </w:rPr>
        <w:t>監察人</w:t>
      </w:r>
      <w:r w:rsidRPr="00293659">
        <w:rPr>
          <w:rFonts w:hAnsi="標楷體" w:cs="標楷體" w:hint="eastAsia"/>
          <w:kern w:val="0"/>
          <w:lang w:val="zh-TW"/>
        </w:rPr>
        <w:t>、</w:t>
      </w:r>
      <w:r w:rsidRPr="00293659">
        <w:rPr>
          <w:rFonts w:hAnsi="標楷體" w:hint="eastAsia"/>
        </w:rPr>
        <w:t>經理人</w:t>
      </w:r>
      <w:r w:rsidRPr="00293659">
        <w:rPr>
          <w:rFonts w:hAnsi="標楷體" w:cs="標楷體" w:hint="eastAsia"/>
          <w:kern w:val="0"/>
          <w:lang w:val="zh-TW"/>
        </w:rPr>
        <w:t>、</w:t>
      </w:r>
      <w:r w:rsidRPr="00293659">
        <w:rPr>
          <w:rFonts w:hAnsi="標楷體" w:hint="eastAsia"/>
        </w:rPr>
        <w:t>業務銷售者</w:t>
      </w:r>
      <w:r w:rsidRPr="00293659">
        <w:rPr>
          <w:rFonts w:hAnsi="標楷體" w:cs="標楷體" w:hint="eastAsia"/>
          <w:kern w:val="0"/>
          <w:lang w:val="zh-TW"/>
        </w:rPr>
        <w:t>，</w:t>
      </w:r>
      <w:r w:rsidRPr="00293659">
        <w:rPr>
          <w:rFonts w:hAnsi="標楷體" w:hint="eastAsia"/>
        </w:rPr>
        <w:t>禁止該廠商參與中科院採購案；中科院各一級單位之二</w:t>
      </w:r>
      <w:r w:rsidRPr="00293659">
        <w:rPr>
          <w:rFonts w:hAnsi="標楷體" w:cs="標楷體" w:hint="eastAsia"/>
          <w:kern w:val="0"/>
          <w:lang w:val="zh-TW"/>
        </w:rPr>
        <w:t>、</w:t>
      </w:r>
      <w:r w:rsidRPr="00293659">
        <w:rPr>
          <w:rFonts w:hAnsi="標楷體" w:hint="eastAsia"/>
        </w:rPr>
        <w:t>三級正副主管及辦理單位性之採購</w:t>
      </w:r>
      <w:r w:rsidRPr="00293659">
        <w:rPr>
          <w:rFonts w:hAnsi="標楷體" w:cs="標楷體" w:hint="eastAsia"/>
          <w:kern w:val="0"/>
          <w:lang w:val="zh-TW"/>
        </w:rPr>
        <w:t>、</w:t>
      </w:r>
      <w:r w:rsidRPr="00293659">
        <w:rPr>
          <w:rFonts w:hAnsi="標楷體" w:hint="eastAsia"/>
        </w:rPr>
        <w:t>監辦人員</w:t>
      </w:r>
      <w:r w:rsidRPr="00293659">
        <w:rPr>
          <w:rFonts w:hAnsi="標楷體" w:cs="標楷體" w:hint="eastAsia"/>
          <w:kern w:val="0"/>
          <w:lang w:val="zh-TW"/>
        </w:rPr>
        <w:t>，</w:t>
      </w:r>
      <w:r w:rsidRPr="00293659">
        <w:rPr>
          <w:rFonts w:hAnsi="標楷體" w:hint="eastAsia"/>
        </w:rPr>
        <w:t>本人</w:t>
      </w:r>
      <w:proofErr w:type="gramStart"/>
      <w:r w:rsidRPr="00293659">
        <w:rPr>
          <w:rFonts w:hAnsi="標楷體" w:hint="eastAsia"/>
        </w:rPr>
        <w:t>併</w:t>
      </w:r>
      <w:proofErr w:type="gramEnd"/>
      <w:r w:rsidRPr="00293659">
        <w:rPr>
          <w:rFonts w:hAnsi="標楷體" w:hint="eastAsia"/>
        </w:rPr>
        <w:t>其配偶</w:t>
      </w:r>
      <w:r w:rsidRPr="00293659">
        <w:rPr>
          <w:rFonts w:hAnsi="標楷體" w:cs="標楷體" w:hint="eastAsia"/>
          <w:kern w:val="0"/>
          <w:lang w:val="zh-TW"/>
        </w:rPr>
        <w:t>、</w:t>
      </w:r>
      <w:r w:rsidRPr="00293659">
        <w:rPr>
          <w:rFonts w:hAnsi="標楷體" w:hint="eastAsia"/>
        </w:rPr>
        <w:t>二親等以內親屬及共同生活之家屬</w:t>
      </w:r>
      <w:r w:rsidRPr="00293659">
        <w:rPr>
          <w:rFonts w:hAnsi="標楷體" w:cs="標楷體" w:hint="eastAsia"/>
          <w:kern w:val="0"/>
          <w:lang w:val="zh-TW"/>
        </w:rPr>
        <w:t>，</w:t>
      </w:r>
      <w:r w:rsidRPr="00293659">
        <w:rPr>
          <w:rFonts w:hAnsi="標楷體" w:hint="eastAsia"/>
        </w:rPr>
        <w:t>有擔任廠商之負責人</w:t>
      </w:r>
      <w:r w:rsidRPr="00293659">
        <w:rPr>
          <w:rFonts w:hAnsi="標楷體" w:cs="標楷體" w:hint="eastAsia"/>
          <w:kern w:val="0"/>
          <w:lang w:val="zh-TW"/>
        </w:rPr>
        <w:t>、</w:t>
      </w:r>
      <w:r w:rsidRPr="00293659">
        <w:rPr>
          <w:rFonts w:hAnsi="標楷體" w:hint="eastAsia"/>
        </w:rPr>
        <w:t>董事</w:t>
      </w:r>
      <w:r w:rsidRPr="00293659">
        <w:rPr>
          <w:rFonts w:hAnsi="標楷體" w:cs="標楷體" w:hint="eastAsia"/>
          <w:kern w:val="0"/>
          <w:lang w:val="zh-TW"/>
        </w:rPr>
        <w:t>、</w:t>
      </w:r>
      <w:r w:rsidRPr="00293659">
        <w:rPr>
          <w:rFonts w:hAnsi="標楷體" w:hint="eastAsia"/>
        </w:rPr>
        <w:t>獨立董事</w:t>
      </w:r>
      <w:r w:rsidRPr="00293659">
        <w:rPr>
          <w:rFonts w:hAnsi="標楷體" w:cs="標楷體" w:hint="eastAsia"/>
          <w:kern w:val="0"/>
          <w:lang w:val="zh-TW"/>
        </w:rPr>
        <w:t>、</w:t>
      </w:r>
      <w:r w:rsidRPr="00293659">
        <w:rPr>
          <w:rFonts w:hAnsi="標楷體" w:hint="eastAsia"/>
        </w:rPr>
        <w:t>監察人</w:t>
      </w:r>
      <w:r w:rsidRPr="00293659">
        <w:rPr>
          <w:rFonts w:hAnsi="標楷體" w:cs="標楷體" w:hint="eastAsia"/>
          <w:kern w:val="0"/>
          <w:lang w:val="zh-TW"/>
        </w:rPr>
        <w:t>、</w:t>
      </w:r>
      <w:r w:rsidRPr="00293659">
        <w:rPr>
          <w:rFonts w:hAnsi="標楷體" w:hint="eastAsia"/>
        </w:rPr>
        <w:t>經理人</w:t>
      </w:r>
      <w:r w:rsidRPr="00293659">
        <w:rPr>
          <w:rFonts w:hAnsi="標楷體" w:cs="標楷體" w:hint="eastAsia"/>
          <w:kern w:val="0"/>
          <w:lang w:val="zh-TW"/>
        </w:rPr>
        <w:t>、</w:t>
      </w:r>
      <w:r w:rsidRPr="00293659">
        <w:rPr>
          <w:rFonts w:hAnsi="標楷體" w:hint="eastAsia"/>
        </w:rPr>
        <w:t>業務銷售者</w:t>
      </w:r>
      <w:r w:rsidRPr="00293659">
        <w:rPr>
          <w:rFonts w:hAnsi="標楷體" w:cs="標楷體" w:hint="eastAsia"/>
          <w:kern w:val="0"/>
          <w:lang w:val="zh-TW"/>
        </w:rPr>
        <w:t>，</w:t>
      </w:r>
      <w:r w:rsidRPr="00293659">
        <w:rPr>
          <w:rFonts w:hAnsi="標楷體" w:hint="eastAsia"/>
        </w:rPr>
        <w:t>禁止該廠商參與該</w:t>
      </w:r>
      <w:r w:rsidRPr="00293659">
        <w:rPr>
          <w:rFonts w:hAnsi="標楷體" w:hint="eastAsia"/>
        </w:rPr>
        <w:lastRenderedPageBreak/>
        <w:t>一級單位之採購案</w:t>
      </w:r>
      <w:r w:rsidRPr="00293659">
        <w:rPr>
          <w:rFonts w:hAnsi="標楷體" w:cs="標楷體" w:hint="eastAsia"/>
          <w:kern w:val="0"/>
          <w:lang w:val="zh-TW"/>
        </w:rPr>
        <w:t>。</w:t>
      </w:r>
      <w:proofErr w:type="gramStart"/>
      <w:r w:rsidRPr="00293659">
        <w:rPr>
          <w:rFonts w:hAnsi="標楷體" w:cs="標楷體" w:hint="eastAsia"/>
          <w:kern w:val="0"/>
          <w:lang w:val="zh-TW"/>
        </w:rPr>
        <w:t>此外，</w:t>
      </w:r>
      <w:proofErr w:type="gramEnd"/>
      <w:r w:rsidRPr="00293659">
        <w:rPr>
          <w:rFonts w:hAnsi="標楷體" w:hint="eastAsia"/>
        </w:rPr>
        <w:t>廠商之負責人</w:t>
      </w:r>
      <w:r w:rsidRPr="00293659">
        <w:rPr>
          <w:rFonts w:hAnsi="標楷體" w:cs="標楷體" w:hint="eastAsia"/>
          <w:kern w:val="0"/>
          <w:lang w:val="zh-TW"/>
        </w:rPr>
        <w:t>、</w:t>
      </w:r>
      <w:r w:rsidRPr="00293659">
        <w:rPr>
          <w:rFonts w:hAnsi="標楷體" w:hint="eastAsia"/>
        </w:rPr>
        <w:t>董事</w:t>
      </w:r>
      <w:r w:rsidRPr="00293659">
        <w:rPr>
          <w:rFonts w:hAnsi="標楷體" w:cs="標楷體" w:hint="eastAsia"/>
          <w:kern w:val="0"/>
          <w:lang w:val="zh-TW"/>
        </w:rPr>
        <w:t>、</w:t>
      </w:r>
      <w:r w:rsidRPr="00293659">
        <w:rPr>
          <w:rFonts w:hAnsi="標楷體" w:hint="eastAsia"/>
        </w:rPr>
        <w:t>獨立董事</w:t>
      </w:r>
      <w:r w:rsidRPr="00293659">
        <w:rPr>
          <w:rFonts w:hAnsi="標楷體" w:cs="標楷體" w:hint="eastAsia"/>
          <w:kern w:val="0"/>
          <w:lang w:val="zh-TW"/>
        </w:rPr>
        <w:t>、</w:t>
      </w:r>
      <w:r w:rsidRPr="00293659">
        <w:rPr>
          <w:rFonts w:hAnsi="標楷體" w:hint="eastAsia"/>
        </w:rPr>
        <w:t>監察人</w:t>
      </w:r>
      <w:r w:rsidRPr="00293659">
        <w:rPr>
          <w:rFonts w:hAnsi="標楷體" w:cs="標楷體" w:hint="eastAsia"/>
          <w:kern w:val="0"/>
          <w:lang w:val="zh-TW"/>
        </w:rPr>
        <w:t>、</w:t>
      </w:r>
      <w:r w:rsidRPr="00293659">
        <w:rPr>
          <w:rFonts w:hAnsi="標楷體" w:hint="eastAsia"/>
        </w:rPr>
        <w:t>經理人</w:t>
      </w:r>
      <w:r w:rsidRPr="00293659">
        <w:rPr>
          <w:rFonts w:hAnsi="標楷體" w:cs="標楷體" w:hint="eastAsia"/>
          <w:kern w:val="0"/>
          <w:lang w:val="zh-TW"/>
        </w:rPr>
        <w:t>、</w:t>
      </w:r>
      <w:r w:rsidRPr="00293659">
        <w:rPr>
          <w:rFonts w:hAnsi="標楷體" w:hint="eastAsia"/>
        </w:rPr>
        <w:t>廠商業務銷售者等職務</w:t>
      </w:r>
      <w:r w:rsidRPr="00293659">
        <w:rPr>
          <w:rFonts w:hAnsi="標楷體" w:cs="標楷體" w:hint="eastAsia"/>
          <w:kern w:val="0"/>
          <w:lang w:val="zh-TW"/>
        </w:rPr>
        <w:t>，</w:t>
      </w:r>
      <w:r w:rsidRPr="00293659">
        <w:rPr>
          <w:rFonts w:hAnsi="標楷體" w:hint="eastAsia"/>
        </w:rPr>
        <w:t>為中科院離職未滿3年之人員</w:t>
      </w:r>
      <w:r w:rsidRPr="00293659">
        <w:rPr>
          <w:rFonts w:hAnsi="標楷體" w:cs="標楷體" w:hint="eastAsia"/>
          <w:kern w:val="0"/>
          <w:lang w:val="zh-TW"/>
        </w:rPr>
        <w:t>，</w:t>
      </w:r>
      <w:r w:rsidRPr="00293659">
        <w:rPr>
          <w:rFonts w:hAnsi="標楷體" w:hint="eastAsia"/>
        </w:rPr>
        <w:t>且擬參與之採購案件與該人員離職前5年內職務有關者</w:t>
      </w:r>
      <w:r w:rsidRPr="00293659">
        <w:rPr>
          <w:rFonts w:hAnsi="標楷體" w:cs="標楷體" w:hint="eastAsia"/>
          <w:kern w:val="0"/>
          <w:lang w:val="zh-TW"/>
        </w:rPr>
        <w:t>，</w:t>
      </w:r>
      <w:r w:rsidRPr="00293659">
        <w:rPr>
          <w:rFonts w:hAnsi="標楷體" w:hint="eastAsia"/>
        </w:rPr>
        <w:t>禁止該廠商參與相關採購案</w:t>
      </w:r>
      <w:r w:rsidRPr="00293659">
        <w:rPr>
          <w:rFonts w:hAnsi="標楷體" w:cs="標楷體" w:hint="eastAsia"/>
          <w:kern w:val="0"/>
          <w:lang w:val="zh-TW"/>
        </w:rPr>
        <w:t>。違反上</w:t>
      </w:r>
      <w:r w:rsidR="009A7885" w:rsidRPr="00293659">
        <w:rPr>
          <w:rFonts w:hAnsi="標楷體" w:hint="eastAsia"/>
        </w:rPr>
        <w:t>述</w:t>
      </w:r>
      <w:r w:rsidRPr="00293659">
        <w:rPr>
          <w:rFonts w:hAnsi="標楷體" w:cs="標楷體" w:hint="eastAsia"/>
          <w:kern w:val="0"/>
          <w:lang w:val="zh-TW"/>
        </w:rPr>
        <w:t>作業規定者，</w:t>
      </w:r>
      <w:r w:rsidRPr="00293659">
        <w:rPr>
          <w:rFonts w:hAnsi="標楷體" w:hint="eastAsia"/>
        </w:rPr>
        <w:t>由中科院督察室</w:t>
      </w:r>
      <w:r w:rsidRPr="00293659">
        <w:rPr>
          <w:rFonts w:hAnsi="標楷體" w:cs="標楷體" w:hint="eastAsia"/>
          <w:kern w:val="0"/>
          <w:lang w:val="zh-TW"/>
        </w:rPr>
        <w:t>(利</w:t>
      </w:r>
      <w:proofErr w:type="gramStart"/>
      <w:r w:rsidRPr="00293659">
        <w:rPr>
          <w:rFonts w:hAnsi="標楷體" w:cs="標楷體" w:hint="eastAsia"/>
          <w:kern w:val="0"/>
          <w:lang w:val="zh-TW"/>
        </w:rPr>
        <w:t>衝</w:t>
      </w:r>
      <w:proofErr w:type="gramEnd"/>
      <w:r w:rsidRPr="00293659">
        <w:rPr>
          <w:rFonts w:hAnsi="標楷體" w:cs="標楷體" w:hint="eastAsia"/>
          <w:kern w:val="0"/>
          <w:lang w:val="zh-TW"/>
        </w:rPr>
        <w:t>小組)</w:t>
      </w:r>
      <w:r w:rsidRPr="00293659">
        <w:rPr>
          <w:rFonts w:hAnsi="標楷體" w:hint="eastAsia"/>
        </w:rPr>
        <w:t>立案調查</w:t>
      </w:r>
      <w:r w:rsidRPr="00293659">
        <w:rPr>
          <w:rFonts w:hAnsi="標楷體" w:cs="標楷體" w:hint="eastAsia"/>
          <w:kern w:val="0"/>
          <w:lang w:val="zh-TW"/>
        </w:rPr>
        <w:t>，該院員工</w:t>
      </w:r>
      <w:r w:rsidRPr="00293659">
        <w:rPr>
          <w:rFonts w:hAnsi="標楷體" w:hint="eastAsia"/>
        </w:rPr>
        <w:t>依</w:t>
      </w:r>
      <w:r w:rsidRPr="00293659">
        <w:rPr>
          <w:rFonts w:hAnsi="標楷體" w:cs="標楷體" w:hint="eastAsia"/>
          <w:kern w:val="0"/>
          <w:lang w:val="zh-TW"/>
        </w:rPr>
        <w:t>「</w:t>
      </w:r>
      <w:r w:rsidRPr="00293659">
        <w:rPr>
          <w:rFonts w:hAnsi="標楷體" w:hint="eastAsia"/>
        </w:rPr>
        <w:t>員工服務紀律管理作業規定</w:t>
      </w:r>
      <w:r w:rsidRPr="00293659">
        <w:rPr>
          <w:rFonts w:hAnsi="標楷體" w:cs="標楷體" w:hint="eastAsia"/>
          <w:kern w:val="0"/>
          <w:lang w:val="zh-TW"/>
        </w:rPr>
        <w:t>」第8點(四、反貪污及反圖利)之違反</w:t>
      </w:r>
      <w:proofErr w:type="gramStart"/>
      <w:r w:rsidRPr="00293659">
        <w:rPr>
          <w:rFonts w:hAnsi="標楷體" w:cs="標楷體" w:hint="eastAsia"/>
          <w:kern w:val="0"/>
          <w:lang w:val="zh-TW"/>
        </w:rPr>
        <w:t>態樣及程</w:t>
      </w:r>
      <w:proofErr w:type="gramEnd"/>
      <w:r w:rsidRPr="00293659">
        <w:rPr>
          <w:rFonts w:hAnsi="標楷體" w:cs="標楷體" w:hint="eastAsia"/>
          <w:kern w:val="0"/>
          <w:lang w:val="zh-TW"/>
        </w:rPr>
        <w:t>度，</w:t>
      </w:r>
      <w:r w:rsidRPr="00293659">
        <w:rPr>
          <w:rFonts w:hAnsi="標楷體" w:hint="eastAsia"/>
        </w:rPr>
        <w:t>檢討</w:t>
      </w:r>
      <w:r w:rsidRPr="00293659">
        <w:rPr>
          <w:rFonts w:hAnsi="標楷體" w:cs="標楷體" w:hint="eastAsia"/>
          <w:kern w:val="0"/>
          <w:lang w:val="zh-TW"/>
        </w:rPr>
        <w:t>「</w:t>
      </w:r>
      <w:r w:rsidRPr="00293659">
        <w:rPr>
          <w:rFonts w:hAnsi="標楷體" w:hint="eastAsia"/>
        </w:rPr>
        <w:t>申誡</w:t>
      </w:r>
      <w:r w:rsidRPr="00293659">
        <w:rPr>
          <w:rFonts w:hAnsi="標楷體" w:cs="標楷體" w:hint="eastAsia"/>
          <w:kern w:val="0"/>
          <w:lang w:val="zh-TW"/>
        </w:rPr>
        <w:t>」、「記過」、「大過」等</w:t>
      </w:r>
      <w:r w:rsidRPr="00293659">
        <w:rPr>
          <w:rFonts w:hAnsi="標楷體" w:hint="eastAsia"/>
        </w:rPr>
        <w:t>處分</w:t>
      </w:r>
      <w:r w:rsidRPr="00293659">
        <w:rPr>
          <w:rFonts w:hAnsi="標楷體" w:cs="標楷體" w:hint="eastAsia"/>
          <w:kern w:val="0"/>
          <w:lang w:val="zh-TW"/>
        </w:rPr>
        <w:t>，如</w:t>
      </w:r>
      <w:r w:rsidRPr="00293659">
        <w:rPr>
          <w:rFonts w:hAnsi="標楷體" w:hint="eastAsia"/>
        </w:rPr>
        <w:t>情節重大</w:t>
      </w:r>
      <w:r w:rsidRPr="00293659">
        <w:rPr>
          <w:rFonts w:hAnsi="標楷體" w:cs="標楷體" w:hint="eastAsia"/>
          <w:kern w:val="0"/>
          <w:lang w:val="zh-TW"/>
        </w:rPr>
        <w:t>者，並得</w:t>
      </w:r>
      <w:r w:rsidRPr="00293659">
        <w:rPr>
          <w:rFonts w:hAnsi="標楷體" w:hint="eastAsia"/>
        </w:rPr>
        <w:t>檢討解除聘僱</w:t>
      </w:r>
      <w:r w:rsidRPr="00293659">
        <w:rPr>
          <w:rFonts w:hAnsi="標楷體" w:cs="標楷體" w:hint="eastAsia"/>
          <w:kern w:val="0"/>
          <w:lang w:val="zh-TW"/>
        </w:rPr>
        <w:t>；</w:t>
      </w:r>
      <w:r w:rsidRPr="00293659">
        <w:rPr>
          <w:rFonts w:hAnsi="標楷體" w:hint="eastAsia"/>
        </w:rPr>
        <w:t>廠商則撤銷決標</w:t>
      </w:r>
      <w:r w:rsidRPr="00293659">
        <w:rPr>
          <w:rFonts w:hAnsi="標楷體" w:cs="標楷體" w:hint="eastAsia"/>
          <w:kern w:val="0"/>
          <w:lang w:val="zh-TW"/>
        </w:rPr>
        <w:t>、</w:t>
      </w:r>
      <w:r w:rsidRPr="00293659">
        <w:rPr>
          <w:rFonts w:hAnsi="標楷體" w:hint="eastAsia"/>
        </w:rPr>
        <w:t>解除或終止契約</w:t>
      </w:r>
      <w:r w:rsidRPr="00293659">
        <w:rPr>
          <w:rFonts w:hAnsi="標楷體" w:cs="標楷體" w:hint="eastAsia"/>
          <w:kern w:val="0"/>
          <w:lang w:val="zh-TW"/>
        </w:rPr>
        <w:t>，並得</w:t>
      </w:r>
      <w:r w:rsidRPr="00293659">
        <w:rPr>
          <w:rFonts w:hAnsi="標楷體" w:hint="eastAsia"/>
        </w:rPr>
        <w:t>請求損害賠償</w:t>
      </w:r>
      <w:r w:rsidRPr="00293659">
        <w:rPr>
          <w:rFonts w:hAnsi="標楷體" w:cs="標楷體" w:hint="eastAsia"/>
          <w:kern w:val="0"/>
          <w:lang w:val="zh-TW"/>
        </w:rPr>
        <w:t>。</w:t>
      </w:r>
      <w:bookmarkEnd w:id="140"/>
      <w:bookmarkEnd w:id="141"/>
    </w:p>
    <w:p w14:paraId="27625355" w14:textId="21A942A2" w:rsidR="00E1047E" w:rsidRPr="00293659" w:rsidRDefault="00E21922" w:rsidP="00E1047E">
      <w:pPr>
        <w:pStyle w:val="2"/>
        <w:numPr>
          <w:ilvl w:val="2"/>
          <w:numId w:val="1"/>
        </w:numPr>
        <w:ind w:left="1360" w:hanging="680"/>
        <w:rPr>
          <w:rFonts w:hAnsi="標楷體"/>
        </w:rPr>
      </w:pPr>
      <w:bookmarkStart w:id="147" w:name="_Toc144211220"/>
      <w:bookmarkStart w:id="148" w:name="_Toc145510482"/>
      <w:r w:rsidRPr="00293659">
        <w:rPr>
          <w:rFonts w:hAnsi="標楷體" w:cs="標楷體" w:hint="eastAsia"/>
          <w:kern w:val="0"/>
          <w:lang w:val="zh-TW"/>
        </w:rPr>
        <w:t>國防部</w:t>
      </w:r>
      <w:r w:rsidR="001F2E76" w:rsidRPr="00293659">
        <w:rPr>
          <w:rFonts w:hAnsi="標楷體" w:cs="標楷體" w:hint="eastAsia"/>
          <w:kern w:val="0"/>
          <w:lang w:val="zh-TW"/>
        </w:rPr>
        <w:t>雖</w:t>
      </w:r>
      <w:r w:rsidRPr="00293659">
        <w:rPr>
          <w:rFonts w:hAnsi="標楷體" w:cs="標楷體" w:hint="eastAsia"/>
          <w:kern w:val="0"/>
          <w:lang w:val="zh-TW"/>
        </w:rPr>
        <w:t>表示</w:t>
      </w:r>
      <w:r w:rsidR="00E1047E" w:rsidRPr="00293659">
        <w:rPr>
          <w:rFonts w:hAnsi="標楷體" w:hint="eastAsia"/>
        </w:rPr>
        <w:t>中科院103年至111年間依</w:t>
      </w:r>
      <w:r w:rsidR="00E1047E" w:rsidRPr="00293659">
        <w:rPr>
          <w:rFonts w:hAnsi="標楷體" w:cs="標楷體" w:hint="eastAsia"/>
          <w:kern w:val="0"/>
          <w:lang w:val="zh-TW"/>
        </w:rPr>
        <w:t>「公職人員利益衝突迴避法」清查適用人員(董事長、董事、監事及院長)</w:t>
      </w:r>
      <w:r w:rsidR="00E1047E" w:rsidRPr="00293659">
        <w:rPr>
          <w:rFonts w:hAnsi="標楷體" w:hint="eastAsia"/>
        </w:rPr>
        <w:t>利益迴避情形</w:t>
      </w:r>
      <w:r w:rsidR="00E1047E" w:rsidRPr="00293659">
        <w:rPr>
          <w:rFonts w:hAnsi="標楷體" w:cs="標楷體" w:hint="eastAsia"/>
          <w:kern w:val="0"/>
          <w:lang w:val="zh-TW"/>
        </w:rPr>
        <w:t>，</w:t>
      </w:r>
      <w:proofErr w:type="gramStart"/>
      <w:r w:rsidR="00E1047E" w:rsidRPr="00293659">
        <w:rPr>
          <w:rFonts w:hAnsi="標楷體" w:hint="eastAsia"/>
        </w:rPr>
        <w:t>均無違反</w:t>
      </w:r>
      <w:proofErr w:type="gramEnd"/>
      <w:r w:rsidR="00E1047E" w:rsidRPr="00293659">
        <w:rPr>
          <w:rFonts w:hAnsi="標楷體" w:hint="eastAsia"/>
        </w:rPr>
        <w:t>利益衝突情事</w:t>
      </w:r>
      <w:r w:rsidR="00E1047E" w:rsidRPr="00293659">
        <w:rPr>
          <w:rFonts w:hAnsi="標楷體" w:cs="標楷體" w:hint="eastAsia"/>
          <w:kern w:val="0"/>
          <w:lang w:val="zh-TW"/>
        </w:rPr>
        <w:t>；然</w:t>
      </w:r>
      <w:proofErr w:type="gramStart"/>
      <w:r w:rsidR="00E1047E" w:rsidRPr="00293659">
        <w:rPr>
          <w:rFonts w:hAnsi="標楷體" w:hint="eastAsia"/>
        </w:rPr>
        <w:t>111</w:t>
      </w:r>
      <w:proofErr w:type="gramEnd"/>
      <w:r w:rsidR="00E1047E" w:rsidRPr="00293659">
        <w:rPr>
          <w:rFonts w:hAnsi="標楷體" w:hint="eastAsia"/>
        </w:rPr>
        <w:t>年度經執行比對10,358案後</w:t>
      </w:r>
      <w:r w:rsidR="00E1047E" w:rsidRPr="00293659">
        <w:rPr>
          <w:rFonts w:hAnsi="標楷體" w:cs="標楷體" w:hint="eastAsia"/>
          <w:kern w:val="0"/>
          <w:lang w:val="zh-TW"/>
        </w:rPr>
        <w:t>，仍查有</w:t>
      </w:r>
      <w:r w:rsidR="00E1047E" w:rsidRPr="00293659">
        <w:rPr>
          <w:rFonts w:hAnsi="標楷體" w:hint="eastAsia"/>
        </w:rPr>
        <w:t>江○○副組長、王○○副所長、林○○副小組長及施○○小組長等4人違反利衝規定情事，其中不乏購案需求單位現職人員之二親等以內之親屬為得標廠商之負責人或董事等重要職務，利益衝突情形嚴重，其中除江○○副組長因已主動揭露而不予</w:t>
      </w:r>
      <w:proofErr w:type="gramStart"/>
      <w:r w:rsidR="00E1047E" w:rsidRPr="00293659">
        <w:rPr>
          <w:rFonts w:hAnsi="標楷體" w:hint="eastAsia"/>
        </w:rPr>
        <w:t>究責</w:t>
      </w:r>
      <w:proofErr w:type="gramEnd"/>
      <w:r w:rsidR="00E1047E" w:rsidRPr="00293659">
        <w:rPr>
          <w:rFonts w:hAnsi="標楷體" w:hint="eastAsia"/>
        </w:rPr>
        <w:t>外，其餘3人均分別記過乙次在案。</w:t>
      </w:r>
      <w:r w:rsidRPr="00293659">
        <w:rPr>
          <w:rFonts w:hAnsi="標楷體" w:hint="eastAsia"/>
        </w:rPr>
        <w:t>足見</w:t>
      </w:r>
      <w:r w:rsidR="00E1047E" w:rsidRPr="00293659">
        <w:rPr>
          <w:rFonts w:hAnsi="標楷體" w:hint="eastAsia"/>
        </w:rPr>
        <w:t>國防部顯然仍應嚴</w:t>
      </w:r>
      <w:r w:rsidRPr="00293659">
        <w:rPr>
          <w:rFonts w:hAnsi="標楷體" w:hint="eastAsia"/>
        </w:rPr>
        <w:t>格</w:t>
      </w:r>
      <w:r w:rsidR="00E1047E" w:rsidRPr="00293659">
        <w:rPr>
          <w:rFonts w:hAnsi="標楷體" w:hint="eastAsia"/>
        </w:rPr>
        <w:t>督</w:t>
      </w:r>
      <w:r w:rsidRPr="00293659">
        <w:rPr>
          <w:rFonts w:hAnsi="標楷體" w:hint="eastAsia"/>
        </w:rPr>
        <w:t>導</w:t>
      </w:r>
      <w:r w:rsidR="00E1047E" w:rsidRPr="00293659">
        <w:rPr>
          <w:rFonts w:hAnsi="標楷體" w:hint="eastAsia"/>
        </w:rPr>
        <w:t>中科院加強宣導相關規定並積極防杜類似違反利益衝突之情事一再發生。又，相關廠商因涉及利益衝突而被中科院列為限制參與購案廠商時，於廠商告知中科院現職人員之親屬已離職或卸除相關職務，抑或中科院相關人員離職後，中科院即對該廠商解除管制之作為，似難有效促使相關廠商心生警惕進而避免違反中科院利益衝突相關規定，</w:t>
      </w:r>
      <w:r w:rsidRPr="00293659">
        <w:rPr>
          <w:rFonts w:hAnsi="標楷體" w:hint="eastAsia"/>
        </w:rPr>
        <w:t>應再</w:t>
      </w:r>
      <w:r w:rsidR="00E1047E" w:rsidRPr="00293659">
        <w:rPr>
          <w:rFonts w:hAnsi="標楷體" w:hint="eastAsia"/>
        </w:rPr>
        <w:t>檢討精進。</w:t>
      </w:r>
      <w:proofErr w:type="gramStart"/>
      <w:r w:rsidR="00E1047E" w:rsidRPr="00293659">
        <w:rPr>
          <w:rFonts w:hAnsi="標楷體" w:hint="eastAsia"/>
        </w:rPr>
        <w:t>另</w:t>
      </w:r>
      <w:proofErr w:type="gramEnd"/>
      <w:r w:rsidR="00E1047E" w:rsidRPr="00293659">
        <w:rPr>
          <w:rFonts w:hAnsi="標楷體" w:hint="eastAsia"/>
        </w:rPr>
        <w:t>，</w:t>
      </w:r>
      <w:proofErr w:type="gramStart"/>
      <w:r w:rsidR="00E1047E" w:rsidRPr="00293659">
        <w:rPr>
          <w:rFonts w:hAnsi="標楷體" w:hint="eastAsia"/>
        </w:rPr>
        <w:t>以</w:t>
      </w:r>
      <w:proofErr w:type="gramEnd"/>
      <w:r w:rsidR="00E1047E" w:rsidRPr="00293659">
        <w:rPr>
          <w:rFonts w:hAnsi="標楷體" w:hint="eastAsia"/>
        </w:rPr>
        <w:t>偉○資訊有限公司業務副總經理吳○○</w:t>
      </w:r>
      <w:r w:rsidR="00E1047E" w:rsidRPr="00293659">
        <w:rPr>
          <w:rFonts w:hAnsi="標楷體"/>
          <w:u w:color="FF0000"/>
        </w:rPr>
        <w:t>於</w:t>
      </w:r>
      <w:r w:rsidR="00E1047E" w:rsidRPr="00293659">
        <w:rPr>
          <w:rFonts w:hAnsi="標楷體" w:hint="eastAsia"/>
          <w:u w:color="FF0000"/>
        </w:rPr>
        <w:t>中科院</w:t>
      </w:r>
      <w:r w:rsidR="00E1047E" w:rsidRPr="00293659">
        <w:rPr>
          <w:rFonts w:hAnsi="標楷體"/>
          <w:u w:color="FF0000"/>
        </w:rPr>
        <w:t>投標文件中</w:t>
      </w:r>
      <w:proofErr w:type="gramStart"/>
      <w:r w:rsidR="00E1047E" w:rsidRPr="00293659">
        <w:rPr>
          <w:rFonts w:hAnsi="標楷體"/>
          <w:u w:color="FF0000"/>
        </w:rPr>
        <w:t>不實勾</w:t>
      </w:r>
      <w:proofErr w:type="gramEnd"/>
      <w:r w:rsidR="00E1047E" w:rsidRPr="00293659">
        <w:rPr>
          <w:rFonts w:hAnsi="標楷體"/>
          <w:u w:color="FF0000"/>
        </w:rPr>
        <w:t>選</w:t>
      </w:r>
      <w:r w:rsidR="00E1047E" w:rsidRPr="00293659">
        <w:rPr>
          <w:rFonts w:hAnsi="標楷體" w:hint="eastAsia"/>
        </w:rPr>
        <w:t>為例</w:t>
      </w:r>
      <w:r w:rsidR="00E1047E" w:rsidRPr="00293659">
        <w:rPr>
          <w:rFonts w:hAnsi="標楷體"/>
        </w:rPr>
        <w:t>，</w:t>
      </w:r>
      <w:r w:rsidR="00E1047E" w:rsidRPr="00293659">
        <w:rPr>
          <w:rFonts w:hAnsi="標楷體"/>
          <w:u w:color="FF0000"/>
        </w:rPr>
        <w:t>該文件屬</w:t>
      </w:r>
      <w:r w:rsidR="00E1047E" w:rsidRPr="00293659">
        <w:rPr>
          <w:rFonts w:hAnsi="標楷體"/>
          <w:u w:color="FF0000"/>
        </w:rPr>
        <w:lastRenderedPageBreak/>
        <w:t>中科院內部行政規則，</w:t>
      </w:r>
      <w:r w:rsidR="00E1047E" w:rsidRPr="00293659">
        <w:rPr>
          <w:rFonts w:hAnsi="標楷體" w:hint="eastAsia"/>
          <w:u w:color="FF0000"/>
        </w:rPr>
        <w:t>因</w:t>
      </w:r>
      <w:r w:rsidR="00E1047E" w:rsidRPr="00293659">
        <w:rPr>
          <w:rFonts w:hAnsi="標楷體"/>
          <w:u w:color="FF0000"/>
        </w:rPr>
        <w:t>吳員未涉及違</w:t>
      </w:r>
      <w:r w:rsidR="00E1047E" w:rsidRPr="00293659">
        <w:rPr>
          <w:rFonts w:hAnsi="標楷體" w:hint="eastAsia"/>
          <w:u w:color="FF0000"/>
        </w:rPr>
        <w:t>反</w:t>
      </w:r>
      <w:r w:rsidR="00E1047E" w:rsidRPr="00293659">
        <w:rPr>
          <w:rFonts w:hAnsi="標楷體"/>
          <w:u w:color="FF0000"/>
        </w:rPr>
        <w:t>法律，</w:t>
      </w:r>
      <w:r w:rsidR="00E1047E" w:rsidRPr="00293659">
        <w:rPr>
          <w:rFonts w:hAnsi="標楷體" w:hint="eastAsia"/>
          <w:u w:color="FF0000"/>
        </w:rPr>
        <w:t>且</w:t>
      </w:r>
      <w:r w:rsidR="00E1047E" w:rsidRPr="00293659">
        <w:rPr>
          <w:rFonts w:hAnsi="標楷體"/>
          <w:u w:color="FF0000"/>
        </w:rPr>
        <w:t>中科院</w:t>
      </w:r>
      <w:r w:rsidR="00E1047E" w:rsidRPr="00293659">
        <w:rPr>
          <w:rFonts w:hAnsi="標楷體" w:hint="eastAsia"/>
          <w:u w:color="FF0000"/>
        </w:rPr>
        <w:t>自認</w:t>
      </w:r>
      <w:r w:rsidR="00E1047E" w:rsidRPr="00293659">
        <w:rPr>
          <w:rFonts w:hAnsi="標楷體"/>
          <w:u w:color="FF0000"/>
        </w:rPr>
        <w:t>未遭受實質損害</w:t>
      </w:r>
      <w:r w:rsidR="00E1047E" w:rsidRPr="00293659">
        <w:rPr>
          <w:rFonts w:hAnsi="標楷體" w:hint="eastAsia"/>
          <w:u w:color="FF0000"/>
        </w:rPr>
        <w:t>而未</w:t>
      </w:r>
      <w:r w:rsidR="00E1047E" w:rsidRPr="00293659">
        <w:rPr>
          <w:rFonts w:hAnsi="標楷體"/>
          <w:shd w:val="clear" w:color="auto" w:fill="FFFFFF" w:themeFill="background1"/>
        </w:rPr>
        <w:t>採取法律行動</w:t>
      </w:r>
      <w:r w:rsidR="00E1047E" w:rsidRPr="00293659">
        <w:rPr>
          <w:rFonts w:hAnsi="標楷體" w:hint="eastAsia"/>
          <w:shd w:val="clear" w:color="auto" w:fill="FFFFFF" w:themeFill="background1"/>
        </w:rPr>
        <w:t>，</w:t>
      </w:r>
      <w:proofErr w:type="gramStart"/>
      <w:r w:rsidR="00E1047E" w:rsidRPr="00293659">
        <w:rPr>
          <w:rFonts w:hAnsi="標楷體" w:hint="eastAsia"/>
          <w:shd w:val="clear" w:color="auto" w:fill="FFFFFF" w:themeFill="background1"/>
        </w:rPr>
        <w:t>然容</w:t>
      </w:r>
      <w:proofErr w:type="gramEnd"/>
      <w:r w:rsidR="00E1047E" w:rsidRPr="00293659">
        <w:rPr>
          <w:rFonts w:hAnsi="標楷體" w:hint="eastAsia"/>
          <w:shd w:val="clear" w:color="auto" w:fill="FFFFFF" w:themeFill="background1"/>
        </w:rPr>
        <w:t>任投標廠商代表於</w:t>
      </w:r>
      <w:r w:rsidR="00E1047E" w:rsidRPr="00293659">
        <w:rPr>
          <w:rFonts w:hAnsi="標楷體"/>
          <w:u w:color="FF0000"/>
        </w:rPr>
        <w:t>投標文件中</w:t>
      </w:r>
      <w:r w:rsidR="00E1047E" w:rsidRPr="00293659">
        <w:rPr>
          <w:rFonts w:hAnsi="標楷體" w:hint="eastAsia"/>
          <w:u w:color="FF0000"/>
        </w:rPr>
        <w:t>做</w:t>
      </w:r>
      <w:proofErr w:type="gramStart"/>
      <w:r w:rsidR="00E1047E" w:rsidRPr="00293659">
        <w:rPr>
          <w:rFonts w:hAnsi="標楷體"/>
          <w:u w:color="FF0000"/>
        </w:rPr>
        <w:t>不實勾</w:t>
      </w:r>
      <w:proofErr w:type="gramEnd"/>
      <w:r w:rsidR="00E1047E" w:rsidRPr="00293659">
        <w:rPr>
          <w:rFonts w:hAnsi="標楷體"/>
          <w:u w:color="FF0000"/>
        </w:rPr>
        <w:t>選</w:t>
      </w:r>
      <w:r w:rsidR="00E1047E" w:rsidRPr="00293659">
        <w:rPr>
          <w:rFonts w:hAnsi="標楷體" w:hint="eastAsia"/>
          <w:u w:color="FF0000"/>
        </w:rPr>
        <w:t>而無法課其與其所代表廠商負擔相關責任，致</w:t>
      </w:r>
      <w:r w:rsidR="00E1047E" w:rsidRPr="00293659">
        <w:rPr>
          <w:rFonts w:hAnsi="標楷體"/>
          <w:u w:color="FF0000"/>
        </w:rPr>
        <w:t>中科院內部行政規則</w:t>
      </w:r>
      <w:r w:rsidR="00E1047E" w:rsidRPr="00293659">
        <w:rPr>
          <w:rFonts w:hAnsi="標楷體" w:hint="eastAsia"/>
          <w:u w:color="FF0000"/>
        </w:rPr>
        <w:t>形同具文，</w:t>
      </w:r>
      <w:r w:rsidR="00AB18AF" w:rsidRPr="00293659">
        <w:rPr>
          <w:rFonts w:hAnsi="標楷體" w:hint="eastAsia"/>
          <w:u w:color="FF0000"/>
        </w:rPr>
        <w:t>又</w:t>
      </w:r>
      <w:r w:rsidR="00BB0E6A" w:rsidRPr="00293659">
        <w:rPr>
          <w:rFonts w:hAnsi="標楷體" w:hint="eastAsia"/>
          <w:u w:color="FF0000"/>
        </w:rPr>
        <w:t>如何杜絕</w:t>
      </w:r>
      <w:r w:rsidR="00AB18AF" w:rsidRPr="00293659">
        <w:rPr>
          <w:rFonts w:hAnsi="標楷體" w:hint="eastAsia"/>
          <w:u w:color="FF0000"/>
        </w:rPr>
        <w:t>利衝事件再發生，甚至影響國防軍品採購品質，中科院作為，顯有未當</w:t>
      </w:r>
      <w:r w:rsidR="00E1047E" w:rsidRPr="00293659">
        <w:rPr>
          <w:rFonts w:hAnsi="標楷體"/>
          <w:u w:color="FF0000"/>
        </w:rPr>
        <w:t>。</w:t>
      </w:r>
      <w:bookmarkEnd w:id="142"/>
      <w:bookmarkEnd w:id="143"/>
      <w:bookmarkEnd w:id="144"/>
      <w:bookmarkEnd w:id="145"/>
      <w:bookmarkEnd w:id="146"/>
      <w:bookmarkEnd w:id="147"/>
      <w:bookmarkEnd w:id="148"/>
    </w:p>
    <w:p w14:paraId="2F71EFA0" w14:textId="6B4ACC24" w:rsidR="00E1047E" w:rsidRPr="00293659" w:rsidRDefault="00E1047E" w:rsidP="00E1047E">
      <w:pPr>
        <w:pStyle w:val="2"/>
        <w:numPr>
          <w:ilvl w:val="2"/>
          <w:numId w:val="1"/>
        </w:numPr>
        <w:ind w:left="1360" w:hanging="680"/>
        <w:rPr>
          <w:rFonts w:hAnsi="標楷體"/>
        </w:rPr>
      </w:pPr>
      <w:bookmarkStart w:id="149" w:name="_Toc143243840"/>
      <w:bookmarkStart w:id="150" w:name="_Toc143262197"/>
      <w:bookmarkStart w:id="151" w:name="_Toc143263082"/>
      <w:bookmarkStart w:id="152" w:name="_Toc143424294"/>
      <w:bookmarkStart w:id="153" w:name="_Toc144140110"/>
      <w:bookmarkStart w:id="154" w:name="_Toc144211222"/>
      <w:bookmarkStart w:id="155" w:name="_Toc145510484"/>
      <w:r w:rsidRPr="00293659">
        <w:rPr>
          <w:rFonts w:hAnsi="標楷體" w:hint="eastAsia"/>
        </w:rPr>
        <w:t>經查，</w:t>
      </w:r>
      <w:r w:rsidRPr="00293659">
        <w:rPr>
          <w:rFonts w:hAnsi="標楷體" w:hint="eastAsia"/>
          <w:bCs w:val="0"/>
          <w:noProof/>
        </w:rPr>
        <w:t>國防部未能於1</w:t>
      </w:r>
      <w:r w:rsidRPr="00293659">
        <w:rPr>
          <w:rFonts w:hAnsi="標楷體" w:cs="Arial"/>
          <w:bCs w:val="0"/>
          <w:szCs w:val="32"/>
          <w:shd w:val="clear" w:color="auto" w:fill="FFFFFF"/>
        </w:rPr>
        <w:t>03年4月16日</w:t>
      </w:r>
      <w:r w:rsidRPr="00293659">
        <w:rPr>
          <w:rFonts w:hAnsi="標楷體" w:hint="eastAsia"/>
          <w:bCs w:val="0"/>
          <w:noProof/>
        </w:rPr>
        <w:t>中科院</w:t>
      </w:r>
      <w:r w:rsidRPr="00293659">
        <w:rPr>
          <w:rFonts w:hAnsi="標楷體" w:cs="Arial"/>
          <w:bCs w:val="0"/>
          <w:szCs w:val="32"/>
          <w:shd w:val="clear" w:color="auto" w:fill="FFFFFF"/>
        </w:rPr>
        <w:t>改制為行政法人</w:t>
      </w:r>
      <w:r w:rsidRPr="00293659">
        <w:rPr>
          <w:rFonts w:hAnsi="標楷體" w:cs="Arial" w:hint="eastAsia"/>
          <w:bCs w:val="0"/>
          <w:szCs w:val="32"/>
          <w:shd w:val="clear" w:color="auto" w:fill="FFFFFF"/>
        </w:rPr>
        <w:t>初期，即</w:t>
      </w:r>
      <w:r w:rsidRPr="00293659">
        <w:rPr>
          <w:rFonts w:hAnsi="標楷體" w:hint="eastAsia"/>
          <w:bCs w:val="0"/>
          <w:noProof/>
        </w:rPr>
        <w:t>督促該院建立完備之</w:t>
      </w:r>
      <w:r w:rsidRPr="00293659">
        <w:rPr>
          <w:rFonts w:hAnsi="標楷體" w:cs="Arial"/>
          <w:bCs w:val="0"/>
          <w:szCs w:val="32"/>
          <w:shd w:val="clear" w:color="auto" w:fill="FFFFFF"/>
        </w:rPr>
        <w:t>利</w:t>
      </w:r>
      <w:proofErr w:type="gramStart"/>
      <w:r w:rsidRPr="00293659">
        <w:rPr>
          <w:rFonts w:hAnsi="標楷體" w:cs="Arial"/>
          <w:bCs w:val="0"/>
          <w:szCs w:val="32"/>
          <w:shd w:val="clear" w:color="auto" w:fill="FFFFFF"/>
        </w:rPr>
        <w:t>衝</w:t>
      </w:r>
      <w:proofErr w:type="gramEnd"/>
      <w:r w:rsidRPr="00293659">
        <w:rPr>
          <w:rFonts w:hAnsi="標楷體" w:cs="Arial"/>
          <w:bCs w:val="0"/>
          <w:szCs w:val="32"/>
          <w:shd w:val="clear" w:color="auto" w:fill="FFFFFF"/>
        </w:rPr>
        <w:t>規範</w:t>
      </w:r>
      <w:r w:rsidRPr="00293659">
        <w:rPr>
          <w:rFonts w:hAnsi="標楷體" w:cs="Arial" w:hint="eastAsia"/>
          <w:bCs w:val="0"/>
          <w:szCs w:val="32"/>
        </w:rPr>
        <w:t>，致</w:t>
      </w:r>
      <w:r w:rsidRPr="00293659">
        <w:rPr>
          <w:rFonts w:hAnsi="標楷體" w:hint="eastAsia"/>
          <w:shd w:val="clear" w:color="auto" w:fill="FFFFFF"/>
        </w:rPr>
        <w:t>當時該院對於</w:t>
      </w:r>
      <w:r w:rsidRPr="00293659">
        <w:rPr>
          <w:rFonts w:hAnsi="標楷體"/>
          <w:shd w:val="clear" w:color="auto" w:fill="FFFFFF"/>
        </w:rPr>
        <w:t>利衝</w:t>
      </w:r>
      <w:r w:rsidRPr="00293659">
        <w:rPr>
          <w:rFonts w:hAnsi="標楷體" w:hint="eastAsia"/>
          <w:shd w:val="clear" w:color="auto" w:fill="FFFFFF"/>
        </w:rPr>
        <w:t>之</w:t>
      </w:r>
      <w:r w:rsidRPr="00293659">
        <w:rPr>
          <w:rFonts w:hAnsi="標楷體"/>
          <w:shd w:val="clear" w:color="auto" w:fill="FFFFFF"/>
        </w:rPr>
        <w:t>規範對象及內容</w:t>
      </w:r>
      <w:r w:rsidRPr="00293659">
        <w:rPr>
          <w:rFonts w:hAnsi="標楷體" w:hint="eastAsia"/>
          <w:shd w:val="clear" w:color="auto" w:fill="FFFFFF"/>
        </w:rPr>
        <w:t>相對</w:t>
      </w:r>
      <w:r w:rsidRPr="00293659">
        <w:rPr>
          <w:rFonts w:hAnsi="標楷體"/>
          <w:shd w:val="clear" w:color="auto" w:fill="FFFFFF"/>
        </w:rPr>
        <w:t>較少</w:t>
      </w:r>
      <w:r w:rsidRPr="00293659">
        <w:rPr>
          <w:rFonts w:hAnsi="標楷體" w:hint="eastAsia"/>
          <w:shd w:val="clear" w:color="auto" w:fill="FFFFFF"/>
        </w:rPr>
        <w:t>，</w:t>
      </w:r>
      <w:proofErr w:type="gramStart"/>
      <w:r w:rsidRPr="00293659">
        <w:rPr>
          <w:rFonts w:hAnsi="標楷體" w:hint="eastAsia"/>
          <w:shd w:val="clear" w:color="auto" w:fill="FFFFFF"/>
        </w:rPr>
        <w:t>課責</w:t>
      </w:r>
      <w:proofErr w:type="gramEnd"/>
      <w:r w:rsidRPr="00293659">
        <w:rPr>
          <w:rFonts w:hAnsi="標楷體" w:hint="eastAsia"/>
          <w:shd w:val="clear" w:color="auto" w:fill="FFFFFF"/>
        </w:rPr>
        <w:t>與</w:t>
      </w:r>
      <w:r w:rsidRPr="00293659">
        <w:rPr>
          <w:rFonts w:hAnsi="標楷體"/>
        </w:rPr>
        <w:t>監督機制</w:t>
      </w:r>
      <w:r w:rsidRPr="00293659">
        <w:rPr>
          <w:rFonts w:hAnsi="標楷體" w:hint="eastAsia"/>
        </w:rPr>
        <w:t>相對寬鬆，</w:t>
      </w:r>
      <w:r w:rsidRPr="00293659">
        <w:rPr>
          <w:rFonts w:hAnsi="標楷體" w:hint="eastAsia"/>
          <w:shd w:val="clear" w:color="auto" w:fill="FFFFFF"/>
        </w:rPr>
        <w:t>爰審計部清</w:t>
      </w:r>
      <w:r w:rsidRPr="00293659">
        <w:rPr>
          <w:rFonts w:hAnsi="標楷體" w:hint="eastAsia"/>
        </w:rPr>
        <w:t>查</w:t>
      </w:r>
      <w:r w:rsidRPr="00293659">
        <w:rPr>
          <w:rFonts w:hAnsi="標楷體" w:cs="HiddenHorzOCR" w:hint="eastAsia"/>
          <w:kern w:val="0"/>
        </w:rPr>
        <w:t>中科院</w:t>
      </w:r>
      <w:r w:rsidRPr="00293659">
        <w:rPr>
          <w:rFonts w:hAnsi="標楷體" w:cs="HiddenHorzOCR"/>
          <w:kern w:val="0"/>
        </w:rPr>
        <w:t>103</w:t>
      </w:r>
      <w:r w:rsidRPr="00293659">
        <w:rPr>
          <w:rFonts w:hAnsi="標楷體" w:cs="HiddenHorzOCR" w:hint="eastAsia"/>
          <w:kern w:val="0"/>
        </w:rPr>
        <w:t>至</w:t>
      </w:r>
      <w:r w:rsidRPr="00293659">
        <w:rPr>
          <w:rFonts w:hAnsi="標楷體" w:cs="HiddenHorzOCR"/>
          <w:kern w:val="0"/>
        </w:rPr>
        <w:t>109</w:t>
      </w:r>
      <w:r w:rsidRPr="00293659">
        <w:rPr>
          <w:rFonts w:hAnsi="標楷體" w:cs="HiddenHorzOCR" w:hint="eastAsia"/>
          <w:kern w:val="0"/>
        </w:rPr>
        <w:t>年度得標廠商名單中，即發現計有</w:t>
      </w:r>
      <w:r w:rsidRPr="00293659">
        <w:rPr>
          <w:rFonts w:hAnsi="標楷體" w:cs="HiddenHorzOCR"/>
          <w:kern w:val="0"/>
        </w:rPr>
        <w:t>36</w:t>
      </w:r>
      <w:r w:rsidRPr="00293659">
        <w:rPr>
          <w:rFonts w:hAnsi="標楷體" w:cs="HiddenHorzOCR" w:hint="eastAsia"/>
          <w:kern w:val="0"/>
        </w:rPr>
        <w:t>家得標廠商之董、監事，與該院</w:t>
      </w:r>
      <w:r w:rsidRPr="00293659">
        <w:rPr>
          <w:rFonts w:hAnsi="標楷體" w:cs="HiddenHorzOCR"/>
          <w:kern w:val="0"/>
        </w:rPr>
        <w:t>35</w:t>
      </w:r>
      <w:r w:rsidRPr="00293659">
        <w:rPr>
          <w:rFonts w:hAnsi="標楷體" w:cs="HiddenHorzOCR" w:hint="eastAsia"/>
          <w:kern w:val="0"/>
        </w:rPr>
        <w:t>名現職員工互為配</w:t>
      </w:r>
      <w:r w:rsidRPr="00293659">
        <w:rPr>
          <w:rFonts w:hAnsi="標楷體" w:cs="Yu Gothic" w:hint="eastAsia"/>
          <w:kern w:val="0"/>
        </w:rPr>
        <w:t>偶或一等親之親屬關係，且有3位或任職主管職或涉及審核、採購等敏感職務等存在</w:t>
      </w:r>
      <w:r w:rsidRPr="00293659">
        <w:rPr>
          <w:rFonts w:hAnsi="標楷體" w:cs="HiddenHorzOCR" w:hint="eastAsia"/>
          <w:kern w:val="0"/>
        </w:rPr>
        <w:t>利益衝突之不當情形</w:t>
      </w:r>
      <w:r w:rsidRPr="00293659">
        <w:rPr>
          <w:rFonts w:hAnsi="標楷體" w:cs="Yu Gothic" w:hint="eastAsia"/>
          <w:kern w:val="0"/>
        </w:rPr>
        <w:t>。</w:t>
      </w:r>
      <w:r w:rsidRPr="00293659">
        <w:rPr>
          <w:rFonts w:hAnsi="標楷體" w:hint="eastAsia"/>
        </w:rPr>
        <w:t>中科院雖已於110年12月23日訂頒</w:t>
      </w:r>
      <w:r w:rsidRPr="00293659">
        <w:rPr>
          <w:rFonts w:hAnsi="標楷體" w:cs="標楷體" w:hint="eastAsia"/>
          <w:kern w:val="0"/>
          <w:lang w:val="zh-TW"/>
        </w:rPr>
        <w:t>「</w:t>
      </w:r>
      <w:r w:rsidRPr="00293659">
        <w:rPr>
          <w:rFonts w:hAnsi="標楷體" w:hint="eastAsia"/>
        </w:rPr>
        <w:t>採購利益迴避與衝突禁止及請託關說事件處理作業規定</w:t>
      </w:r>
      <w:r w:rsidRPr="00293659">
        <w:rPr>
          <w:rFonts w:hAnsi="標楷體" w:cs="標楷體" w:hint="eastAsia"/>
          <w:kern w:val="0"/>
          <w:lang w:val="zh-TW"/>
        </w:rPr>
        <w:t>」，</w:t>
      </w:r>
      <w:r w:rsidR="00C74221" w:rsidRPr="00293659">
        <w:rPr>
          <w:rFonts w:hAnsi="標楷體" w:cs="標楷體" w:hint="eastAsia"/>
          <w:kern w:val="0"/>
          <w:lang w:val="zh-TW"/>
        </w:rPr>
        <w:t>擴</w:t>
      </w:r>
      <w:r w:rsidRPr="00293659">
        <w:rPr>
          <w:rFonts w:hAnsi="標楷體" w:cs="標楷體" w:hint="eastAsia"/>
          <w:kern w:val="0"/>
          <w:lang w:val="zh-TW"/>
        </w:rPr>
        <w:t>大對利</w:t>
      </w:r>
      <w:proofErr w:type="gramStart"/>
      <w:r w:rsidRPr="00293659">
        <w:rPr>
          <w:rFonts w:hAnsi="標楷體"/>
          <w:shd w:val="clear" w:color="auto" w:fill="FFFFFF"/>
        </w:rPr>
        <w:t>衝</w:t>
      </w:r>
      <w:proofErr w:type="gramEnd"/>
      <w:r w:rsidRPr="00293659">
        <w:rPr>
          <w:rFonts w:hAnsi="標楷體" w:hint="eastAsia"/>
          <w:shd w:val="clear" w:color="auto" w:fill="FFFFFF"/>
        </w:rPr>
        <w:t>之</w:t>
      </w:r>
      <w:r w:rsidRPr="00293659">
        <w:rPr>
          <w:rFonts w:hAnsi="標楷體"/>
          <w:shd w:val="clear" w:color="auto" w:fill="FFFFFF"/>
        </w:rPr>
        <w:t>規範對象及並</w:t>
      </w:r>
      <w:r w:rsidRPr="00293659">
        <w:rPr>
          <w:rFonts w:hAnsi="標楷體" w:hint="eastAsia"/>
          <w:shd w:val="clear" w:color="auto" w:fill="FFFFFF"/>
        </w:rPr>
        <w:t>加強其規範內</w:t>
      </w:r>
      <w:r w:rsidRPr="00293659">
        <w:rPr>
          <w:rFonts w:hAnsi="標楷體"/>
          <w:shd w:val="clear" w:color="auto" w:fill="FFFFFF"/>
        </w:rPr>
        <w:t>容</w:t>
      </w:r>
      <w:r w:rsidRPr="00293659">
        <w:rPr>
          <w:rFonts w:hAnsi="標楷體" w:hint="eastAsia"/>
          <w:shd w:val="clear" w:color="auto" w:fill="FFFFFF"/>
        </w:rPr>
        <w:t>，惟</w:t>
      </w:r>
      <w:proofErr w:type="gramStart"/>
      <w:r w:rsidRPr="00293659">
        <w:rPr>
          <w:rFonts w:hAnsi="標楷體" w:hint="eastAsia"/>
        </w:rPr>
        <w:t>11</w:t>
      </w:r>
      <w:proofErr w:type="gramEnd"/>
      <w:r w:rsidRPr="00293659">
        <w:rPr>
          <w:rFonts w:hAnsi="標楷體" w:hint="eastAsia"/>
        </w:rPr>
        <w:t>1年度</w:t>
      </w:r>
      <w:r w:rsidRPr="00293659">
        <w:rPr>
          <w:rFonts w:hAnsi="標楷體" w:cs="標楷體" w:hint="eastAsia"/>
          <w:kern w:val="0"/>
          <w:lang w:val="zh-TW"/>
        </w:rPr>
        <w:t>仍查出</w:t>
      </w:r>
      <w:r w:rsidRPr="00293659">
        <w:rPr>
          <w:rFonts w:hAnsi="標楷體" w:hint="eastAsia"/>
        </w:rPr>
        <w:t>違反利衝規定情事者計有4案，國防部顯應</w:t>
      </w:r>
      <w:proofErr w:type="gramStart"/>
      <w:r w:rsidRPr="00293659">
        <w:rPr>
          <w:rFonts w:hAnsi="標楷體" w:hint="eastAsia"/>
        </w:rPr>
        <w:t>持續嚴督中科</w:t>
      </w:r>
      <w:proofErr w:type="gramEnd"/>
      <w:r w:rsidRPr="00293659">
        <w:rPr>
          <w:rFonts w:hAnsi="標楷體" w:hint="eastAsia"/>
        </w:rPr>
        <w:t>院加強宣導相關規定並積極查核</w:t>
      </w:r>
      <w:r w:rsidR="00B81DB5" w:rsidRPr="00293659">
        <w:rPr>
          <w:rFonts w:hAnsi="標楷體" w:cs="Arial" w:hint="eastAsia"/>
          <w:szCs w:val="32"/>
        </w:rPr>
        <w:t>，</w:t>
      </w:r>
      <w:r w:rsidRPr="00293659">
        <w:rPr>
          <w:rFonts w:hAnsi="標楷體" w:hint="eastAsia"/>
        </w:rPr>
        <w:t>俾防杜類似違反利益衝突情事之發生。又，中科院對相關廠商因涉及利益衝突而列為該院限制參與購案廠商時，於</w:t>
      </w:r>
      <w:r w:rsidR="004A57F0" w:rsidRPr="00293659">
        <w:rPr>
          <w:rFonts w:hAnsi="標楷體" w:hint="eastAsia"/>
        </w:rPr>
        <w:t>中科院相關現職人員離職後，抑或</w:t>
      </w:r>
      <w:r w:rsidRPr="00293659">
        <w:rPr>
          <w:rFonts w:hAnsi="標楷體" w:hint="eastAsia"/>
        </w:rPr>
        <w:t>廠商告知中科院現職人員之親屬已離職或卸除相關職務，中科院</w:t>
      </w:r>
      <w:r w:rsidR="004A57F0" w:rsidRPr="00293659">
        <w:rPr>
          <w:rFonts w:hAnsi="標楷體" w:hint="eastAsia"/>
        </w:rPr>
        <w:t>迅</w:t>
      </w:r>
      <w:r w:rsidRPr="00293659">
        <w:rPr>
          <w:rFonts w:hAnsi="標楷體" w:hint="eastAsia"/>
        </w:rPr>
        <w:t>即對該廠商解除管制之作為，</w:t>
      </w:r>
      <w:bookmarkEnd w:id="149"/>
      <w:r w:rsidRPr="00293659">
        <w:rPr>
          <w:rFonts w:hAnsi="標楷體" w:hint="eastAsia"/>
          <w:bCs w:val="0"/>
          <w:szCs w:val="32"/>
        </w:rPr>
        <w:t>以及</w:t>
      </w:r>
      <w:r w:rsidRPr="00293659">
        <w:rPr>
          <w:rFonts w:hAnsi="標楷體" w:hint="eastAsia"/>
          <w:bCs w:val="0"/>
          <w:shd w:val="clear" w:color="auto" w:fill="FFFFFF" w:themeFill="background1"/>
        </w:rPr>
        <w:t>容任投標廠商代表於</w:t>
      </w:r>
      <w:r w:rsidRPr="00293659">
        <w:rPr>
          <w:rFonts w:hAnsi="標楷體"/>
          <w:bCs w:val="0"/>
          <w:u w:color="FF0000"/>
        </w:rPr>
        <w:t>投標文件中</w:t>
      </w:r>
      <w:r w:rsidRPr="00293659">
        <w:rPr>
          <w:rFonts w:hAnsi="標楷體" w:hint="eastAsia"/>
          <w:bCs w:val="0"/>
          <w:u w:color="FF0000"/>
        </w:rPr>
        <w:t>做</w:t>
      </w:r>
      <w:proofErr w:type="gramStart"/>
      <w:r w:rsidRPr="00293659">
        <w:rPr>
          <w:rFonts w:hAnsi="標楷體"/>
          <w:bCs w:val="0"/>
          <w:u w:color="FF0000"/>
        </w:rPr>
        <w:t>不實勾選</w:t>
      </w:r>
      <w:proofErr w:type="gramEnd"/>
      <w:r w:rsidRPr="00293659">
        <w:rPr>
          <w:rFonts w:hAnsi="標楷體" w:hint="eastAsia"/>
          <w:bCs w:val="0"/>
          <w:u w:color="FF0000"/>
        </w:rPr>
        <w:t>而無法對其與其所代表</w:t>
      </w:r>
      <w:proofErr w:type="gramStart"/>
      <w:r w:rsidRPr="00293659">
        <w:rPr>
          <w:rFonts w:hAnsi="標楷體" w:hint="eastAsia"/>
          <w:bCs w:val="0"/>
          <w:u w:color="FF0000"/>
        </w:rPr>
        <w:t>廠商課</w:t>
      </w:r>
      <w:proofErr w:type="gramEnd"/>
      <w:r w:rsidRPr="00293659">
        <w:rPr>
          <w:rFonts w:hAnsi="標楷體" w:hint="eastAsia"/>
          <w:bCs w:val="0"/>
          <w:u w:color="FF0000"/>
        </w:rPr>
        <w:t>責，致</w:t>
      </w:r>
      <w:r w:rsidRPr="00293659">
        <w:rPr>
          <w:rFonts w:hAnsi="標楷體"/>
          <w:bCs w:val="0"/>
          <w:u w:color="FF0000"/>
        </w:rPr>
        <w:t>中科院</w:t>
      </w:r>
      <w:r w:rsidRPr="00293659">
        <w:rPr>
          <w:rFonts w:hAnsi="標楷體" w:hint="eastAsia"/>
          <w:bCs w:val="0"/>
          <w:u w:color="FF0000"/>
        </w:rPr>
        <w:t>利衝規範或</w:t>
      </w:r>
      <w:r w:rsidRPr="00293659">
        <w:rPr>
          <w:rFonts w:hAnsi="標楷體"/>
          <w:bCs w:val="0"/>
          <w:u w:color="FF0000"/>
        </w:rPr>
        <w:t>內部行政規則</w:t>
      </w:r>
      <w:r w:rsidRPr="00293659">
        <w:rPr>
          <w:rFonts w:hAnsi="標楷體" w:hint="eastAsia"/>
          <w:bCs w:val="0"/>
          <w:u w:color="FF0000"/>
        </w:rPr>
        <w:t>形同具文等，</w:t>
      </w:r>
      <w:proofErr w:type="gramStart"/>
      <w:r w:rsidR="004A57F0" w:rsidRPr="00293659">
        <w:rPr>
          <w:rFonts w:hAnsi="標楷體" w:hint="eastAsia"/>
          <w:bCs w:val="0"/>
          <w:u w:color="FF0000"/>
        </w:rPr>
        <w:t>足顯</w:t>
      </w:r>
      <w:proofErr w:type="gramEnd"/>
      <w:r w:rsidR="004A57F0" w:rsidRPr="00293659">
        <w:rPr>
          <w:rFonts w:hAnsi="標楷體" w:hint="eastAsia"/>
          <w:bCs w:val="0"/>
          <w:u w:color="FF0000"/>
        </w:rPr>
        <w:t>該院</w:t>
      </w:r>
      <w:r w:rsidRPr="00293659">
        <w:rPr>
          <w:rFonts w:hAnsi="標楷體" w:hint="eastAsia"/>
          <w:bCs w:val="0"/>
          <w:u w:color="FF0000"/>
        </w:rPr>
        <w:t>利衝規範或採購相關機制，仍有再</w:t>
      </w:r>
      <w:r w:rsidRPr="00293659">
        <w:rPr>
          <w:rFonts w:hAnsi="標楷體" w:hint="eastAsia"/>
          <w:bCs w:val="0"/>
          <w:szCs w:val="32"/>
        </w:rPr>
        <w:t>檢討精進空間</w:t>
      </w:r>
      <w:r w:rsidR="00DB2B70" w:rsidRPr="00293659">
        <w:rPr>
          <w:rFonts w:hAnsi="標楷體" w:hint="eastAsia"/>
          <w:bCs w:val="0"/>
          <w:szCs w:val="32"/>
        </w:rPr>
        <w:t>，以杜絕一再發生的利衝違失</w:t>
      </w:r>
      <w:r w:rsidRPr="00293659">
        <w:rPr>
          <w:rFonts w:hAnsi="標楷體" w:hint="eastAsia"/>
          <w:bCs w:val="0"/>
          <w:szCs w:val="32"/>
        </w:rPr>
        <w:t>。</w:t>
      </w:r>
      <w:bookmarkEnd w:id="150"/>
      <w:bookmarkEnd w:id="151"/>
      <w:bookmarkEnd w:id="152"/>
      <w:bookmarkEnd w:id="153"/>
      <w:bookmarkEnd w:id="154"/>
      <w:bookmarkEnd w:id="155"/>
    </w:p>
    <w:p w14:paraId="4102929F" w14:textId="77777777" w:rsidR="00E1047E" w:rsidRPr="00293659" w:rsidRDefault="00E1047E" w:rsidP="00E1047E">
      <w:pPr>
        <w:pStyle w:val="2"/>
        <w:numPr>
          <w:ilvl w:val="0"/>
          <w:numId w:val="0"/>
        </w:numPr>
        <w:ind w:left="1360"/>
        <w:rPr>
          <w:rFonts w:hAnsi="標楷體"/>
        </w:rPr>
      </w:pPr>
    </w:p>
    <w:p w14:paraId="1ABFB684" w14:textId="59A9961B" w:rsidR="00E1047E" w:rsidRPr="00293659" w:rsidRDefault="00E1047E" w:rsidP="00E1047E">
      <w:pPr>
        <w:pStyle w:val="2"/>
        <w:widowControl/>
        <w:numPr>
          <w:ilvl w:val="1"/>
          <w:numId w:val="1"/>
        </w:numPr>
        <w:overflowPunct/>
        <w:autoSpaceDE/>
        <w:autoSpaceDN/>
        <w:rPr>
          <w:rFonts w:hAnsi="標楷體"/>
          <w:b/>
        </w:rPr>
      </w:pPr>
      <w:bookmarkStart w:id="156" w:name="_Toc143262198"/>
      <w:bookmarkStart w:id="157" w:name="_Toc145510485"/>
      <w:r w:rsidRPr="00293659">
        <w:rPr>
          <w:rFonts w:hAnsi="標楷體" w:hint="eastAsia"/>
          <w:b/>
        </w:rPr>
        <w:lastRenderedPageBreak/>
        <w:t>中科院之軍職人員，其離職後3年內，自應受</w:t>
      </w:r>
      <w:r w:rsidRPr="00293659">
        <w:rPr>
          <w:rFonts w:hAnsi="標楷體"/>
          <w:b/>
          <w:u w:color="FF0000"/>
        </w:rPr>
        <w:t>公務員</w:t>
      </w:r>
      <w:r w:rsidRPr="00293659">
        <w:rPr>
          <w:rFonts w:hAnsi="標楷體" w:cs="Arial"/>
          <w:b/>
        </w:rPr>
        <w:t>服務法</w:t>
      </w:r>
      <w:r w:rsidRPr="00293659">
        <w:rPr>
          <w:rFonts w:hAnsi="標楷體" w:hint="eastAsia"/>
          <w:b/>
        </w:rPr>
        <w:t>不得擔任與其離職前5年內之職務直接相關之營利事業董事、監察人、經理、執行業務之股東或顧問</w:t>
      </w:r>
      <w:r w:rsidRPr="00293659">
        <w:rPr>
          <w:rFonts w:hAnsi="標楷體" w:cs="Arial" w:hint="eastAsia"/>
          <w:b/>
        </w:rPr>
        <w:t>規定之拘束，然該院其餘大多數人員並非該法之適用對象，直至該院於110年12月23日訂頒「採購利益迴避與衝突禁止及請託關說事件處理作業規定」後，</w:t>
      </w:r>
      <w:proofErr w:type="gramStart"/>
      <w:r w:rsidR="001E1DDA" w:rsidRPr="00293659">
        <w:rPr>
          <w:rFonts w:hAnsi="標楷體" w:cs="Arial" w:hint="eastAsia"/>
          <w:b/>
        </w:rPr>
        <w:t>這類</w:t>
      </w:r>
      <w:r w:rsidR="00497273" w:rsidRPr="00293659">
        <w:rPr>
          <w:rFonts w:hAnsi="標楷體" w:cs="Arial" w:hint="eastAsia"/>
          <w:b/>
        </w:rPr>
        <w:t>未適用</w:t>
      </w:r>
      <w:proofErr w:type="gramEnd"/>
      <w:r w:rsidR="00497273" w:rsidRPr="00293659">
        <w:rPr>
          <w:rFonts w:hAnsi="標楷體"/>
          <w:b/>
          <w:u w:color="FF0000"/>
        </w:rPr>
        <w:t>公務員</w:t>
      </w:r>
      <w:r w:rsidR="00497273" w:rsidRPr="00293659">
        <w:rPr>
          <w:rFonts w:hAnsi="標楷體" w:cs="Arial"/>
          <w:b/>
        </w:rPr>
        <w:t>服務法</w:t>
      </w:r>
      <w:r w:rsidR="00FE1961" w:rsidRPr="00293659">
        <w:rPr>
          <w:rFonts w:hAnsi="標楷體" w:cs="Arial" w:hint="eastAsia"/>
          <w:b/>
        </w:rPr>
        <w:t>的人員</w:t>
      </w:r>
      <w:r w:rsidRPr="00293659">
        <w:rPr>
          <w:rFonts w:hAnsi="標楷體" w:cs="Arial" w:hint="eastAsia"/>
          <w:b/>
        </w:rPr>
        <w:t>離職後3年內所轉業之企業</w:t>
      </w:r>
      <w:r w:rsidR="00497273" w:rsidRPr="00293659">
        <w:rPr>
          <w:rFonts w:hAnsi="標楷體" w:cs="Arial" w:hint="eastAsia"/>
          <w:b/>
        </w:rPr>
        <w:t>，</w:t>
      </w:r>
      <w:r w:rsidRPr="00293659">
        <w:rPr>
          <w:rFonts w:hAnsi="標楷體" w:cs="Arial" w:hint="eastAsia"/>
          <w:b/>
        </w:rPr>
        <w:t>始有參與中科院相關採購之限制。經</w:t>
      </w:r>
      <w:r w:rsidRPr="00293659">
        <w:rPr>
          <w:rFonts w:hAnsi="標楷體" w:cs="Arial" w:hint="eastAsia"/>
          <w:b/>
          <w:szCs w:val="32"/>
        </w:rPr>
        <w:t>查</w:t>
      </w:r>
      <w:r w:rsidRPr="00293659">
        <w:rPr>
          <w:rFonts w:hAnsi="標楷體" w:hint="eastAsia"/>
          <w:b/>
          <w:noProof/>
        </w:rPr>
        <w:t>中科院於</w:t>
      </w:r>
      <w:r w:rsidRPr="00293659">
        <w:rPr>
          <w:rFonts w:hAnsi="標楷體" w:cs="Arial" w:hint="eastAsia"/>
          <w:b/>
        </w:rPr>
        <w:t>110年12月23日前之</w:t>
      </w:r>
      <w:r w:rsidRPr="00293659">
        <w:rPr>
          <w:rFonts w:hAnsi="標楷體" w:hint="eastAsia"/>
          <w:b/>
          <w:noProof/>
        </w:rPr>
        <w:t>離職人員</w:t>
      </w:r>
      <w:r w:rsidRPr="00293659">
        <w:rPr>
          <w:rFonts w:hAnsi="標楷體" w:hint="eastAsia"/>
          <w:b/>
        </w:rPr>
        <w:t>中，計有</w:t>
      </w:r>
      <w:r w:rsidRPr="00293659">
        <w:rPr>
          <w:rFonts w:hAnsi="標楷體"/>
          <w:b/>
        </w:rPr>
        <w:t>8</w:t>
      </w:r>
      <w:r w:rsidRPr="00293659">
        <w:rPr>
          <w:rFonts w:hAnsi="標楷體" w:hint="eastAsia"/>
          <w:b/>
        </w:rPr>
        <w:t>位離職前為該院負責設計開發零組件之研究或技術人員，或於離職</w:t>
      </w:r>
      <w:r w:rsidRPr="00293659">
        <w:rPr>
          <w:rFonts w:hAnsi="標楷體"/>
          <w:b/>
        </w:rPr>
        <w:t>2</w:t>
      </w:r>
      <w:r w:rsidRPr="00293659">
        <w:rPr>
          <w:rFonts w:hAnsi="標楷體" w:hint="eastAsia"/>
          <w:b/>
        </w:rPr>
        <w:t>年內，即創設或加入新公司並擔任董、監事等職務後，該公司順利承攬</w:t>
      </w:r>
      <w:r w:rsidRPr="00293659">
        <w:rPr>
          <w:rFonts w:hAnsi="標楷體" w:hint="eastAsia"/>
          <w:b/>
          <w:noProof/>
        </w:rPr>
        <w:t>中科院</w:t>
      </w:r>
      <w:r w:rsidR="00B55BAF" w:rsidRPr="00764131">
        <w:rPr>
          <w:rFonts w:hAnsi="標楷體" w:hint="eastAsia"/>
          <w:b/>
          <w:noProof/>
          <w:color w:val="000000" w:themeColor="text1"/>
        </w:rPr>
        <w:t>採</w:t>
      </w:r>
      <w:r w:rsidRPr="00B55BAF">
        <w:rPr>
          <w:rFonts w:hAnsi="標楷體" w:hint="eastAsia"/>
          <w:b/>
          <w:color w:val="000000" w:themeColor="text1"/>
        </w:rPr>
        <w:t>購案</w:t>
      </w:r>
      <w:r w:rsidRPr="00293659">
        <w:rPr>
          <w:rFonts w:hAnsi="標楷體" w:hint="eastAsia"/>
          <w:b/>
        </w:rPr>
        <w:t>，或於離職後立即轉任中科院得標廠商之董事職務</w:t>
      </w:r>
      <w:r w:rsidRPr="00293659">
        <w:rPr>
          <w:rFonts w:hAnsi="標楷體" w:cs="Arial" w:hint="eastAsia"/>
          <w:b/>
          <w:szCs w:val="32"/>
        </w:rPr>
        <w:t>，</w:t>
      </w:r>
      <w:r w:rsidR="00497273" w:rsidRPr="00293659">
        <w:rPr>
          <w:rFonts w:hAnsi="標楷體" w:cs="Arial" w:hint="eastAsia"/>
          <w:b/>
          <w:szCs w:val="32"/>
        </w:rPr>
        <w:t>他們當中</w:t>
      </w:r>
      <w:r w:rsidRPr="00293659">
        <w:rPr>
          <w:rFonts w:hAnsi="標楷體" w:cs="Arial" w:hint="eastAsia"/>
          <w:b/>
          <w:szCs w:val="32"/>
        </w:rPr>
        <w:t>是否有將中科院</w:t>
      </w:r>
      <w:r w:rsidRPr="00293659">
        <w:rPr>
          <w:rFonts w:hAnsi="標楷體" w:hint="eastAsia"/>
          <w:b/>
          <w:noProof/>
          <w:szCs w:val="32"/>
        </w:rPr>
        <w:t>利益輸送至特定之民營營利事業或個人情事</w:t>
      </w:r>
      <w:r w:rsidR="002F3D08" w:rsidRPr="00293659">
        <w:rPr>
          <w:rFonts w:hAnsi="標楷體" w:hint="eastAsia"/>
          <w:b/>
          <w:noProof/>
          <w:szCs w:val="32"/>
        </w:rPr>
        <w:t>，</w:t>
      </w:r>
      <w:r w:rsidRPr="00293659">
        <w:rPr>
          <w:rFonts w:hAnsi="標楷體" w:cs="Arial" w:hint="eastAsia"/>
          <w:b/>
          <w:szCs w:val="32"/>
        </w:rPr>
        <w:t>是否</w:t>
      </w:r>
      <w:r w:rsidR="00497273" w:rsidRPr="00293659">
        <w:rPr>
          <w:rFonts w:hAnsi="標楷體" w:cs="Arial" w:hint="eastAsia"/>
          <w:b/>
          <w:szCs w:val="32"/>
        </w:rPr>
        <w:t>有</w:t>
      </w:r>
      <w:r w:rsidRPr="00293659">
        <w:rPr>
          <w:rFonts w:hAnsi="標楷體" w:cs="Arial" w:hint="eastAsia"/>
          <w:b/>
          <w:szCs w:val="32"/>
        </w:rPr>
        <w:t>傷害中科院自身利益</w:t>
      </w:r>
      <w:r w:rsidR="002F3D08" w:rsidRPr="00293659">
        <w:rPr>
          <w:rFonts w:hAnsi="標楷體" w:cs="Arial" w:hint="eastAsia"/>
          <w:b/>
          <w:szCs w:val="32"/>
        </w:rPr>
        <w:t>，</w:t>
      </w:r>
      <w:r w:rsidRPr="00293659">
        <w:rPr>
          <w:rFonts w:hAnsi="標楷體" w:hint="eastAsia"/>
          <w:b/>
          <w:noProof/>
          <w:szCs w:val="32"/>
        </w:rPr>
        <w:t>均顯有重大疑慮。國防部未能及時督導中科院建立相關具體防範機制</w:t>
      </w:r>
      <w:r w:rsidR="005B2E1C" w:rsidRPr="00293659">
        <w:rPr>
          <w:rFonts w:hAnsi="標楷體" w:hint="eastAsia"/>
          <w:b/>
          <w:noProof/>
          <w:szCs w:val="32"/>
        </w:rPr>
        <w:t>，</w:t>
      </w:r>
      <w:r w:rsidRPr="00293659">
        <w:rPr>
          <w:rFonts w:hAnsi="標楷體" w:hint="eastAsia"/>
          <w:b/>
          <w:noProof/>
          <w:szCs w:val="32"/>
        </w:rPr>
        <w:t>俾確保中科院利益，核有重大疏失</w:t>
      </w:r>
      <w:r w:rsidR="005B2E1C" w:rsidRPr="00293659">
        <w:rPr>
          <w:rFonts w:hAnsi="標楷體" w:hint="eastAsia"/>
          <w:szCs w:val="32"/>
        </w:rPr>
        <w:t>，</w:t>
      </w:r>
      <w:proofErr w:type="gramStart"/>
      <w:r w:rsidR="005B2E1C" w:rsidRPr="00293659">
        <w:rPr>
          <w:rFonts w:hAnsi="標楷體" w:hint="eastAsia"/>
          <w:b/>
          <w:szCs w:val="32"/>
        </w:rPr>
        <w:t>洵</w:t>
      </w:r>
      <w:proofErr w:type="gramEnd"/>
      <w:r w:rsidR="005B2E1C" w:rsidRPr="00293659">
        <w:rPr>
          <w:rFonts w:hAnsi="標楷體" w:hint="eastAsia"/>
          <w:b/>
          <w:szCs w:val="32"/>
        </w:rPr>
        <w:t>應澈底檢討</w:t>
      </w:r>
      <w:r w:rsidRPr="00293659">
        <w:rPr>
          <w:rFonts w:hAnsi="標楷體" w:hint="eastAsia"/>
          <w:b/>
          <w:noProof/>
          <w:szCs w:val="32"/>
        </w:rPr>
        <w:t>。</w:t>
      </w:r>
      <w:bookmarkEnd w:id="156"/>
      <w:bookmarkEnd w:id="157"/>
    </w:p>
    <w:p w14:paraId="47C9B288" w14:textId="44AA6FA8" w:rsidR="00E1047E" w:rsidRPr="00293659" w:rsidRDefault="00E1047E" w:rsidP="00E1047E">
      <w:pPr>
        <w:pStyle w:val="2"/>
        <w:numPr>
          <w:ilvl w:val="2"/>
          <w:numId w:val="1"/>
        </w:numPr>
        <w:ind w:left="1360" w:hanging="680"/>
        <w:rPr>
          <w:rFonts w:hAnsi="標楷體"/>
        </w:rPr>
      </w:pPr>
      <w:bookmarkStart w:id="158" w:name="_Toc143243842"/>
      <w:bookmarkStart w:id="159" w:name="_Toc143262199"/>
      <w:bookmarkStart w:id="160" w:name="_Toc143263084"/>
      <w:bookmarkStart w:id="161" w:name="_Toc143424296"/>
      <w:bookmarkStart w:id="162" w:name="_Toc144140112"/>
      <w:bookmarkStart w:id="163" w:name="_Toc144211224"/>
      <w:bookmarkStart w:id="164" w:name="_Toc145510486"/>
      <w:r w:rsidRPr="00293659">
        <w:rPr>
          <w:rFonts w:hAnsi="標楷體"/>
          <w:u w:color="FF0000"/>
        </w:rPr>
        <w:t>公務員</w:t>
      </w:r>
      <w:r w:rsidRPr="00293659">
        <w:rPr>
          <w:rFonts w:hAnsi="標楷體" w:cs="Arial"/>
        </w:rPr>
        <w:t>服務法</w:t>
      </w:r>
      <w:r w:rsidRPr="00293659">
        <w:rPr>
          <w:rFonts w:hAnsi="標楷體" w:cs="Arial" w:hint="eastAsia"/>
        </w:rPr>
        <w:t>（下稱公</w:t>
      </w:r>
      <w:proofErr w:type="gramStart"/>
      <w:r w:rsidRPr="00293659">
        <w:rPr>
          <w:rFonts w:hAnsi="標楷體" w:cs="Arial" w:hint="eastAsia"/>
        </w:rPr>
        <w:t>服法</w:t>
      </w:r>
      <w:proofErr w:type="gramEnd"/>
      <w:r w:rsidRPr="00293659">
        <w:rPr>
          <w:rFonts w:hAnsi="標楷體" w:cs="Arial" w:hint="eastAsia"/>
        </w:rPr>
        <w:t>）於</w:t>
      </w:r>
      <w:r w:rsidRPr="00293659">
        <w:rPr>
          <w:rFonts w:hAnsi="標楷體" w:cs="Arial"/>
        </w:rPr>
        <w:t>85</w:t>
      </w:r>
      <w:r w:rsidRPr="00293659">
        <w:rPr>
          <w:rFonts w:hAnsi="標楷體" w:cs="Arial" w:hint="eastAsia"/>
        </w:rPr>
        <w:t>年1月1</w:t>
      </w:r>
      <w:r w:rsidRPr="00293659">
        <w:rPr>
          <w:rFonts w:hAnsi="標楷體" w:cs="Arial"/>
        </w:rPr>
        <w:t>5</w:t>
      </w:r>
      <w:r w:rsidRPr="00293659">
        <w:rPr>
          <w:rFonts w:hAnsi="標楷體" w:cs="Arial" w:hint="eastAsia"/>
        </w:rPr>
        <w:t>日增訂</w:t>
      </w:r>
      <w:r w:rsidRPr="00293659">
        <w:rPr>
          <w:rFonts w:hAnsi="標楷體" w:hint="eastAsia"/>
        </w:rPr>
        <w:t>第1</w:t>
      </w:r>
      <w:r w:rsidRPr="00293659">
        <w:rPr>
          <w:rFonts w:hAnsi="標楷體"/>
        </w:rPr>
        <w:t>4</w:t>
      </w:r>
      <w:r w:rsidRPr="00293659">
        <w:rPr>
          <w:rFonts w:hAnsi="標楷體" w:hint="eastAsia"/>
        </w:rPr>
        <w:t>條之1：「公務員於其離職後3年內，不得擔任與其離職前5年內之職務直接相關之營利事業董事、監察人、經理、執行業務之股東或顧問。」及第2</w:t>
      </w:r>
      <w:r w:rsidRPr="00293659">
        <w:rPr>
          <w:rFonts w:hAnsi="標楷體"/>
        </w:rPr>
        <w:t>2</w:t>
      </w:r>
      <w:r w:rsidRPr="00293659">
        <w:rPr>
          <w:rFonts w:hAnsi="標楷體" w:hint="eastAsia"/>
        </w:rPr>
        <w:t>條之1：「離職公務員違反本法第1</w:t>
      </w:r>
      <w:r w:rsidRPr="00293659">
        <w:rPr>
          <w:rFonts w:hAnsi="標楷體"/>
        </w:rPr>
        <w:t>4</w:t>
      </w:r>
      <w:r w:rsidRPr="00293659">
        <w:rPr>
          <w:rFonts w:hAnsi="標楷體" w:hint="eastAsia"/>
        </w:rPr>
        <w:t>條之1者，處2年以下有期徒刑，得</w:t>
      </w:r>
      <w:proofErr w:type="gramStart"/>
      <w:r w:rsidRPr="00293659">
        <w:rPr>
          <w:rFonts w:hAnsi="標楷體" w:hint="eastAsia"/>
        </w:rPr>
        <w:t>併</w:t>
      </w:r>
      <w:proofErr w:type="gramEnd"/>
      <w:r w:rsidRPr="00293659">
        <w:rPr>
          <w:rFonts w:hAnsi="標楷體" w:hint="eastAsia"/>
        </w:rPr>
        <w:t>科新臺幣1百萬元以下罰金。犯前項之罪者，所得之利益沒收之。如全部或一部不能沒收時，追徵其價額。」等規定。</w:t>
      </w:r>
      <w:proofErr w:type="gramStart"/>
      <w:r w:rsidRPr="00293659">
        <w:rPr>
          <w:rFonts w:hAnsi="標楷體" w:cs="Arial"/>
        </w:rPr>
        <w:t>銓敘部</w:t>
      </w:r>
      <w:r w:rsidRPr="00293659">
        <w:rPr>
          <w:rFonts w:hAnsi="標楷體" w:cs="Arial" w:hint="eastAsia"/>
        </w:rPr>
        <w:t>於</w:t>
      </w:r>
      <w:r w:rsidRPr="00293659">
        <w:rPr>
          <w:rFonts w:hAnsi="標楷體" w:cs="Arial"/>
        </w:rPr>
        <w:t>85年7月20日</w:t>
      </w:r>
      <w:proofErr w:type="gramEnd"/>
      <w:r w:rsidRPr="00293659">
        <w:rPr>
          <w:rFonts w:hAnsi="標楷體" w:cs="Arial" w:hint="eastAsia"/>
        </w:rPr>
        <w:t>對上</w:t>
      </w:r>
      <w:r w:rsidR="009A7885" w:rsidRPr="00293659">
        <w:rPr>
          <w:rFonts w:hAnsi="標楷體" w:hint="eastAsia"/>
        </w:rPr>
        <w:t>述</w:t>
      </w:r>
      <w:r w:rsidRPr="00293659">
        <w:rPr>
          <w:rFonts w:hAnsi="標楷體" w:cs="Arial" w:hint="eastAsia"/>
        </w:rPr>
        <w:t>條文相關說明略以：</w:t>
      </w:r>
      <w:r w:rsidRPr="00293659">
        <w:rPr>
          <w:rFonts w:hAnsi="標楷體" w:cs="新細明體" w:hint="eastAsia"/>
        </w:rPr>
        <w:t>「公務員服務法第14條之1規定，其認定標準如次：（一）離職：包括退休 (職)、辭職、資遣、免職、停職及休職等離開原職者。（二）</w:t>
      </w:r>
      <w:r w:rsidRPr="00293659">
        <w:rPr>
          <w:rFonts w:hAnsi="標楷體" w:cs="細明體" w:hint="eastAsia"/>
        </w:rPr>
        <w:t>職務直接相關</w:t>
      </w:r>
      <w:r w:rsidR="000B2623" w:rsidRPr="00293659">
        <w:rPr>
          <w:rFonts w:hAnsi="標楷體"/>
        </w:rPr>
        <w:t>…</w:t>
      </w:r>
      <w:proofErr w:type="gramStart"/>
      <w:r w:rsidRPr="00293659">
        <w:rPr>
          <w:rFonts w:hAnsi="標楷體" w:cs="細明體"/>
        </w:rPr>
        <w:t>…</w:t>
      </w:r>
      <w:proofErr w:type="gramEnd"/>
      <w:r w:rsidRPr="00293659">
        <w:rPr>
          <w:rFonts w:hAnsi="標楷體" w:cs="細明體" w:hint="eastAsia"/>
        </w:rPr>
        <w:t>2.</w:t>
      </w:r>
      <w:r w:rsidRPr="00293659">
        <w:rPr>
          <w:rFonts w:hAnsi="標楷體" w:cs="新細明體" w:hint="eastAsia"/>
        </w:rPr>
        <w:t>離職前服務機關與</w:t>
      </w:r>
      <w:r w:rsidRPr="00293659">
        <w:rPr>
          <w:rFonts w:hAnsi="標楷體" w:cs="新細明體" w:hint="eastAsia"/>
        </w:rPr>
        <w:lastRenderedPageBreak/>
        <w:t>營利事業有營建</w:t>
      </w:r>
      <w:r w:rsidRPr="00293659">
        <w:rPr>
          <w:rFonts w:hAnsi="標楷體" w:cs="新細明體"/>
        </w:rPr>
        <w:t>（承辦本機關或所屬機關之工程）</w:t>
      </w:r>
      <w:r w:rsidRPr="00293659">
        <w:rPr>
          <w:rFonts w:hAnsi="標楷體" w:cs="新細明體" w:hint="eastAsia"/>
        </w:rPr>
        <w:t>或採購業務關係</w:t>
      </w:r>
      <w:r w:rsidRPr="00293659">
        <w:rPr>
          <w:rFonts w:hAnsi="標楷體" w:cs="新細明體"/>
        </w:rPr>
        <w:t>（包括</w:t>
      </w:r>
      <w:proofErr w:type="gramStart"/>
      <w:r w:rsidRPr="00293659">
        <w:rPr>
          <w:rFonts w:hAnsi="標楷體" w:cs="新細明體"/>
        </w:rPr>
        <w:t>研</w:t>
      </w:r>
      <w:proofErr w:type="gramEnd"/>
      <w:r w:rsidRPr="00293659">
        <w:rPr>
          <w:rFonts w:hAnsi="標楷體" w:cs="新細明體"/>
        </w:rPr>
        <w:t>訂規格、提出用料申請及實際採買）</w:t>
      </w:r>
      <w:r w:rsidRPr="00293659">
        <w:rPr>
          <w:rFonts w:hAnsi="標楷體" w:cs="新細明體" w:hint="eastAsia"/>
        </w:rPr>
        <w:t>之承辦人員及其各級主管人員（所稱各級主管人員係指各級直接承辦相關業務單位之副主管及主管，暨該機關幕僚長、副首長及首長）。</w:t>
      </w:r>
      <w:r w:rsidR="000B2623" w:rsidRPr="00293659">
        <w:rPr>
          <w:rFonts w:hAnsi="標楷體"/>
        </w:rPr>
        <w:t>…</w:t>
      </w:r>
      <w:proofErr w:type="gramStart"/>
      <w:r w:rsidRPr="00293659">
        <w:rPr>
          <w:rFonts w:hAnsi="標楷體" w:cs="新細明體"/>
        </w:rPr>
        <w:t>…</w:t>
      </w:r>
      <w:proofErr w:type="gramEnd"/>
      <w:r w:rsidRPr="00293659">
        <w:rPr>
          <w:rFonts w:hAnsi="標楷體" w:cs="新細明體" w:hint="eastAsia"/>
        </w:rPr>
        <w:t>（四）</w:t>
      </w:r>
      <w:r w:rsidRPr="00293659">
        <w:rPr>
          <w:rFonts w:hAnsi="標楷體" w:cs="細明體" w:hint="eastAsia"/>
        </w:rPr>
        <w:t>董事、監察人、經理、執行業務之股東或顧問：</w:t>
      </w:r>
      <w:r w:rsidRPr="00293659">
        <w:rPr>
          <w:rFonts w:hAnsi="標楷體" w:cs="新細明體" w:hint="eastAsia"/>
        </w:rPr>
        <w:t>1.董事：係指有限公司或股份有限公司之董事、常務董事、副董事長、董事長而言</w:t>
      </w:r>
      <w:r w:rsidR="000B2623" w:rsidRPr="00293659">
        <w:rPr>
          <w:rFonts w:hAnsi="標楷體"/>
        </w:rPr>
        <w:t>…</w:t>
      </w:r>
      <w:proofErr w:type="gramStart"/>
      <w:r w:rsidRPr="00293659">
        <w:rPr>
          <w:rFonts w:hAnsi="標楷體" w:cs="新細明體"/>
        </w:rPr>
        <w:t>…</w:t>
      </w:r>
      <w:proofErr w:type="gramEnd"/>
      <w:r w:rsidRPr="00293659">
        <w:rPr>
          <w:rFonts w:hAnsi="標楷體" w:cs="新細明體" w:hint="eastAsia"/>
        </w:rPr>
        <w:t>4.經理：依民法、公司法及商業登記法規定，除經理外，尚包括總經理、副總經理、協理及副經理。</w:t>
      </w:r>
      <w:r w:rsidR="000B2623" w:rsidRPr="00293659">
        <w:rPr>
          <w:rFonts w:hAnsi="標楷體"/>
        </w:rPr>
        <w:t>…</w:t>
      </w:r>
      <w:proofErr w:type="gramStart"/>
      <w:r w:rsidRPr="00293659">
        <w:rPr>
          <w:rFonts w:hAnsi="標楷體" w:cs="新細明體"/>
        </w:rPr>
        <w:t>…</w:t>
      </w:r>
      <w:proofErr w:type="gramEnd"/>
      <w:r w:rsidRPr="00293659">
        <w:rPr>
          <w:rFonts w:hAnsi="標楷體" w:cs="新細明體" w:hint="eastAsia"/>
        </w:rPr>
        <w:t>」</w:t>
      </w:r>
      <w:r w:rsidRPr="00293659">
        <w:rPr>
          <w:rFonts w:hAnsi="標楷體" w:hint="eastAsia"/>
        </w:rPr>
        <w:t>前</w:t>
      </w:r>
      <w:r w:rsidR="009A7885" w:rsidRPr="00293659">
        <w:rPr>
          <w:rFonts w:hAnsi="標楷體" w:hint="eastAsia"/>
        </w:rPr>
        <w:t>述</w:t>
      </w:r>
      <w:r w:rsidRPr="00293659">
        <w:rPr>
          <w:rFonts w:hAnsi="標楷體" w:hint="eastAsia"/>
        </w:rPr>
        <w:t>規範之意旨，在於防杜公務員濫用其在職時之地位、權力及所掌握之資源，</w:t>
      </w:r>
      <w:r w:rsidRPr="00293659">
        <w:rPr>
          <w:rFonts w:hAnsi="標楷體" w:cs="HiddenVertOCR" w:hint="eastAsia"/>
          <w:kern w:val="0"/>
          <w:szCs w:val="32"/>
        </w:rPr>
        <w:t>或因職務所知悉之秘密，</w:t>
      </w:r>
      <w:r w:rsidRPr="00293659">
        <w:rPr>
          <w:rFonts w:hAnsi="標楷體" w:hint="eastAsia"/>
        </w:rPr>
        <w:t>先輸送已實現或預期將來可實現之利益至特定民營營利事業，</w:t>
      </w:r>
      <w:r w:rsidRPr="00293659">
        <w:rPr>
          <w:rFonts w:hAnsi="標楷體" w:cs="HiddenVertOCR" w:hint="eastAsia"/>
          <w:kern w:val="0"/>
          <w:szCs w:val="32"/>
        </w:rPr>
        <w:t>形成利益輸送</w:t>
      </w:r>
      <w:r w:rsidRPr="00293659">
        <w:rPr>
          <w:rFonts w:hAnsi="標楷體" w:hint="eastAsia"/>
        </w:rPr>
        <w:t>，</w:t>
      </w:r>
      <w:r w:rsidRPr="00293659">
        <w:rPr>
          <w:rFonts w:hAnsi="標楷體" w:cs="HiddenVertOCR" w:hint="eastAsia"/>
          <w:kern w:val="0"/>
          <w:szCs w:val="32"/>
        </w:rPr>
        <w:t>圖利與其任職機關、職務利益衝突或違背之營利事業，</w:t>
      </w:r>
      <w:r w:rsidRPr="00293659">
        <w:rPr>
          <w:rFonts w:hAnsi="標楷體" w:hint="eastAsia"/>
        </w:rPr>
        <w:t>為使</w:t>
      </w:r>
      <w:proofErr w:type="gramStart"/>
      <w:r w:rsidRPr="00293659">
        <w:rPr>
          <w:rFonts w:hAnsi="標楷體" w:hint="eastAsia"/>
        </w:rPr>
        <w:t>公務員服職期</w:t>
      </w:r>
      <w:proofErr w:type="gramEnd"/>
      <w:r w:rsidRPr="00293659">
        <w:rPr>
          <w:rFonts w:hAnsi="標楷體" w:hint="eastAsia"/>
        </w:rPr>
        <w:t>間能公正</w:t>
      </w:r>
      <w:proofErr w:type="gramStart"/>
      <w:r w:rsidRPr="00293659">
        <w:rPr>
          <w:rFonts w:hAnsi="標楷體" w:hint="eastAsia"/>
        </w:rPr>
        <w:t>嚴明</w:t>
      </w:r>
      <w:proofErr w:type="gramEnd"/>
      <w:r w:rsidRPr="00293659">
        <w:rPr>
          <w:rFonts w:hAnsi="標楷體" w:hint="eastAsia"/>
        </w:rPr>
        <w:t>，並有效保障國家利益，故對其離職後轉業作此必然之限制。中科院之軍職人員，其離職後3年內，自應受上</w:t>
      </w:r>
      <w:r w:rsidR="009A7885" w:rsidRPr="00293659">
        <w:rPr>
          <w:rFonts w:hAnsi="標楷體" w:hint="eastAsia"/>
        </w:rPr>
        <w:t>述</w:t>
      </w:r>
      <w:r w:rsidRPr="00293659">
        <w:rPr>
          <w:rFonts w:hAnsi="標楷體" w:cs="Arial" w:hint="eastAsia"/>
        </w:rPr>
        <w:t>公</w:t>
      </w:r>
      <w:proofErr w:type="gramStart"/>
      <w:r w:rsidRPr="00293659">
        <w:rPr>
          <w:rFonts w:hAnsi="標楷體" w:cs="Arial" w:hint="eastAsia"/>
        </w:rPr>
        <w:t>服法</w:t>
      </w:r>
      <w:proofErr w:type="gramEnd"/>
      <w:r w:rsidRPr="00293659">
        <w:rPr>
          <w:rFonts w:hAnsi="標楷體" w:cs="Arial" w:hint="eastAsia"/>
        </w:rPr>
        <w:t>之拘束</w:t>
      </w:r>
      <w:r w:rsidR="00D17E57" w:rsidRPr="00293659">
        <w:rPr>
          <w:rFonts w:hAnsi="標楷體" w:cs="Arial" w:hint="eastAsia"/>
        </w:rPr>
        <w:t>，</w:t>
      </w:r>
      <w:r w:rsidR="00714126" w:rsidRPr="00293659">
        <w:rPr>
          <w:rFonts w:hAnsi="標楷體" w:hint="eastAsia"/>
        </w:rPr>
        <w:t>不得擔任與其離職前5年內之職務直接相關之營利事業董事、監察人、經理、執行業務之股東或顧問；</w:t>
      </w:r>
      <w:r w:rsidRPr="00293659">
        <w:rPr>
          <w:rFonts w:hAnsi="標楷體" w:cs="Arial" w:hint="eastAsia"/>
        </w:rPr>
        <w:t>然該院其餘大多數人員並非公</w:t>
      </w:r>
      <w:proofErr w:type="gramStart"/>
      <w:r w:rsidRPr="00293659">
        <w:rPr>
          <w:rFonts w:hAnsi="標楷體" w:cs="Arial" w:hint="eastAsia"/>
        </w:rPr>
        <w:t>服法</w:t>
      </w:r>
      <w:proofErr w:type="gramEnd"/>
      <w:r w:rsidRPr="00293659">
        <w:rPr>
          <w:rFonts w:hAnsi="標楷體" w:cs="Arial" w:hint="eastAsia"/>
        </w:rPr>
        <w:t>之適用對象，直至該院</w:t>
      </w:r>
      <w:r w:rsidRPr="00293659">
        <w:rPr>
          <w:rFonts w:hAnsi="標楷體" w:hint="eastAsia"/>
          <w:szCs w:val="32"/>
        </w:rPr>
        <w:t>於110年12月23日訂頒</w:t>
      </w:r>
      <w:r w:rsidRPr="00293659">
        <w:rPr>
          <w:rFonts w:hAnsi="標楷體" w:cs="標楷體" w:hint="eastAsia"/>
          <w:kern w:val="0"/>
          <w:szCs w:val="32"/>
          <w:lang w:val="zh-TW"/>
        </w:rPr>
        <w:t>「</w:t>
      </w:r>
      <w:r w:rsidRPr="00293659">
        <w:rPr>
          <w:rFonts w:hAnsi="標楷體" w:hint="eastAsia"/>
          <w:szCs w:val="32"/>
        </w:rPr>
        <w:t>採購利益迴避與衝突禁止及請託關說事件處理作業規定</w:t>
      </w:r>
      <w:r w:rsidRPr="00293659">
        <w:rPr>
          <w:rFonts w:hAnsi="標楷體" w:cs="標楷體" w:hint="eastAsia"/>
          <w:kern w:val="0"/>
          <w:szCs w:val="32"/>
          <w:lang w:val="zh-TW"/>
        </w:rPr>
        <w:t>」，其中明定：「</w:t>
      </w:r>
      <w:r w:rsidRPr="00293659">
        <w:rPr>
          <w:rFonts w:hAnsi="標楷體" w:hint="eastAsia"/>
          <w:szCs w:val="32"/>
        </w:rPr>
        <w:t>廠商之負責人</w:t>
      </w:r>
      <w:r w:rsidRPr="00293659">
        <w:rPr>
          <w:rFonts w:hAnsi="標楷體" w:cs="標楷體" w:hint="eastAsia"/>
          <w:kern w:val="0"/>
          <w:szCs w:val="32"/>
          <w:lang w:val="zh-TW"/>
        </w:rPr>
        <w:t>、</w:t>
      </w:r>
      <w:r w:rsidRPr="00293659">
        <w:rPr>
          <w:rFonts w:hAnsi="標楷體" w:hint="eastAsia"/>
          <w:szCs w:val="32"/>
        </w:rPr>
        <w:t>董事</w:t>
      </w:r>
      <w:r w:rsidRPr="00293659">
        <w:rPr>
          <w:rFonts w:hAnsi="標楷體" w:cs="標楷體" w:hint="eastAsia"/>
          <w:kern w:val="0"/>
          <w:szCs w:val="32"/>
          <w:lang w:val="zh-TW"/>
        </w:rPr>
        <w:t>、</w:t>
      </w:r>
      <w:r w:rsidRPr="00293659">
        <w:rPr>
          <w:rFonts w:hAnsi="標楷體" w:hint="eastAsia"/>
          <w:szCs w:val="32"/>
        </w:rPr>
        <w:t>獨立董事</w:t>
      </w:r>
      <w:r w:rsidRPr="00293659">
        <w:rPr>
          <w:rFonts w:hAnsi="標楷體" w:cs="標楷體" w:hint="eastAsia"/>
          <w:kern w:val="0"/>
          <w:szCs w:val="32"/>
          <w:lang w:val="zh-TW"/>
        </w:rPr>
        <w:t>、</w:t>
      </w:r>
      <w:r w:rsidRPr="00293659">
        <w:rPr>
          <w:rFonts w:hAnsi="標楷體" w:hint="eastAsia"/>
          <w:szCs w:val="32"/>
        </w:rPr>
        <w:t>監察人</w:t>
      </w:r>
      <w:r w:rsidRPr="00293659">
        <w:rPr>
          <w:rFonts w:hAnsi="標楷體" w:cs="標楷體" w:hint="eastAsia"/>
          <w:kern w:val="0"/>
          <w:szCs w:val="32"/>
          <w:lang w:val="zh-TW"/>
        </w:rPr>
        <w:t>、</w:t>
      </w:r>
      <w:r w:rsidRPr="00293659">
        <w:rPr>
          <w:rFonts w:hAnsi="標楷體" w:hint="eastAsia"/>
          <w:szCs w:val="32"/>
        </w:rPr>
        <w:t>經理人</w:t>
      </w:r>
      <w:r w:rsidRPr="00293659">
        <w:rPr>
          <w:rFonts w:hAnsi="標楷體" w:cs="標楷體" w:hint="eastAsia"/>
          <w:kern w:val="0"/>
          <w:szCs w:val="32"/>
          <w:lang w:val="zh-TW"/>
        </w:rPr>
        <w:t>、</w:t>
      </w:r>
      <w:r w:rsidRPr="00293659">
        <w:rPr>
          <w:rFonts w:hAnsi="標楷體" w:hint="eastAsia"/>
          <w:szCs w:val="32"/>
        </w:rPr>
        <w:t>廠商業務銷售者等職務</w:t>
      </w:r>
      <w:r w:rsidRPr="00293659">
        <w:rPr>
          <w:rFonts w:hAnsi="標楷體" w:cs="標楷體" w:hint="eastAsia"/>
          <w:kern w:val="0"/>
          <w:szCs w:val="32"/>
          <w:lang w:val="zh-TW"/>
        </w:rPr>
        <w:t>，</w:t>
      </w:r>
      <w:r w:rsidRPr="00293659">
        <w:rPr>
          <w:rFonts w:hAnsi="標楷體" w:hint="eastAsia"/>
          <w:szCs w:val="32"/>
        </w:rPr>
        <w:t>為中科院離職未滿3年之人員</w:t>
      </w:r>
      <w:r w:rsidRPr="00293659">
        <w:rPr>
          <w:rFonts w:hAnsi="標楷體" w:cs="標楷體" w:hint="eastAsia"/>
          <w:kern w:val="0"/>
          <w:szCs w:val="32"/>
          <w:lang w:val="zh-TW"/>
        </w:rPr>
        <w:t>，</w:t>
      </w:r>
      <w:r w:rsidRPr="00293659">
        <w:rPr>
          <w:rFonts w:hAnsi="標楷體" w:hint="eastAsia"/>
          <w:szCs w:val="32"/>
        </w:rPr>
        <w:t>且擬參與之採購案件與該人員離職前5年內職務有關者</w:t>
      </w:r>
      <w:r w:rsidRPr="00293659">
        <w:rPr>
          <w:rFonts w:hAnsi="標楷體" w:cs="標楷體" w:hint="eastAsia"/>
          <w:kern w:val="0"/>
          <w:szCs w:val="32"/>
          <w:lang w:val="zh-TW"/>
        </w:rPr>
        <w:t>，</w:t>
      </w:r>
      <w:r w:rsidRPr="00293659">
        <w:rPr>
          <w:rFonts w:hAnsi="標楷體" w:hint="eastAsia"/>
          <w:szCs w:val="32"/>
        </w:rPr>
        <w:t>禁止該廠商參與相關採購案</w:t>
      </w:r>
      <w:r w:rsidRPr="00293659">
        <w:rPr>
          <w:rFonts w:hAnsi="標楷體" w:cs="標楷體" w:hint="eastAsia"/>
          <w:kern w:val="0"/>
          <w:szCs w:val="32"/>
          <w:lang w:val="zh-TW"/>
        </w:rPr>
        <w:t>。」之規範後，</w:t>
      </w:r>
      <w:r w:rsidR="00D17E57" w:rsidRPr="00293659">
        <w:rPr>
          <w:rFonts w:hAnsi="標楷體" w:cs="標楷體" w:hint="eastAsia"/>
          <w:kern w:val="0"/>
          <w:szCs w:val="32"/>
          <w:lang w:val="zh-TW"/>
        </w:rPr>
        <w:t>他們</w:t>
      </w:r>
      <w:r w:rsidRPr="00293659">
        <w:rPr>
          <w:rFonts w:hAnsi="標楷體" w:cs="標楷體" w:hint="eastAsia"/>
          <w:kern w:val="0"/>
          <w:szCs w:val="32"/>
          <w:lang w:val="zh-TW"/>
        </w:rPr>
        <w:t>離職後</w:t>
      </w:r>
      <w:r w:rsidRPr="00293659">
        <w:rPr>
          <w:rFonts w:hAnsi="標楷體" w:hint="eastAsia"/>
        </w:rPr>
        <w:t>3年內所轉業之企業</w:t>
      </w:r>
      <w:r w:rsidR="00714126" w:rsidRPr="00293659">
        <w:rPr>
          <w:rFonts w:hAnsi="標楷體" w:hint="eastAsia"/>
        </w:rPr>
        <w:t>，</w:t>
      </w:r>
      <w:r w:rsidRPr="00293659">
        <w:rPr>
          <w:rFonts w:hAnsi="標楷體" w:hint="eastAsia"/>
        </w:rPr>
        <w:t>始有參與中科院相關採購之限制。</w:t>
      </w:r>
      <w:bookmarkEnd w:id="158"/>
      <w:bookmarkEnd w:id="159"/>
      <w:bookmarkEnd w:id="160"/>
      <w:bookmarkEnd w:id="161"/>
      <w:bookmarkEnd w:id="162"/>
      <w:bookmarkEnd w:id="163"/>
      <w:bookmarkEnd w:id="164"/>
    </w:p>
    <w:p w14:paraId="0E51C11B" w14:textId="15E2A792" w:rsidR="000F166A" w:rsidRPr="000F166A" w:rsidRDefault="000F166A" w:rsidP="00E1047E">
      <w:pPr>
        <w:pStyle w:val="2"/>
        <w:numPr>
          <w:ilvl w:val="2"/>
          <w:numId w:val="1"/>
        </w:numPr>
        <w:ind w:left="1360" w:hanging="680"/>
        <w:rPr>
          <w:rFonts w:hAnsi="標楷體"/>
          <w:szCs w:val="32"/>
        </w:rPr>
      </w:pPr>
      <w:bookmarkStart w:id="165" w:name="_Toc143243843"/>
      <w:bookmarkStart w:id="166" w:name="_Toc143262200"/>
      <w:bookmarkStart w:id="167" w:name="_Toc143263085"/>
      <w:bookmarkStart w:id="168" w:name="_Toc143424297"/>
      <w:bookmarkStart w:id="169" w:name="_Toc144140113"/>
      <w:bookmarkStart w:id="170" w:name="_Toc144211225"/>
      <w:bookmarkStart w:id="171" w:name="_Toc145510487"/>
      <w:r w:rsidRPr="00E5721F">
        <w:rPr>
          <w:rFonts w:hAnsi="標楷體" w:hint="eastAsia"/>
        </w:rPr>
        <w:t>依審計部查核所得，原任中科院研究單位之工程師</w:t>
      </w:r>
      <w:r w:rsidRPr="00E5721F">
        <w:rPr>
          <w:rFonts w:hAnsi="標楷體" w:hint="eastAsia"/>
        </w:rPr>
        <w:lastRenderedPageBreak/>
        <w:t>或技術人員，離職2年內即創設公司並承攬中科院</w:t>
      </w:r>
      <w:r w:rsidR="006176EA" w:rsidRPr="00764131">
        <w:rPr>
          <w:rFonts w:hAnsi="標楷體" w:hint="eastAsia"/>
          <w:noProof/>
          <w:color w:val="000000" w:themeColor="text1"/>
        </w:rPr>
        <w:t>採</w:t>
      </w:r>
      <w:r w:rsidRPr="00E5721F">
        <w:rPr>
          <w:rFonts w:hAnsi="標楷體" w:hint="eastAsia"/>
        </w:rPr>
        <w:t>購案，包括：飛彈所陳</w:t>
      </w:r>
      <w:r>
        <w:rPr>
          <w:rFonts w:hint="eastAsia"/>
        </w:rPr>
        <w:t>○○</w:t>
      </w:r>
      <w:r w:rsidRPr="00E5721F">
        <w:rPr>
          <w:rFonts w:hAnsi="標楷體" w:hint="eastAsia"/>
        </w:rPr>
        <w:t>及劉</w:t>
      </w:r>
      <w:r>
        <w:rPr>
          <w:rFonts w:hint="eastAsia"/>
        </w:rPr>
        <w:t>○○</w:t>
      </w:r>
      <w:r w:rsidRPr="00E5721F">
        <w:rPr>
          <w:rFonts w:hAnsi="標楷體" w:hint="eastAsia"/>
        </w:rPr>
        <w:t>離職後分別擔任成</w:t>
      </w:r>
      <w:r>
        <w:rPr>
          <w:rFonts w:hint="eastAsia"/>
        </w:rPr>
        <w:t>○</w:t>
      </w:r>
      <w:r w:rsidRPr="00E5721F">
        <w:rPr>
          <w:rFonts w:hAnsi="標楷體" w:hint="eastAsia"/>
        </w:rPr>
        <w:t>科技股份有限公司之董事長與董事、飛彈火箭研究所陳</w:t>
      </w:r>
      <w:r>
        <w:rPr>
          <w:rFonts w:hint="eastAsia"/>
        </w:rPr>
        <w:t>○○</w:t>
      </w:r>
      <w:r w:rsidRPr="00E5721F">
        <w:rPr>
          <w:rFonts w:hAnsi="標楷體" w:hint="eastAsia"/>
        </w:rPr>
        <w:t>離職後擔任協</w:t>
      </w:r>
      <w:r>
        <w:rPr>
          <w:rFonts w:hint="eastAsia"/>
        </w:rPr>
        <w:t>○</w:t>
      </w:r>
      <w:r w:rsidRPr="00E5721F">
        <w:rPr>
          <w:rFonts w:hAnsi="標楷體" w:hint="eastAsia"/>
        </w:rPr>
        <w:t>能源科技股份有限公司副董事長、</w:t>
      </w:r>
      <w:proofErr w:type="gramStart"/>
      <w:r w:rsidRPr="00E5721F">
        <w:rPr>
          <w:rFonts w:hAnsi="標楷體" w:hint="eastAsia"/>
        </w:rPr>
        <w:t>督考品保</w:t>
      </w:r>
      <w:proofErr w:type="gramEnd"/>
      <w:r w:rsidRPr="00E5721F">
        <w:rPr>
          <w:rFonts w:hAnsi="標楷體" w:hint="eastAsia"/>
        </w:rPr>
        <w:t>處余</w:t>
      </w:r>
      <w:r>
        <w:rPr>
          <w:rFonts w:hint="eastAsia"/>
        </w:rPr>
        <w:t>○○</w:t>
      </w:r>
      <w:r w:rsidRPr="00E5721F">
        <w:rPr>
          <w:rFonts w:hAnsi="標楷體" w:hint="eastAsia"/>
        </w:rPr>
        <w:t>與電子所薛</w:t>
      </w:r>
      <w:r>
        <w:rPr>
          <w:rFonts w:hint="eastAsia"/>
        </w:rPr>
        <w:t>○○</w:t>
      </w:r>
      <w:r w:rsidRPr="00E5721F">
        <w:rPr>
          <w:rFonts w:hAnsi="標楷體" w:hint="eastAsia"/>
        </w:rPr>
        <w:t>離職後分別擔任麥</w:t>
      </w:r>
      <w:r>
        <w:rPr>
          <w:rFonts w:hint="eastAsia"/>
        </w:rPr>
        <w:t>○</w:t>
      </w:r>
      <w:r w:rsidRPr="00E5721F">
        <w:rPr>
          <w:rFonts w:hAnsi="標楷體" w:hint="eastAsia"/>
        </w:rPr>
        <w:t>科技股份有限公司之董事長與監察人、</w:t>
      </w:r>
      <w:proofErr w:type="gramStart"/>
      <w:r w:rsidRPr="00E5721F">
        <w:rPr>
          <w:rFonts w:hAnsi="標楷體" w:hint="eastAsia"/>
        </w:rPr>
        <w:t>材電</w:t>
      </w:r>
      <w:proofErr w:type="gramEnd"/>
      <w:r w:rsidRPr="00E5721F">
        <w:rPr>
          <w:rFonts w:hAnsi="標楷體" w:hint="eastAsia"/>
        </w:rPr>
        <w:t>所李</w:t>
      </w:r>
      <w:r>
        <w:rPr>
          <w:rFonts w:hint="eastAsia"/>
        </w:rPr>
        <w:t>○○</w:t>
      </w:r>
      <w:r w:rsidRPr="00E5721F">
        <w:rPr>
          <w:rFonts w:hAnsi="標楷體" w:hint="eastAsia"/>
        </w:rPr>
        <w:t>離職後擔任青</w:t>
      </w:r>
      <w:r>
        <w:rPr>
          <w:rFonts w:hint="eastAsia"/>
        </w:rPr>
        <w:t>○</w:t>
      </w:r>
      <w:r w:rsidRPr="00E5721F">
        <w:rPr>
          <w:rFonts w:hAnsi="標楷體" w:hint="eastAsia"/>
        </w:rPr>
        <w:t>光能科技股份有限公司董事長、</w:t>
      </w:r>
      <w:proofErr w:type="gramStart"/>
      <w:r w:rsidRPr="00E5721F">
        <w:rPr>
          <w:rFonts w:hAnsi="標楷體" w:hint="eastAsia"/>
        </w:rPr>
        <w:t>材電所</w:t>
      </w:r>
      <w:proofErr w:type="gramEnd"/>
      <w:r w:rsidRPr="00E5721F">
        <w:rPr>
          <w:rFonts w:hAnsi="標楷體" w:hint="eastAsia"/>
        </w:rPr>
        <w:t>詹</w:t>
      </w:r>
      <w:r>
        <w:rPr>
          <w:rFonts w:hint="eastAsia"/>
        </w:rPr>
        <w:t>○○</w:t>
      </w:r>
      <w:r w:rsidRPr="00E5721F">
        <w:rPr>
          <w:rFonts w:hAnsi="標楷體" w:hint="eastAsia"/>
        </w:rPr>
        <w:t>離職後擔任煇</w:t>
      </w:r>
      <w:r>
        <w:rPr>
          <w:rFonts w:hint="eastAsia"/>
        </w:rPr>
        <w:t>○</w:t>
      </w:r>
      <w:r w:rsidRPr="00E5721F">
        <w:rPr>
          <w:rFonts w:hAnsi="標楷體" w:hint="eastAsia"/>
        </w:rPr>
        <w:t>企業有限公司董事等7人；原任中科院電子所之工程師</w:t>
      </w:r>
      <w:proofErr w:type="gramStart"/>
      <w:r w:rsidRPr="00E5721F">
        <w:rPr>
          <w:rFonts w:hAnsi="標楷體" w:hint="eastAsia"/>
        </w:rPr>
        <w:t>范</w:t>
      </w:r>
      <w:proofErr w:type="gramEnd"/>
      <w:r>
        <w:rPr>
          <w:rFonts w:hint="eastAsia"/>
        </w:rPr>
        <w:t>○○</w:t>
      </w:r>
      <w:r w:rsidRPr="00E5721F">
        <w:rPr>
          <w:rFonts w:hAnsi="標楷體" w:hint="eastAsia"/>
        </w:rPr>
        <w:t>，則轉任該院得標廠商磐</w:t>
      </w:r>
      <w:r>
        <w:rPr>
          <w:rFonts w:hint="eastAsia"/>
        </w:rPr>
        <w:t>○</w:t>
      </w:r>
      <w:r w:rsidRPr="00E5721F">
        <w:rPr>
          <w:rFonts w:hAnsi="標楷體" w:hint="eastAsia"/>
        </w:rPr>
        <w:t>科技股份有限公司之董事。</w:t>
      </w:r>
      <w:proofErr w:type="gramStart"/>
      <w:r w:rsidRPr="00E5721F">
        <w:rPr>
          <w:rFonts w:hAnsi="標楷體" w:hint="eastAsia"/>
        </w:rPr>
        <w:t>縱</w:t>
      </w:r>
      <w:proofErr w:type="gramEnd"/>
      <w:r w:rsidRPr="00E5721F">
        <w:rPr>
          <w:rFonts w:hAnsi="標楷體" w:hint="eastAsia"/>
        </w:rPr>
        <w:t>中科院</w:t>
      </w:r>
      <w:r w:rsidRPr="00E5721F">
        <w:rPr>
          <w:rFonts w:hAnsi="標楷體" w:cs="Arial" w:hint="eastAsia"/>
          <w:szCs w:val="32"/>
          <w:shd w:val="clear" w:color="auto" w:fill="FFFFFF"/>
        </w:rPr>
        <w:t>人員多非公務員，不受上</w:t>
      </w:r>
      <w:r w:rsidRPr="00E5721F">
        <w:rPr>
          <w:rFonts w:hAnsi="標楷體" w:hint="eastAsia"/>
        </w:rPr>
        <w:t>述</w:t>
      </w:r>
      <w:r w:rsidRPr="00E5721F">
        <w:rPr>
          <w:rFonts w:hAnsi="標楷體" w:cs="Arial" w:hint="eastAsia"/>
          <w:szCs w:val="32"/>
        </w:rPr>
        <w:t>公</w:t>
      </w:r>
      <w:proofErr w:type="gramStart"/>
      <w:r w:rsidRPr="00E5721F">
        <w:rPr>
          <w:rFonts w:hAnsi="標楷體" w:cs="Arial" w:hint="eastAsia"/>
          <w:szCs w:val="32"/>
        </w:rPr>
        <w:t>服</w:t>
      </w:r>
      <w:proofErr w:type="gramEnd"/>
      <w:r w:rsidRPr="00E5721F">
        <w:rPr>
          <w:rFonts w:hAnsi="標楷體" w:cs="Arial" w:hint="eastAsia"/>
          <w:szCs w:val="32"/>
        </w:rPr>
        <w:t>法之拘束，且中科院改制為行政法人後應在</w:t>
      </w:r>
      <w:r w:rsidRPr="00E5721F">
        <w:rPr>
          <w:rFonts w:hAnsi="標楷體"/>
        </w:rPr>
        <w:t>採購</w:t>
      </w:r>
      <w:r w:rsidRPr="00E5721F">
        <w:rPr>
          <w:rFonts w:hAnsi="標楷體" w:hint="eastAsia"/>
        </w:rPr>
        <w:t>作業</w:t>
      </w:r>
      <w:r w:rsidRPr="00E5721F">
        <w:rPr>
          <w:rFonts w:hAnsi="標楷體"/>
        </w:rPr>
        <w:t>上適度鬆綁及賦予彈性，</w:t>
      </w:r>
      <w:r w:rsidRPr="00E5721F">
        <w:rPr>
          <w:rFonts w:hAnsi="標楷體" w:hint="eastAsia"/>
        </w:rPr>
        <w:t>俾</w:t>
      </w:r>
      <w:r w:rsidRPr="00E5721F">
        <w:rPr>
          <w:rFonts w:hAnsi="標楷體"/>
        </w:rPr>
        <w:t>使</w:t>
      </w:r>
      <w:r w:rsidRPr="00E5721F">
        <w:rPr>
          <w:rFonts w:hAnsi="標楷體" w:hint="eastAsia"/>
        </w:rPr>
        <w:t>其</w:t>
      </w:r>
      <w:r w:rsidRPr="00E5721F">
        <w:rPr>
          <w:rFonts w:hAnsi="標楷體"/>
        </w:rPr>
        <w:t>執行更具效率</w:t>
      </w:r>
      <w:r w:rsidRPr="00E5721F">
        <w:rPr>
          <w:rFonts w:hAnsi="標楷體" w:cs="Arial" w:hint="eastAsia"/>
          <w:szCs w:val="32"/>
        </w:rPr>
        <w:t>，然上</w:t>
      </w:r>
      <w:r w:rsidRPr="00E5721F">
        <w:rPr>
          <w:rFonts w:hAnsi="標楷體" w:hint="eastAsia"/>
        </w:rPr>
        <w:t>述中科院離職人員，有無利用其在中科院服務期間</w:t>
      </w:r>
      <w:r w:rsidRPr="00E5721F">
        <w:rPr>
          <w:rFonts w:hAnsi="標楷體" w:cs="HiddenVertOCR" w:hint="eastAsia"/>
          <w:kern w:val="0"/>
          <w:szCs w:val="32"/>
        </w:rPr>
        <w:t>知悉之秘密，謀求其個人利益，形成利益輸送？</w:t>
      </w:r>
      <w:r w:rsidRPr="00E5721F">
        <w:rPr>
          <w:rFonts w:hAnsi="標楷體" w:cs="Arial" w:hint="eastAsia"/>
          <w:szCs w:val="32"/>
        </w:rPr>
        <w:t>是有將中科院</w:t>
      </w:r>
      <w:r w:rsidRPr="00E5721F">
        <w:rPr>
          <w:rFonts w:hAnsi="標楷體" w:hint="eastAsia"/>
          <w:szCs w:val="32"/>
        </w:rPr>
        <w:t>利益輸送至特定之民營營利事業情事？</w:t>
      </w:r>
      <w:r w:rsidRPr="00E5721F">
        <w:rPr>
          <w:rFonts w:hAnsi="標楷體" w:cs="Arial" w:hint="eastAsia"/>
          <w:szCs w:val="32"/>
        </w:rPr>
        <w:t>是否傷害中科院自身利益？</w:t>
      </w:r>
      <w:proofErr w:type="gramStart"/>
      <w:r w:rsidRPr="00E5721F">
        <w:rPr>
          <w:rFonts w:hAnsi="標楷體" w:hint="eastAsia"/>
          <w:szCs w:val="32"/>
        </w:rPr>
        <w:t>均顯有</w:t>
      </w:r>
      <w:proofErr w:type="gramEnd"/>
      <w:r w:rsidRPr="00E5721F">
        <w:rPr>
          <w:rFonts w:hAnsi="標楷體" w:hint="eastAsia"/>
          <w:szCs w:val="32"/>
        </w:rPr>
        <w:t>重大疑慮，詎國防部未能及時督導中科院建立相關具體防範機制，迄110年12月23日該</w:t>
      </w:r>
      <w:proofErr w:type="gramStart"/>
      <w:r w:rsidRPr="00E5721F">
        <w:rPr>
          <w:rFonts w:hAnsi="標楷體" w:hint="eastAsia"/>
          <w:szCs w:val="32"/>
        </w:rPr>
        <w:t>院始</w:t>
      </w:r>
      <w:proofErr w:type="gramEnd"/>
      <w:r w:rsidRPr="00E5721F">
        <w:rPr>
          <w:rFonts w:hAnsi="標楷體" w:hint="eastAsia"/>
          <w:szCs w:val="32"/>
        </w:rPr>
        <w:t>訂頒</w:t>
      </w:r>
      <w:r w:rsidRPr="00E5721F">
        <w:rPr>
          <w:rFonts w:hAnsi="標楷體" w:cs="標楷體" w:hint="eastAsia"/>
          <w:kern w:val="0"/>
          <w:szCs w:val="32"/>
          <w:lang w:val="zh-TW"/>
        </w:rPr>
        <w:t>「</w:t>
      </w:r>
      <w:r w:rsidRPr="00E5721F">
        <w:rPr>
          <w:rFonts w:hAnsi="標楷體" w:hint="eastAsia"/>
          <w:szCs w:val="32"/>
        </w:rPr>
        <w:t>採購利益迴避與衝突禁止及請託關說事件處理作業規定</w:t>
      </w:r>
      <w:r w:rsidRPr="00E5721F">
        <w:rPr>
          <w:rFonts w:hAnsi="標楷體" w:cs="標楷體" w:hint="eastAsia"/>
          <w:kern w:val="0"/>
          <w:szCs w:val="32"/>
          <w:lang w:val="zh-TW"/>
        </w:rPr>
        <w:t>」以為防範，</w:t>
      </w:r>
      <w:proofErr w:type="gramStart"/>
      <w:r w:rsidRPr="00E5721F">
        <w:rPr>
          <w:rFonts w:hAnsi="標楷體" w:hint="eastAsia"/>
          <w:szCs w:val="32"/>
        </w:rPr>
        <w:t>難認妥</w:t>
      </w:r>
      <w:proofErr w:type="gramEnd"/>
      <w:r w:rsidRPr="00E5721F">
        <w:rPr>
          <w:rFonts w:hAnsi="標楷體" w:hint="eastAsia"/>
          <w:szCs w:val="32"/>
        </w:rPr>
        <w:t>適，核有重大疏失。</w:t>
      </w:r>
    </w:p>
    <w:bookmarkEnd w:id="165"/>
    <w:bookmarkEnd w:id="166"/>
    <w:bookmarkEnd w:id="167"/>
    <w:bookmarkEnd w:id="168"/>
    <w:bookmarkEnd w:id="169"/>
    <w:bookmarkEnd w:id="170"/>
    <w:bookmarkEnd w:id="171"/>
    <w:p w14:paraId="5F1DE1C5" w14:textId="232A8E3E" w:rsidR="00E1047E" w:rsidRPr="00293659" w:rsidRDefault="00E050A9" w:rsidP="00E1047E">
      <w:pPr>
        <w:pStyle w:val="2"/>
        <w:numPr>
          <w:ilvl w:val="2"/>
          <w:numId w:val="1"/>
        </w:numPr>
        <w:ind w:left="1360" w:hanging="680"/>
        <w:rPr>
          <w:rFonts w:hAnsi="標楷體"/>
          <w:szCs w:val="32"/>
        </w:rPr>
      </w:pPr>
      <w:r w:rsidRPr="00E050A9">
        <w:rPr>
          <w:rFonts w:hAnsi="標楷體" w:hint="eastAsia"/>
        </w:rPr>
        <w:t>中科院上述離職人員中，劉</w:t>
      </w:r>
      <w:r w:rsidR="000F166A">
        <w:rPr>
          <w:rFonts w:hint="eastAsia"/>
        </w:rPr>
        <w:t>○○</w:t>
      </w:r>
      <w:r w:rsidRPr="00E050A9">
        <w:rPr>
          <w:rFonts w:hAnsi="標楷體" w:hint="eastAsia"/>
        </w:rPr>
        <w:t>、李</w:t>
      </w:r>
      <w:r w:rsidR="000F166A">
        <w:rPr>
          <w:rFonts w:hint="eastAsia"/>
        </w:rPr>
        <w:t>○○</w:t>
      </w:r>
      <w:r w:rsidRPr="00E050A9">
        <w:rPr>
          <w:rFonts w:hAnsi="標楷體" w:hint="eastAsia"/>
        </w:rPr>
        <w:t>等2位係屬軍職人員，應遵守公服法相關規定，依據銓敘部前述於85年7月20日對公服法相關條文之說明內容，此2人均已涉嫌違反公服法「公務員於其離職後3年內，不得擔任與其離職前5年內之職務直接相關之營利事業董事、監察人、經理、執行業務之股東或顧問。」之規定，案經中科院初步清查後，將劉、李2員之人事及採購案件資料陳報國防部政風室，續由該室移送臺灣桃園地方檢察署偵辦</w:t>
      </w:r>
      <w:r w:rsidR="00800EF3">
        <w:rPr>
          <w:rFonts w:hAnsi="標楷體" w:hint="eastAsia"/>
        </w:rPr>
        <w:t>。</w:t>
      </w:r>
    </w:p>
    <w:p w14:paraId="39D82730" w14:textId="2131796F" w:rsidR="00E1047E" w:rsidRPr="00293659" w:rsidRDefault="00E1047E" w:rsidP="00E1047E">
      <w:pPr>
        <w:pStyle w:val="2"/>
        <w:numPr>
          <w:ilvl w:val="2"/>
          <w:numId w:val="1"/>
        </w:numPr>
        <w:ind w:left="1360" w:hanging="680"/>
        <w:rPr>
          <w:rFonts w:hAnsi="標楷體"/>
          <w:szCs w:val="32"/>
        </w:rPr>
      </w:pPr>
      <w:bookmarkStart w:id="172" w:name="_Toc143243853"/>
      <w:bookmarkStart w:id="173" w:name="_Toc143262210"/>
      <w:bookmarkStart w:id="174" w:name="_Toc143263095"/>
      <w:bookmarkStart w:id="175" w:name="_Toc143424307"/>
      <w:bookmarkStart w:id="176" w:name="_Toc144140123"/>
      <w:bookmarkStart w:id="177" w:name="_Toc144211235"/>
      <w:bookmarkStart w:id="178" w:name="_Toc145510497"/>
      <w:r w:rsidRPr="00293659">
        <w:rPr>
          <w:rFonts w:hAnsi="標楷體" w:hint="eastAsia"/>
          <w:szCs w:val="32"/>
        </w:rPr>
        <w:lastRenderedPageBreak/>
        <w:t>綜上，</w:t>
      </w:r>
      <w:r w:rsidRPr="00293659">
        <w:rPr>
          <w:rFonts w:hAnsi="標楷體" w:cs="Arial" w:hint="eastAsia"/>
          <w:szCs w:val="32"/>
        </w:rPr>
        <w:t>據審計部提供資料，</w:t>
      </w:r>
      <w:r w:rsidRPr="00293659">
        <w:rPr>
          <w:rFonts w:hAnsi="標楷體" w:hint="eastAsia"/>
        </w:rPr>
        <w:t>中科院離職人員中計有</w:t>
      </w:r>
      <w:r w:rsidRPr="00293659">
        <w:rPr>
          <w:rFonts w:hAnsi="標楷體"/>
        </w:rPr>
        <w:t>8</w:t>
      </w:r>
      <w:r w:rsidRPr="00293659">
        <w:rPr>
          <w:rFonts w:hAnsi="標楷體" w:hint="eastAsia"/>
        </w:rPr>
        <w:t>位離職前為該院負責設計開發零組件之研究或技術人員，其中</w:t>
      </w:r>
      <w:r w:rsidRPr="00293659">
        <w:rPr>
          <w:rFonts w:hAnsi="標楷體"/>
        </w:rPr>
        <w:t>7</w:t>
      </w:r>
      <w:r w:rsidRPr="00293659">
        <w:rPr>
          <w:rFonts w:hAnsi="標楷體" w:hint="eastAsia"/>
        </w:rPr>
        <w:t>位人員竟於離職</w:t>
      </w:r>
      <w:r w:rsidRPr="00293659">
        <w:rPr>
          <w:rFonts w:hAnsi="標楷體"/>
        </w:rPr>
        <w:t>2</w:t>
      </w:r>
      <w:r w:rsidRPr="00293659">
        <w:rPr>
          <w:rFonts w:hAnsi="標楷體" w:hint="eastAsia"/>
        </w:rPr>
        <w:t>年內，即創設與產製飛彈相關零（料）件之新公司並擔任董監事，且該等人員所創設之公司共承</w:t>
      </w:r>
      <w:r w:rsidRPr="00764131">
        <w:rPr>
          <w:rFonts w:hAnsi="標楷體" w:hint="eastAsia"/>
          <w:color w:val="000000" w:themeColor="text1"/>
        </w:rPr>
        <w:t>攬</w:t>
      </w:r>
      <w:r w:rsidR="00FF5262" w:rsidRPr="00764131">
        <w:rPr>
          <w:rFonts w:hAnsi="標楷體" w:hint="eastAsia"/>
          <w:noProof/>
          <w:color w:val="000000" w:themeColor="text1"/>
        </w:rPr>
        <w:t>採</w:t>
      </w:r>
      <w:r w:rsidRPr="00764131">
        <w:rPr>
          <w:rFonts w:hAnsi="標楷體" w:hint="eastAsia"/>
          <w:color w:val="000000" w:themeColor="text1"/>
        </w:rPr>
        <w:t>購案金</w:t>
      </w:r>
      <w:r w:rsidRPr="00293659">
        <w:rPr>
          <w:rFonts w:hAnsi="標楷體" w:hint="eastAsia"/>
        </w:rPr>
        <w:t>額</w:t>
      </w:r>
      <w:r w:rsidRPr="00293659">
        <w:rPr>
          <w:rFonts w:hAnsi="標楷體"/>
        </w:rPr>
        <w:t>4,518</w:t>
      </w:r>
      <w:r w:rsidRPr="00293659">
        <w:rPr>
          <w:rFonts w:hAnsi="標楷體" w:hint="eastAsia"/>
        </w:rPr>
        <w:t>萬餘元；另有</w:t>
      </w:r>
      <w:r w:rsidRPr="00293659">
        <w:rPr>
          <w:rFonts w:hAnsi="標楷體"/>
        </w:rPr>
        <w:t>l</w:t>
      </w:r>
      <w:r w:rsidRPr="00293659">
        <w:rPr>
          <w:rFonts w:hAnsi="標楷體" w:hint="eastAsia"/>
        </w:rPr>
        <w:t>位研究人員於離職後，立即轉任中科院得標廠商之董事職務</w:t>
      </w:r>
      <w:r w:rsidRPr="00293659">
        <w:rPr>
          <w:rFonts w:hAnsi="標楷體" w:cs="Arial" w:hint="eastAsia"/>
          <w:szCs w:val="32"/>
        </w:rPr>
        <w:t>，縱</w:t>
      </w:r>
      <w:r w:rsidRPr="00293659">
        <w:rPr>
          <w:rFonts w:hAnsi="標楷體" w:hint="eastAsia"/>
        </w:rPr>
        <w:t>中科院</w:t>
      </w:r>
      <w:r w:rsidRPr="00293659">
        <w:rPr>
          <w:rFonts w:hAnsi="標楷體" w:cs="Arial" w:hint="eastAsia"/>
          <w:szCs w:val="32"/>
          <w:shd w:val="clear" w:color="auto" w:fill="FFFFFF"/>
        </w:rPr>
        <w:t>所屬人員多非公務員，不受</w:t>
      </w:r>
      <w:r w:rsidRPr="00293659">
        <w:rPr>
          <w:rFonts w:hAnsi="標楷體" w:cs="Arial" w:hint="eastAsia"/>
          <w:szCs w:val="32"/>
        </w:rPr>
        <w:t>公</w:t>
      </w:r>
      <w:proofErr w:type="gramStart"/>
      <w:r w:rsidRPr="00293659">
        <w:rPr>
          <w:rFonts w:hAnsi="標楷體" w:cs="Arial" w:hint="eastAsia"/>
          <w:szCs w:val="32"/>
        </w:rPr>
        <w:t>服法</w:t>
      </w:r>
      <w:proofErr w:type="gramEnd"/>
      <w:r w:rsidRPr="00293659">
        <w:rPr>
          <w:rFonts w:hAnsi="標楷體" w:hint="eastAsia"/>
        </w:rPr>
        <w:t>「公務員於其離職後3年內，不得擔任與其離職前5年內之職務直接相關之營利事業董事、</w:t>
      </w:r>
      <w:r w:rsidRPr="00293659">
        <w:rPr>
          <w:rFonts w:hAnsi="標楷體" w:hint="eastAsia"/>
          <w:szCs w:val="32"/>
        </w:rPr>
        <w:t>監察人、經理、執行業務之股東或顧問。」規定</w:t>
      </w:r>
      <w:r w:rsidRPr="00293659">
        <w:rPr>
          <w:rFonts w:hAnsi="標楷體" w:cs="Arial" w:hint="eastAsia"/>
          <w:szCs w:val="32"/>
        </w:rPr>
        <w:t>之拘束，且中科院改制為行政法人後應在</w:t>
      </w:r>
      <w:r w:rsidRPr="00293659">
        <w:rPr>
          <w:rFonts w:hAnsi="標楷體"/>
        </w:rPr>
        <w:t>採購</w:t>
      </w:r>
      <w:r w:rsidRPr="00293659">
        <w:rPr>
          <w:rFonts w:hAnsi="標楷體" w:hint="eastAsia"/>
        </w:rPr>
        <w:t>作業</w:t>
      </w:r>
      <w:r w:rsidRPr="00293659">
        <w:rPr>
          <w:rFonts w:hAnsi="標楷體"/>
        </w:rPr>
        <w:t>上適度鬆綁及賦予彈性，</w:t>
      </w:r>
      <w:proofErr w:type="gramStart"/>
      <w:r w:rsidRPr="00293659">
        <w:rPr>
          <w:rFonts w:hAnsi="標楷體" w:hint="eastAsia"/>
        </w:rPr>
        <w:t>俾</w:t>
      </w:r>
      <w:proofErr w:type="gramEnd"/>
      <w:r w:rsidRPr="00293659">
        <w:rPr>
          <w:rFonts w:hAnsi="標楷體"/>
        </w:rPr>
        <w:t>使</w:t>
      </w:r>
      <w:r w:rsidRPr="00293659">
        <w:rPr>
          <w:rFonts w:hAnsi="標楷體" w:hint="eastAsia"/>
        </w:rPr>
        <w:t>其</w:t>
      </w:r>
      <w:r w:rsidRPr="00293659">
        <w:rPr>
          <w:rFonts w:hAnsi="標楷體"/>
        </w:rPr>
        <w:t>執行更具效率</w:t>
      </w:r>
      <w:r w:rsidRPr="00293659">
        <w:rPr>
          <w:rFonts w:hAnsi="標楷體" w:cs="Arial" w:hint="eastAsia"/>
          <w:szCs w:val="32"/>
        </w:rPr>
        <w:t>，然</w:t>
      </w:r>
      <w:r w:rsidR="00C03426" w:rsidRPr="00293659">
        <w:rPr>
          <w:rFonts w:hAnsi="標楷體" w:cs="Arial" w:hint="eastAsia"/>
          <w:szCs w:val="32"/>
        </w:rPr>
        <w:t>這些人員</w:t>
      </w:r>
      <w:r w:rsidRPr="00293659">
        <w:rPr>
          <w:rFonts w:hAnsi="標楷體" w:hint="eastAsia"/>
        </w:rPr>
        <w:t>離職前為該院負責設計開發零組件之研究或技術人員</w:t>
      </w:r>
      <w:r w:rsidRPr="00293659">
        <w:rPr>
          <w:rFonts w:hAnsi="標楷體" w:cs="Arial" w:hint="eastAsia"/>
          <w:szCs w:val="32"/>
        </w:rPr>
        <w:t>，其或於</w:t>
      </w:r>
      <w:r w:rsidRPr="00293659">
        <w:rPr>
          <w:rFonts w:hAnsi="標楷體" w:hint="eastAsia"/>
        </w:rPr>
        <w:t>離職</w:t>
      </w:r>
      <w:r w:rsidRPr="00293659">
        <w:rPr>
          <w:rFonts w:hAnsi="標楷體"/>
        </w:rPr>
        <w:t>2</w:t>
      </w:r>
      <w:r w:rsidRPr="00293659">
        <w:rPr>
          <w:rFonts w:hAnsi="標楷體" w:hint="eastAsia"/>
        </w:rPr>
        <w:t>年內即紛紛創設與產製飛彈相關零（料）件之新公司並擔任董、監事，且該等公司即承攬中科院之相關</w:t>
      </w:r>
      <w:r w:rsidR="00FF5262" w:rsidRPr="00764131">
        <w:rPr>
          <w:rFonts w:hAnsi="標楷體" w:hint="eastAsia"/>
          <w:noProof/>
          <w:color w:val="000000" w:themeColor="text1"/>
        </w:rPr>
        <w:t>採</w:t>
      </w:r>
      <w:r w:rsidRPr="00293659">
        <w:rPr>
          <w:rFonts w:hAnsi="標楷體" w:hint="eastAsia"/>
        </w:rPr>
        <w:t>購案，或於離職後立即轉任中科院得標廠商之董事職務，因</w:t>
      </w:r>
      <w:r w:rsidR="00714126" w:rsidRPr="00293659">
        <w:rPr>
          <w:rFonts w:hAnsi="標楷體" w:cs="Arial" w:hint="eastAsia"/>
          <w:szCs w:val="32"/>
        </w:rPr>
        <w:t>他們</w:t>
      </w:r>
      <w:r w:rsidRPr="00293659">
        <w:rPr>
          <w:rFonts w:hAnsi="標楷體" w:hint="eastAsia"/>
        </w:rPr>
        <w:t>可</w:t>
      </w:r>
      <w:proofErr w:type="gramStart"/>
      <w:r w:rsidRPr="00293659">
        <w:rPr>
          <w:rFonts w:hAnsi="標楷體" w:hint="eastAsia"/>
        </w:rPr>
        <w:t>輕</w:t>
      </w:r>
      <w:proofErr w:type="gramEnd"/>
      <w:r w:rsidRPr="00293659">
        <w:rPr>
          <w:rFonts w:hAnsi="標楷體" w:hint="eastAsia"/>
        </w:rPr>
        <w:t>易</w:t>
      </w:r>
      <w:r w:rsidRPr="00293659">
        <w:rPr>
          <w:rFonts w:hAnsi="標楷體" w:cs="HiddenVertOCR" w:hint="eastAsia"/>
          <w:kern w:val="0"/>
          <w:szCs w:val="32"/>
        </w:rPr>
        <w:t>憑藉在中科院服務時對原單位與業務之瞭解，圖利其所</w:t>
      </w:r>
      <w:r w:rsidR="000B10B1" w:rsidRPr="00293659">
        <w:rPr>
          <w:rFonts w:hAnsi="標楷體" w:cs="HiddenVertOCR" w:hint="eastAsia"/>
          <w:kern w:val="0"/>
          <w:szCs w:val="32"/>
        </w:rPr>
        <w:t>前往</w:t>
      </w:r>
      <w:r w:rsidRPr="00293659">
        <w:rPr>
          <w:rFonts w:hAnsi="標楷體" w:cs="HiddenVertOCR" w:hint="eastAsia"/>
          <w:kern w:val="0"/>
          <w:szCs w:val="32"/>
        </w:rPr>
        <w:t>任職之營利事業，極可能導致中科院蒙受嚴重損失，此類行為若不加以適當規範，極易形成利益輸送網絡，</w:t>
      </w:r>
      <w:r w:rsidR="00714126" w:rsidRPr="00293659">
        <w:rPr>
          <w:rFonts w:hAnsi="標楷體" w:cs="HiddenVertOCR" w:hint="eastAsia"/>
          <w:kern w:val="0"/>
          <w:szCs w:val="32"/>
        </w:rPr>
        <w:t>因此</w:t>
      </w:r>
      <w:r w:rsidRPr="00293659">
        <w:rPr>
          <w:rFonts w:hAnsi="標楷體" w:cs="HiddenVertOCR" w:hint="eastAsia"/>
          <w:kern w:val="0"/>
          <w:szCs w:val="32"/>
        </w:rPr>
        <w:t>對</w:t>
      </w:r>
      <w:r w:rsidR="00C03426" w:rsidRPr="00293659">
        <w:rPr>
          <w:rFonts w:hAnsi="標楷體" w:cs="Arial" w:hint="eastAsia"/>
          <w:szCs w:val="32"/>
        </w:rPr>
        <w:t>這些人員</w:t>
      </w:r>
      <w:r w:rsidRPr="00293659">
        <w:rPr>
          <w:rFonts w:hAnsi="標楷體" w:cs="HiddenVertOCR" w:hint="eastAsia"/>
          <w:kern w:val="0"/>
          <w:szCs w:val="32"/>
        </w:rPr>
        <w:t>離職後轉業予以若干限制，顯有其必要。</w:t>
      </w:r>
      <w:proofErr w:type="gramStart"/>
      <w:r w:rsidRPr="00293659">
        <w:rPr>
          <w:rFonts w:hAnsi="標楷體" w:hint="eastAsia"/>
          <w:szCs w:val="32"/>
        </w:rPr>
        <w:t>惟</w:t>
      </w:r>
      <w:proofErr w:type="gramEnd"/>
      <w:r w:rsidRPr="00293659">
        <w:rPr>
          <w:rFonts w:hAnsi="標楷體" w:hint="eastAsia"/>
          <w:szCs w:val="32"/>
        </w:rPr>
        <w:t>國防部未能及時督導中科院建立相關具體防範機制俾確保中科院利益，</w:t>
      </w:r>
      <w:r w:rsidRPr="00293659">
        <w:rPr>
          <w:rFonts w:hAnsi="標楷體" w:cs="Arial" w:hint="eastAsia"/>
          <w:szCs w:val="32"/>
        </w:rPr>
        <w:t>是否發生</w:t>
      </w:r>
      <w:r w:rsidRPr="00293659">
        <w:rPr>
          <w:rFonts w:hAnsi="標楷體" w:cs="HiddenVertOCR" w:hint="eastAsia"/>
          <w:kern w:val="0"/>
          <w:szCs w:val="32"/>
        </w:rPr>
        <w:t>利益輸送</w:t>
      </w:r>
      <w:r w:rsidRPr="00293659">
        <w:rPr>
          <w:rFonts w:hAnsi="標楷體" w:hint="eastAsia"/>
          <w:szCs w:val="32"/>
        </w:rPr>
        <w:t>至特定之民營營利事業</w:t>
      </w:r>
      <w:r w:rsidRPr="00293659">
        <w:rPr>
          <w:rFonts w:hAnsi="標楷體" w:cs="HiddenVertOCR" w:hint="eastAsia"/>
          <w:kern w:val="0"/>
          <w:szCs w:val="32"/>
        </w:rPr>
        <w:t>或個人之情事，並</w:t>
      </w:r>
      <w:r w:rsidRPr="00293659">
        <w:rPr>
          <w:rFonts w:hAnsi="標楷體" w:cs="Arial" w:hint="eastAsia"/>
          <w:szCs w:val="32"/>
        </w:rPr>
        <w:t>造成該院利益受損，已有</w:t>
      </w:r>
      <w:r w:rsidRPr="00293659">
        <w:rPr>
          <w:rFonts w:hAnsi="標楷體" w:hint="eastAsia"/>
          <w:szCs w:val="32"/>
        </w:rPr>
        <w:t>重大疑慮，</w:t>
      </w:r>
      <w:proofErr w:type="gramStart"/>
      <w:r w:rsidRPr="00293659">
        <w:rPr>
          <w:rFonts w:hAnsi="標楷體" w:hint="eastAsia"/>
          <w:szCs w:val="32"/>
        </w:rPr>
        <w:t>難認妥</w:t>
      </w:r>
      <w:proofErr w:type="gramEnd"/>
      <w:r w:rsidRPr="00293659">
        <w:rPr>
          <w:rFonts w:hAnsi="標楷體" w:hint="eastAsia"/>
          <w:szCs w:val="32"/>
        </w:rPr>
        <w:t>適，爰核有重大疏失，洵應澈底檢討。</w:t>
      </w:r>
      <w:bookmarkEnd w:id="172"/>
      <w:bookmarkEnd w:id="173"/>
      <w:bookmarkEnd w:id="174"/>
      <w:bookmarkEnd w:id="175"/>
      <w:bookmarkEnd w:id="176"/>
      <w:bookmarkEnd w:id="177"/>
      <w:bookmarkEnd w:id="178"/>
    </w:p>
    <w:p w14:paraId="3464286A" w14:textId="77777777" w:rsidR="00E1047E" w:rsidRPr="00293659" w:rsidRDefault="00E1047E" w:rsidP="00E1047E">
      <w:pPr>
        <w:pStyle w:val="2"/>
        <w:numPr>
          <w:ilvl w:val="0"/>
          <w:numId w:val="0"/>
        </w:numPr>
        <w:ind w:left="1360"/>
        <w:rPr>
          <w:rFonts w:hAnsi="標楷體"/>
          <w:szCs w:val="32"/>
        </w:rPr>
      </w:pPr>
    </w:p>
    <w:p w14:paraId="016F4B65" w14:textId="3411BF49" w:rsidR="00E1047E" w:rsidRPr="00293659" w:rsidRDefault="00E1047E" w:rsidP="00E1047E">
      <w:pPr>
        <w:pStyle w:val="2"/>
        <w:widowControl/>
        <w:numPr>
          <w:ilvl w:val="1"/>
          <w:numId w:val="1"/>
        </w:numPr>
        <w:overflowPunct/>
        <w:autoSpaceDE/>
        <w:autoSpaceDN/>
        <w:rPr>
          <w:rFonts w:hAnsi="標楷體"/>
          <w:b/>
          <w:shd w:val="pct15" w:color="auto" w:fill="FFFFFF"/>
        </w:rPr>
      </w:pPr>
      <w:bookmarkStart w:id="179" w:name="_Toc141964333"/>
      <w:bookmarkStart w:id="180" w:name="_Toc143262211"/>
      <w:bookmarkStart w:id="181" w:name="_Toc144211236"/>
      <w:bookmarkStart w:id="182" w:name="_Toc145510498"/>
      <w:bookmarkEnd w:id="179"/>
      <w:r w:rsidRPr="00293659">
        <w:rPr>
          <w:rFonts w:hAnsi="標楷體" w:hint="eastAsia"/>
          <w:b/>
        </w:rPr>
        <w:t>中科院於</w:t>
      </w:r>
      <w:r w:rsidRPr="00293659">
        <w:rPr>
          <w:rFonts w:hAnsi="標楷體" w:cs="Arial"/>
          <w:b/>
          <w:szCs w:val="32"/>
          <w:shd w:val="clear" w:color="auto" w:fill="FFFFFF"/>
        </w:rPr>
        <w:t>改制為行政法人</w:t>
      </w:r>
      <w:r w:rsidRPr="00293659">
        <w:rPr>
          <w:rFonts w:hAnsi="標楷體" w:cs="Arial" w:hint="eastAsia"/>
          <w:b/>
          <w:szCs w:val="32"/>
          <w:shd w:val="clear" w:color="auto" w:fill="FFFFFF"/>
        </w:rPr>
        <w:t>後，為</w:t>
      </w:r>
      <w:r w:rsidR="00714126" w:rsidRPr="00293659">
        <w:rPr>
          <w:rFonts w:hAnsi="標楷體" w:cs="Arial" w:hint="eastAsia"/>
          <w:b/>
          <w:szCs w:val="32"/>
          <w:shd w:val="clear" w:color="auto" w:fill="FFFFFF"/>
        </w:rPr>
        <w:t>求</w:t>
      </w:r>
      <w:r w:rsidRPr="00293659">
        <w:rPr>
          <w:rFonts w:hAnsi="標楷體"/>
          <w:b/>
        </w:rPr>
        <w:t>效率</w:t>
      </w:r>
      <w:r w:rsidRPr="00293659">
        <w:rPr>
          <w:rFonts w:hAnsi="標楷體" w:hint="eastAsia"/>
          <w:b/>
        </w:rPr>
        <w:t>，該院</w:t>
      </w:r>
      <w:r w:rsidRPr="00293659">
        <w:rPr>
          <w:rFonts w:hAnsi="標楷體"/>
          <w:b/>
        </w:rPr>
        <w:t>採購</w:t>
      </w:r>
      <w:r w:rsidRPr="00293659">
        <w:rPr>
          <w:rFonts w:hAnsi="標楷體" w:hint="eastAsia"/>
          <w:b/>
        </w:rPr>
        <w:t>制度可</w:t>
      </w:r>
      <w:r w:rsidRPr="00293659">
        <w:rPr>
          <w:rFonts w:hAnsi="標楷體"/>
          <w:b/>
        </w:rPr>
        <w:t>適度鬆綁</w:t>
      </w:r>
      <w:r w:rsidRPr="00293659">
        <w:rPr>
          <w:rFonts w:hAnsi="標楷體" w:hint="eastAsia"/>
          <w:b/>
        </w:rPr>
        <w:t>並</w:t>
      </w:r>
      <w:r w:rsidRPr="00293659">
        <w:rPr>
          <w:rFonts w:hAnsi="標楷體"/>
          <w:b/>
        </w:rPr>
        <w:t>賦予</w:t>
      </w:r>
      <w:r w:rsidRPr="00293659">
        <w:rPr>
          <w:rFonts w:hAnsi="標楷體" w:hint="eastAsia"/>
          <w:b/>
        </w:rPr>
        <w:t>若干</w:t>
      </w:r>
      <w:r w:rsidRPr="00293659">
        <w:rPr>
          <w:rFonts w:hAnsi="標楷體"/>
          <w:b/>
        </w:rPr>
        <w:t>彈性，</w:t>
      </w:r>
      <w:r w:rsidRPr="00293659">
        <w:rPr>
          <w:rFonts w:hAnsi="標楷體" w:hint="eastAsia"/>
          <w:b/>
        </w:rPr>
        <w:t>故該院於辦理</w:t>
      </w:r>
      <w:r w:rsidRPr="00293659">
        <w:rPr>
          <w:rFonts w:hAnsi="標楷體"/>
          <w:b/>
        </w:rPr>
        <w:t>採購</w:t>
      </w:r>
      <w:r w:rsidRPr="00293659">
        <w:rPr>
          <w:rFonts w:hAnsi="標楷體" w:hint="eastAsia"/>
          <w:b/>
        </w:rPr>
        <w:t>作業時更應依據相關法令與自行建立之採</w:t>
      </w:r>
      <w:r w:rsidRPr="00293659">
        <w:rPr>
          <w:rFonts w:hAnsi="標楷體"/>
          <w:b/>
        </w:rPr>
        <w:t>購</w:t>
      </w:r>
      <w:r w:rsidRPr="00293659">
        <w:rPr>
          <w:rFonts w:hAnsi="標楷體" w:hint="eastAsia"/>
          <w:b/>
        </w:rPr>
        <w:t>制度，並以</w:t>
      </w:r>
      <w:r w:rsidRPr="00293659">
        <w:rPr>
          <w:rFonts w:hAnsi="標楷體" w:hint="eastAsia"/>
          <w:b/>
        </w:rPr>
        <w:lastRenderedPageBreak/>
        <w:t>完善之內部控制防堵弊端與避免滋生疑慮，</w:t>
      </w:r>
      <w:proofErr w:type="gramStart"/>
      <w:r w:rsidRPr="00293659">
        <w:rPr>
          <w:rFonts w:hAnsi="標楷體" w:hint="eastAsia"/>
          <w:b/>
        </w:rPr>
        <w:t>俾</w:t>
      </w:r>
      <w:proofErr w:type="gramEnd"/>
      <w:r w:rsidRPr="00293659">
        <w:rPr>
          <w:rFonts w:hAnsi="標楷體" w:hint="eastAsia"/>
          <w:b/>
        </w:rPr>
        <w:t>爭取各界對該院辦理採購作業之信任。然據審計部查核發現，中科院轉型後多</w:t>
      </w:r>
      <w:proofErr w:type="gramStart"/>
      <w:r w:rsidRPr="00293659">
        <w:rPr>
          <w:rFonts w:hAnsi="標楷體" w:hint="eastAsia"/>
          <w:b/>
        </w:rPr>
        <w:t>以指商</w:t>
      </w:r>
      <w:proofErr w:type="gramEnd"/>
      <w:r w:rsidRPr="00293659">
        <w:rPr>
          <w:rFonts w:hAnsi="標楷體" w:hint="eastAsia"/>
          <w:b/>
        </w:rPr>
        <w:t>、邀商議（比）價方式辦理採購，具高度採購風險；且</w:t>
      </w:r>
      <w:r w:rsidR="00CB3DDC" w:rsidRPr="00293659">
        <w:rPr>
          <w:rFonts w:hAnsi="標楷體" w:hint="eastAsia"/>
          <w:b/>
        </w:rPr>
        <w:t>尚</w:t>
      </w:r>
      <w:r w:rsidRPr="00293659">
        <w:rPr>
          <w:rFonts w:hAnsi="標楷體" w:hint="eastAsia"/>
          <w:b/>
        </w:rPr>
        <w:t>有分批採購、未落實拒絕往來機制，及緊急採購未依規定</w:t>
      </w:r>
      <w:proofErr w:type="gramStart"/>
      <w:r w:rsidRPr="00293659">
        <w:rPr>
          <w:rFonts w:hAnsi="標楷體" w:hint="eastAsia"/>
          <w:b/>
        </w:rPr>
        <w:t>簽准等缺失</w:t>
      </w:r>
      <w:proofErr w:type="gramEnd"/>
      <w:r w:rsidRPr="00293659">
        <w:rPr>
          <w:rFonts w:hAnsi="標楷體" w:hint="eastAsia"/>
          <w:b/>
        </w:rPr>
        <w:t>；辦理採購資訊公開作業，僅公告簡要之招標資訊及部分採購案之決標資訊等疑慮。國防部</w:t>
      </w:r>
      <w:r w:rsidR="000F6931" w:rsidRPr="00293659">
        <w:rPr>
          <w:rFonts w:hAnsi="標楷體" w:hint="eastAsia"/>
          <w:b/>
        </w:rPr>
        <w:t>雖</w:t>
      </w:r>
      <w:r w:rsidRPr="00293659">
        <w:rPr>
          <w:rFonts w:hAnsi="標楷體" w:hint="eastAsia"/>
          <w:b/>
        </w:rPr>
        <w:t>已就中科院採購相關機制與作業提具</w:t>
      </w:r>
      <w:proofErr w:type="gramStart"/>
      <w:r w:rsidRPr="00293659">
        <w:rPr>
          <w:rFonts w:hAnsi="標楷體" w:hint="eastAsia"/>
          <w:b/>
        </w:rPr>
        <w:t>研</w:t>
      </w:r>
      <w:proofErr w:type="gramEnd"/>
      <w:r w:rsidRPr="00293659">
        <w:rPr>
          <w:rFonts w:hAnsi="標楷體" w:hint="eastAsia"/>
          <w:b/>
        </w:rPr>
        <w:t>修中科院採購作業規定等相關檢討作為，允應持續督促該院落實各項檢討作為，以求該院採購作業品質之提升與精進。</w:t>
      </w:r>
      <w:bookmarkEnd w:id="180"/>
      <w:bookmarkEnd w:id="181"/>
      <w:bookmarkEnd w:id="182"/>
    </w:p>
    <w:p w14:paraId="6DAE05BB" w14:textId="3F7890A6" w:rsidR="00613FFE" w:rsidRPr="00293659" w:rsidRDefault="00E1047E" w:rsidP="00E1047E">
      <w:pPr>
        <w:pStyle w:val="2"/>
        <w:widowControl/>
        <w:numPr>
          <w:ilvl w:val="2"/>
          <w:numId w:val="1"/>
        </w:numPr>
        <w:overflowPunct/>
        <w:autoSpaceDE/>
        <w:autoSpaceDN/>
        <w:ind w:left="1361"/>
        <w:rPr>
          <w:rFonts w:hAnsi="標楷體"/>
        </w:rPr>
      </w:pPr>
      <w:bookmarkStart w:id="183" w:name="_Toc144140125"/>
      <w:bookmarkStart w:id="184" w:name="_Toc144211237"/>
      <w:bookmarkStart w:id="185" w:name="_Toc145510499"/>
      <w:bookmarkStart w:id="186" w:name="_Toc143243855"/>
      <w:bookmarkStart w:id="187" w:name="_Toc143262212"/>
      <w:bookmarkStart w:id="188" w:name="_Toc143263097"/>
      <w:bookmarkStart w:id="189" w:name="_Toc143424309"/>
      <w:r w:rsidRPr="00293659">
        <w:rPr>
          <w:rFonts w:hAnsi="標楷體" w:hint="eastAsia"/>
        </w:rPr>
        <w:t>據審計部查核發現，中科院轉型後，多</w:t>
      </w:r>
      <w:proofErr w:type="gramStart"/>
      <w:r w:rsidRPr="00293659">
        <w:rPr>
          <w:rFonts w:hAnsi="標楷體" w:hint="eastAsia"/>
        </w:rPr>
        <w:t>以指商</w:t>
      </w:r>
      <w:proofErr w:type="gramEnd"/>
      <w:r w:rsidRPr="00293659">
        <w:rPr>
          <w:rFonts w:hAnsi="標楷體" w:hint="eastAsia"/>
        </w:rPr>
        <w:t>、邀商議（比）價方式辦理採購，具高度採購風險，中科院自103年4月16日改制為行政法人後迄至109年底止，合計辦理8萬8,127件採購案，合計採購金額2,714億4,248萬餘元，其中採公開採購方式(含公開招標、公告招標、公開取得廠商報價)辦理者計3,538件(占4.01％)、金額500億3,846萬餘元(占18.43％)，採限制性採購方式〔含限制性招標、選擇性招標、指商採購、邀商議（比）價採購、定額以下採購〕計8萬4,589件(占95.99％)、金額2,214億401萬餘元(占81.57％)。</w:t>
      </w:r>
      <w:r w:rsidR="00987E9F" w:rsidRPr="00293659">
        <w:rPr>
          <w:rFonts w:hAnsi="標楷體" w:hint="eastAsia"/>
        </w:rPr>
        <w:t>且國防部所屬單位委託中科院製造軍備品，部分案件僅為一般內購物資採購案，尚無涉及該院專利或研發專業技術之投入，委辦單位</w:t>
      </w:r>
      <w:proofErr w:type="gramStart"/>
      <w:r w:rsidR="00987E9F" w:rsidRPr="00293659">
        <w:rPr>
          <w:rFonts w:hAnsi="標楷體" w:hint="eastAsia"/>
        </w:rPr>
        <w:t>疑</w:t>
      </w:r>
      <w:proofErr w:type="gramEnd"/>
      <w:r w:rsidR="00987E9F" w:rsidRPr="00293659">
        <w:rPr>
          <w:rFonts w:hAnsi="標楷體" w:hint="eastAsia"/>
        </w:rPr>
        <w:t>有透過委製方式，規避政府採購法情事。又，中科院尚有分批採購、未落實拒絕往來機制，及緊急採購未依規定</w:t>
      </w:r>
      <w:proofErr w:type="gramStart"/>
      <w:r w:rsidR="00987E9F" w:rsidRPr="00293659">
        <w:rPr>
          <w:rFonts w:hAnsi="標楷體" w:hint="eastAsia"/>
        </w:rPr>
        <w:t>簽准等缺失</w:t>
      </w:r>
      <w:proofErr w:type="gramEnd"/>
      <w:r w:rsidR="00987E9F" w:rsidRPr="00293659">
        <w:rPr>
          <w:rFonts w:hAnsi="標楷體" w:hint="eastAsia"/>
        </w:rPr>
        <w:t>。</w:t>
      </w:r>
      <w:proofErr w:type="gramStart"/>
      <w:r w:rsidR="00987E9F" w:rsidRPr="00293659">
        <w:rPr>
          <w:rFonts w:hAnsi="標楷體" w:hint="eastAsia"/>
        </w:rPr>
        <w:t>另</w:t>
      </w:r>
      <w:proofErr w:type="gramEnd"/>
      <w:r w:rsidR="00987E9F" w:rsidRPr="00293659">
        <w:rPr>
          <w:rFonts w:hAnsi="標楷體" w:hint="eastAsia"/>
        </w:rPr>
        <w:t>，中科院辦理採購資訊公開作業，僅公告簡要之招標資訊及部分採購案之決標資訊，且未於其採購作業規定妥適規範採購相關資訊之公開內容。</w:t>
      </w:r>
      <w:bookmarkEnd w:id="183"/>
      <w:bookmarkEnd w:id="184"/>
      <w:bookmarkEnd w:id="185"/>
    </w:p>
    <w:p w14:paraId="517A7B32" w14:textId="2189DB71" w:rsidR="00613FFE" w:rsidRPr="00293659" w:rsidRDefault="00987E9F" w:rsidP="00613FFE">
      <w:pPr>
        <w:pStyle w:val="a3"/>
        <w:spacing w:after="120"/>
        <w:ind w:left="482" w:hanging="482"/>
        <w:rPr>
          <w:rFonts w:hAnsi="標楷體"/>
        </w:rPr>
      </w:pPr>
      <w:r w:rsidRPr="00293659">
        <w:rPr>
          <w:rFonts w:hAnsi="標楷體" w:hint="eastAsia"/>
          <w:b/>
          <w:lang w:eastAsia="zh-HK"/>
        </w:rPr>
        <w:lastRenderedPageBreak/>
        <w:t>中科院法人化後</w:t>
      </w:r>
      <w:r w:rsidRPr="00293659">
        <w:rPr>
          <w:rFonts w:hAnsi="標楷體" w:hint="eastAsia"/>
          <w:b/>
        </w:rPr>
        <w:t>1</w:t>
      </w:r>
      <w:r w:rsidRPr="00293659">
        <w:rPr>
          <w:rFonts w:hAnsi="標楷體"/>
          <w:b/>
        </w:rPr>
        <w:t>03</w:t>
      </w:r>
      <w:r w:rsidRPr="00293659">
        <w:rPr>
          <w:rFonts w:hAnsi="標楷體" w:hint="eastAsia"/>
          <w:b/>
        </w:rPr>
        <w:t>年</w:t>
      </w:r>
      <w:r w:rsidRPr="00293659">
        <w:rPr>
          <w:rFonts w:hAnsi="標楷體" w:hint="eastAsia"/>
          <w:b/>
          <w:lang w:eastAsia="zh-HK"/>
        </w:rPr>
        <w:t>至109年底採購統計</w:t>
      </w:r>
    </w:p>
    <w:tbl>
      <w:tblPr>
        <w:tblStyle w:val="afb"/>
        <w:tblW w:w="0" w:type="auto"/>
        <w:tblLook w:val="04A0" w:firstRow="1" w:lastRow="0" w:firstColumn="1" w:lastColumn="0" w:noHBand="0" w:noVBand="1"/>
      </w:tblPr>
      <w:tblGrid>
        <w:gridCol w:w="2479"/>
        <w:gridCol w:w="1457"/>
        <w:gridCol w:w="1266"/>
        <w:gridCol w:w="2306"/>
        <w:gridCol w:w="1326"/>
      </w:tblGrid>
      <w:tr w:rsidR="00293659" w:rsidRPr="00293659" w14:paraId="4DF2B23B" w14:textId="77777777" w:rsidTr="00175E48">
        <w:tc>
          <w:tcPr>
            <w:tcW w:w="2479" w:type="dxa"/>
            <w:tcBorders>
              <w:tl2br w:val="single" w:sz="4" w:space="0" w:color="auto"/>
            </w:tcBorders>
          </w:tcPr>
          <w:p w14:paraId="77233D9B" w14:textId="77777777" w:rsidR="00BF012E" w:rsidRPr="00293659" w:rsidRDefault="00175E48" w:rsidP="00175E48">
            <w:pPr>
              <w:pStyle w:val="2"/>
              <w:widowControl/>
              <w:numPr>
                <w:ilvl w:val="0"/>
                <w:numId w:val="0"/>
              </w:numPr>
              <w:overflowPunct/>
              <w:autoSpaceDE/>
              <w:autoSpaceDN/>
              <w:jc w:val="right"/>
              <w:rPr>
                <w:rFonts w:hAnsi="標楷體"/>
                <w:b/>
                <w:sz w:val="20"/>
                <w:szCs w:val="20"/>
              </w:rPr>
            </w:pPr>
            <w:bookmarkStart w:id="190" w:name="_Toc144140126"/>
            <w:bookmarkStart w:id="191" w:name="_Toc144211238"/>
            <w:bookmarkStart w:id="192" w:name="_Toc145510500"/>
            <w:r w:rsidRPr="00293659">
              <w:rPr>
                <w:rFonts w:hAnsi="標楷體" w:hint="eastAsia"/>
                <w:b/>
                <w:sz w:val="20"/>
                <w:szCs w:val="20"/>
              </w:rPr>
              <w:t>決標統計</w:t>
            </w:r>
            <w:bookmarkEnd w:id="190"/>
            <w:bookmarkEnd w:id="191"/>
            <w:bookmarkEnd w:id="192"/>
          </w:p>
          <w:p w14:paraId="26F02544" w14:textId="18DEE428" w:rsidR="00175E48" w:rsidRPr="00293659" w:rsidRDefault="00175E48" w:rsidP="00175E48">
            <w:pPr>
              <w:pStyle w:val="2"/>
              <w:widowControl/>
              <w:numPr>
                <w:ilvl w:val="0"/>
                <w:numId w:val="0"/>
              </w:numPr>
              <w:overflowPunct/>
              <w:autoSpaceDE/>
              <w:autoSpaceDN/>
              <w:jc w:val="left"/>
              <w:rPr>
                <w:rFonts w:hAnsi="標楷體"/>
                <w:b/>
                <w:sz w:val="20"/>
                <w:szCs w:val="20"/>
              </w:rPr>
            </w:pPr>
            <w:bookmarkStart w:id="193" w:name="_Toc144140127"/>
            <w:bookmarkStart w:id="194" w:name="_Toc144211239"/>
            <w:bookmarkStart w:id="195" w:name="_Toc145510501"/>
            <w:r w:rsidRPr="00293659">
              <w:rPr>
                <w:rFonts w:hAnsi="標楷體" w:hint="eastAsia"/>
                <w:b/>
                <w:sz w:val="20"/>
                <w:szCs w:val="20"/>
              </w:rPr>
              <w:t>採購方式</w:t>
            </w:r>
            <w:bookmarkEnd w:id="193"/>
            <w:bookmarkEnd w:id="194"/>
            <w:bookmarkEnd w:id="195"/>
          </w:p>
        </w:tc>
        <w:tc>
          <w:tcPr>
            <w:tcW w:w="1457" w:type="dxa"/>
            <w:vAlign w:val="center"/>
          </w:tcPr>
          <w:p w14:paraId="65D274A6" w14:textId="21C6F3C4" w:rsidR="00BF012E" w:rsidRPr="00293659" w:rsidRDefault="008C689B" w:rsidP="008C689B">
            <w:pPr>
              <w:pStyle w:val="2"/>
              <w:widowControl/>
              <w:numPr>
                <w:ilvl w:val="0"/>
                <w:numId w:val="0"/>
              </w:numPr>
              <w:overflowPunct/>
              <w:autoSpaceDE/>
              <w:autoSpaceDN/>
              <w:jc w:val="center"/>
              <w:rPr>
                <w:rFonts w:hAnsi="標楷體"/>
                <w:b/>
                <w:sz w:val="24"/>
                <w:szCs w:val="24"/>
              </w:rPr>
            </w:pPr>
            <w:bookmarkStart w:id="196" w:name="_Toc144140128"/>
            <w:bookmarkStart w:id="197" w:name="_Toc144211240"/>
            <w:bookmarkStart w:id="198" w:name="_Toc145510502"/>
            <w:r w:rsidRPr="00293659">
              <w:rPr>
                <w:rFonts w:hAnsi="標楷體" w:hint="eastAsia"/>
                <w:b/>
                <w:sz w:val="24"/>
                <w:szCs w:val="24"/>
              </w:rPr>
              <w:t>件數</w:t>
            </w:r>
            <w:r w:rsidRPr="00293659">
              <w:rPr>
                <w:rFonts w:hAnsi="標楷體" w:hint="eastAsia"/>
                <w:b/>
                <w:sz w:val="20"/>
                <w:szCs w:val="20"/>
              </w:rPr>
              <w:t>(件</w:t>
            </w:r>
            <w:r w:rsidRPr="00293659">
              <w:rPr>
                <w:rFonts w:hAnsi="標楷體"/>
                <w:b/>
                <w:sz w:val="20"/>
                <w:szCs w:val="20"/>
              </w:rPr>
              <w:t>)</w:t>
            </w:r>
            <w:bookmarkEnd w:id="196"/>
            <w:bookmarkEnd w:id="197"/>
            <w:bookmarkEnd w:id="198"/>
          </w:p>
        </w:tc>
        <w:tc>
          <w:tcPr>
            <w:tcW w:w="1266" w:type="dxa"/>
            <w:vAlign w:val="center"/>
          </w:tcPr>
          <w:p w14:paraId="55D1E111" w14:textId="14A149CC" w:rsidR="00BF012E" w:rsidRPr="00293659" w:rsidRDefault="008C689B" w:rsidP="00175E48">
            <w:pPr>
              <w:pStyle w:val="2"/>
              <w:widowControl/>
              <w:numPr>
                <w:ilvl w:val="0"/>
                <w:numId w:val="0"/>
              </w:numPr>
              <w:overflowPunct/>
              <w:autoSpaceDE/>
              <w:autoSpaceDN/>
              <w:ind w:leftChars="-29" w:left="-99" w:rightChars="-37" w:right="-126"/>
              <w:jc w:val="center"/>
              <w:rPr>
                <w:rFonts w:hAnsi="標楷體"/>
                <w:b/>
                <w:sz w:val="24"/>
                <w:szCs w:val="24"/>
              </w:rPr>
            </w:pPr>
            <w:bookmarkStart w:id="199" w:name="_Toc144140129"/>
            <w:bookmarkStart w:id="200" w:name="_Toc144211241"/>
            <w:bookmarkStart w:id="201" w:name="_Toc145510503"/>
            <w:r w:rsidRPr="00293659">
              <w:rPr>
                <w:rFonts w:hAnsi="標楷體" w:hint="eastAsia"/>
                <w:b/>
                <w:sz w:val="24"/>
                <w:szCs w:val="24"/>
              </w:rPr>
              <w:t>件數占比</w:t>
            </w:r>
            <w:bookmarkEnd w:id="199"/>
            <w:bookmarkEnd w:id="200"/>
            <w:bookmarkEnd w:id="201"/>
          </w:p>
        </w:tc>
        <w:tc>
          <w:tcPr>
            <w:tcW w:w="2306" w:type="dxa"/>
            <w:vAlign w:val="center"/>
          </w:tcPr>
          <w:p w14:paraId="6FB41E11" w14:textId="40CD5FCF" w:rsidR="00BF012E" w:rsidRPr="00293659" w:rsidRDefault="008C689B" w:rsidP="008C689B">
            <w:pPr>
              <w:pStyle w:val="2"/>
              <w:widowControl/>
              <w:numPr>
                <w:ilvl w:val="0"/>
                <w:numId w:val="0"/>
              </w:numPr>
              <w:overflowPunct/>
              <w:autoSpaceDE/>
              <w:autoSpaceDN/>
              <w:jc w:val="center"/>
              <w:rPr>
                <w:rFonts w:hAnsi="標楷體"/>
                <w:b/>
                <w:sz w:val="24"/>
                <w:szCs w:val="24"/>
              </w:rPr>
            </w:pPr>
            <w:bookmarkStart w:id="202" w:name="_Toc144140130"/>
            <w:bookmarkStart w:id="203" w:name="_Toc144211242"/>
            <w:bookmarkStart w:id="204" w:name="_Toc145510504"/>
            <w:r w:rsidRPr="00293659">
              <w:rPr>
                <w:rFonts w:hAnsi="標楷體" w:hint="eastAsia"/>
                <w:b/>
                <w:sz w:val="24"/>
                <w:szCs w:val="24"/>
              </w:rPr>
              <w:t>金額</w:t>
            </w:r>
            <w:r w:rsidRPr="00293659">
              <w:rPr>
                <w:rFonts w:hAnsi="標楷體" w:hint="eastAsia"/>
                <w:b/>
                <w:sz w:val="20"/>
                <w:szCs w:val="20"/>
              </w:rPr>
              <w:t>(元</w:t>
            </w:r>
            <w:r w:rsidRPr="00293659">
              <w:rPr>
                <w:rFonts w:hAnsi="標楷體"/>
                <w:b/>
                <w:sz w:val="20"/>
                <w:szCs w:val="20"/>
              </w:rPr>
              <w:t>)</w:t>
            </w:r>
            <w:bookmarkEnd w:id="202"/>
            <w:bookmarkEnd w:id="203"/>
            <w:bookmarkEnd w:id="204"/>
          </w:p>
        </w:tc>
        <w:tc>
          <w:tcPr>
            <w:tcW w:w="1326" w:type="dxa"/>
            <w:vAlign w:val="center"/>
          </w:tcPr>
          <w:p w14:paraId="6BF26AA8" w14:textId="0A98C618" w:rsidR="00BF012E" w:rsidRPr="00293659" w:rsidRDefault="008C689B" w:rsidP="00175E48">
            <w:pPr>
              <w:pStyle w:val="2"/>
              <w:widowControl/>
              <w:numPr>
                <w:ilvl w:val="0"/>
                <w:numId w:val="0"/>
              </w:numPr>
              <w:overflowPunct/>
              <w:autoSpaceDE/>
              <w:autoSpaceDN/>
              <w:ind w:leftChars="-31" w:left="-105" w:rightChars="-28" w:right="-95"/>
              <w:jc w:val="center"/>
              <w:rPr>
                <w:rFonts w:hAnsi="標楷體"/>
                <w:b/>
                <w:sz w:val="24"/>
                <w:szCs w:val="24"/>
              </w:rPr>
            </w:pPr>
            <w:bookmarkStart w:id="205" w:name="_Toc144140131"/>
            <w:bookmarkStart w:id="206" w:name="_Toc144211243"/>
            <w:bookmarkStart w:id="207" w:name="_Toc145510505"/>
            <w:r w:rsidRPr="00293659">
              <w:rPr>
                <w:rFonts w:hAnsi="標楷體" w:hint="eastAsia"/>
                <w:b/>
                <w:sz w:val="24"/>
                <w:szCs w:val="24"/>
              </w:rPr>
              <w:t>金額占比</w:t>
            </w:r>
            <w:bookmarkEnd w:id="205"/>
            <w:bookmarkEnd w:id="206"/>
            <w:bookmarkEnd w:id="207"/>
          </w:p>
        </w:tc>
      </w:tr>
      <w:tr w:rsidR="00293659" w:rsidRPr="00293659" w14:paraId="3CF34E61" w14:textId="77777777" w:rsidTr="00175E48">
        <w:tc>
          <w:tcPr>
            <w:tcW w:w="2479" w:type="dxa"/>
            <w:vAlign w:val="center"/>
          </w:tcPr>
          <w:p w14:paraId="2C5D4CE0" w14:textId="60FF607E"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208" w:name="_Toc144140132"/>
            <w:bookmarkStart w:id="209" w:name="_Toc144211244"/>
            <w:bookmarkStart w:id="210" w:name="_Toc145510506"/>
            <w:r w:rsidRPr="00293659">
              <w:rPr>
                <w:rFonts w:hAnsi="標楷體" w:hint="eastAsia"/>
                <w:b/>
                <w:sz w:val="24"/>
                <w:szCs w:val="24"/>
              </w:rPr>
              <w:t>公告招標</w:t>
            </w:r>
            <w:bookmarkEnd w:id="208"/>
            <w:bookmarkEnd w:id="209"/>
            <w:bookmarkEnd w:id="210"/>
          </w:p>
        </w:tc>
        <w:tc>
          <w:tcPr>
            <w:tcW w:w="1457" w:type="dxa"/>
            <w:vAlign w:val="center"/>
          </w:tcPr>
          <w:p w14:paraId="125AF10A" w14:textId="4025B9E2" w:rsidR="008C689B" w:rsidRPr="00293659" w:rsidRDefault="008C689B" w:rsidP="008C689B">
            <w:pPr>
              <w:pStyle w:val="2"/>
              <w:widowControl/>
              <w:numPr>
                <w:ilvl w:val="0"/>
                <w:numId w:val="0"/>
              </w:numPr>
              <w:overflowPunct/>
              <w:autoSpaceDE/>
              <w:autoSpaceDN/>
              <w:jc w:val="right"/>
              <w:rPr>
                <w:rFonts w:hAnsi="標楷體"/>
                <w:sz w:val="24"/>
                <w:szCs w:val="24"/>
              </w:rPr>
            </w:pPr>
            <w:bookmarkStart w:id="211" w:name="_Toc144140133"/>
            <w:bookmarkStart w:id="212" w:name="_Toc144211245"/>
            <w:bookmarkStart w:id="213" w:name="_Toc145510507"/>
            <w:r w:rsidRPr="00293659">
              <w:rPr>
                <w:rFonts w:hAnsi="標楷體" w:hint="eastAsia"/>
                <w:sz w:val="24"/>
                <w:szCs w:val="24"/>
              </w:rPr>
              <w:t>3,233</w:t>
            </w:r>
            <w:bookmarkEnd w:id="211"/>
            <w:bookmarkEnd w:id="212"/>
            <w:bookmarkEnd w:id="213"/>
          </w:p>
        </w:tc>
        <w:tc>
          <w:tcPr>
            <w:tcW w:w="1266" w:type="dxa"/>
            <w:vAlign w:val="center"/>
          </w:tcPr>
          <w:p w14:paraId="45DDC0EF" w14:textId="17C6A0CC" w:rsidR="008C689B" w:rsidRPr="00293659" w:rsidRDefault="008C689B" w:rsidP="008C689B">
            <w:pPr>
              <w:pStyle w:val="2"/>
              <w:widowControl/>
              <w:numPr>
                <w:ilvl w:val="0"/>
                <w:numId w:val="0"/>
              </w:numPr>
              <w:overflowPunct/>
              <w:autoSpaceDE/>
              <w:autoSpaceDN/>
              <w:jc w:val="right"/>
              <w:rPr>
                <w:rFonts w:hAnsi="標楷體"/>
                <w:sz w:val="24"/>
                <w:szCs w:val="24"/>
              </w:rPr>
            </w:pPr>
            <w:bookmarkStart w:id="214" w:name="_Toc144140134"/>
            <w:bookmarkStart w:id="215" w:name="_Toc144211246"/>
            <w:bookmarkStart w:id="216" w:name="_Toc145510508"/>
            <w:r w:rsidRPr="00293659">
              <w:rPr>
                <w:rFonts w:hAnsi="標楷體" w:hint="eastAsia"/>
                <w:sz w:val="24"/>
                <w:szCs w:val="24"/>
              </w:rPr>
              <w:t>3.669%</w:t>
            </w:r>
            <w:bookmarkEnd w:id="214"/>
            <w:bookmarkEnd w:id="215"/>
            <w:bookmarkEnd w:id="216"/>
          </w:p>
        </w:tc>
        <w:tc>
          <w:tcPr>
            <w:tcW w:w="2306" w:type="dxa"/>
            <w:vAlign w:val="center"/>
          </w:tcPr>
          <w:p w14:paraId="673F626B" w14:textId="2980BFF9" w:rsidR="008C689B" w:rsidRPr="00293659" w:rsidRDefault="008C689B" w:rsidP="008C689B">
            <w:pPr>
              <w:pStyle w:val="2"/>
              <w:widowControl/>
              <w:numPr>
                <w:ilvl w:val="0"/>
                <w:numId w:val="0"/>
              </w:numPr>
              <w:overflowPunct/>
              <w:autoSpaceDE/>
              <w:autoSpaceDN/>
              <w:jc w:val="right"/>
              <w:rPr>
                <w:rFonts w:hAnsi="標楷體"/>
                <w:sz w:val="24"/>
                <w:szCs w:val="24"/>
              </w:rPr>
            </w:pPr>
            <w:bookmarkStart w:id="217" w:name="_Toc144140135"/>
            <w:bookmarkStart w:id="218" w:name="_Toc144211247"/>
            <w:bookmarkStart w:id="219" w:name="_Toc145510509"/>
            <w:r w:rsidRPr="00293659">
              <w:rPr>
                <w:rFonts w:hAnsi="標楷體" w:hint="eastAsia"/>
                <w:sz w:val="24"/>
                <w:szCs w:val="24"/>
              </w:rPr>
              <w:t>44,167,981,728</w:t>
            </w:r>
            <w:bookmarkEnd w:id="217"/>
            <w:bookmarkEnd w:id="218"/>
            <w:bookmarkEnd w:id="219"/>
          </w:p>
        </w:tc>
        <w:tc>
          <w:tcPr>
            <w:tcW w:w="1326" w:type="dxa"/>
            <w:vAlign w:val="center"/>
          </w:tcPr>
          <w:p w14:paraId="05AF9BA9" w14:textId="0A238CFF" w:rsidR="008C689B" w:rsidRPr="00293659" w:rsidRDefault="008C689B" w:rsidP="008C689B">
            <w:pPr>
              <w:pStyle w:val="2"/>
              <w:widowControl/>
              <w:numPr>
                <w:ilvl w:val="0"/>
                <w:numId w:val="0"/>
              </w:numPr>
              <w:overflowPunct/>
              <w:autoSpaceDE/>
              <w:autoSpaceDN/>
              <w:jc w:val="right"/>
              <w:rPr>
                <w:rFonts w:hAnsi="標楷體"/>
                <w:sz w:val="24"/>
                <w:szCs w:val="24"/>
              </w:rPr>
            </w:pPr>
            <w:bookmarkStart w:id="220" w:name="_Toc144140136"/>
            <w:bookmarkStart w:id="221" w:name="_Toc144211248"/>
            <w:bookmarkStart w:id="222" w:name="_Toc145510510"/>
            <w:r w:rsidRPr="00293659">
              <w:rPr>
                <w:rFonts w:hAnsi="標楷體" w:hint="eastAsia"/>
                <w:sz w:val="24"/>
                <w:szCs w:val="24"/>
              </w:rPr>
              <w:t>16.27</w:t>
            </w:r>
            <w:r w:rsidR="00175E48" w:rsidRPr="00293659">
              <w:rPr>
                <w:rFonts w:hAnsi="標楷體"/>
                <w:sz w:val="24"/>
                <w:szCs w:val="24"/>
              </w:rPr>
              <w:t>1</w:t>
            </w:r>
            <w:r w:rsidRPr="00293659">
              <w:rPr>
                <w:rFonts w:hAnsi="標楷體" w:hint="eastAsia"/>
                <w:sz w:val="24"/>
                <w:szCs w:val="24"/>
              </w:rPr>
              <w:t>%</w:t>
            </w:r>
            <w:bookmarkEnd w:id="220"/>
            <w:bookmarkEnd w:id="221"/>
            <w:bookmarkEnd w:id="222"/>
          </w:p>
        </w:tc>
      </w:tr>
      <w:tr w:rsidR="00293659" w:rsidRPr="00293659" w14:paraId="5FC9DD01" w14:textId="77777777" w:rsidTr="00175E48">
        <w:tc>
          <w:tcPr>
            <w:tcW w:w="2479" w:type="dxa"/>
            <w:vAlign w:val="center"/>
          </w:tcPr>
          <w:p w14:paraId="4F267721" w14:textId="04EB7DF2"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223" w:name="_Toc144140137"/>
            <w:bookmarkStart w:id="224" w:name="_Toc144211249"/>
            <w:bookmarkStart w:id="225" w:name="_Toc145510511"/>
            <w:r w:rsidRPr="00293659">
              <w:rPr>
                <w:rFonts w:hAnsi="標楷體" w:hint="eastAsia"/>
                <w:b/>
                <w:sz w:val="24"/>
                <w:szCs w:val="24"/>
              </w:rPr>
              <w:t>公開招標</w:t>
            </w:r>
            <w:bookmarkEnd w:id="223"/>
            <w:bookmarkEnd w:id="224"/>
            <w:bookmarkEnd w:id="225"/>
          </w:p>
        </w:tc>
        <w:tc>
          <w:tcPr>
            <w:tcW w:w="1457" w:type="dxa"/>
            <w:vAlign w:val="center"/>
          </w:tcPr>
          <w:p w14:paraId="11B5106C" w14:textId="594B70CC" w:rsidR="008C689B" w:rsidRPr="00293659" w:rsidRDefault="008C689B" w:rsidP="008C689B">
            <w:pPr>
              <w:pStyle w:val="2"/>
              <w:widowControl/>
              <w:numPr>
                <w:ilvl w:val="0"/>
                <w:numId w:val="0"/>
              </w:numPr>
              <w:overflowPunct/>
              <w:autoSpaceDE/>
              <w:autoSpaceDN/>
              <w:jc w:val="right"/>
              <w:rPr>
                <w:rFonts w:hAnsi="標楷體"/>
                <w:sz w:val="24"/>
                <w:szCs w:val="24"/>
              </w:rPr>
            </w:pPr>
            <w:bookmarkStart w:id="226" w:name="_Toc144140138"/>
            <w:bookmarkStart w:id="227" w:name="_Toc144211250"/>
            <w:bookmarkStart w:id="228" w:name="_Toc145510512"/>
            <w:r w:rsidRPr="00293659">
              <w:rPr>
                <w:rFonts w:hAnsi="標楷體" w:hint="eastAsia"/>
                <w:sz w:val="24"/>
                <w:szCs w:val="24"/>
              </w:rPr>
              <w:t>293</w:t>
            </w:r>
            <w:bookmarkEnd w:id="226"/>
            <w:bookmarkEnd w:id="227"/>
            <w:bookmarkEnd w:id="228"/>
          </w:p>
        </w:tc>
        <w:tc>
          <w:tcPr>
            <w:tcW w:w="1266" w:type="dxa"/>
            <w:vAlign w:val="center"/>
          </w:tcPr>
          <w:p w14:paraId="6A43B422" w14:textId="074B3E9B" w:rsidR="008C689B" w:rsidRPr="00293659" w:rsidRDefault="008C689B" w:rsidP="008C689B">
            <w:pPr>
              <w:pStyle w:val="2"/>
              <w:widowControl/>
              <w:numPr>
                <w:ilvl w:val="0"/>
                <w:numId w:val="0"/>
              </w:numPr>
              <w:overflowPunct/>
              <w:autoSpaceDE/>
              <w:autoSpaceDN/>
              <w:jc w:val="right"/>
              <w:rPr>
                <w:rFonts w:hAnsi="標楷體"/>
                <w:sz w:val="24"/>
                <w:szCs w:val="24"/>
              </w:rPr>
            </w:pPr>
            <w:bookmarkStart w:id="229" w:name="_Toc144140139"/>
            <w:bookmarkStart w:id="230" w:name="_Toc144211251"/>
            <w:bookmarkStart w:id="231" w:name="_Toc145510513"/>
            <w:r w:rsidRPr="00293659">
              <w:rPr>
                <w:rFonts w:hAnsi="標楷體" w:hint="eastAsia"/>
                <w:sz w:val="24"/>
                <w:szCs w:val="24"/>
              </w:rPr>
              <w:t>0.33</w:t>
            </w:r>
            <w:r w:rsidRPr="00293659">
              <w:rPr>
                <w:rFonts w:hAnsi="標楷體"/>
                <w:sz w:val="24"/>
                <w:szCs w:val="24"/>
              </w:rPr>
              <w:t>2</w:t>
            </w:r>
            <w:r w:rsidRPr="00293659">
              <w:rPr>
                <w:rFonts w:hAnsi="標楷體" w:hint="eastAsia"/>
                <w:sz w:val="24"/>
                <w:szCs w:val="24"/>
              </w:rPr>
              <w:t>%</w:t>
            </w:r>
            <w:bookmarkEnd w:id="229"/>
            <w:bookmarkEnd w:id="230"/>
            <w:bookmarkEnd w:id="231"/>
          </w:p>
        </w:tc>
        <w:tc>
          <w:tcPr>
            <w:tcW w:w="2306" w:type="dxa"/>
            <w:vAlign w:val="center"/>
          </w:tcPr>
          <w:p w14:paraId="42625F55" w14:textId="4D05A572" w:rsidR="008C689B" w:rsidRPr="00293659" w:rsidRDefault="008C689B" w:rsidP="008C689B">
            <w:pPr>
              <w:pStyle w:val="2"/>
              <w:widowControl/>
              <w:numPr>
                <w:ilvl w:val="0"/>
                <w:numId w:val="0"/>
              </w:numPr>
              <w:overflowPunct/>
              <w:autoSpaceDE/>
              <w:autoSpaceDN/>
              <w:jc w:val="right"/>
              <w:rPr>
                <w:rFonts w:hAnsi="標楷體"/>
                <w:sz w:val="24"/>
                <w:szCs w:val="24"/>
              </w:rPr>
            </w:pPr>
            <w:bookmarkStart w:id="232" w:name="_Toc144140140"/>
            <w:bookmarkStart w:id="233" w:name="_Toc144211252"/>
            <w:bookmarkStart w:id="234" w:name="_Toc145510514"/>
            <w:r w:rsidRPr="00293659">
              <w:rPr>
                <w:rFonts w:hAnsi="標楷體" w:hint="eastAsia"/>
                <w:sz w:val="24"/>
                <w:szCs w:val="24"/>
              </w:rPr>
              <w:t>5,862,447,353</w:t>
            </w:r>
            <w:bookmarkEnd w:id="232"/>
            <w:bookmarkEnd w:id="233"/>
            <w:bookmarkEnd w:id="234"/>
          </w:p>
        </w:tc>
        <w:tc>
          <w:tcPr>
            <w:tcW w:w="1326" w:type="dxa"/>
            <w:vAlign w:val="center"/>
          </w:tcPr>
          <w:p w14:paraId="52F017B2" w14:textId="1C8AB9D0" w:rsidR="008C689B" w:rsidRPr="00293659" w:rsidRDefault="008C689B" w:rsidP="008C689B">
            <w:pPr>
              <w:pStyle w:val="2"/>
              <w:widowControl/>
              <w:numPr>
                <w:ilvl w:val="0"/>
                <w:numId w:val="0"/>
              </w:numPr>
              <w:overflowPunct/>
              <w:autoSpaceDE/>
              <w:autoSpaceDN/>
              <w:jc w:val="right"/>
              <w:rPr>
                <w:rFonts w:hAnsi="標楷體"/>
                <w:sz w:val="24"/>
                <w:szCs w:val="24"/>
              </w:rPr>
            </w:pPr>
            <w:bookmarkStart w:id="235" w:name="_Toc144140141"/>
            <w:bookmarkStart w:id="236" w:name="_Toc144211253"/>
            <w:bookmarkStart w:id="237" w:name="_Toc145510515"/>
            <w:r w:rsidRPr="00293659">
              <w:rPr>
                <w:rFonts w:hAnsi="標楷體" w:hint="eastAsia"/>
                <w:sz w:val="24"/>
                <w:szCs w:val="24"/>
              </w:rPr>
              <w:t>2.1</w:t>
            </w:r>
            <w:r w:rsidR="00175E48" w:rsidRPr="00293659">
              <w:rPr>
                <w:rFonts w:hAnsi="標楷體"/>
                <w:sz w:val="24"/>
                <w:szCs w:val="24"/>
              </w:rPr>
              <w:t>60</w:t>
            </w:r>
            <w:r w:rsidRPr="00293659">
              <w:rPr>
                <w:rFonts w:hAnsi="標楷體" w:hint="eastAsia"/>
                <w:sz w:val="24"/>
                <w:szCs w:val="24"/>
              </w:rPr>
              <w:t>%</w:t>
            </w:r>
            <w:bookmarkEnd w:id="235"/>
            <w:bookmarkEnd w:id="236"/>
            <w:bookmarkEnd w:id="237"/>
          </w:p>
        </w:tc>
      </w:tr>
      <w:tr w:rsidR="00293659" w:rsidRPr="00293659" w14:paraId="3353A7D9" w14:textId="77777777" w:rsidTr="00175E48">
        <w:tc>
          <w:tcPr>
            <w:tcW w:w="2479" w:type="dxa"/>
            <w:tcBorders>
              <w:bottom w:val="double" w:sz="4" w:space="0" w:color="auto"/>
            </w:tcBorders>
            <w:vAlign w:val="center"/>
          </w:tcPr>
          <w:p w14:paraId="670CC865" w14:textId="3264BC20"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238" w:name="_Toc144140142"/>
            <w:bookmarkStart w:id="239" w:name="_Toc144211254"/>
            <w:bookmarkStart w:id="240" w:name="_Toc145510516"/>
            <w:r w:rsidRPr="00293659">
              <w:rPr>
                <w:rFonts w:hAnsi="標楷體" w:hint="eastAsia"/>
                <w:b/>
                <w:sz w:val="24"/>
                <w:szCs w:val="24"/>
              </w:rPr>
              <w:t>公開取得廠商報價</w:t>
            </w:r>
            <w:bookmarkEnd w:id="238"/>
            <w:bookmarkEnd w:id="239"/>
            <w:bookmarkEnd w:id="240"/>
          </w:p>
        </w:tc>
        <w:tc>
          <w:tcPr>
            <w:tcW w:w="1457" w:type="dxa"/>
            <w:tcBorders>
              <w:bottom w:val="double" w:sz="4" w:space="0" w:color="auto"/>
            </w:tcBorders>
            <w:vAlign w:val="center"/>
          </w:tcPr>
          <w:p w14:paraId="7070AE7E" w14:textId="1E15A3FD" w:rsidR="008C689B" w:rsidRPr="00293659" w:rsidRDefault="008C689B" w:rsidP="008C689B">
            <w:pPr>
              <w:pStyle w:val="2"/>
              <w:widowControl/>
              <w:numPr>
                <w:ilvl w:val="0"/>
                <w:numId w:val="0"/>
              </w:numPr>
              <w:overflowPunct/>
              <w:autoSpaceDE/>
              <w:autoSpaceDN/>
              <w:jc w:val="right"/>
              <w:rPr>
                <w:rFonts w:hAnsi="標楷體"/>
                <w:sz w:val="24"/>
                <w:szCs w:val="24"/>
              </w:rPr>
            </w:pPr>
            <w:bookmarkStart w:id="241" w:name="_Toc144140143"/>
            <w:bookmarkStart w:id="242" w:name="_Toc144211255"/>
            <w:bookmarkStart w:id="243" w:name="_Toc145510517"/>
            <w:r w:rsidRPr="00293659">
              <w:rPr>
                <w:rFonts w:hAnsi="標楷體" w:hint="eastAsia"/>
                <w:sz w:val="24"/>
                <w:szCs w:val="24"/>
              </w:rPr>
              <w:t>12</w:t>
            </w:r>
            <w:bookmarkEnd w:id="241"/>
            <w:bookmarkEnd w:id="242"/>
            <w:bookmarkEnd w:id="243"/>
          </w:p>
        </w:tc>
        <w:tc>
          <w:tcPr>
            <w:tcW w:w="1266" w:type="dxa"/>
            <w:tcBorders>
              <w:bottom w:val="double" w:sz="4" w:space="0" w:color="auto"/>
            </w:tcBorders>
            <w:vAlign w:val="center"/>
          </w:tcPr>
          <w:p w14:paraId="2DE315E1" w14:textId="3BAC8DB9" w:rsidR="008C689B" w:rsidRPr="00293659" w:rsidRDefault="008C689B" w:rsidP="008C689B">
            <w:pPr>
              <w:pStyle w:val="2"/>
              <w:widowControl/>
              <w:numPr>
                <w:ilvl w:val="0"/>
                <w:numId w:val="0"/>
              </w:numPr>
              <w:overflowPunct/>
              <w:autoSpaceDE/>
              <w:autoSpaceDN/>
              <w:jc w:val="right"/>
              <w:rPr>
                <w:rFonts w:hAnsi="標楷體"/>
                <w:sz w:val="24"/>
                <w:szCs w:val="24"/>
              </w:rPr>
            </w:pPr>
            <w:bookmarkStart w:id="244" w:name="_Toc144140144"/>
            <w:bookmarkStart w:id="245" w:name="_Toc144211256"/>
            <w:bookmarkStart w:id="246" w:name="_Toc145510518"/>
            <w:r w:rsidRPr="00293659">
              <w:rPr>
                <w:rFonts w:hAnsi="標楷體" w:hint="eastAsia"/>
                <w:sz w:val="24"/>
                <w:szCs w:val="24"/>
              </w:rPr>
              <w:t>0.01</w:t>
            </w:r>
            <w:r w:rsidRPr="00293659">
              <w:rPr>
                <w:rFonts w:hAnsi="標楷體"/>
                <w:sz w:val="24"/>
                <w:szCs w:val="24"/>
              </w:rPr>
              <w:t>4</w:t>
            </w:r>
            <w:r w:rsidRPr="00293659">
              <w:rPr>
                <w:rFonts w:hAnsi="標楷體" w:hint="eastAsia"/>
                <w:sz w:val="24"/>
                <w:szCs w:val="24"/>
              </w:rPr>
              <w:t>%</w:t>
            </w:r>
            <w:bookmarkEnd w:id="244"/>
            <w:bookmarkEnd w:id="245"/>
            <w:bookmarkEnd w:id="246"/>
          </w:p>
        </w:tc>
        <w:tc>
          <w:tcPr>
            <w:tcW w:w="2306" w:type="dxa"/>
            <w:tcBorders>
              <w:bottom w:val="double" w:sz="4" w:space="0" w:color="auto"/>
            </w:tcBorders>
            <w:vAlign w:val="center"/>
          </w:tcPr>
          <w:p w14:paraId="7BCB272F" w14:textId="38652601" w:rsidR="008C689B" w:rsidRPr="00293659" w:rsidRDefault="008C689B" w:rsidP="008C689B">
            <w:pPr>
              <w:pStyle w:val="2"/>
              <w:widowControl/>
              <w:numPr>
                <w:ilvl w:val="0"/>
                <w:numId w:val="0"/>
              </w:numPr>
              <w:overflowPunct/>
              <w:autoSpaceDE/>
              <w:autoSpaceDN/>
              <w:jc w:val="right"/>
              <w:rPr>
                <w:rFonts w:hAnsi="標楷體"/>
                <w:sz w:val="24"/>
                <w:szCs w:val="24"/>
              </w:rPr>
            </w:pPr>
            <w:bookmarkStart w:id="247" w:name="_Toc144140145"/>
            <w:bookmarkStart w:id="248" w:name="_Toc144211257"/>
            <w:bookmarkStart w:id="249" w:name="_Toc145510519"/>
            <w:r w:rsidRPr="00293659">
              <w:rPr>
                <w:rFonts w:hAnsi="標楷體" w:hint="eastAsia"/>
                <w:sz w:val="24"/>
                <w:szCs w:val="24"/>
              </w:rPr>
              <w:t>8,039,500</w:t>
            </w:r>
            <w:bookmarkEnd w:id="247"/>
            <w:bookmarkEnd w:id="248"/>
            <w:bookmarkEnd w:id="249"/>
          </w:p>
        </w:tc>
        <w:tc>
          <w:tcPr>
            <w:tcW w:w="1326" w:type="dxa"/>
            <w:tcBorders>
              <w:bottom w:val="double" w:sz="4" w:space="0" w:color="auto"/>
            </w:tcBorders>
            <w:vAlign w:val="center"/>
          </w:tcPr>
          <w:p w14:paraId="3BAB3D18" w14:textId="11071ED5" w:rsidR="008C689B" w:rsidRPr="00293659" w:rsidRDefault="008C689B" w:rsidP="008C689B">
            <w:pPr>
              <w:pStyle w:val="2"/>
              <w:widowControl/>
              <w:numPr>
                <w:ilvl w:val="0"/>
                <w:numId w:val="0"/>
              </w:numPr>
              <w:overflowPunct/>
              <w:autoSpaceDE/>
              <w:autoSpaceDN/>
              <w:jc w:val="right"/>
              <w:rPr>
                <w:rFonts w:hAnsi="標楷體"/>
                <w:sz w:val="24"/>
                <w:szCs w:val="24"/>
              </w:rPr>
            </w:pPr>
            <w:bookmarkStart w:id="250" w:name="_Toc144140146"/>
            <w:bookmarkStart w:id="251" w:name="_Toc144211258"/>
            <w:bookmarkStart w:id="252" w:name="_Toc145510520"/>
            <w:r w:rsidRPr="00293659">
              <w:rPr>
                <w:rFonts w:hAnsi="標楷體" w:hint="eastAsia"/>
                <w:sz w:val="24"/>
                <w:szCs w:val="24"/>
              </w:rPr>
              <w:t>0.003%</w:t>
            </w:r>
            <w:bookmarkEnd w:id="250"/>
            <w:bookmarkEnd w:id="251"/>
            <w:bookmarkEnd w:id="252"/>
          </w:p>
        </w:tc>
      </w:tr>
      <w:tr w:rsidR="00293659" w:rsidRPr="00293659" w14:paraId="44D1DB2C" w14:textId="77777777" w:rsidTr="00175E48">
        <w:tc>
          <w:tcPr>
            <w:tcW w:w="2479" w:type="dxa"/>
            <w:tcBorders>
              <w:top w:val="double" w:sz="4" w:space="0" w:color="auto"/>
              <w:bottom w:val="double" w:sz="4" w:space="0" w:color="auto"/>
            </w:tcBorders>
            <w:vAlign w:val="center"/>
          </w:tcPr>
          <w:p w14:paraId="61BC7491" w14:textId="00297674" w:rsidR="008C689B" w:rsidRPr="00293659" w:rsidRDefault="008C689B" w:rsidP="00FE1961">
            <w:pPr>
              <w:pStyle w:val="2"/>
              <w:widowControl/>
              <w:numPr>
                <w:ilvl w:val="0"/>
                <w:numId w:val="0"/>
              </w:numPr>
              <w:overflowPunct/>
              <w:autoSpaceDE/>
              <w:autoSpaceDN/>
              <w:spacing w:beforeLines="15" w:before="68" w:afterLines="15" w:after="68"/>
              <w:jc w:val="center"/>
              <w:rPr>
                <w:rFonts w:hAnsi="標楷體"/>
                <w:b/>
                <w:sz w:val="24"/>
                <w:szCs w:val="24"/>
              </w:rPr>
            </w:pPr>
            <w:bookmarkStart w:id="253" w:name="_Toc144140147"/>
            <w:bookmarkStart w:id="254" w:name="_Toc144211259"/>
            <w:bookmarkStart w:id="255" w:name="_Toc145510521"/>
            <w:r w:rsidRPr="00293659">
              <w:rPr>
                <w:rFonts w:hAnsi="標楷體" w:hint="eastAsia"/>
                <w:b/>
                <w:sz w:val="24"/>
                <w:szCs w:val="24"/>
              </w:rPr>
              <w:t>公告</w:t>
            </w:r>
            <w:r w:rsidRPr="00293659">
              <w:rPr>
                <w:rFonts w:ascii="新細明體" w:eastAsia="新細明體" w:hAnsi="新細明體" w:hint="eastAsia"/>
                <w:b/>
                <w:sz w:val="24"/>
                <w:szCs w:val="24"/>
              </w:rPr>
              <w:t>、</w:t>
            </w:r>
            <w:r w:rsidRPr="00293659">
              <w:rPr>
                <w:rFonts w:hAnsi="標楷體" w:hint="eastAsia"/>
                <w:b/>
                <w:sz w:val="24"/>
                <w:szCs w:val="24"/>
              </w:rPr>
              <w:t>公開小計</w:t>
            </w:r>
            <w:bookmarkEnd w:id="253"/>
            <w:bookmarkEnd w:id="254"/>
            <w:bookmarkEnd w:id="255"/>
          </w:p>
        </w:tc>
        <w:tc>
          <w:tcPr>
            <w:tcW w:w="1457" w:type="dxa"/>
            <w:tcBorders>
              <w:top w:val="double" w:sz="4" w:space="0" w:color="auto"/>
              <w:bottom w:val="double" w:sz="4" w:space="0" w:color="auto"/>
            </w:tcBorders>
            <w:vAlign w:val="center"/>
          </w:tcPr>
          <w:p w14:paraId="15D0D477" w14:textId="5A266A02" w:rsidR="008C689B" w:rsidRPr="00293659" w:rsidRDefault="008C689B" w:rsidP="008C689B">
            <w:pPr>
              <w:pStyle w:val="2"/>
              <w:widowControl/>
              <w:numPr>
                <w:ilvl w:val="0"/>
                <w:numId w:val="0"/>
              </w:numPr>
              <w:overflowPunct/>
              <w:autoSpaceDE/>
              <w:autoSpaceDN/>
              <w:jc w:val="right"/>
              <w:rPr>
                <w:rFonts w:hAnsi="標楷體"/>
                <w:sz w:val="24"/>
                <w:szCs w:val="24"/>
              </w:rPr>
            </w:pPr>
            <w:bookmarkStart w:id="256" w:name="_Toc144140148"/>
            <w:bookmarkStart w:id="257" w:name="_Toc144211260"/>
            <w:bookmarkStart w:id="258" w:name="_Toc145510522"/>
            <w:r w:rsidRPr="00293659">
              <w:rPr>
                <w:rFonts w:hAnsi="標楷體" w:hint="eastAsia"/>
                <w:sz w:val="24"/>
                <w:szCs w:val="24"/>
              </w:rPr>
              <w:t>3,538</w:t>
            </w:r>
            <w:bookmarkEnd w:id="256"/>
            <w:bookmarkEnd w:id="257"/>
            <w:bookmarkEnd w:id="258"/>
          </w:p>
        </w:tc>
        <w:tc>
          <w:tcPr>
            <w:tcW w:w="1266" w:type="dxa"/>
            <w:tcBorders>
              <w:top w:val="double" w:sz="4" w:space="0" w:color="auto"/>
              <w:bottom w:val="double" w:sz="4" w:space="0" w:color="auto"/>
            </w:tcBorders>
            <w:vAlign w:val="center"/>
          </w:tcPr>
          <w:p w14:paraId="0773A164" w14:textId="098DDBF9" w:rsidR="008C689B" w:rsidRPr="00293659" w:rsidRDefault="008C689B" w:rsidP="008C689B">
            <w:pPr>
              <w:pStyle w:val="2"/>
              <w:widowControl/>
              <w:numPr>
                <w:ilvl w:val="0"/>
                <w:numId w:val="0"/>
              </w:numPr>
              <w:overflowPunct/>
              <w:autoSpaceDE/>
              <w:autoSpaceDN/>
              <w:jc w:val="right"/>
              <w:rPr>
                <w:rFonts w:hAnsi="標楷體"/>
                <w:sz w:val="24"/>
                <w:szCs w:val="24"/>
              </w:rPr>
            </w:pPr>
            <w:bookmarkStart w:id="259" w:name="_Toc144140149"/>
            <w:bookmarkStart w:id="260" w:name="_Toc144211261"/>
            <w:bookmarkStart w:id="261" w:name="_Toc145510523"/>
            <w:r w:rsidRPr="00293659">
              <w:rPr>
                <w:rFonts w:hAnsi="標楷體" w:hint="eastAsia"/>
                <w:sz w:val="24"/>
                <w:szCs w:val="24"/>
              </w:rPr>
              <w:t>4.01</w:t>
            </w:r>
            <w:r w:rsidRPr="00293659">
              <w:rPr>
                <w:rFonts w:hAnsi="標楷體"/>
                <w:sz w:val="24"/>
                <w:szCs w:val="24"/>
              </w:rPr>
              <w:t>5</w:t>
            </w:r>
            <w:r w:rsidRPr="00293659">
              <w:rPr>
                <w:rFonts w:hAnsi="標楷體" w:hint="eastAsia"/>
                <w:sz w:val="24"/>
                <w:szCs w:val="24"/>
              </w:rPr>
              <w:t>%</w:t>
            </w:r>
            <w:bookmarkEnd w:id="259"/>
            <w:bookmarkEnd w:id="260"/>
            <w:bookmarkEnd w:id="261"/>
          </w:p>
        </w:tc>
        <w:tc>
          <w:tcPr>
            <w:tcW w:w="2306" w:type="dxa"/>
            <w:tcBorders>
              <w:top w:val="double" w:sz="4" w:space="0" w:color="auto"/>
              <w:bottom w:val="double" w:sz="4" w:space="0" w:color="auto"/>
            </w:tcBorders>
            <w:vAlign w:val="center"/>
          </w:tcPr>
          <w:p w14:paraId="7A0329BB" w14:textId="204B6E12" w:rsidR="008C689B" w:rsidRPr="00293659" w:rsidRDefault="008C689B" w:rsidP="008C689B">
            <w:pPr>
              <w:pStyle w:val="2"/>
              <w:widowControl/>
              <w:numPr>
                <w:ilvl w:val="0"/>
                <w:numId w:val="0"/>
              </w:numPr>
              <w:overflowPunct/>
              <w:autoSpaceDE/>
              <w:autoSpaceDN/>
              <w:jc w:val="right"/>
              <w:rPr>
                <w:rFonts w:hAnsi="標楷體"/>
                <w:sz w:val="24"/>
                <w:szCs w:val="24"/>
              </w:rPr>
            </w:pPr>
            <w:bookmarkStart w:id="262" w:name="_Toc144140150"/>
            <w:bookmarkStart w:id="263" w:name="_Toc144211262"/>
            <w:bookmarkStart w:id="264" w:name="_Toc145510524"/>
            <w:r w:rsidRPr="00293659">
              <w:rPr>
                <w:rFonts w:hAnsi="標楷體" w:hint="eastAsia"/>
                <w:sz w:val="24"/>
                <w:szCs w:val="24"/>
              </w:rPr>
              <w:t>50,038,468,581</w:t>
            </w:r>
            <w:bookmarkEnd w:id="262"/>
            <w:bookmarkEnd w:id="263"/>
            <w:bookmarkEnd w:id="264"/>
          </w:p>
        </w:tc>
        <w:tc>
          <w:tcPr>
            <w:tcW w:w="1326" w:type="dxa"/>
            <w:tcBorders>
              <w:top w:val="double" w:sz="4" w:space="0" w:color="auto"/>
              <w:bottom w:val="double" w:sz="4" w:space="0" w:color="auto"/>
            </w:tcBorders>
            <w:vAlign w:val="center"/>
          </w:tcPr>
          <w:p w14:paraId="6664D1CF" w14:textId="593682AE" w:rsidR="008C689B" w:rsidRPr="00293659" w:rsidRDefault="008C689B" w:rsidP="008C689B">
            <w:pPr>
              <w:pStyle w:val="2"/>
              <w:widowControl/>
              <w:numPr>
                <w:ilvl w:val="0"/>
                <w:numId w:val="0"/>
              </w:numPr>
              <w:overflowPunct/>
              <w:autoSpaceDE/>
              <w:autoSpaceDN/>
              <w:jc w:val="right"/>
              <w:rPr>
                <w:rFonts w:hAnsi="標楷體"/>
                <w:sz w:val="24"/>
                <w:szCs w:val="24"/>
              </w:rPr>
            </w:pPr>
            <w:bookmarkStart w:id="265" w:name="_Toc144140151"/>
            <w:bookmarkStart w:id="266" w:name="_Toc144211263"/>
            <w:bookmarkStart w:id="267" w:name="_Toc145510525"/>
            <w:r w:rsidRPr="00293659">
              <w:rPr>
                <w:rFonts w:hAnsi="標楷體" w:hint="eastAsia"/>
                <w:sz w:val="24"/>
                <w:szCs w:val="24"/>
              </w:rPr>
              <w:t>18.434%</w:t>
            </w:r>
            <w:bookmarkEnd w:id="265"/>
            <w:bookmarkEnd w:id="266"/>
            <w:bookmarkEnd w:id="267"/>
          </w:p>
        </w:tc>
      </w:tr>
      <w:tr w:rsidR="00293659" w:rsidRPr="00293659" w14:paraId="236062AE" w14:textId="77777777" w:rsidTr="00175E48">
        <w:tc>
          <w:tcPr>
            <w:tcW w:w="2479" w:type="dxa"/>
            <w:tcBorders>
              <w:top w:val="double" w:sz="4" w:space="0" w:color="auto"/>
            </w:tcBorders>
            <w:vAlign w:val="center"/>
          </w:tcPr>
          <w:p w14:paraId="53490BD7" w14:textId="57528A73"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268" w:name="_Toc144140152"/>
            <w:bookmarkStart w:id="269" w:name="_Toc144211264"/>
            <w:bookmarkStart w:id="270" w:name="_Toc145510526"/>
            <w:r w:rsidRPr="00293659">
              <w:rPr>
                <w:rFonts w:hAnsi="標楷體" w:hint="eastAsia"/>
                <w:b/>
                <w:sz w:val="24"/>
                <w:szCs w:val="24"/>
              </w:rPr>
              <w:t>限制性招標</w:t>
            </w:r>
            <w:bookmarkEnd w:id="268"/>
            <w:bookmarkEnd w:id="269"/>
            <w:bookmarkEnd w:id="270"/>
          </w:p>
        </w:tc>
        <w:tc>
          <w:tcPr>
            <w:tcW w:w="1457" w:type="dxa"/>
            <w:tcBorders>
              <w:top w:val="double" w:sz="4" w:space="0" w:color="auto"/>
            </w:tcBorders>
            <w:vAlign w:val="center"/>
          </w:tcPr>
          <w:p w14:paraId="3458210E" w14:textId="1496494D" w:rsidR="008C689B" w:rsidRPr="00293659" w:rsidRDefault="008C689B" w:rsidP="008C689B">
            <w:pPr>
              <w:pStyle w:val="2"/>
              <w:widowControl/>
              <w:numPr>
                <w:ilvl w:val="0"/>
                <w:numId w:val="0"/>
              </w:numPr>
              <w:overflowPunct/>
              <w:autoSpaceDE/>
              <w:autoSpaceDN/>
              <w:jc w:val="right"/>
              <w:rPr>
                <w:rFonts w:hAnsi="標楷體"/>
                <w:sz w:val="24"/>
                <w:szCs w:val="24"/>
              </w:rPr>
            </w:pPr>
            <w:bookmarkStart w:id="271" w:name="_Toc144140153"/>
            <w:bookmarkStart w:id="272" w:name="_Toc144211265"/>
            <w:bookmarkStart w:id="273" w:name="_Toc145510527"/>
            <w:r w:rsidRPr="00293659">
              <w:rPr>
                <w:rFonts w:hAnsi="標楷體" w:hint="eastAsia"/>
                <w:sz w:val="24"/>
                <w:szCs w:val="24"/>
              </w:rPr>
              <w:t>52</w:t>
            </w:r>
            <w:bookmarkEnd w:id="271"/>
            <w:bookmarkEnd w:id="272"/>
            <w:bookmarkEnd w:id="273"/>
          </w:p>
        </w:tc>
        <w:tc>
          <w:tcPr>
            <w:tcW w:w="1266" w:type="dxa"/>
            <w:tcBorders>
              <w:top w:val="double" w:sz="4" w:space="0" w:color="auto"/>
            </w:tcBorders>
            <w:vAlign w:val="center"/>
          </w:tcPr>
          <w:p w14:paraId="33F8E9C8" w14:textId="6CAD74D5" w:rsidR="008C689B" w:rsidRPr="00293659" w:rsidRDefault="008C689B" w:rsidP="008C689B">
            <w:pPr>
              <w:pStyle w:val="2"/>
              <w:widowControl/>
              <w:numPr>
                <w:ilvl w:val="0"/>
                <w:numId w:val="0"/>
              </w:numPr>
              <w:overflowPunct/>
              <w:autoSpaceDE/>
              <w:autoSpaceDN/>
              <w:jc w:val="right"/>
              <w:rPr>
                <w:rFonts w:hAnsi="標楷體"/>
                <w:sz w:val="24"/>
                <w:szCs w:val="24"/>
              </w:rPr>
            </w:pPr>
            <w:bookmarkStart w:id="274" w:name="_Toc144140154"/>
            <w:bookmarkStart w:id="275" w:name="_Toc144211266"/>
            <w:bookmarkStart w:id="276" w:name="_Toc145510528"/>
            <w:r w:rsidRPr="00293659">
              <w:rPr>
                <w:rFonts w:hAnsi="標楷體" w:hint="eastAsia"/>
                <w:sz w:val="24"/>
                <w:szCs w:val="24"/>
              </w:rPr>
              <w:t>0.059%</w:t>
            </w:r>
            <w:bookmarkEnd w:id="274"/>
            <w:bookmarkEnd w:id="275"/>
            <w:bookmarkEnd w:id="276"/>
          </w:p>
        </w:tc>
        <w:tc>
          <w:tcPr>
            <w:tcW w:w="2306" w:type="dxa"/>
            <w:tcBorders>
              <w:top w:val="double" w:sz="4" w:space="0" w:color="auto"/>
            </w:tcBorders>
            <w:vAlign w:val="center"/>
          </w:tcPr>
          <w:p w14:paraId="6F2D735F" w14:textId="24A17C21" w:rsidR="008C689B" w:rsidRPr="00293659" w:rsidRDefault="008C689B" w:rsidP="008C689B">
            <w:pPr>
              <w:pStyle w:val="2"/>
              <w:widowControl/>
              <w:numPr>
                <w:ilvl w:val="0"/>
                <w:numId w:val="0"/>
              </w:numPr>
              <w:overflowPunct/>
              <w:autoSpaceDE/>
              <w:autoSpaceDN/>
              <w:jc w:val="right"/>
              <w:rPr>
                <w:rFonts w:hAnsi="標楷體"/>
                <w:sz w:val="24"/>
                <w:szCs w:val="24"/>
              </w:rPr>
            </w:pPr>
            <w:bookmarkStart w:id="277" w:name="_Toc144140155"/>
            <w:bookmarkStart w:id="278" w:name="_Toc144211267"/>
            <w:bookmarkStart w:id="279" w:name="_Toc145510529"/>
            <w:r w:rsidRPr="00293659">
              <w:rPr>
                <w:rFonts w:hAnsi="標楷體" w:hint="eastAsia"/>
                <w:sz w:val="24"/>
                <w:szCs w:val="24"/>
              </w:rPr>
              <w:t>113,020,581</w:t>
            </w:r>
            <w:bookmarkEnd w:id="277"/>
            <w:bookmarkEnd w:id="278"/>
            <w:bookmarkEnd w:id="279"/>
          </w:p>
        </w:tc>
        <w:tc>
          <w:tcPr>
            <w:tcW w:w="1326" w:type="dxa"/>
            <w:tcBorders>
              <w:top w:val="double" w:sz="4" w:space="0" w:color="auto"/>
            </w:tcBorders>
            <w:vAlign w:val="center"/>
          </w:tcPr>
          <w:p w14:paraId="3DAFFBEC" w14:textId="62FAFBA6" w:rsidR="008C689B" w:rsidRPr="00293659" w:rsidRDefault="008C689B" w:rsidP="008C689B">
            <w:pPr>
              <w:pStyle w:val="2"/>
              <w:widowControl/>
              <w:numPr>
                <w:ilvl w:val="0"/>
                <w:numId w:val="0"/>
              </w:numPr>
              <w:overflowPunct/>
              <w:autoSpaceDE/>
              <w:autoSpaceDN/>
              <w:jc w:val="right"/>
              <w:rPr>
                <w:rFonts w:hAnsi="標楷體"/>
                <w:sz w:val="24"/>
                <w:szCs w:val="24"/>
              </w:rPr>
            </w:pPr>
            <w:bookmarkStart w:id="280" w:name="_Toc144140156"/>
            <w:bookmarkStart w:id="281" w:name="_Toc144211268"/>
            <w:bookmarkStart w:id="282" w:name="_Toc145510530"/>
            <w:r w:rsidRPr="00293659">
              <w:rPr>
                <w:rFonts w:hAnsi="標楷體" w:hint="eastAsia"/>
                <w:sz w:val="24"/>
                <w:szCs w:val="24"/>
              </w:rPr>
              <w:t>0.04</w:t>
            </w:r>
            <w:r w:rsidR="00175E48" w:rsidRPr="00293659">
              <w:rPr>
                <w:rFonts w:hAnsi="標楷體"/>
                <w:sz w:val="24"/>
                <w:szCs w:val="24"/>
              </w:rPr>
              <w:t>2</w:t>
            </w:r>
            <w:r w:rsidRPr="00293659">
              <w:rPr>
                <w:rFonts w:hAnsi="標楷體" w:hint="eastAsia"/>
                <w:sz w:val="24"/>
                <w:szCs w:val="24"/>
              </w:rPr>
              <w:t>%</w:t>
            </w:r>
            <w:bookmarkEnd w:id="280"/>
            <w:bookmarkEnd w:id="281"/>
            <w:bookmarkEnd w:id="282"/>
          </w:p>
        </w:tc>
      </w:tr>
      <w:tr w:rsidR="00293659" w:rsidRPr="00293659" w14:paraId="3506DDA3" w14:textId="77777777" w:rsidTr="00175E48">
        <w:tc>
          <w:tcPr>
            <w:tcW w:w="2479" w:type="dxa"/>
            <w:vAlign w:val="center"/>
          </w:tcPr>
          <w:p w14:paraId="112017F9" w14:textId="0E5ED3C7"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283" w:name="_Toc144140157"/>
            <w:bookmarkStart w:id="284" w:name="_Toc144211269"/>
            <w:bookmarkStart w:id="285" w:name="_Toc145510531"/>
            <w:r w:rsidRPr="00293659">
              <w:rPr>
                <w:rFonts w:hAnsi="標楷體" w:hint="eastAsia"/>
                <w:b/>
                <w:sz w:val="24"/>
                <w:szCs w:val="24"/>
              </w:rPr>
              <w:t>選擇性招標</w:t>
            </w:r>
            <w:bookmarkEnd w:id="283"/>
            <w:bookmarkEnd w:id="284"/>
            <w:bookmarkEnd w:id="285"/>
          </w:p>
        </w:tc>
        <w:tc>
          <w:tcPr>
            <w:tcW w:w="1457" w:type="dxa"/>
            <w:vAlign w:val="center"/>
          </w:tcPr>
          <w:p w14:paraId="17447710" w14:textId="66EF2832" w:rsidR="008C689B" w:rsidRPr="00293659" w:rsidRDefault="008C689B" w:rsidP="008C689B">
            <w:pPr>
              <w:pStyle w:val="2"/>
              <w:widowControl/>
              <w:numPr>
                <w:ilvl w:val="0"/>
                <w:numId w:val="0"/>
              </w:numPr>
              <w:overflowPunct/>
              <w:autoSpaceDE/>
              <w:autoSpaceDN/>
              <w:jc w:val="right"/>
              <w:rPr>
                <w:rFonts w:hAnsi="標楷體"/>
                <w:sz w:val="24"/>
                <w:szCs w:val="24"/>
              </w:rPr>
            </w:pPr>
            <w:bookmarkStart w:id="286" w:name="_Toc144140158"/>
            <w:bookmarkStart w:id="287" w:name="_Toc144211270"/>
            <w:bookmarkStart w:id="288" w:name="_Toc145510532"/>
            <w:r w:rsidRPr="00293659">
              <w:rPr>
                <w:rFonts w:hAnsi="標楷體" w:hint="eastAsia"/>
                <w:sz w:val="24"/>
                <w:szCs w:val="24"/>
              </w:rPr>
              <w:t>3</w:t>
            </w:r>
            <w:bookmarkEnd w:id="286"/>
            <w:bookmarkEnd w:id="287"/>
            <w:bookmarkEnd w:id="288"/>
          </w:p>
        </w:tc>
        <w:tc>
          <w:tcPr>
            <w:tcW w:w="1266" w:type="dxa"/>
            <w:vAlign w:val="center"/>
          </w:tcPr>
          <w:p w14:paraId="38985EDB" w14:textId="5567F5E1" w:rsidR="008C689B" w:rsidRPr="00293659" w:rsidRDefault="008C689B" w:rsidP="008C689B">
            <w:pPr>
              <w:pStyle w:val="2"/>
              <w:widowControl/>
              <w:numPr>
                <w:ilvl w:val="0"/>
                <w:numId w:val="0"/>
              </w:numPr>
              <w:overflowPunct/>
              <w:autoSpaceDE/>
              <w:autoSpaceDN/>
              <w:jc w:val="right"/>
              <w:rPr>
                <w:rFonts w:hAnsi="標楷體"/>
                <w:sz w:val="24"/>
                <w:szCs w:val="24"/>
              </w:rPr>
            </w:pPr>
            <w:bookmarkStart w:id="289" w:name="_Toc144140159"/>
            <w:bookmarkStart w:id="290" w:name="_Toc144211271"/>
            <w:bookmarkStart w:id="291" w:name="_Toc145510533"/>
            <w:r w:rsidRPr="00293659">
              <w:rPr>
                <w:rFonts w:hAnsi="標楷體" w:hint="eastAsia"/>
                <w:sz w:val="24"/>
                <w:szCs w:val="24"/>
              </w:rPr>
              <w:t>0.003%</w:t>
            </w:r>
            <w:bookmarkEnd w:id="289"/>
            <w:bookmarkEnd w:id="290"/>
            <w:bookmarkEnd w:id="291"/>
          </w:p>
        </w:tc>
        <w:tc>
          <w:tcPr>
            <w:tcW w:w="2306" w:type="dxa"/>
            <w:vAlign w:val="center"/>
          </w:tcPr>
          <w:p w14:paraId="487BBA52" w14:textId="34DFE938" w:rsidR="008C689B" w:rsidRPr="00293659" w:rsidRDefault="008C689B" w:rsidP="008C689B">
            <w:pPr>
              <w:pStyle w:val="2"/>
              <w:widowControl/>
              <w:numPr>
                <w:ilvl w:val="0"/>
                <w:numId w:val="0"/>
              </w:numPr>
              <w:overflowPunct/>
              <w:autoSpaceDE/>
              <w:autoSpaceDN/>
              <w:jc w:val="right"/>
              <w:rPr>
                <w:rFonts w:hAnsi="標楷體"/>
                <w:sz w:val="24"/>
                <w:szCs w:val="24"/>
              </w:rPr>
            </w:pPr>
            <w:bookmarkStart w:id="292" w:name="_Toc144140160"/>
            <w:bookmarkStart w:id="293" w:name="_Toc144211272"/>
            <w:bookmarkStart w:id="294" w:name="_Toc145510534"/>
            <w:r w:rsidRPr="00293659">
              <w:rPr>
                <w:rFonts w:hAnsi="標楷體" w:hint="eastAsia"/>
                <w:sz w:val="24"/>
                <w:szCs w:val="24"/>
              </w:rPr>
              <w:t>1,808,409,320</w:t>
            </w:r>
            <w:bookmarkEnd w:id="292"/>
            <w:bookmarkEnd w:id="293"/>
            <w:bookmarkEnd w:id="294"/>
          </w:p>
        </w:tc>
        <w:tc>
          <w:tcPr>
            <w:tcW w:w="1326" w:type="dxa"/>
            <w:vAlign w:val="center"/>
          </w:tcPr>
          <w:p w14:paraId="4DA7AF8F" w14:textId="32AA3377" w:rsidR="008C689B" w:rsidRPr="00293659" w:rsidRDefault="008C689B" w:rsidP="008C689B">
            <w:pPr>
              <w:pStyle w:val="2"/>
              <w:widowControl/>
              <w:numPr>
                <w:ilvl w:val="0"/>
                <w:numId w:val="0"/>
              </w:numPr>
              <w:overflowPunct/>
              <w:autoSpaceDE/>
              <w:autoSpaceDN/>
              <w:jc w:val="right"/>
              <w:rPr>
                <w:rFonts w:hAnsi="標楷體"/>
                <w:sz w:val="24"/>
                <w:szCs w:val="24"/>
              </w:rPr>
            </w:pPr>
            <w:bookmarkStart w:id="295" w:name="_Toc144140161"/>
            <w:bookmarkStart w:id="296" w:name="_Toc144211273"/>
            <w:bookmarkStart w:id="297" w:name="_Toc145510535"/>
            <w:r w:rsidRPr="00293659">
              <w:rPr>
                <w:rFonts w:hAnsi="標楷體" w:hint="eastAsia"/>
                <w:sz w:val="24"/>
                <w:szCs w:val="24"/>
              </w:rPr>
              <w:t>0.666%</w:t>
            </w:r>
            <w:bookmarkEnd w:id="295"/>
            <w:bookmarkEnd w:id="296"/>
            <w:bookmarkEnd w:id="297"/>
          </w:p>
        </w:tc>
      </w:tr>
      <w:tr w:rsidR="00293659" w:rsidRPr="00293659" w14:paraId="7A74EB90" w14:textId="77777777" w:rsidTr="00175E48">
        <w:tc>
          <w:tcPr>
            <w:tcW w:w="2479" w:type="dxa"/>
            <w:vAlign w:val="center"/>
          </w:tcPr>
          <w:p w14:paraId="67542908" w14:textId="4367CD05"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298" w:name="_Toc144140162"/>
            <w:bookmarkStart w:id="299" w:name="_Toc144211274"/>
            <w:bookmarkStart w:id="300" w:name="_Toc145510536"/>
            <w:r w:rsidRPr="00293659">
              <w:rPr>
                <w:rFonts w:hAnsi="標楷體" w:hint="eastAsia"/>
                <w:b/>
                <w:sz w:val="24"/>
                <w:szCs w:val="24"/>
              </w:rPr>
              <w:t>定額採購(限制性)</w:t>
            </w:r>
            <w:bookmarkEnd w:id="298"/>
            <w:bookmarkEnd w:id="299"/>
            <w:bookmarkEnd w:id="300"/>
          </w:p>
        </w:tc>
        <w:tc>
          <w:tcPr>
            <w:tcW w:w="1457" w:type="dxa"/>
            <w:vAlign w:val="center"/>
          </w:tcPr>
          <w:p w14:paraId="22B70B86" w14:textId="00312218" w:rsidR="008C689B" w:rsidRPr="00293659" w:rsidRDefault="008C689B" w:rsidP="008C689B">
            <w:pPr>
              <w:pStyle w:val="2"/>
              <w:widowControl/>
              <w:numPr>
                <w:ilvl w:val="0"/>
                <w:numId w:val="0"/>
              </w:numPr>
              <w:overflowPunct/>
              <w:autoSpaceDE/>
              <w:autoSpaceDN/>
              <w:jc w:val="right"/>
              <w:rPr>
                <w:rFonts w:hAnsi="標楷體"/>
                <w:sz w:val="24"/>
                <w:szCs w:val="24"/>
              </w:rPr>
            </w:pPr>
            <w:bookmarkStart w:id="301" w:name="_Toc144140163"/>
            <w:bookmarkStart w:id="302" w:name="_Toc144211275"/>
            <w:bookmarkStart w:id="303" w:name="_Toc145510537"/>
            <w:r w:rsidRPr="00293659">
              <w:rPr>
                <w:rFonts w:hAnsi="標楷體" w:hint="eastAsia"/>
                <w:sz w:val="24"/>
                <w:szCs w:val="24"/>
              </w:rPr>
              <w:t>70,504</w:t>
            </w:r>
            <w:bookmarkEnd w:id="301"/>
            <w:bookmarkEnd w:id="302"/>
            <w:bookmarkEnd w:id="303"/>
          </w:p>
        </w:tc>
        <w:tc>
          <w:tcPr>
            <w:tcW w:w="1266" w:type="dxa"/>
            <w:vAlign w:val="center"/>
          </w:tcPr>
          <w:p w14:paraId="6341D192" w14:textId="35F17BF6" w:rsidR="008C689B" w:rsidRPr="00293659" w:rsidRDefault="008C689B" w:rsidP="008C689B">
            <w:pPr>
              <w:pStyle w:val="2"/>
              <w:widowControl/>
              <w:numPr>
                <w:ilvl w:val="0"/>
                <w:numId w:val="0"/>
              </w:numPr>
              <w:overflowPunct/>
              <w:autoSpaceDE/>
              <w:autoSpaceDN/>
              <w:jc w:val="right"/>
              <w:rPr>
                <w:rFonts w:hAnsi="標楷體"/>
                <w:sz w:val="24"/>
                <w:szCs w:val="24"/>
              </w:rPr>
            </w:pPr>
            <w:bookmarkStart w:id="304" w:name="_Toc144140164"/>
            <w:bookmarkStart w:id="305" w:name="_Toc144211276"/>
            <w:bookmarkStart w:id="306" w:name="_Toc145510538"/>
            <w:r w:rsidRPr="00293659">
              <w:rPr>
                <w:rFonts w:hAnsi="標楷體" w:hint="eastAsia"/>
                <w:sz w:val="24"/>
                <w:szCs w:val="24"/>
              </w:rPr>
              <w:t>80.00</w:t>
            </w:r>
            <w:r w:rsidRPr="00293659">
              <w:rPr>
                <w:rFonts w:hAnsi="標楷體"/>
                <w:sz w:val="24"/>
                <w:szCs w:val="24"/>
              </w:rPr>
              <w:t>3</w:t>
            </w:r>
            <w:r w:rsidRPr="00293659">
              <w:rPr>
                <w:rFonts w:hAnsi="標楷體" w:hint="eastAsia"/>
                <w:sz w:val="24"/>
                <w:szCs w:val="24"/>
              </w:rPr>
              <w:t>%</w:t>
            </w:r>
            <w:bookmarkEnd w:id="304"/>
            <w:bookmarkEnd w:id="305"/>
            <w:bookmarkEnd w:id="306"/>
          </w:p>
        </w:tc>
        <w:tc>
          <w:tcPr>
            <w:tcW w:w="2306" w:type="dxa"/>
            <w:vAlign w:val="center"/>
          </w:tcPr>
          <w:p w14:paraId="6F11A939" w14:textId="27237043" w:rsidR="008C689B" w:rsidRPr="00293659" w:rsidRDefault="008C689B" w:rsidP="008C689B">
            <w:pPr>
              <w:pStyle w:val="2"/>
              <w:widowControl/>
              <w:numPr>
                <w:ilvl w:val="0"/>
                <w:numId w:val="0"/>
              </w:numPr>
              <w:overflowPunct/>
              <w:autoSpaceDE/>
              <w:autoSpaceDN/>
              <w:jc w:val="right"/>
              <w:rPr>
                <w:rFonts w:hAnsi="標楷體"/>
                <w:sz w:val="24"/>
                <w:szCs w:val="24"/>
              </w:rPr>
            </w:pPr>
            <w:bookmarkStart w:id="307" w:name="_Toc144140165"/>
            <w:bookmarkStart w:id="308" w:name="_Toc144211277"/>
            <w:bookmarkStart w:id="309" w:name="_Toc145510539"/>
            <w:r w:rsidRPr="00293659">
              <w:rPr>
                <w:rFonts w:hAnsi="標楷體" w:hint="eastAsia"/>
                <w:sz w:val="24"/>
                <w:szCs w:val="24"/>
              </w:rPr>
              <w:t>7,745,370,658</w:t>
            </w:r>
            <w:bookmarkEnd w:id="307"/>
            <w:bookmarkEnd w:id="308"/>
            <w:bookmarkEnd w:id="309"/>
          </w:p>
        </w:tc>
        <w:tc>
          <w:tcPr>
            <w:tcW w:w="1326" w:type="dxa"/>
            <w:vAlign w:val="center"/>
          </w:tcPr>
          <w:p w14:paraId="1395F216" w14:textId="5CEB7222" w:rsidR="008C689B" w:rsidRPr="00293659" w:rsidRDefault="008C689B" w:rsidP="008C689B">
            <w:pPr>
              <w:pStyle w:val="2"/>
              <w:widowControl/>
              <w:numPr>
                <w:ilvl w:val="0"/>
                <w:numId w:val="0"/>
              </w:numPr>
              <w:overflowPunct/>
              <w:autoSpaceDE/>
              <w:autoSpaceDN/>
              <w:jc w:val="right"/>
              <w:rPr>
                <w:rFonts w:hAnsi="標楷體"/>
                <w:sz w:val="24"/>
                <w:szCs w:val="24"/>
              </w:rPr>
            </w:pPr>
            <w:bookmarkStart w:id="310" w:name="_Toc144140166"/>
            <w:bookmarkStart w:id="311" w:name="_Toc144211278"/>
            <w:bookmarkStart w:id="312" w:name="_Toc145510540"/>
            <w:r w:rsidRPr="00293659">
              <w:rPr>
                <w:rFonts w:hAnsi="標楷體" w:hint="eastAsia"/>
                <w:sz w:val="24"/>
                <w:szCs w:val="24"/>
              </w:rPr>
              <w:t>2.85</w:t>
            </w:r>
            <w:r w:rsidR="00175E48" w:rsidRPr="00293659">
              <w:rPr>
                <w:rFonts w:hAnsi="標楷體"/>
                <w:sz w:val="24"/>
                <w:szCs w:val="24"/>
              </w:rPr>
              <w:t>4</w:t>
            </w:r>
            <w:r w:rsidRPr="00293659">
              <w:rPr>
                <w:rFonts w:hAnsi="標楷體" w:hint="eastAsia"/>
                <w:sz w:val="24"/>
                <w:szCs w:val="24"/>
              </w:rPr>
              <w:t>%</w:t>
            </w:r>
            <w:bookmarkEnd w:id="310"/>
            <w:bookmarkEnd w:id="311"/>
            <w:bookmarkEnd w:id="312"/>
          </w:p>
        </w:tc>
      </w:tr>
      <w:tr w:rsidR="00293659" w:rsidRPr="00293659" w14:paraId="6B2854A8" w14:textId="77777777" w:rsidTr="00175E48">
        <w:tc>
          <w:tcPr>
            <w:tcW w:w="2479" w:type="dxa"/>
            <w:vAlign w:val="center"/>
          </w:tcPr>
          <w:p w14:paraId="2255327B" w14:textId="477E36E8"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313" w:name="_Toc144140167"/>
            <w:bookmarkStart w:id="314" w:name="_Toc144211279"/>
            <w:bookmarkStart w:id="315" w:name="_Toc145510541"/>
            <w:proofErr w:type="gramStart"/>
            <w:r w:rsidRPr="00293659">
              <w:rPr>
                <w:rFonts w:hAnsi="標楷體" w:hint="eastAsia"/>
                <w:b/>
                <w:sz w:val="24"/>
                <w:szCs w:val="24"/>
              </w:rPr>
              <w:t>指商採購</w:t>
            </w:r>
            <w:bookmarkEnd w:id="313"/>
            <w:bookmarkEnd w:id="314"/>
            <w:bookmarkEnd w:id="315"/>
            <w:proofErr w:type="gramEnd"/>
          </w:p>
        </w:tc>
        <w:tc>
          <w:tcPr>
            <w:tcW w:w="1457" w:type="dxa"/>
            <w:vAlign w:val="center"/>
          </w:tcPr>
          <w:p w14:paraId="397E4DE2" w14:textId="500D4629" w:rsidR="008C689B" w:rsidRPr="00293659" w:rsidRDefault="008C689B" w:rsidP="008C689B">
            <w:pPr>
              <w:pStyle w:val="2"/>
              <w:widowControl/>
              <w:numPr>
                <w:ilvl w:val="0"/>
                <w:numId w:val="0"/>
              </w:numPr>
              <w:overflowPunct/>
              <w:autoSpaceDE/>
              <w:autoSpaceDN/>
              <w:jc w:val="right"/>
              <w:rPr>
                <w:rFonts w:hAnsi="標楷體"/>
                <w:sz w:val="24"/>
                <w:szCs w:val="24"/>
              </w:rPr>
            </w:pPr>
            <w:bookmarkStart w:id="316" w:name="_Toc144140168"/>
            <w:bookmarkStart w:id="317" w:name="_Toc144211280"/>
            <w:bookmarkStart w:id="318" w:name="_Toc145510542"/>
            <w:r w:rsidRPr="00293659">
              <w:rPr>
                <w:rFonts w:hAnsi="標楷體" w:hint="eastAsia"/>
                <w:sz w:val="24"/>
                <w:szCs w:val="24"/>
              </w:rPr>
              <w:t>7,532</w:t>
            </w:r>
            <w:bookmarkEnd w:id="316"/>
            <w:bookmarkEnd w:id="317"/>
            <w:bookmarkEnd w:id="318"/>
          </w:p>
        </w:tc>
        <w:tc>
          <w:tcPr>
            <w:tcW w:w="1266" w:type="dxa"/>
            <w:vAlign w:val="center"/>
          </w:tcPr>
          <w:p w14:paraId="3D7EAF98" w14:textId="45663480" w:rsidR="008C689B" w:rsidRPr="00293659" w:rsidRDefault="008C689B" w:rsidP="008C689B">
            <w:pPr>
              <w:pStyle w:val="2"/>
              <w:widowControl/>
              <w:numPr>
                <w:ilvl w:val="0"/>
                <w:numId w:val="0"/>
              </w:numPr>
              <w:overflowPunct/>
              <w:autoSpaceDE/>
              <w:autoSpaceDN/>
              <w:jc w:val="right"/>
              <w:rPr>
                <w:rFonts w:hAnsi="標楷體"/>
                <w:sz w:val="24"/>
                <w:szCs w:val="24"/>
              </w:rPr>
            </w:pPr>
            <w:bookmarkStart w:id="319" w:name="_Toc144140169"/>
            <w:bookmarkStart w:id="320" w:name="_Toc144211281"/>
            <w:bookmarkStart w:id="321" w:name="_Toc145510543"/>
            <w:r w:rsidRPr="00293659">
              <w:rPr>
                <w:rFonts w:hAnsi="標楷體" w:hint="eastAsia"/>
                <w:sz w:val="24"/>
                <w:szCs w:val="24"/>
              </w:rPr>
              <w:t>8.54</w:t>
            </w:r>
            <w:r w:rsidRPr="00293659">
              <w:rPr>
                <w:rFonts w:hAnsi="標楷體"/>
                <w:sz w:val="24"/>
                <w:szCs w:val="24"/>
              </w:rPr>
              <w:t>7</w:t>
            </w:r>
            <w:r w:rsidRPr="00293659">
              <w:rPr>
                <w:rFonts w:hAnsi="標楷體" w:hint="eastAsia"/>
                <w:sz w:val="24"/>
                <w:szCs w:val="24"/>
              </w:rPr>
              <w:t>%</w:t>
            </w:r>
            <w:bookmarkEnd w:id="319"/>
            <w:bookmarkEnd w:id="320"/>
            <w:bookmarkEnd w:id="321"/>
          </w:p>
        </w:tc>
        <w:tc>
          <w:tcPr>
            <w:tcW w:w="2306" w:type="dxa"/>
            <w:vAlign w:val="center"/>
          </w:tcPr>
          <w:p w14:paraId="4023218D" w14:textId="24981191" w:rsidR="008C689B" w:rsidRPr="00293659" w:rsidRDefault="008C689B" w:rsidP="008C689B">
            <w:pPr>
              <w:pStyle w:val="2"/>
              <w:widowControl/>
              <w:numPr>
                <w:ilvl w:val="0"/>
                <w:numId w:val="0"/>
              </w:numPr>
              <w:overflowPunct/>
              <w:autoSpaceDE/>
              <w:autoSpaceDN/>
              <w:jc w:val="right"/>
              <w:rPr>
                <w:rFonts w:hAnsi="標楷體"/>
                <w:sz w:val="24"/>
                <w:szCs w:val="24"/>
              </w:rPr>
            </w:pPr>
            <w:bookmarkStart w:id="322" w:name="_Toc144140170"/>
            <w:bookmarkStart w:id="323" w:name="_Toc144211282"/>
            <w:bookmarkStart w:id="324" w:name="_Toc145510544"/>
            <w:r w:rsidRPr="00293659">
              <w:rPr>
                <w:rFonts w:hAnsi="標楷體" w:hint="eastAsia"/>
                <w:sz w:val="24"/>
                <w:szCs w:val="24"/>
              </w:rPr>
              <w:t>163,791,582,978</w:t>
            </w:r>
            <w:bookmarkEnd w:id="322"/>
            <w:bookmarkEnd w:id="323"/>
            <w:bookmarkEnd w:id="324"/>
          </w:p>
        </w:tc>
        <w:tc>
          <w:tcPr>
            <w:tcW w:w="1326" w:type="dxa"/>
            <w:vAlign w:val="center"/>
          </w:tcPr>
          <w:p w14:paraId="1ECAF511" w14:textId="7E221199" w:rsidR="008C689B" w:rsidRPr="00293659" w:rsidRDefault="008C689B" w:rsidP="008C689B">
            <w:pPr>
              <w:pStyle w:val="2"/>
              <w:widowControl/>
              <w:numPr>
                <w:ilvl w:val="0"/>
                <w:numId w:val="0"/>
              </w:numPr>
              <w:overflowPunct/>
              <w:autoSpaceDE/>
              <w:autoSpaceDN/>
              <w:jc w:val="right"/>
              <w:rPr>
                <w:rFonts w:hAnsi="標楷體"/>
                <w:sz w:val="24"/>
                <w:szCs w:val="24"/>
              </w:rPr>
            </w:pPr>
            <w:bookmarkStart w:id="325" w:name="_Toc144140171"/>
            <w:bookmarkStart w:id="326" w:name="_Toc144211283"/>
            <w:bookmarkStart w:id="327" w:name="_Toc145510545"/>
            <w:r w:rsidRPr="00293659">
              <w:rPr>
                <w:rFonts w:hAnsi="標楷體" w:hint="eastAsia"/>
                <w:sz w:val="24"/>
                <w:szCs w:val="24"/>
              </w:rPr>
              <w:t>60.341%</w:t>
            </w:r>
            <w:bookmarkEnd w:id="325"/>
            <w:bookmarkEnd w:id="326"/>
            <w:bookmarkEnd w:id="327"/>
          </w:p>
        </w:tc>
      </w:tr>
      <w:tr w:rsidR="00293659" w:rsidRPr="00293659" w14:paraId="1F6F0DAE" w14:textId="77777777" w:rsidTr="00175E48">
        <w:tc>
          <w:tcPr>
            <w:tcW w:w="2479" w:type="dxa"/>
            <w:tcBorders>
              <w:bottom w:val="double" w:sz="4" w:space="0" w:color="auto"/>
            </w:tcBorders>
            <w:vAlign w:val="center"/>
          </w:tcPr>
          <w:p w14:paraId="658D4815" w14:textId="41E39874" w:rsidR="008C689B" w:rsidRPr="00293659" w:rsidRDefault="008C689B" w:rsidP="00FE1961">
            <w:pPr>
              <w:pStyle w:val="2"/>
              <w:widowControl/>
              <w:numPr>
                <w:ilvl w:val="0"/>
                <w:numId w:val="0"/>
              </w:numPr>
              <w:overflowPunct/>
              <w:autoSpaceDE/>
              <w:autoSpaceDN/>
              <w:spacing w:beforeLines="15" w:before="68" w:afterLines="15" w:after="68"/>
              <w:rPr>
                <w:rFonts w:hAnsi="標楷體"/>
                <w:b/>
                <w:sz w:val="24"/>
                <w:szCs w:val="24"/>
              </w:rPr>
            </w:pPr>
            <w:bookmarkStart w:id="328" w:name="_Toc144140172"/>
            <w:bookmarkStart w:id="329" w:name="_Toc144211284"/>
            <w:bookmarkStart w:id="330" w:name="_Toc145510546"/>
            <w:proofErr w:type="gramStart"/>
            <w:r w:rsidRPr="00293659">
              <w:rPr>
                <w:rFonts w:hAnsi="標楷體" w:hint="eastAsia"/>
                <w:b/>
                <w:sz w:val="24"/>
                <w:szCs w:val="24"/>
              </w:rPr>
              <w:t>邀商議價</w:t>
            </w:r>
            <w:bookmarkEnd w:id="328"/>
            <w:bookmarkEnd w:id="329"/>
            <w:bookmarkEnd w:id="330"/>
            <w:proofErr w:type="gramEnd"/>
          </w:p>
        </w:tc>
        <w:tc>
          <w:tcPr>
            <w:tcW w:w="1457" w:type="dxa"/>
            <w:tcBorders>
              <w:bottom w:val="double" w:sz="4" w:space="0" w:color="auto"/>
            </w:tcBorders>
            <w:vAlign w:val="center"/>
          </w:tcPr>
          <w:p w14:paraId="78133720" w14:textId="535C673E" w:rsidR="008C689B" w:rsidRPr="00293659" w:rsidRDefault="008C689B" w:rsidP="008C689B">
            <w:pPr>
              <w:pStyle w:val="2"/>
              <w:widowControl/>
              <w:numPr>
                <w:ilvl w:val="0"/>
                <w:numId w:val="0"/>
              </w:numPr>
              <w:overflowPunct/>
              <w:autoSpaceDE/>
              <w:autoSpaceDN/>
              <w:jc w:val="right"/>
              <w:rPr>
                <w:rFonts w:hAnsi="標楷體"/>
                <w:sz w:val="24"/>
                <w:szCs w:val="24"/>
              </w:rPr>
            </w:pPr>
            <w:bookmarkStart w:id="331" w:name="_Toc144140173"/>
            <w:bookmarkStart w:id="332" w:name="_Toc144211285"/>
            <w:bookmarkStart w:id="333" w:name="_Toc145510547"/>
            <w:r w:rsidRPr="00293659">
              <w:rPr>
                <w:rFonts w:hAnsi="標楷體" w:hint="eastAsia"/>
                <w:sz w:val="24"/>
                <w:szCs w:val="24"/>
              </w:rPr>
              <w:t>6,498</w:t>
            </w:r>
            <w:bookmarkEnd w:id="331"/>
            <w:bookmarkEnd w:id="332"/>
            <w:bookmarkEnd w:id="333"/>
          </w:p>
        </w:tc>
        <w:tc>
          <w:tcPr>
            <w:tcW w:w="1266" w:type="dxa"/>
            <w:tcBorders>
              <w:bottom w:val="double" w:sz="4" w:space="0" w:color="auto"/>
            </w:tcBorders>
            <w:vAlign w:val="center"/>
          </w:tcPr>
          <w:p w14:paraId="1436BD3D" w14:textId="7CF8F507" w:rsidR="008C689B" w:rsidRPr="00293659" w:rsidRDefault="008C689B" w:rsidP="008C689B">
            <w:pPr>
              <w:pStyle w:val="2"/>
              <w:widowControl/>
              <w:numPr>
                <w:ilvl w:val="0"/>
                <w:numId w:val="0"/>
              </w:numPr>
              <w:overflowPunct/>
              <w:autoSpaceDE/>
              <w:autoSpaceDN/>
              <w:jc w:val="right"/>
              <w:rPr>
                <w:rFonts w:hAnsi="標楷體"/>
                <w:sz w:val="24"/>
                <w:szCs w:val="24"/>
              </w:rPr>
            </w:pPr>
            <w:bookmarkStart w:id="334" w:name="_Toc144140174"/>
            <w:bookmarkStart w:id="335" w:name="_Toc144211286"/>
            <w:bookmarkStart w:id="336" w:name="_Toc145510548"/>
            <w:r w:rsidRPr="00293659">
              <w:rPr>
                <w:rFonts w:hAnsi="標楷體" w:hint="eastAsia"/>
                <w:sz w:val="24"/>
                <w:szCs w:val="24"/>
              </w:rPr>
              <w:t>7.373%</w:t>
            </w:r>
            <w:bookmarkEnd w:id="334"/>
            <w:bookmarkEnd w:id="335"/>
            <w:bookmarkEnd w:id="336"/>
          </w:p>
        </w:tc>
        <w:tc>
          <w:tcPr>
            <w:tcW w:w="2306" w:type="dxa"/>
            <w:tcBorders>
              <w:bottom w:val="double" w:sz="4" w:space="0" w:color="auto"/>
            </w:tcBorders>
            <w:vAlign w:val="center"/>
          </w:tcPr>
          <w:p w14:paraId="13069552" w14:textId="3F8E9A89" w:rsidR="008C689B" w:rsidRPr="00293659" w:rsidRDefault="008C689B" w:rsidP="008C689B">
            <w:pPr>
              <w:pStyle w:val="2"/>
              <w:widowControl/>
              <w:numPr>
                <w:ilvl w:val="0"/>
                <w:numId w:val="0"/>
              </w:numPr>
              <w:overflowPunct/>
              <w:autoSpaceDE/>
              <w:autoSpaceDN/>
              <w:jc w:val="right"/>
              <w:rPr>
                <w:rFonts w:hAnsi="標楷體"/>
                <w:sz w:val="24"/>
                <w:szCs w:val="24"/>
              </w:rPr>
            </w:pPr>
            <w:bookmarkStart w:id="337" w:name="_Toc144140175"/>
            <w:bookmarkStart w:id="338" w:name="_Toc144211287"/>
            <w:bookmarkStart w:id="339" w:name="_Toc145510549"/>
            <w:r w:rsidRPr="00293659">
              <w:rPr>
                <w:rFonts w:hAnsi="標楷體" w:hint="eastAsia"/>
                <w:sz w:val="24"/>
                <w:szCs w:val="24"/>
              </w:rPr>
              <w:t>47,945,630,407</w:t>
            </w:r>
            <w:bookmarkEnd w:id="337"/>
            <w:bookmarkEnd w:id="338"/>
            <w:bookmarkEnd w:id="339"/>
          </w:p>
        </w:tc>
        <w:tc>
          <w:tcPr>
            <w:tcW w:w="1326" w:type="dxa"/>
            <w:tcBorders>
              <w:bottom w:val="double" w:sz="4" w:space="0" w:color="auto"/>
            </w:tcBorders>
            <w:vAlign w:val="center"/>
          </w:tcPr>
          <w:p w14:paraId="7E9B1B30" w14:textId="7C0A1204" w:rsidR="008C689B" w:rsidRPr="00293659" w:rsidRDefault="008C689B" w:rsidP="008C689B">
            <w:pPr>
              <w:pStyle w:val="2"/>
              <w:widowControl/>
              <w:numPr>
                <w:ilvl w:val="0"/>
                <w:numId w:val="0"/>
              </w:numPr>
              <w:overflowPunct/>
              <w:autoSpaceDE/>
              <w:autoSpaceDN/>
              <w:jc w:val="right"/>
              <w:rPr>
                <w:rFonts w:hAnsi="標楷體"/>
                <w:sz w:val="24"/>
                <w:szCs w:val="24"/>
              </w:rPr>
            </w:pPr>
            <w:bookmarkStart w:id="340" w:name="_Toc144140176"/>
            <w:bookmarkStart w:id="341" w:name="_Toc144211288"/>
            <w:bookmarkStart w:id="342" w:name="_Toc145510550"/>
            <w:r w:rsidRPr="00293659">
              <w:rPr>
                <w:rFonts w:hAnsi="標楷體" w:hint="eastAsia"/>
                <w:sz w:val="24"/>
                <w:szCs w:val="24"/>
              </w:rPr>
              <w:t>17.663%</w:t>
            </w:r>
            <w:bookmarkEnd w:id="340"/>
            <w:bookmarkEnd w:id="341"/>
            <w:bookmarkEnd w:id="342"/>
          </w:p>
        </w:tc>
      </w:tr>
      <w:tr w:rsidR="00293659" w:rsidRPr="00293659" w14:paraId="7CFEA4B9" w14:textId="77777777" w:rsidTr="00175E48">
        <w:tc>
          <w:tcPr>
            <w:tcW w:w="2479" w:type="dxa"/>
            <w:tcBorders>
              <w:top w:val="double" w:sz="4" w:space="0" w:color="auto"/>
              <w:bottom w:val="double" w:sz="4" w:space="0" w:color="auto"/>
            </w:tcBorders>
            <w:vAlign w:val="center"/>
          </w:tcPr>
          <w:p w14:paraId="5A5FDE80" w14:textId="12F84CE4" w:rsidR="008C689B" w:rsidRPr="00293659" w:rsidRDefault="008C689B" w:rsidP="00FE1961">
            <w:pPr>
              <w:pStyle w:val="2"/>
              <w:widowControl/>
              <w:numPr>
                <w:ilvl w:val="0"/>
                <w:numId w:val="0"/>
              </w:numPr>
              <w:overflowPunct/>
              <w:autoSpaceDE/>
              <w:autoSpaceDN/>
              <w:spacing w:beforeLines="15" w:before="68" w:afterLines="15" w:after="68"/>
              <w:jc w:val="center"/>
              <w:rPr>
                <w:rFonts w:hAnsi="標楷體"/>
                <w:b/>
                <w:sz w:val="24"/>
                <w:szCs w:val="24"/>
              </w:rPr>
            </w:pPr>
            <w:bookmarkStart w:id="343" w:name="_Toc144140177"/>
            <w:bookmarkStart w:id="344" w:name="_Toc144211289"/>
            <w:bookmarkStart w:id="345" w:name="_Toc145510551"/>
            <w:r w:rsidRPr="00293659">
              <w:rPr>
                <w:rFonts w:hAnsi="標楷體" w:hint="eastAsia"/>
                <w:b/>
                <w:sz w:val="24"/>
                <w:szCs w:val="24"/>
              </w:rPr>
              <w:t>限制性小計</w:t>
            </w:r>
            <w:bookmarkEnd w:id="343"/>
            <w:bookmarkEnd w:id="344"/>
            <w:bookmarkEnd w:id="345"/>
          </w:p>
        </w:tc>
        <w:tc>
          <w:tcPr>
            <w:tcW w:w="1457" w:type="dxa"/>
            <w:tcBorders>
              <w:top w:val="double" w:sz="4" w:space="0" w:color="auto"/>
              <w:bottom w:val="double" w:sz="4" w:space="0" w:color="auto"/>
            </w:tcBorders>
            <w:vAlign w:val="center"/>
          </w:tcPr>
          <w:p w14:paraId="2AE7AE57" w14:textId="6AD13A47" w:rsidR="008C689B" w:rsidRPr="00293659" w:rsidRDefault="008C689B" w:rsidP="008C689B">
            <w:pPr>
              <w:pStyle w:val="2"/>
              <w:widowControl/>
              <w:numPr>
                <w:ilvl w:val="0"/>
                <w:numId w:val="0"/>
              </w:numPr>
              <w:overflowPunct/>
              <w:autoSpaceDE/>
              <w:autoSpaceDN/>
              <w:jc w:val="right"/>
              <w:rPr>
                <w:rFonts w:hAnsi="標楷體"/>
                <w:sz w:val="24"/>
                <w:szCs w:val="24"/>
              </w:rPr>
            </w:pPr>
            <w:bookmarkStart w:id="346" w:name="_Toc144140178"/>
            <w:bookmarkStart w:id="347" w:name="_Toc144211290"/>
            <w:bookmarkStart w:id="348" w:name="_Toc145510552"/>
            <w:r w:rsidRPr="00293659">
              <w:rPr>
                <w:rFonts w:hAnsi="標楷體" w:hint="eastAsia"/>
                <w:sz w:val="24"/>
                <w:szCs w:val="24"/>
              </w:rPr>
              <w:t>84,589</w:t>
            </w:r>
            <w:bookmarkEnd w:id="346"/>
            <w:bookmarkEnd w:id="347"/>
            <w:bookmarkEnd w:id="348"/>
          </w:p>
        </w:tc>
        <w:tc>
          <w:tcPr>
            <w:tcW w:w="1266" w:type="dxa"/>
            <w:tcBorders>
              <w:top w:val="double" w:sz="4" w:space="0" w:color="auto"/>
              <w:bottom w:val="double" w:sz="4" w:space="0" w:color="auto"/>
            </w:tcBorders>
            <w:vAlign w:val="center"/>
          </w:tcPr>
          <w:p w14:paraId="15181148" w14:textId="75DD0846" w:rsidR="008C689B" w:rsidRPr="00293659" w:rsidRDefault="008C689B" w:rsidP="008C689B">
            <w:pPr>
              <w:pStyle w:val="2"/>
              <w:widowControl/>
              <w:numPr>
                <w:ilvl w:val="0"/>
                <w:numId w:val="0"/>
              </w:numPr>
              <w:overflowPunct/>
              <w:autoSpaceDE/>
              <w:autoSpaceDN/>
              <w:jc w:val="right"/>
              <w:rPr>
                <w:rFonts w:hAnsi="標楷體"/>
                <w:sz w:val="24"/>
                <w:szCs w:val="24"/>
              </w:rPr>
            </w:pPr>
            <w:bookmarkStart w:id="349" w:name="_Toc144140179"/>
            <w:bookmarkStart w:id="350" w:name="_Toc144211291"/>
            <w:bookmarkStart w:id="351" w:name="_Toc145510553"/>
            <w:r w:rsidRPr="00293659">
              <w:rPr>
                <w:rFonts w:hAnsi="標楷體" w:hint="eastAsia"/>
                <w:sz w:val="24"/>
                <w:szCs w:val="24"/>
              </w:rPr>
              <w:t>95.985%</w:t>
            </w:r>
            <w:bookmarkEnd w:id="349"/>
            <w:bookmarkEnd w:id="350"/>
            <w:bookmarkEnd w:id="351"/>
          </w:p>
        </w:tc>
        <w:tc>
          <w:tcPr>
            <w:tcW w:w="2306" w:type="dxa"/>
            <w:tcBorders>
              <w:top w:val="double" w:sz="4" w:space="0" w:color="auto"/>
              <w:bottom w:val="double" w:sz="4" w:space="0" w:color="auto"/>
            </w:tcBorders>
            <w:vAlign w:val="center"/>
          </w:tcPr>
          <w:p w14:paraId="575BAA2E" w14:textId="10675125" w:rsidR="008C689B" w:rsidRPr="00293659" w:rsidRDefault="008C689B" w:rsidP="008C689B">
            <w:pPr>
              <w:pStyle w:val="2"/>
              <w:widowControl/>
              <w:numPr>
                <w:ilvl w:val="0"/>
                <w:numId w:val="0"/>
              </w:numPr>
              <w:overflowPunct/>
              <w:autoSpaceDE/>
              <w:autoSpaceDN/>
              <w:jc w:val="right"/>
              <w:rPr>
                <w:rFonts w:hAnsi="標楷體"/>
                <w:sz w:val="24"/>
                <w:szCs w:val="24"/>
              </w:rPr>
            </w:pPr>
            <w:bookmarkStart w:id="352" w:name="_Toc144140180"/>
            <w:bookmarkStart w:id="353" w:name="_Toc144211292"/>
            <w:bookmarkStart w:id="354" w:name="_Toc145510554"/>
            <w:r w:rsidRPr="00293659">
              <w:rPr>
                <w:rFonts w:hAnsi="標楷體" w:hint="eastAsia"/>
                <w:sz w:val="24"/>
                <w:szCs w:val="24"/>
              </w:rPr>
              <w:t>221,404,013,944</w:t>
            </w:r>
            <w:bookmarkEnd w:id="352"/>
            <w:bookmarkEnd w:id="353"/>
            <w:bookmarkEnd w:id="354"/>
          </w:p>
        </w:tc>
        <w:tc>
          <w:tcPr>
            <w:tcW w:w="1326" w:type="dxa"/>
            <w:tcBorders>
              <w:top w:val="double" w:sz="4" w:space="0" w:color="auto"/>
              <w:bottom w:val="double" w:sz="4" w:space="0" w:color="auto"/>
            </w:tcBorders>
            <w:vAlign w:val="center"/>
          </w:tcPr>
          <w:p w14:paraId="729C9B4C" w14:textId="01A6D575" w:rsidR="008C689B" w:rsidRPr="00293659" w:rsidRDefault="008C689B" w:rsidP="008C689B">
            <w:pPr>
              <w:pStyle w:val="2"/>
              <w:widowControl/>
              <w:numPr>
                <w:ilvl w:val="0"/>
                <w:numId w:val="0"/>
              </w:numPr>
              <w:overflowPunct/>
              <w:autoSpaceDE/>
              <w:autoSpaceDN/>
              <w:jc w:val="right"/>
              <w:rPr>
                <w:rFonts w:hAnsi="標楷體"/>
                <w:sz w:val="24"/>
                <w:szCs w:val="24"/>
              </w:rPr>
            </w:pPr>
            <w:bookmarkStart w:id="355" w:name="_Toc144140181"/>
            <w:bookmarkStart w:id="356" w:name="_Toc144211293"/>
            <w:bookmarkStart w:id="357" w:name="_Toc145510555"/>
            <w:r w:rsidRPr="00293659">
              <w:rPr>
                <w:rFonts w:hAnsi="標楷體" w:hint="eastAsia"/>
                <w:sz w:val="24"/>
                <w:szCs w:val="24"/>
              </w:rPr>
              <w:t>81.56</w:t>
            </w:r>
            <w:r w:rsidR="00175E48" w:rsidRPr="00293659">
              <w:rPr>
                <w:rFonts w:hAnsi="標楷體"/>
                <w:sz w:val="24"/>
                <w:szCs w:val="24"/>
              </w:rPr>
              <w:t>6</w:t>
            </w:r>
            <w:r w:rsidRPr="00293659">
              <w:rPr>
                <w:rFonts w:hAnsi="標楷體" w:hint="eastAsia"/>
                <w:sz w:val="24"/>
                <w:szCs w:val="24"/>
              </w:rPr>
              <w:t>%</w:t>
            </w:r>
            <w:bookmarkEnd w:id="355"/>
            <w:bookmarkEnd w:id="356"/>
            <w:bookmarkEnd w:id="357"/>
          </w:p>
        </w:tc>
      </w:tr>
      <w:tr w:rsidR="00293659" w:rsidRPr="00293659" w14:paraId="4C643426" w14:textId="77777777" w:rsidTr="00FE1961">
        <w:trPr>
          <w:trHeight w:val="397"/>
        </w:trPr>
        <w:tc>
          <w:tcPr>
            <w:tcW w:w="2479" w:type="dxa"/>
            <w:tcBorders>
              <w:top w:val="double" w:sz="4" w:space="0" w:color="auto"/>
            </w:tcBorders>
            <w:vAlign w:val="center"/>
          </w:tcPr>
          <w:p w14:paraId="09EB193E" w14:textId="3E45F971" w:rsidR="008C689B" w:rsidRPr="00293659" w:rsidRDefault="008C689B" w:rsidP="008C689B">
            <w:pPr>
              <w:pStyle w:val="2"/>
              <w:widowControl/>
              <w:numPr>
                <w:ilvl w:val="0"/>
                <w:numId w:val="0"/>
              </w:numPr>
              <w:overflowPunct/>
              <w:autoSpaceDE/>
              <w:autoSpaceDN/>
              <w:jc w:val="center"/>
              <w:rPr>
                <w:rFonts w:hAnsi="標楷體"/>
                <w:b/>
                <w:sz w:val="24"/>
                <w:szCs w:val="24"/>
              </w:rPr>
            </w:pPr>
            <w:bookmarkStart w:id="358" w:name="_Toc144140182"/>
            <w:bookmarkStart w:id="359" w:name="_Toc144211294"/>
            <w:bookmarkStart w:id="360" w:name="_Toc145510556"/>
            <w:r w:rsidRPr="00293659">
              <w:rPr>
                <w:rFonts w:hAnsi="標楷體" w:hint="eastAsia"/>
                <w:b/>
                <w:sz w:val="24"/>
                <w:szCs w:val="24"/>
              </w:rPr>
              <w:t xml:space="preserve">合 </w:t>
            </w:r>
            <w:r w:rsidRPr="00293659">
              <w:rPr>
                <w:rFonts w:hAnsi="標楷體"/>
                <w:b/>
                <w:sz w:val="24"/>
                <w:szCs w:val="24"/>
              </w:rPr>
              <w:t xml:space="preserve">  </w:t>
            </w:r>
            <w:r w:rsidRPr="00293659">
              <w:rPr>
                <w:rFonts w:hAnsi="標楷體" w:hint="eastAsia"/>
                <w:b/>
                <w:sz w:val="24"/>
                <w:szCs w:val="24"/>
              </w:rPr>
              <w:t>計</w:t>
            </w:r>
            <w:bookmarkEnd w:id="358"/>
            <w:bookmarkEnd w:id="359"/>
            <w:bookmarkEnd w:id="360"/>
          </w:p>
        </w:tc>
        <w:tc>
          <w:tcPr>
            <w:tcW w:w="1457" w:type="dxa"/>
            <w:tcBorders>
              <w:top w:val="double" w:sz="4" w:space="0" w:color="auto"/>
            </w:tcBorders>
            <w:vAlign w:val="center"/>
          </w:tcPr>
          <w:p w14:paraId="1B3424C2" w14:textId="0327BCD7" w:rsidR="008C689B" w:rsidRPr="00293659" w:rsidRDefault="008C689B" w:rsidP="008C689B">
            <w:pPr>
              <w:pStyle w:val="2"/>
              <w:widowControl/>
              <w:numPr>
                <w:ilvl w:val="0"/>
                <w:numId w:val="0"/>
              </w:numPr>
              <w:overflowPunct/>
              <w:autoSpaceDE/>
              <w:autoSpaceDN/>
              <w:jc w:val="right"/>
              <w:rPr>
                <w:rFonts w:hAnsi="標楷體"/>
                <w:sz w:val="24"/>
                <w:szCs w:val="24"/>
              </w:rPr>
            </w:pPr>
            <w:bookmarkStart w:id="361" w:name="_Toc144140183"/>
            <w:bookmarkStart w:id="362" w:name="_Toc144211295"/>
            <w:bookmarkStart w:id="363" w:name="_Toc145510557"/>
            <w:r w:rsidRPr="00293659">
              <w:rPr>
                <w:rFonts w:hAnsi="標楷體" w:hint="eastAsia"/>
                <w:sz w:val="24"/>
                <w:szCs w:val="24"/>
              </w:rPr>
              <w:t>88,127</w:t>
            </w:r>
            <w:bookmarkEnd w:id="361"/>
            <w:bookmarkEnd w:id="362"/>
            <w:bookmarkEnd w:id="363"/>
          </w:p>
        </w:tc>
        <w:tc>
          <w:tcPr>
            <w:tcW w:w="1266" w:type="dxa"/>
            <w:tcBorders>
              <w:top w:val="double" w:sz="4" w:space="0" w:color="auto"/>
            </w:tcBorders>
            <w:vAlign w:val="center"/>
          </w:tcPr>
          <w:p w14:paraId="3A72FA06" w14:textId="3B9353A6" w:rsidR="008C689B" w:rsidRPr="00293659" w:rsidRDefault="008C689B" w:rsidP="008C689B">
            <w:pPr>
              <w:pStyle w:val="2"/>
              <w:widowControl/>
              <w:numPr>
                <w:ilvl w:val="0"/>
                <w:numId w:val="0"/>
              </w:numPr>
              <w:overflowPunct/>
              <w:autoSpaceDE/>
              <w:autoSpaceDN/>
              <w:jc w:val="right"/>
              <w:rPr>
                <w:rFonts w:hAnsi="標楷體"/>
                <w:sz w:val="24"/>
                <w:szCs w:val="24"/>
              </w:rPr>
            </w:pPr>
            <w:bookmarkStart w:id="364" w:name="_Toc144140184"/>
            <w:bookmarkStart w:id="365" w:name="_Toc144211296"/>
            <w:bookmarkStart w:id="366" w:name="_Toc145510558"/>
            <w:r w:rsidRPr="00293659">
              <w:rPr>
                <w:rFonts w:hAnsi="標楷體" w:hint="eastAsia"/>
                <w:sz w:val="24"/>
                <w:szCs w:val="24"/>
              </w:rPr>
              <w:t>100.000%</w:t>
            </w:r>
            <w:bookmarkEnd w:id="364"/>
            <w:bookmarkEnd w:id="365"/>
            <w:bookmarkEnd w:id="366"/>
          </w:p>
        </w:tc>
        <w:tc>
          <w:tcPr>
            <w:tcW w:w="2306" w:type="dxa"/>
            <w:tcBorders>
              <w:top w:val="double" w:sz="4" w:space="0" w:color="auto"/>
            </w:tcBorders>
            <w:vAlign w:val="center"/>
          </w:tcPr>
          <w:p w14:paraId="67EE7FF5" w14:textId="38160F29" w:rsidR="008C689B" w:rsidRPr="00293659" w:rsidRDefault="008C689B" w:rsidP="008C689B">
            <w:pPr>
              <w:pStyle w:val="2"/>
              <w:widowControl/>
              <w:numPr>
                <w:ilvl w:val="0"/>
                <w:numId w:val="0"/>
              </w:numPr>
              <w:overflowPunct/>
              <w:autoSpaceDE/>
              <w:autoSpaceDN/>
              <w:jc w:val="right"/>
              <w:rPr>
                <w:rFonts w:hAnsi="標楷體"/>
                <w:sz w:val="24"/>
                <w:szCs w:val="24"/>
              </w:rPr>
            </w:pPr>
            <w:bookmarkStart w:id="367" w:name="_Toc144140185"/>
            <w:bookmarkStart w:id="368" w:name="_Toc144211297"/>
            <w:bookmarkStart w:id="369" w:name="_Toc145510559"/>
            <w:r w:rsidRPr="00293659">
              <w:rPr>
                <w:rFonts w:hAnsi="標楷體" w:hint="eastAsia"/>
                <w:sz w:val="24"/>
                <w:szCs w:val="24"/>
              </w:rPr>
              <w:t>271,442,482,525</w:t>
            </w:r>
            <w:bookmarkEnd w:id="367"/>
            <w:bookmarkEnd w:id="368"/>
            <w:bookmarkEnd w:id="369"/>
          </w:p>
        </w:tc>
        <w:tc>
          <w:tcPr>
            <w:tcW w:w="1326" w:type="dxa"/>
            <w:tcBorders>
              <w:top w:val="double" w:sz="4" w:space="0" w:color="auto"/>
            </w:tcBorders>
            <w:vAlign w:val="center"/>
          </w:tcPr>
          <w:p w14:paraId="43AFDAA8" w14:textId="7857A7EB" w:rsidR="008C689B" w:rsidRPr="00293659" w:rsidRDefault="008C689B" w:rsidP="008C689B">
            <w:pPr>
              <w:pStyle w:val="2"/>
              <w:widowControl/>
              <w:numPr>
                <w:ilvl w:val="0"/>
                <w:numId w:val="0"/>
              </w:numPr>
              <w:overflowPunct/>
              <w:autoSpaceDE/>
              <w:autoSpaceDN/>
              <w:jc w:val="right"/>
              <w:rPr>
                <w:rFonts w:hAnsi="標楷體"/>
                <w:sz w:val="24"/>
                <w:szCs w:val="24"/>
              </w:rPr>
            </w:pPr>
            <w:bookmarkStart w:id="370" w:name="_Toc144140186"/>
            <w:bookmarkStart w:id="371" w:name="_Toc144211298"/>
            <w:bookmarkStart w:id="372" w:name="_Toc145510560"/>
            <w:r w:rsidRPr="00293659">
              <w:rPr>
                <w:rFonts w:hAnsi="標楷體" w:hint="eastAsia"/>
                <w:sz w:val="24"/>
                <w:szCs w:val="24"/>
              </w:rPr>
              <w:t>100.000%</w:t>
            </w:r>
            <w:bookmarkEnd w:id="370"/>
            <w:bookmarkEnd w:id="371"/>
            <w:bookmarkEnd w:id="372"/>
          </w:p>
        </w:tc>
      </w:tr>
    </w:tbl>
    <w:p w14:paraId="73820C5D" w14:textId="2154F371" w:rsidR="00613FFE" w:rsidRPr="00293659" w:rsidRDefault="00987E9F" w:rsidP="00FE1961">
      <w:pPr>
        <w:pStyle w:val="2"/>
        <w:widowControl/>
        <w:numPr>
          <w:ilvl w:val="0"/>
          <w:numId w:val="0"/>
        </w:numPr>
        <w:overflowPunct/>
        <w:autoSpaceDE/>
        <w:autoSpaceDN/>
        <w:spacing w:afterLines="50" w:after="228" w:line="300" w:lineRule="exact"/>
        <w:rPr>
          <w:rFonts w:hAnsi="標楷體"/>
          <w:sz w:val="24"/>
          <w:szCs w:val="24"/>
        </w:rPr>
      </w:pPr>
      <w:bookmarkStart w:id="373" w:name="_Toc144140187"/>
      <w:bookmarkStart w:id="374" w:name="_Toc144211299"/>
      <w:bookmarkStart w:id="375" w:name="_Toc145510561"/>
      <w:r w:rsidRPr="00293659">
        <w:rPr>
          <w:rFonts w:hAnsi="標楷體" w:hint="eastAsia"/>
          <w:sz w:val="24"/>
          <w:szCs w:val="24"/>
        </w:rPr>
        <w:t>資料來源：審計部。</w:t>
      </w:r>
      <w:bookmarkEnd w:id="373"/>
      <w:bookmarkEnd w:id="374"/>
      <w:bookmarkEnd w:id="375"/>
    </w:p>
    <w:p w14:paraId="54E8CD7A" w14:textId="46D18D51" w:rsidR="00E1047E" w:rsidRPr="00293659" w:rsidRDefault="00E1047E" w:rsidP="00E1047E">
      <w:pPr>
        <w:pStyle w:val="2"/>
        <w:numPr>
          <w:ilvl w:val="2"/>
          <w:numId w:val="1"/>
        </w:numPr>
        <w:ind w:left="1360" w:hanging="680"/>
        <w:rPr>
          <w:rFonts w:hAnsi="標楷體"/>
        </w:rPr>
      </w:pPr>
      <w:bookmarkStart w:id="376" w:name="_Toc143243856"/>
      <w:bookmarkStart w:id="377" w:name="_Toc143262213"/>
      <w:bookmarkStart w:id="378" w:name="_Toc143263098"/>
      <w:bookmarkStart w:id="379" w:name="_Toc143424310"/>
      <w:bookmarkStart w:id="380" w:name="_Toc144140188"/>
      <w:bookmarkStart w:id="381" w:name="_Toc144211300"/>
      <w:bookmarkStart w:id="382" w:name="_Toc145510562"/>
      <w:bookmarkEnd w:id="186"/>
      <w:bookmarkEnd w:id="187"/>
      <w:bookmarkEnd w:id="188"/>
      <w:bookmarkEnd w:id="189"/>
      <w:r w:rsidRPr="00293659">
        <w:rPr>
          <w:rFonts w:hAnsi="標楷體" w:hint="eastAsia"/>
        </w:rPr>
        <w:t>針對上</w:t>
      </w:r>
      <w:r w:rsidR="009A7885" w:rsidRPr="00293659">
        <w:rPr>
          <w:rFonts w:hAnsi="標楷體" w:hint="eastAsia"/>
        </w:rPr>
        <w:t>述</w:t>
      </w:r>
      <w:r w:rsidRPr="00293659">
        <w:rPr>
          <w:rFonts w:hAnsi="標楷體" w:hint="eastAsia"/>
        </w:rPr>
        <w:t>缺失，國防部檢討與說明略</w:t>
      </w:r>
      <w:proofErr w:type="gramStart"/>
      <w:r w:rsidRPr="00293659">
        <w:rPr>
          <w:rFonts w:hAnsi="標楷體" w:hint="eastAsia"/>
        </w:rPr>
        <w:t>以</w:t>
      </w:r>
      <w:proofErr w:type="gramEnd"/>
      <w:r w:rsidRPr="00293659">
        <w:rPr>
          <w:rFonts w:hAnsi="標楷體" w:hint="eastAsia"/>
        </w:rPr>
        <w:t>：</w:t>
      </w:r>
      <w:bookmarkEnd w:id="376"/>
      <w:bookmarkEnd w:id="377"/>
      <w:bookmarkEnd w:id="378"/>
      <w:bookmarkEnd w:id="379"/>
      <w:bookmarkEnd w:id="380"/>
      <w:bookmarkEnd w:id="381"/>
      <w:bookmarkEnd w:id="382"/>
    </w:p>
    <w:p w14:paraId="021F97E7" w14:textId="77777777" w:rsidR="00E1047E" w:rsidRPr="00293659" w:rsidRDefault="00E1047E" w:rsidP="00E1047E">
      <w:pPr>
        <w:pStyle w:val="4"/>
        <w:numPr>
          <w:ilvl w:val="3"/>
          <w:numId w:val="1"/>
        </w:numPr>
        <w:rPr>
          <w:rFonts w:hAnsi="標楷體"/>
        </w:rPr>
      </w:pPr>
      <w:r w:rsidRPr="00293659">
        <w:rPr>
          <w:rFonts w:hAnsi="標楷體" w:hint="eastAsia"/>
        </w:rPr>
        <w:t>中科院103年轉型為行政法人後，為因應轉型後採購鬆綁，自訂該院相關採購作業規章及規定，限制性採購比率達70%。109年起，為廣</w:t>
      </w:r>
      <w:proofErr w:type="gramStart"/>
      <w:r w:rsidRPr="00293659">
        <w:rPr>
          <w:rFonts w:hAnsi="標楷體" w:hint="eastAsia"/>
        </w:rPr>
        <w:t>徵商源</w:t>
      </w:r>
      <w:proofErr w:type="gramEnd"/>
      <w:r w:rsidRPr="00293659">
        <w:rPr>
          <w:rFonts w:hAnsi="標楷體" w:hint="eastAsia"/>
        </w:rPr>
        <w:t>、防堵弊端，</w:t>
      </w:r>
      <w:proofErr w:type="gramStart"/>
      <w:r w:rsidRPr="00293659">
        <w:rPr>
          <w:rFonts w:hAnsi="標楷體" w:hint="eastAsia"/>
        </w:rPr>
        <w:t>參據政府採購法</w:t>
      </w:r>
      <w:proofErr w:type="gramEnd"/>
      <w:r w:rsidRPr="00293659">
        <w:rPr>
          <w:rFonts w:hAnsi="標楷體" w:hint="eastAsia"/>
        </w:rPr>
        <w:t>研修中科院採購作業規定，嚴格限制性招標之適用要件，110年、1</w:t>
      </w:r>
      <w:r w:rsidRPr="00293659">
        <w:rPr>
          <w:rFonts w:hAnsi="標楷體"/>
        </w:rPr>
        <w:t>11</w:t>
      </w:r>
      <w:r w:rsidRPr="00293659">
        <w:rPr>
          <w:rFonts w:hAnsi="標楷體" w:hint="eastAsia"/>
        </w:rPr>
        <w:t>年公告招標件數比率分別增為6</w:t>
      </w:r>
      <w:r w:rsidRPr="00293659">
        <w:rPr>
          <w:rFonts w:hAnsi="標楷體"/>
        </w:rPr>
        <w:t>7</w:t>
      </w:r>
      <w:r w:rsidRPr="00293659">
        <w:rPr>
          <w:rFonts w:hAnsi="標楷體" w:hint="eastAsia"/>
        </w:rPr>
        <w:t>%及6</w:t>
      </w:r>
      <w:r w:rsidRPr="00293659">
        <w:rPr>
          <w:rFonts w:hAnsi="標楷體"/>
        </w:rPr>
        <w:t>9</w:t>
      </w:r>
      <w:r w:rsidRPr="00293659">
        <w:rPr>
          <w:rFonts w:hAnsi="標楷體" w:hint="eastAsia"/>
        </w:rPr>
        <w:t>%，其採購金額分別占4</w:t>
      </w:r>
      <w:r w:rsidRPr="00293659">
        <w:rPr>
          <w:rFonts w:hAnsi="標楷體"/>
        </w:rPr>
        <w:t>9%</w:t>
      </w:r>
      <w:r w:rsidRPr="00293659">
        <w:rPr>
          <w:rFonts w:hAnsi="標楷體" w:hint="eastAsia"/>
        </w:rPr>
        <w:t>及5</w:t>
      </w:r>
      <w:r w:rsidRPr="00293659">
        <w:rPr>
          <w:rFonts w:hAnsi="標楷體"/>
        </w:rPr>
        <w:t>0%</w:t>
      </w:r>
      <w:r w:rsidRPr="00293659">
        <w:rPr>
          <w:rFonts w:hAnsi="標楷體" w:hint="eastAsia"/>
        </w:rPr>
        <w:t>；</w:t>
      </w:r>
      <w:r w:rsidRPr="00293659">
        <w:rPr>
          <w:rFonts w:hAnsi="標楷體" w:cs="新細明體" w:hint="eastAsia"/>
          <w:kern w:val="0"/>
        </w:rPr>
        <w:t>限制性</w:t>
      </w:r>
      <w:r w:rsidRPr="00293659">
        <w:rPr>
          <w:rFonts w:hAnsi="標楷體" w:hint="eastAsia"/>
        </w:rPr>
        <w:t>招標件數比率分別為9%及1</w:t>
      </w:r>
      <w:r w:rsidRPr="00293659">
        <w:rPr>
          <w:rFonts w:hAnsi="標楷體"/>
        </w:rPr>
        <w:t>3</w:t>
      </w:r>
      <w:r w:rsidRPr="00293659">
        <w:rPr>
          <w:rFonts w:hAnsi="標楷體" w:hint="eastAsia"/>
        </w:rPr>
        <w:t>%，其採購金額分別占1</w:t>
      </w:r>
      <w:r w:rsidRPr="00293659">
        <w:rPr>
          <w:rFonts w:hAnsi="標楷體"/>
        </w:rPr>
        <w:t>8%</w:t>
      </w:r>
      <w:r w:rsidRPr="00293659">
        <w:rPr>
          <w:rFonts w:hAnsi="標楷體" w:hint="eastAsia"/>
        </w:rPr>
        <w:t>及1</w:t>
      </w:r>
      <w:r w:rsidRPr="00293659">
        <w:rPr>
          <w:rFonts w:hAnsi="標楷體"/>
        </w:rPr>
        <w:t>0%</w:t>
      </w:r>
      <w:r w:rsidRPr="00293659">
        <w:rPr>
          <w:rFonts w:hAnsi="標楷體" w:cs="新細明體" w:hint="eastAsia"/>
          <w:kern w:val="0"/>
        </w:rPr>
        <w:t>；選擇性</w:t>
      </w:r>
      <w:r w:rsidRPr="00293659">
        <w:rPr>
          <w:rFonts w:hAnsi="標楷體" w:hint="eastAsia"/>
        </w:rPr>
        <w:t>招標件數比率分別為2</w:t>
      </w:r>
      <w:r w:rsidRPr="00293659">
        <w:rPr>
          <w:rFonts w:hAnsi="標楷體"/>
        </w:rPr>
        <w:t>4</w:t>
      </w:r>
      <w:r w:rsidRPr="00293659">
        <w:rPr>
          <w:rFonts w:hAnsi="標楷體" w:hint="eastAsia"/>
        </w:rPr>
        <w:t>%及1</w:t>
      </w:r>
      <w:r w:rsidRPr="00293659">
        <w:rPr>
          <w:rFonts w:hAnsi="標楷體"/>
        </w:rPr>
        <w:t>8</w:t>
      </w:r>
      <w:r w:rsidRPr="00293659">
        <w:rPr>
          <w:rFonts w:hAnsi="標楷體" w:hint="eastAsia"/>
        </w:rPr>
        <w:t>%，其採購金額分別占3</w:t>
      </w:r>
      <w:r w:rsidRPr="00293659">
        <w:rPr>
          <w:rFonts w:hAnsi="標楷體"/>
        </w:rPr>
        <w:t>3%</w:t>
      </w:r>
      <w:r w:rsidRPr="00293659">
        <w:rPr>
          <w:rFonts w:hAnsi="標楷體" w:hint="eastAsia"/>
        </w:rPr>
        <w:t>及4</w:t>
      </w:r>
      <w:r w:rsidRPr="00293659">
        <w:rPr>
          <w:rFonts w:hAnsi="標楷體"/>
        </w:rPr>
        <w:t>0%</w:t>
      </w:r>
      <w:r w:rsidRPr="00293659">
        <w:rPr>
          <w:rFonts w:hAnsi="標楷體" w:hint="eastAsia"/>
        </w:rPr>
        <w:t>。</w:t>
      </w:r>
    </w:p>
    <w:p w14:paraId="11133B28" w14:textId="77777777" w:rsidR="00E1047E" w:rsidRPr="00293659" w:rsidRDefault="00E1047E" w:rsidP="00E1047E">
      <w:pPr>
        <w:pStyle w:val="a3"/>
        <w:spacing w:after="120"/>
        <w:ind w:left="482" w:hanging="482"/>
        <w:rPr>
          <w:rFonts w:hAnsi="標楷體"/>
          <w:b/>
        </w:rPr>
      </w:pPr>
      <w:r w:rsidRPr="00293659">
        <w:rPr>
          <w:rFonts w:hAnsi="標楷體" w:hint="eastAsia"/>
          <w:b/>
        </w:rPr>
        <w:t>中科院1</w:t>
      </w:r>
      <w:r w:rsidRPr="00293659">
        <w:rPr>
          <w:rFonts w:hAnsi="標楷體"/>
          <w:b/>
        </w:rPr>
        <w:t>10-</w:t>
      </w:r>
      <w:proofErr w:type="gramStart"/>
      <w:r w:rsidRPr="00293659">
        <w:rPr>
          <w:rFonts w:hAnsi="標楷體"/>
          <w:b/>
        </w:rPr>
        <w:t>111</w:t>
      </w:r>
      <w:proofErr w:type="gramEnd"/>
      <w:r w:rsidRPr="00293659">
        <w:rPr>
          <w:rFonts w:hAnsi="標楷體" w:hint="eastAsia"/>
          <w:b/>
        </w:rPr>
        <w:t>年度</w:t>
      </w:r>
      <w:r w:rsidRPr="00293659">
        <w:rPr>
          <w:rFonts w:hAnsi="標楷體" w:hint="eastAsia"/>
          <w:b/>
          <w:u w:color="FF0000"/>
        </w:rPr>
        <w:t>採購</w:t>
      </w:r>
      <w:r w:rsidRPr="00293659">
        <w:rPr>
          <w:rFonts w:hAnsi="標楷體" w:hint="eastAsia"/>
          <w:b/>
        </w:rPr>
        <w:t>作業概況</w:t>
      </w:r>
    </w:p>
    <w:tbl>
      <w:tblPr>
        <w:tblStyle w:val="afb"/>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28"/>
        <w:gridCol w:w="1812"/>
        <w:gridCol w:w="1470"/>
        <w:gridCol w:w="1471"/>
        <w:gridCol w:w="1471"/>
        <w:gridCol w:w="1472"/>
      </w:tblGrid>
      <w:tr w:rsidR="00293659" w:rsidRPr="00293659" w14:paraId="3D91E554" w14:textId="77777777" w:rsidTr="007858AD">
        <w:trPr>
          <w:trHeight w:val="641"/>
          <w:jc w:val="center"/>
        </w:trPr>
        <w:tc>
          <w:tcPr>
            <w:tcW w:w="1129" w:type="dxa"/>
            <w:vMerge w:val="restart"/>
            <w:vAlign w:val="center"/>
          </w:tcPr>
          <w:p w14:paraId="29D136E4" w14:textId="77777777" w:rsidR="00E1047E" w:rsidRPr="00293659" w:rsidRDefault="00E1047E" w:rsidP="00A8393B">
            <w:pPr>
              <w:pStyle w:val="1"/>
              <w:numPr>
                <w:ilvl w:val="0"/>
                <w:numId w:val="0"/>
              </w:numPr>
              <w:jc w:val="center"/>
              <w:rPr>
                <w:rFonts w:hAnsi="標楷體"/>
                <w:b/>
                <w:sz w:val="28"/>
                <w:szCs w:val="28"/>
              </w:rPr>
            </w:pPr>
            <w:bookmarkStart w:id="383" w:name="_Toc143243857"/>
            <w:bookmarkStart w:id="384" w:name="_Toc143262214"/>
            <w:bookmarkStart w:id="385" w:name="_Toc143263099"/>
            <w:bookmarkStart w:id="386" w:name="_Toc143424311"/>
            <w:bookmarkStart w:id="387" w:name="_Toc144140189"/>
            <w:bookmarkStart w:id="388" w:name="_Toc144211301"/>
            <w:bookmarkStart w:id="389" w:name="_Toc145510563"/>
            <w:r w:rsidRPr="00293659">
              <w:rPr>
                <w:rFonts w:hAnsi="標楷體" w:hint="eastAsia"/>
                <w:b/>
                <w:sz w:val="28"/>
                <w:szCs w:val="28"/>
              </w:rPr>
              <w:t>年度</w:t>
            </w:r>
            <w:bookmarkEnd w:id="383"/>
            <w:bookmarkEnd w:id="384"/>
            <w:bookmarkEnd w:id="385"/>
            <w:bookmarkEnd w:id="386"/>
            <w:bookmarkEnd w:id="387"/>
            <w:bookmarkEnd w:id="388"/>
            <w:bookmarkEnd w:id="389"/>
          </w:p>
        </w:tc>
        <w:tc>
          <w:tcPr>
            <w:tcW w:w="1815" w:type="dxa"/>
            <w:vMerge w:val="restart"/>
            <w:vAlign w:val="center"/>
          </w:tcPr>
          <w:p w14:paraId="5A338CA3" w14:textId="77777777" w:rsidR="00E1047E" w:rsidRPr="00293659" w:rsidRDefault="00E1047E" w:rsidP="00A8393B">
            <w:pPr>
              <w:pStyle w:val="1"/>
              <w:numPr>
                <w:ilvl w:val="0"/>
                <w:numId w:val="0"/>
              </w:numPr>
              <w:jc w:val="center"/>
              <w:rPr>
                <w:rFonts w:hAnsi="標楷體"/>
                <w:b/>
                <w:sz w:val="28"/>
                <w:szCs w:val="28"/>
              </w:rPr>
            </w:pPr>
            <w:bookmarkStart w:id="390" w:name="_Toc143243858"/>
            <w:bookmarkStart w:id="391" w:name="_Toc143262215"/>
            <w:bookmarkStart w:id="392" w:name="_Toc143263100"/>
            <w:bookmarkStart w:id="393" w:name="_Toc143424312"/>
            <w:bookmarkStart w:id="394" w:name="_Toc144140190"/>
            <w:bookmarkStart w:id="395" w:name="_Toc144211302"/>
            <w:bookmarkStart w:id="396" w:name="_Toc145510564"/>
            <w:r w:rsidRPr="00293659">
              <w:rPr>
                <w:rFonts w:hAnsi="標楷體" w:hint="eastAsia"/>
                <w:b/>
                <w:sz w:val="28"/>
                <w:szCs w:val="28"/>
              </w:rPr>
              <w:t>購案</w:t>
            </w:r>
            <w:bookmarkEnd w:id="390"/>
            <w:bookmarkEnd w:id="391"/>
            <w:bookmarkEnd w:id="392"/>
            <w:bookmarkEnd w:id="393"/>
            <w:bookmarkEnd w:id="394"/>
            <w:bookmarkEnd w:id="395"/>
            <w:bookmarkEnd w:id="396"/>
          </w:p>
        </w:tc>
        <w:tc>
          <w:tcPr>
            <w:tcW w:w="4417" w:type="dxa"/>
            <w:gridSpan w:val="3"/>
            <w:vAlign w:val="center"/>
          </w:tcPr>
          <w:p w14:paraId="06A731D2" w14:textId="77777777" w:rsidR="00E1047E" w:rsidRPr="00293659" w:rsidRDefault="00E1047E" w:rsidP="00A8393B">
            <w:pPr>
              <w:pStyle w:val="1"/>
              <w:numPr>
                <w:ilvl w:val="0"/>
                <w:numId w:val="0"/>
              </w:numPr>
              <w:jc w:val="center"/>
              <w:rPr>
                <w:rFonts w:hAnsi="標楷體"/>
                <w:b/>
                <w:sz w:val="28"/>
                <w:szCs w:val="28"/>
              </w:rPr>
            </w:pPr>
            <w:bookmarkStart w:id="397" w:name="_Toc143243859"/>
            <w:bookmarkStart w:id="398" w:name="_Toc143262216"/>
            <w:bookmarkStart w:id="399" w:name="_Toc143263101"/>
            <w:bookmarkStart w:id="400" w:name="_Toc143424313"/>
            <w:bookmarkStart w:id="401" w:name="_Toc144140191"/>
            <w:bookmarkStart w:id="402" w:name="_Toc144211303"/>
            <w:bookmarkStart w:id="403" w:name="_Toc145510565"/>
            <w:r w:rsidRPr="00293659">
              <w:rPr>
                <w:rFonts w:hAnsi="標楷體" w:hint="eastAsia"/>
                <w:b/>
                <w:sz w:val="28"/>
                <w:szCs w:val="28"/>
              </w:rPr>
              <w:t>購案招標方式</w:t>
            </w:r>
            <w:bookmarkEnd w:id="397"/>
            <w:bookmarkEnd w:id="398"/>
            <w:bookmarkEnd w:id="399"/>
            <w:bookmarkEnd w:id="400"/>
            <w:bookmarkEnd w:id="401"/>
            <w:bookmarkEnd w:id="402"/>
            <w:bookmarkEnd w:id="403"/>
          </w:p>
        </w:tc>
        <w:tc>
          <w:tcPr>
            <w:tcW w:w="1473" w:type="dxa"/>
            <w:vMerge w:val="restart"/>
            <w:vAlign w:val="center"/>
          </w:tcPr>
          <w:p w14:paraId="572EE848" w14:textId="77777777" w:rsidR="00E1047E" w:rsidRPr="00293659" w:rsidRDefault="00E1047E" w:rsidP="00A8393B">
            <w:pPr>
              <w:pStyle w:val="1"/>
              <w:numPr>
                <w:ilvl w:val="0"/>
                <w:numId w:val="0"/>
              </w:numPr>
              <w:jc w:val="center"/>
              <w:rPr>
                <w:rFonts w:hAnsi="標楷體"/>
                <w:b/>
                <w:sz w:val="28"/>
                <w:szCs w:val="28"/>
              </w:rPr>
            </w:pPr>
            <w:bookmarkStart w:id="404" w:name="_Toc143243860"/>
            <w:bookmarkStart w:id="405" w:name="_Toc143262217"/>
            <w:bookmarkStart w:id="406" w:name="_Toc143263102"/>
            <w:bookmarkStart w:id="407" w:name="_Toc143424314"/>
            <w:bookmarkStart w:id="408" w:name="_Toc144140192"/>
            <w:bookmarkStart w:id="409" w:name="_Toc144211304"/>
            <w:bookmarkStart w:id="410" w:name="_Toc145510566"/>
            <w:r w:rsidRPr="00293659">
              <w:rPr>
                <w:rFonts w:hAnsi="標楷體" w:hint="eastAsia"/>
                <w:b/>
                <w:sz w:val="28"/>
                <w:szCs w:val="28"/>
              </w:rPr>
              <w:t>合計</w:t>
            </w:r>
            <w:bookmarkEnd w:id="404"/>
            <w:bookmarkEnd w:id="405"/>
            <w:bookmarkEnd w:id="406"/>
            <w:bookmarkEnd w:id="407"/>
            <w:bookmarkEnd w:id="408"/>
            <w:bookmarkEnd w:id="409"/>
            <w:bookmarkEnd w:id="410"/>
          </w:p>
        </w:tc>
      </w:tr>
      <w:tr w:rsidR="00293659" w:rsidRPr="00293659" w14:paraId="5700AE17" w14:textId="77777777" w:rsidTr="00FE1961">
        <w:trPr>
          <w:trHeight w:val="692"/>
          <w:jc w:val="center"/>
        </w:trPr>
        <w:tc>
          <w:tcPr>
            <w:tcW w:w="1129" w:type="dxa"/>
            <w:vMerge/>
            <w:vAlign w:val="center"/>
          </w:tcPr>
          <w:p w14:paraId="211792D2" w14:textId="77777777" w:rsidR="00E1047E" w:rsidRPr="00293659" w:rsidRDefault="00E1047E" w:rsidP="00A8393B">
            <w:pPr>
              <w:pStyle w:val="1"/>
              <w:numPr>
                <w:ilvl w:val="0"/>
                <w:numId w:val="0"/>
              </w:numPr>
              <w:jc w:val="center"/>
              <w:rPr>
                <w:rFonts w:hAnsi="標楷體"/>
                <w:sz w:val="28"/>
                <w:szCs w:val="28"/>
              </w:rPr>
            </w:pPr>
          </w:p>
        </w:tc>
        <w:tc>
          <w:tcPr>
            <w:tcW w:w="1815" w:type="dxa"/>
            <w:vMerge/>
            <w:vAlign w:val="center"/>
          </w:tcPr>
          <w:p w14:paraId="20684AD2" w14:textId="77777777" w:rsidR="00E1047E" w:rsidRPr="00293659" w:rsidRDefault="00E1047E" w:rsidP="00A8393B">
            <w:pPr>
              <w:pStyle w:val="1"/>
              <w:numPr>
                <w:ilvl w:val="0"/>
                <w:numId w:val="0"/>
              </w:numPr>
              <w:jc w:val="center"/>
              <w:rPr>
                <w:rFonts w:hAnsi="標楷體"/>
                <w:sz w:val="28"/>
                <w:szCs w:val="28"/>
              </w:rPr>
            </w:pPr>
          </w:p>
        </w:tc>
        <w:tc>
          <w:tcPr>
            <w:tcW w:w="1472" w:type="dxa"/>
            <w:vAlign w:val="center"/>
          </w:tcPr>
          <w:p w14:paraId="5C0B2D88" w14:textId="77777777" w:rsidR="00E1047E" w:rsidRPr="00293659" w:rsidRDefault="00E1047E" w:rsidP="00A8393B">
            <w:pPr>
              <w:widowControl/>
              <w:jc w:val="center"/>
              <w:rPr>
                <w:rFonts w:hAnsi="標楷體" w:cs="新細明體"/>
                <w:b/>
                <w:kern w:val="0"/>
                <w:sz w:val="26"/>
                <w:szCs w:val="26"/>
              </w:rPr>
            </w:pPr>
            <w:r w:rsidRPr="00293659">
              <w:rPr>
                <w:rFonts w:hAnsi="標楷體" w:cs="新細明體" w:hint="eastAsia"/>
                <w:b/>
                <w:kern w:val="0"/>
                <w:sz w:val="26"/>
                <w:szCs w:val="26"/>
              </w:rPr>
              <w:t>公告(開)招標</w:t>
            </w:r>
          </w:p>
        </w:tc>
        <w:tc>
          <w:tcPr>
            <w:tcW w:w="1472" w:type="dxa"/>
            <w:vAlign w:val="center"/>
          </w:tcPr>
          <w:p w14:paraId="33DEB30B" w14:textId="77777777" w:rsidR="00E1047E" w:rsidRPr="00293659" w:rsidRDefault="00E1047E" w:rsidP="00A8393B">
            <w:pPr>
              <w:widowControl/>
              <w:jc w:val="center"/>
              <w:rPr>
                <w:rFonts w:hAnsi="標楷體" w:cs="新細明體"/>
                <w:b/>
                <w:kern w:val="0"/>
                <w:sz w:val="26"/>
                <w:szCs w:val="26"/>
              </w:rPr>
            </w:pPr>
            <w:r w:rsidRPr="00293659">
              <w:rPr>
                <w:rFonts w:hAnsi="標楷體" w:cs="新細明體" w:hint="eastAsia"/>
                <w:b/>
                <w:kern w:val="0"/>
                <w:sz w:val="26"/>
                <w:szCs w:val="26"/>
              </w:rPr>
              <w:t>限制性</w:t>
            </w:r>
          </w:p>
          <w:p w14:paraId="01877169" w14:textId="77777777" w:rsidR="00E1047E" w:rsidRPr="00293659" w:rsidRDefault="00E1047E" w:rsidP="00A8393B">
            <w:pPr>
              <w:widowControl/>
              <w:jc w:val="center"/>
              <w:rPr>
                <w:rFonts w:hAnsi="標楷體" w:cs="新細明體"/>
                <w:b/>
                <w:kern w:val="0"/>
                <w:sz w:val="26"/>
                <w:szCs w:val="26"/>
              </w:rPr>
            </w:pPr>
            <w:r w:rsidRPr="00293659">
              <w:rPr>
                <w:rFonts w:hAnsi="標楷體" w:cs="新細明體" w:hint="eastAsia"/>
                <w:b/>
                <w:kern w:val="0"/>
                <w:sz w:val="26"/>
                <w:szCs w:val="26"/>
              </w:rPr>
              <w:t>招標</w:t>
            </w:r>
          </w:p>
        </w:tc>
        <w:tc>
          <w:tcPr>
            <w:tcW w:w="1473" w:type="dxa"/>
            <w:vAlign w:val="center"/>
          </w:tcPr>
          <w:p w14:paraId="44167667" w14:textId="77777777" w:rsidR="00E1047E" w:rsidRPr="00293659" w:rsidRDefault="00E1047E" w:rsidP="00A8393B">
            <w:pPr>
              <w:widowControl/>
              <w:jc w:val="center"/>
              <w:rPr>
                <w:rFonts w:hAnsi="標楷體" w:cs="新細明體"/>
                <w:b/>
                <w:kern w:val="0"/>
                <w:sz w:val="26"/>
                <w:szCs w:val="26"/>
              </w:rPr>
            </w:pPr>
            <w:r w:rsidRPr="00293659">
              <w:rPr>
                <w:rFonts w:hAnsi="標楷體" w:cs="新細明體" w:hint="eastAsia"/>
                <w:b/>
                <w:kern w:val="0"/>
                <w:sz w:val="26"/>
                <w:szCs w:val="26"/>
              </w:rPr>
              <w:t>選擇性</w:t>
            </w:r>
          </w:p>
          <w:p w14:paraId="2CC91C2C" w14:textId="77777777" w:rsidR="00E1047E" w:rsidRPr="00293659" w:rsidRDefault="00E1047E" w:rsidP="00A8393B">
            <w:pPr>
              <w:widowControl/>
              <w:jc w:val="center"/>
              <w:rPr>
                <w:rFonts w:hAnsi="標楷體" w:cs="新細明體"/>
                <w:b/>
                <w:kern w:val="0"/>
                <w:sz w:val="26"/>
                <w:szCs w:val="26"/>
              </w:rPr>
            </w:pPr>
            <w:r w:rsidRPr="00293659">
              <w:rPr>
                <w:rFonts w:hAnsi="標楷體" w:cs="新細明體" w:hint="eastAsia"/>
                <w:b/>
                <w:kern w:val="0"/>
                <w:sz w:val="26"/>
                <w:szCs w:val="26"/>
              </w:rPr>
              <w:t>招標</w:t>
            </w:r>
          </w:p>
        </w:tc>
        <w:tc>
          <w:tcPr>
            <w:tcW w:w="1473" w:type="dxa"/>
            <w:vMerge/>
            <w:vAlign w:val="center"/>
          </w:tcPr>
          <w:p w14:paraId="3A4A7F41" w14:textId="77777777" w:rsidR="00E1047E" w:rsidRPr="00293659" w:rsidRDefault="00E1047E" w:rsidP="00A8393B">
            <w:pPr>
              <w:pStyle w:val="1"/>
              <w:numPr>
                <w:ilvl w:val="0"/>
                <w:numId w:val="0"/>
              </w:numPr>
              <w:jc w:val="center"/>
              <w:rPr>
                <w:rFonts w:hAnsi="標楷體"/>
                <w:sz w:val="28"/>
                <w:szCs w:val="28"/>
              </w:rPr>
            </w:pPr>
          </w:p>
        </w:tc>
      </w:tr>
      <w:tr w:rsidR="00293659" w:rsidRPr="00293659" w14:paraId="26BB20E4" w14:textId="77777777" w:rsidTr="00FE1961">
        <w:trPr>
          <w:trHeight w:val="417"/>
          <w:jc w:val="center"/>
        </w:trPr>
        <w:tc>
          <w:tcPr>
            <w:tcW w:w="1129" w:type="dxa"/>
            <w:vMerge w:val="restart"/>
            <w:vAlign w:val="center"/>
          </w:tcPr>
          <w:p w14:paraId="50237B27" w14:textId="77777777" w:rsidR="00E1047E" w:rsidRPr="00293659" w:rsidRDefault="00E1047E" w:rsidP="00A8393B">
            <w:pPr>
              <w:pStyle w:val="1"/>
              <w:numPr>
                <w:ilvl w:val="0"/>
                <w:numId w:val="0"/>
              </w:numPr>
              <w:jc w:val="center"/>
              <w:rPr>
                <w:rFonts w:hAnsi="標楷體"/>
                <w:sz w:val="28"/>
                <w:szCs w:val="28"/>
              </w:rPr>
            </w:pPr>
            <w:bookmarkStart w:id="411" w:name="_Toc143243861"/>
            <w:bookmarkStart w:id="412" w:name="_Toc143262218"/>
            <w:bookmarkStart w:id="413" w:name="_Toc143263103"/>
            <w:bookmarkStart w:id="414" w:name="_Toc143424315"/>
            <w:bookmarkStart w:id="415" w:name="_Toc144140193"/>
            <w:bookmarkStart w:id="416" w:name="_Toc144211305"/>
            <w:bookmarkStart w:id="417" w:name="_Toc145510567"/>
            <w:r w:rsidRPr="00293659">
              <w:rPr>
                <w:rFonts w:hAnsi="標楷體" w:hint="eastAsia"/>
                <w:sz w:val="28"/>
                <w:szCs w:val="28"/>
              </w:rPr>
              <w:t>1</w:t>
            </w:r>
            <w:r w:rsidRPr="00293659">
              <w:rPr>
                <w:rFonts w:hAnsi="標楷體"/>
                <w:sz w:val="28"/>
                <w:szCs w:val="28"/>
              </w:rPr>
              <w:t>10</w:t>
            </w:r>
            <w:bookmarkEnd w:id="411"/>
            <w:bookmarkEnd w:id="412"/>
            <w:bookmarkEnd w:id="413"/>
            <w:bookmarkEnd w:id="414"/>
            <w:bookmarkEnd w:id="415"/>
            <w:bookmarkEnd w:id="416"/>
            <w:bookmarkEnd w:id="417"/>
          </w:p>
        </w:tc>
        <w:tc>
          <w:tcPr>
            <w:tcW w:w="1815" w:type="dxa"/>
            <w:vAlign w:val="center"/>
          </w:tcPr>
          <w:p w14:paraId="7C3855FD" w14:textId="77777777" w:rsidR="00E1047E" w:rsidRPr="00293659" w:rsidRDefault="00E1047E" w:rsidP="00A8393B">
            <w:pPr>
              <w:pStyle w:val="1"/>
              <w:numPr>
                <w:ilvl w:val="0"/>
                <w:numId w:val="0"/>
              </w:numPr>
              <w:jc w:val="center"/>
              <w:rPr>
                <w:rFonts w:hAnsi="標楷體"/>
                <w:sz w:val="28"/>
                <w:szCs w:val="28"/>
              </w:rPr>
            </w:pPr>
            <w:bookmarkStart w:id="418" w:name="_Toc143243862"/>
            <w:bookmarkStart w:id="419" w:name="_Toc143262219"/>
            <w:bookmarkStart w:id="420" w:name="_Toc143263104"/>
            <w:bookmarkStart w:id="421" w:name="_Toc143424316"/>
            <w:bookmarkStart w:id="422" w:name="_Toc144140194"/>
            <w:bookmarkStart w:id="423" w:name="_Toc144211306"/>
            <w:bookmarkStart w:id="424" w:name="_Toc145510568"/>
            <w:r w:rsidRPr="00293659">
              <w:rPr>
                <w:rFonts w:hAnsi="標楷體" w:hint="eastAsia"/>
                <w:sz w:val="28"/>
                <w:szCs w:val="28"/>
              </w:rPr>
              <w:t>案件數</w:t>
            </w:r>
            <w:bookmarkEnd w:id="418"/>
            <w:bookmarkEnd w:id="419"/>
            <w:bookmarkEnd w:id="420"/>
            <w:bookmarkEnd w:id="421"/>
            <w:bookmarkEnd w:id="422"/>
            <w:bookmarkEnd w:id="423"/>
            <w:bookmarkEnd w:id="424"/>
          </w:p>
        </w:tc>
        <w:tc>
          <w:tcPr>
            <w:tcW w:w="1472" w:type="dxa"/>
            <w:vAlign w:val="center"/>
          </w:tcPr>
          <w:p w14:paraId="1847CE69" w14:textId="77777777" w:rsidR="00E1047E" w:rsidRPr="00293659" w:rsidRDefault="00E1047E" w:rsidP="00A8393B">
            <w:pPr>
              <w:widowControl/>
              <w:overflowPunct/>
              <w:autoSpaceDE/>
              <w:autoSpaceDN/>
              <w:jc w:val="center"/>
              <w:rPr>
                <w:rFonts w:hAnsi="標楷體"/>
                <w:kern w:val="0"/>
                <w:sz w:val="28"/>
                <w:szCs w:val="28"/>
              </w:rPr>
            </w:pPr>
            <w:r w:rsidRPr="00293659">
              <w:rPr>
                <w:rFonts w:hAnsi="標楷體" w:hint="eastAsia"/>
                <w:sz w:val="28"/>
                <w:szCs w:val="28"/>
              </w:rPr>
              <w:t>67%</w:t>
            </w:r>
          </w:p>
        </w:tc>
        <w:tc>
          <w:tcPr>
            <w:tcW w:w="1472" w:type="dxa"/>
            <w:vAlign w:val="center"/>
          </w:tcPr>
          <w:p w14:paraId="15C66398" w14:textId="77777777" w:rsidR="00E1047E" w:rsidRPr="00293659" w:rsidRDefault="00E1047E" w:rsidP="00A8393B">
            <w:pPr>
              <w:ind w:rightChars="117" w:right="398"/>
              <w:jc w:val="right"/>
              <w:rPr>
                <w:rFonts w:hAnsi="標楷體"/>
                <w:sz w:val="28"/>
                <w:szCs w:val="28"/>
              </w:rPr>
            </w:pPr>
            <w:r w:rsidRPr="00293659">
              <w:rPr>
                <w:rFonts w:hAnsi="標楷體"/>
                <w:sz w:val="28"/>
                <w:szCs w:val="28"/>
              </w:rPr>
              <w:t>9</w:t>
            </w:r>
            <w:r w:rsidRPr="00293659">
              <w:rPr>
                <w:rFonts w:hAnsi="標楷體" w:hint="eastAsia"/>
                <w:sz w:val="28"/>
                <w:szCs w:val="28"/>
              </w:rPr>
              <w:t>%</w:t>
            </w:r>
          </w:p>
        </w:tc>
        <w:tc>
          <w:tcPr>
            <w:tcW w:w="1473" w:type="dxa"/>
            <w:vAlign w:val="center"/>
          </w:tcPr>
          <w:p w14:paraId="76E782B3" w14:textId="77777777" w:rsidR="00E1047E" w:rsidRPr="00293659" w:rsidRDefault="00E1047E" w:rsidP="00A8393B">
            <w:pPr>
              <w:jc w:val="center"/>
              <w:rPr>
                <w:rFonts w:hAnsi="標楷體"/>
                <w:sz w:val="28"/>
                <w:szCs w:val="28"/>
              </w:rPr>
            </w:pPr>
            <w:r w:rsidRPr="00293659">
              <w:rPr>
                <w:rFonts w:hAnsi="標楷體" w:hint="eastAsia"/>
                <w:sz w:val="28"/>
                <w:szCs w:val="28"/>
              </w:rPr>
              <w:t>2</w:t>
            </w:r>
            <w:r w:rsidRPr="00293659">
              <w:rPr>
                <w:rFonts w:hAnsi="標楷體"/>
                <w:sz w:val="28"/>
                <w:szCs w:val="28"/>
              </w:rPr>
              <w:t>4</w:t>
            </w:r>
            <w:r w:rsidRPr="00293659">
              <w:rPr>
                <w:rFonts w:hAnsi="標楷體" w:hint="eastAsia"/>
                <w:sz w:val="28"/>
                <w:szCs w:val="28"/>
              </w:rPr>
              <w:t>%</w:t>
            </w:r>
          </w:p>
        </w:tc>
        <w:tc>
          <w:tcPr>
            <w:tcW w:w="1473" w:type="dxa"/>
            <w:vAlign w:val="center"/>
          </w:tcPr>
          <w:p w14:paraId="2A8E0DFB" w14:textId="77777777" w:rsidR="00E1047E" w:rsidRPr="00293659" w:rsidRDefault="00E1047E" w:rsidP="00FE1961">
            <w:pPr>
              <w:spacing w:beforeLines="20" w:before="91" w:afterLines="20" w:after="91"/>
              <w:jc w:val="center"/>
              <w:rPr>
                <w:rFonts w:hAnsi="標楷體"/>
                <w:sz w:val="28"/>
                <w:szCs w:val="28"/>
              </w:rPr>
            </w:pPr>
            <w:r w:rsidRPr="00293659">
              <w:rPr>
                <w:rFonts w:hAnsi="標楷體" w:hint="eastAsia"/>
                <w:sz w:val="28"/>
                <w:szCs w:val="28"/>
              </w:rPr>
              <w:t>100%</w:t>
            </w:r>
          </w:p>
        </w:tc>
      </w:tr>
      <w:tr w:rsidR="00293659" w:rsidRPr="00293659" w14:paraId="105F5CCE" w14:textId="77777777" w:rsidTr="00FE1961">
        <w:trPr>
          <w:trHeight w:val="383"/>
          <w:jc w:val="center"/>
        </w:trPr>
        <w:tc>
          <w:tcPr>
            <w:tcW w:w="1129" w:type="dxa"/>
            <w:vMerge/>
            <w:vAlign w:val="center"/>
          </w:tcPr>
          <w:p w14:paraId="73E981F9" w14:textId="77777777" w:rsidR="00E1047E" w:rsidRPr="00293659" w:rsidRDefault="00E1047E" w:rsidP="00A8393B">
            <w:pPr>
              <w:pStyle w:val="1"/>
              <w:numPr>
                <w:ilvl w:val="0"/>
                <w:numId w:val="0"/>
              </w:numPr>
              <w:jc w:val="center"/>
              <w:rPr>
                <w:rFonts w:hAnsi="標楷體"/>
                <w:sz w:val="28"/>
                <w:szCs w:val="28"/>
              </w:rPr>
            </w:pPr>
          </w:p>
        </w:tc>
        <w:tc>
          <w:tcPr>
            <w:tcW w:w="1815" w:type="dxa"/>
            <w:vAlign w:val="center"/>
          </w:tcPr>
          <w:p w14:paraId="602C21AB" w14:textId="77777777" w:rsidR="00E1047E" w:rsidRPr="00293659" w:rsidRDefault="00E1047E" w:rsidP="00A8393B">
            <w:pPr>
              <w:pStyle w:val="1"/>
              <w:numPr>
                <w:ilvl w:val="0"/>
                <w:numId w:val="0"/>
              </w:numPr>
              <w:jc w:val="center"/>
              <w:rPr>
                <w:rFonts w:hAnsi="標楷體"/>
                <w:sz w:val="28"/>
                <w:szCs w:val="28"/>
              </w:rPr>
            </w:pPr>
            <w:bookmarkStart w:id="425" w:name="_Toc143243863"/>
            <w:bookmarkStart w:id="426" w:name="_Toc143262220"/>
            <w:bookmarkStart w:id="427" w:name="_Toc143263105"/>
            <w:bookmarkStart w:id="428" w:name="_Toc143424317"/>
            <w:bookmarkStart w:id="429" w:name="_Toc144140195"/>
            <w:bookmarkStart w:id="430" w:name="_Toc144211307"/>
            <w:bookmarkStart w:id="431" w:name="_Toc145510569"/>
            <w:r w:rsidRPr="00293659">
              <w:rPr>
                <w:rFonts w:hAnsi="標楷體" w:hint="eastAsia"/>
                <w:sz w:val="28"/>
                <w:szCs w:val="28"/>
              </w:rPr>
              <w:t>採購金額</w:t>
            </w:r>
            <w:bookmarkEnd w:id="425"/>
            <w:bookmarkEnd w:id="426"/>
            <w:bookmarkEnd w:id="427"/>
            <w:bookmarkEnd w:id="428"/>
            <w:bookmarkEnd w:id="429"/>
            <w:bookmarkEnd w:id="430"/>
            <w:bookmarkEnd w:id="431"/>
          </w:p>
        </w:tc>
        <w:tc>
          <w:tcPr>
            <w:tcW w:w="1472" w:type="dxa"/>
            <w:vAlign w:val="center"/>
          </w:tcPr>
          <w:p w14:paraId="181492D6" w14:textId="77777777" w:rsidR="00E1047E" w:rsidRPr="00293659" w:rsidRDefault="00E1047E" w:rsidP="00A8393B">
            <w:pPr>
              <w:jc w:val="center"/>
              <w:rPr>
                <w:rFonts w:hAnsi="標楷體"/>
                <w:sz w:val="28"/>
                <w:szCs w:val="28"/>
              </w:rPr>
            </w:pPr>
            <w:r w:rsidRPr="00293659">
              <w:rPr>
                <w:rFonts w:hAnsi="標楷體" w:hint="eastAsia"/>
                <w:sz w:val="28"/>
                <w:szCs w:val="28"/>
              </w:rPr>
              <w:t>49%</w:t>
            </w:r>
          </w:p>
        </w:tc>
        <w:tc>
          <w:tcPr>
            <w:tcW w:w="1472" w:type="dxa"/>
            <w:vAlign w:val="center"/>
          </w:tcPr>
          <w:p w14:paraId="6851DCED" w14:textId="77777777" w:rsidR="00E1047E" w:rsidRPr="00293659" w:rsidRDefault="00E1047E" w:rsidP="00A8393B">
            <w:pPr>
              <w:jc w:val="center"/>
              <w:rPr>
                <w:rFonts w:hAnsi="標楷體"/>
                <w:sz w:val="28"/>
                <w:szCs w:val="28"/>
              </w:rPr>
            </w:pPr>
            <w:r w:rsidRPr="00293659">
              <w:rPr>
                <w:rFonts w:hAnsi="標楷體" w:hint="eastAsia"/>
                <w:sz w:val="28"/>
                <w:szCs w:val="28"/>
              </w:rPr>
              <w:t>18%</w:t>
            </w:r>
          </w:p>
        </w:tc>
        <w:tc>
          <w:tcPr>
            <w:tcW w:w="1473" w:type="dxa"/>
            <w:vAlign w:val="center"/>
          </w:tcPr>
          <w:p w14:paraId="2795715A" w14:textId="77777777" w:rsidR="00E1047E" w:rsidRPr="00293659" w:rsidRDefault="00E1047E" w:rsidP="00A8393B">
            <w:pPr>
              <w:jc w:val="center"/>
              <w:rPr>
                <w:rFonts w:hAnsi="標楷體"/>
                <w:sz w:val="28"/>
                <w:szCs w:val="28"/>
              </w:rPr>
            </w:pPr>
            <w:r w:rsidRPr="00293659">
              <w:rPr>
                <w:rFonts w:hAnsi="標楷體" w:hint="eastAsia"/>
                <w:sz w:val="28"/>
                <w:szCs w:val="28"/>
              </w:rPr>
              <w:t>33%</w:t>
            </w:r>
          </w:p>
        </w:tc>
        <w:tc>
          <w:tcPr>
            <w:tcW w:w="1473" w:type="dxa"/>
            <w:vAlign w:val="center"/>
          </w:tcPr>
          <w:p w14:paraId="2B2A49D6" w14:textId="77777777" w:rsidR="00E1047E" w:rsidRPr="00293659" w:rsidRDefault="00E1047E" w:rsidP="00FE1961">
            <w:pPr>
              <w:spacing w:beforeLines="20" w:before="91" w:afterLines="20" w:after="91"/>
              <w:jc w:val="center"/>
              <w:rPr>
                <w:rFonts w:hAnsi="標楷體"/>
                <w:sz w:val="28"/>
                <w:szCs w:val="28"/>
              </w:rPr>
            </w:pPr>
            <w:r w:rsidRPr="00293659">
              <w:rPr>
                <w:rFonts w:hAnsi="標楷體" w:hint="eastAsia"/>
                <w:sz w:val="28"/>
                <w:szCs w:val="28"/>
              </w:rPr>
              <w:t>100%</w:t>
            </w:r>
          </w:p>
        </w:tc>
      </w:tr>
      <w:tr w:rsidR="00293659" w:rsidRPr="00293659" w14:paraId="64D810ED" w14:textId="77777777" w:rsidTr="00A8393B">
        <w:trPr>
          <w:jc w:val="center"/>
        </w:trPr>
        <w:tc>
          <w:tcPr>
            <w:tcW w:w="1129" w:type="dxa"/>
            <w:vMerge w:val="restart"/>
            <w:vAlign w:val="center"/>
          </w:tcPr>
          <w:p w14:paraId="3577F7F2" w14:textId="77777777" w:rsidR="00E1047E" w:rsidRPr="00293659" w:rsidRDefault="00E1047E" w:rsidP="00A8393B">
            <w:pPr>
              <w:pStyle w:val="1"/>
              <w:numPr>
                <w:ilvl w:val="0"/>
                <w:numId w:val="0"/>
              </w:numPr>
              <w:jc w:val="center"/>
              <w:rPr>
                <w:rFonts w:hAnsi="標楷體"/>
                <w:sz w:val="28"/>
                <w:szCs w:val="28"/>
              </w:rPr>
            </w:pPr>
            <w:bookmarkStart w:id="432" w:name="_Toc143243864"/>
            <w:bookmarkStart w:id="433" w:name="_Toc143262221"/>
            <w:bookmarkStart w:id="434" w:name="_Toc143263106"/>
            <w:bookmarkStart w:id="435" w:name="_Toc143424318"/>
            <w:bookmarkStart w:id="436" w:name="_Toc144140196"/>
            <w:bookmarkStart w:id="437" w:name="_Toc144211308"/>
            <w:bookmarkStart w:id="438" w:name="_Toc145510570"/>
            <w:r w:rsidRPr="00293659">
              <w:rPr>
                <w:rFonts w:hAnsi="標楷體" w:hint="eastAsia"/>
                <w:sz w:val="28"/>
                <w:szCs w:val="28"/>
              </w:rPr>
              <w:t>1</w:t>
            </w:r>
            <w:r w:rsidRPr="00293659">
              <w:rPr>
                <w:rFonts w:hAnsi="標楷體"/>
                <w:sz w:val="28"/>
                <w:szCs w:val="28"/>
              </w:rPr>
              <w:t>11</w:t>
            </w:r>
            <w:bookmarkEnd w:id="432"/>
            <w:bookmarkEnd w:id="433"/>
            <w:bookmarkEnd w:id="434"/>
            <w:bookmarkEnd w:id="435"/>
            <w:bookmarkEnd w:id="436"/>
            <w:bookmarkEnd w:id="437"/>
            <w:bookmarkEnd w:id="438"/>
          </w:p>
        </w:tc>
        <w:tc>
          <w:tcPr>
            <w:tcW w:w="1815" w:type="dxa"/>
            <w:vAlign w:val="center"/>
          </w:tcPr>
          <w:p w14:paraId="566FBFBA" w14:textId="77777777" w:rsidR="00E1047E" w:rsidRPr="00293659" w:rsidRDefault="00E1047E" w:rsidP="00A8393B">
            <w:pPr>
              <w:pStyle w:val="1"/>
              <w:numPr>
                <w:ilvl w:val="0"/>
                <w:numId w:val="0"/>
              </w:numPr>
              <w:jc w:val="center"/>
              <w:rPr>
                <w:rFonts w:hAnsi="標楷體"/>
                <w:sz w:val="28"/>
                <w:szCs w:val="28"/>
              </w:rPr>
            </w:pPr>
            <w:bookmarkStart w:id="439" w:name="_Toc143243865"/>
            <w:bookmarkStart w:id="440" w:name="_Toc143262222"/>
            <w:bookmarkStart w:id="441" w:name="_Toc143263107"/>
            <w:bookmarkStart w:id="442" w:name="_Toc143424319"/>
            <w:bookmarkStart w:id="443" w:name="_Toc144140197"/>
            <w:bookmarkStart w:id="444" w:name="_Toc144211309"/>
            <w:bookmarkStart w:id="445" w:name="_Toc145510571"/>
            <w:r w:rsidRPr="00293659">
              <w:rPr>
                <w:rFonts w:hAnsi="標楷體" w:hint="eastAsia"/>
                <w:sz w:val="28"/>
                <w:szCs w:val="28"/>
              </w:rPr>
              <w:t>案件數</w:t>
            </w:r>
            <w:bookmarkEnd w:id="439"/>
            <w:bookmarkEnd w:id="440"/>
            <w:bookmarkEnd w:id="441"/>
            <w:bookmarkEnd w:id="442"/>
            <w:bookmarkEnd w:id="443"/>
            <w:bookmarkEnd w:id="444"/>
            <w:bookmarkEnd w:id="445"/>
          </w:p>
        </w:tc>
        <w:tc>
          <w:tcPr>
            <w:tcW w:w="1472" w:type="dxa"/>
            <w:vAlign w:val="center"/>
          </w:tcPr>
          <w:p w14:paraId="181B20FC" w14:textId="77777777" w:rsidR="00E1047E" w:rsidRPr="00293659" w:rsidRDefault="00E1047E" w:rsidP="00A8393B">
            <w:pPr>
              <w:jc w:val="center"/>
              <w:rPr>
                <w:rFonts w:hAnsi="標楷體"/>
                <w:sz w:val="28"/>
                <w:szCs w:val="28"/>
              </w:rPr>
            </w:pPr>
            <w:r w:rsidRPr="00293659">
              <w:rPr>
                <w:rFonts w:hAnsi="標楷體" w:hint="eastAsia"/>
                <w:sz w:val="28"/>
                <w:szCs w:val="28"/>
              </w:rPr>
              <w:t>69%</w:t>
            </w:r>
          </w:p>
        </w:tc>
        <w:tc>
          <w:tcPr>
            <w:tcW w:w="1472" w:type="dxa"/>
            <w:vAlign w:val="center"/>
          </w:tcPr>
          <w:p w14:paraId="63CD11ED" w14:textId="77777777" w:rsidR="00E1047E" w:rsidRPr="00293659" w:rsidRDefault="00E1047E" w:rsidP="00A8393B">
            <w:pPr>
              <w:jc w:val="center"/>
              <w:rPr>
                <w:rFonts w:hAnsi="標楷體"/>
                <w:sz w:val="28"/>
                <w:szCs w:val="28"/>
              </w:rPr>
            </w:pPr>
            <w:r w:rsidRPr="00293659">
              <w:rPr>
                <w:rFonts w:hAnsi="標楷體" w:hint="eastAsia"/>
                <w:sz w:val="28"/>
                <w:szCs w:val="28"/>
              </w:rPr>
              <w:t>13%</w:t>
            </w:r>
          </w:p>
        </w:tc>
        <w:tc>
          <w:tcPr>
            <w:tcW w:w="1473" w:type="dxa"/>
            <w:vAlign w:val="center"/>
          </w:tcPr>
          <w:p w14:paraId="4D359BA5" w14:textId="77777777" w:rsidR="00E1047E" w:rsidRPr="00293659" w:rsidRDefault="00E1047E" w:rsidP="00A8393B">
            <w:pPr>
              <w:jc w:val="center"/>
              <w:rPr>
                <w:rFonts w:hAnsi="標楷體"/>
                <w:sz w:val="28"/>
                <w:szCs w:val="28"/>
              </w:rPr>
            </w:pPr>
            <w:r w:rsidRPr="00293659">
              <w:rPr>
                <w:rFonts w:hAnsi="標楷體" w:hint="eastAsia"/>
                <w:sz w:val="28"/>
                <w:szCs w:val="28"/>
              </w:rPr>
              <w:t>1</w:t>
            </w:r>
            <w:r w:rsidRPr="00293659">
              <w:rPr>
                <w:rFonts w:hAnsi="標楷體"/>
                <w:sz w:val="28"/>
                <w:szCs w:val="28"/>
              </w:rPr>
              <w:t>8</w:t>
            </w:r>
            <w:r w:rsidRPr="00293659">
              <w:rPr>
                <w:rFonts w:hAnsi="標楷體" w:hint="eastAsia"/>
                <w:sz w:val="28"/>
                <w:szCs w:val="28"/>
              </w:rPr>
              <w:t>%</w:t>
            </w:r>
          </w:p>
        </w:tc>
        <w:tc>
          <w:tcPr>
            <w:tcW w:w="1473" w:type="dxa"/>
            <w:vAlign w:val="center"/>
          </w:tcPr>
          <w:p w14:paraId="1CA0EE06" w14:textId="77777777" w:rsidR="00E1047E" w:rsidRPr="00293659" w:rsidRDefault="00E1047E" w:rsidP="00FE1961">
            <w:pPr>
              <w:spacing w:beforeLines="20" w:before="91" w:afterLines="20" w:after="91"/>
              <w:jc w:val="center"/>
              <w:rPr>
                <w:rFonts w:hAnsi="標楷體"/>
                <w:sz w:val="28"/>
                <w:szCs w:val="28"/>
              </w:rPr>
            </w:pPr>
            <w:r w:rsidRPr="00293659">
              <w:rPr>
                <w:rFonts w:hAnsi="標楷體" w:hint="eastAsia"/>
                <w:sz w:val="28"/>
                <w:szCs w:val="28"/>
              </w:rPr>
              <w:t>100%</w:t>
            </w:r>
          </w:p>
        </w:tc>
      </w:tr>
      <w:tr w:rsidR="00293659" w:rsidRPr="00293659" w14:paraId="0488CA09" w14:textId="77777777" w:rsidTr="00A8393B">
        <w:trPr>
          <w:jc w:val="center"/>
        </w:trPr>
        <w:tc>
          <w:tcPr>
            <w:tcW w:w="1129" w:type="dxa"/>
            <w:vMerge/>
          </w:tcPr>
          <w:p w14:paraId="500E4F81" w14:textId="77777777" w:rsidR="00E1047E" w:rsidRPr="00293659" w:rsidRDefault="00E1047E" w:rsidP="00A8393B">
            <w:pPr>
              <w:pStyle w:val="1"/>
              <w:numPr>
                <w:ilvl w:val="0"/>
                <w:numId w:val="0"/>
              </w:numPr>
              <w:rPr>
                <w:rFonts w:hAnsi="標楷體"/>
                <w:sz w:val="28"/>
                <w:szCs w:val="28"/>
              </w:rPr>
            </w:pPr>
          </w:p>
        </w:tc>
        <w:tc>
          <w:tcPr>
            <w:tcW w:w="1815" w:type="dxa"/>
            <w:vAlign w:val="center"/>
          </w:tcPr>
          <w:p w14:paraId="500CE7EC" w14:textId="77777777" w:rsidR="00E1047E" w:rsidRPr="00293659" w:rsidRDefault="00E1047E" w:rsidP="00A8393B">
            <w:pPr>
              <w:pStyle w:val="1"/>
              <w:numPr>
                <w:ilvl w:val="0"/>
                <w:numId w:val="0"/>
              </w:numPr>
              <w:jc w:val="center"/>
              <w:rPr>
                <w:rFonts w:hAnsi="標楷體"/>
                <w:sz w:val="28"/>
                <w:szCs w:val="28"/>
              </w:rPr>
            </w:pPr>
            <w:bookmarkStart w:id="446" w:name="_Toc143243866"/>
            <w:bookmarkStart w:id="447" w:name="_Toc143262223"/>
            <w:bookmarkStart w:id="448" w:name="_Toc143263108"/>
            <w:bookmarkStart w:id="449" w:name="_Toc143424320"/>
            <w:bookmarkStart w:id="450" w:name="_Toc144140198"/>
            <w:bookmarkStart w:id="451" w:name="_Toc144211310"/>
            <w:bookmarkStart w:id="452" w:name="_Toc145510572"/>
            <w:r w:rsidRPr="00293659">
              <w:rPr>
                <w:rFonts w:hAnsi="標楷體" w:hint="eastAsia"/>
                <w:sz w:val="28"/>
                <w:szCs w:val="28"/>
              </w:rPr>
              <w:t>採購金額</w:t>
            </w:r>
            <w:bookmarkEnd w:id="446"/>
            <w:bookmarkEnd w:id="447"/>
            <w:bookmarkEnd w:id="448"/>
            <w:bookmarkEnd w:id="449"/>
            <w:bookmarkEnd w:id="450"/>
            <w:bookmarkEnd w:id="451"/>
            <w:bookmarkEnd w:id="452"/>
          </w:p>
        </w:tc>
        <w:tc>
          <w:tcPr>
            <w:tcW w:w="1472" w:type="dxa"/>
            <w:vAlign w:val="center"/>
          </w:tcPr>
          <w:p w14:paraId="1A2A1D55" w14:textId="77777777" w:rsidR="00E1047E" w:rsidRPr="00293659" w:rsidRDefault="00E1047E" w:rsidP="00A8393B">
            <w:pPr>
              <w:jc w:val="center"/>
              <w:rPr>
                <w:rFonts w:hAnsi="標楷體"/>
                <w:sz w:val="28"/>
                <w:szCs w:val="28"/>
              </w:rPr>
            </w:pPr>
            <w:r w:rsidRPr="00293659">
              <w:rPr>
                <w:rFonts w:hAnsi="標楷體" w:hint="eastAsia"/>
                <w:sz w:val="28"/>
                <w:szCs w:val="28"/>
              </w:rPr>
              <w:t>50%</w:t>
            </w:r>
          </w:p>
        </w:tc>
        <w:tc>
          <w:tcPr>
            <w:tcW w:w="1472" w:type="dxa"/>
            <w:vAlign w:val="center"/>
          </w:tcPr>
          <w:p w14:paraId="5CB3FC20" w14:textId="77777777" w:rsidR="00E1047E" w:rsidRPr="00293659" w:rsidRDefault="00E1047E" w:rsidP="00A8393B">
            <w:pPr>
              <w:jc w:val="center"/>
              <w:rPr>
                <w:rFonts w:hAnsi="標楷體"/>
                <w:sz w:val="28"/>
                <w:szCs w:val="28"/>
              </w:rPr>
            </w:pPr>
            <w:r w:rsidRPr="00293659">
              <w:rPr>
                <w:rFonts w:hAnsi="標楷體" w:hint="eastAsia"/>
                <w:sz w:val="28"/>
                <w:szCs w:val="28"/>
              </w:rPr>
              <w:t>10%</w:t>
            </w:r>
          </w:p>
        </w:tc>
        <w:tc>
          <w:tcPr>
            <w:tcW w:w="1473" w:type="dxa"/>
            <w:vAlign w:val="center"/>
          </w:tcPr>
          <w:p w14:paraId="7FDC44F1" w14:textId="77777777" w:rsidR="00E1047E" w:rsidRPr="00293659" w:rsidRDefault="00E1047E" w:rsidP="00A8393B">
            <w:pPr>
              <w:jc w:val="center"/>
              <w:rPr>
                <w:rFonts w:hAnsi="標楷體"/>
                <w:sz w:val="28"/>
                <w:szCs w:val="28"/>
              </w:rPr>
            </w:pPr>
            <w:r w:rsidRPr="00293659">
              <w:rPr>
                <w:rFonts w:hAnsi="標楷體" w:hint="eastAsia"/>
                <w:sz w:val="28"/>
                <w:szCs w:val="28"/>
              </w:rPr>
              <w:t>40%</w:t>
            </w:r>
          </w:p>
        </w:tc>
        <w:tc>
          <w:tcPr>
            <w:tcW w:w="1473" w:type="dxa"/>
            <w:vAlign w:val="center"/>
          </w:tcPr>
          <w:p w14:paraId="404DD247" w14:textId="77777777" w:rsidR="00E1047E" w:rsidRPr="00293659" w:rsidRDefault="00E1047E" w:rsidP="00FE1961">
            <w:pPr>
              <w:spacing w:beforeLines="20" w:before="91" w:afterLines="20" w:after="91"/>
              <w:jc w:val="center"/>
              <w:rPr>
                <w:rFonts w:hAnsi="標楷體"/>
                <w:sz w:val="28"/>
                <w:szCs w:val="28"/>
              </w:rPr>
            </w:pPr>
            <w:r w:rsidRPr="00293659">
              <w:rPr>
                <w:rFonts w:hAnsi="標楷體" w:hint="eastAsia"/>
                <w:sz w:val="28"/>
                <w:szCs w:val="28"/>
              </w:rPr>
              <w:t>100%</w:t>
            </w:r>
          </w:p>
        </w:tc>
      </w:tr>
    </w:tbl>
    <w:p w14:paraId="0EBB5F63" w14:textId="77777777" w:rsidR="00E1047E" w:rsidRPr="00293659" w:rsidRDefault="00E1047E" w:rsidP="00E1047E">
      <w:pPr>
        <w:pStyle w:val="1"/>
        <w:numPr>
          <w:ilvl w:val="0"/>
          <w:numId w:val="0"/>
        </w:numPr>
        <w:spacing w:line="300" w:lineRule="exact"/>
        <w:ind w:left="518" w:hangingChars="199" w:hanging="518"/>
        <w:rPr>
          <w:rFonts w:hAnsi="標楷體"/>
          <w:sz w:val="24"/>
          <w:szCs w:val="24"/>
        </w:rPr>
      </w:pPr>
      <w:bookmarkStart w:id="453" w:name="_Toc143243867"/>
      <w:bookmarkStart w:id="454" w:name="_Toc143262224"/>
      <w:bookmarkStart w:id="455" w:name="_Toc143263109"/>
      <w:bookmarkStart w:id="456" w:name="_Toc143424321"/>
      <w:bookmarkStart w:id="457" w:name="_Toc144140199"/>
      <w:bookmarkStart w:id="458" w:name="_Toc144211311"/>
      <w:bookmarkStart w:id="459" w:name="_Toc145510573"/>
      <w:proofErr w:type="gramStart"/>
      <w:r w:rsidRPr="00293659">
        <w:rPr>
          <w:rFonts w:hAnsi="標楷體" w:hint="eastAsia"/>
          <w:sz w:val="24"/>
          <w:szCs w:val="24"/>
        </w:rPr>
        <w:t>註</w:t>
      </w:r>
      <w:proofErr w:type="gramEnd"/>
      <w:r w:rsidRPr="00293659">
        <w:rPr>
          <w:rFonts w:hAnsi="標楷體" w:hint="eastAsia"/>
          <w:sz w:val="24"/>
          <w:szCs w:val="24"/>
        </w:rPr>
        <w:t>：1</w:t>
      </w:r>
      <w:r w:rsidRPr="00293659">
        <w:rPr>
          <w:rFonts w:hAnsi="標楷體"/>
          <w:sz w:val="24"/>
          <w:szCs w:val="24"/>
        </w:rPr>
        <w:t>.</w:t>
      </w:r>
      <w:r w:rsidRPr="00293659">
        <w:rPr>
          <w:rFonts w:hAnsi="標楷體" w:hint="eastAsia"/>
          <w:sz w:val="24"/>
          <w:szCs w:val="24"/>
        </w:rPr>
        <w:t>本表係依據國防部提供資料，將金額改</w:t>
      </w:r>
      <w:proofErr w:type="gramStart"/>
      <w:r w:rsidRPr="00293659">
        <w:rPr>
          <w:rFonts w:hAnsi="標楷體" w:hint="eastAsia"/>
          <w:sz w:val="24"/>
          <w:szCs w:val="24"/>
        </w:rPr>
        <w:t>採</w:t>
      </w:r>
      <w:proofErr w:type="gramEnd"/>
      <w:r w:rsidRPr="00293659">
        <w:rPr>
          <w:rFonts w:hAnsi="標楷體" w:hint="eastAsia"/>
          <w:sz w:val="24"/>
          <w:szCs w:val="24"/>
        </w:rPr>
        <w:t>比率表達。</w:t>
      </w:r>
      <w:bookmarkEnd w:id="453"/>
      <w:bookmarkEnd w:id="454"/>
      <w:bookmarkEnd w:id="455"/>
      <w:bookmarkEnd w:id="456"/>
      <w:bookmarkEnd w:id="457"/>
      <w:bookmarkEnd w:id="458"/>
      <w:bookmarkEnd w:id="459"/>
    </w:p>
    <w:p w14:paraId="45472192" w14:textId="77777777" w:rsidR="00E1047E" w:rsidRPr="00293659" w:rsidRDefault="00E1047E" w:rsidP="00D55C34">
      <w:pPr>
        <w:pStyle w:val="1"/>
        <w:numPr>
          <w:ilvl w:val="0"/>
          <w:numId w:val="0"/>
        </w:numPr>
        <w:spacing w:afterLines="50" w:after="228" w:line="300" w:lineRule="exact"/>
        <w:ind w:leftChars="152" w:left="517"/>
        <w:rPr>
          <w:rFonts w:hAnsi="標楷體"/>
          <w:sz w:val="24"/>
          <w:szCs w:val="24"/>
        </w:rPr>
      </w:pPr>
      <w:bookmarkStart w:id="460" w:name="_Toc143243868"/>
      <w:bookmarkStart w:id="461" w:name="_Toc143262225"/>
      <w:bookmarkStart w:id="462" w:name="_Toc143263110"/>
      <w:bookmarkStart w:id="463" w:name="_Toc143424322"/>
      <w:bookmarkStart w:id="464" w:name="_Toc144140200"/>
      <w:bookmarkStart w:id="465" w:name="_Toc144211312"/>
      <w:bookmarkStart w:id="466" w:name="_Toc145510574"/>
      <w:r w:rsidRPr="00293659">
        <w:rPr>
          <w:rFonts w:hAnsi="標楷體" w:hint="eastAsia"/>
          <w:sz w:val="24"/>
          <w:szCs w:val="24"/>
        </w:rPr>
        <w:t>2</w:t>
      </w:r>
      <w:r w:rsidRPr="00293659">
        <w:rPr>
          <w:rFonts w:hAnsi="標楷體"/>
          <w:sz w:val="24"/>
          <w:szCs w:val="24"/>
        </w:rPr>
        <w:t>.</w:t>
      </w:r>
      <w:r w:rsidRPr="00293659">
        <w:rPr>
          <w:rFonts w:hAnsi="標楷體" w:hint="eastAsia"/>
          <w:sz w:val="24"/>
          <w:szCs w:val="24"/>
        </w:rPr>
        <w:t>統計資料不含特約供應訂購案及註銷採購。</w:t>
      </w:r>
      <w:bookmarkEnd w:id="460"/>
      <w:bookmarkEnd w:id="461"/>
      <w:bookmarkEnd w:id="462"/>
      <w:bookmarkEnd w:id="463"/>
      <w:bookmarkEnd w:id="464"/>
      <w:bookmarkEnd w:id="465"/>
      <w:bookmarkEnd w:id="466"/>
    </w:p>
    <w:p w14:paraId="54DFB840" w14:textId="0F51F5C4" w:rsidR="00E1047E" w:rsidRPr="00293659" w:rsidRDefault="00E1047E" w:rsidP="00E1047E">
      <w:pPr>
        <w:pStyle w:val="4"/>
        <w:numPr>
          <w:ilvl w:val="3"/>
          <w:numId w:val="1"/>
        </w:numPr>
        <w:rPr>
          <w:rFonts w:hAnsi="標楷體"/>
          <w:shd w:val="pct15" w:color="auto" w:fill="FFFFFF"/>
        </w:rPr>
      </w:pPr>
      <w:r w:rsidRPr="00293659">
        <w:rPr>
          <w:rFonts w:hAnsi="標楷體" w:hint="eastAsia"/>
        </w:rPr>
        <w:t>有關審計</w:t>
      </w:r>
      <w:proofErr w:type="gramStart"/>
      <w:r w:rsidRPr="00293659">
        <w:rPr>
          <w:rFonts w:hAnsi="標楷體" w:hint="eastAsia"/>
        </w:rPr>
        <w:t>部抽核</w:t>
      </w:r>
      <w:proofErr w:type="gramEnd"/>
      <w:r w:rsidRPr="00293659">
        <w:rPr>
          <w:rFonts w:hAnsi="標楷體" w:hint="eastAsia"/>
        </w:rPr>
        <w:t>專案計「長電纜等10項」等3案，經查委託單位函文皆符合「特別採購招標決標處理辦法」第6條之1第2款「於國家安全或機密有必要者」要求由中科院承接，且須依軍種要求設計客製化規格，並</w:t>
      </w:r>
      <w:proofErr w:type="gramStart"/>
      <w:r w:rsidRPr="00293659">
        <w:rPr>
          <w:rFonts w:hAnsi="標楷體" w:hint="eastAsia"/>
        </w:rPr>
        <w:t>定義驗測方式</w:t>
      </w:r>
      <w:proofErr w:type="gramEnd"/>
      <w:r w:rsidRPr="00293659">
        <w:rPr>
          <w:rFonts w:hAnsi="標楷體" w:hint="eastAsia"/>
        </w:rPr>
        <w:t>以確保品質無虞，無所述之「</w:t>
      </w:r>
      <w:proofErr w:type="gramStart"/>
      <w:r w:rsidRPr="00293659">
        <w:rPr>
          <w:rFonts w:hAnsi="標楷體" w:hint="eastAsia"/>
        </w:rPr>
        <w:t>僅代各</w:t>
      </w:r>
      <w:proofErr w:type="gramEnd"/>
      <w:r w:rsidRPr="00293659">
        <w:rPr>
          <w:rFonts w:hAnsi="標楷體" w:hint="eastAsia"/>
        </w:rPr>
        <w:t>委託單位辦理採購作業」之情事。然為使中科院回歸核心本</w:t>
      </w:r>
      <w:proofErr w:type="gramStart"/>
      <w:r w:rsidRPr="00293659">
        <w:rPr>
          <w:rFonts w:hAnsi="標楷體" w:hint="eastAsia"/>
        </w:rPr>
        <w:t>務</w:t>
      </w:r>
      <w:proofErr w:type="gramEnd"/>
      <w:r w:rsidRPr="00293659">
        <w:rPr>
          <w:rFonts w:hAnsi="標楷體" w:hint="eastAsia"/>
        </w:rPr>
        <w:t>，專責國防科技、飛彈量產等任務，國防部業已檢討修正軍事機關委中科院擔任主合約商預審機制原則，中科院接案原則，包括：投資建案項目，屬中科院經科</w:t>
      </w:r>
      <w:proofErr w:type="gramStart"/>
      <w:r w:rsidRPr="00293659">
        <w:rPr>
          <w:rFonts w:hAnsi="標楷體" w:hint="eastAsia"/>
        </w:rPr>
        <w:t>研</w:t>
      </w:r>
      <w:proofErr w:type="gramEnd"/>
      <w:r w:rsidRPr="00293659">
        <w:rPr>
          <w:rFonts w:hAnsi="標楷體" w:hint="eastAsia"/>
        </w:rPr>
        <w:t>建案並完成</w:t>
      </w:r>
      <w:proofErr w:type="gramStart"/>
      <w:r w:rsidRPr="00293659">
        <w:rPr>
          <w:rFonts w:hAnsi="標楷體" w:hint="eastAsia"/>
        </w:rPr>
        <w:t>作戰測評合格</w:t>
      </w:r>
      <w:proofErr w:type="gramEnd"/>
      <w:r w:rsidRPr="00293659">
        <w:rPr>
          <w:rFonts w:hAnsi="標楷體" w:hint="eastAsia"/>
        </w:rPr>
        <w:t>項目；投資建案需求，經審查屬國防科技核心機密確有必要委中科院辦理者；經評估建案需求之系統整合或關鍵工項，非屬一般廠商所能製造或供應者；資通電裝備除電子戰、雷達、指</w:t>
      </w:r>
      <w:proofErr w:type="gramStart"/>
      <w:r w:rsidRPr="00293659">
        <w:rPr>
          <w:rFonts w:hAnsi="標楷體" w:hint="eastAsia"/>
        </w:rPr>
        <w:t>管與鏈路</w:t>
      </w:r>
      <w:proofErr w:type="gramEnd"/>
      <w:r w:rsidRPr="00293659">
        <w:rPr>
          <w:rFonts w:hAnsi="標楷體" w:hint="eastAsia"/>
        </w:rPr>
        <w:t>系統、</w:t>
      </w:r>
      <w:proofErr w:type="gramStart"/>
      <w:r w:rsidRPr="00293659">
        <w:rPr>
          <w:rFonts w:hAnsi="標楷體" w:hint="eastAsia"/>
        </w:rPr>
        <w:t>網路戰反制</w:t>
      </w:r>
      <w:proofErr w:type="gramEnd"/>
      <w:r w:rsidRPr="00293659">
        <w:rPr>
          <w:rFonts w:hAnsi="標楷體" w:hint="eastAsia"/>
        </w:rPr>
        <w:t>及通信保密模組等核心機敏裝備可委由中科院執行外，其他民間已具備成熟能量之主裝備、附屬裝備等，</w:t>
      </w:r>
      <w:proofErr w:type="gramStart"/>
      <w:r w:rsidRPr="00293659">
        <w:rPr>
          <w:rFonts w:hAnsi="標楷體" w:hint="eastAsia"/>
        </w:rPr>
        <w:t>均由各</w:t>
      </w:r>
      <w:proofErr w:type="gramEnd"/>
      <w:r w:rsidRPr="00293659">
        <w:rPr>
          <w:rFonts w:hAnsi="標楷體" w:hint="eastAsia"/>
        </w:rPr>
        <w:t>建案單位自行籌購；投資建案項目含其附屬設施(工程)，若屬中科院供武器裝備所必要之專業設施工程，經評估建案需求，確有必要由中科院辦理等。</w:t>
      </w:r>
    </w:p>
    <w:p w14:paraId="25AC63C4" w14:textId="77777777" w:rsidR="00E1047E" w:rsidRPr="00293659" w:rsidRDefault="00E1047E" w:rsidP="00E1047E">
      <w:pPr>
        <w:pStyle w:val="4"/>
        <w:numPr>
          <w:ilvl w:val="3"/>
          <w:numId w:val="1"/>
        </w:numPr>
        <w:rPr>
          <w:rFonts w:hAnsi="標楷體"/>
        </w:rPr>
      </w:pPr>
      <w:r w:rsidRPr="00293659">
        <w:rPr>
          <w:rFonts w:hAnsi="標楷體" w:hint="eastAsia"/>
        </w:rPr>
        <w:lastRenderedPageBreak/>
        <w:t>對於</w:t>
      </w:r>
      <w:proofErr w:type="gramStart"/>
      <w:r w:rsidRPr="00293659">
        <w:rPr>
          <w:rFonts w:hAnsi="標楷體" w:hint="eastAsia"/>
        </w:rPr>
        <w:t>採</w:t>
      </w:r>
      <w:proofErr w:type="gramEnd"/>
      <w:r w:rsidRPr="00293659">
        <w:rPr>
          <w:rFonts w:hAnsi="標楷體" w:hint="eastAsia"/>
        </w:rPr>
        <w:t>分批採購、未落實拒絕往來機制及緊急採購未依規定</w:t>
      </w:r>
      <w:proofErr w:type="gramStart"/>
      <w:r w:rsidRPr="00293659">
        <w:rPr>
          <w:rFonts w:hAnsi="標楷體" w:hint="eastAsia"/>
        </w:rPr>
        <w:t>簽准等缺失</w:t>
      </w:r>
      <w:proofErr w:type="gramEnd"/>
      <w:r w:rsidRPr="00293659">
        <w:rPr>
          <w:rFonts w:hAnsi="標楷體" w:hint="eastAsia"/>
        </w:rPr>
        <w:t>，檢討說明如下：</w:t>
      </w:r>
    </w:p>
    <w:p w14:paraId="617C1AFC" w14:textId="248465EA" w:rsidR="00E1047E" w:rsidRPr="00293659" w:rsidRDefault="00E1047E" w:rsidP="00E1047E">
      <w:pPr>
        <w:pStyle w:val="5"/>
        <w:numPr>
          <w:ilvl w:val="4"/>
          <w:numId w:val="1"/>
        </w:numPr>
        <w:rPr>
          <w:rFonts w:hAnsi="標楷體"/>
        </w:rPr>
      </w:pPr>
      <w:r w:rsidRPr="00293659">
        <w:rPr>
          <w:rFonts w:hAnsi="標楷體" w:hint="eastAsia"/>
        </w:rPr>
        <w:t>分批採購：為避免各需求單位規避審查，以定額採購分批辦理20萬元以上之採購，於採購作業規定中，訂定以「計畫集中：統一檢討需求，編定需求計畫，一次申請辦理採購為原則」。</w:t>
      </w:r>
    </w:p>
    <w:p w14:paraId="71242C01" w14:textId="77777777" w:rsidR="00E1047E" w:rsidRPr="00293659" w:rsidRDefault="00E1047E" w:rsidP="00E1047E">
      <w:pPr>
        <w:pStyle w:val="5"/>
        <w:numPr>
          <w:ilvl w:val="4"/>
          <w:numId w:val="1"/>
        </w:numPr>
        <w:rPr>
          <w:rFonts w:hAnsi="標楷體"/>
        </w:rPr>
      </w:pPr>
      <w:r w:rsidRPr="00293659">
        <w:rPr>
          <w:rFonts w:hAnsi="標楷體" w:hint="eastAsia"/>
        </w:rPr>
        <w:t>後續將要求需求單位加強</w:t>
      </w:r>
      <w:proofErr w:type="gramStart"/>
      <w:r w:rsidRPr="00293659">
        <w:rPr>
          <w:rFonts w:hAnsi="標楷體" w:hint="eastAsia"/>
        </w:rPr>
        <w:t>對庫儲安全存量</w:t>
      </w:r>
      <w:proofErr w:type="gramEnd"/>
      <w:r w:rsidRPr="00293659">
        <w:rPr>
          <w:rFonts w:hAnsi="標楷體" w:hint="eastAsia"/>
        </w:rPr>
        <w:t>，及籌購前置作業控管情形，加以檢討改進外，如經評估需以「緊急採購」辦理者，須依「緊急採購作業程序參考說明」完備申辦、呈核及核定程序，再續行採購。</w:t>
      </w:r>
    </w:p>
    <w:p w14:paraId="13B9293D" w14:textId="5723FAAF" w:rsidR="00E1047E" w:rsidRPr="00293659" w:rsidRDefault="00E1047E" w:rsidP="00E1047E">
      <w:pPr>
        <w:pStyle w:val="5"/>
        <w:numPr>
          <w:ilvl w:val="4"/>
          <w:numId w:val="1"/>
        </w:numPr>
        <w:rPr>
          <w:rFonts w:hAnsi="標楷體"/>
        </w:rPr>
      </w:pPr>
      <w:r w:rsidRPr="00293659">
        <w:rPr>
          <w:rFonts w:hAnsi="標楷體" w:hint="eastAsia"/>
        </w:rPr>
        <w:t>檢討加強內部控制查核機制，凡非屬因應臨時性需求、維修、緊急增購、產</w:t>
      </w:r>
      <w:proofErr w:type="gramStart"/>
      <w:r w:rsidRPr="00293659">
        <w:rPr>
          <w:rFonts w:hAnsi="標楷體" w:hint="eastAsia"/>
        </w:rPr>
        <w:t>製構型</w:t>
      </w:r>
      <w:proofErr w:type="gramEnd"/>
      <w:r w:rsidRPr="00293659">
        <w:rPr>
          <w:rFonts w:hAnsi="標楷體" w:hint="eastAsia"/>
        </w:rPr>
        <w:t>更改等因素，辦理計畫集中採購有窒礙困難者，於執行查核有缺失部</w:t>
      </w:r>
      <w:r w:rsidR="00993B10" w:rsidRPr="00293659">
        <w:rPr>
          <w:rFonts w:hAnsi="標楷體" w:hint="eastAsia"/>
        </w:rPr>
        <w:t>分</w:t>
      </w:r>
      <w:r w:rsidRPr="00293659">
        <w:rPr>
          <w:rFonts w:hAnsi="標楷體" w:hint="eastAsia"/>
        </w:rPr>
        <w:t>，建立錯誤態樣列為中科院採購教育訓練宣導範例教材為輔。</w:t>
      </w:r>
    </w:p>
    <w:p w14:paraId="416FBAD6" w14:textId="564E224A" w:rsidR="00E1047E" w:rsidRPr="00293659" w:rsidRDefault="00E1047E" w:rsidP="00E1047E">
      <w:pPr>
        <w:pStyle w:val="5"/>
        <w:numPr>
          <w:ilvl w:val="4"/>
          <w:numId w:val="1"/>
        </w:numPr>
        <w:rPr>
          <w:rFonts w:hAnsi="標楷體"/>
        </w:rPr>
      </w:pPr>
      <w:r w:rsidRPr="00293659">
        <w:rPr>
          <w:rFonts w:hAnsi="標楷體" w:hint="eastAsia"/>
        </w:rPr>
        <w:t>未落實拒絕往來機制：經</w:t>
      </w:r>
      <w:proofErr w:type="gramStart"/>
      <w:r w:rsidRPr="00293659">
        <w:rPr>
          <w:rFonts w:hAnsi="標楷體" w:hint="eastAsia"/>
        </w:rPr>
        <w:t>查均為定額</w:t>
      </w:r>
      <w:proofErr w:type="gramEnd"/>
      <w:r w:rsidRPr="00293659">
        <w:rPr>
          <w:rFonts w:hAnsi="標楷體" w:hint="eastAsia"/>
        </w:rPr>
        <w:t>購案(預算20萬元以下)未執行拒絕往來廠商查詢導致，已要求於採購資訊系統</w:t>
      </w:r>
      <w:proofErr w:type="gramStart"/>
      <w:r w:rsidRPr="00293659">
        <w:rPr>
          <w:rFonts w:hAnsi="標楷體" w:hint="eastAsia"/>
        </w:rPr>
        <w:t>建構警示</w:t>
      </w:r>
      <w:proofErr w:type="gramEnd"/>
      <w:r w:rsidRPr="00293659">
        <w:rPr>
          <w:rFonts w:hAnsi="標楷體" w:hint="eastAsia"/>
        </w:rPr>
        <w:t>功能，並於110年6月28日宣導所屬單位，列入</w:t>
      </w:r>
      <w:proofErr w:type="gramStart"/>
      <w:r w:rsidRPr="00293659">
        <w:rPr>
          <w:rFonts w:hAnsi="標楷體" w:hint="eastAsia"/>
        </w:rPr>
        <w:t>採購輔訪重點</w:t>
      </w:r>
      <w:proofErr w:type="gramEnd"/>
      <w:r w:rsidRPr="00293659">
        <w:rPr>
          <w:rFonts w:hAnsi="標楷體" w:hint="eastAsia"/>
        </w:rPr>
        <w:t>考核。</w:t>
      </w:r>
    </w:p>
    <w:p w14:paraId="765F8DFD" w14:textId="0E8652AB" w:rsidR="00E1047E" w:rsidRPr="00293659" w:rsidRDefault="00E1047E" w:rsidP="00E1047E">
      <w:pPr>
        <w:pStyle w:val="5"/>
        <w:numPr>
          <w:ilvl w:val="4"/>
          <w:numId w:val="1"/>
        </w:numPr>
        <w:rPr>
          <w:rFonts w:hAnsi="標楷體"/>
        </w:rPr>
      </w:pPr>
      <w:r w:rsidRPr="00293659">
        <w:rPr>
          <w:rFonts w:hAnsi="標楷體" w:hint="eastAsia"/>
        </w:rPr>
        <w:t>緊急採購未依規定簽准：經查係因僅以簽核之會議紀錄逕行辦理緊急採購作業，導致缺失情形；已由中科院於109年12月21、22日辦理採購教育訓練時機，加強宣導緊急採購應行注意事項，並於110年12月15日宣導在案，上述缺失改進項目，業已納入</w:t>
      </w:r>
      <w:proofErr w:type="gramStart"/>
      <w:r w:rsidRPr="00293659">
        <w:rPr>
          <w:rFonts w:hAnsi="標楷體" w:hint="eastAsia"/>
        </w:rPr>
        <w:t>國防部輔訪重點</w:t>
      </w:r>
      <w:proofErr w:type="gramEnd"/>
      <w:r w:rsidRPr="00293659">
        <w:rPr>
          <w:rFonts w:hAnsi="標楷體" w:hint="eastAsia"/>
        </w:rPr>
        <w:t>審查。</w:t>
      </w:r>
    </w:p>
    <w:p w14:paraId="4AD7127A" w14:textId="77777777" w:rsidR="00E1047E" w:rsidRPr="00293659" w:rsidRDefault="00E1047E" w:rsidP="00E1047E">
      <w:pPr>
        <w:pStyle w:val="4"/>
        <w:numPr>
          <w:ilvl w:val="3"/>
          <w:numId w:val="1"/>
        </w:numPr>
        <w:rPr>
          <w:rFonts w:hAnsi="標楷體"/>
        </w:rPr>
      </w:pPr>
      <w:r w:rsidRPr="00293659">
        <w:rPr>
          <w:rFonts w:hAnsi="標楷體" w:hint="eastAsia"/>
        </w:rPr>
        <w:t>中科院自110年11月1日起，已參考行政院政府電子採購網作法，將採購決標資訊公開於該院網頁提供查詢。</w:t>
      </w:r>
    </w:p>
    <w:p w14:paraId="37ECBDFE" w14:textId="645D35E9" w:rsidR="00E1047E" w:rsidRPr="00293659" w:rsidRDefault="00E1047E" w:rsidP="00E1047E">
      <w:pPr>
        <w:pStyle w:val="2"/>
        <w:numPr>
          <w:ilvl w:val="2"/>
          <w:numId w:val="1"/>
        </w:numPr>
        <w:ind w:left="1360" w:hanging="680"/>
        <w:rPr>
          <w:rFonts w:hAnsi="標楷體"/>
        </w:rPr>
      </w:pPr>
      <w:bookmarkStart w:id="467" w:name="_Toc143243869"/>
      <w:bookmarkStart w:id="468" w:name="_Toc143262226"/>
      <w:bookmarkStart w:id="469" w:name="_Toc143263111"/>
      <w:bookmarkStart w:id="470" w:name="_Toc143424323"/>
      <w:bookmarkStart w:id="471" w:name="_Toc144140201"/>
      <w:bookmarkStart w:id="472" w:name="_Toc144211313"/>
      <w:bookmarkStart w:id="473" w:name="_Toc145510575"/>
      <w:r w:rsidRPr="00293659">
        <w:rPr>
          <w:rFonts w:hAnsi="標楷體"/>
        </w:rPr>
        <w:lastRenderedPageBreak/>
        <w:t>我國行政法人制度創設之目的，</w:t>
      </w:r>
      <w:r w:rsidRPr="00293659">
        <w:rPr>
          <w:rFonts w:hAnsi="標楷體" w:hint="eastAsia"/>
        </w:rPr>
        <w:t>即</w:t>
      </w:r>
      <w:r w:rsidRPr="00293659">
        <w:rPr>
          <w:rFonts w:hAnsi="標楷體"/>
        </w:rPr>
        <w:t>為以新的公部門組織型態來執行公共事務，在不增加政府支出的條件下，在會計、財務與採購上適度鬆綁及賦予彈性，使公共事務執行更具效率</w:t>
      </w:r>
      <w:r w:rsidRPr="00293659">
        <w:rPr>
          <w:rFonts w:hAnsi="標楷體" w:hint="eastAsia"/>
        </w:rPr>
        <w:t>，</w:t>
      </w:r>
      <w:r w:rsidRPr="00293659">
        <w:rPr>
          <w:rFonts w:hAnsi="標楷體"/>
        </w:rPr>
        <w:t>期以有效提升營運績效。</w:t>
      </w:r>
      <w:r w:rsidRPr="00293659">
        <w:rPr>
          <w:rFonts w:hAnsi="標楷體" w:hint="eastAsia"/>
        </w:rPr>
        <w:t>經查中科院係於1</w:t>
      </w:r>
      <w:r w:rsidRPr="00293659">
        <w:rPr>
          <w:rFonts w:hAnsi="標楷體"/>
        </w:rPr>
        <w:t>03</w:t>
      </w:r>
      <w:r w:rsidRPr="00293659">
        <w:rPr>
          <w:rFonts w:hAnsi="標楷體" w:cs="Arial"/>
          <w:szCs w:val="32"/>
          <w:shd w:val="clear" w:color="auto" w:fill="FFFFFF"/>
        </w:rPr>
        <w:t>年4月16日改制為行政法人</w:t>
      </w:r>
      <w:r w:rsidRPr="00293659">
        <w:rPr>
          <w:rFonts w:hAnsi="標楷體" w:cs="Arial" w:hint="eastAsia"/>
          <w:szCs w:val="32"/>
          <w:shd w:val="clear" w:color="auto" w:fill="FFFFFF"/>
        </w:rPr>
        <w:t>，為利其</w:t>
      </w:r>
      <w:r w:rsidRPr="00293659">
        <w:rPr>
          <w:rFonts w:hAnsi="標楷體"/>
        </w:rPr>
        <w:t>效率</w:t>
      </w:r>
      <w:r w:rsidRPr="00293659">
        <w:rPr>
          <w:rFonts w:hAnsi="標楷體" w:hint="eastAsia"/>
        </w:rPr>
        <w:t>，該院</w:t>
      </w:r>
      <w:r w:rsidRPr="00293659">
        <w:rPr>
          <w:rFonts w:hAnsi="標楷體"/>
        </w:rPr>
        <w:t>採購</w:t>
      </w:r>
      <w:r w:rsidRPr="00293659">
        <w:rPr>
          <w:rFonts w:hAnsi="標楷體" w:hint="eastAsia"/>
        </w:rPr>
        <w:t>制度可</w:t>
      </w:r>
      <w:r w:rsidRPr="00293659">
        <w:rPr>
          <w:rFonts w:hAnsi="標楷體"/>
        </w:rPr>
        <w:t>適度鬆綁</w:t>
      </w:r>
      <w:r w:rsidRPr="00293659">
        <w:rPr>
          <w:rFonts w:hAnsi="標楷體" w:hint="eastAsia"/>
        </w:rPr>
        <w:t>以</w:t>
      </w:r>
      <w:r w:rsidRPr="00293659">
        <w:rPr>
          <w:rFonts w:hAnsi="標楷體"/>
        </w:rPr>
        <w:t>賦予</w:t>
      </w:r>
      <w:r w:rsidRPr="00293659">
        <w:rPr>
          <w:rFonts w:hAnsi="標楷體" w:hint="eastAsia"/>
        </w:rPr>
        <w:t>若干</w:t>
      </w:r>
      <w:r w:rsidRPr="00293659">
        <w:rPr>
          <w:rFonts w:hAnsi="標楷體"/>
        </w:rPr>
        <w:t>彈性，</w:t>
      </w:r>
      <w:r w:rsidRPr="00293659">
        <w:rPr>
          <w:rFonts w:hAnsi="標楷體" w:hint="eastAsia"/>
        </w:rPr>
        <w:t>故於辦理</w:t>
      </w:r>
      <w:r w:rsidRPr="00293659">
        <w:rPr>
          <w:rFonts w:hAnsi="標楷體"/>
        </w:rPr>
        <w:t>採購</w:t>
      </w:r>
      <w:r w:rsidRPr="00293659">
        <w:rPr>
          <w:rFonts w:hAnsi="標楷體" w:hint="eastAsia"/>
        </w:rPr>
        <w:t>作業時更應依據法令與其內部相關規定，以完善之內部控制防堵弊端與避免滋生疑慮，</w:t>
      </w:r>
      <w:proofErr w:type="gramStart"/>
      <w:r w:rsidRPr="00293659">
        <w:rPr>
          <w:rFonts w:hAnsi="標楷體" w:hint="eastAsia"/>
        </w:rPr>
        <w:t>俾</w:t>
      </w:r>
      <w:proofErr w:type="gramEnd"/>
      <w:r w:rsidRPr="00293659">
        <w:rPr>
          <w:rFonts w:hAnsi="標楷體" w:hint="eastAsia"/>
        </w:rPr>
        <w:t>爭取各界對該院辦理採購作業之信任。然據審計部查核發現，中科院轉型後，多</w:t>
      </w:r>
      <w:proofErr w:type="gramStart"/>
      <w:r w:rsidRPr="00293659">
        <w:rPr>
          <w:rFonts w:hAnsi="標楷體" w:hint="eastAsia"/>
        </w:rPr>
        <w:t>以指商</w:t>
      </w:r>
      <w:proofErr w:type="gramEnd"/>
      <w:r w:rsidRPr="00293659">
        <w:rPr>
          <w:rFonts w:hAnsi="標楷體" w:hint="eastAsia"/>
        </w:rPr>
        <w:t>、邀商議（比）價方式辦理採購，具高度採購風險，且</w:t>
      </w:r>
      <w:r w:rsidR="004F169E" w:rsidRPr="00293659">
        <w:rPr>
          <w:rFonts w:hAnsi="標楷體" w:hint="eastAsia"/>
        </w:rPr>
        <w:t>尚</w:t>
      </w:r>
      <w:r w:rsidRPr="00293659">
        <w:rPr>
          <w:rFonts w:hAnsi="標楷體" w:hint="eastAsia"/>
        </w:rPr>
        <w:t>有分批採購、未落實拒絕往來機制，及緊急採購未依規定</w:t>
      </w:r>
      <w:proofErr w:type="gramStart"/>
      <w:r w:rsidRPr="00293659">
        <w:rPr>
          <w:rFonts w:hAnsi="標楷體" w:hint="eastAsia"/>
        </w:rPr>
        <w:t>簽准等缺失</w:t>
      </w:r>
      <w:proofErr w:type="gramEnd"/>
      <w:r w:rsidRPr="00293659">
        <w:rPr>
          <w:rFonts w:hAnsi="標楷體" w:hint="eastAsia"/>
        </w:rPr>
        <w:t>，以及辦理採購資訊公開作業，僅公告簡要之招標資訊及部分採購案之決標資訊，且未於其採購作業規定妥適規範採購相關資訊之公開內容等諸多疑慮；</w:t>
      </w:r>
      <w:proofErr w:type="gramStart"/>
      <w:r w:rsidRPr="00293659">
        <w:rPr>
          <w:rFonts w:hAnsi="標楷體" w:hint="eastAsia"/>
        </w:rPr>
        <w:t>揆</w:t>
      </w:r>
      <w:proofErr w:type="gramEnd"/>
      <w:r w:rsidRPr="00293659">
        <w:rPr>
          <w:rFonts w:hAnsi="標楷體" w:hint="eastAsia"/>
        </w:rPr>
        <w:t>審計部前</w:t>
      </w:r>
      <w:r w:rsidR="009A7885" w:rsidRPr="00293659">
        <w:rPr>
          <w:rFonts w:hAnsi="標楷體" w:hint="eastAsia"/>
        </w:rPr>
        <w:t>述</w:t>
      </w:r>
      <w:r w:rsidRPr="00293659">
        <w:rPr>
          <w:rFonts w:hAnsi="標楷體" w:hint="eastAsia"/>
        </w:rPr>
        <w:t>查核意旨，其旨在促進中科院採購相關機制與作業之</w:t>
      </w:r>
      <w:proofErr w:type="gramStart"/>
      <w:r w:rsidRPr="00293659">
        <w:rPr>
          <w:rFonts w:hAnsi="標楷體" w:hint="eastAsia"/>
        </w:rPr>
        <w:t>健全，</w:t>
      </w:r>
      <w:proofErr w:type="gramEnd"/>
      <w:r w:rsidRPr="00293659">
        <w:rPr>
          <w:rFonts w:hAnsi="標楷體" w:hint="eastAsia"/>
        </w:rPr>
        <w:t>藉由更公平競價方式以及採購資訊適度公開，以利中科院可爭取更佳之採購利益，</w:t>
      </w:r>
      <w:r w:rsidRPr="00293659">
        <w:rPr>
          <w:rFonts w:hAnsi="標楷體"/>
        </w:rPr>
        <w:t>期以有效提升營運績效</w:t>
      </w:r>
      <w:r w:rsidRPr="00293659">
        <w:rPr>
          <w:rFonts w:hAnsi="標楷體" w:hint="eastAsia"/>
        </w:rPr>
        <w:t>，國防部</w:t>
      </w:r>
      <w:r w:rsidR="000F6931" w:rsidRPr="00293659">
        <w:rPr>
          <w:rFonts w:hAnsi="標楷體" w:hint="eastAsia"/>
        </w:rPr>
        <w:t>雖</w:t>
      </w:r>
      <w:r w:rsidRPr="00293659">
        <w:rPr>
          <w:rFonts w:hAnsi="標楷體" w:hint="eastAsia"/>
        </w:rPr>
        <w:t>已就中科院採購相關機制與作業提具相關檢討作為，應持續督促該院落實各項檢討作為，力求採購作業品質之提升與精進。</w:t>
      </w:r>
      <w:bookmarkEnd w:id="467"/>
      <w:bookmarkEnd w:id="468"/>
      <w:bookmarkEnd w:id="469"/>
      <w:bookmarkEnd w:id="470"/>
      <w:bookmarkEnd w:id="471"/>
      <w:bookmarkEnd w:id="472"/>
      <w:bookmarkEnd w:id="473"/>
    </w:p>
    <w:p w14:paraId="66EA087B" w14:textId="7059040E" w:rsidR="00637C4A" w:rsidRDefault="00637C4A" w:rsidP="00637C4A">
      <w:pPr>
        <w:pStyle w:val="2"/>
        <w:numPr>
          <w:ilvl w:val="0"/>
          <w:numId w:val="0"/>
        </w:numPr>
        <w:ind w:left="1360"/>
        <w:rPr>
          <w:rFonts w:hAnsi="標楷體"/>
        </w:rPr>
      </w:pPr>
    </w:p>
    <w:p w14:paraId="3ECF700B" w14:textId="4DABB91B" w:rsidR="00E1047E" w:rsidRPr="00293659" w:rsidRDefault="00E1047E" w:rsidP="00E1047E">
      <w:pPr>
        <w:pStyle w:val="2"/>
        <w:numPr>
          <w:ilvl w:val="1"/>
          <w:numId w:val="1"/>
        </w:numPr>
        <w:rPr>
          <w:rFonts w:hAnsi="標楷體"/>
          <w:b/>
        </w:rPr>
      </w:pPr>
      <w:bookmarkStart w:id="474" w:name="_Toc143262227"/>
      <w:bookmarkStart w:id="475" w:name="_Toc145510576"/>
      <w:r w:rsidRPr="00293659">
        <w:rPr>
          <w:rFonts w:hAnsi="標楷體"/>
          <w:b/>
        </w:rPr>
        <w:t>行政院人事行政總處</w:t>
      </w:r>
      <w:r w:rsidRPr="00293659">
        <w:rPr>
          <w:rFonts w:hAnsi="標楷體" w:hint="eastAsia"/>
          <w:b/>
        </w:rPr>
        <w:t>於1</w:t>
      </w:r>
      <w:r w:rsidRPr="00293659">
        <w:rPr>
          <w:rFonts w:hAnsi="標楷體"/>
          <w:b/>
        </w:rPr>
        <w:t>11年</w:t>
      </w:r>
      <w:r w:rsidRPr="00293659">
        <w:rPr>
          <w:rFonts w:hAnsi="標楷體" w:hint="eastAsia"/>
          <w:b/>
        </w:rPr>
        <w:t>8</w:t>
      </w:r>
      <w:r w:rsidRPr="00293659">
        <w:rPr>
          <w:rFonts w:hAnsi="標楷體"/>
          <w:b/>
        </w:rPr>
        <w:t>月</w:t>
      </w:r>
      <w:r w:rsidRPr="00293659">
        <w:rPr>
          <w:rFonts w:hAnsi="標楷體" w:hint="eastAsia"/>
          <w:b/>
        </w:rPr>
        <w:t>2</w:t>
      </w:r>
      <w:r w:rsidRPr="00293659">
        <w:rPr>
          <w:rFonts w:hAnsi="標楷體"/>
          <w:b/>
        </w:rPr>
        <w:t>4日修正行政法人績效評鑑參考原則</w:t>
      </w:r>
      <w:r w:rsidRPr="00293659">
        <w:rPr>
          <w:rFonts w:hAnsi="標楷體" w:hint="eastAsia"/>
          <w:b/>
        </w:rPr>
        <w:t>，將</w:t>
      </w:r>
      <w:r w:rsidRPr="00293659">
        <w:rPr>
          <w:rFonts w:hAnsi="標楷體"/>
          <w:b/>
        </w:rPr>
        <w:t>內部控制與稽核作業重大缺失，人事</w:t>
      </w:r>
      <w:r w:rsidRPr="00293659">
        <w:rPr>
          <w:rFonts w:hAnsi="標楷體" w:hint="eastAsia"/>
          <w:b/>
        </w:rPr>
        <w:t>及</w:t>
      </w:r>
      <w:r w:rsidRPr="00293659">
        <w:rPr>
          <w:rFonts w:hAnsi="標楷體"/>
          <w:b/>
        </w:rPr>
        <w:t>採購等內部管理事項重大違失情形之評估</w:t>
      </w:r>
      <w:r w:rsidRPr="00293659">
        <w:rPr>
          <w:rFonts w:hAnsi="標楷體" w:hint="eastAsia"/>
          <w:b/>
        </w:rPr>
        <w:t>等</w:t>
      </w:r>
      <w:r w:rsidRPr="00293659">
        <w:rPr>
          <w:rFonts w:hAnsi="標楷體"/>
          <w:b/>
        </w:rPr>
        <w:t>，</w:t>
      </w:r>
      <w:r w:rsidRPr="00293659">
        <w:rPr>
          <w:rFonts w:hAnsi="標楷體" w:hint="eastAsia"/>
          <w:b/>
        </w:rPr>
        <w:t>得列入</w:t>
      </w:r>
      <w:r w:rsidRPr="00293659">
        <w:rPr>
          <w:rFonts w:hAnsi="標楷體"/>
          <w:b/>
        </w:rPr>
        <w:t>監督機關</w:t>
      </w:r>
      <w:r w:rsidRPr="00293659">
        <w:rPr>
          <w:rFonts w:hAnsi="標楷體" w:hint="eastAsia"/>
          <w:b/>
        </w:rPr>
        <w:t>監督</w:t>
      </w:r>
      <w:r w:rsidRPr="00293659">
        <w:rPr>
          <w:rFonts w:hAnsi="標楷體"/>
          <w:b/>
        </w:rPr>
        <w:t>行政法人</w:t>
      </w:r>
      <w:r w:rsidRPr="00293659">
        <w:rPr>
          <w:rFonts w:hAnsi="標楷體" w:hint="eastAsia"/>
          <w:b/>
        </w:rPr>
        <w:t>時之</w:t>
      </w:r>
      <w:r w:rsidRPr="00293659">
        <w:rPr>
          <w:rFonts w:hAnsi="標楷體"/>
          <w:b/>
        </w:rPr>
        <w:t>評鑑項目</w:t>
      </w:r>
      <w:r w:rsidRPr="00293659">
        <w:rPr>
          <w:rFonts w:hAnsi="標楷體" w:hint="eastAsia"/>
          <w:b/>
        </w:rPr>
        <w:t>。國防部</w:t>
      </w:r>
      <w:r w:rsidRPr="00293659">
        <w:rPr>
          <w:rFonts w:hAnsi="標楷體" w:hint="eastAsia"/>
          <w:b/>
          <w:spacing w:val="-10"/>
          <w:szCs w:val="32"/>
          <w:u w:color="FF0000"/>
        </w:rPr>
        <w:t>對中科院辦理</w:t>
      </w:r>
      <w:proofErr w:type="gramStart"/>
      <w:r w:rsidRPr="00293659">
        <w:rPr>
          <w:rFonts w:hAnsi="標楷體"/>
          <w:b/>
          <w:spacing w:val="-10"/>
          <w:szCs w:val="32"/>
          <w:u w:color="FF0000"/>
        </w:rPr>
        <w:t>111</w:t>
      </w:r>
      <w:proofErr w:type="gramEnd"/>
      <w:r w:rsidRPr="00293659">
        <w:rPr>
          <w:rFonts w:hAnsi="標楷體"/>
          <w:b/>
          <w:spacing w:val="-10"/>
          <w:szCs w:val="32"/>
          <w:u w:color="FF0000"/>
        </w:rPr>
        <w:t>年度績效評鑑</w:t>
      </w:r>
      <w:r w:rsidRPr="00293659">
        <w:rPr>
          <w:rFonts w:hAnsi="標楷體" w:hint="eastAsia"/>
          <w:b/>
          <w:spacing w:val="-10"/>
          <w:szCs w:val="32"/>
          <w:u w:color="FF0000"/>
        </w:rPr>
        <w:t>作業時，其中</w:t>
      </w:r>
      <w:r w:rsidRPr="00293659">
        <w:rPr>
          <w:rFonts w:hAnsi="標楷體" w:hint="eastAsia"/>
          <w:b/>
          <w:kern w:val="0"/>
          <w:szCs w:val="32"/>
        </w:rPr>
        <w:t>人事與採購等</w:t>
      </w:r>
      <w:r w:rsidRPr="00293659">
        <w:rPr>
          <w:rFonts w:hAnsi="標楷體"/>
          <w:b/>
          <w:spacing w:val="-10"/>
          <w:szCs w:val="32"/>
          <w:u w:color="FF0000"/>
        </w:rPr>
        <w:t>衡量指標</w:t>
      </w:r>
      <w:r w:rsidRPr="00293659">
        <w:rPr>
          <w:rFonts w:hAnsi="標楷體" w:hint="eastAsia"/>
          <w:b/>
          <w:spacing w:val="-10"/>
          <w:szCs w:val="32"/>
          <w:u w:color="FF0000"/>
        </w:rPr>
        <w:t>，其</w:t>
      </w:r>
      <w:r w:rsidRPr="00293659">
        <w:rPr>
          <w:rFonts w:hAnsi="標楷體" w:hint="eastAsia"/>
          <w:b/>
        </w:rPr>
        <w:t>相較於1</w:t>
      </w:r>
      <w:r w:rsidRPr="00293659">
        <w:rPr>
          <w:rFonts w:hAnsi="標楷體"/>
          <w:b/>
        </w:rPr>
        <w:t>11年</w:t>
      </w:r>
      <w:r w:rsidRPr="00293659">
        <w:rPr>
          <w:rFonts w:hAnsi="標楷體" w:hint="eastAsia"/>
          <w:b/>
        </w:rPr>
        <w:t>8</w:t>
      </w:r>
      <w:r w:rsidRPr="00293659">
        <w:rPr>
          <w:rFonts w:hAnsi="標楷體"/>
          <w:b/>
        </w:rPr>
        <w:t>月</w:t>
      </w:r>
      <w:r w:rsidRPr="00293659">
        <w:rPr>
          <w:rFonts w:hAnsi="標楷體" w:hint="eastAsia"/>
          <w:b/>
        </w:rPr>
        <w:t>2</w:t>
      </w:r>
      <w:r w:rsidRPr="00293659">
        <w:rPr>
          <w:rFonts w:hAnsi="標楷體"/>
          <w:b/>
        </w:rPr>
        <w:t>4日</w:t>
      </w:r>
      <w:r w:rsidRPr="00293659">
        <w:rPr>
          <w:rFonts w:hAnsi="標楷體" w:hint="eastAsia"/>
          <w:b/>
        </w:rPr>
        <w:t>所修正之</w:t>
      </w:r>
      <w:r w:rsidRPr="00293659">
        <w:rPr>
          <w:rFonts w:hAnsi="標楷體"/>
          <w:b/>
        </w:rPr>
        <w:t>行政法人績效評鑑參考原則</w:t>
      </w:r>
      <w:r w:rsidRPr="00293659">
        <w:rPr>
          <w:rFonts w:hAnsi="標楷體" w:hint="eastAsia"/>
          <w:b/>
        </w:rPr>
        <w:t>之規定內容，似仍有再精進</w:t>
      </w:r>
      <w:r w:rsidRPr="00293659">
        <w:rPr>
          <w:rFonts w:hAnsi="標楷體" w:hint="eastAsia"/>
          <w:b/>
        </w:rPr>
        <w:lastRenderedPageBreak/>
        <w:t>空間。</w:t>
      </w:r>
      <w:proofErr w:type="gramStart"/>
      <w:r w:rsidRPr="00293659">
        <w:rPr>
          <w:rFonts w:hAnsi="標楷體" w:hint="eastAsia"/>
          <w:b/>
        </w:rPr>
        <w:t>另</w:t>
      </w:r>
      <w:proofErr w:type="gramEnd"/>
      <w:r w:rsidRPr="00293659">
        <w:rPr>
          <w:rFonts w:hAnsi="標楷體" w:hint="eastAsia"/>
          <w:b/>
        </w:rPr>
        <w:t>，依</w:t>
      </w:r>
      <w:r w:rsidRPr="00293659">
        <w:rPr>
          <w:rFonts w:hAnsi="標楷體" w:hint="eastAsia"/>
          <w:b/>
          <w:szCs w:val="32"/>
        </w:rPr>
        <w:t>國防部說明</w:t>
      </w:r>
      <w:proofErr w:type="gramStart"/>
      <w:r w:rsidRPr="00293659">
        <w:rPr>
          <w:rFonts w:hAnsi="標楷體" w:hint="eastAsia"/>
          <w:b/>
          <w:szCs w:val="32"/>
        </w:rPr>
        <w:t>該部對中科院</w:t>
      </w:r>
      <w:proofErr w:type="gramEnd"/>
      <w:r w:rsidRPr="00293659">
        <w:rPr>
          <w:rFonts w:hAnsi="標楷體" w:hint="eastAsia"/>
          <w:b/>
          <w:szCs w:val="32"/>
        </w:rPr>
        <w:t>每半年重要工作</w:t>
      </w:r>
      <w:proofErr w:type="gramStart"/>
      <w:r w:rsidRPr="00293659">
        <w:rPr>
          <w:rFonts w:hAnsi="標楷體" w:hint="eastAsia"/>
          <w:b/>
          <w:szCs w:val="32"/>
        </w:rPr>
        <w:t>聯合輔訪</w:t>
      </w:r>
      <w:proofErr w:type="gramEnd"/>
      <w:r w:rsidRPr="00293659">
        <w:rPr>
          <w:rFonts w:hAnsi="標楷體" w:hint="eastAsia"/>
          <w:b/>
          <w:szCs w:val="32"/>
        </w:rPr>
        <w:t>、每季重點查核及每週專案查核，</w:t>
      </w:r>
      <w:proofErr w:type="gramStart"/>
      <w:r w:rsidRPr="00293659">
        <w:rPr>
          <w:rFonts w:hAnsi="標楷體" w:hint="eastAsia"/>
          <w:b/>
          <w:szCs w:val="32"/>
        </w:rPr>
        <w:t>均對該</w:t>
      </w:r>
      <w:proofErr w:type="gramEnd"/>
      <w:r w:rsidRPr="00293659">
        <w:rPr>
          <w:rFonts w:hAnsi="標楷體" w:hint="eastAsia"/>
          <w:b/>
          <w:szCs w:val="32"/>
        </w:rPr>
        <w:t>院實施採購稽核作業，</w:t>
      </w:r>
      <w:proofErr w:type="gramStart"/>
      <w:r w:rsidRPr="00293659">
        <w:rPr>
          <w:rFonts w:hAnsi="標楷體" w:hint="eastAsia"/>
          <w:b/>
          <w:szCs w:val="32"/>
        </w:rPr>
        <w:t>111</w:t>
      </w:r>
      <w:proofErr w:type="gramEnd"/>
      <w:r w:rsidRPr="00293659">
        <w:rPr>
          <w:rFonts w:hAnsi="標楷體" w:hint="eastAsia"/>
          <w:b/>
          <w:szCs w:val="32"/>
        </w:rPr>
        <w:t>年度隨機抽查案數已逾500案等，</w:t>
      </w:r>
      <w:r w:rsidR="00F72D08" w:rsidRPr="00293659">
        <w:rPr>
          <w:rFonts w:hAnsi="標楷體" w:hint="eastAsia"/>
          <w:b/>
        </w:rPr>
        <w:t>有關</w:t>
      </w:r>
      <w:r w:rsidRPr="00293659">
        <w:rPr>
          <w:rFonts w:hAnsi="標楷體" w:hint="eastAsia"/>
          <w:b/>
        </w:rPr>
        <w:t>採購稽核作業之相關</w:t>
      </w:r>
      <w:r w:rsidR="000F6931" w:rsidRPr="00293659">
        <w:rPr>
          <w:rFonts w:hAnsi="標楷體" w:hint="eastAsia"/>
          <w:b/>
        </w:rPr>
        <w:t>監督</w:t>
      </w:r>
      <w:r w:rsidRPr="00293659">
        <w:rPr>
          <w:rFonts w:hAnsi="標楷體" w:hint="eastAsia"/>
          <w:b/>
        </w:rPr>
        <w:t>作為，允應依據相關規劃內容，持續積極辦理</w:t>
      </w:r>
      <w:r w:rsidR="00B46BD0" w:rsidRPr="00293659">
        <w:rPr>
          <w:rFonts w:hAnsi="標楷體" w:hint="eastAsia"/>
          <w:b/>
          <w:bCs w:val="0"/>
        </w:rPr>
        <w:t>，</w:t>
      </w:r>
      <w:proofErr w:type="gramStart"/>
      <w:r w:rsidR="00B46BD0" w:rsidRPr="00293659">
        <w:rPr>
          <w:rFonts w:hAnsi="標楷體" w:hint="eastAsia"/>
          <w:b/>
          <w:bCs w:val="0"/>
        </w:rPr>
        <w:t>俾</w:t>
      </w:r>
      <w:proofErr w:type="gramEnd"/>
      <w:r w:rsidR="00B46BD0" w:rsidRPr="00293659">
        <w:rPr>
          <w:rFonts w:hAnsi="標楷體" w:hint="eastAsia"/>
          <w:b/>
          <w:bCs w:val="0"/>
        </w:rPr>
        <w:t>確保該院相關內部控制之健全。</w:t>
      </w:r>
      <w:bookmarkEnd w:id="474"/>
      <w:bookmarkEnd w:id="475"/>
    </w:p>
    <w:p w14:paraId="370A30A9" w14:textId="2ACE8C31" w:rsidR="00E1047E" w:rsidRPr="00293659" w:rsidRDefault="00E1047E" w:rsidP="00E1047E">
      <w:pPr>
        <w:pStyle w:val="3"/>
        <w:numPr>
          <w:ilvl w:val="2"/>
          <w:numId w:val="1"/>
        </w:numPr>
        <w:ind w:left="1361"/>
        <w:rPr>
          <w:rFonts w:hAnsi="標楷體"/>
        </w:rPr>
      </w:pPr>
      <w:bookmarkStart w:id="476" w:name="_Toc143243871"/>
      <w:bookmarkStart w:id="477" w:name="_Toc143262228"/>
      <w:bookmarkStart w:id="478" w:name="_Toc143263113"/>
      <w:bookmarkStart w:id="479" w:name="_Toc143424325"/>
      <w:bookmarkStart w:id="480" w:name="_Toc144140203"/>
      <w:bookmarkStart w:id="481" w:name="_Toc144211315"/>
      <w:bookmarkStart w:id="482" w:name="_Toc145510577"/>
      <w:r w:rsidRPr="00293659">
        <w:rPr>
          <w:rFonts w:hAnsi="標楷體"/>
        </w:rPr>
        <w:t>為使行政法人</w:t>
      </w:r>
      <w:r w:rsidRPr="00293659">
        <w:rPr>
          <w:rFonts w:hAnsi="標楷體" w:hint="eastAsia"/>
        </w:rPr>
        <w:t>之</w:t>
      </w:r>
      <w:r w:rsidRPr="00293659">
        <w:rPr>
          <w:rFonts w:hAnsi="標楷體"/>
        </w:rPr>
        <w:t>監督機關（</w:t>
      </w:r>
      <w:r w:rsidRPr="00293659">
        <w:rPr>
          <w:rFonts w:hAnsi="標楷體" w:hint="eastAsia"/>
        </w:rPr>
        <w:t>各</w:t>
      </w:r>
      <w:r w:rsidRPr="00293659">
        <w:rPr>
          <w:rFonts w:hAnsi="標楷體"/>
        </w:rPr>
        <w:t>中央目的事業主管機關）辦理行政法人績效評鑑作業時有所依循，確保績效評鑑作業品質，行政院人事行政總處</w:t>
      </w:r>
      <w:proofErr w:type="gramStart"/>
      <w:r w:rsidRPr="00293659">
        <w:rPr>
          <w:rFonts w:hAnsi="標楷體"/>
        </w:rPr>
        <w:t>特</w:t>
      </w:r>
      <w:proofErr w:type="gramEnd"/>
      <w:r w:rsidRPr="00293659">
        <w:rPr>
          <w:rFonts w:hAnsi="標楷體" w:hint="eastAsia"/>
        </w:rPr>
        <w:t>於1</w:t>
      </w:r>
      <w:r w:rsidRPr="00293659">
        <w:rPr>
          <w:rFonts w:hAnsi="標楷體"/>
        </w:rPr>
        <w:t>01</w:t>
      </w:r>
      <w:r w:rsidRPr="00293659">
        <w:rPr>
          <w:rFonts w:hAnsi="標楷體" w:hint="eastAsia"/>
        </w:rPr>
        <w:t>年1</w:t>
      </w:r>
      <w:r w:rsidRPr="00293659">
        <w:rPr>
          <w:rFonts w:hAnsi="標楷體"/>
        </w:rPr>
        <w:t>0</w:t>
      </w:r>
      <w:r w:rsidRPr="00293659">
        <w:rPr>
          <w:rFonts w:hAnsi="標楷體" w:hint="eastAsia"/>
        </w:rPr>
        <w:t>月2</w:t>
      </w:r>
      <w:r w:rsidRPr="00293659">
        <w:rPr>
          <w:rFonts w:hAnsi="標楷體"/>
        </w:rPr>
        <w:t>6</w:t>
      </w:r>
      <w:r w:rsidRPr="00293659">
        <w:rPr>
          <w:rFonts w:hAnsi="標楷體" w:hint="eastAsia"/>
        </w:rPr>
        <w:t>日</w:t>
      </w:r>
      <w:r w:rsidRPr="00293659">
        <w:rPr>
          <w:rFonts w:hAnsi="標楷體"/>
        </w:rPr>
        <w:t>訂定行政法人績效評鑑參考原則</w:t>
      </w:r>
      <w:r w:rsidRPr="00293659">
        <w:rPr>
          <w:rFonts w:hAnsi="標楷體" w:hint="eastAsia"/>
        </w:rPr>
        <w:t>(</w:t>
      </w:r>
      <w:r w:rsidRPr="00293659">
        <w:rPr>
          <w:rFonts w:hAnsi="標楷體"/>
        </w:rPr>
        <w:t>全文9點)</w:t>
      </w:r>
      <w:r w:rsidRPr="00293659">
        <w:rPr>
          <w:rFonts w:hAnsi="標楷體" w:hint="eastAsia"/>
        </w:rPr>
        <w:t>，</w:t>
      </w:r>
      <w:proofErr w:type="gramStart"/>
      <w:r w:rsidRPr="00293659">
        <w:rPr>
          <w:rFonts w:hAnsi="標楷體" w:hint="eastAsia"/>
        </w:rPr>
        <w:t>嗣</w:t>
      </w:r>
      <w:proofErr w:type="gramEnd"/>
      <w:r w:rsidRPr="00293659">
        <w:rPr>
          <w:rFonts w:hAnsi="標楷體" w:hint="eastAsia"/>
        </w:rPr>
        <w:t>於1</w:t>
      </w:r>
      <w:r w:rsidRPr="00293659">
        <w:rPr>
          <w:rFonts w:hAnsi="標楷體"/>
        </w:rPr>
        <w:t>11年</w:t>
      </w:r>
      <w:r w:rsidRPr="00293659">
        <w:rPr>
          <w:rFonts w:hAnsi="標楷體" w:hint="eastAsia"/>
        </w:rPr>
        <w:t>8</w:t>
      </w:r>
      <w:r w:rsidRPr="00293659">
        <w:rPr>
          <w:rFonts w:hAnsi="標楷體"/>
        </w:rPr>
        <w:t>月</w:t>
      </w:r>
      <w:r w:rsidRPr="00293659">
        <w:rPr>
          <w:rFonts w:hAnsi="標楷體" w:hint="eastAsia"/>
        </w:rPr>
        <w:t>2</w:t>
      </w:r>
      <w:r w:rsidRPr="00293659">
        <w:rPr>
          <w:rFonts w:hAnsi="標楷體"/>
        </w:rPr>
        <w:t>4日</w:t>
      </w:r>
      <w:r w:rsidRPr="00293659">
        <w:rPr>
          <w:rFonts w:hAnsi="標楷體" w:hint="eastAsia"/>
        </w:rPr>
        <w:t>對若干條文與附件內容進行</w:t>
      </w:r>
      <w:r w:rsidRPr="00293659">
        <w:rPr>
          <w:rFonts w:hAnsi="標楷體"/>
        </w:rPr>
        <w:t>修正</w:t>
      </w:r>
      <w:r w:rsidRPr="00293659">
        <w:rPr>
          <w:rFonts w:hAnsi="標楷體" w:hint="eastAsia"/>
        </w:rPr>
        <w:t>，其中</w:t>
      </w:r>
      <w:r w:rsidRPr="00293659">
        <w:rPr>
          <w:rFonts w:hAnsi="標楷體"/>
        </w:rPr>
        <w:t>參酌</w:t>
      </w:r>
      <w:proofErr w:type="gramStart"/>
      <w:r w:rsidRPr="00293659">
        <w:rPr>
          <w:rFonts w:hAnsi="標楷體" w:hint="eastAsia"/>
        </w:rPr>
        <w:t>1</w:t>
      </w:r>
      <w:r w:rsidRPr="00293659">
        <w:rPr>
          <w:rFonts w:hAnsi="標楷體"/>
        </w:rPr>
        <w:t>10</w:t>
      </w:r>
      <w:proofErr w:type="gramEnd"/>
      <w:r w:rsidRPr="00293659">
        <w:rPr>
          <w:rFonts w:hAnsi="標楷體"/>
        </w:rPr>
        <w:t>年度中央政府總決算審核報告</w:t>
      </w:r>
      <w:r w:rsidR="00B55BAF" w:rsidRPr="00BC75A5">
        <w:rPr>
          <w:rFonts w:hAnsi="標楷體" w:hint="eastAsia"/>
          <w:color w:val="000000" w:themeColor="text1"/>
        </w:rPr>
        <w:t>，</w:t>
      </w:r>
      <w:r w:rsidRPr="00293659">
        <w:rPr>
          <w:rFonts w:hAnsi="標楷體"/>
        </w:rPr>
        <w:t>就行政法人制度推動情形有關財務</w:t>
      </w:r>
      <w:proofErr w:type="gramStart"/>
      <w:r w:rsidRPr="00293659">
        <w:rPr>
          <w:rFonts w:hAnsi="標楷體"/>
        </w:rPr>
        <w:t>自籌等評鑑</w:t>
      </w:r>
      <w:proofErr w:type="gramEnd"/>
      <w:r w:rsidRPr="00293659">
        <w:rPr>
          <w:rFonts w:hAnsi="標楷體"/>
        </w:rPr>
        <w:t>指標之審核意見，以及</w:t>
      </w:r>
      <w:r w:rsidRPr="00293659">
        <w:rPr>
          <w:rFonts w:hAnsi="標楷體" w:hint="eastAsia"/>
        </w:rPr>
        <w:t>該</w:t>
      </w:r>
      <w:r w:rsidRPr="00293659">
        <w:rPr>
          <w:rFonts w:hAnsi="標楷體"/>
        </w:rPr>
        <w:t>總處「行政法人制度成效評估報告」就行政法人績效評鑑面向所提評鑑指標、權重及評核標準之調整設定，宜與行政法人之發展目標與營運計畫及業務實際執行狀況連結等建議，修正評鑑項目及目標之訂定，宜結合行政法人發展目標及年度營運（業務）計畫，並以具代表性、客觀性、量化性、挑戰性及鑑別度為原則</w:t>
      </w:r>
      <w:r w:rsidRPr="00293659">
        <w:rPr>
          <w:rFonts w:hAnsi="標楷體" w:hint="eastAsia"/>
        </w:rPr>
        <w:t>，</w:t>
      </w:r>
      <w:r w:rsidRPr="00293659">
        <w:rPr>
          <w:rFonts w:hAnsi="標楷體"/>
        </w:rPr>
        <w:t>為強化內部控制與稽核作業有效性，</w:t>
      </w:r>
      <w:proofErr w:type="gramStart"/>
      <w:r w:rsidRPr="00293659">
        <w:rPr>
          <w:rFonts w:hAnsi="標楷體"/>
        </w:rPr>
        <w:t>爰</w:t>
      </w:r>
      <w:proofErr w:type="gramEnd"/>
      <w:r w:rsidRPr="00293659">
        <w:rPr>
          <w:rFonts w:hAnsi="標楷體"/>
        </w:rPr>
        <w:t>增列評鑑項目及目標之訂定，宜納入內部控制與稽核作業重大缺失及人事、採購、經費運用重大違失情形</w:t>
      </w:r>
      <w:r w:rsidRPr="00293659">
        <w:rPr>
          <w:rFonts w:hAnsi="標楷體" w:hint="eastAsia"/>
        </w:rPr>
        <w:t>，將原第6點：「</w:t>
      </w:r>
      <w:r w:rsidRPr="00293659">
        <w:rPr>
          <w:rFonts w:hAnsi="標楷體"/>
        </w:rPr>
        <w:t>績效評鑑內容依各該行政法人設置條例規定訂定（例如行政法人年度執行成果、行政法人營運</w:t>
      </w:r>
      <w:r w:rsidR="00BA7304">
        <w:rPr>
          <w:rFonts w:hAnsi="標楷體" w:hint="eastAsia"/>
        </w:rPr>
        <w:t>(</w:t>
      </w:r>
      <w:r w:rsidRPr="00293659">
        <w:rPr>
          <w:rFonts w:hAnsi="標楷體"/>
        </w:rPr>
        <w:t>業務</w:t>
      </w:r>
      <w:r w:rsidR="00BA7304">
        <w:rPr>
          <w:rFonts w:hAnsi="標楷體" w:hint="eastAsia"/>
        </w:rPr>
        <w:t>)</w:t>
      </w:r>
      <w:r w:rsidRPr="00293659">
        <w:rPr>
          <w:rFonts w:hAnsi="標楷體"/>
        </w:rPr>
        <w:t>績效及目標達成情形、行政法人年度自籌款比率達成情形、行政法人經費核撥之建議等），監督機關並得審酌行政法人之組織特性增列。評鑑項目及目標之訂定，以具備代表性、客觀性及量化性等特性為原則，並得納入服務對象滿意度之評估，以</w:t>
      </w:r>
      <w:r w:rsidRPr="00293659">
        <w:rPr>
          <w:rFonts w:hAnsi="標楷體"/>
        </w:rPr>
        <w:lastRenderedPageBreak/>
        <w:t>作為營運（業務）績效改進之參考。</w:t>
      </w:r>
      <w:r w:rsidRPr="00293659">
        <w:rPr>
          <w:rFonts w:hAnsi="標楷體" w:hint="eastAsia"/>
        </w:rPr>
        <w:t>」之內容，</w:t>
      </w:r>
      <w:proofErr w:type="gramStart"/>
      <w:r w:rsidRPr="00293659">
        <w:rPr>
          <w:rFonts w:hAnsi="標楷體"/>
        </w:rPr>
        <w:t>點次變更</w:t>
      </w:r>
      <w:proofErr w:type="gramEnd"/>
      <w:r w:rsidRPr="00293659">
        <w:rPr>
          <w:rFonts w:hAnsi="標楷體" w:hint="eastAsia"/>
        </w:rPr>
        <w:t>為第7點，並修正為：「</w:t>
      </w:r>
      <w:r w:rsidRPr="00293659">
        <w:rPr>
          <w:rFonts w:hAnsi="標楷體"/>
        </w:rPr>
        <w:t>績效評鑑內容依各該行政法人設置條例規定訂定（例如行政法人年度執行成果、營運或業務績效及目標達成情形、年度自籌款比率達成情形、經費核撥之建議等），監督機關並得審酌行政法人之組織特性增列。評鑑項目及目標之訂定，宜結合行政法人發展目標及年度營運（業務）計畫，並以具備代表性、客觀性、量化性、挑戰性及鑑別度等特性為原則，另得納入內部控制與稽核作業重大缺失，人事、採購、經費運用等內部管理事項重大違失情形</w:t>
      </w:r>
      <w:r w:rsidRPr="00293659">
        <w:rPr>
          <w:rFonts w:hAnsi="標楷體" w:hint="eastAsia"/>
        </w:rPr>
        <w:t>」亦即將</w:t>
      </w:r>
      <w:r w:rsidRPr="00293659">
        <w:rPr>
          <w:rFonts w:hAnsi="標楷體"/>
        </w:rPr>
        <w:t>內部控制與稽核作業重大缺失，人事、採購、經費運用等內部管理事項重大違失情形之評估</w:t>
      </w:r>
      <w:r w:rsidRPr="00293659">
        <w:rPr>
          <w:rFonts w:hAnsi="標楷體" w:hint="eastAsia"/>
        </w:rPr>
        <w:t>等</w:t>
      </w:r>
      <w:r w:rsidRPr="00293659">
        <w:rPr>
          <w:rFonts w:hAnsi="標楷體"/>
        </w:rPr>
        <w:t>，</w:t>
      </w:r>
      <w:r w:rsidRPr="00293659">
        <w:rPr>
          <w:rFonts w:hAnsi="標楷體" w:hint="eastAsia"/>
        </w:rPr>
        <w:t>列入</w:t>
      </w:r>
      <w:r w:rsidRPr="00293659">
        <w:rPr>
          <w:rFonts w:hAnsi="標楷體"/>
        </w:rPr>
        <w:t>監督機關</w:t>
      </w:r>
      <w:r w:rsidRPr="00293659">
        <w:rPr>
          <w:rFonts w:hAnsi="標楷體" w:hint="eastAsia"/>
        </w:rPr>
        <w:t>監督</w:t>
      </w:r>
      <w:r w:rsidRPr="00293659">
        <w:rPr>
          <w:rFonts w:hAnsi="標楷體"/>
        </w:rPr>
        <w:t>行政法人</w:t>
      </w:r>
      <w:r w:rsidRPr="00293659">
        <w:rPr>
          <w:rFonts w:hAnsi="標楷體" w:hint="eastAsia"/>
        </w:rPr>
        <w:t>時之</w:t>
      </w:r>
      <w:r w:rsidRPr="00293659">
        <w:rPr>
          <w:rFonts w:hAnsi="標楷體"/>
        </w:rPr>
        <w:t>評鑑項目</w:t>
      </w:r>
      <w:r w:rsidRPr="00293659">
        <w:rPr>
          <w:rFonts w:hAnsi="標楷體" w:hint="eastAsia"/>
        </w:rPr>
        <w:t>。</w:t>
      </w:r>
      <w:bookmarkEnd w:id="476"/>
      <w:bookmarkEnd w:id="477"/>
      <w:bookmarkEnd w:id="478"/>
      <w:bookmarkEnd w:id="479"/>
      <w:bookmarkEnd w:id="480"/>
      <w:bookmarkEnd w:id="481"/>
      <w:bookmarkEnd w:id="482"/>
    </w:p>
    <w:p w14:paraId="1CF994FE" w14:textId="283653E6" w:rsidR="00E1047E" w:rsidRPr="00293659" w:rsidRDefault="00E1047E" w:rsidP="00E1047E">
      <w:pPr>
        <w:pStyle w:val="2"/>
        <w:numPr>
          <w:ilvl w:val="2"/>
          <w:numId w:val="1"/>
        </w:numPr>
        <w:ind w:left="1360" w:hanging="680"/>
        <w:rPr>
          <w:rFonts w:hAnsi="標楷體"/>
        </w:rPr>
      </w:pPr>
      <w:bookmarkStart w:id="483" w:name="_Toc143243872"/>
      <w:bookmarkStart w:id="484" w:name="_Toc143262229"/>
      <w:bookmarkStart w:id="485" w:name="_Toc143263114"/>
      <w:bookmarkStart w:id="486" w:name="_Toc143424326"/>
      <w:bookmarkStart w:id="487" w:name="_Toc144140204"/>
      <w:bookmarkStart w:id="488" w:name="_Toc144211316"/>
      <w:bookmarkStart w:id="489" w:name="_Toc145510578"/>
      <w:r w:rsidRPr="00293659">
        <w:rPr>
          <w:rFonts w:hAnsi="標楷體" w:hint="eastAsia"/>
        </w:rPr>
        <w:t>依據國防部之說明，</w:t>
      </w:r>
      <w:r w:rsidRPr="00293659">
        <w:rPr>
          <w:rFonts w:hAnsi="標楷體"/>
        </w:rPr>
        <w:t>中科院改制後就「人事管理」與「採購作業」</w:t>
      </w:r>
      <w:r w:rsidRPr="00293659">
        <w:rPr>
          <w:rFonts w:hAnsi="標楷體" w:hint="eastAsia"/>
        </w:rPr>
        <w:t>，</w:t>
      </w:r>
      <w:proofErr w:type="gramStart"/>
      <w:r w:rsidRPr="00293659">
        <w:rPr>
          <w:rFonts w:hAnsi="標楷體" w:hint="eastAsia"/>
        </w:rPr>
        <w:t>均顯較</w:t>
      </w:r>
      <w:proofErr w:type="gramEnd"/>
      <w:r w:rsidRPr="00293659">
        <w:rPr>
          <w:rFonts w:hAnsi="標楷體"/>
        </w:rPr>
        <w:t>公務機關</w:t>
      </w:r>
      <w:r w:rsidRPr="00293659">
        <w:rPr>
          <w:rFonts w:hAnsi="標楷體" w:hint="eastAsia"/>
        </w:rPr>
        <w:t>具備彈性</w:t>
      </w:r>
      <w:r w:rsidR="0077469E" w:rsidRPr="00293659">
        <w:rPr>
          <w:rFonts w:hAnsi="標楷體" w:hint="eastAsia"/>
        </w:rPr>
        <w:t>，然</w:t>
      </w:r>
      <w:bookmarkEnd w:id="483"/>
      <w:bookmarkEnd w:id="484"/>
      <w:bookmarkEnd w:id="485"/>
      <w:bookmarkEnd w:id="486"/>
      <w:r w:rsidR="00C83F77" w:rsidRPr="00293659">
        <w:rPr>
          <w:rFonts w:hAnsi="標楷體" w:hint="eastAsia"/>
        </w:rPr>
        <w:t>中科院</w:t>
      </w:r>
      <w:r w:rsidR="00C83F77" w:rsidRPr="00293659">
        <w:rPr>
          <w:rFonts w:hAnsi="標楷體"/>
        </w:rPr>
        <w:t>「人事管理」與「採購作業」</w:t>
      </w:r>
      <w:r w:rsidR="0077469E" w:rsidRPr="00293659">
        <w:rPr>
          <w:rFonts w:hAnsi="標楷體" w:hint="eastAsia"/>
        </w:rPr>
        <w:t>可</w:t>
      </w:r>
      <w:r w:rsidR="00C83F77" w:rsidRPr="00293659">
        <w:rPr>
          <w:rFonts w:hAnsi="標楷體" w:hint="eastAsia"/>
        </w:rPr>
        <w:t>較</w:t>
      </w:r>
      <w:r w:rsidR="00C83F77" w:rsidRPr="00293659">
        <w:rPr>
          <w:rFonts w:hAnsi="標楷體"/>
        </w:rPr>
        <w:t>公務機關</w:t>
      </w:r>
      <w:r w:rsidR="00C83F77" w:rsidRPr="00293659">
        <w:rPr>
          <w:rFonts w:hAnsi="標楷體" w:hint="eastAsia"/>
        </w:rPr>
        <w:t>具備彈性之重要</w:t>
      </w:r>
      <w:r w:rsidR="00613FFE" w:rsidRPr="00293659">
        <w:rPr>
          <w:rFonts w:hAnsi="標楷體" w:hint="eastAsia"/>
        </w:rPr>
        <w:t>前提</w:t>
      </w:r>
      <w:r w:rsidR="00C83F77" w:rsidRPr="00293659">
        <w:rPr>
          <w:rFonts w:hAnsi="標楷體" w:hint="eastAsia"/>
        </w:rPr>
        <w:t>，</w:t>
      </w:r>
      <w:r w:rsidR="00613FFE" w:rsidRPr="00293659">
        <w:rPr>
          <w:rFonts w:hAnsi="標楷體" w:hint="eastAsia"/>
        </w:rPr>
        <w:t>為</w:t>
      </w:r>
      <w:r w:rsidR="00C83F77" w:rsidRPr="00293659">
        <w:rPr>
          <w:rFonts w:hAnsi="標楷體" w:hint="eastAsia"/>
        </w:rPr>
        <w:t>中科院已建立適切的內部控制制度，且相關制度均正確、有效地運作</w:t>
      </w:r>
      <w:r w:rsidR="0077469E" w:rsidRPr="00293659">
        <w:rPr>
          <w:rFonts w:hAnsi="標楷體" w:hint="eastAsia"/>
        </w:rPr>
        <w:t>，自不待言</w:t>
      </w:r>
      <w:r w:rsidR="00C83F77" w:rsidRPr="00293659">
        <w:rPr>
          <w:rFonts w:hAnsi="標楷體" w:hint="eastAsia"/>
        </w:rPr>
        <w:t>。</w:t>
      </w:r>
      <w:bookmarkEnd w:id="487"/>
      <w:bookmarkEnd w:id="488"/>
      <w:bookmarkEnd w:id="489"/>
    </w:p>
    <w:p w14:paraId="2DD5A6B2" w14:textId="155B8940" w:rsidR="00E1047E" w:rsidRPr="00293659" w:rsidRDefault="00670076" w:rsidP="00E1047E">
      <w:pPr>
        <w:pStyle w:val="a3"/>
        <w:spacing w:after="120"/>
        <w:ind w:left="482" w:hanging="482"/>
        <w:rPr>
          <w:rFonts w:hAnsi="標楷體"/>
          <w:b/>
        </w:rPr>
      </w:pPr>
      <w:r w:rsidRPr="00293659">
        <w:rPr>
          <w:rFonts w:hAnsi="標楷體"/>
          <w:b/>
          <w:u w:color="FF0000"/>
        </w:rPr>
        <w:t>中科院改制</w:t>
      </w:r>
      <w:r w:rsidRPr="00293659">
        <w:rPr>
          <w:rFonts w:hAnsi="標楷體" w:hint="eastAsia"/>
          <w:b/>
          <w:u w:color="FF0000"/>
        </w:rPr>
        <w:t>前、</w:t>
      </w:r>
      <w:r w:rsidRPr="00293659">
        <w:rPr>
          <w:rFonts w:hAnsi="標楷體"/>
          <w:b/>
          <w:u w:color="FF0000"/>
        </w:rPr>
        <w:t>後就「人事管理」與「採購作業」</w:t>
      </w:r>
      <w:r w:rsidRPr="00293659">
        <w:rPr>
          <w:rFonts w:hAnsi="標楷體" w:hint="eastAsia"/>
          <w:b/>
          <w:u w:color="FF0000"/>
        </w:rPr>
        <w:t>之</w:t>
      </w:r>
      <w:r w:rsidRPr="00293659">
        <w:rPr>
          <w:rFonts w:hAnsi="標楷體"/>
          <w:b/>
          <w:u w:color="FF0000"/>
        </w:rPr>
        <w:t>差異</w:t>
      </w:r>
      <w:r w:rsidRPr="00293659">
        <w:rPr>
          <w:rFonts w:hAnsi="標楷體" w:hint="eastAsia"/>
          <w:b/>
          <w:u w:color="FF0000"/>
        </w:rPr>
        <w:t>對照表</w:t>
      </w:r>
    </w:p>
    <w:tbl>
      <w:tblPr>
        <w:tblStyle w:val="afb"/>
        <w:tblW w:w="0" w:type="auto"/>
        <w:jc w:val="center"/>
        <w:tblLook w:val="04A0" w:firstRow="1" w:lastRow="0" w:firstColumn="1" w:lastColumn="0" w:noHBand="0" w:noVBand="1"/>
      </w:tblPr>
      <w:tblGrid>
        <w:gridCol w:w="562"/>
        <w:gridCol w:w="1275"/>
        <w:gridCol w:w="2831"/>
        <w:gridCol w:w="4156"/>
      </w:tblGrid>
      <w:tr w:rsidR="00293659" w:rsidRPr="00293659" w14:paraId="49C265E5" w14:textId="77777777" w:rsidTr="00B24129">
        <w:trPr>
          <w:trHeight w:val="643"/>
          <w:tblHeader/>
          <w:jc w:val="center"/>
        </w:trPr>
        <w:tc>
          <w:tcPr>
            <w:tcW w:w="1837" w:type="dxa"/>
            <w:gridSpan w:val="2"/>
            <w:tcBorders>
              <w:top w:val="single" w:sz="8" w:space="0" w:color="auto"/>
              <w:left w:val="single" w:sz="8" w:space="0" w:color="auto"/>
              <w:tl2br w:val="single" w:sz="4" w:space="0" w:color="auto"/>
            </w:tcBorders>
          </w:tcPr>
          <w:p w14:paraId="7868CD02" w14:textId="50EBC7DB" w:rsidR="00670076" w:rsidRPr="00293659" w:rsidRDefault="00670076" w:rsidP="00B24129">
            <w:pPr>
              <w:pStyle w:val="3"/>
              <w:numPr>
                <w:ilvl w:val="0"/>
                <w:numId w:val="0"/>
              </w:numPr>
              <w:spacing w:beforeLines="5" w:before="22" w:afterLines="25" w:after="114"/>
              <w:ind w:left="550" w:rightChars="-27" w:right="-92"/>
              <w:jc w:val="right"/>
              <w:rPr>
                <w:rFonts w:hAnsi="標楷體"/>
                <w:sz w:val="24"/>
                <w:szCs w:val="24"/>
              </w:rPr>
            </w:pPr>
            <w:bookmarkStart w:id="490" w:name="_Toc144211317"/>
            <w:bookmarkStart w:id="491" w:name="_Toc145510579"/>
            <w:r w:rsidRPr="00293659">
              <w:rPr>
                <w:rFonts w:hAnsi="標楷體" w:hint="eastAsia"/>
                <w:sz w:val="24"/>
                <w:szCs w:val="24"/>
              </w:rPr>
              <w:t>改制前後</w:t>
            </w:r>
            <w:bookmarkEnd w:id="490"/>
            <w:bookmarkEnd w:id="491"/>
          </w:p>
          <w:p w14:paraId="678DB777" w14:textId="77777777" w:rsidR="00670076" w:rsidRPr="00293659" w:rsidRDefault="00670076" w:rsidP="00B24129">
            <w:pPr>
              <w:pStyle w:val="3"/>
              <w:numPr>
                <w:ilvl w:val="0"/>
                <w:numId w:val="0"/>
              </w:numPr>
              <w:spacing w:line="240" w:lineRule="exact"/>
              <w:ind w:left="-62"/>
              <w:jc w:val="left"/>
              <w:rPr>
                <w:rFonts w:hAnsi="標楷體"/>
                <w:sz w:val="24"/>
                <w:szCs w:val="24"/>
              </w:rPr>
            </w:pPr>
            <w:bookmarkStart w:id="492" w:name="_Toc143243874"/>
            <w:bookmarkStart w:id="493" w:name="_Toc143262231"/>
            <w:bookmarkStart w:id="494" w:name="_Toc143263116"/>
            <w:bookmarkStart w:id="495" w:name="_Toc143424328"/>
            <w:bookmarkStart w:id="496" w:name="_Toc144140206"/>
            <w:bookmarkStart w:id="497" w:name="_Toc144211318"/>
            <w:bookmarkStart w:id="498" w:name="_Toc145510580"/>
            <w:r w:rsidRPr="00293659">
              <w:rPr>
                <w:rFonts w:hAnsi="標楷體" w:hint="eastAsia"/>
                <w:sz w:val="24"/>
                <w:szCs w:val="24"/>
              </w:rPr>
              <w:t>項目比較</w:t>
            </w:r>
            <w:bookmarkEnd w:id="492"/>
            <w:bookmarkEnd w:id="493"/>
            <w:bookmarkEnd w:id="494"/>
            <w:bookmarkEnd w:id="495"/>
            <w:bookmarkEnd w:id="496"/>
            <w:bookmarkEnd w:id="497"/>
            <w:bookmarkEnd w:id="498"/>
          </w:p>
        </w:tc>
        <w:tc>
          <w:tcPr>
            <w:tcW w:w="2831" w:type="dxa"/>
            <w:tcBorders>
              <w:top w:val="single" w:sz="8" w:space="0" w:color="auto"/>
            </w:tcBorders>
            <w:vAlign w:val="center"/>
          </w:tcPr>
          <w:p w14:paraId="42C4463E" w14:textId="3E867E41" w:rsidR="00670076" w:rsidRPr="00293659" w:rsidRDefault="00670076" w:rsidP="00670076">
            <w:pPr>
              <w:snapToGrid w:val="0"/>
              <w:spacing w:beforeLines="25" w:before="114" w:afterLines="25" w:after="114"/>
              <w:jc w:val="center"/>
              <w:rPr>
                <w:rFonts w:hAnsi="標楷體"/>
                <w:b/>
                <w:sz w:val="26"/>
                <w:szCs w:val="26"/>
                <w:u w:color="FF0000"/>
              </w:rPr>
            </w:pPr>
            <w:r w:rsidRPr="00293659">
              <w:rPr>
                <w:rFonts w:hAnsi="標楷體"/>
                <w:b/>
                <w:sz w:val="24"/>
                <w:szCs w:val="24"/>
                <w:u w:color="FF0000"/>
              </w:rPr>
              <w:t>公務機關</w:t>
            </w:r>
            <w:r w:rsidRPr="00293659">
              <w:rPr>
                <w:rFonts w:hAnsi="標楷體" w:hint="eastAsia"/>
                <w:b/>
                <w:sz w:val="24"/>
                <w:szCs w:val="24"/>
                <w:u w:color="FF0000"/>
              </w:rPr>
              <w:t>（改制前）</w:t>
            </w:r>
          </w:p>
        </w:tc>
        <w:tc>
          <w:tcPr>
            <w:tcW w:w="4156" w:type="dxa"/>
            <w:tcBorders>
              <w:top w:val="single" w:sz="8" w:space="0" w:color="auto"/>
              <w:right w:val="single" w:sz="8" w:space="0" w:color="auto"/>
            </w:tcBorders>
            <w:vAlign w:val="center"/>
          </w:tcPr>
          <w:p w14:paraId="7EC79595" w14:textId="32C90C64" w:rsidR="00670076" w:rsidRPr="00293659" w:rsidRDefault="00670076" w:rsidP="00670076">
            <w:pPr>
              <w:snapToGrid w:val="0"/>
              <w:spacing w:beforeLines="25" w:before="114" w:afterLines="25" w:after="114"/>
              <w:jc w:val="center"/>
              <w:rPr>
                <w:rFonts w:hAnsi="標楷體"/>
                <w:b/>
                <w:sz w:val="26"/>
                <w:szCs w:val="26"/>
                <w:u w:color="FF0000"/>
              </w:rPr>
            </w:pPr>
            <w:r w:rsidRPr="00293659">
              <w:rPr>
                <w:rFonts w:hAnsi="標楷體" w:hint="eastAsia"/>
                <w:b/>
                <w:sz w:val="24"/>
                <w:szCs w:val="24"/>
                <w:u w:color="FF0000"/>
              </w:rPr>
              <w:t>行政法人（改制後）</w:t>
            </w:r>
          </w:p>
        </w:tc>
      </w:tr>
      <w:tr w:rsidR="00293659" w:rsidRPr="00293659" w14:paraId="0DAA0157" w14:textId="77777777" w:rsidTr="00B24129">
        <w:trPr>
          <w:trHeight w:val="680"/>
          <w:jc w:val="center"/>
        </w:trPr>
        <w:tc>
          <w:tcPr>
            <w:tcW w:w="562" w:type="dxa"/>
            <w:vMerge w:val="restart"/>
            <w:tcBorders>
              <w:left w:val="single" w:sz="8" w:space="0" w:color="auto"/>
            </w:tcBorders>
            <w:vAlign w:val="center"/>
          </w:tcPr>
          <w:p w14:paraId="41CBEA44" w14:textId="77777777" w:rsidR="00E1047E" w:rsidRPr="00293659" w:rsidRDefault="00E1047E" w:rsidP="00A8393B">
            <w:pPr>
              <w:pStyle w:val="3"/>
              <w:numPr>
                <w:ilvl w:val="0"/>
                <w:numId w:val="0"/>
              </w:numPr>
              <w:ind w:left="-98" w:rightChars="-28" w:right="-95"/>
              <w:jc w:val="center"/>
              <w:rPr>
                <w:rFonts w:hAnsi="標楷體"/>
                <w:b/>
                <w:sz w:val="26"/>
                <w:szCs w:val="26"/>
              </w:rPr>
            </w:pPr>
            <w:bookmarkStart w:id="499" w:name="_Toc143243875"/>
            <w:bookmarkStart w:id="500" w:name="_Toc143262232"/>
            <w:bookmarkStart w:id="501" w:name="_Toc143263117"/>
            <w:bookmarkStart w:id="502" w:name="_Toc143424329"/>
            <w:bookmarkStart w:id="503" w:name="_Toc144140207"/>
            <w:bookmarkStart w:id="504" w:name="_Toc144211319"/>
            <w:bookmarkStart w:id="505" w:name="_Toc145510581"/>
            <w:r w:rsidRPr="00293659">
              <w:rPr>
                <w:rFonts w:hAnsi="標楷體"/>
                <w:sz w:val="26"/>
                <w:szCs w:val="26"/>
                <w:u w:color="FF0000"/>
              </w:rPr>
              <w:t>人事管理</w:t>
            </w:r>
            <w:bookmarkEnd w:id="499"/>
            <w:bookmarkEnd w:id="500"/>
            <w:bookmarkEnd w:id="501"/>
            <w:bookmarkEnd w:id="502"/>
            <w:bookmarkEnd w:id="503"/>
            <w:bookmarkEnd w:id="504"/>
            <w:bookmarkEnd w:id="505"/>
          </w:p>
        </w:tc>
        <w:tc>
          <w:tcPr>
            <w:tcW w:w="1275" w:type="dxa"/>
            <w:vAlign w:val="center"/>
          </w:tcPr>
          <w:p w14:paraId="46E71802"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sz w:val="26"/>
                <w:szCs w:val="26"/>
                <w:u w:color="FF0000"/>
              </w:rPr>
              <w:t>人力招募</w:t>
            </w:r>
          </w:p>
        </w:tc>
        <w:tc>
          <w:tcPr>
            <w:tcW w:w="2831" w:type="dxa"/>
            <w:vAlign w:val="center"/>
          </w:tcPr>
          <w:p w14:paraId="2A90CE62" w14:textId="176AFF6A" w:rsidR="00E1047E" w:rsidRPr="00293659" w:rsidRDefault="00E1047E" w:rsidP="00B24129">
            <w:pPr>
              <w:snapToGrid w:val="0"/>
              <w:spacing w:line="280" w:lineRule="exact"/>
              <w:rPr>
                <w:rFonts w:hAnsi="標楷體"/>
                <w:spacing w:val="-22"/>
                <w:sz w:val="26"/>
                <w:szCs w:val="26"/>
                <w:u w:color="FF0000"/>
              </w:rPr>
            </w:pPr>
            <w:r w:rsidRPr="00293659">
              <w:rPr>
                <w:rFonts w:hAnsi="標楷體"/>
                <w:spacing w:val="-22"/>
                <w:sz w:val="26"/>
                <w:szCs w:val="26"/>
                <w:u w:color="FF0000"/>
              </w:rPr>
              <w:t>依「中央政府機關總員額法」核定員額辦理</w:t>
            </w:r>
            <w:r w:rsidR="00CD492D" w:rsidRPr="00293659">
              <w:rPr>
                <w:rFonts w:hAnsi="標楷體" w:hint="eastAsia"/>
                <w:spacing w:val="-16"/>
                <w:sz w:val="26"/>
                <w:szCs w:val="26"/>
                <w:u w:color="FF0000"/>
              </w:rPr>
              <w:t>。</w:t>
            </w:r>
          </w:p>
        </w:tc>
        <w:tc>
          <w:tcPr>
            <w:tcW w:w="4156" w:type="dxa"/>
            <w:tcBorders>
              <w:right w:val="single" w:sz="8" w:space="0" w:color="auto"/>
            </w:tcBorders>
            <w:vAlign w:val="center"/>
          </w:tcPr>
          <w:p w14:paraId="104A4E49" w14:textId="7ED54857"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依「人事管理規章」自主進用人力</w:t>
            </w:r>
            <w:r w:rsidR="00CD492D" w:rsidRPr="00293659">
              <w:rPr>
                <w:rFonts w:hAnsi="標楷體" w:hint="eastAsia"/>
                <w:spacing w:val="-16"/>
                <w:sz w:val="26"/>
                <w:szCs w:val="26"/>
                <w:u w:color="FF0000"/>
              </w:rPr>
              <w:t>。</w:t>
            </w:r>
          </w:p>
        </w:tc>
      </w:tr>
      <w:tr w:rsidR="00293659" w:rsidRPr="00293659" w14:paraId="38C746E9" w14:textId="77777777" w:rsidTr="00B24129">
        <w:trPr>
          <w:trHeight w:val="974"/>
          <w:jc w:val="center"/>
        </w:trPr>
        <w:tc>
          <w:tcPr>
            <w:tcW w:w="562" w:type="dxa"/>
            <w:vMerge/>
            <w:tcBorders>
              <w:left w:val="single" w:sz="8" w:space="0" w:color="auto"/>
            </w:tcBorders>
          </w:tcPr>
          <w:p w14:paraId="4E0230A2" w14:textId="77777777" w:rsidR="00E1047E" w:rsidRPr="00293659" w:rsidRDefault="00E1047E" w:rsidP="00E1047E">
            <w:pPr>
              <w:pStyle w:val="3"/>
              <w:numPr>
                <w:ilvl w:val="2"/>
                <w:numId w:val="1"/>
              </w:numPr>
              <w:ind w:left="1361"/>
              <w:rPr>
                <w:rFonts w:hAnsi="標楷體"/>
              </w:rPr>
            </w:pPr>
            <w:bookmarkStart w:id="506" w:name="_Toc143243876"/>
            <w:bookmarkStart w:id="507" w:name="_Toc143262233"/>
            <w:bookmarkStart w:id="508" w:name="_Toc143263118"/>
            <w:bookmarkStart w:id="509" w:name="_Toc144140208"/>
            <w:bookmarkStart w:id="510" w:name="_Toc144211320"/>
            <w:bookmarkStart w:id="511" w:name="_Toc145510582"/>
            <w:bookmarkEnd w:id="506"/>
            <w:bookmarkEnd w:id="507"/>
            <w:bookmarkEnd w:id="508"/>
            <w:bookmarkEnd w:id="509"/>
            <w:bookmarkEnd w:id="510"/>
            <w:bookmarkEnd w:id="511"/>
          </w:p>
        </w:tc>
        <w:tc>
          <w:tcPr>
            <w:tcW w:w="1275" w:type="dxa"/>
            <w:vAlign w:val="center"/>
          </w:tcPr>
          <w:p w14:paraId="4510A260"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sz w:val="26"/>
                <w:szCs w:val="26"/>
                <w:u w:color="FF0000"/>
              </w:rPr>
              <w:t>薪資制度</w:t>
            </w:r>
          </w:p>
        </w:tc>
        <w:tc>
          <w:tcPr>
            <w:tcW w:w="2831" w:type="dxa"/>
            <w:vAlign w:val="center"/>
          </w:tcPr>
          <w:p w14:paraId="2A320974" w14:textId="494C83D9"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依給與表</w:t>
            </w:r>
            <w:proofErr w:type="gramStart"/>
            <w:r w:rsidRPr="00293659">
              <w:rPr>
                <w:rFonts w:hAnsi="標楷體"/>
                <w:spacing w:val="-10"/>
                <w:sz w:val="26"/>
                <w:szCs w:val="26"/>
                <w:u w:color="FF0000"/>
              </w:rPr>
              <w:t>俸</w:t>
            </w:r>
            <w:proofErr w:type="gramEnd"/>
            <w:r w:rsidRPr="00293659">
              <w:rPr>
                <w:rFonts w:hAnsi="標楷體"/>
                <w:spacing w:val="-10"/>
                <w:sz w:val="26"/>
                <w:szCs w:val="26"/>
                <w:u w:color="FF0000"/>
              </w:rPr>
              <w:t>點(額)及加給標準給薪</w:t>
            </w:r>
            <w:r w:rsidR="00CD492D" w:rsidRPr="00293659">
              <w:rPr>
                <w:rFonts w:hAnsi="標楷體" w:hint="eastAsia"/>
                <w:spacing w:val="-16"/>
                <w:sz w:val="26"/>
                <w:szCs w:val="26"/>
                <w:u w:color="FF0000"/>
              </w:rPr>
              <w:t>。</w:t>
            </w:r>
          </w:p>
        </w:tc>
        <w:tc>
          <w:tcPr>
            <w:tcW w:w="4156" w:type="dxa"/>
            <w:tcBorders>
              <w:right w:val="single" w:sz="8" w:space="0" w:color="auto"/>
            </w:tcBorders>
            <w:vAlign w:val="center"/>
          </w:tcPr>
          <w:p w14:paraId="5CA1730B"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依</w:t>
            </w:r>
            <w:r w:rsidRPr="00293659">
              <w:rPr>
                <w:rFonts w:hAnsi="標楷體" w:hint="eastAsia"/>
                <w:spacing w:val="-10"/>
                <w:sz w:val="26"/>
                <w:szCs w:val="26"/>
                <w:u w:color="FF0000"/>
              </w:rPr>
              <w:t>人員</w:t>
            </w:r>
            <w:r w:rsidRPr="00293659">
              <w:rPr>
                <w:rFonts w:hAnsi="標楷體"/>
                <w:spacing w:val="-10"/>
                <w:sz w:val="26"/>
                <w:szCs w:val="26"/>
                <w:u w:color="FF0000"/>
              </w:rPr>
              <w:t>進用條件辦理薪資合議，並</w:t>
            </w:r>
            <w:r w:rsidRPr="00293659">
              <w:rPr>
                <w:rFonts w:hAnsi="標楷體" w:hint="eastAsia"/>
                <w:spacing w:val="-10"/>
                <w:sz w:val="26"/>
                <w:szCs w:val="26"/>
                <w:u w:color="FF0000"/>
              </w:rPr>
              <w:t>結合營運狀況與</w:t>
            </w:r>
            <w:r w:rsidRPr="00293659">
              <w:rPr>
                <w:rFonts w:hAnsi="標楷體"/>
                <w:spacing w:val="-10"/>
                <w:sz w:val="26"/>
                <w:szCs w:val="26"/>
                <w:u w:color="FF0000"/>
              </w:rPr>
              <w:t>績效</w:t>
            </w:r>
            <w:r w:rsidRPr="00293659">
              <w:rPr>
                <w:rFonts w:hAnsi="標楷體" w:hint="eastAsia"/>
                <w:spacing w:val="-10"/>
                <w:sz w:val="26"/>
                <w:szCs w:val="26"/>
                <w:u w:color="FF0000"/>
              </w:rPr>
              <w:t>成果</w:t>
            </w:r>
            <w:r w:rsidRPr="00293659">
              <w:rPr>
                <w:rFonts w:hAnsi="標楷體"/>
                <w:spacing w:val="-10"/>
                <w:sz w:val="26"/>
                <w:szCs w:val="26"/>
                <w:u w:color="FF0000"/>
              </w:rPr>
              <w:t>實施年度調薪。</w:t>
            </w:r>
          </w:p>
        </w:tc>
      </w:tr>
      <w:tr w:rsidR="00293659" w:rsidRPr="00293659" w14:paraId="09BAD3E7" w14:textId="77777777" w:rsidTr="00B24129">
        <w:trPr>
          <w:trHeight w:val="987"/>
          <w:jc w:val="center"/>
        </w:trPr>
        <w:tc>
          <w:tcPr>
            <w:tcW w:w="562" w:type="dxa"/>
            <w:vMerge/>
            <w:tcBorders>
              <w:left w:val="single" w:sz="8" w:space="0" w:color="auto"/>
            </w:tcBorders>
          </w:tcPr>
          <w:p w14:paraId="4FF83149" w14:textId="77777777" w:rsidR="00E1047E" w:rsidRPr="00293659" w:rsidRDefault="00E1047E" w:rsidP="00E1047E">
            <w:pPr>
              <w:pStyle w:val="3"/>
              <w:numPr>
                <w:ilvl w:val="2"/>
                <w:numId w:val="1"/>
              </w:numPr>
              <w:ind w:left="1361"/>
              <w:rPr>
                <w:rFonts w:hAnsi="標楷體"/>
              </w:rPr>
            </w:pPr>
            <w:bookmarkStart w:id="512" w:name="_Toc143243877"/>
            <w:bookmarkStart w:id="513" w:name="_Toc143262234"/>
            <w:bookmarkStart w:id="514" w:name="_Toc143263119"/>
            <w:bookmarkStart w:id="515" w:name="_Toc144140209"/>
            <w:bookmarkStart w:id="516" w:name="_Toc144211321"/>
            <w:bookmarkStart w:id="517" w:name="_Toc145510583"/>
            <w:bookmarkEnd w:id="512"/>
            <w:bookmarkEnd w:id="513"/>
            <w:bookmarkEnd w:id="514"/>
            <w:bookmarkEnd w:id="515"/>
            <w:bookmarkEnd w:id="516"/>
            <w:bookmarkEnd w:id="517"/>
          </w:p>
        </w:tc>
        <w:tc>
          <w:tcPr>
            <w:tcW w:w="1275" w:type="dxa"/>
            <w:vAlign w:val="center"/>
          </w:tcPr>
          <w:p w14:paraId="7F8792C9"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sz w:val="26"/>
                <w:szCs w:val="26"/>
                <w:u w:color="FF0000"/>
              </w:rPr>
              <w:t>獎金發放</w:t>
            </w:r>
          </w:p>
        </w:tc>
        <w:tc>
          <w:tcPr>
            <w:tcW w:w="2831" w:type="dxa"/>
            <w:vAlign w:val="center"/>
          </w:tcPr>
          <w:p w14:paraId="0F171DFC"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依行政院訂頒年終工作獎金基數辦理</w:t>
            </w:r>
          </w:p>
        </w:tc>
        <w:tc>
          <w:tcPr>
            <w:tcW w:w="4156" w:type="dxa"/>
            <w:tcBorders>
              <w:right w:val="single" w:sz="8" w:space="0" w:color="auto"/>
            </w:tcBorders>
            <w:vAlign w:val="center"/>
          </w:tcPr>
          <w:p w14:paraId="04E614DB"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除左列項目外，另</w:t>
            </w:r>
            <w:r w:rsidRPr="00293659">
              <w:rPr>
                <w:rFonts w:hAnsi="標楷體" w:hint="eastAsia"/>
                <w:spacing w:val="-10"/>
                <w:sz w:val="26"/>
                <w:szCs w:val="26"/>
                <w:u w:color="FF0000"/>
              </w:rPr>
              <w:t>結合營運</w:t>
            </w:r>
            <w:proofErr w:type="gramStart"/>
            <w:r w:rsidRPr="00293659">
              <w:rPr>
                <w:rFonts w:hAnsi="標楷體" w:hint="eastAsia"/>
                <w:spacing w:val="-10"/>
                <w:sz w:val="26"/>
                <w:szCs w:val="26"/>
                <w:u w:color="FF0000"/>
              </w:rPr>
              <w:t>狀況按</w:t>
            </w:r>
            <w:r w:rsidRPr="00293659">
              <w:rPr>
                <w:rFonts w:hAnsi="標楷體"/>
                <w:spacing w:val="-10"/>
                <w:sz w:val="26"/>
                <w:szCs w:val="26"/>
                <w:u w:color="FF0000"/>
              </w:rPr>
              <w:t>考成績</w:t>
            </w:r>
            <w:proofErr w:type="gramEnd"/>
            <w:r w:rsidRPr="00293659">
              <w:rPr>
                <w:rFonts w:hAnsi="標楷體"/>
                <w:spacing w:val="-10"/>
                <w:sz w:val="26"/>
                <w:szCs w:val="26"/>
                <w:u w:color="FF0000"/>
              </w:rPr>
              <w:t>等發放差異化之增額年終工作獎金。</w:t>
            </w:r>
          </w:p>
        </w:tc>
      </w:tr>
      <w:tr w:rsidR="00293659" w:rsidRPr="00293659" w14:paraId="79F49F4E" w14:textId="77777777" w:rsidTr="00B24129">
        <w:trPr>
          <w:trHeight w:val="973"/>
          <w:jc w:val="center"/>
        </w:trPr>
        <w:tc>
          <w:tcPr>
            <w:tcW w:w="562" w:type="dxa"/>
            <w:vMerge/>
            <w:tcBorders>
              <w:left w:val="single" w:sz="8" w:space="0" w:color="auto"/>
            </w:tcBorders>
          </w:tcPr>
          <w:p w14:paraId="5F5FFD30" w14:textId="77777777" w:rsidR="00E1047E" w:rsidRPr="00293659" w:rsidRDefault="00E1047E" w:rsidP="00E1047E">
            <w:pPr>
              <w:pStyle w:val="3"/>
              <w:numPr>
                <w:ilvl w:val="2"/>
                <w:numId w:val="1"/>
              </w:numPr>
              <w:ind w:left="1361"/>
              <w:rPr>
                <w:rFonts w:hAnsi="標楷體"/>
              </w:rPr>
            </w:pPr>
            <w:bookmarkStart w:id="518" w:name="_Toc143243878"/>
            <w:bookmarkStart w:id="519" w:name="_Toc143262235"/>
            <w:bookmarkStart w:id="520" w:name="_Toc143263120"/>
            <w:bookmarkStart w:id="521" w:name="_Toc144140210"/>
            <w:bookmarkStart w:id="522" w:name="_Toc144211322"/>
            <w:bookmarkStart w:id="523" w:name="_Toc145510584"/>
            <w:bookmarkEnd w:id="518"/>
            <w:bookmarkEnd w:id="519"/>
            <w:bookmarkEnd w:id="520"/>
            <w:bookmarkEnd w:id="521"/>
            <w:bookmarkEnd w:id="522"/>
            <w:bookmarkEnd w:id="523"/>
          </w:p>
        </w:tc>
        <w:tc>
          <w:tcPr>
            <w:tcW w:w="1275" w:type="dxa"/>
            <w:vAlign w:val="center"/>
          </w:tcPr>
          <w:p w14:paraId="00810417"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hint="eastAsia"/>
                <w:sz w:val="26"/>
                <w:szCs w:val="26"/>
                <w:u w:color="FF0000"/>
              </w:rPr>
              <w:t>進修給薪</w:t>
            </w:r>
          </w:p>
        </w:tc>
        <w:tc>
          <w:tcPr>
            <w:tcW w:w="2831" w:type="dxa"/>
            <w:vAlign w:val="center"/>
          </w:tcPr>
          <w:p w14:paraId="70869E2D" w14:textId="77777777" w:rsidR="00E1047E" w:rsidRPr="00293659" w:rsidRDefault="00E1047E" w:rsidP="00B24129">
            <w:pPr>
              <w:snapToGrid w:val="0"/>
              <w:spacing w:line="280" w:lineRule="exact"/>
              <w:rPr>
                <w:rFonts w:hAnsi="標楷體"/>
                <w:spacing w:val="-10"/>
                <w:sz w:val="26"/>
                <w:szCs w:val="26"/>
                <w:u w:color="FF0000"/>
              </w:rPr>
            </w:pPr>
            <w:proofErr w:type="gramStart"/>
            <w:r w:rsidRPr="00293659">
              <w:rPr>
                <w:rFonts w:hAnsi="標楷體" w:hint="eastAsia"/>
                <w:spacing w:val="-10"/>
                <w:sz w:val="26"/>
                <w:szCs w:val="26"/>
                <w:u w:color="FF0000"/>
              </w:rPr>
              <w:t>研發類聘雇</w:t>
            </w:r>
            <w:proofErr w:type="gramEnd"/>
            <w:r w:rsidRPr="00293659">
              <w:rPr>
                <w:rFonts w:hAnsi="標楷體" w:hint="eastAsia"/>
                <w:spacing w:val="-10"/>
                <w:sz w:val="26"/>
                <w:szCs w:val="26"/>
                <w:u w:color="FF0000"/>
              </w:rPr>
              <w:t>人員於全時進修</w:t>
            </w:r>
            <w:proofErr w:type="gramStart"/>
            <w:r w:rsidRPr="00293659">
              <w:rPr>
                <w:rFonts w:hAnsi="標楷體" w:hint="eastAsia"/>
                <w:spacing w:val="-10"/>
                <w:sz w:val="26"/>
                <w:szCs w:val="26"/>
                <w:u w:color="FF0000"/>
              </w:rPr>
              <w:t>期間，</w:t>
            </w:r>
            <w:proofErr w:type="gramEnd"/>
            <w:r w:rsidRPr="00293659">
              <w:rPr>
                <w:rFonts w:hAnsi="標楷體" w:hint="eastAsia"/>
                <w:spacing w:val="-10"/>
                <w:sz w:val="26"/>
                <w:szCs w:val="26"/>
                <w:u w:color="FF0000"/>
              </w:rPr>
              <w:t>除本</w:t>
            </w:r>
            <w:proofErr w:type="gramStart"/>
            <w:r w:rsidRPr="00293659">
              <w:rPr>
                <w:rFonts w:hAnsi="標楷體" w:hint="eastAsia"/>
                <w:spacing w:val="-10"/>
                <w:sz w:val="26"/>
                <w:szCs w:val="26"/>
                <w:u w:color="FF0000"/>
              </w:rPr>
              <w:t>俸</w:t>
            </w:r>
            <w:proofErr w:type="gramEnd"/>
            <w:r w:rsidRPr="00293659">
              <w:rPr>
                <w:rFonts w:hAnsi="標楷體" w:hint="eastAsia"/>
                <w:spacing w:val="-10"/>
                <w:sz w:val="26"/>
                <w:szCs w:val="26"/>
                <w:u w:color="FF0000"/>
              </w:rPr>
              <w:t>外，</w:t>
            </w:r>
            <w:r w:rsidRPr="00293659">
              <w:rPr>
                <w:rFonts w:hAnsi="標楷體" w:hint="eastAsia"/>
                <w:spacing w:val="-16"/>
                <w:sz w:val="26"/>
                <w:szCs w:val="26"/>
                <w:u w:color="FF0000"/>
              </w:rPr>
              <w:t>停發專業及品位等加給。</w:t>
            </w:r>
          </w:p>
        </w:tc>
        <w:tc>
          <w:tcPr>
            <w:tcW w:w="4156" w:type="dxa"/>
            <w:tcBorders>
              <w:right w:val="single" w:sz="8" w:space="0" w:color="auto"/>
            </w:tcBorders>
            <w:vAlign w:val="center"/>
          </w:tcPr>
          <w:p w14:paraId="776F0A8C"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適度調整薪資項目，提升</w:t>
            </w:r>
            <w:proofErr w:type="gramStart"/>
            <w:r w:rsidRPr="00293659">
              <w:rPr>
                <w:rFonts w:hAnsi="標楷體" w:hint="eastAsia"/>
                <w:spacing w:val="-10"/>
                <w:sz w:val="26"/>
                <w:szCs w:val="26"/>
                <w:u w:color="FF0000"/>
              </w:rPr>
              <w:t>研發類聘雇</w:t>
            </w:r>
            <w:proofErr w:type="gramEnd"/>
            <w:r w:rsidRPr="00293659">
              <w:rPr>
                <w:rFonts w:hAnsi="標楷體" w:hint="eastAsia"/>
                <w:spacing w:val="-10"/>
                <w:sz w:val="26"/>
                <w:szCs w:val="26"/>
                <w:u w:color="FF0000"/>
              </w:rPr>
              <w:t>人員全時進修誘因。</w:t>
            </w:r>
          </w:p>
        </w:tc>
      </w:tr>
      <w:tr w:rsidR="00293659" w:rsidRPr="00293659" w14:paraId="3EF21B95" w14:textId="77777777" w:rsidTr="00B24129">
        <w:trPr>
          <w:trHeight w:val="693"/>
          <w:jc w:val="center"/>
        </w:trPr>
        <w:tc>
          <w:tcPr>
            <w:tcW w:w="562" w:type="dxa"/>
            <w:vMerge/>
            <w:tcBorders>
              <w:left w:val="single" w:sz="8" w:space="0" w:color="auto"/>
            </w:tcBorders>
          </w:tcPr>
          <w:p w14:paraId="38907CAE" w14:textId="77777777" w:rsidR="00E1047E" w:rsidRPr="00293659" w:rsidRDefault="00E1047E" w:rsidP="00E1047E">
            <w:pPr>
              <w:pStyle w:val="3"/>
              <w:numPr>
                <w:ilvl w:val="2"/>
                <w:numId w:val="1"/>
              </w:numPr>
              <w:ind w:left="1361"/>
              <w:rPr>
                <w:rFonts w:hAnsi="標楷體"/>
              </w:rPr>
            </w:pPr>
            <w:bookmarkStart w:id="524" w:name="_Toc143243879"/>
            <w:bookmarkStart w:id="525" w:name="_Toc143262236"/>
            <w:bookmarkStart w:id="526" w:name="_Toc143263121"/>
            <w:bookmarkStart w:id="527" w:name="_Toc144140211"/>
            <w:bookmarkStart w:id="528" w:name="_Toc144211323"/>
            <w:bookmarkStart w:id="529" w:name="_Toc145510585"/>
            <w:bookmarkEnd w:id="524"/>
            <w:bookmarkEnd w:id="525"/>
            <w:bookmarkEnd w:id="526"/>
            <w:bookmarkEnd w:id="527"/>
            <w:bookmarkEnd w:id="528"/>
            <w:bookmarkEnd w:id="529"/>
          </w:p>
        </w:tc>
        <w:tc>
          <w:tcPr>
            <w:tcW w:w="1275" w:type="dxa"/>
            <w:vAlign w:val="center"/>
          </w:tcPr>
          <w:p w14:paraId="1A0BF71B"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sz w:val="26"/>
                <w:szCs w:val="26"/>
                <w:u w:color="FF0000"/>
              </w:rPr>
              <w:t>校園培育</w:t>
            </w:r>
          </w:p>
        </w:tc>
        <w:tc>
          <w:tcPr>
            <w:tcW w:w="2831" w:type="dxa"/>
            <w:vAlign w:val="center"/>
          </w:tcPr>
          <w:p w14:paraId="58137CC1" w14:textId="14B72266" w:rsidR="00E1047E" w:rsidRPr="00293659" w:rsidRDefault="00E1047E" w:rsidP="00B24129">
            <w:pPr>
              <w:snapToGrid w:val="0"/>
              <w:spacing w:line="280" w:lineRule="exact"/>
              <w:jc w:val="center"/>
              <w:rPr>
                <w:rFonts w:hAnsi="標楷體"/>
                <w:spacing w:val="-10"/>
                <w:sz w:val="26"/>
                <w:szCs w:val="26"/>
                <w:u w:color="FF0000"/>
              </w:rPr>
            </w:pPr>
            <w:r w:rsidRPr="00293659">
              <w:rPr>
                <w:rFonts w:hAnsi="標楷體"/>
                <w:spacing w:val="-10"/>
                <w:sz w:val="26"/>
                <w:szCs w:val="26"/>
                <w:u w:color="FF0000"/>
              </w:rPr>
              <w:t>無</w:t>
            </w:r>
            <w:r w:rsidR="00CD492D" w:rsidRPr="00293659">
              <w:rPr>
                <w:rFonts w:hAnsi="標楷體" w:hint="eastAsia"/>
                <w:spacing w:val="-16"/>
                <w:sz w:val="26"/>
                <w:szCs w:val="26"/>
                <w:u w:color="FF0000"/>
              </w:rPr>
              <w:t>。</w:t>
            </w:r>
          </w:p>
        </w:tc>
        <w:tc>
          <w:tcPr>
            <w:tcW w:w="4156" w:type="dxa"/>
            <w:tcBorders>
              <w:right w:val="single" w:sz="8" w:space="0" w:color="auto"/>
            </w:tcBorders>
            <w:vAlign w:val="center"/>
          </w:tcPr>
          <w:p w14:paraId="7EA5EFEC"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可</w:t>
            </w:r>
            <w:proofErr w:type="gramStart"/>
            <w:r w:rsidRPr="00293659">
              <w:rPr>
                <w:rFonts w:hAnsi="標楷體"/>
                <w:spacing w:val="-10"/>
                <w:sz w:val="26"/>
                <w:szCs w:val="26"/>
                <w:u w:color="FF0000"/>
              </w:rPr>
              <w:t>循月獎</w:t>
            </w:r>
            <w:proofErr w:type="gramEnd"/>
            <w:r w:rsidRPr="00293659">
              <w:rPr>
                <w:rFonts w:hAnsi="標楷體"/>
                <w:spacing w:val="-10"/>
                <w:sz w:val="26"/>
                <w:szCs w:val="26"/>
                <w:u w:color="FF0000"/>
              </w:rPr>
              <w:t>助金發放模式，提前網羅在校優秀學子來院服務。</w:t>
            </w:r>
          </w:p>
        </w:tc>
      </w:tr>
      <w:tr w:rsidR="00293659" w:rsidRPr="00293659" w14:paraId="260F9578" w14:textId="77777777" w:rsidTr="00B24129">
        <w:trPr>
          <w:trHeight w:val="986"/>
          <w:jc w:val="center"/>
        </w:trPr>
        <w:tc>
          <w:tcPr>
            <w:tcW w:w="562" w:type="dxa"/>
            <w:vMerge/>
            <w:tcBorders>
              <w:left w:val="single" w:sz="8" w:space="0" w:color="auto"/>
            </w:tcBorders>
          </w:tcPr>
          <w:p w14:paraId="6918FDDD" w14:textId="77777777" w:rsidR="00E1047E" w:rsidRPr="00293659" w:rsidRDefault="00E1047E" w:rsidP="00E1047E">
            <w:pPr>
              <w:pStyle w:val="3"/>
              <w:numPr>
                <w:ilvl w:val="2"/>
                <w:numId w:val="1"/>
              </w:numPr>
              <w:ind w:left="1361"/>
              <w:rPr>
                <w:rFonts w:hAnsi="標楷體"/>
              </w:rPr>
            </w:pPr>
            <w:bookmarkStart w:id="530" w:name="_Toc143243880"/>
            <w:bookmarkStart w:id="531" w:name="_Toc143262237"/>
            <w:bookmarkStart w:id="532" w:name="_Toc143263122"/>
            <w:bookmarkStart w:id="533" w:name="_Toc144140212"/>
            <w:bookmarkStart w:id="534" w:name="_Toc144211324"/>
            <w:bookmarkStart w:id="535" w:name="_Toc145510586"/>
            <w:bookmarkEnd w:id="530"/>
            <w:bookmarkEnd w:id="531"/>
            <w:bookmarkEnd w:id="532"/>
            <w:bookmarkEnd w:id="533"/>
            <w:bookmarkEnd w:id="534"/>
            <w:bookmarkEnd w:id="535"/>
          </w:p>
        </w:tc>
        <w:tc>
          <w:tcPr>
            <w:tcW w:w="1275" w:type="dxa"/>
            <w:vAlign w:val="center"/>
          </w:tcPr>
          <w:p w14:paraId="7ED00636"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hint="eastAsia"/>
                <w:sz w:val="26"/>
                <w:szCs w:val="26"/>
                <w:u w:color="FF0000"/>
              </w:rPr>
              <w:t>組織設計</w:t>
            </w:r>
          </w:p>
        </w:tc>
        <w:tc>
          <w:tcPr>
            <w:tcW w:w="2831" w:type="dxa"/>
            <w:vAlign w:val="center"/>
          </w:tcPr>
          <w:p w14:paraId="0D8B3A49" w14:textId="50AF51F6" w:rsidR="00E1047E" w:rsidRPr="00293659" w:rsidRDefault="00E1047E" w:rsidP="00B24129">
            <w:pPr>
              <w:snapToGrid w:val="0"/>
              <w:spacing w:line="280" w:lineRule="exact"/>
              <w:rPr>
                <w:rFonts w:hAnsi="標楷體"/>
                <w:spacing w:val="-10"/>
                <w:sz w:val="26"/>
                <w:szCs w:val="26"/>
                <w:u w:color="FF0000"/>
              </w:rPr>
            </w:pPr>
            <w:r w:rsidRPr="00293659">
              <w:rPr>
                <w:rFonts w:hAnsi="標楷體"/>
                <w:spacing w:val="-10"/>
                <w:sz w:val="26"/>
                <w:szCs w:val="26"/>
                <w:u w:color="FF0000"/>
              </w:rPr>
              <w:t>依「中央政府機關</w:t>
            </w:r>
            <w:r w:rsidRPr="00293659">
              <w:rPr>
                <w:rFonts w:hAnsi="標楷體" w:hint="eastAsia"/>
                <w:spacing w:val="-10"/>
                <w:sz w:val="26"/>
                <w:szCs w:val="26"/>
                <w:u w:color="FF0000"/>
              </w:rPr>
              <w:t>組織基準</w:t>
            </w:r>
            <w:r w:rsidRPr="00293659">
              <w:rPr>
                <w:rFonts w:hAnsi="標楷體"/>
                <w:spacing w:val="-10"/>
                <w:sz w:val="26"/>
                <w:szCs w:val="26"/>
                <w:u w:color="FF0000"/>
              </w:rPr>
              <w:t>法」</w:t>
            </w:r>
            <w:r w:rsidRPr="00293659">
              <w:rPr>
                <w:rFonts w:hAnsi="標楷體" w:hint="eastAsia"/>
                <w:spacing w:val="-10"/>
                <w:sz w:val="26"/>
                <w:szCs w:val="26"/>
                <w:u w:color="FF0000"/>
              </w:rPr>
              <w:t>以法律或命令設立</w:t>
            </w:r>
            <w:r w:rsidR="00CD492D" w:rsidRPr="00293659">
              <w:rPr>
                <w:rFonts w:hAnsi="標楷體" w:hint="eastAsia"/>
                <w:spacing w:val="-16"/>
                <w:sz w:val="26"/>
                <w:szCs w:val="26"/>
                <w:u w:color="FF0000"/>
              </w:rPr>
              <w:t>。</w:t>
            </w:r>
          </w:p>
        </w:tc>
        <w:tc>
          <w:tcPr>
            <w:tcW w:w="4156" w:type="dxa"/>
            <w:tcBorders>
              <w:right w:val="single" w:sz="8" w:space="0" w:color="auto"/>
            </w:tcBorders>
            <w:vAlign w:val="center"/>
          </w:tcPr>
          <w:p w14:paraId="3147AEF4"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得依任務需求彈性檢討，經報請董事會同意後設立或調整。</w:t>
            </w:r>
          </w:p>
        </w:tc>
      </w:tr>
      <w:tr w:rsidR="00293659" w:rsidRPr="00293659" w14:paraId="4F8F6FA1" w14:textId="77777777" w:rsidTr="00B24129">
        <w:trPr>
          <w:trHeight w:val="980"/>
          <w:jc w:val="center"/>
        </w:trPr>
        <w:tc>
          <w:tcPr>
            <w:tcW w:w="562" w:type="dxa"/>
            <w:vMerge/>
            <w:tcBorders>
              <w:left w:val="single" w:sz="8" w:space="0" w:color="auto"/>
            </w:tcBorders>
          </w:tcPr>
          <w:p w14:paraId="3EE5D35E" w14:textId="77777777" w:rsidR="00E1047E" w:rsidRPr="00293659" w:rsidRDefault="00E1047E" w:rsidP="00E1047E">
            <w:pPr>
              <w:pStyle w:val="3"/>
              <w:numPr>
                <w:ilvl w:val="2"/>
                <w:numId w:val="1"/>
              </w:numPr>
              <w:ind w:left="1361"/>
              <w:rPr>
                <w:rFonts w:hAnsi="標楷體"/>
              </w:rPr>
            </w:pPr>
            <w:bookmarkStart w:id="536" w:name="_Toc143243881"/>
            <w:bookmarkStart w:id="537" w:name="_Toc143262238"/>
            <w:bookmarkStart w:id="538" w:name="_Toc143263123"/>
            <w:bookmarkStart w:id="539" w:name="_Toc144140213"/>
            <w:bookmarkStart w:id="540" w:name="_Toc144211325"/>
            <w:bookmarkStart w:id="541" w:name="_Toc145510587"/>
            <w:bookmarkEnd w:id="536"/>
            <w:bookmarkEnd w:id="537"/>
            <w:bookmarkEnd w:id="538"/>
            <w:bookmarkEnd w:id="539"/>
            <w:bookmarkEnd w:id="540"/>
            <w:bookmarkEnd w:id="541"/>
          </w:p>
        </w:tc>
        <w:tc>
          <w:tcPr>
            <w:tcW w:w="1275" w:type="dxa"/>
            <w:vAlign w:val="center"/>
          </w:tcPr>
          <w:p w14:paraId="11EA8E86" w14:textId="77777777" w:rsidR="00E1047E" w:rsidRPr="00293659" w:rsidRDefault="00E1047E" w:rsidP="00A8393B">
            <w:pPr>
              <w:snapToGrid w:val="0"/>
              <w:ind w:leftChars="-32" w:left="-109" w:rightChars="-31" w:right="-105"/>
              <w:jc w:val="center"/>
              <w:rPr>
                <w:rFonts w:hAnsi="標楷體"/>
                <w:sz w:val="26"/>
                <w:szCs w:val="26"/>
                <w:u w:color="FF0000"/>
              </w:rPr>
            </w:pPr>
            <w:r w:rsidRPr="00293659">
              <w:rPr>
                <w:rFonts w:hAnsi="標楷體" w:hint="eastAsia"/>
                <w:sz w:val="26"/>
                <w:szCs w:val="26"/>
                <w:u w:color="FF0000"/>
              </w:rPr>
              <w:t>高齡回任</w:t>
            </w:r>
          </w:p>
        </w:tc>
        <w:tc>
          <w:tcPr>
            <w:tcW w:w="2831" w:type="dxa"/>
            <w:vAlign w:val="center"/>
          </w:tcPr>
          <w:p w14:paraId="6E6A6831" w14:textId="574532B5" w:rsidR="00E1047E" w:rsidRPr="00293659" w:rsidRDefault="00E1047E" w:rsidP="00B24129">
            <w:pPr>
              <w:snapToGrid w:val="0"/>
              <w:spacing w:line="280" w:lineRule="exact"/>
              <w:jc w:val="center"/>
              <w:rPr>
                <w:rFonts w:hAnsi="標楷體"/>
                <w:spacing w:val="-10"/>
                <w:sz w:val="26"/>
                <w:szCs w:val="26"/>
                <w:u w:color="FF0000"/>
              </w:rPr>
            </w:pPr>
            <w:r w:rsidRPr="00293659">
              <w:rPr>
                <w:rFonts w:hAnsi="標楷體"/>
                <w:spacing w:val="-10"/>
                <w:sz w:val="26"/>
                <w:szCs w:val="26"/>
                <w:u w:color="FF0000"/>
              </w:rPr>
              <w:t>無</w:t>
            </w:r>
            <w:r w:rsidR="00CD492D" w:rsidRPr="00293659">
              <w:rPr>
                <w:rFonts w:hAnsi="標楷體" w:hint="eastAsia"/>
                <w:spacing w:val="-16"/>
                <w:sz w:val="26"/>
                <w:szCs w:val="26"/>
                <w:u w:color="FF0000"/>
              </w:rPr>
              <w:t>。</w:t>
            </w:r>
          </w:p>
        </w:tc>
        <w:tc>
          <w:tcPr>
            <w:tcW w:w="4156" w:type="dxa"/>
            <w:tcBorders>
              <w:right w:val="single" w:sz="8" w:space="0" w:color="auto"/>
            </w:tcBorders>
            <w:vAlign w:val="center"/>
          </w:tcPr>
          <w:p w14:paraId="032C24E1" w14:textId="77777777" w:rsidR="00E1047E" w:rsidRPr="00293659" w:rsidRDefault="00E1047E" w:rsidP="00B24129">
            <w:pPr>
              <w:snapToGrid w:val="0"/>
              <w:spacing w:line="280" w:lineRule="exact"/>
              <w:rPr>
                <w:rFonts w:hAnsi="標楷體"/>
                <w:spacing w:val="-20"/>
                <w:sz w:val="26"/>
                <w:szCs w:val="26"/>
                <w:u w:color="FF0000"/>
              </w:rPr>
            </w:pPr>
            <w:r w:rsidRPr="00293659">
              <w:rPr>
                <w:rFonts w:hAnsi="標楷體" w:hint="eastAsia"/>
                <w:spacing w:val="-20"/>
                <w:sz w:val="26"/>
                <w:szCs w:val="26"/>
                <w:u w:color="FF0000"/>
              </w:rPr>
              <w:t>因應短期劇增之任務，於常態性人力下，聘用具豐富經驗與技術之高齡「即戰力」人員投入量產專案與管理事務。</w:t>
            </w:r>
          </w:p>
        </w:tc>
      </w:tr>
      <w:tr w:rsidR="00293659" w:rsidRPr="00293659" w14:paraId="3C26E77C" w14:textId="77777777" w:rsidTr="00B24129">
        <w:trPr>
          <w:trHeight w:val="1551"/>
          <w:jc w:val="center"/>
        </w:trPr>
        <w:tc>
          <w:tcPr>
            <w:tcW w:w="562" w:type="dxa"/>
            <w:vMerge w:val="restart"/>
            <w:tcBorders>
              <w:left w:val="single" w:sz="8" w:space="0" w:color="auto"/>
            </w:tcBorders>
            <w:vAlign w:val="center"/>
          </w:tcPr>
          <w:p w14:paraId="4CBA4D8E" w14:textId="77777777" w:rsidR="00E1047E" w:rsidRPr="00293659" w:rsidRDefault="00E1047E" w:rsidP="00A8393B">
            <w:pPr>
              <w:pStyle w:val="3"/>
              <w:numPr>
                <w:ilvl w:val="0"/>
                <w:numId w:val="0"/>
              </w:numPr>
              <w:ind w:left="-126" w:rightChars="-32" w:right="-109"/>
              <w:jc w:val="center"/>
              <w:rPr>
                <w:rFonts w:hAnsi="標楷體"/>
                <w:sz w:val="26"/>
                <w:szCs w:val="26"/>
                <w:u w:color="FF0000"/>
              </w:rPr>
            </w:pPr>
            <w:bookmarkStart w:id="542" w:name="_Toc143243882"/>
            <w:bookmarkStart w:id="543" w:name="_Toc143262239"/>
            <w:bookmarkStart w:id="544" w:name="_Toc143263124"/>
            <w:bookmarkStart w:id="545" w:name="_Toc143424330"/>
            <w:bookmarkStart w:id="546" w:name="_Toc144140214"/>
            <w:bookmarkStart w:id="547" w:name="_Toc144211326"/>
            <w:bookmarkStart w:id="548" w:name="_Toc145510588"/>
            <w:proofErr w:type="gramStart"/>
            <w:r w:rsidRPr="00293659">
              <w:rPr>
                <w:rFonts w:hAnsi="標楷體"/>
                <w:sz w:val="26"/>
                <w:szCs w:val="26"/>
                <w:u w:color="FF0000"/>
              </w:rPr>
              <w:t>採</w:t>
            </w:r>
            <w:bookmarkEnd w:id="542"/>
            <w:bookmarkEnd w:id="543"/>
            <w:bookmarkEnd w:id="544"/>
            <w:bookmarkEnd w:id="545"/>
            <w:bookmarkEnd w:id="546"/>
            <w:bookmarkEnd w:id="547"/>
            <w:bookmarkEnd w:id="548"/>
            <w:proofErr w:type="gramEnd"/>
          </w:p>
          <w:p w14:paraId="223E17CE" w14:textId="77777777" w:rsidR="00E1047E" w:rsidRPr="00293659" w:rsidRDefault="00E1047E" w:rsidP="00A8393B">
            <w:pPr>
              <w:pStyle w:val="3"/>
              <w:numPr>
                <w:ilvl w:val="0"/>
                <w:numId w:val="0"/>
              </w:numPr>
              <w:ind w:left="-126" w:rightChars="-32" w:right="-109"/>
              <w:jc w:val="center"/>
              <w:rPr>
                <w:rFonts w:hAnsi="標楷體"/>
                <w:sz w:val="26"/>
                <w:szCs w:val="26"/>
                <w:u w:color="FF0000"/>
              </w:rPr>
            </w:pPr>
            <w:bookmarkStart w:id="549" w:name="_Toc143243883"/>
            <w:bookmarkStart w:id="550" w:name="_Toc143262240"/>
            <w:bookmarkStart w:id="551" w:name="_Toc143263125"/>
            <w:bookmarkStart w:id="552" w:name="_Toc143424331"/>
            <w:bookmarkStart w:id="553" w:name="_Toc144140215"/>
            <w:bookmarkStart w:id="554" w:name="_Toc144211327"/>
            <w:bookmarkStart w:id="555" w:name="_Toc145510589"/>
            <w:r w:rsidRPr="00293659">
              <w:rPr>
                <w:rFonts w:hAnsi="標楷體"/>
                <w:sz w:val="26"/>
                <w:szCs w:val="26"/>
                <w:u w:color="FF0000"/>
              </w:rPr>
              <w:t>購</w:t>
            </w:r>
            <w:bookmarkEnd w:id="549"/>
            <w:bookmarkEnd w:id="550"/>
            <w:bookmarkEnd w:id="551"/>
            <w:bookmarkEnd w:id="552"/>
            <w:bookmarkEnd w:id="553"/>
            <w:bookmarkEnd w:id="554"/>
            <w:bookmarkEnd w:id="555"/>
          </w:p>
          <w:p w14:paraId="4323FDCC" w14:textId="77777777" w:rsidR="00E1047E" w:rsidRPr="00293659" w:rsidRDefault="00E1047E" w:rsidP="00A8393B">
            <w:pPr>
              <w:pStyle w:val="3"/>
              <w:numPr>
                <w:ilvl w:val="0"/>
                <w:numId w:val="0"/>
              </w:numPr>
              <w:ind w:left="-126" w:rightChars="-32" w:right="-109"/>
              <w:jc w:val="center"/>
              <w:rPr>
                <w:rFonts w:hAnsi="標楷體"/>
                <w:sz w:val="26"/>
                <w:szCs w:val="26"/>
                <w:u w:color="FF0000"/>
              </w:rPr>
            </w:pPr>
            <w:bookmarkStart w:id="556" w:name="_Toc143243884"/>
            <w:bookmarkStart w:id="557" w:name="_Toc143262241"/>
            <w:bookmarkStart w:id="558" w:name="_Toc143263126"/>
            <w:bookmarkStart w:id="559" w:name="_Toc143424332"/>
            <w:bookmarkStart w:id="560" w:name="_Toc144140216"/>
            <w:bookmarkStart w:id="561" w:name="_Toc144211328"/>
            <w:bookmarkStart w:id="562" w:name="_Toc145510590"/>
            <w:r w:rsidRPr="00293659">
              <w:rPr>
                <w:rFonts w:hAnsi="標楷體"/>
                <w:sz w:val="26"/>
                <w:szCs w:val="26"/>
                <w:u w:color="FF0000"/>
              </w:rPr>
              <w:t>作</w:t>
            </w:r>
            <w:bookmarkEnd w:id="556"/>
            <w:bookmarkEnd w:id="557"/>
            <w:bookmarkEnd w:id="558"/>
            <w:bookmarkEnd w:id="559"/>
            <w:bookmarkEnd w:id="560"/>
            <w:bookmarkEnd w:id="561"/>
            <w:bookmarkEnd w:id="562"/>
          </w:p>
          <w:p w14:paraId="56CC4B48" w14:textId="77777777" w:rsidR="00E1047E" w:rsidRPr="00293659" w:rsidRDefault="00E1047E" w:rsidP="00A8393B">
            <w:pPr>
              <w:pStyle w:val="3"/>
              <w:numPr>
                <w:ilvl w:val="0"/>
                <w:numId w:val="0"/>
              </w:numPr>
              <w:ind w:left="-126" w:rightChars="-32" w:right="-109"/>
              <w:jc w:val="center"/>
              <w:rPr>
                <w:rFonts w:hAnsi="標楷體"/>
                <w:b/>
                <w:sz w:val="26"/>
                <w:szCs w:val="26"/>
              </w:rPr>
            </w:pPr>
            <w:bookmarkStart w:id="563" w:name="_Toc143243885"/>
            <w:bookmarkStart w:id="564" w:name="_Toc143262242"/>
            <w:bookmarkStart w:id="565" w:name="_Toc143263127"/>
            <w:bookmarkStart w:id="566" w:name="_Toc143424333"/>
            <w:bookmarkStart w:id="567" w:name="_Toc144140217"/>
            <w:bookmarkStart w:id="568" w:name="_Toc144211329"/>
            <w:bookmarkStart w:id="569" w:name="_Toc145510591"/>
            <w:r w:rsidRPr="00293659">
              <w:rPr>
                <w:rFonts w:hAnsi="標楷體"/>
                <w:sz w:val="26"/>
                <w:szCs w:val="26"/>
                <w:u w:color="FF0000"/>
              </w:rPr>
              <w:t>業</w:t>
            </w:r>
            <w:bookmarkEnd w:id="563"/>
            <w:bookmarkEnd w:id="564"/>
            <w:bookmarkEnd w:id="565"/>
            <w:bookmarkEnd w:id="566"/>
            <w:bookmarkEnd w:id="567"/>
            <w:bookmarkEnd w:id="568"/>
            <w:bookmarkEnd w:id="569"/>
          </w:p>
        </w:tc>
        <w:tc>
          <w:tcPr>
            <w:tcW w:w="1275" w:type="dxa"/>
            <w:vMerge w:val="restart"/>
            <w:vAlign w:val="center"/>
          </w:tcPr>
          <w:p w14:paraId="7670F0A1" w14:textId="77777777" w:rsidR="00E1047E" w:rsidRPr="00293659" w:rsidRDefault="00E1047E" w:rsidP="00A8393B">
            <w:pPr>
              <w:pStyle w:val="3"/>
              <w:numPr>
                <w:ilvl w:val="0"/>
                <w:numId w:val="0"/>
              </w:numPr>
              <w:ind w:left="-116" w:rightChars="-33" w:right="-112"/>
              <w:jc w:val="center"/>
              <w:rPr>
                <w:rFonts w:hAnsi="標楷體"/>
                <w:b/>
                <w:sz w:val="26"/>
                <w:szCs w:val="26"/>
              </w:rPr>
            </w:pPr>
            <w:bookmarkStart w:id="570" w:name="_Toc143243886"/>
            <w:bookmarkStart w:id="571" w:name="_Toc143262243"/>
            <w:bookmarkStart w:id="572" w:name="_Toc143263128"/>
            <w:bookmarkStart w:id="573" w:name="_Toc143424334"/>
            <w:bookmarkStart w:id="574" w:name="_Toc144140218"/>
            <w:bookmarkStart w:id="575" w:name="_Toc144211330"/>
            <w:bookmarkStart w:id="576" w:name="_Toc145510592"/>
            <w:r w:rsidRPr="00293659">
              <w:rPr>
                <w:rFonts w:hAnsi="標楷體" w:hint="eastAsia"/>
                <w:sz w:val="26"/>
                <w:szCs w:val="26"/>
                <w:u w:color="FF0000"/>
              </w:rPr>
              <w:t>作業程序</w:t>
            </w:r>
            <w:bookmarkEnd w:id="570"/>
            <w:bookmarkEnd w:id="571"/>
            <w:bookmarkEnd w:id="572"/>
            <w:bookmarkEnd w:id="573"/>
            <w:bookmarkEnd w:id="574"/>
            <w:bookmarkEnd w:id="575"/>
            <w:bookmarkEnd w:id="576"/>
          </w:p>
        </w:tc>
        <w:tc>
          <w:tcPr>
            <w:tcW w:w="2831" w:type="dxa"/>
            <w:vAlign w:val="center"/>
          </w:tcPr>
          <w:p w14:paraId="65CC4AC5" w14:textId="77777777" w:rsidR="00E1047E" w:rsidRPr="00293659" w:rsidRDefault="00E1047E" w:rsidP="00B24129">
            <w:pPr>
              <w:snapToGrid w:val="0"/>
              <w:spacing w:line="280" w:lineRule="exact"/>
              <w:rPr>
                <w:rFonts w:hAnsi="標楷體"/>
                <w:spacing w:val="-16"/>
                <w:sz w:val="26"/>
                <w:szCs w:val="26"/>
                <w:u w:color="FF0000"/>
              </w:rPr>
            </w:pPr>
            <w:r w:rsidRPr="00293659">
              <w:rPr>
                <w:rFonts w:hAnsi="標楷體" w:hint="eastAsia"/>
                <w:spacing w:val="-16"/>
                <w:sz w:val="26"/>
                <w:szCs w:val="26"/>
                <w:u w:color="FF0000"/>
              </w:rPr>
              <w:t>依「政府採購法」及「軍事機關採購作業規定」採購金額超過5</w:t>
            </w:r>
            <w:r w:rsidRPr="00293659">
              <w:rPr>
                <w:rFonts w:hAnsi="標楷體"/>
                <w:spacing w:val="-16"/>
                <w:sz w:val="26"/>
                <w:szCs w:val="26"/>
                <w:u w:color="FF0000"/>
              </w:rPr>
              <w:t>,</w:t>
            </w:r>
            <w:r w:rsidRPr="00293659">
              <w:rPr>
                <w:rFonts w:hAnsi="標楷體" w:hint="eastAsia"/>
                <w:spacing w:val="-16"/>
                <w:sz w:val="26"/>
                <w:szCs w:val="26"/>
                <w:u w:color="FF0000"/>
              </w:rPr>
              <w:t>000萬，</w:t>
            </w:r>
            <w:r w:rsidRPr="00293659">
              <w:rPr>
                <w:rFonts w:hAnsi="標楷體" w:hint="eastAsia"/>
                <w:spacing w:val="-18"/>
                <w:sz w:val="26"/>
                <w:szCs w:val="26"/>
                <w:u w:color="FF0000"/>
              </w:rPr>
              <w:t>應報請國防部審查核定並辦理招標作業。</w:t>
            </w:r>
          </w:p>
        </w:tc>
        <w:tc>
          <w:tcPr>
            <w:tcW w:w="4156" w:type="dxa"/>
            <w:tcBorders>
              <w:right w:val="single" w:sz="8" w:space="0" w:color="auto"/>
            </w:tcBorders>
            <w:vAlign w:val="center"/>
          </w:tcPr>
          <w:p w14:paraId="695D5230" w14:textId="77777777" w:rsidR="00E1047E" w:rsidRPr="00293659" w:rsidRDefault="00E1047E" w:rsidP="00B24129">
            <w:pPr>
              <w:snapToGrid w:val="0"/>
              <w:spacing w:line="280" w:lineRule="exact"/>
              <w:rPr>
                <w:rFonts w:hAnsi="標楷體"/>
                <w:spacing w:val="-16"/>
                <w:sz w:val="26"/>
                <w:szCs w:val="26"/>
                <w:u w:color="FF0000"/>
              </w:rPr>
            </w:pPr>
            <w:r w:rsidRPr="00293659">
              <w:rPr>
                <w:rFonts w:hAnsi="標楷體" w:hint="eastAsia"/>
                <w:spacing w:val="-16"/>
                <w:sz w:val="26"/>
                <w:szCs w:val="26"/>
                <w:u w:color="FF0000"/>
              </w:rPr>
              <w:t>依「中科院財物勞務採購作業規定」，不限採購金額，</w:t>
            </w:r>
            <w:proofErr w:type="gramStart"/>
            <w:r w:rsidRPr="00293659">
              <w:rPr>
                <w:rFonts w:hAnsi="標楷體" w:hint="eastAsia"/>
                <w:spacing w:val="-16"/>
                <w:sz w:val="26"/>
                <w:szCs w:val="26"/>
                <w:u w:color="FF0000"/>
              </w:rPr>
              <w:t>均由中科院</w:t>
            </w:r>
            <w:proofErr w:type="gramEnd"/>
            <w:r w:rsidRPr="00293659">
              <w:rPr>
                <w:rFonts w:hAnsi="標楷體" w:hint="eastAsia"/>
                <w:spacing w:val="-16"/>
                <w:sz w:val="26"/>
                <w:szCs w:val="26"/>
                <w:u w:color="FF0000"/>
              </w:rPr>
              <w:t>審查核定與招標作業。</w:t>
            </w:r>
          </w:p>
        </w:tc>
      </w:tr>
      <w:tr w:rsidR="00293659" w:rsidRPr="00293659" w14:paraId="4845EDDF" w14:textId="77777777" w:rsidTr="00B24129">
        <w:trPr>
          <w:trHeight w:val="978"/>
          <w:jc w:val="center"/>
        </w:trPr>
        <w:tc>
          <w:tcPr>
            <w:tcW w:w="562" w:type="dxa"/>
            <w:vMerge/>
            <w:tcBorders>
              <w:left w:val="single" w:sz="8" w:space="0" w:color="auto"/>
            </w:tcBorders>
          </w:tcPr>
          <w:p w14:paraId="3B8B570A" w14:textId="77777777" w:rsidR="00E1047E" w:rsidRPr="00293659" w:rsidRDefault="00E1047E" w:rsidP="00E1047E">
            <w:pPr>
              <w:pStyle w:val="3"/>
              <w:numPr>
                <w:ilvl w:val="2"/>
                <w:numId w:val="1"/>
              </w:numPr>
              <w:ind w:left="1361"/>
              <w:rPr>
                <w:rFonts w:hAnsi="標楷體"/>
              </w:rPr>
            </w:pPr>
            <w:bookmarkStart w:id="577" w:name="_Toc143243887"/>
            <w:bookmarkStart w:id="578" w:name="_Toc143262244"/>
            <w:bookmarkStart w:id="579" w:name="_Toc143263129"/>
            <w:bookmarkStart w:id="580" w:name="_Toc144140219"/>
            <w:bookmarkStart w:id="581" w:name="_Toc144211331"/>
            <w:bookmarkStart w:id="582" w:name="_Toc145510593"/>
            <w:bookmarkEnd w:id="577"/>
            <w:bookmarkEnd w:id="578"/>
            <w:bookmarkEnd w:id="579"/>
            <w:bookmarkEnd w:id="580"/>
            <w:bookmarkEnd w:id="581"/>
            <w:bookmarkEnd w:id="582"/>
          </w:p>
        </w:tc>
        <w:tc>
          <w:tcPr>
            <w:tcW w:w="1275" w:type="dxa"/>
            <w:vMerge/>
            <w:vAlign w:val="center"/>
          </w:tcPr>
          <w:p w14:paraId="6B96F00C" w14:textId="77777777" w:rsidR="00E1047E" w:rsidRPr="00293659" w:rsidRDefault="00E1047E" w:rsidP="00E1047E">
            <w:pPr>
              <w:pStyle w:val="3"/>
              <w:numPr>
                <w:ilvl w:val="2"/>
                <w:numId w:val="1"/>
              </w:numPr>
              <w:ind w:leftChars="-30" w:left="579" w:rightChars="-33" w:right="-112"/>
              <w:jc w:val="center"/>
              <w:rPr>
                <w:rFonts w:hAnsi="標楷體"/>
                <w:sz w:val="26"/>
                <w:szCs w:val="26"/>
              </w:rPr>
            </w:pPr>
            <w:bookmarkStart w:id="583" w:name="_Toc143243888"/>
            <w:bookmarkStart w:id="584" w:name="_Toc143262245"/>
            <w:bookmarkStart w:id="585" w:name="_Toc143263130"/>
            <w:bookmarkStart w:id="586" w:name="_Toc144140220"/>
            <w:bookmarkStart w:id="587" w:name="_Toc144211332"/>
            <w:bookmarkStart w:id="588" w:name="_Toc145510594"/>
            <w:bookmarkEnd w:id="583"/>
            <w:bookmarkEnd w:id="584"/>
            <w:bookmarkEnd w:id="585"/>
            <w:bookmarkEnd w:id="586"/>
            <w:bookmarkEnd w:id="587"/>
            <w:bookmarkEnd w:id="588"/>
          </w:p>
        </w:tc>
        <w:tc>
          <w:tcPr>
            <w:tcW w:w="2831" w:type="dxa"/>
            <w:vAlign w:val="center"/>
          </w:tcPr>
          <w:p w14:paraId="1883FF43"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20"/>
                <w:sz w:val="26"/>
                <w:szCs w:val="26"/>
                <w:u w:color="FF0000"/>
              </w:rPr>
              <w:t>依政府採購法，</w:t>
            </w:r>
            <w:r w:rsidRPr="00293659">
              <w:rPr>
                <w:rFonts w:hAnsi="標楷體"/>
                <w:spacing w:val="-20"/>
                <w:sz w:val="26"/>
                <w:szCs w:val="26"/>
                <w:u w:color="FF0000"/>
              </w:rPr>
              <w:t>公開(公告)</w:t>
            </w:r>
            <w:r w:rsidRPr="00293659">
              <w:rPr>
                <w:rFonts w:hAnsi="標楷體"/>
                <w:spacing w:val="-36"/>
                <w:sz w:val="26"/>
                <w:szCs w:val="26"/>
                <w:u w:color="FF0000"/>
              </w:rPr>
              <w:t>招標第一次</w:t>
            </w:r>
            <w:r w:rsidRPr="00293659">
              <w:rPr>
                <w:rFonts w:hAnsi="標楷體"/>
                <w:spacing w:val="-10"/>
                <w:sz w:val="26"/>
                <w:szCs w:val="26"/>
                <w:u w:color="FF0000"/>
              </w:rPr>
              <w:t>開標</w:t>
            </w:r>
            <w:proofErr w:type="gramStart"/>
            <w:r w:rsidRPr="00293659">
              <w:rPr>
                <w:rFonts w:hAnsi="標楷體"/>
                <w:spacing w:val="-10"/>
                <w:sz w:val="26"/>
                <w:szCs w:val="26"/>
                <w:u w:color="FF0000"/>
              </w:rPr>
              <w:t>家數</w:t>
            </w:r>
            <w:r w:rsidRPr="00293659">
              <w:rPr>
                <w:rFonts w:hAnsi="標楷體" w:hint="eastAsia"/>
                <w:spacing w:val="-10"/>
                <w:sz w:val="26"/>
                <w:szCs w:val="26"/>
                <w:u w:color="FF0000"/>
              </w:rPr>
              <w:t>需3家</w:t>
            </w:r>
            <w:proofErr w:type="gramEnd"/>
            <w:r w:rsidRPr="00293659">
              <w:rPr>
                <w:rFonts w:hAnsi="標楷體" w:hint="eastAsia"/>
                <w:spacing w:val="-10"/>
                <w:sz w:val="26"/>
                <w:szCs w:val="26"/>
                <w:u w:color="FF0000"/>
              </w:rPr>
              <w:t>，方可開標。</w:t>
            </w:r>
          </w:p>
        </w:tc>
        <w:tc>
          <w:tcPr>
            <w:tcW w:w="4156" w:type="dxa"/>
            <w:tcBorders>
              <w:right w:val="single" w:sz="8" w:space="0" w:color="auto"/>
            </w:tcBorders>
            <w:vAlign w:val="center"/>
          </w:tcPr>
          <w:p w14:paraId="1AE46D68"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依「中科院財物勞務採購作業規定」，</w:t>
            </w:r>
            <w:r w:rsidRPr="00293659">
              <w:rPr>
                <w:rFonts w:hAnsi="標楷體"/>
                <w:spacing w:val="-20"/>
                <w:sz w:val="26"/>
                <w:szCs w:val="26"/>
                <w:u w:color="FF0000"/>
              </w:rPr>
              <w:t>公開(公告)</w:t>
            </w:r>
            <w:r w:rsidRPr="00293659">
              <w:rPr>
                <w:rFonts w:hAnsi="標楷體"/>
                <w:spacing w:val="-36"/>
                <w:sz w:val="26"/>
                <w:szCs w:val="26"/>
                <w:u w:color="FF0000"/>
              </w:rPr>
              <w:t>招標第一次</w:t>
            </w:r>
            <w:r w:rsidRPr="00293659">
              <w:rPr>
                <w:rFonts w:hAnsi="標楷體"/>
                <w:spacing w:val="-10"/>
                <w:sz w:val="26"/>
                <w:szCs w:val="26"/>
                <w:u w:color="FF0000"/>
              </w:rPr>
              <w:t>開標家數</w:t>
            </w:r>
            <w:r w:rsidRPr="00293659">
              <w:rPr>
                <w:rFonts w:hAnsi="標楷體" w:hint="eastAsia"/>
                <w:spacing w:val="-10"/>
                <w:sz w:val="26"/>
                <w:szCs w:val="26"/>
                <w:u w:color="FF0000"/>
              </w:rPr>
              <w:t>僅</w:t>
            </w:r>
            <w:r w:rsidRPr="00293659">
              <w:rPr>
                <w:rFonts w:hAnsi="標楷體"/>
                <w:spacing w:val="-10"/>
                <w:sz w:val="26"/>
                <w:szCs w:val="26"/>
                <w:u w:color="FF0000"/>
              </w:rPr>
              <w:t>1家</w:t>
            </w:r>
            <w:r w:rsidRPr="00293659">
              <w:rPr>
                <w:rFonts w:hAnsi="標楷體" w:hint="eastAsia"/>
                <w:spacing w:val="-10"/>
                <w:sz w:val="26"/>
                <w:szCs w:val="26"/>
                <w:u w:color="FF0000"/>
              </w:rPr>
              <w:t>，即可開標，加速決標。</w:t>
            </w:r>
          </w:p>
        </w:tc>
      </w:tr>
      <w:tr w:rsidR="00293659" w:rsidRPr="00293659" w14:paraId="78FD66C0" w14:textId="77777777" w:rsidTr="00B24129">
        <w:trPr>
          <w:trHeight w:val="1270"/>
          <w:jc w:val="center"/>
        </w:trPr>
        <w:tc>
          <w:tcPr>
            <w:tcW w:w="562" w:type="dxa"/>
            <w:vMerge/>
            <w:tcBorders>
              <w:left w:val="single" w:sz="8" w:space="0" w:color="auto"/>
            </w:tcBorders>
          </w:tcPr>
          <w:p w14:paraId="3DC35B9A" w14:textId="77777777" w:rsidR="00E1047E" w:rsidRPr="00293659" w:rsidRDefault="00E1047E" w:rsidP="00E1047E">
            <w:pPr>
              <w:pStyle w:val="3"/>
              <w:numPr>
                <w:ilvl w:val="2"/>
                <w:numId w:val="1"/>
              </w:numPr>
              <w:ind w:left="1361"/>
              <w:rPr>
                <w:rFonts w:hAnsi="標楷體"/>
              </w:rPr>
            </w:pPr>
            <w:bookmarkStart w:id="589" w:name="_Toc143243889"/>
            <w:bookmarkStart w:id="590" w:name="_Toc143262246"/>
            <w:bookmarkStart w:id="591" w:name="_Toc143263131"/>
            <w:bookmarkStart w:id="592" w:name="_Toc144140221"/>
            <w:bookmarkStart w:id="593" w:name="_Toc144211333"/>
            <w:bookmarkStart w:id="594" w:name="_Toc145510595"/>
            <w:bookmarkEnd w:id="589"/>
            <w:bookmarkEnd w:id="590"/>
            <w:bookmarkEnd w:id="591"/>
            <w:bookmarkEnd w:id="592"/>
            <w:bookmarkEnd w:id="593"/>
            <w:bookmarkEnd w:id="594"/>
          </w:p>
        </w:tc>
        <w:tc>
          <w:tcPr>
            <w:tcW w:w="1275" w:type="dxa"/>
            <w:vMerge/>
            <w:vAlign w:val="center"/>
          </w:tcPr>
          <w:p w14:paraId="0A9E09C0" w14:textId="77777777" w:rsidR="00E1047E" w:rsidRPr="00293659" w:rsidRDefault="00E1047E" w:rsidP="00E1047E">
            <w:pPr>
              <w:pStyle w:val="3"/>
              <w:numPr>
                <w:ilvl w:val="2"/>
                <w:numId w:val="1"/>
              </w:numPr>
              <w:ind w:leftChars="-30" w:left="579" w:rightChars="-33" w:right="-112"/>
              <w:jc w:val="center"/>
              <w:rPr>
                <w:rFonts w:hAnsi="標楷體"/>
                <w:sz w:val="26"/>
                <w:szCs w:val="26"/>
              </w:rPr>
            </w:pPr>
            <w:bookmarkStart w:id="595" w:name="_Toc143243890"/>
            <w:bookmarkStart w:id="596" w:name="_Toc143262247"/>
            <w:bookmarkStart w:id="597" w:name="_Toc143263132"/>
            <w:bookmarkStart w:id="598" w:name="_Toc144140222"/>
            <w:bookmarkStart w:id="599" w:name="_Toc144211334"/>
            <w:bookmarkStart w:id="600" w:name="_Toc145510596"/>
            <w:bookmarkEnd w:id="595"/>
            <w:bookmarkEnd w:id="596"/>
            <w:bookmarkEnd w:id="597"/>
            <w:bookmarkEnd w:id="598"/>
            <w:bookmarkEnd w:id="599"/>
            <w:bookmarkEnd w:id="600"/>
          </w:p>
        </w:tc>
        <w:tc>
          <w:tcPr>
            <w:tcW w:w="2831" w:type="dxa"/>
            <w:vAlign w:val="center"/>
          </w:tcPr>
          <w:p w14:paraId="6BE8C651"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20"/>
                <w:sz w:val="26"/>
                <w:szCs w:val="26"/>
                <w:u w:color="FF0000"/>
              </w:rPr>
              <w:t>依政府採購法</w:t>
            </w:r>
            <w:r w:rsidRPr="00293659">
              <w:rPr>
                <w:rFonts w:hAnsi="標楷體"/>
                <w:spacing w:val="-10"/>
                <w:sz w:val="26"/>
                <w:szCs w:val="26"/>
                <w:u w:color="FF0000"/>
              </w:rPr>
              <w:t>標價低於底價百分之八十</w:t>
            </w:r>
            <w:r w:rsidRPr="00293659">
              <w:rPr>
                <w:rFonts w:hAnsi="標楷體" w:hint="eastAsia"/>
                <w:spacing w:val="-10"/>
                <w:sz w:val="26"/>
                <w:szCs w:val="26"/>
                <w:u w:color="FF0000"/>
              </w:rPr>
              <w:t>，限期</w:t>
            </w:r>
            <w:r w:rsidRPr="00293659">
              <w:rPr>
                <w:rFonts w:hAnsi="標楷體"/>
                <w:spacing w:val="-10"/>
                <w:sz w:val="26"/>
                <w:szCs w:val="26"/>
                <w:u w:color="FF0000"/>
              </w:rPr>
              <w:t>由廠商說明</w:t>
            </w:r>
            <w:r w:rsidRPr="00293659">
              <w:rPr>
                <w:rFonts w:hAnsi="標楷體" w:hint="eastAsia"/>
                <w:spacing w:val="-10"/>
                <w:sz w:val="26"/>
                <w:szCs w:val="26"/>
                <w:u w:color="FF0000"/>
              </w:rPr>
              <w:t>。</w:t>
            </w:r>
          </w:p>
        </w:tc>
        <w:tc>
          <w:tcPr>
            <w:tcW w:w="4156" w:type="dxa"/>
            <w:tcBorders>
              <w:right w:val="single" w:sz="8" w:space="0" w:color="auto"/>
            </w:tcBorders>
            <w:vAlign w:val="center"/>
          </w:tcPr>
          <w:p w14:paraId="5C0CFAC6"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依「中科院財物勞務採購作業規定」</w:t>
            </w:r>
            <w:r w:rsidRPr="00293659">
              <w:rPr>
                <w:rFonts w:hAnsi="標楷體"/>
                <w:spacing w:val="-10"/>
                <w:sz w:val="26"/>
                <w:szCs w:val="26"/>
                <w:u w:color="FF0000"/>
              </w:rPr>
              <w:t>標價低於底價百分之七十</w:t>
            </w:r>
            <w:r w:rsidRPr="00293659">
              <w:rPr>
                <w:rFonts w:hAnsi="標楷體" w:hint="eastAsia"/>
                <w:spacing w:val="-10"/>
                <w:sz w:val="26"/>
                <w:szCs w:val="26"/>
                <w:u w:color="FF0000"/>
              </w:rPr>
              <w:t>，限期</w:t>
            </w:r>
            <w:r w:rsidRPr="00293659">
              <w:rPr>
                <w:rFonts w:hAnsi="標楷體"/>
                <w:spacing w:val="-10"/>
                <w:sz w:val="26"/>
                <w:szCs w:val="26"/>
                <w:u w:color="FF0000"/>
              </w:rPr>
              <w:t>由廠商說明</w:t>
            </w:r>
            <w:r w:rsidRPr="00293659">
              <w:rPr>
                <w:rFonts w:hAnsi="標楷體" w:hint="eastAsia"/>
                <w:spacing w:val="-10"/>
                <w:sz w:val="26"/>
                <w:szCs w:val="26"/>
                <w:u w:color="FF0000"/>
              </w:rPr>
              <w:t>。百分比調降，以市場公開競爭為主，加速決標。</w:t>
            </w:r>
          </w:p>
        </w:tc>
      </w:tr>
      <w:tr w:rsidR="00293659" w:rsidRPr="00293659" w14:paraId="2FBDC814" w14:textId="77777777" w:rsidTr="00B24129">
        <w:trPr>
          <w:trHeight w:val="995"/>
          <w:jc w:val="center"/>
        </w:trPr>
        <w:tc>
          <w:tcPr>
            <w:tcW w:w="562" w:type="dxa"/>
            <w:vMerge/>
            <w:tcBorders>
              <w:left w:val="single" w:sz="8" w:space="0" w:color="auto"/>
            </w:tcBorders>
          </w:tcPr>
          <w:p w14:paraId="2C5BD860" w14:textId="77777777" w:rsidR="00E1047E" w:rsidRPr="00293659" w:rsidRDefault="00E1047E" w:rsidP="00E1047E">
            <w:pPr>
              <w:pStyle w:val="3"/>
              <w:numPr>
                <w:ilvl w:val="2"/>
                <w:numId w:val="1"/>
              </w:numPr>
              <w:ind w:left="1361"/>
              <w:rPr>
                <w:rFonts w:hAnsi="標楷體"/>
              </w:rPr>
            </w:pPr>
            <w:bookmarkStart w:id="601" w:name="_Toc143243891"/>
            <w:bookmarkStart w:id="602" w:name="_Toc143262248"/>
            <w:bookmarkStart w:id="603" w:name="_Toc143263133"/>
            <w:bookmarkStart w:id="604" w:name="_Toc144140223"/>
            <w:bookmarkStart w:id="605" w:name="_Toc144211335"/>
            <w:bookmarkStart w:id="606" w:name="_Toc145510597"/>
            <w:bookmarkEnd w:id="601"/>
            <w:bookmarkEnd w:id="602"/>
            <w:bookmarkEnd w:id="603"/>
            <w:bookmarkEnd w:id="604"/>
            <w:bookmarkEnd w:id="605"/>
            <w:bookmarkEnd w:id="606"/>
          </w:p>
        </w:tc>
        <w:tc>
          <w:tcPr>
            <w:tcW w:w="1275" w:type="dxa"/>
            <w:vMerge/>
            <w:vAlign w:val="center"/>
          </w:tcPr>
          <w:p w14:paraId="5A88A1D5" w14:textId="77777777" w:rsidR="00E1047E" w:rsidRPr="00293659" w:rsidRDefault="00E1047E" w:rsidP="00E1047E">
            <w:pPr>
              <w:pStyle w:val="3"/>
              <w:numPr>
                <w:ilvl w:val="2"/>
                <w:numId w:val="1"/>
              </w:numPr>
              <w:ind w:leftChars="-30" w:left="579" w:rightChars="-33" w:right="-112"/>
              <w:jc w:val="center"/>
              <w:rPr>
                <w:rFonts w:hAnsi="標楷體"/>
                <w:sz w:val="26"/>
                <w:szCs w:val="26"/>
              </w:rPr>
            </w:pPr>
            <w:bookmarkStart w:id="607" w:name="_Toc143243892"/>
            <w:bookmarkStart w:id="608" w:name="_Toc143262249"/>
            <w:bookmarkStart w:id="609" w:name="_Toc143263134"/>
            <w:bookmarkStart w:id="610" w:name="_Toc144140224"/>
            <w:bookmarkStart w:id="611" w:name="_Toc144211336"/>
            <w:bookmarkStart w:id="612" w:name="_Toc145510598"/>
            <w:bookmarkEnd w:id="607"/>
            <w:bookmarkEnd w:id="608"/>
            <w:bookmarkEnd w:id="609"/>
            <w:bookmarkEnd w:id="610"/>
            <w:bookmarkEnd w:id="611"/>
            <w:bookmarkEnd w:id="612"/>
          </w:p>
        </w:tc>
        <w:tc>
          <w:tcPr>
            <w:tcW w:w="2831" w:type="dxa"/>
            <w:vAlign w:val="center"/>
          </w:tcPr>
          <w:p w14:paraId="46B542BE"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20"/>
                <w:sz w:val="26"/>
                <w:szCs w:val="26"/>
                <w:u w:color="FF0000"/>
              </w:rPr>
              <w:t>依政府採購法，</w:t>
            </w:r>
            <w:r w:rsidRPr="00293659">
              <w:rPr>
                <w:rFonts w:hAnsi="標楷體"/>
                <w:spacing w:val="-20"/>
                <w:sz w:val="26"/>
                <w:szCs w:val="26"/>
                <w:u w:color="FF0000"/>
              </w:rPr>
              <w:t>小額</w:t>
            </w:r>
            <w:r w:rsidRPr="00293659">
              <w:rPr>
                <w:rFonts w:hAnsi="標楷體" w:hint="eastAsia"/>
                <w:spacing w:val="-20"/>
                <w:sz w:val="26"/>
                <w:szCs w:val="26"/>
                <w:u w:color="FF0000"/>
              </w:rPr>
              <w:t>採購</w:t>
            </w:r>
            <w:r w:rsidRPr="00293659">
              <w:rPr>
                <w:rFonts w:hAnsi="標楷體"/>
                <w:spacing w:val="-10"/>
                <w:sz w:val="26"/>
                <w:szCs w:val="26"/>
                <w:u w:color="FF0000"/>
              </w:rPr>
              <w:t>金額</w:t>
            </w:r>
            <w:r w:rsidRPr="00293659">
              <w:rPr>
                <w:rFonts w:hAnsi="標楷體" w:hint="eastAsia"/>
                <w:spacing w:val="-10"/>
                <w:sz w:val="26"/>
                <w:szCs w:val="26"/>
                <w:u w:color="FF0000"/>
              </w:rPr>
              <w:t>為新臺幣15萬元。</w:t>
            </w:r>
          </w:p>
        </w:tc>
        <w:tc>
          <w:tcPr>
            <w:tcW w:w="4156" w:type="dxa"/>
            <w:tcBorders>
              <w:right w:val="single" w:sz="8" w:space="0" w:color="auto"/>
            </w:tcBorders>
            <w:vAlign w:val="center"/>
          </w:tcPr>
          <w:p w14:paraId="32CE4F1D" w14:textId="77777777"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依「中科院財物勞務採購作業規定」</w:t>
            </w:r>
            <w:r w:rsidRPr="00293659">
              <w:rPr>
                <w:rFonts w:hAnsi="標楷體"/>
                <w:spacing w:val="-20"/>
                <w:sz w:val="26"/>
                <w:szCs w:val="26"/>
                <w:u w:color="FF0000"/>
              </w:rPr>
              <w:t>一定(小額)</w:t>
            </w:r>
            <w:r w:rsidRPr="00293659">
              <w:rPr>
                <w:rFonts w:hAnsi="標楷體"/>
                <w:spacing w:val="-10"/>
                <w:sz w:val="26"/>
                <w:szCs w:val="26"/>
                <w:u w:color="FF0000"/>
              </w:rPr>
              <w:t>金額</w:t>
            </w:r>
            <w:r w:rsidRPr="00293659">
              <w:rPr>
                <w:rFonts w:hAnsi="標楷體" w:hint="eastAsia"/>
                <w:spacing w:val="-10"/>
                <w:sz w:val="26"/>
                <w:szCs w:val="26"/>
                <w:u w:color="FF0000"/>
              </w:rPr>
              <w:t>為新臺幣</w:t>
            </w:r>
            <w:r w:rsidRPr="00293659">
              <w:rPr>
                <w:rFonts w:hAnsi="標楷體"/>
                <w:spacing w:val="-10"/>
                <w:sz w:val="26"/>
                <w:szCs w:val="26"/>
                <w:u w:color="FF0000"/>
              </w:rPr>
              <w:t>20萬</w:t>
            </w:r>
            <w:r w:rsidRPr="00293659">
              <w:rPr>
                <w:rFonts w:hAnsi="標楷體" w:hint="eastAsia"/>
                <w:spacing w:val="-10"/>
                <w:sz w:val="26"/>
                <w:szCs w:val="26"/>
                <w:u w:color="FF0000"/>
              </w:rPr>
              <w:t>元。金額級距提高，增加採購效率。</w:t>
            </w:r>
          </w:p>
        </w:tc>
      </w:tr>
      <w:tr w:rsidR="00293659" w:rsidRPr="00293659" w14:paraId="37AB9E76" w14:textId="77777777" w:rsidTr="00B24129">
        <w:trPr>
          <w:trHeight w:val="967"/>
          <w:jc w:val="center"/>
        </w:trPr>
        <w:tc>
          <w:tcPr>
            <w:tcW w:w="562" w:type="dxa"/>
            <w:vMerge/>
            <w:tcBorders>
              <w:left w:val="single" w:sz="8" w:space="0" w:color="auto"/>
              <w:bottom w:val="single" w:sz="8" w:space="0" w:color="auto"/>
            </w:tcBorders>
          </w:tcPr>
          <w:p w14:paraId="1EB1781E" w14:textId="77777777" w:rsidR="00E1047E" w:rsidRPr="00293659" w:rsidRDefault="00E1047E" w:rsidP="00E1047E">
            <w:pPr>
              <w:pStyle w:val="3"/>
              <w:numPr>
                <w:ilvl w:val="2"/>
                <w:numId w:val="1"/>
              </w:numPr>
              <w:ind w:left="1361"/>
              <w:rPr>
                <w:rFonts w:hAnsi="標楷體"/>
              </w:rPr>
            </w:pPr>
            <w:bookmarkStart w:id="613" w:name="_Toc143243893"/>
            <w:bookmarkStart w:id="614" w:name="_Toc143262250"/>
            <w:bookmarkStart w:id="615" w:name="_Toc143263135"/>
            <w:bookmarkStart w:id="616" w:name="_Toc144140225"/>
            <w:bookmarkStart w:id="617" w:name="_Toc144211337"/>
            <w:bookmarkStart w:id="618" w:name="_Toc145510599"/>
            <w:bookmarkEnd w:id="613"/>
            <w:bookmarkEnd w:id="614"/>
            <w:bookmarkEnd w:id="615"/>
            <w:bookmarkEnd w:id="616"/>
            <w:bookmarkEnd w:id="617"/>
            <w:bookmarkEnd w:id="618"/>
          </w:p>
        </w:tc>
        <w:tc>
          <w:tcPr>
            <w:tcW w:w="1275" w:type="dxa"/>
            <w:tcBorders>
              <w:bottom w:val="single" w:sz="8" w:space="0" w:color="auto"/>
            </w:tcBorders>
            <w:vAlign w:val="center"/>
          </w:tcPr>
          <w:p w14:paraId="1959CA01" w14:textId="77777777" w:rsidR="00E1047E" w:rsidRPr="00293659" w:rsidRDefault="00E1047E" w:rsidP="00A8393B">
            <w:pPr>
              <w:pStyle w:val="3"/>
              <w:numPr>
                <w:ilvl w:val="0"/>
                <w:numId w:val="0"/>
              </w:numPr>
              <w:ind w:left="-102" w:rightChars="-33" w:right="-112"/>
              <w:jc w:val="center"/>
              <w:rPr>
                <w:rFonts w:hAnsi="標楷體"/>
                <w:b/>
                <w:sz w:val="26"/>
                <w:szCs w:val="26"/>
              </w:rPr>
            </w:pPr>
            <w:bookmarkStart w:id="619" w:name="_Toc143243894"/>
            <w:bookmarkStart w:id="620" w:name="_Toc143262251"/>
            <w:bookmarkStart w:id="621" w:name="_Toc143263136"/>
            <w:bookmarkStart w:id="622" w:name="_Toc143424335"/>
            <w:bookmarkStart w:id="623" w:name="_Toc144140226"/>
            <w:bookmarkStart w:id="624" w:name="_Toc144211338"/>
            <w:bookmarkStart w:id="625" w:name="_Toc145510600"/>
            <w:r w:rsidRPr="00293659">
              <w:rPr>
                <w:rFonts w:hAnsi="標楷體" w:hint="eastAsia"/>
                <w:sz w:val="26"/>
                <w:szCs w:val="26"/>
                <w:u w:color="FF0000"/>
              </w:rPr>
              <w:t>監督機制</w:t>
            </w:r>
            <w:bookmarkEnd w:id="619"/>
            <w:bookmarkEnd w:id="620"/>
            <w:bookmarkEnd w:id="621"/>
            <w:bookmarkEnd w:id="622"/>
            <w:bookmarkEnd w:id="623"/>
            <w:bookmarkEnd w:id="624"/>
            <w:bookmarkEnd w:id="625"/>
          </w:p>
        </w:tc>
        <w:tc>
          <w:tcPr>
            <w:tcW w:w="2831" w:type="dxa"/>
            <w:tcBorders>
              <w:bottom w:val="single" w:sz="8" w:space="0" w:color="auto"/>
            </w:tcBorders>
            <w:vAlign w:val="center"/>
          </w:tcPr>
          <w:p w14:paraId="24A73732" w14:textId="1A7B7734"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接受立法院審議監督、審計部決算查核及國防部查核。</w:t>
            </w:r>
          </w:p>
        </w:tc>
        <w:tc>
          <w:tcPr>
            <w:tcW w:w="4156" w:type="dxa"/>
            <w:tcBorders>
              <w:bottom w:val="single" w:sz="8" w:space="0" w:color="auto"/>
              <w:right w:val="single" w:sz="8" w:space="0" w:color="auto"/>
            </w:tcBorders>
            <w:vAlign w:val="center"/>
          </w:tcPr>
          <w:p w14:paraId="3DFD40CC" w14:textId="32CA366E" w:rsidR="00E1047E" w:rsidRPr="00293659" w:rsidRDefault="00E1047E" w:rsidP="00B24129">
            <w:pPr>
              <w:snapToGrid w:val="0"/>
              <w:spacing w:line="280" w:lineRule="exact"/>
              <w:rPr>
                <w:rFonts w:hAnsi="標楷體"/>
                <w:spacing w:val="-10"/>
                <w:sz w:val="26"/>
                <w:szCs w:val="26"/>
                <w:u w:color="FF0000"/>
              </w:rPr>
            </w:pPr>
            <w:r w:rsidRPr="00293659">
              <w:rPr>
                <w:rFonts w:hAnsi="標楷體" w:hint="eastAsia"/>
                <w:spacing w:val="-10"/>
                <w:sz w:val="26"/>
                <w:szCs w:val="26"/>
                <w:u w:color="FF0000"/>
              </w:rPr>
              <w:t>除左列項目外，另增加董事會稽核</w:t>
            </w:r>
            <w:r w:rsidR="00FD7821" w:rsidRPr="00293659">
              <w:rPr>
                <w:rFonts w:hAnsi="標楷體" w:hint="eastAsia"/>
                <w:spacing w:val="-10"/>
                <w:sz w:val="26"/>
                <w:szCs w:val="26"/>
                <w:u w:color="FF0000"/>
              </w:rPr>
              <w:t>及</w:t>
            </w:r>
            <w:r w:rsidRPr="00293659">
              <w:rPr>
                <w:rFonts w:hAnsi="標楷體" w:hint="eastAsia"/>
                <w:spacing w:val="-10"/>
                <w:sz w:val="26"/>
                <w:szCs w:val="26"/>
                <w:u w:color="FF0000"/>
              </w:rPr>
              <w:t>會計師查核等項目，監督機制益加完備。</w:t>
            </w:r>
          </w:p>
        </w:tc>
      </w:tr>
    </w:tbl>
    <w:p w14:paraId="4DEAF23A" w14:textId="77777777" w:rsidR="00E1047E" w:rsidRPr="00293659" w:rsidRDefault="00E1047E" w:rsidP="00E1047E">
      <w:pPr>
        <w:pStyle w:val="3"/>
        <w:numPr>
          <w:ilvl w:val="0"/>
          <w:numId w:val="0"/>
        </w:numPr>
        <w:spacing w:afterLines="25" w:after="114" w:line="300" w:lineRule="exact"/>
        <w:jc w:val="left"/>
        <w:rPr>
          <w:rFonts w:hAnsi="標楷體"/>
          <w:sz w:val="24"/>
          <w:szCs w:val="24"/>
        </w:rPr>
      </w:pPr>
      <w:bookmarkStart w:id="626" w:name="_Toc143243895"/>
      <w:bookmarkStart w:id="627" w:name="_Toc143262252"/>
      <w:bookmarkStart w:id="628" w:name="_Toc143263137"/>
      <w:bookmarkStart w:id="629" w:name="_Toc143424336"/>
      <w:bookmarkStart w:id="630" w:name="_Toc144140227"/>
      <w:bookmarkStart w:id="631" w:name="_Toc144211339"/>
      <w:bookmarkStart w:id="632" w:name="_Toc145510601"/>
      <w:r w:rsidRPr="00293659">
        <w:rPr>
          <w:rFonts w:hAnsi="標楷體" w:hint="eastAsia"/>
          <w:sz w:val="24"/>
          <w:szCs w:val="24"/>
        </w:rPr>
        <w:t>資料來源：國防部。</w:t>
      </w:r>
      <w:bookmarkEnd w:id="626"/>
      <w:bookmarkEnd w:id="627"/>
      <w:bookmarkEnd w:id="628"/>
      <w:bookmarkEnd w:id="629"/>
      <w:bookmarkEnd w:id="630"/>
      <w:bookmarkEnd w:id="631"/>
      <w:bookmarkEnd w:id="632"/>
    </w:p>
    <w:p w14:paraId="495B8159" w14:textId="29416EB5" w:rsidR="00E1047E" w:rsidRPr="00293659" w:rsidRDefault="00E1047E" w:rsidP="00E1047E">
      <w:pPr>
        <w:pStyle w:val="2"/>
        <w:numPr>
          <w:ilvl w:val="0"/>
          <w:numId w:val="0"/>
        </w:numPr>
        <w:ind w:left="1360" w:firstLineChars="205" w:firstLine="697"/>
        <w:rPr>
          <w:rFonts w:hAnsi="標楷體"/>
          <w:u w:color="FF0000"/>
        </w:rPr>
      </w:pPr>
      <w:bookmarkStart w:id="633" w:name="_Toc143243896"/>
      <w:bookmarkStart w:id="634" w:name="_Toc143262253"/>
      <w:bookmarkStart w:id="635" w:name="_Toc143263138"/>
      <w:bookmarkStart w:id="636" w:name="_Toc143424337"/>
      <w:bookmarkStart w:id="637" w:name="_Toc144140228"/>
      <w:bookmarkStart w:id="638" w:name="_Toc144211340"/>
      <w:bookmarkStart w:id="639" w:name="_Toc145510602"/>
      <w:r w:rsidRPr="00293659">
        <w:rPr>
          <w:rFonts w:hAnsi="標楷體"/>
          <w:u w:color="FF0000"/>
        </w:rPr>
        <w:t>國防部</w:t>
      </w:r>
      <w:r w:rsidRPr="00293659">
        <w:rPr>
          <w:rFonts w:hAnsi="標楷體" w:hint="eastAsia"/>
        </w:rPr>
        <w:t>表示</w:t>
      </w:r>
      <w:r w:rsidRPr="00293659">
        <w:rPr>
          <w:rFonts w:hAnsi="標楷體" w:hint="eastAsia"/>
          <w:u w:color="FF0000"/>
        </w:rPr>
        <w:t>該部依據「國防部監督國家中山科學研究院業務編組作業規定」、「國防部對國家中山科學研究院</w:t>
      </w:r>
      <w:proofErr w:type="gramStart"/>
      <w:r w:rsidRPr="00293659">
        <w:rPr>
          <w:rFonts w:hAnsi="標楷體" w:hint="eastAsia"/>
          <w:u w:color="FF0000"/>
        </w:rPr>
        <w:t>111</w:t>
      </w:r>
      <w:proofErr w:type="gramEnd"/>
      <w:r w:rsidRPr="00293659">
        <w:rPr>
          <w:rFonts w:hAnsi="標楷體" w:hint="eastAsia"/>
          <w:u w:color="FF0000"/>
        </w:rPr>
        <w:t>年度重要工作</w:t>
      </w:r>
      <w:proofErr w:type="gramStart"/>
      <w:r w:rsidRPr="00293659">
        <w:rPr>
          <w:rFonts w:hAnsi="標楷體" w:hint="eastAsia"/>
          <w:u w:color="FF0000"/>
        </w:rPr>
        <w:t>聯合輔訪實施</w:t>
      </w:r>
      <w:proofErr w:type="gramEnd"/>
      <w:r w:rsidRPr="00293659">
        <w:rPr>
          <w:rFonts w:hAnsi="標楷體" w:hint="eastAsia"/>
          <w:u w:color="FF0000"/>
        </w:rPr>
        <w:t>計畫」及「國防部監督國家中山科學研究院重點查核執行作法」，由副部長擔任召集人，</w:t>
      </w:r>
      <w:proofErr w:type="gramStart"/>
      <w:r w:rsidRPr="00293659">
        <w:rPr>
          <w:rFonts w:hAnsi="標楷體" w:hint="eastAsia"/>
          <w:u w:color="FF0000"/>
        </w:rPr>
        <w:t>納編總督察</w:t>
      </w:r>
      <w:proofErr w:type="gramEnd"/>
      <w:r w:rsidRPr="00293659">
        <w:rPr>
          <w:rFonts w:hAnsi="標楷體" w:hint="eastAsia"/>
          <w:u w:color="FF0000"/>
        </w:rPr>
        <w:t>長室、政戰局、軍備局、主計局、採購室、法律司、政風室及</w:t>
      </w:r>
      <w:proofErr w:type="gramStart"/>
      <w:r w:rsidRPr="00293659">
        <w:rPr>
          <w:rFonts w:hAnsi="標楷體" w:hint="eastAsia"/>
          <w:u w:color="FF0000"/>
        </w:rPr>
        <w:lastRenderedPageBreak/>
        <w:t>通次室等</w:t>
      </w:r>
      <w:proofErr w:type="gramEnd"/>
      <w:r w:rsidRPr="00293659">
        <w:rPr>
          <w:rFonts w:hAnsi="標楷體" w:hint="eastAsia"/>
          <w:u w:color="FF0000"/>
        </w:rPr>
        <w:t>相關專業聯參實施查核，查核重點包括採購監辦、保密</w:t>
      </w:r>
      <w:proofErr w:type="gramStart"/>
      <w:r w:rsidRPr="00293659">
        <w:rPr>
          <w:rFonts w:hAnsi="標楷體" w:hint="eastAsia"/>
          <w:u w:color="FF0000"/>
        </w:rPr>
        <w:t>安全危安情資</w:t>
      </w:r>
      <w:proofErr w:type="gramEnd"/>
      <w:r w:rsidRPr="00293659">
        <w:rPr>
          <w:rFonts w:hAnsi="標楷體" w:hint="eastAsia"/>
          <w:u w:color="FF0000"/>
        </w:rPr>
        <w:t>查察、專案管理、預算管控/資金運用/會計事務/審計部查核、採購管理、法令遵循、廉政查處作為及資訊安全維護作為等，對中科院建立「雙軌</w:t>
      </w:r>
      <w:proofErr w:type="gramStart"/>
      <w:r w:rsidRPr="00293659">
        <w:rPr>
          <w:rFonts w:hAnsi="標楷體" w:hint="eastAsia"/>
          <w:u w:color="FF0000"/>
        </w:rPr>
        <w:t>併</w:t>
      </w:r>
      <w:proofErr w:type="gramEnd"/>
      <w:r w:rsidRPr="00293659">
        <w:rPr>
          <w:rFonts w:hAnsi="標楷體" w:hint="eastAsia"/>
          <w:u w:color="FF0000"/>
        </w:rPr>
        <w:t>行、複式監督」機制，透過每週/每季重點查核、每半年重要工作</w:t>
      </w:r>
      <w:proofErr w:type="gramStart"/>
      <w:r w:rsidRPr="00293659">
        <w:rPr>
          <w:rFonts w:hAnsi="標楷體" w:hint="eastAsia"/>
          <w:u w:color="FF0000"/>
        </w:rPr>
        <w:t>聯合輔訪對</w:t>
      </w:r>
      <w:proofErr w:type="gramEnd"/>
      <w:r w:rsidRPr="00293659">
        <w:rPr>
          <w:rFonts w:hAnsi="標楷體" w:hint="eastAsia"/>
          <w:u w:color="FF0000"/>
        </w:rPr>
        <w:t>該院進行適法性監督。</w:t>
      </w:r>
      <w:bookmarkEnd w:id="633"/>
      <w:bookmarkEnd w:id="634"/>
      <w:bookmarkEnd w:id="635"/>
      <w:bookmarkEnd w:id="636"/>
      <w:bookmarkEnd w:id="637"/>
      <w:bookmarkEnd w:id="638"/>
      <w:bookmarkEnd w:id="639"/>
    </w:p>
    <w:p w14:paraId="567E0AD9" w14:textId="53B63486" w:rsidR="00E1047E" w:rsidRDefault="00E1047E" w:rsidP="00E1047E">
      <w:pPr>
        <w:pStyle w:val="2"/>
        <w:numPr>
          <w:ilvl w:val="0"/>
          <w:numId w:val="0"/>
        </w:numPr>
        <w:ind w:left="1360" w:firstLineChars="205" w:firstLine="697"/>
        <w:rPr>
          <w:rFonts w:hAnsi="標楷體"/>
        </w:rPr>
      </w:pPr>
      <w:bookmarkStart w:id="640" w:name="_Toc143243897"/>
      <w:bookmarkStart w:id="641" w:name="_Toc143262254"/>
      <w:bookmarkStart w:id="642" w:name="_Toc143263139"/>
      <w:bookmarkStart w:id="643" w:name="_Toc143424338"/>
      <w:bookmarkStart w:id="644" w:name="_Toc144140229"/>
      <w:bookmarkStart w:id="645" w:name="_Toc144211341"/>
      <w:bookmarkStart w:id="646" w:name="_Toc145510603"/>
      <w:r w:rsidRPr="00293659">
        <w:rPr>
          <w:rFonts w:hAnsi="標楷體" w:hint="eastAsia"/>
          <w:u w:color="FF0000"/>
        </w:rPr>
        <w:t>國防</w:t>
      </w:r>
      <w:r w:rsidRPr="00293659">
        <w:rPr>
          <w:rFonts w:hAnsi="標楷體"/>
          <w:u w:color="FF0000"/>
        </w:rPr>
        <w:t>部對</w:t>
      </w:r>
      <w:r w:rsidRPr="00293659">
        <w:rPr>
          <w:rFonts w:hAnsi="標楷體" w:hint="eastAsia"/>
          <w:u w:color="FF0000"/>
        </w:rPr>
        <w:t>於</w:t>
      </w:r>
      <w:r w:rsidRPr="00293659">
        <w:rPr>
          <w:rFonts w:hAnsi="標楷體"/>
        </w:rPr>
        <w:t>中科院</w:t>
      </w:r>
      <w:r w:rsidRPr="00293659">
        <w:rPr>
          <w:rFonts w:hAnsi="標楷體"/>
          <w:u w:color="FF0000"/>
        </w:rPr>
        <w:t>之績效評鑑架構係依據該院任務特性，分為主要任務和維持運作二大部</w:t>
      </w:r>
      <w:r w:rsidR="00993B10" w:rsidRPr="00293659">
        <w:rPr>
          <w:rFonts w:hAnsi="標楷體" w:hint="eastAsia"/>
          <w:u w:color="FF0000"/>
        </w:rPr>
        <w:t>分</w:t>
      </w:r>
      <w:r w:rsidRPr="00293659">
        <w:rPr>
          <w:rFonts w:hAnsi="標楷體"/>
          <w:u w:color="FF0000"/>
        </w:rPr>
        <w:t>，主要任務包含「研究發展」、「生產委製」面向，維持運作包含「財物管理」、「安全管理」、「人力資源」面向，以做為中科院年度業務績效評估之基準。考量內外部環境變化</w:t>
      </w:r>
      <w:r w:rsidRPr="00293659">
        <w:rPr>
          <w:rFonts w:hAnsi="標楷體" w:hint="eastAsia"/>
          <w:u w:color="FF0000"/>
        </w:rPr>
        <w:t>，</w:t>
      </w:r>
      <w:r w:rsidRPr="00293659">
        <w:rPr>
          <w:rFonts w:hAnsi="標楷體"/>
          <w:u w:color="FF0000"/>
        </w:rPr>
        <w:t>持續滾動修訂前</w:t>
      </w:r>
      <w:r w:rsidR="009A7885" w:rsidRPr="00293659">
        <w:rPr>
          <w:rFonts w:hAnsi="標楷體" w:hint="eastAsia"/>
        </w:rPr>
        <w:t>述</w:t>
      </w:r>
      <w:r w:rsidRPr="00293659">
        <w:rPr>
          <w:rFonts w:hAnsi="標楷體"/>
          <w:u w:color="FF0000"/>
        </w:rPr>
        <w:t>5面向下評鑑指標</w:t>
      </w:r>
      <w:r w:rsidRPr="00293659">
        <w:rPr>
          <w:rFonts w:hAnsi="標楷體" w:hint="eastAsia"/>
          <w:u w:color="FF0000"/>
        </w:rPr>
        <w:t>，依據</w:t>
      </w:r>
      <w:r w:rsidRPr="00293659">
        <w:rPr>
          <w:rFonts w:hAnsi="標楷體"/>
          <w:u w:color="FF0000"/>
        </w:rPr>
        <w:t>「</w:t>
      </w:r>
      <w:r w:rsidRPr="00293659">
        <w:rPr>
          <w:rFonts w:hAnsi="標楷體" w:hint="eastAsia"/>
          <w:u w:color="FF0000"/>
        </w:rPr>
        <w:t>國防部辦理國家中山科學研究院績效評鑑作業規定</w:t>
      </w:r>
      <w:r w:rsidRPr="00293659">
        <w:rPr>
          <w:rFonts w:hAnsi="標楷體"/>
          <w:u w:color="FF0000"/>
        </w:rPr>
        <w:t>」，</w:t>
      </w:r>
      <w:proofErr w:type="gramStart"/>
      <w:r w:rsidRPr="00293659">
        <w:rPr>
          <w:rFonts w:hAnsi="標楷體"/>
          <w:u w:color="FF0000"/>
        </w:rPr>
        <w:t>111</w:t>
      </w:r>
      <w:proofErr w:type="gramEnd"/>
      <w:r w:rsidRPr="00293659">
        <w:rPr>
          <w:rFonts w:hAnsi="標楷體"/>
          <w:u w:color="FF0000"/>
        </w:rPr>
        <w:t>年度績效評鑑計有21項評鑑因子、35項衡量指標，</w:t>
      </w:r>
      <w:r w:rsidRPr="00293659">
        <w:rPr>
          <w:rFonts w:hAnsi="標楷體" w:hint="eastAsia"/>
          <w:u w:color="FF0000"/>
        </w:rPr>
        <w:t>其中人事之衡量指標，包括：</w:t>
      </w:r>
      <w:r w:rsidRPr="00293659">
        <w:rPr>
          <w:rFonts w:hAnsi="標楷體" w:hint="eastAsia"/>
          <w:kern w:val="0"/>
        </w:rPr>
        <w:t>機密維護、</w:t>
      </w:r>
      <w:r w:rsidRPr="00293659">
        <w:rPr>
          <w:rFonts w:hAnsi="標楷體" w:cs="Calibri"/>
          <w:kern w:val="0"/>
        </w:rPr>
        <w:t>出國業務</w:t>
      </w:r>
      <w:r w:rsidRPr="00293659">
        <w:rPr>
          <w:rFonts w:hAnsi="標楷體" w:hint="eastAsia"/>
          <w:kern w:val="0"/>
        </w:rPr>
        <w:t>、</w:t>
      </w:r>
      <w:r w:rsidRPr="00293659">
        <w:rPr>
          <w:rFonts w:hAnsi="標楷體" w:cs="Calibri" w:hint="eastAsia"/>
          <w:kern w:val="0"/>
        </w:rPr>
        <w:t>赴陸管制</w:t>
      </w:r>
      <w:r w:rsidRPr="00293659">
        <w:rPr>
          <w:rFonts w:hAnsi="標楷體" w:hint="eastAsia"/>
          <w:kern w:val="0"/>
        </w:rPr>
        <w:t>、</w:t>
      </w:r>
      <w:r w:rsidRPr="00293659">
        <w:rPr>
          <w:rFonts w:hAnsi="標楷體" w:cs="Calibri" w:hint="eastAsia"/>
          <w:kern w:val="0"/>
        </w:rPr>
        <w:t>管理績效</w:t>
      </w:r>
      <w:r w:rsidRPr="00293659">
        <w:rPr>
          <w:rFonts w:hAnsi="標楷體" w:hint="eastAsia"/>
          <w:kern w:val="0"/>
        </w:rPr>
        <w:t>、</w:t>
      </w:r>
      <w:r w:rsidRPr="00293659">
        <w:rPr>
          <w:rFonts w:hAnsi="標楷體" w:cs="Calibri" w:hint="eastAsia"/>
          <w:kern w:val="0"/>
        </w:rPr>
        <w:t>人員安全調查</w:t>
      </w:r>
      <w:r w:rsidRPr="00293659">
        <w:rPr>
          <w:rFonts w:hAnsi="標楷體" w:hint="eastAsia"/>
          <w:kern w:val="0"/>
        </w:rPr>
        <w:t>、素質提升、</w:t>
      </w:r>
      <w:r w:rsidRPr="00293659">
        <w:rPr>
          <w:rFonts w:hAnsi="標楷體" w:cs="Calibri"/>
          <w:kern w:val="0"/>
        </w:rPr>
        <w:t>教育訓練</w:t>
      </w:r>
      <w:r w:rsidRPr="00293659">
        <w:rPr>
          <w:rFonts w:hAnsi="標楷體" w:hint="eastAsia"/>
          <w:kern w:val="0"/>
        </w:rPr>
        <w:t>、人事成本等</w:t>
      </w:r>
      <w:r w:rsidRPr="00293659">
        <w:rPr>
          <w:rFonts w:hAnsi="標楷體" w:cs="Calibri" w:hint="eastAsia"/>
          <w:kern w:val="0"/>
        </w:rPr>
        <w:t>；</w:t>
      </w:r>
      <w:r w:rsidRPr="00293659">
        <w:rPr>
          <w:rFonts w:hAnsi="標楷體" w:hint="eastAsia"/>
          <w:u w:color="FF0000"/>
        </w:rPr>
        <w:t>採購之衡量指標，包括：</w:t>
      </w:r>
      <w:r w:rsidRPr="00293659">
        <w:rPr>
          <w:rFonts w:hAnsi="標楷體" w:hint="eastAsia"/>
          <w:kern w:val="0"/>
        </w:rPr>
        <w:t>採購作業查核、保密法制、供應商合格認證與管理等，上</w:t>
      </w:r>
      <w:r w:rsidR="009A7885" w:rsidRPr="00293659">
        <w:rPr>
          <w:rFonts w:hAnsi="標楷體" w:hint="eastAsia"/>
        </w:rPr>
        <w:t>述</w:t>
      </w:r>
      <w:proofErr w:type="gramStart"/>
      <w:r w:rsidRPr="00293659">
        <w:rPr>
          <w:rFonts w:hAnsi="標楷體"/>
          <w:u w:color="FF0000"/>
        </w:rPr>
        <w:t>111</w:t>
      </w:r>
      <w:proofErr w:type="gramEnd"/>
      <w:r w:rsidRPr="00293659">
        <w:rPr>
          <w:rFonts w:hAnsi="標楷體"/>
          <w:u w:color="FF0000"/>
        </w:rPr>
        <w:t>年度績效評鑑</w:t>
      </w:r>
      <w:r w:rsidRPr="00293659">
        <w:rPr>
          <w:rFonts w:hAnsi="標楷體" w:hint="eastAsia"/>
          <w:u w:color="FF0000"/>
        </w:rPr>
        <w:t>之</w:t>
      </w:r>
      <w:r w:rsidRPr="00293659">
        <w:rPr>
          <w:rFonts w:hAnsi="標楷體" w:hint="eastAsia"/>
          <w:kern w:val="0"/>
        </w:rPr>
        <w:t>人事與採購等</w:t>
      </w:r>
      <w:r w:rsidRPr="00293659">
        <w:rPr>
          <w:rFonts w:hAnsi="標楷體"/>
          <w:u w:color="FF0000"/>
        </w:rPr>
        <w:t>衡量指標</w:t>
      </w:r>
      <w:r w:rsidRPr="00293659">
        <w:rPr>
          <w:rFonts w:hAnsi="標楷體" w:hint="eastAsia"/>
          <w:u w:color="FF0000"/>
        </w:rPr>
        <w:t>，雖已包括諸多面向，然其</w:t>
      </w:r>
      <w:r w:rsidRPr="00293659">
        <w:rPr>
          <w:rFonts w:hAnsi="標楷體" w:hint="eastAsia"/>
        </w:rPr>
        <w:t>相較於</w:t>
      </w:r>
      <w:r w:rsidRPr="00293659">
        <w:rPr>
          <w:rFonts w:hAnsi="標楷體"/>
        </w:rPr>
        <w:t>行政院人事行政總處</w:t>
      </w:r>
      <w:r w:rsidRPr="00293659">
        <w:rPr>
          <w:rFonts w:hAnsi="標楷體" w:hint="eastAsia"/>
        </w:rPr>
        <w:t>於1</w:t>
      </w:r>
      <w:r w:rsidRPr="00293659">
        <w:rPr>
          <w:rFonts w:hAnsi="標楷體"/>
        </w:rPr>
        <w:t>11年</w:t>
      </w:r>
      <w:r w:rsidRPr="00293659">
        <w:rPr>
          <w:rFonts w:hAnsi="標楷體" w:hint="eastAsia"/>
        </w:rPr>
        <w:t>8</w:t>
      </w:r>
      <w:r w:rsidRPr="00293659">
        <w:rPr>
          <w:rFonts w:hAnsi="標楷體"/>
        </w:rPr>
        <w:t>月</w:t>
      </w:r>
      <w:r w:rsidRPr="00293659">
        <w:rPr>
          <w:rFonts w:hAnsi="標楷體" w:hint="eastAsia"/>
        </w:rPr>
        <w:t>2</w:t>
      </w:r>
      <w:r w:rsidRPr="00293659">
        <w:rPr>
          <w:rFonts w:hAnsi="標楷體"/>
        </w:rPr>
        <w:t>4日</w:t>
      </w:r>
      <w:r w:rsidRPr="00293659">
        <w:rPr>
          <w:rFonts w:hAnsi="標楷體" w:hint="eastAsia"/>
        </w:rPr>
        <w:t>所修正之</w:t>
      </w:r>
      <w:r w:rsidRPr="00293659">
        <w:rPr>
          <w:rFonts w:hAnsi="標楷體"/>
        </w:rPr>
        <w:t>行政法人績效評鑑參考原則</w:t>
      </w:r>
      <w:r w:rsidRPr="00293659">
        <w:rPr>
          <w:rFonts w:hAnsi="標楷體" w:hint="eastAsia"/>
        </w:rPr>
        <w:t>，</w:t>
      </w:r>
      <w:r w:rsidRPr="00293659">
        <w:rPr>
          <w:rFonts w:hAnsi="標楷體"/>
        </w:rPr>
        <w:t>得納入內部控制與稽核作業重大缺失，人事、採購等內部管理事項重大違失情形，以作為營運（業務）績效改進之參考</w:t>
      </w:r>
      <w:r w:rsidRPr="00293659">
        <w:rPr>
          <w:rFonts w:hAnsi="標楷體" w:hint="eastAsia"/>
        </w:rPr>
        <w:t>之規定，似有再精進空間。</w:t>
      </w:r>
      <w:bookmarkEnd w:id="640"/>
      <w:bookmarkEnd w:id="641"/>
      <w:bookmarkEnd w:id="642"/>
      <w:bookmarkEnd w:id="643"/>
      <w:bookmarkEnd w:id="644"/>
      <w:bookmarkEnd w:id="645"/>
      <w:bookmarkEnd w:id="646"/>
    </w:p>
    <w:p w14:paraId="5FAD5B67" w14:textId="77777777" w:rsidR="00E050A9" w:rsidRPr="00AC0BF7" w:rsidRDefault="00E050A9" w:rsidP="00E050A9">
      <w:pPr>
        <w:pStyle w:val="a3"/>
        <w:spacing w:after="120"/>
        <w:ind w:left="482" w:hanging="482"/>
        <w:rPr>
          <w:rFonts w:hAnsi="標楷體"/>
          <w:b/>
          <w:u w:color="FF0000"/>
        </w:rPr>
      </w:pPr>
      <w:r w:rsidRPr="00AC0BF7">
        <w:rPr>
          <w:rFonts w:hAnsi="標楷體" w:hint="eastAsia"/>
          <w:b/>
          <w:u w:color="FF0000"/>
        </w:rPr>
        <w:lastRenderedPageBreak/>
        <w:t>中科院績效評鑑中，人事、採購、經費運用等類別之衡量指標</w:t>
      </w:r>
    </w:p>
    <w:tbl>
      <w:tblPr>
        <w:tblStyle w:val="53"/>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2"/>
        <w:gridCol w:w="1738"/>
        <w:gridCol w:w="6284"/>
      </w:tblGrid>
      <w:tr w:rsidR="00E050A9" w:rsidRPr="00AC0BF7" w14:paraId="4396B64F" w14:textId="77777777" w:rsidTr="00A50734">
        <w:trPr>
          <w:trHeight w:val="630"/>
          <w:tblHeader/>
          <w:jc w:val="center"/>
        </w:trPr>
        <w:tc>
          <w:tcPr>
            <w:tcW w:w="454" w:type="pct"/>
            <w:shd w:val="clear" w:color="auto" w:fill="auto"/>
            <w:vAlign w:val="center"/>
          </w:tcPr>
          <w:p w14:paraId="189858C9" w14:textId="77777777" w:rsidR="00E050A9" w:rsidRPr="00AC0BF7" w:rsidRDefault="00E050A9" w:rsidP="00A50734">
            <w:pPr>
              <w:spacing w:line="400" w:lineRule="exact"/>
              <w:ind w:leftChars="-27" w:left="-92" w:rightChars="-36" w:right="-122"/>
              <w:jc w:val="center"/>
              <w:rPr>
                <w:rFonts w:hAnsi="標楷體" w:cs="Times New Roman"/>
                <w:b/>
                <w:kern w:val="0"/>
                <w:sz w:val="28"/>
                <w:szCs w:val="28"/>
              </w:rPr>
            </w:pPr>
            <w:r w:rsidRPr="00AC0BF7">
              <w:rPr>
                <w:rFonts w:hAnsi="標楷體" w:cs="Times New Roman" w:hint="eastAsia"/>
                <w:b/>
                <w:kern w:val="0"/>
                <w:sz w:val="28"/>
                <w:szCs w:val="28"/>
              </w:rPr>
              <w:t>類別</w:t>
            </w:r>
          </w:p>
        </w:tc>
        <w:tc>
          <w:tcPr>
            <w:tcW w:w="985" w:type="pct"/>
            <w:shd w:val="clear" w:color="auto" w:fill="auto"/>
            <w:vAlign w:val="center"/>
          </w:tcPr>
          <w:p w14:paraId="2792CCBF" w14:textId="77777777" w:rsidR="00E050A9" w:rsidRPr="00AC0BF7" w:rsidRDefault="00E050A9" w:rsidP="00A50734">
            <w:pPr>
              <w:spacing w:line="400" w:lineRule="exact"/>
              <w:jc w:val="center"/>
              <w:rPr>
                <w:rFonts w:hAnsi="標楷體" w:cs="Times New Roman"/>
                <w:b/>
                <w:kern w:val="0"/>
                <w:sz w:val="28"/>
                <w:szCs w:val="28"/>
              </w:rPr>
            </w:pPr>
            <w:r w:rsidRPr="00AC0BF7">
              <w:rPr>
                <w:rFonts w:hAnsi="標楷體" w:cs="Calibri"/>
                <w:b/>
                <w:kern w:val="0"/>
                <w:sz w:val="28"/>
                <w:szCs w:val="28"/>
              </w:rPr>
              <w:t>衡量指標</w:t>
            </w:r>
          </w:p>
        </w:tc>
        <w:tc>
          <w:tcPr>
            <w:tcW w:w="3560" w:type="pct"/>
            <w:shd w:val="clear" w:color="auto" w:fill="auto"/>
            <w:vAlign w:val="center"/>
          </w:tcPr>
          <w:p w14:paraId="45C577EE" w14:textId="77777777" w:rsidR="00E050A9" w:rsidRPr="00AC0BF7" w:rsidRDefault="00E050A9" w:rsidP="00A50734">
            <w:pPr>
              <w:spacing w:line="400" w:lineRule="exact"/>
              <w:jc w:val="center"/>
              <w:rPr>
                <w:rFonts w:hAnsi="標楷體" w:cs="Calibri"/>
                <w:b/>
                <w:kern w:val="0"/>
                <w:sz w:val="28"/>
                <w:szCs w:val="28"/>
              </w:rPr>
            </w:pPr>
            <w:r w:rsidRPr="00AC0BF7">
              <w:rPr>
                <w:rFonts w:hAnsi="標楷體" w:cs="Calibri" w:hint="eastAsia"/>
                <w:b/>
                <w:kern w:val="0"/>
                <w:sz w:val="28"/>
                <w:szCs w:val="28"/>
              </w:rPr>
              <w:t>評鑑內容</w:t>
            </w:r>
          </w:p>
        </w:tc>
      </w:tr>
      <w:tr w:rsidR="00E050A9" w:rsidRPr="00AC0BF7" w14:paraId="22198349" w14:textId="77777777" w:rsidTr="00A50734">
        <w:trPr>
          <w:trHeight w:val="476"/>
          <w:jc w:val="center"/>
        </w:trPr>
        <w:tc>
          <w:tcPr>
            <w:tcW w:w="454" w:type="pct"/>
            <w:vMerge w:val="restart"/>
            <w:vAlign w:val="center"/>
          </w:tcPr>
          <w:p w14:paraId="07DCCE2B" w14:textId="77777777" w:rsidR="00E050A9" w:rsidRPr="00AC0BF7" w:rsidRDefault="00E050A9" w:rsidP="00A50734">
            <w:pPr>
              <w:spacing w:line="400" w:lineRule="exact"/>
              <w:jc w:val="center"/>
              <w:rPr>
                <w:rFonts w:hAnsi="標楷體" w:cs="Times New Roman"/>
                <w:kern w:val="0"/>
                <w:sz w:val="28"/>
                <w:szCs w:val="28"/>
              </w:rPr>
            </w:pPr>
            <w:r w:rsidRPr="00AC0BF7">
              <w:rPr>
                <w:rFonts w:hAnsi="標楷體" w:cs="Calibri"/>
                <w:kern w:val="0"/>
                <w:sz w:val="28"/>
                <w:szCs w:val="28"/>
              </w:rPr>
              <w:t>人事</w:t>
            </w:r>
          </w:p>
        </w:tc>
        <w:tc>
          <w:tcPr>
            <w:tcW w:w="985" w:type="pct"/>
            <w:vAlign w:val="center"/>
          </w:tcPr>
          <w:p w14:paraId="3CDDF674"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機密維護</w:t>
            </w:r>
          </w:p>
        </w:tc>
        <w:tc>
          <w:tcPr>
            <w:tcW w:w="3560" w:type="pct"/>
            <w:vAlign w:val="center"/>
          </w:tcPr>
          <w:p w14:paraId="2A4487C6" w14:textId="77777777" w:rsidR="00E050A9" w:rsidRPr="00AC0BF7" w:rsidRDefault="00E050A9" w:rsidP="00A50734">
            <w:pPr>
              <w:spacing w:line="320" w:lineRule="exact"/>
              <w:rPr>
                <w:rFonts w:hAnsi="標楷體" w:cs="Times New Roman"/>
                <w:sz w:val="26"/>
                <w:szCs w:val="26"/>
              </w:rPr>
            </w:pPr>
            <w:proofErr w:type="gramStart"/>
            <w:r w:rsidRPr="00AC0BF7">
              <w:rPr>
                <w:rFonts w:hAnsi="標楷體" w:cs="Times New Roman" w:hint="eastAsia"/>
                <w:sz w:val="26"/>
                <w:szCs w:val="26"/>
              </w:rPr>
              <w:t>接密人員</w:t>
            </w:r>
            <w:proofErr w:type="gramEnd"/>
            <w:r w:rsidRPr="00AC0BF7">
              <w:rPr>
                <w:rFonts w:hAnsi="標楷體" w:cs="Times New Roman" w:hint="eastAsia"/>
                <w:sz w:val="26"/>
                <w:szCs w:val="26"/>
              </w:rPr>
              <w:t>辦理保密區分及安全調查之情形。</w:t>
            </w:r>
          </w:p>
        </w:tc>
      </w:tr>
      <w:tr w:rsidR="00E050A9" w:rsidRPr="00AC0BF7" w14:paraId="0A7B541D" w14:textId="77777777" w:rsidTr="00A50734">
        <w:trPr>
          <w:trHeight w:val="476"/>
          <w:jc w:val="center"/>
        </w:trPr>
        <w:tc>
          <w:tcPr>
            <w:tcW w:w="454" w:type="pct"/>
            <w:vMerge/>
            <w:vAlign w:val="center"/>
          </w:tcPr>
          <w:p w14:paraId="47CE3E84"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4E41343B"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Calibri"/>
                <w:kern w:val="0"/>
                <w:sz w:val="26"/>
                <w:szCs w:val="26"/>
              </w:rPr>
              <w:t>出國業務</w:t>
            </w:r>
          </w:p>
        </w:tc>
        <w:tc>
          <w:tcPr>
            <w:tcW w:w="3560" w:type="pct"/>
            <w:vAlign w:val="center"/>
          </w:tcPr>
          <w:p w14:paraId="367D92F3"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出國人員依規定辦理申請及核定之情形。</w:t>
            </w:r>
          </w:p>
        </w:tc>
      </w:tr>
      <w:tr w:rsidR="00E050A9" w:rsidRPr="00AC0BF7" w14:paraId="007074B7" w14:textId="77777777" w:rsidTr="00A50734">
        <w:trPr>
          <w:trHeight w:val="476"/>
          <w:jc w:val="center"/>
        </w:trPr>
        <w:tc>
          <w:tcPr>
            <w:tcW w:w="454" w:type="pct"/>
            <w:vMerge/>
            <w:vAlign w:val="center"/>
          </w:tcPr>
          <w:p w14:paraId="38569C3A"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6DB41FAE"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Calibri" w:hint="eastAsia"/>
                <w:kern w:val="0"/>
                <w:sz w:val="26"/>
                <w:szCs w:val="26"/>
              </w:rPr>
              <w:t>赴陸管制</w:t>
            </w:r>
          </w:p>
        </w:tc>
        <w:tc>
          <w:tcPr>
            <w:tcW w:w="3560" w:type="pct"/>
            <w:vAlign w:val="center"/>
          </w:tcPr>
          <w:p w14:paraId="32304269"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涉及國家安全人員赴陸依規定辦理申請及核定之情形。</w:t>
            </w:r>
          </w:p>
        </w:tc>
      </w:tr>
      <w:tr w:rsidR="00E050A9" w:rsidRPr="00AC0BF7" w14:paraId="78B39112" w14:textId="77777777" w:rsidTr="00A50734">
        <w:trPr>
          <w:trHeight w:val="476"/>
          <w:jc w:val="center"/>
        </w:trPr>
        <w:tc>
          <w:tcPr>
            <w:tcW w:w="454" w:type="pct"/>
            <w:vMerge/>
            <w:vAlign w:val="center"/>
          </w:tcPr>
          <w:p w14:paraId="753A374A"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55681588"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Calibri" w:hint="eastAsia"/>
                <w:kern w:val="0"/>
                <w:sz w:val="26"/>
                <w:szCs w:val="26"/>
              </w:rPr>
              <w:t>管理績效</w:t>
            </w:r>
          </w:p>
        </w:tc>
        <w:tc>
          <w:tcPr>
            <w:tcW w:w="3560" w:type="pct"/>
            <w:vAlign w:val="center"/>
          </w:tcPr>
          <w:p w14:paraId="150EED55"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設置職業安全衛生管理組織及人員之情形。</w:t>
            </w:r>
          </w:p>
        </w:tc>
      </w:tr>
      <w:tr w:rsidR="00E050A9" w:rsidRPr="00AC0BF7" w14:paraId="61081FE3" w14:textId="77777777" w:rsidTr="00A50734">
        <w:trPr>
          <w:trHeight w:val="476"/>
          <w:jc w:val="center"/>
        </w:trPr>
        <w:tc>
          <w:tcPr>
            <w:tcW w:w="454" w:type="pct"/>
            <w:vMerge/>
            <w:vAlign w:val="center"/>
          </w:tcPr>
          <w:p w14:paraId="1BD14C6A"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476D2F23" w14:textId="77777777" w:rsidR="00E050A9" w:rsidRPr="00AC0BF7" w:rsidRDefault="00E050A9" w:rsidP="00A50734">
            <w:pPr>
              <w:spacing w:line="320" w:lineRule="exact"/>
              <w:ind w:leftChars="-30" w:left="-102" w:rightChars="-35" w:right="-119"/>
              <w:jc w:val="center"/>
              <w:rPr>
                <w:rFonts w:hAnsi="標楷體" w:cs="Times New Roman"/>
                <w:kern w:val="0"/>
                <w:sz w:val="26"/>
                <w:szCs w:val="26"/>
              </w:rPr>
            </w:pPr>
            <w:r w:rsidRPr="00AC0BF7">
              <w:rPr>
                <w:rFonts w:hAnsi="標楷體" w:cs="Calibri" w:hint="eastAsia"/>
                <w:bCs/>
                <w:kern w:val="0"/>
                <w:sz w:val="26"/>
                <w:szCs w:val="26"/>
              </w:rPr>
              <w:t>人員安全調查</w:t>
            </w:r>
          </w:p>
        </w:tc>
        <w:tc>
          <w:tcPr>
            <w:tcW w:w="3560" w:type="pct"/>
            <w:vAlign w:val="center"/>
          </w:tcPr>
          <w:p w14:paraId="42B62722"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專案人員從事及參與國防安全事務，依規定辦理申請及核定之情形。</w:t>
            </w:r>
          </w:p>
        </w:tc>
      </w:tr>
      <w:tr w:rsidR="00E050A9" w:rsidRPr="00AC0BF7" w14:paraId="60F123FC" w14:textId="77777777" w:rsidTr="00A50734">
        <w:trPr>
          <w:trHeight w:val="476"/>
          <w:jc w:val="center"/>
        </w:trPr>
        <w:tc>
          <w:tcPr>
            <w:tcW w:w="454" w:type="pct"/>
            <w:vMerge/>
            <w:vAlign w:val="center"/>
          </w:tcPr>
          <w:p w14:paraId="0FBC2DD2"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41368969"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素質提升</w:t>
            </w:r>
          </w:p>
        </w:tc>
        <w:tc>
          <w:tcPr>
            <w:tcW w:w="3560" w:type="pct"/>
            <w:vAlign w:val="center"/>
          </w:tcPr>
          <w:p w14:paraId="64425CDB"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在職人員進修申請管道設置之情形。</w:t>
            </w:r>
          </w:p>
        </w:tc>
      </w:tr>
      <w:tr w:rsidR="00E050A9" w:rsidRPr="00AC0BF7" w14:paraId="4EDFC8F6" w14:textId="77777777" w:rsidTr="00A50734">
        <w:trPr>
          <w:trHeight w:val="476"/>
          <w:jc w:val="center"/>
        </w:trPr>
        <w:tc>
          <w:tcPr>
            <w:tcW w:w="454" w:type="pct"/>
            <w:vMerge/>
            <w:vAlign w:val="center"/>
          </w:tcPr>
          <w:p w14:paraId="1DFE6001"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42B5B797"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Calibri"/>
                <w:kern w:val="0"/>
                <w:sz w:val="26"/>
                <w:szCs w:val="26"/>
              </w:rPr>
              <w:t>教育訓練</w:t>
            </w:r>
          </w:p>
        </w:tc>
        <w:tc>
          <w:tcPr>
            <w:tcW w:w="3560" w:type="pct"/>
            <w:vAlign w:val="center"/>
          </w:tcPr>
          <w:p w14:paraId="505102A8"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在職人員參與各項教育訓練之情形。</w:t>
            </w:r>
          </w:p>
        </w:tc>
      </w:tr>
      <w:tr w:rsidR="00E050A9" w:rsidRPr="00AC0BF7" w14:paraId="4AD8397A" w14:textId="77777777" w:rsidTr="00A50734">
        <w:trPr>
          <w:trHeight w:val="476"/>
          <w:jc w:val="center"/>
        </w:trPr>
        <w:tc>
          <w:tcPr>
            <w:tcW w:w="454" w:type="pct"/>
            <w:vMerge/>
            <w:vAlign w:val="center"/>
          </w:tcPr>
          <w:p w14:paraId="7A2D6EB7" w14:textId="77777777" w:rsidR="00E050A9" w:rsidRPr="00AC0BF7" w:rsidRDefault="00E050A9" w:rsidP="00A50734">
            <w:pPr>
              <w:spacing w:line="400" w:lineRule="exact"/>
              <w:jc w:val="center"/>
              <w:rPr>
                <w:rFonts w:hAnsi="標楷體" w:cs="Calibri"/>
                <w:kern w:val="0"/>
                <w:sz w:val="28"/>
                <w:szCs w:val="28"/>
              </w:rPr>
            </w:pPr>
          </w:p>
        </w:tc>
        <w:tc>
          <w:tcPr>
            <w:tcW w:w="985" w:type="pct"/>
            <w:vAlign w:val="center"/>
          </w:tcPr>
          <w:p w14:paraId="3BFD4B28"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人事成本</w:t>
            </w:r>
          </w:p>
        </w:tc>
        <w:tc>
          <w:tcPr>
            <w:tcW w:w="3560" w:type="pct"/>
            <w:vAlign w:val="center"/>
          </w:tcPr>
          <w:p w14:paraId="7F390DED"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結合研發任務需要及人事成本控管，評估各類人力需求管制進用之情形。</w:t>
            </w:r>
          </w:p>
        </w:tc>
      </w:tr>
      <w:tr w:rsidR="00E050A9" w:rsidRPr="00AC0BF7" w14:paraId="719D6DBD" w14:textId="77777777" w:rsidTr="00A50734">
        <w:trPr>
          <w:trHeight w:val="476"/>
          <w:jc w:val="center"/>
        </w:trPr>
        <w:tc>
          <w:tcPr>
            <w:tcW w:w="454" w:type="pct"/>
            <w:vMerge w:val="restart"/>
            <w:vAlign w:val="center"/>
          </w:tcPr>
          <w:p w14:paraId="6421EB3D" w14:textId="77777777" w:rsidR="00E050A9" w:rsidRPr="00AC0BF7" w:rsidRDefault="00E050A9" w:rsidP="00A50734">
            <w:pPr>
              <w:spacing w:line="400" w:lineRule="exact"/>
              <w:jc w:val="center"/>
              <w:rPr>
                <w:rFonts w:hAnsi="標楷體" w:cs="Times New Roman"/>
                <w:kern w:val="0"/>
                <w:sz w:val="28"/>
                <w:szCs w:val="28"/>
              </w:rPr>
            </w:pPr>
            <w:r w:rsidRPr="00AC0BF7">
              <w:rPr>
                <w:rFonts w:hAnsi="標楷體" w:cs="Times New Roman" w:hint="eastAsia"/>
                <w:kern w:val="0"/>
                <w:sz w:val="28"/>
                <w:szCs w:val="28"/>
              </w:rPr>
              <w:t>採購</w:t>
            </w:r>
          </w:p>
        </w:tc>
        <w:tc>
          <w:tcPr>
            <w:tcW w:w="985" w:type="pct"/>
            <w:vAlign w:val="center"/>
          </w:tcPr>
          <w:p w14:paraId="044A6EE9" w14:textId="77777777" w:rsidR="00E050A9" w:rsidRPr="00AC0BF7" w:rsidRDefault="00E050A9" w:rsidP="00A50734">
            <w:pPr>
              <w:spacing w:line="320" w:lineRule="exact"/>
              <w:ind w:leftChars="-30" w:left="-102" w:rightChars="-39" w:right="-133"/>
              <w:jc w:val="center"/>
              <w:rPr>
                <w:rFonts w:hAnsi="標楷體" w:cs="Times New Roman"/>
                <w:kern w:val="0"/>
                <w:sz w:val="26"/>
                <w:szCs w:val="26"/>
              </w:rPr>
            </w:pPr>
            <w:r w:rsidRPr="00AC0BF7">
              <w:rPr>
                <w:rFonts w:hAnsi="標楷體" w:cs="Times New Roman" w:hint="eastAsia"/>
                <w:kern w:val="0"/>
                <w:sz w:val="26"/>
                <w:szCs w:val="26"/>
              </w:rPr>
              <w:t>採購作業查核</w:t>
            </w:r>
          </w:p>
        </w:tc>
        <w:tc>
          <w:tcPr>
            <w:tcW w:w="3560" w:type="pct"/>
            <w:vAlign w:val="center"/>
          </w:tcPr>
          <w:p w14:paraId="368D9BC4"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採購作業流程依規定辦理及定期檢討修訂之情形。</w:t>
            </w:r>
          </w:p>
        </w:tc>
      </w:tr>
      <w:tr w:rsidR="00E050A9" w:rsidRPr="00AC0BF7" w14:paraId="2A4BEC0E" w14:textId="77777777" w:rsidTr="00A50734">
        <w:trPr>
          <w:trHeight w:val="476"/>
          <w:jc w:val="center"/>
        </w:trPr>
        <w:tc>
          <w:tcPr>
            <w:tcW w:w="454" w:type="pct"/>
            <w:vMerge/>
            <w:vAlign w:val="center"/>
          </w:tcPr>
          <w:p w14:paraId="3F87ED10" w14:textId="77777777" w:rsidR="00E050A9" w:rsidRPr="00AC0BF7" w:rsidRDefault="00E050A9" w:rsidP="00A50734">
            <w:pPr>
              <w:spacing w:line="400" w:lineRule="exact"/>
              <w:jc w:val="center"/>
              <w:rPr>
                <w:rFonts w:hAnsi="標楷體" w:cs="Times New Roman"/>
                <w:kern w:val="0"/>
                <w:sz w:val="28"/>
                <w:szCs w:val="28"/>
              </w:rPr>
            </w:pPr>
          </w:p>
        </w:tc>
        <w:tc>
          <w:tcPr>
            <w:tcW w:w="985" w:type="pct"/>
            <w:vAlign w:val="center"/>
          </w:tcPr>
          <w:p w14:paraId="5C9E4CF6"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保密法制</w:t>
            </w:r>
          </w:p>
        </w:tc>
        <w:tc>
          <w:tcPr>
            <w:tcW w:w="3560" w:type="pct"/>
            <w:vAlign w:val="center"/>
          </w:tcPr>
          <w:p w14:paraId="3FFB6484" w14:textId="77777777" w:rsidR="00E050A9" w:rsidRPr="00AC0BF7" w:rsidRDefault="00E050A9" w:rsidP="00A50734">
            <w:pPr>
              <w:spacing w:line="320" w:lineRule="exact"/>
              <w:rPr>
                <w:rFonts w:hAnsi="標楷體" w:cs="Times New Roman"/>
                <w:sz w:val="26"/>
                <w:szCs w:val="26"/>
              </w:rPr>
            </w:pPr>
            <w:r w:rsidRPr="00AC0BF7">
              <w:rPr>
                <w:rFonts w:hAnsi="標楷體" w:cs="Times New Roman"/>
                <w:sz w:val="26"/>
                <w:szCs w:val="26"/>
              </w:rPr>
              <w:t>相關採購案</w:t>
            </w:r>
            <w:r w:rsidRPr="00AC0BF7">
              <w:rPr>
                <w:rFonts w:hAnsi="標楷體" w:cs="Times New Roman" w:hint="eastAsia"/>
                <w:sz w:val="26"/>
                <w:szCs w:val="26"/>
              </w:rPr>
              <w:t>（</w:t>
            </w:r>
            <w:r w:rsidRPr="00AC0BF7">
              <w:rPr>
                <w:rFonts w:hAnsi="標楷體" w:cs="Times New Roman"/>
                <w:sz w:val="26"/>
                <w:szCs w:val="26"/>
              </w:rPr>
              <w:t>如零附錄或軍事工程等</w:t>
            </w:r>
            <w:r w:rsidRPr="00AC0BF7">
              <w:rPr>
                <w:rFonts w:hAnsi="標楷體" w:cs="Times New Roman" w:hint="eastAsia"/>
                <w:sz w:val="26"/>
                <w:szCs w:val="26"/>
              </w:rPr>
              <w:t>）</w:t>
            </w:r>
            <w:r w:rsidRPr="00AC0BF7">
              <w:rPr>
                <w:rFonts w:hAnsi="標楷體" w:cs="Times New Roman"/>
                <w:sz w:val="26"/>
                <w:szCs w:val="26"/>
              </w:rPr>
              <w:t>依規定辦理保密規範及程序之情形。</w:t>
            </w:r>
          </w:p>
        </w:tc>
      </w:tr>
      <w:tr w:rsidR="00E050A9" w:rsidRPr="00AC0BF7" w14:paraId="016F489D" w14:textId="77777777" w:rsidTr="00A50734">
        <w:trPr>
          <w:trHeight w:val="476"/>
          <w:jc w:val="center"/>
        </w:trPr>
        <w:tc>
          <w:tcPr>
            <w:tcW w:w="454" w:type="pct"/>
            <w:vMerge/>
            <w:vAlign w:val="center"/>
          </w:tcPr>
          <w:p w14:paraId="3DAB8F3B" w14:textId="77777777" w:rsidR="00E050A9" w:rsidRPr="00AC0BF7" w:rsidRDefault="00E050A9" w:rsidP="00A50734">
            <w:pPr>
              <w:spacing w:line="400" w:lineRule="exact"/>
              <w:jc w:val="center"/>
              <w:rPr>
                <w:rFonts w:hAnsi="標楷體" w:cs="Times New Roman"/>
                <w:kern w:val="0"/>
                <w:sz w:val="28"/>
                <w:szCs w:val="28"/>
              </w:rPr>
            </w:pPr>
          </w:p>
        </w:tc>
        <w:tc>
          <w:tcPr>
            <w:tcW w:w="985" w:type="pct"/>
            <w:vAlign w:val="center"/>
          </w:tcPr>
          <w:p w14:paraId="79A2A279" w14:textId="77777777" w:rsidR="00E050A9" w:rsidRPr="00AC0BF7" w:rsidRDefault="00E050A9" w:rsidP="00A50734">
            <w:pPr>
              <w:spacing w:line="320" w:lineRule="exact"/>
              <w:ind w:leftChars="-17" w:left="-58" w:rightChars="-21" w:right="-71"/>
              <w:jc w:val="center"/>
              <w:rPr>
                <w:rFonts w:hAnsi="標楷體" w:cs="Times New Roman"/>
                <w:kern w:val="0"/>
                <w:sz w:val="26"/>
                <w:szCs w:val="26"/>
              </w:rPr>
            </w:pPr>
            <w:r w:rsidRPr="00AC0BF7">
              <w:rPr>
                <w:rFonts w:hAnsi="標楷體" w:cs="Times New Roman" w:hint="eastAsia"/>
                <w:kern w:val="0"/>
                <w:sz w:val="26"/>
                <w:szCs w:val="26"/>
              </w:rPr>
              <w:t>供應商合格認證與管理</w:t>
            </w:r>
          </w:p>
        </w:tc>
        <w:tc>
          <w:tcPr>
            <w:tcW w:w="3560" w:type="pct"/>
            <w:vAlign w:val="center"/>
          </w:tcPr>
          <w:p w14:paraId="6F3FE634"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合格供應商購案履約結果依規定辦理評核之情形。</w:t>
            </w:r>
          </w:p>
        </w:tc>
      </w:tr>
      <w:tr w:rsidR="00E050A9" w:rsidRPr="00AC0BF7" w14:paraId="0B285655" w14:textId="77777777" w:rsidTr="00A50734">
        <w:trPr>
          <w:trHeight w:val="476"/>
          <w:jc w:val="center"/>
        </w:trPr>
        <w:tc>
          <w:tcPr>
            <w:tcW w:w="454" w:type="pct"/>
            <w:vMerge w:val="restart"/>
            <w:vAlign w:val="center"/>
          </w:tcPr>
          <w:p w14:paraId="25415BEB" w14:textId="77777777" w:rsidR="00E050A9" w:rsidRPr="00AC0BF7" w:rsidRDefault="00E050A9" w:rsidP="00A50734">
            <w:pPr>
              <w:spacing w:line="400" w:lineRule="exact"/>
              <w:jc w:val="center"/>
              <w:rPr>
                <w:rFonts w:hAnsi="標楷體" w:cs="Times New Roman"/>
                <w:kern w:val="0"/>
                <w:sz w:val="28"/>
                <w:szCs w:val="28"/>
              </w:rPr>
            </w:pPr>
            <w:r w:rsidRPr="00AC0BF7">
              <w:rPr>
                <w:rFonts w:hAnsi="標楷體" w:cs="Times New Roman" w:hint="eastAsia"/>
                <w:kern w:val="0"/>
                <w:sz w:val="28"/>
                <w:szCs w:val="28"/>
              </w:rPr>
              <w:t>經費運用</w:t>
            </w:r>
          </w:p>
        </w:tc>
        <w:tc>
          <w:tcPr>
            <w:tcW w:w="985" w:type="pct"/>
            <w:vAlign w:val="center"/>
          </w:tcPr>
          <w:p w14:paraId="577018A4"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原物料</w:t>
            </w:r>
          </w:p>
          <w:p w14:paraId="026E41DB"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週轉率</w:t>
            </w:r>
          </w:p>
        </w:tc>
        <w:tc>
          <w:tcPr>
            <w:tcW w:w="3560" w:type="pct"/>
            <w:vAlign w:val="center"/>
          </w:tcPr>
          <w:p w14:paraId="5AE12A80"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評估原物料庫存之週轉情形，避免</w:t>
            </w:r>
            <w:proofErr w:type="gramStart"/>
            <w:r w:rsidRPr="00AC0BF7">
              <w:rPr>
                <w:rFonts w:hAnsi="標楷體" w:cs="Times New Roman" w:hint="eastAsia"/>
                <w:sz w:val="26"/>
                <w:szCs w:val="26"/>
              </w:rPr>
              <w:t>原物料購而</w:t>
            </w:r>
            <w:proofErr w:type="gramEnd"/>
            <w:r w:rsidRPr="00AC0BF7">
              <w:rPr>
                <w:rFonts w:hAnsi="標楷體" w:cs="Times New Roman" w:hint="eastAsia"/>
                <w:sz w:val="26"/>
                <w:szCs w:val="26"/>
              </w:rPr>
              <w:t>不用，</w:t>
            </w:r>
            <w:proofErr w:type="gramStart"/>
            <w:r w:rsidRPr="00AC0BF7">
              <w:rPr>
                <w:rFonts w:hAnsi="標楷體" w:cs="Times New Roman" w:hint="eastAsia"/>
                <w:sz w:val="26"/>
                <w:szCs w:val="26"/>
              </w:rPr>
              <w:t>增加庫儲成本</w:t>
            </w:r>
            <w:proofErr w:type="gramEnd"/>
            <w:r w:rsidRPr="00AC0BF7">
              <w:rPr>
                <w:rFonts w:hAnsi="標楷體" w:cs="Times New Roman" w:hint="eastAsia"/>
                <w:sz w:val="26"/>
                <w:szCs w:val="26"/>
              </w:rPr>
              <w:t>及積壓資金。</w:t>
            </w:r>
          </w:p>
        </w:tc>
      </w:tr>
      <w:tr w:rsidR="00E050A9" w:rsidRPr="00AC0BF7" w14:paraId="1931A2BC" w14:textId="77777777" w:rsidTr="00A50734">
        <w:trPr>
          <w:trHeight w:val="476"/>
          <w:jc w:val="center"/>
        </w:trPr>
        <w:tc>
          <w:tcPr>
            <w:tcW w:w="454" w:type="pct"/>
            <w:vMerge/>
            <w:vAlign w:val="center"/>
          </w:tcPr>
          <w:p w14:paraId="2584BF97" w14:textId="77777777" w:rsidR="00E050A9" w:rsidRPr="00AC0BF7" w:rsidRDefault="00E050A9" w:rsidP="00A50734">
            <w:pPr>
              <w:spacing w:line="400" w:lineRule="exact"/>
              <w:jc w:val="center"/>
              <w:rPr>
                <w:rFonts w:hAnsi="標楷體" w:cs="Times New Roman"/>
                <w:kern w:val="0"/>
                <w:sz w:val="28"/>
                <w:szCs w:val="28"/>
              </w:rPr>
            </w:pPr>
          </w:p>
        </w:tc>
        <w:tc>
          <w:tcPr>
            <w:tcW w:w="985" w:type="pct"/>
            <w:vAlign w:val="center"/>
          </w:tcPr>
          <w:p w14:paraId="70B6CCFC"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總資產</w:t>
            </w:r>
          </w:p>
          <w:p w14:paraId="2FE2C42D"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週轉率</w:t>
            </w:r>
          </w:p>
        </w:tc>
        <w:tc>
          <w:tcPr>
            <w:tcW w:w="3560" w:type="pct"/>
            <w:vAlign w:val="center"/>
          </w:tcPr>
          <w:p w14:paraId="298CCA17"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評估運用資產創造收入之能力，確保資產運用效率</w:t>
            </w:r>
          </w:p>
        </w:tc>
      </w:tr>
      <w:tr w:rsidR="00E050A9" w:rsidRPr="00AC0BF7" w14:paraId="4818EC10" w14:textId="77777777" w:rsidTr="00A50734">
        <w:trPr>
          <w:trHeight w:val="476"/>
          <w:jc w:val="center"/>
        </w:trPr>
        <w:tc>
          <w:tcPr>
            <w:tcW w:w="454" w:type="pct"/>
            <w:vMerge/>
            <w:vAlign w:val="center"/>
          </w:tcPr>
          <w:p w14:paraId="203CB9A0" w14:textId="77777777" w:rsidR="00E050A9" w:rsidRPr="00AC0BF7" w:rsidRDefault="00E050A9" w:rsidP="00A50734">
            <w:pPr>
              <w:spacing w:line="400" w:lineRule="exact"/>
              <w:jc w:val="center"/>
              <w:rPr>
                <w:rFonts w:hAnsi="標楷體" w:cs="Times New Roman"/>
                <w:kern w:val="0"/>
                <w:sz w:val="28"/>
                <w:szCs w:val="28"/>
              </w:rPr>
            </w:pPr>
          </w:p>
        </w:tc>
        <w:tc>
          <w:tcPr>
            <w:tcW w:w="985" w:type="pct"/>
            <w:vAlign w:val="center"/>
          </w:tcPr>
          <w:p w14:paraId="54A9F2DC" w14:textId="77777777" w:rsidR="00E050A9" w:rsidRPr="00AC0BF7" w:rsidRDefault="00E050A9" w:rsidP="00A50734">
            <w:pPr>
              <w:spacing w:line="320" w:lineRule="exact"/>
              <w:jc w:val="center"/>
              <w:rPr>
                <w:rFonts w:hAnsi="標楷體" w:cs="Times New Roman"/>
                <w:kern w:val="0"/>
                <w:sz w:val="26"/>
                <w:szCs w:val="26"/>
              </w:rPr>
            </w:pPr>
            <w:proofErr w:type="gramStart"/>
            <w:r w:rsidRPr="00AC0BF7">
              <w:rPr>
                <w:rFonts w:hAnsi="標楷體" w:cs="Times New Roman" w:hint="eastAsia"/>
                <w:kern w:val="0"/>
                <w:sz w:val="26"/>
                <w:szCs w:val="26"/>
              </w:rPr>
              <w:t>速動比率</w:t>
            </w:r>
            <w:proofErr w:type="gramEnd"/>
          </w:p>
        </w:tc>
        <w:tc>
          <w:tcPr>
            <w:tcW w:w="3560" w:type="pct"/>
            <w:vAlign w:val="center"/>
          </w:tcPr>
          <w:p w14:paraId="16D6C38E" w14:textId="77777777" w:rsidR="00E050A9" w:rsidRPr="00AC0BF7" w:rsidRDefault="00E050A9" w:rsidP="00A50734">
            <w:pPr>
              <w:spacing w:line="320" w:lineRule="exact"/>
              <w:rPr>
                <w:rFonts w:hAnsi="標楷體" w:cs="Times New Roman"/>
                <w:sz w:val="26"/>
                <w:szCs w:val="26"/>
              </w:rPr>
            </w:pPr>
            <w:proofErr w:type="gramStart"/>
            <w:r w:rsidRPr="00AC0BF7">
              <w:rPr>
                <w:rFonts w:hAnsi="標楷體" w:cs="Times New Roman" w:hint="eastAsia"/>
                <w:sz w:val="26"/>
                <w:szCs w:val="26"/>
              </w:rPr>
              <w:t>評估速動資產</w:t>
            </w:r>
            <w:proofErr w:type="gramEnd"/>
            <w:r w:rsidRPr="00AC0BF7">
              <w:rPr>
                <w:rFonts w:hAnsi="標楷體" w:cs="Times New Roman" w:hint="eastAsia"/>
                <w:sz w:val="26"/>
                <w:szCs w:val="26"/>
              </w:rPr>
              <w:t>轉換現金償還流動負債的能力，確保短期償債之情形。</w:t>
            </w:r>
          </w:p>
        </w:tc>
      </w:tr>
      <w:tr w:rsidR="00E050A9" w:rsidRPr="00AC0BF7" w14:paraId="5016DE80" w14:textId="77777777" w:rsidTr="00A50734">
        <w:trPr>
          <w:trHeight w:val="476"/>
          <w:jc w:val="center"/>
        </w:trPr>
        <w:tc>
          <w:tcPr>
            <w:tcW w:w="454" w:type="pct"/>
            <w:vMerge/>
            <w:vAlign w:val="center"/>
          </w:tcPr>
          <w:p w14:paraId="7F24F49B" w14:textId="77777777" w:rsidR="00E050A9" w:rsidRPr="00AC0BF7" w:rsidRDefault="00E050A9" w:rsidP="00A50734">
            <w:pPr>
              <w:spacing w:line="400" w:lineRule="exact"/>
              <w:jc w:val="center"/>
              <w:rPr>
                <w:rFonts w:hAnsi="標楷體" w:cs="Times New Roman"/>
                <w:kern w:val="0"/>
                <w:sz w:val="28"/>
                <w:szCs w:val="28"/>
              </w:rPr>
            </w:pPr>
          </w:p>
        </w:tc>
        <w:tc>
          <w:tcPr>
            <w:tcW w:w="985" w:type="pct"/>
            <w:vAlign w:val="center"/>
          </w:tcPr>
          <w:p w14:paraId="47C8D37F"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長期負債</w:t>
            </w:r>
          </w:p>
          <w:p w14:paraId="7E668C45"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比率</w:t>
            </w:r>
          </w:p>
        </w:tc>
        <w:tc>
          <w:tcPr>
            <w:tcW w:w="3560" w:type="pct"/>
            <w:vAlign w:val="center"/>
          </w:tcPr>
          <w:p w14:paraId="3F202ACD"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評估整體財務槓桿的運用程度，以監管財務長期運作風險。</w:t>
            </w:r>
          </w:p>
        </w:tc>
      </w:tr>
      <w:tr w:rsidR="00E050A9" w:rsidRPr="00AC0BF7" w14:paraId="69D63E31" w14:textId="77777777" w:rsidTr="00A50734">
        <w:trPr>
          <w:trHeight w:val="476"/>
          <w:jc w:val="center"/>
        </w:trPr>
        <w:tc>
          <w:tcPr>
            <w:tcW w:w="454" w:type="pct"/>
            <w:vMerge/>
            <w:vAlign w:val="center"/>
          </w:tcPr>
          <w:p w14:paraId="1862C126" w14:textId="77777777" w:rsidR="00E050A9" w:rsidRPr="00AC0BF7" w:rsidRDefault="00E050A9" w:rsidP="00A50734">
            <w:pPr>
              <w:spacing w:line="400" w:lineRule="exact"/>
              <w:jc w:val="center"/>
              <w:rPr>
                <w:rFonts w:hAnsi="標楷體" w:cs="Times New Roman"/>
                <w:kern w:val="0"/>
                <w:sz w:val="28"/>
                <w:szCs w:val="28"/>
              </w:rPr>
            </w:pPr>
          </w:p>
        </w:tc>
        <w:tc>
          <w:tcPr>
            <w:tcW w:w="985" w:type="pct"/>
            <w:vAlign w:val="center"/>
          </w:tcPr>
          <w:p w14:paraId="1F9890D2" w14:textId="77777777" w:rsidR="00E050A9" w:rsidRPr="00AC0BF7" w:rsidRDefault="00E050A9" w:rsidP="00A50734">
            <w:pPr>
              <w:spacing w:line="320" w:lineRule="exact"/>
              <w:jc w:val="center"/>
              <w:rPr>
                <w:rFonts w:hAnsi="標楷體" w:cs="Times New Roman"/>
                <w:kern w:val="0"/>
                <w:sz w:val="26"/>
                <w:szCs w:val="26"/>
              </w:rPr>
            </w:pPr>
            <w:r w:rsidRPr="00AC0BF7">
              <w:rPr>
                <w:rFonts w:hAnsi="標楷體" w:cs="Times New Roman" w:hint="eastAsia"/>
                <w:kern w:val="0"/>
                <w:sz w:val="26"/>
                <w:szCs w:val="26"/>
              </w:rPr>
              <w:t>獲利能力</w:t>
            </w:r>
          </w:p>
        </w:tc>
        <w:tc>
          <w:tcPr>
            <w:tcW w:w="3560" w:type="pct"/>
            <w:vAlign w:val="center"/>
          </w:tcPr>
          <w:p w14:paraId="3AF87CBD" w14:textId="77777777" w:rsidR="00E050A9" w:rsidRPr="00AC0BF7" w:rsidRDefault="00E050A9" w:rsidP="00A50734">
            <w:pPr>
              <w:spacing w:line="320" w:lineRule="exact"/>
              <w:rPr>
                <w:rFonts w:hAnsi="標楷體" w:cs="Times New Roman"/>
                <w:sz w:val="26"/>
                <w:szCs w:val="26"/>
              </w:rPr>
            </w:pPr>
            <w:r w:rsidRPr="00AC0BF7">
              <w:rPr>
                <w:rFonts w:hAnsi="標楷體" w:cs="Times New Roman" w:hint="eastAsia"/>
                <w:sz w:val="26"/>
                <w:szCs w:val="26"/>
              </w:rPr>
              <w:t>評估年度決算營運賸餘數達成之情形，確保營運無虧損之風險。</w:t>
            </w:r>
          </w:p>
        </w:tc>
      </w:tr>
    </w:tbl>
    <w:p w14:paraId="078DA0E7" w14:textId="5B1CCE57" w:rsidR="00E050A9" w:rsidRPr="00293659" w:rsidRDefault="00E050A9" w:rsidP="00E050A9">
      <w:pPr>
        <w:spacing w:afterLines="50" w:after="228"/>
      </w:pPr>
      <w:bookmarkStart w:id="647" w:name="_Toc143243898"/>
      <w:bookmarkStart w:id="648" w:name="_Toc143262255"/>
      <w:bookmarkStart w:id="649" w:name="_Toc143263140"/>
      <w:bookmarkStart w:id="650" w:name="_Toc143424339"/>
      <w:bookmarkStart w:id="651" w:name="_Toc144140230"/>
      <w:bookmarkStart w:id="652" w:name="_Toc144211342"/>
      <w:bookmarkStart w:id="653" w:name="_Toc145510604"/>
      <w:r w:rsidRPr="00AC0BF7">
        <w:rPr>
          <w:rFonts w:hAnsi="標楷體" w:hint="eastAsia"/>
          <w:sz w:val="24"/>
          <w:szCs w:val="24"/>
        </w:rPr>
        <w:t>資料來源：國防部。</w:t>
      </w:r>
      <w:bookmarkEnd w:id="647"/>
      <w:bookmarkEnd w:id="648"/>
      <w:bookmarkEnd w:id="649"/>
      <w:bookmarkEnd w:id="650"/>
      <w:bookmarkEnd w:id="651"/>
      <w:bookmarkEnd w:id="652"/>
      <w:bookmarkEnd w:id="653"/>
    </w:p>
    <w:p w14:paraId="0B06830D" w14:textId="6F6B4518" w:rsidR="00E1047E" w:rsidRPr="00293659" w:rsidRDefault="00E1047E" w:rsidP="00E1047E">
      <w:pPr>
        <w:pStyle w:val="2"/>
        <w:numPr>
          <w:ilvl w:val="2"/>
          <w:numId w:val="1"/>
        </w:numPr>
        <w:ind w:left="1360" w:hanging="680"/>
        <w:rPr>
          <w:rFonts w:hAnsi="標楷體"/>
        </w:rPr>
      </w:pPr>
      <w:bookmarkStart w:id="654" w:name="_Toc143243899"/>
      <w:bookmarkStart w:id="655" w:name="_Toc143262256"/>
      <w:bookmarkStart w:id="656" w:name="_Toc143263141"/>
      <w:bookmarkStart w:id="657" w:name="_Toc143424340"/>
      <w:bookmarkStart w:id="658" w:name="_Toc144140231"/>
      <w:bookmarkStart w:id="659" w:name="_Toc144211343"/>
      <w:bookmarkStart w:id="660" w:name="_Toc145510605"/>
      <w:r w:rsidRPr="00293659">
        <w:rPr>
          <w:rFonts w:hAnsi="標楷體" w:hint="eastAsia"/>
        </w:rPr>
        <w:t>又，審計部查核發現，國防部自</w:t>
      </w:r>
      <w:proofErr w:type="gramStart"/>
      <w:r w:rsidRPr="00293659">
        <w:rPr>
          <w:rFonts w:hAnsi="標楷體"/>
        </w:rPr>
        <w:t>106</w:t>
      </w:r>
      <w:proofErr w:type="gramEnd"/>
      <w:r w:rsidRPr="00293659">
        <w:rPr>
          <w:rFonts w:hAnsi="標楷體" w:hint="eastAsia"/>
        </w:rPr>
        <w:t>年度起，始將中科院採購作業納</w:t>
      </w:r>
      <w:proofErr w:type="gramStart"/>
      <w:r w:rsidRPr="00293659">
        <w:rPr>
          <w:rFonts w:hAnsi="標楷體" w:hint="eastAsia"/>
        </w:rPr>
        <w:t>為輔訪工作</w:t>
      </w:r>
      <w:proofErr w:type="gramEnd"/>
      <w:r w:rsidRPr="00293659">
        <w:rPr>
          <w:rFonts w:hAnsi="標楷體" w:hint="eastAsia"/>
        </w:rPr>
        <w:t>項目之</w:t>
      </w:r>
      <w:proofErr w:type="gramStart"/>
      <w:r w:rsidRPr="00293659">
        <w:rPr>
          <w:rFonts w:hAnsi="標楷體" w:hint="eastAsia"/>
        </w:rPr>
        <w:t>一</w:t>
      </w:r>
      <w:proofErr w:type="gramEnd"/>
      <w:r w:rsidRPr="00293659">
        <w:rPr>
          <w:rFonts w:hAnsi="標楷體" w:hint="eastAsia"/>
        </w:rPr>
        <w:t>；且考核重點僅著重適用政府採購法或排</w:t>
      </w:r>
      <w:r w:rsidRPr="0013786E">
        <w:rPr>
          <w:rFonts w:hAnsi="標楷體" w:hint="eastAsia"/>
        </w:rPr>
        <w:t>除</w:t>
      </w:r>
      <w:r w:rsidRPr="0013786E">
        <w:rPr>
          <w:rFonts w:hAnsi="標楷體"/>
        </w:rPr>
        <w:t>GPA</w:t>
      </w:r>
      <w:r w:rsidR="0013786E" w:rsidRPr="0013786E">
        <w:rPr>
          <w:rStyle w:val="aff5"/>
          <w:rFonts w:hAnsi="標楷體"/>
        </w:rPr>
        <w:footnoteReference w:id="1"/>
      </w:r>
      <w:r w:rsidRPr="00293659">
        <w:rPr>
          <w:rFonts w:hAnsi="標楷體" w:hint="eastAsia"/>
        </w:rPr>
        <w:t>條款適用原委等</w:t>
      </w:r>
      <w:r w:rsidRPr="00293659">
        <w:rPr>
          <w:rFonts w:hAnsi="標楷體" w:hint="eastAsia"/>
        </w:rPr>
        <w:lastRenderedPageBreak/>
        <w:t>內容，</w:t>
      </w:r>
      <w:proofErr w:type="gramStart"/>
      <w:r w:rsidRPr="00293659">
        <w:rPr>
          <w:rFonts w:hAnsi="標楷體" w:hint="eastAsia"/>
        </w:rPr>
        <w:t>鮮少抽核中科院</w:t>
      </w:r>
      <w:proofErr w:type="gramEnd"/>
      <w:r w:rsidRPr="00293659">
        <w:rPr>
          <w:rFonts w:hAnsi="標楷體" w:hint="eastAsia"/>
        </w:rPr>
        <w:t>依自行訂定相關採購作業辦理之採購案，瞭解其採購作業實際執行情形及內部控制實施之有效程度，對中科院採購業務之督導量能，尚屬</w:t>
      </w:r>
      <w:proofErr w:type="gramStart"/>
      <w:r w:rsidRPr="00293659">
        <w:rPr>
          <w:rFonts w:hAnsi="標楷體" w:hint="eastAsia"/>
        </w:rPr>
        <w:t>有限乙</w:t>
      </w:r>
      <w:proofErr w:type="gramEnd"/>
      <w:r w:rsidRPr="00293659">
        <w:rPr>
          <w:rFonts w:hAnsi="標楷體" w:hint="eastAsia"/>
        </w:rPr>
        <w:t>節，依國防部回復本院之說明略</w:t>
      </w:r>
      <w:proofErr w:type="gramStart"/>
      <w:r w:rsidRPr="00293659">
        <w:rPr>
          <w:rFonts w:hAnsi="標楷體" w:hint="eastAsia"/>
        </w:rPr>
        <w:t>以</w:t>
      </w:r>
      <w:proofErr w:type="gramEnd"/>
      <w:r w:rsidRPr="00293659">
        <w:rPr>
          <w:rFonts w:hAnsi="標楷體" w:hint="eastAsia"/>
        </w:rPr>
        <w:t>，自中科院轉型後每年度均實施重要工作</w:t>
      </w:r>
      <w:proofErr w:type="gramStart"/>
      <w:r w:rsidRPr="00293659">
        <w:rPr>
          <w:rFonts w:hAnsi="標楷體" w:hint="eastAsia"/>
        </w:rPr>
        <w:t>聯合輔訪</w:t>
      </w:r>
      <w:proofErr w:type="gramEnd"/>
      <w:r w:rsidRPr="00293659">
        <w:rPr>
          <w:rFonts w:hAnsi="標楷體" w:hint="eastAsia"/>
        </w:rPr>
        <w:t>、委託研究發展、生產委製專案計畫執行績效評鑑查核，以及視需要辦理採購專案</w:t>
      </w:r>
      <w:proofErr w:type="gramStart"/>
      <w:r w:rsidRPr="00293659">
        <w:rPr>
          <w:rFonts w:hAnsi="標楷體" w:hint="eastAsia"/>
        </w:rPr>
        <w:t>輔訪，各輔訪</w:t>
      </w:r>
      <w:proofErr w:type="gramEnd"/>
      <w:r w:rsidRPr="00293659">
        <w:rPr>
          <w:rFonts w:hAnsi="標楷體" w:hint="eastAsia"/>
        </w:rPr>
        <w:t>及評鑑實施</w:t>
      </w:r>
      <w:proofErr w:type="gramStart"/>
      <w:r w:rsidRPr="00293659">
        <w:rPr>
          <w:rFonts w:hAnsi="標楷體" w:hint="eastAsia"/>
        </w:rPr>
        <w:t>計畫均排訂</w:t>
      </w:r>
      <w:proofErr w:type="gramEnd"/>
      <w:r w:rsidRPr="00293659">
        <w:rPr>
          <w:rFonts w:hAnsi="標楷體" w:hint="eastAsia"/>
        </w:rPr>
        <w:t>督導「採購作業」項目；中科院現行採購作業規章及規定，</w:t>
      </w:r>
      <w:proofErr w:type="gramStart"/>
      <w:r w:rsidRPr="00293659">
        <w:rPr>
          <w:rFonts w:hAnsi="標楷體" w:hint="eastAsia"/>
        </w:rPr>
        <w:t>均已依據</w:t>
      </w:r>
      <w:proofErr w:type="gramEnd"/>
      <w:r w:rsidRPr="00293659">
        <w:rPr>
          <w:rFonts w:hAnsi="標楷體" w:hint="eastAsia"/>
        </w:rPr>
        <w:t>110年底通過之「海空戰力特別條例」暨國防部訂頒之「海空戰力一定金額以上採購辦法」修訂，</w:t>
      </w:r>
      <w:proofErr w:type="gramStart"/>
      <w:r w:rsidRPr="00293659">
        <w:rPr>
          <w:rFonts w:hAnsi="標楷體" w:hint="eastAsia"/>
        </w:rPr>
        <w:t>該部並於</w:t>
      </w:r>
      <w:proofErr w:type="gramEnd"/>
      <w:r w:rsidRPr="00293659">
        <w:rPr>
          <w:rFonts w:hAnsi="標楷體" w:hint="eastAsia"/>
        </w:rPr>
        <w:t>111年3月9日頒布「國防部監督國家中山科學研究院重點查核執行作法」，每半年重要工作</w:t>
      </w:r>
      <w:proofErr w:type="gramStart"/>
      <w:r w:rsidRPr="00293659">
        <w:rPr>
          <w:rFonts w:hAnsi="標楷體" w:hint="eastAsia"/>
        </w:rPr>
        <w:t>聯合輔訪</w:t>
      </w:r>
      <w:proofErr w:type="gramEnd"/>
      <w:r w:rsidRPr="00293659">
        <w:rPr>
          <w:rFonts w:hAnsi="標楷體" w:hint="eastAsia"/>
        </w:rPr>
        <w:t>(查核要項40項)、每季重點查核(查核要項8項)，</w:t>
      </w:r>
      <w:proofErr w:type="gramStart"/>
      <w:r w:rsidRPr="00293659">
        <w:rPr>
          <w:rFonts w:hAnsi="標楷體" w:hint="eastAsia"/>
        </w:rPr>
        <w:t>均對中科院</w:t>
      </w:r>
      <w:proofErr w:type="gramEnd"/>
      <w:r w:rsidRPr="00293659">
        <w:rPr>
          <w:rFonts w:hAnsi="標楷體" w:hint="eastAsia"/>
        </w:rPr>
        <w:t>實施採購稽核作業，並依據政府採購法及該院「採購作業實施規章」、「採購作業規定」，</w:t>
      </w:r>
      <w:proofErr w:type="gramStart"/>
      <w:r w:rsidRPr="00293659">
        <w:rPr>
          <w:rFonts w:hAnsi="標楷體" w:hint="eastAsia"/>
        </w:rPr>
        <w:t>111</w:t>
      </w:r>
      <w:proofErr w:type="gramEnd"/>
      <w:r w:rsidRPr="00293659">
        <w:rPr>
          <w:rFonts w:hAnsi="標楷體" w:hint="eastAsia"/>
        </w:rPr>
        <w:t>年度隨機抽查案數已逾500案等。國防部後續對中科院實施每半年重要工作</w:t>
      </w:r>
      <w:proofErr w:type="gramStart"/>
      <w:r w:rsidRPr="00293659">
        <w:rPr>
          <w:rFonts w:hAnsi="標楷體" w:hint="eastAsia"/>
        </w:rPr>
        <w:t>聯合輔訪</w:t>
      </w:r>
      <w:proofErr w:type="gramEnd"/>
      <w:r w:rsidRPr="00293659">
        <w:rPr>
          <w:rFonts w:hAnsi="標楷體" w:hint="eastAsia"/>
        </w:rPr>
        <w:t>、每季重點查核及每週專案查核等採購稽核作業之相關作為，允應依據相關規劃內容，持續積極辦理。</w:t>
      </w:r>
      <w:bookmarkEnd w:id="654"/>
      <w:bookmarkEnd w:id="655"/>
      <w:bookmarkEnd w:id="656"/>
      <w:bookmarkEnd w:id="657"/>
      <w:bookmarkEnd w:id="658"/>
      <w:bookmarkEnd w:id="659"/>
      <w:bookmarkEnd w:id="660"/>
    </w:p>
    <w:p w14:paraId="13DE3C4D" w14:textId="65341A99" w:rsidR="00E1047E" w:rsidRPr="00293659" w:rsidRDefault="00E1047E" w:rsidP="00E1047E">
      <w:pPr>
        <w:pStyle w:val="2"/>
        <w:numPr>
          <w:ilvl w:val="2"/>
          <w:numId w:val="1"/>
        </w:numPr>
        <w:ind w:left="1360" w:hanging="680"/>
        <w:rPr>
          <w:rFonts w:hAnsi="標楷體"/>
        </w:rPr>
      </w:pPr>
      <w:bookmarkStart w:id="661" w:name="_Toc143243900"/>
      <w:bookmarkStart w:id="662" w:name="_Toc143262257"/>
      <w:bookmarkStart w:id="663" w:name="_Toc143263142"/>
      <w:bookmarkStart w:id="664" w:name="_Toc143424341"/>
      <w:bookmarkStart w:id="665" w:name="_Toc144140232"/>
      <w:bookmarkStart w:id="666" w:name="_Toc144211344"/>
      <w:bookmarkStart w:id="667" w:name="_Toc145510606"/>
      <w:r w:rsidRPr="00293659">
        <w:rPr>
          <w:rFonts w:hAnsi="標楷體" w:hint="eastAsia"/>
        </w:rPr>
        <w:t>綜上，</w:t>
      </w:r>
      <w:r w:rsidRPr="00293659">
        <w:rPr>
          <w:rFonts w:hAnsi="標楷體"/>
        </w:rPr>
        <w:t>為使行政法人</w:t>
      </w:r>
      <w:r w:rsidRPr="00293659">
        <w:rPr>
          <w:rFonts w:hAnsi="標楷體" w:hint="eastAsia"/>
        </w:rPr>
        <w:t>之</w:t>
      </w:r>
      <w:r w:rsidRPr="00293659">
        <w:rPr>
          <w:rFonts w:hAnsi="標楷體"/>
        </w:rPr>
        <w:t>監督機關（</w:t>
      </w:r>
      <w:r w:rsidRPr="00293659">
        <w:rPr>
          <w:rFonts w:hAnsi="標楷體" w:hint="eastAsia"/>
        </w:rPr>
        <w:t>各</w:t>
      </w:r>
      <w:r w:rsidRPr="00293659">
        <w:rPr>
          <w:rFonts w:hAnsi="標楷體"/>
        </w:rPr>
        <w:t>中央目的事業主管機關）辦理行政法人績效評鑑作業時有所依循，確保績效評鑑作業品質，行政院人事行政總處</w:t>
      </w:r>
      <w:proofErr w:type="gramStart"/>
      <w:r w:rsidRPr="00293659">
        <w:rPr>
          <w:rFonts w:hAnsi="標楷體"/>
        </w:rPr>
        <w:t>特</w:t>
      </w:r>
      <w:proofErr w:type="gramEnd"/>
      <w:r w:rsidRPr="00293659">
        <w:rPr>
          <w:rFonts w:hAnsi="標楷體" w:hint="eastAsia"/>
        </w:rPr>
        <w:t>於1</w:t>
      </w:r>
      <w:r w:rsidRPr="00293659">
        <w:rPr>
          <w:rFonts w:hAnsi="標楷體"/>
        </w:rPr>
        <w:t>01</w:t>
      </w:r>
      <w:r w:rsidRPr="00293659">
        <w:rPr>
          <w:rFonts w:hAnsi="標楷體" w:hint="eastAsia"/>
        </w:rPr>
        <w:t>年1</w:t>
      </w:r>
      <w:r w:rsidRPr="00293659">
        <w:rPr>
          <w:rFonts w:hAnsi="標楷體"/>
        </w:rPr>
        <w:t>0</w:t>
      </w:r>
      <w:r w:rsidRPr="00293659">
        <w:rPr>
          <w:rFonts w:hAnsi="標楷體" w:hint="eastAsia"/>
        </w:rPr>
        <w:t>月2</w:t>
      </w:r>
      <w:r w:rsidRPr="00293659">
        <w:rPr>
          <w:rFonts w:hAnsi="標楷體"/>
        </w:rPr>
        <w:t>6</w:t>
      </w:r>
      <w:r w:rsidRPr="00293659">
        <w:rPr>
          <w:rFonts w:hAnsi="標楷體" w:hint="eastAsia"/>
        </w:rPr>
        <w:t>日</w:t>
      </w:r>
      <w:r w:rsidRPr="00293659">
        <w:rPr>
          <w:rFonts w:hAnsi="標楷體"/>
        </w:rPr>
        <w:t>訂定行政法人績效評鑑參考原則</w:t>
      </w:r>
      <w:r w:rsidRPr="00293659">
        <w:rPr>
          <w:rFonts w:hAnsi="標楷體" w:hint="eastAsia"/>
        </w:rPr>
        <w:t>，</w:t>
      </w:r>
      <w:r w:rsidR="00B779FD" w:rsidRPr="00293659">
        <w:rPr>
          <w:rFonts w:hAnsi="標楷體" w:hint="eastAsia"/>
        </w:rPr>
        <w:t>並</w:t>
      </w:r>
      <w:r w:rsidRPr="00293659">
        <w:rPr>
          <w:rFonts w:hAnsi="標楷體" w:hint="eastAsia"/>
        </w:rPr>
        <w:t>於1</w:t>
      </w:r>
      <w:r w:rsidRPr="00293659">
        <w:rPr>
          <w:rFonts w:hAnsi="標楷體"/>
        </w:rPr>
        <w:t>11年</w:t>
      </w:r>
      <w:r w:rsidRPr="00293659">
        <w:rPr>
          <w:rFonts w:hAnsi="標楷體" w:hint="eastAsia"/>
        </w:rPr>
        <w:t>8</w:t>
      </w:r>
      <w:r w:rsidRPr="00293659">
        <w:rPr>
          <w:rFonts w:hAnsi="標楷體"/>
        </w:rPr>
        <w:t>月</w:t>
      </w:r>
      <w:r w:rsidRPr="00293659">
        <w:rPr>
          <w:rFonts w:hAnsi="標楷體" w:hint="eastAsia"/>
        </w:rPr>
        <w:t>2</w:t>
      </w:r>
      <w:r w:rsidRPr="00293659">
        <w:rPr>
          <w:rFonts w:hAnsi="標楷體"/>
        </w:rPr>
        <w:t>4日</w:t>
      </w:r>
      <w:r w:rsidRPr="00293659">
        <w:rPr>
          <w:rFonts w:hAnsi="標楷體" w:hint="eastAsia"/>
        </w:rPr>
        <w:t>對若干條文與附件內容進行</w:t>
      </w:r>
      <w:r w:rsidRPr="00293659">
        <w:rPr>
          <w:rFonts w:hAnsi="標楷體"/>
        </w:rPr>
        <w:t>修正</w:t>
      </w:r>
      <w:r w:rsidRPr="00293659">
        <w:rPr>
          <w:rFonts w:hAnsi="標楷體" w:hint="eastAsia"/>
        </w:rPr>
        <w:t>，其中</w:t>
      </w:r>
      <w:r w:rsidRPr="00293659">
        <w:rPr>
          <w:rFonts w:hAnsi="標楷體"/>
        </w:rPr>
        <w:t>參酌</w:t>
      </w:r>
      <w:proofErr w:type="gramStart"/>
      <w:r w:rsidRPr="00293659">
        <w:rPr>
          <w:rFonts w:hAnsi="標楷體" w:hint="eastAsia"/>
        </w:rPr>
        <w:t>1</w:t>
      </w:r>
      <w:r w:rsidRPr="00293659">
        <w:rPr>
          <w:rFonts w:hAnsi="標楷體"/>
        </w:rPr>
        <w:t>10</w:t>
      </w:r>
      <w:proofErr w:type="gramEnd"/>
      <w:r w:rsidRPr="00293659">
        <w:rPr>
          <w:rFonts w:hAnsi="標楷體"/>
        </w:rPr>
        <w:t>年度中央政府總決算審核報告就行政法人制度推動情形有關財務</w:t>
      </w:r>
      <w:proofErr w:type="gramStart"/>
      <w:r w:rsidRPr="00293659">
        <w:rPr>
          <w:rFonts w:hAnsi="標楷體"/>
        </w:rPr>
        <w:t>自籌等評鑑</w:t>
      </w:r>
      <w:proofErr w:type="gramEnd"/>
      <w:r w:rsidRPr="00293659">
        <w:rPr>
          <w:rFonts w:hAnsi="標楷體"/>
        </w:rPr>
        <w:t>指標之審核意見，以及</w:t>
      </w:r>
      <w:r w:rsidRPr="00293659">
        <w:rPr>
          <w:rFonts w:hAnsi="標楷體" w:hint="eastAsia"/>
        </w:rPr>
        <w:t>該</w:t>
      </w:r>
      <w:r w:rsidRPr="00293659">
        <w:rPr>
          <w:rFonts w:hAnsi="標楷體"/>
        </w:rPr>
        <w:t>總處「行政法人制度成效評估報告」</w:t>
      </w:r>
      <w:r w:rsidRPr="00293659">
        <w:rPr>
          <w:rFonts w:hAnsi="標楷體" w:hint="eastAsia"/>
        </w:rPr>
        <w:t>，</w:t>
      </w:r>
      <w:r w:rsidRPr="00293659">
        <w:rPr>
          <w:rFonts w:hAnsi="標楷體"/>
        </w:rPr>
        <w:lastRenderedPageBreak/>
        <w:t>為強化內部控制與稽核作業有效性，</w:t>
      </w:r>
      <w:proofErr w:type="gramStart"/>
      <w:r w:rsidRPr="00293659">
        <w:rPr>
          <w:rFonts w:hAnsi="標楷體"/>
        </w:rPr>
        <w:t>爰</w:t>
      </w:r>
      <w:proofErr w:type="gramEnd"/>
      <w:r w:rsidRPr="00293659">
        <w:rPr>
          <w:rFonts w:hAnsi="標楷體"/>
        </w:rPr>
        <w:t>增列評鑑項目及目標之訂定，宜納入內部控制與稽核作業重大缺失及人事、採購、經費運用重大違失情形</w:t>
      </w:r>
      <w:r w:rsidRPr="00293659">
        <w:rPr>
          <w:rFonts w:hAnsi="標楷體" w:hint="eastAsia"/>
        </w:rPr>
        <w:t>，將</w:t>
      </w:r>
      <w:r w:rsidRPr="00293659">
        <w:rPr>
          <w:rFonts w:hAnsi="標楷體"/>
        </w:rPr>
        <w:t>行政法人績效評鑑參考原則</w:t>
      </w:r>
      <w:r w:rsidRPr="00293659">
        <w:rPr>
          <w:rFonts w:hAnsi="標楷體" w:hint="eastAsia"/>
        </w:rPr>
        <w:t>原第6點</w:t>
      </w:r>
      <w:r w:rsidRPr="00293659">
        <w:rPr>
          <w:rFonts w:hAnsi="標楷體"/>
        </w:rPr>
        <w:t>變更</w:t>
      </w:r>
      <w:r w:rsidRPr="00293659">
        <w:rPr>
          <w:rFonts w:hAnsi="標楷體" w:hint="eastAsia"/>
        </w:rPr>
        <w:t>為第7點並增加：「</w:t>
      </w:r>
      <w:r w:rsidRPr="00293659">
        <w:rPr>
          <w:rFonts w:hAnsi="標楷體"/>
        </w:rPr>
        <w:t>另得納入內部控制與稽核作業重大缺失，人事、採購、經費運用等內部管理事項重大違失情形</w:t>
      </w:r>
      <w:r w:rsidRPr="00293659">
        <w:rPr>
          <w:rFonts w:hAnsi="標楷體" w:hint="eastAsia"/>
        </w:rPr>
        <w:t>」等規定內容，期待將行政法人之</w:t>
      </w:r>
      <w:r w:rsidRPr="00293659">
        <w:rPr>
          <w:rFonts w:hAnsi="標楷體"/>
        </w:rPr>
        <w:t>內部控制與稽核作業重大缺失，人事、採購、經費運用等內部管理事項重大違失情形</w:t>
      </w:r>
      <w:r w:rsidRPr="00293659">
        <w:rPr>
          <w:rFonts w:hAnsi="標楷體" w:hint="eastAsia"/>
        </w:rPr>
        <w:t>等</w:t>
      </w:r>
      <w:r w:rsidRPr="00293659">
        <w:rPr>
          <w:rFonts w:hAnsi="標楷體"/>
        </w:rPr>
        <w:t>，</w:t>
      </w:r>
      <w:r w:rsidRPr="00293659">
        <w:rPr>
          <w:rFonts w:hAnsi="標楷體" w:hint="eastAsia"/>
        </w:rPr>
        <w:t>列入各</w:t>
      </w:r>
      <w:r w:rsidRPr="00293659">
        <w:rPr>
          <w:rFonts w:hAnsi="標楷體"/>
        </w:rPr>
        <w:t>中央目的事業主管機關監督行政法人</w:t>
      </w:r>
      <w:r w:rsidRPr="00293659">
        <w:rPr>
          <w:rFonts w:hAnsi="標楷體" w:hint="eastAsia"/>
        </w:rPr>
        <w:t>時之</w:t>
      </w:r>
      <w:r w:rsidRPr="00293659">
        <w:rPr>
          <w:rFonts w:hAnsi="標楷體"/>
        </w:rPr>
        <w:t>評鑑項目</w:t>
      </w:r>
      <w:r w:rsidRPr="00293659">
        <w:rPr>
          <w:rFonts w:hAnsi="標楷體" w:hint="eastAsia"/>
        </w:rPr>
        <w:t>。惟國防部</w:t>
      </w:r>
      <w:r w:rsidRPr="00293659">
        <w:rPr>
          <w:rFonts w:hAnsi="標楷體" w:hint="eastAsia"/>
          <w:spacing w:val="-10"/>
          <w:szCs w:val="32"/>
          <w:u w:color="FF0000"/>
        </w:rPr>
        <w:t>依據</w:t>
      </w:r>
      <w:r w:rsidRPr="00293659">
        <w:rPr>
          <w:rFonts w:hAnsi="標楷體"/>
          <w:spacing w:val="-10"/>
          <w:szCs w:val="32"/>
          <w:u w:color="FF0000"/>
        </w:rPr>
        <w:t>「</w:t>
      </w:r>
      <w:r w:rsidRPr="00293659">
        <w:rPr>
          <w:rFonts w:hAnsi="標楷體" w:hint="eastAsia"/>
          <w:spacing w:val="-10"/>
          <w:szCs w:val="32"/>
          <w:u w:color="FF0000"/>
        </w:rPr>
        <w:t>國防部辦理國家中山科學研究院績效評鑑作業規定</w:t>
      </w:r>
      <w:r w:rsidRPr="00293659">
        <w:rPr>
          <w:rFonts w:hAnsi="標楷體"/>
          <w:spacing w:val="-10"/>
          <w:szCs w:val="32"/>
          <w:u w:color="FF0000"/>
        </w:rPr>
        <w:t>」，</w:t>
      </w:r>
      <w:r w:rsidRPr="00293659">
        <w:rPr>
          <w:rFonts w:hAnsi="標楷體" w:hint="eastAsia"/>
          <w:spacing w:val="-10"/>
          <w:szCs w:val="32"/>
          <w:u w:color="FF0000"/>
        </w:rPr>
        <w:t>對中科院辦理</w:t>
      </w:r>
      <w:r w:rsidRPr="00293659">
        <w:rPr>
          <w:rFonts w:hAnsi="標楷體"/>
          <w:spacing w:val="-10"/>
          <w:szCs w:val="32"/>
          <w:u w:color="FF0000"/>
        </w:rPr>
        <w:t>111年度績效評鑑</w:t>
      </w:r>
      <w:r w:rsidRPr="00293659">
        <w:rPr>
          <w:rFonts w:hAnsi="標楷體" w:hint="eastAsia"/>
          <w:spacing w:val="-10"/>
          <w:szCs w:val="32"/>
          <w:u w:color="FF0000"/>
        </w:rPr>
        <w:t>作業時，其中</w:t>
      </w:r>
      <w:r w:rsidRPr="00293659">
        <w:rPr>
          <w:rFonts w:hAnsi="標楷體" w:hint="eastAsia"/>
          <w:kern w:val="0"/>
          <w:szCs w:val="32"/>
        </w:rPr>
        <w:t>人事與採購等</w:t>
      </w:r>
      <w:r w:rsidRPr="00293659">
        <w:rPr>
          <w:rFonts w:hAnsi="標楷體"/>
          <w:spacing w:val="-10"/>
          <w:szCs w:val="32"/>
          <w:u w:color="FF0000"/>
        </w:rPr>
        <w:t>衡量指標</w:t>
      </w:r>
      <w:r w:rsidRPr="00293659">
        <w:rPr>
          <w:rFonts w:hAnsi="標楷體" w:hint="eastAsia"/>
          <w:spacing w:val="-10"/>
          <w:szCs w:val="32"/>
          <w:u w:color="FF0000"/>
        </w:rPr>
        <w:t>，其</w:t>
      </w:r>
      <w:r w:rsidRPr="00293659">
        <w:rPr>
          <w:rFonts w:hAnsi="標楷體" w:hint="eastAsia"/>
        </w:rPr>
        <w:t>相較於</w:t>
      </w:r>
      <w:r w:rsidRPr="00293659">
        <w:rPr>
          <w:rFonts w:hAnsi="標楷體"/>
        </w:rPr>
        <w:t>行政院人事行政總處</w:t>
      </w:r>
      <w:r w:rsidRPr="00293659">
        <w:rPr>
          <w:rFonts w:hAnsi="標楷體" w:hint="eastAsia"/>
        </w:rPr>
        <w:t>於1</w:t>
      </w:r>
      <w:r w:rsidRPr="00293659">
        <w:rPr>
          <w:rFonts w:hAnsi="標楷體"/>
        </w:rPr>
        <w:t>11年</w:t>
      </w:r>
      <w:r w:rsidRPr="00293659">
        <w:rPr>
          <w:rFonts w:hAnsi="標楷體" w:hint="eastAsia"/>
        </w:rPr>
        <w:t>8</w:t>
      </w:r>
      <w:r w:rsidRPr="00293659">
        <w:rPr>
          <w:rFonts w:hAnsi="標楷體"/>
        </w:rPr>
        <w:t>月</w:t>
      </w:r>
      <w:r w:rsidRPr="00293659">
        <w:rPr>
          <w:rFonts w:hAnsi="標楷體" w:hint="eastAsia"/>
        </w:rPr>
        <w:t>2</w:t>
      </w:r>
      <w:r w:rsidRPr="00293659">
        <w:rPr>
          <w:rFonts w:hAnsi="標楷體"/>
        </w:rPr>
        <w:t>4日</w:t>
      </w:r>
      <w:r w:rsidRPr="00293659">
        <w:rPr>
          <w:rFonts w:hAnsi="標楷體" w:hint="eastAsia"/>
        </w:rPr>
        <w:t>所修正之</w:t>
      </w:r>
      <w:r w:rsidRPr="00293659">
        <w:rPr>
          <w:rFonts w:hAnsi="標楷體"/>
        </w:rPr>
        <w:t>行政法人績效評鑑參考原則</w:t>
      </w:r>
      <w:r w:rsidRPr="00293659">
        <w:rPr>
          <w:rFonts w:hAnsi="標楷體" w:hint="eastAsia"/>
        </w:rPr>
        <w:t>之規定意旨，似仍有</w:t>
      </w:r>
      <w:r w:rsidR="00A77627" w:rsidRPr="00293659">
        <w:rPr>
          <w:rFonts w:hAnsi="標楷體" w:hint="eastAsia"/>
        </w:rPr>
        <w:t>應</w:t>
      </w:r>
      <w:r w:rsidRPr="00293659">
        <w:rPr>
          <w:rFonts w:hAnsi="標楷體" w:hint="eastAsia"/>
        </w:rPr>
        <w:t>再精進空間。</w:t>
      </w:r>
      <w:proofErr w:type="gramStart"/>
      <w:r w:rsidRPr="00293659">
        <w:rPr>
          <w:rFonts w:hAnsi="標楷體" w:hint="eastAsia"/>
        </w:rPr>
        <w:t>另</w:t>
      </w:r>
      <w:proofErr w:type="gramEnd"/>
      <w:r w:rsidRPr="00293659">
        <w:rPr>
          <w:rFonts w:hAnsi="標楷體" w:hint="eastAsia"/>
        </w:rPr>
        <w:t>，依</w:t>
      </w:r>
      <w:r w:rsidRPr="00293659">
        <w:rPr>
          <w:rFonts w:hAnsi="標楷體" w:hint="eastAsia"/>
          <w:szCs w:val="32"/>
        </w:rPr>
        <w:t>國防部說明</w:t>
      </w:r>
      <w:proofErr w:type="gramStart"/>
      <w:r w:rsidRPr="00293659">
        <w:rPr>
          <w:rFonts w:hAnsi="標楷體" w:hint="eastAsia"/>
          <w:szCs w:val="32"/>
        </w:rPr>
        <w:t>該部對中科院</w:t>
      </w:r>
      <w:proofErr w:type="gramEnd"/>
      <w:r w:rsidRPr="00293659">
        <w:rPr>
          <w:rFonts w:hAnsi="標楷體" w:hint="eastAsia"/>
          <w:szCs w:val="32"/>
        </w:rPr>
        <w:t>每半年重要工作</w:t>
      </w:r>
      <w:proofErr w:type="gramStart"/>
      <w:r w:rsidRPr="00293659">
        <w:rPr>
          <w:rFonts w:hAnsi="標楷體" w:hint="eastAsia"/>
          <w:szCs w:val="32"/>
        </w:rPr>
        <w:t>聯合輔訪</w:t>
      </w:r>
      <w:proofErr w:type="gramEnd"/>
      <w:r w:rsidRPr="00293659">
        <w:rPr>
          <w:rFonts w:hAnsi="標楷體" w:hint="eastAsia"/>
          <w:szCs w:val="32"/>
        </w:rPr>
        <w:t>、每季重點查核，</w:t>
      </w:r>
      <w:proofErr w:type="gramStart"/>
      <w:r w:rsidRPr="00293659">
        <w:rPr>
          <w:rFonts w:hAnsi="標楷體" w:hint="eastAsia"/>
          <w:szCs w:val="32"/>
        </w:rPr>
        <w:t>均對該</w:t>
      </w:r>
      <w:proofErr w:type="gramEnd"/>
      <w:r w:rsidRPr="00293659">
        <w:rPr>
          <w:rFonts w:hAnsi="標楷體" w:hint="eastAsia"/>
          <w:szCs w:val="32"/>
        </w:rPr>
        <w:t>院實施採購稽核作業，</w:t>
      </w:r>
      <w:proofErr w:type="gramStart"/>
      <w:r w:rsidRPr="00293659">
        <w:rPr>
          <w:rFonts w:hAnsi="標楷體" w:hint="eastAsia"/>
          <w:szCs w:val="32"/>
        </w:rPr>
        <w:t>111</w:t>
      </w:r>
      <w:proofErr w:type="gramEnd"/>
      <w:r w:rsidRPr="00293659">
        <w:rPr>
          <w:rFonts w:hAnsi="標楷體" w:hint="eastAsia"/>
          <w:szCs w:val="32"/>
        </w:rPr>
        <w:t>年度隨機抽查案數已逾500案等，</w:t>
      </w:r>
      <w:bookmarkEnd w:id="661"/>
      <w:r w:rsidR="00F72D08" w:rsidRPr="00293659">
        <w:rPr>
          <w:rFonts w:hAnsi="標楷體" w:hint="eastAsia"/>
        </w:rPr>
        <w:t>有關</w:t>
      </w:r>
      <w:r w:rsidRPr="00293659">
        <w:rPr>
          <w:rFonts w:hAnsi="標楷體" w:hint="eastAsia"/>
        </w:rPr>
        <w:t>採購稽核作業之相關</w:t>
      </w:r>
      <w:r w:rsidR="000F6931" w:rsidRPr="00293659">
        <w:rPr>
          <w:rFonts w:hAnsi="標楷體" w:hint="eastAsia"/>
        </w:rPr>
        <w:t>監督</w:t>
      </w:r>
      <w:r w:rsidRPr="00293659">
        <w:rPr>
          <w:rFonts w:hAnsi="標楷體" w:hint="eastAsia"/>
        </w:rPr>
        <w:t>作為，允應依據相關規劃內容，持續積極辦理</w:t>
      </w:r>
      <w:r w:rsidR="00B46BD0" w:rsidRPr="00293659">
        <w:rPr>
          <w:rFonts w:hAnsi="標楷體" w:hint="eastAsia"/>
        </w:rPr>
        <w:t>，</w:t>
      </w:r>
      <w:proofErr w:type="gramStart"/>
      <w:r w:rsidR="00B46BD0" w:rsidRPr="00293659">
        <w:rPr>
          <w:rFonts w:hAnsi="標楷體" w:hint="eastAsia"/>
        </w:rPr>
        <w:t>俾</w:t>
      </w:r>
      <w:proofErr w:type="gramEnd"/>
      <w:r w:rsidR="00B46BD0" w:rsidRPr="00293659">
        <w:rPr>
          <w:rFonts w:hAnsi="標楷體" w:hint="eastAsia"/>
        </w:rPr>
        <w:t>確保該院相關內部控制之健全</w:t>
      </w:r>
      <w:r w:rsidRPr="00293659">
        <w:rPr>
          <w:rFonts w:hAnsi="標楷體" w:hint="eastAsia"/>
        </w:rPr>
        <w:t>。</w:t>
      </w:r>
      <w:bookmarkEnd w:id="662"/>
      <w:bookmarkEnd w:id="663"/>
      <w:bookmarkEnd w:id="664"/>
      <w:bookmarkEnd w:id="665"/>
      <w:bookmarkEnd w:id="666"/>
      <w:bookmarkEnd w:id="667"/>
    </w:p>
    <w:bookmarkEnd w:id="65"/>
    <w:bookmarkEnd w:id="66"/>
    <w:p w14:paraId="56289896" w14:textId="77777777" w:rsidR="00864FDB" w:rsidRDefault="00864FDB" w:rsidP="00016908">
      <w:pPr>
        <w:pStyle w:val="2"/>
        <w:numPr>
          <w:ilvl w:val="0"/>
          <w:numId w:val="0"/>
        </w:numPr>
        <w:rPr>
          <w:rFonts w:hAnsi="標楷體"/>
          <w:b/>
        </w:rPr>
      </w:pPr>
    </w:p>
    <w:p w14:paraId="5D9DF539" w14:textId="538B8132" w:rsidR="001F1F1E" w:rsidRPr="0013786E" w:rsidRDefault="00FE208E" w:rsidP="0013786E">
      <w:pPr>
        <w:spacing w:beforeLines="50" w:before="228" w:afterLines="100" w:after="457"/>
        <w:ind w:firstLineChars="300" w:firstLine="1334"/>
        <w:rPr>
          <w:b/>
          <w:bCs/>
          <w:spacing w:val="12"/>
          <w:kern w:val="0"/>
          <w:sz w:val="40"/>
        </w:rPr>
      </w:pPr>
      <w:bookmarkStart w:id="668" w:name="_Toc524895649"/>
      <w:bookmarkStart w:id="669" w:name="_Toc524896195"/>
      <w:bookmarkStart w:id="670" w:name="_Toc524896225"/>
      <w:bookmarkStart w:id="671" w:name="_Toc2400396"/>
      <w:bookmarkStart w:id="672" w:name="_Toc4316190"/>
      <w:bookmarkStart w:id="673" w:name="_Toc4473331"/>
      <w:bookmarkStart w:id="674" w:name="_Toc69556898"/>
      <w:bookmarkStart w:id="675" w:name="_Toc69556947"/>
      <w:bookmarkStart w:id="676" w:name="_Toc69609821"/>
      <w:bookmarkStart w:id="677" w:name="_Toc70241817"/>
      <w:bookmarkStart w:id="678" w:name="_Toc70242206"/>
      <w:bookmarkStart w:id="679" w:name="_Toc524902735"/>
      <w:bookmarkStart w:id="680" w:name="_Toc525066149"/>
      <w:bookmarkStart w:id="681" w:name="_Toc525070840"/>
      <w:bookmarkStart w:id="682" w:name="_Toc525938380"/>
      <w:bookmarkStart w:id="683" w:name="_Toc525939228"/>
      <w:bookmarkStart w:id="684" w:name="_Toc525939733"/>
      <w:bookmarkStart w:id="685" w:name="_Toc529218273"/>
      <w:bookmarkStart w:id="686" w:name="_Toc529222690"/>
      <w:bookmarkStart w:id="687" w:name="_Toc529223112"/>
      <w:bookmarkStart w:id="688" w:name="_Toc529223863"/>
      <w:bookmarkStart w:id="689" w:name="_Toc529228266"/>
      <w:bookmarkEnd w:id="62"/>
      <w:bookmarkEnd w:id="668"/>
      <w:bookmarkEnd w:id="669"/>
      <w:bookmarkEnd w:id="670"/>
      <w:r w:rsidRPr="0013786E">
        <w:rPr>
          <w:rFonts w:hint="eastAsia"/>
          <w:b/>
          <w:bCs/>
          <w:spacing w:val="12"/>
          <w:kern w:val="0"/>
          <w:sz w:val="40"/>
        </w:rPr>
        <w:t>調查委員：</w:t>
      </w:r>
      <w:r w:rsidRPr="0013786E">
        <w:rPr>
          <w:rFonts w:hAnsi="標楷體" w:hint="eastAsia"/>
          <w:b/>
          <w:bCs/>
          <w:spacing w:val="12"/>
          <w:kern w:val="0"/>
          <w:sz w:val="40"/>
        </w:rPr>
        <w:t>王美玉</w:t>
      </w:r>
      <w:r w:rsidR="0013786E" w:rsidRPr="0013786E">
        <w:rPr>
          <w:rFonts w:hAnsi="標楷體" w:hint="eastAsia"/>
          <w:b/>
          <w:bCs/>
          <w:spacing w:val="12"/>
          <w:kern w:val="0"/>
          <w:sz w:val="40"/>
        </w:rPr>
        <w:t xml:space="preserve"> </w:t>
      </w:r>
      <w:r w:rsidRPr="0013786E">
        <w:rPr>
          <w:rFonts w:hAnsi="標楷體" w:hint="eastAsia"/>
          <w:b/>
          <w:bCs/>
          <w:spacing w:val="12"/>
          <w:kern w:val="0"/>
          <w:sz w:val="40"/>
        </w:rPr>
        <w:t>賴鼎銘</w:t>
      </w:r>
      <w:r w:rsidR="0013786E" w:rsidRPr="0013786E">
        <w:rPr>
          <w:rFonts w:hAnsi="標楷體" w:hint="eastAsia"/>
          <w:b/>
          <w:bCs/>
          <w:spacing w:val="12"/>
          <w:kern w:val="0"/>
          <w:sz w:val="40"/>
        </w:rPr>
        <w:t xml:space="preserve"> </w:t>
      </w:r>
      <w:r w:rsidRPr="0013786E">
        <w:rPr>
          <w:rFonts w:hAnsi="標楷體" w:hint="eastAsia"/>
          <w:b/>
          <w:bCs/>
          <w:spacing w:val="12"/>
          <w:kern w:val="0"/>
          <w:sz w:val="40"/>
        </w:rPr>
        <w:t>蕭自佑</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29F7587D" w14:textId="0F73BA51" w:rsidR="00B77D18" w:rsidRPr="00293659" w:rsidRDefault="00B77D18" w:rsidP="00FE208E">
      <w:pPr>
        <w:pStyle w:val="af3"/>
        <w:kinsoku/>
        <w:autoSpaceDE w:val="0"/>
        <w:ind w:left="1044" w:hangingChars="307" w:hanging="1044"/>
        <w:rPr>
          <w:rFonts w:hAnsi="標楷體"/>
          <w:bCs/>
        </w:rPr>
      </w:pPr>
    </w:p>
    <w:sectPr w:rsidR="00B77D18" w:rsidRPr="00293659" w:rsidSect="006435F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9"/>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C1az2EI2oPXzAA" wne:acdName="acd0" wne:fciIndexBasedOn="0065"/>
    <wne:acd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 wne:argValue="AgAxAF8AtWs9hCNqD18="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690B" w14:textId="77777777" w:rsidR="00B218C1" w:rsidRDefault="00B218C1">
      <w:r>
        <w:separator/>
      </w:r>
    </w:p>
  </w:endnote>
  <w:endnote w:type="continuationSeparator" w:id="0">
    <w:p w14:paraId="6FA6C51F" w14:textId="77777777" w:rsidR="00B218C1" w:rsidRDefault="00B2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HiddenVert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A910" w14:textId="77777777" w:rsidR="0050214A" w:rsidRDefault="0050214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38</w:t>
    </w:r>
    <w:r>
      <w:rPr>
        <w:rStyle w:val="ae"/>
        <w:sz w:val="24"/>
      </w:rPr>
      <w:fldChar w:fldCharType="end"/>
    </w:r>
  </w:p>
  <w:p w14:paraId="2DA69272" w14:textId="77777777" w:rsidR="0050214A" w:rsidRDefault="0050214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CCAF2" w14:textId="77777777" w:rsidR="00B218C1" w:rsidRDefault="00B218C1">
      <w:r>
        <w:separator/>
      </w:r>
    </w:p>
  </w:footnote>
  <w:footnote w:type="continuationSeparator" w:id="0">
    <w:p w14:paraId="5EC3C7F4" w14:textId="77777777" w:rsidR="00B218C1" w:rsidRDefault="00B218C1">
      <w:r>
        <w:continuationSeparator/>
      </w:r>
    </w:p>
  </w:footnote>
  <w:footnote w:id="1">
    <w:p w14:paraId="0146AFC5" w14:textId="3A8C9A75" w:rsidR="0013786E" w:rsidRDefault="0013786E">
      <w:pPr>
        <w:pStyle w:val="aff3"/>
      </w:pPr>
      <w:r>
        <w:rPr>
          <w:rStyle w:val="aff5"/>
        </w:rPr>
        <w:footnoteRef/>
      </w:r>
      <w:r>
        <w:t xml:space="preserve"> </w:t>
      </w:r>
      <w:r w:rsidRPr="0013786E">
        <w:rPr>
          <w:rFonts w:hint="eastAsia"/>
        </w:rPr>
        <w:t>政府採購協定（</w:t>
      </w:r>
      <w:r w:rsidRPr="0013786E">
        <w:t>Agreement on Government Procurement ,GPA</w:t>
      </w:r>
      <w:r w:rsidRPr="0013786E">
        <w:rPr>
          <w:rFonts w:hint="eastAsia"/>
        </w:rPr>
        <w:t>）係規範政府採購權利義務之國際框架，目的係降低對國內產品及供應商的保護，減少對外國產品及供應商的歧視，增加透明度以及建立磋商、監督和爭端解決機制。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3C29"/>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6691E"/>
    <w:multiLevelType w:val="hybridMultilevel"/>
    <w:tmpl w:val="322413B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3270FF"/>
    <w:multiLevelType w:val="hybridMultilevel"/>
    <w:tmpl w:val="50AE7334"/>
    <w:lvl w:ilvl="0" w:tplc="919A2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4C26AB"/>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A62EA4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hAnsi="Times New Roman" w:cs="Times New Roman"/>
        <w:b w:val="0"/>
        <w:bCs w:val="0"/>
        <w:i w:val="0"/>
        <w:iCs w:val="0"/>
        <w:caps w:val="0"/>
        <w:smallCaps w:val="0"/>
        <w:strike w:val="0"/>
        <w:dstrike w:val="0"/>
        <w:outline w:val="0"/>
        <w:shadow w:val="0"/>
        <w:emboss w:val="0"/>
        <w:imprint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674" w:hanging="681"/>
      </w:pPr>
      <w:rPr>
        <w:rFonts w:hAnsi="Times New Roman" w:cs="Times New Roman"/>
        <w:b w:val="0"/>
        <w:bCs w:val="0"/>
        <w:i w:val="0"/>
        <w:iCs w:val="0"/>
        <w:caps w:val="0"/>
        <w:smallCaps w:val="0"/>
        <w:strike w:val="0"/>
        <w:dstrike w:val="0"/>
        <w:outline w:val="0"/>
        <w:shadow w:val="0"/>
        <w:emboss w:val="0"/>
        <w:imprint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hAnsi="Times New Roman" w:cs="Times New Roman"/>
        <w:b w:val="0"/>
        <w:bCs w:val="0"/>
        <w:i w:val="0"/>
        <w:iCs w:val="0"/>
        <w:caps w:val="0"/>
        <w:smallCaps w:val="0"/>
        <w:strike w:val="0"/>
        <w:dstrike w:val="0"/>
        <w:outline w:val="0"/>
        <w:shadow w:val="0"/>
        <w:emboss w:val="0"/>
        <w:imprint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C958CF"/>
    <w:multiLevelType w:val="hybridMultilevel"/>
    <w:tmpl w:val="E006D5AC"/>
    <w:lvl w:ilvl="0" w:tplc="4986F38C">
      <w:start w:val="1"/>
      <w:numFmt w:val="decimal"/>
      <w:lvlText w:val="%1."/>
      <w:lvlJc w:val="left"/>
      <w:pPr>
        <w:ind w:left="329" w:hanging="36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8" w15:restartNumberingAfterBreak="0">
    <w:nsid w:val="27E64A92"/>
    <w:multiLevelType w:val="hybridMultilevel"/>
    <w:tmpl w:val="2DDA85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E621E51"/>
    <w:multiLevelType w:val="hybridMultilevel"/>
    <w:tmpl w:val="C18C8FD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35BE725E"/>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9B029D"/>
    <w:multiLevelType w:val="hybridMultilevel"/>
    <w:tmpl w:val="BE52DF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E37618"/>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7AD0FAD0"/>
    <w:lvl w:ilvl="0" w:tplc="AA3673F6">
      <w:start w:val="1"/>
      <w:numFmt w:val="decimal"/>
      <w:pStyle w:val="a3"/>
      <w:lvlText w:val="表%1　"/>
      <w:lvlJc w:val="left"/>
      <w:pPr>
        <w:ind w:left="480" w:hanging="480"/>
      </w:pPr>
      <w:rPr>
        <w:rFonts w:ascii="標楷體" w:eastAsia="標楷體" w:hint="eastAsia"/>
        <w:b/>
        <w:bCs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020312F"/>
    <w:multiLevelType w:val="hybridMultilevel"/>
    <w:tmpl w:val="1A4C14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7C188F"/>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C8522B"/>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39588B"/>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8839FE"/>
    <w:multiLevelType w:val="hybridMultilevel"/>
    <w:tmpl w:val="50AE7334"/>
    <w:lvl w:ilvl="0" w:tplc="919A2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2"/>
  </w:num>
  <w:num w:numId="4">
    <w:abstractNumId w:val="15"/>
  </w:num>
  <w:num w:numId="5">
    <w:abstractNumId w:val="12"/>
  </w:num>
  <w:num w:numId="6">
    <w:abstractNumId w:val="17"/>
  </w:num>
  <w:num w:numId="7">
    <w:abstractNumId w:val="5"/>
  </w:num>
  <w:num w:numId="8">
    <w:abstractNumId w:val="18"/>
  </w:num>
  <w:num w:numId="9">
    <w:abstractNumId w:val="14"/>
  </w:num>
  <w:num w:numId="10">
    <w:abstractNumId w:val="1"/>
  </w:num>
  <w:num w:numId="11">
    <w:abstractNumId w:val="11"/>
  </w:num>
  <w:num w:numId="12">
    <w:abstractNumId w:val="16"/>
  </w:num>
  <w:num w:numId="13">
    <w:abstractNumId w:val="9"/>
  </w:num>
  <w:num w:numId="14">
    <w:abstractNumId w:val="19"/>
  </w:num>
  <w:num w:numId="15">
    <w:abstractNumId w:val="21"/>
  </w:num>
  <w:num w:numId="16">
    <w:abstractNumId w:val="4"/>
  </w:num>
  <w:num w:numId="17">
    <w:abstractNumId w:val="20"/>
  </w:num>
  <w:num w:numId="18">
    <w:abstractNumId w:val="0"/>
  </w:num>
  <w:num w:numId="19">
    <w:abstractNumId w:val="7"/>
  </w:num>
  <w:num w:numId="20">
    <w:abstractNumId w:val="8"/>
  </w:num>
  <w:num w:numId="21">
    <w:abstractNumId w:val="10"/>
  </w:num>
  <w:num w:numId="22">
    <w:abstractNumId w:val="13"/>
  </w:num>
  <w:num w:numId="23">
    <w:abstractNumId w:val="22"/>
  </w:num>
  <w:num w:numId="24">
    <w:abstractNumId w:val="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5"/>
  </w:num>
  <w:num w:numId="29">
    <w:abstractNumId w:val="5"/>
  </w:num>
  <w:num w:numId="30">
    <w:abstractNumId w:val="5"/>
  </w:num>
  <w:num w:numId="31">
    <w:abstractNumId w:val="5"/>
  </w:num>
  <w:num w:numId="32">
    <w:abstractNumId w:val="5"/>
  </w:num>
  <w:num w:numId="33">
    <w:abstractNumId w:val="5"/>
  </w:num>
  <w:num w:numId="34">
    <w:abstractNumId w:val="15"/>
  </w:num>
  <w:num w:numId="35">
    <w:abstractNumId w:val="12"/>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723"/>
    <w:rsid w:val="00006961"/>
    <w:rsid w:val="00006E93"/>
    <w:rsid w:val="00010E64"/>
    <w:rsid w:val="000112BF"/>
    <w:rsid w:val="00012233"/>
    <w:rsid w:val="00015F2A"/>
    <w:rsid w:val="00016908"/>
    <w:rsid w:val="00017318"/>
    <w:rsid w:val="0002252F"/>
    <w:rsid w:val="000229AD"/>
    <w:rsid w:val="000246F7"/>
    <w:rsid w:val="00026B9B"/>
    <w:rsid w:val="0003114D"/>
    <w:rsid w:val="00036D76"/>
    <w:rsid w:val="0004161B"/>
    <w:rsid w:val="000424A8"/>
    <w:rsid w:val="00042BA7"/>
    <w:rsid w:val="00050F25"/>
    <w:rsid w:val="00051E22"/>
    <w:rsid w:val="00056BF7"/>
    <w:rsid w:val="00057F32"/>
    <w:rsid w:val="00062A25"/>
    <w:rsid w:val="00067711"/>
    <w:rsid w:val="00070765"/>
    <w:rsid w:val="00073CB5"/>
    <w:rsid w:val="0007425C"/>
    <w:rsid w:val="00077553"/>
    <w:rsid w:val="000851A2"/>
    <w:rsid w:val="00086345"/>
    <w:rsid w:val="00086CB3"/>
    <w:rsid w:val="00090055"/>
    <w:rsid w:val="0009352E"/>
    <w:rsid w:val="00093843"/>
    <w:rsid w:val="00096B96"/>
    <w:rsid w:val="000A07A0"/>
    <w:rsid w:val="000A0DC8"/>
    <w:rsid w:val="000A1D09"/>
    <w:rsid w:val="000A2F3F"/>
    <w:rsid w:val="000A49D6"/>
    <w:rsid w:val="000B0B4A"/>
    <w:rsid w:val="000B10B1"/>
    <w:rsid w:val="000B1F52"/>
    <w:rsid w:val="000B2623"/>
    <w:rsid w:val="000B279A"/>
    <w:rsid w:val="000B3287"/>
    <w:rsid w:val="000B48AD"/>
    <w:rsid w:val="000B61D2"/>
    <w:rsid w:val="000B70A7"/>
    <w:rsid w:val="000B7268"/>
    <w:rsid w:val="000B73DD"/>
    <w:rsid w:val="000B7847"/>
    <w:rsid w:val="000C0EFA"/>
    <w:rsid w:val="000C22AD"/>
    <w:rsid w:val="000C495F"/>
    <w:rsid w:val="000C5556"/>
    <w:rsid w:val="000D0BEB"/>
    <w:rsid w:val="000D1341"/>
    <w:rsid w:val="000D4629"/>
    <w:rsid w:val="000D66D9"/>
    <w:rsid w:val="000D7913"/>
    <w:rsid w:val="000E0EC7"/>
    <w:rsid w:val="000E199A"/>
    <w:rsid w:val="000E1C3B"/>
    <w:rsid w:val="000E6431"/>
    <w:rsid w:val="000F166A"/>
    <w:rsid w:val="000F21A5"/>
    <w:rsid w:val="000F6931"/>
    <w:rsid w:val="00100A24"/>
    <w:rsid w:val="00102B9F"/>
    <w:rsid w:val="00104000"/>
    <w:rsid w:val="00106D38"/>
    <w:rsid w:val="00107C74"/>
    <w:rsid w:val="0011147D"/>
    <w:rsid w:val="00112637"/>
    <w:rsid w:val="00112ABC"/>
    <w:rsid w:val="00113625"/>
    <w:rsid w:val="00113639"/>
    <w:rsid w:val="00114709"/>
    <w:rsid w:val="00117263"/>
    <w:rsid w:val="0012001E"/>
    <w:rsid w:val="00121FE5"/>
    <w:rsid w:val="00124B75"/>
    <w:rsid w:val="00126A55"/>
    <w:rsid w:val="00130B05"/>
    <w:rsid w:val="001310FD"/>
    <w:rsid w:val="00131B32"/>
    <w:rsid w:val="00131C42"/>
    <w:rsid w:val="00133F08"/>
    <w:rsid w:val="001345E6"/>
    <w:rsid w:val="00134DE5"/>
    <w:rsid w:val="0013786E"/>
    <w:rsid w:val="001378B0"/>
    <w:rsid w:val="00141254"/>
    <w:rsid w:val="00142E00"/>
    <w:rsid w:val="00147511"/>
    <w:rsid w:val="001517A8"/>
    <w:rsid w:val="00152793"/>
    <w:rsid w:val="0015282E"/>
    <w:rsid w:val="00153B7E"/>
    <w:rsid w:val="001545A9"/>
    <w:rsid w:val="001572F6"/>
    <w:rsid w:val="00160D2B"/>
    <w:rsid w:val="0016115F"/>
    <w:rsid w:val="001637C7"/>
    <w:rsid w:val="0016480E"/>
    <w:rsid w:val="00164FC3"/>
    <w:rsid w:val="00166D40"/>
    <w:rsid w:val="00170DDD"/>
    <w:rsid w:val="00174297"/>
    <w:rsid w:val="00175E48"/>
    <w:rsid w:val="001800B4"/>
    <w:rsid w:val="00180740"/>
    <w:rsid w:val="00180E06"/>
    <w:rsid w:val="001817B3"/>
    <w:rsid w:val="0018208F"/>
    <w:rsid w:val="00182236"/>
    <w:rsid w:val="00183014"/>
    <w:rsid w:val="0018313C"/>
    <w:rsid w:val="00184AC0"/>
    <w:rsid w:val="00187926"/>
    <w:rsid w:val="001926D1"/>
    <w:rsid w:val="00192B5A"/>
    <w:rsid w:val="0019391B"/>
    <w:rsid w:val="001959C2"/>
    <w:rsid w:val="001A50DE"/>
    <w:rsid w:val="001A51E3"/>
    <w:rsid w:val="001A7968"/>
    <w:rsid w:val="001A7A15"/>
    <w:rsid w:val="001B02A1"/>
    <w:rsid w:val="001B2E98"/>
    <w:rsid w:val="001B3483"/>
    <w:rsid w:val="001B3C1E"/>
    <w:rsid w:val="001B4494"/>
    <w:rsid w:val="001B4CA8"/>
    <w:rsid w:val="001C0D8B"/>
    <w:rsid w:val="001C0DA8"/>
    <w:rsid w:val="001C2669"/>
    <w:rsid w:val="001C28BA"/>
    <w:rsid w:val="001C3C02"/>
    <w:rsid w:val="001C4F8E"/>
    <w:rsid w:val="001C55DF"/>
    <w:rsid w:val="001C6482"/>
    <w:rsid w:val="001D25FE"/>
    <w:rsid w:val="001D3451"/>
    <w:rsid w:val="001D4AD7"/>
    <w:rsid w:val="001D6C8B"/>
    <w:rsid w:val="001E0D8A"/>
    <w:rsid w:val="001E15F1"/>
    <w:rsid w:val="001E1DDA"/>
    <w:rsid w:val="001E246F"/>
    <w:rsid w:val="001E3091"/>
    <w:rsid w:val="001E54DA"/>
    <w:rsid w:val="001E67BA"/>
    <w:rsid w:val="001E74C2"/>
    <w:rsid w:val="001E7E3E"/>
    <w:rsid w:val="001F16BF"/>
    <w:rsid w:val="001F1F1E"/>
    <w:rsid w:val="001F2ACD"/>
    <w:rsid w:val="001F2E76"/>
    <w:rsid w:val="001F3B3A"/>
    <w:rsid w:val="001F4F82"/>
    <w:rsid w:val="001F5A48"/>
    <w:rsid w:val="001F6260"/>
    <w:rsid w:val="00200007"/>
    <w:rsid w:val="002030A5"/>
    <w:rsid w:val="00203131"/>
    <w:rsid w:val="00205672"/>
    <w:rsid w:val="00205844"/>
    <w:rsid w:val="00212E88"/>
    <w:rsid w:val="00213C9C"/>
    <w:rsid w:val="0021438A"/>
    <w:rsid w:val="002143A4"/>
    <w:rsid w:val="0022009E"/>
    <w:rsid w:val="00221FF4"/>
    <w:rsid w:val="00223241"/>
    <w:rsid w:val="00223547"/>
    <w:rsid w:val="0022425C"/>
    <w:rsid w:val="002246DE"/>
    <w:rsid w:val="00233CBF"/>
    <w:rsid w:val="00240866"/>
    <w:rsid w:val="0024122E"/>
    <w:rsid w:val="002429E2"/>
    <w:rsid w:val="00245D8D"/>
    <w:rsid w:val="002517B1"/>
    <w:rsid w:val="00252BC4"/>
    <w:rsid w:val="00254014"/>
    <w:rsid w:val="00254B39"/>
    <w:rsid w:val="00257C0B"/>
    <w:rsid w:val="0026032D"/>
    <w:rsid w:val="002604EE"/>
    <w:rsid w:val="00261302"/>
    <w:rsid w:val="0026188B"/>
    <w:rsid w:val="00265046"/>
    <w:rsid w:val="0026504D"/>
    <w:rsid w:val="002707F5"/>
    <w:rsid w:val="00273A2F"/>
    <w:rsid w:val="002747DA"/>
    <w:rsid w:val="00280986"/>
    <w:rsid w:val="00281ECE"/>
    <w:rsid w:val="002831C7"/>
    <w:rsid w:val="002840C6"/>
    <w:rsid w:val="002927A9"/>
    <w:rsid w:val="00293659"/>
    <w:rsid w:val="00294E70"/>
    <w:rsid w:val="00295174"/>
    <w:rsid w:val="00296172"/>
    <w:rsid w:val="00296B92"/>
    <w:rsid w:val="002A031F"/>
    <w:rsid w:val="002A0437"/>
    <w:rsid w:val="002A2C22"/>
    <w:rsid w:val="002A2D99"/>
    <w:rsid w:val="002A3EED"/>
    <w:rsid w:val="002A4AFA"/>
    <w:rsid w:val="002A71BC"/>
    <w:rsid w:val="002B02EB"/>
    <w:rsid w:val="002B269F"/>
    <w:rsid w:val="002B2858"/>
    <w:rsid w:val="002B3167"/>
    <w:rsid w:val="002B417F"/>
    <w:rsid w:val="002B4D9D"/>
    <w:rsid w:val="002B541B"/>
    <w:rsid w:val="002C0602"/>
    <w:rsid w:val="002C0CDA"/>
    <w:rsid w:val="002C190C"/>
    <w:rsid w:val="002C39D5"/>
    <w:rsid w:val="002D5C16"/>
    <w:rsid w:val="002E2EB9"/>
    <w:rsid w:val="002E4A6B"/>
    <w:rsid w:val="002E55F1"/>
    <w:rsid w:val="002E748F"/>
    <w:rsid w:val="002F15C1"/>
    <w:rsid w:val="002F2476"/>
    <w:rsid w:val="002F39A7"/>
    <w:rsid w:val="002F3D08"/>
    <w:rsid w:val="002F3DFF"/>
    <w:rsid w:val="002F5E05"/>
    <w:rsid w:val="0030300C"/>
    <w:rsid w:val="003033A4"/>
    <w:rsid w:val="00306459"/>
    <w:rsid w:val="0030789F"/>
    <w:rsid w:val="00307A76"/>
    <w:rsid w:val="00307D94"/>
    <w:rsid w:val="003101FE"/>
    <w:rsid w:val="0031176B"/>
    <w:rsid w:val="0031455E"/>
    <w:rsid w:val="00315A16"/>
    <w:rsid w:val="00316271"/>
    <w:rsid w:val="00316B8C"/>
    <w:rsid w:val="00317053"/>
    <w:rsid w:val="00317736"/>
    <w:rsid w:val="0032109C"/>
    <w:rsid w:val="0032109F"/>
    <w:rsid w:val="00321851"/>
    <w:rsid w:val="003226EB"/>
    <w:rsid w:val="00322B45"/>
    <w:rsid w:val="00323809"/>
    <w:rsid w:val="00323D41"/>
    <w:rsid w:val="00325097"/>
    <w:rsid w:val="00325414"/>
    <w:rsid w:val="00325D8F"/>
    <w:rsid w:val="003301F7"/>
    <w:rsid w:val="003302F1"/>
    <w:rsid w:val="003308A0"/>
    <w:rsid w:val="0033410F"/>
    <w:rsid w:val="003410E1"/>
    <w:rsid w:val="00342471"/>
    <w:rsid w:val="00343617"/>
    <w:rsid w:val="00343993"/>
    <w:rsid w:val="00343AA1"/>
    <w:rsid w:val="0034411A"/>
    <w:rsid w:val="0034470E"/>
    <w:rsid w:val="0035031A"/>
    <w:rsid w:val="003527BD"/>
    <w:rsid w:val="00352DB0"/>
    <w:rsid w:val="003571C8"/>
    <w:rsid w:val="00357EEF"/>
    <w:rsid w:val="00361063"/>
    <w:rsid w:val="00361EBA"/>
    <w:rsid w:val="0037094A"/>
    <w:rsid w:val="00371ED3"/>
    <w:rsid w:val="00372320"/>
    <w:rsid w:val="00372659"/>
    <w:rsid w:val="00372FFC"/>
    <w:rsid w:val="00375AE0"/>
    <w:rsid w:val="00375B22"/>
    <w:rsid w:val="003761F9"/>
    <w:rsid w:val="0037626F"/>
    <w:rsid w:val="0037728A"/>
    <w:rsid w:val="0038078B"/>
    <w:rsid w:val="00380B7D"/>
    <w:rsid w:val="00380B98"/>
    <w:rsid w:val="00381709"/>
    <w:rsid w:val="00381A99"/>
    <w:rsid w:val="0038216D"/>
    <w:rsid w:val="003829C2"/>
    <w:rsid w:val="003830B2"/>
    <w:rsid w:val="00384724"/>
    <w:rsid w:val="00384C32"/>
    <w:rsid w:val="003872EA"/>
    <w:rsid w:val="00390E66"/>
    <w:rsid w:val="003919B7"/>
    <w:rsid w:val="00391D57"/>
    <w:rsid w:val="00392292"/>
    <w:rsid w:val="00394F45"/>
    <w:rsid w:val="00395744"/>
    <w:rsid w:val="0039599F"/>
    <w:rsid w:val="0039683A"/>
    <w:rsid w:val="003A5927"/>
    <w:rsid w:val="003A5B92"/>
    <w:rsid w:val="003A6760"/>
    <w:rsid w:val="003B1017"/>
    <w:rsid w:val="003B3C07"/>
    <w:rsid w:val="003B4351"/>
    <w:rsid w:val="003B6081"/>
    <w:rsid w:val="003B6775"/>
    <w:rsid w:val="003B6FDB"/>
    <w:rsid w:val="003C0690"/>
    <w:rsid w:val="003C0F08"/>
    <w:rsid w:val="003C28EF"/>
    <w:rsid w:val="003C3284"/>
    <w:rsid w:val="003C3605"/>
    <w:rsid w:val="003C51BF"/>
    <w:rsid w:val="003C5D5F"/>
    <w:rsid w:val="003C5FE2"/>
    <w:rsid w:val="003C61E9"/>
    <w:rsid w:val="003C7CC9"/>
    <w:rsid w:val="003D05FB"/>
    <w:rsid w:val="003D1B16"/>
    <w:rsid w:val="003D3C58"/>
    <w:rsid w:val="003D4266"/>
    <w:rsid w:val="003D45BF"/>
    <w:rsid w:val="003D508A"/>
    <w:rsid w:val="003D537F"/>
    <w:rsid w:val="003D586F"/>
    <w:rsid w:val="003D6A08"/>
    <w:rsid w:val="003D717D"/>
    <w:rsid w:val="003D7B75"/>
    <w:rsid w:val="003D7D21"/>
    <w:rsid w:val="003E0208"/>
    <w:rsid w:val="003E4629"/>
    <w:rsid w:val="003E4B57"/>
    <w:rsid w:val="003E4FBA"/>
    <w:rsid w:val="003F20D4"/>
    <w:rsid w:val="003F27E1"/>
    <w:rsid w:val="003F437A"/>
    <w:rsid w:val="003F5C2B"/>
    <w:rsid w:val="0040089A"/>
    <w:rsid w:val="00402240"/>
    <w:rsid w:val="004023E9"/>
    <w:rsid w:val="004029D5"/>
    <w:rsid w:val="00403A6F"/>
    <w:rsid w:val="0040454A"/>
    <w:rsid w:val="00407625"/>
    <w:rsid w:val="00410AFD"/>
    <w:rsid w:val="00413F83"/>
    <w:rsid w:val="0041490C"/>
    <w:rsid w:val="00414F3E"/>
    <w:rsid w:val="00415D6E"/>
    <w:rsid w:val="00416191"/>
    <w:rsid w:val="00416721"/>
    <w:rsid w:val="00420F22"/>
    <w:rsid w:val="00421EF0"/>
    <w:rsid w:val="00422305"/>
    <w:rsid w:val="004224FA"/>
    <w:rsid w:val="004227B5"/>
    <w:rsid w:val="00422840"/>
    <w:rsid w:val="00423587"/>
    <w:rsid w:val="00423614"/>
    <w:rsid w:val="00423D07"/>
    <w:rsid w:val="00426C9F"/>
    <w:rsid w:val="00427936"/>
    <w:rsid w:val="00433209"/>
    <w:rsid w:val="00435F64"/>
    <w:rsid w:val="004375C0"/>
    <w:rsid w:val="004408EA"/>
    <w:rsid w:val="0044092B"/>
    <w:rsid w:val="0044346F"/>
    <w:rsid w:val="00443EB3"/>
    <w:rsid w:val="0044493B"/>
    <w:rsid w:val="00451694"/>
    <w:rsid w:val="00453FF6"/>
    <w:rsid w:val="004616CB"/>
    <w:rsid w:val="00462FCA"/>
    <w:rsid w:val="00464B6D"/>
    <w:rsid w:val="0046520A"/>
    <w:rsid w:val="004671C7"/>
    <w:rsid w:val="004672AB"/>
    <w:rsid w:val="00467831"/>
    <w:rsid w:val="004714FE"/>
    <w:rsid w:val="00477BAA"/>
    <w:rsid w:val="00481581"/>
    <w:rsid w:val="00482285"/>
    <w:rsid w:val="004854A9"/>
    <w:rsid w:val="00486FDD"/>
    <w:rsid w:val="00492455"/>
    <w:rsid w:val="004938C5"/>
    <w:rsid w:val="00494911"/>
    <w:rsid w:val="00495053"/>
    <w:rsid w:val="00495C59"/>
    <w:rsid w:val="00497273"/>
    <w:rsid w:val="004A1F59"/>
    <w:rsid w:val="004A29BE"/>
    <w:rsid w:val="004A3225"/>
    <w:rsid w:val="004A33EE"/>
    <w:rsid w:val="004A36EC"/>
    <w:rsid w:val="004A3AA8"/>
    <w:rsid w:val="004A57F0"/>
    <w:rsid w:val="004A634F"/>
    <w:rsid w:val="004B0947"/>
    <w:rsid w:val="004B0D63"/>
    <w:rsid w:val="004B0E9A"/>
    <w:rsid w:val="004B13C7"/>
    <w:rsid w:val="004B1617"/>
    <w:rsid w:val="004B54B3"/>
    <w:rsid w:val="004B778F"/>
    <w:rsid w:val="004B7F1C"/>
    <w:rsid w:val="004C0609"/>
    <w:rsid w:val="004C08CE"/>
    <w:rsid w:val="004C09D8"/>
    <w:rsid w:val="004C115B"/>
    <w:rsid w:val="004C49B4"/>
    <w:rsid w:val="004C639F"/>
    <w:rsid w:val="004C6E4F"/>
    <w:rsid w:val="004D141F"/>
    <w:rsid w:val="004D2742"/>
    <w:rsid w:val="004D54B7"/>
    <w:rsid w:val="004D6310"/>
    <w:rsid w:val="004D749C"/>
    <w:rsid w:val="004E0062"/>
    <w:rsid w:val="004E05A1"/>
    <w:rsid w:val="004E371D"/>
    <w:rsid w:val="004E64E0"/>
    <w:rsid w:val="004E7F21"/>
    <w:rsid w:val="004F169E"/>
    <w:rsid w:val="004F2EE4"/>
    <w:rsid w:val="004F35F8"/>
    <w:rsid w:val="004F472A"/>
    <w:rsid w:val="004F536D"/>
    <w:rsid w:val="004F5E57"/>
    <w:rsid w:val="004F6710"/>
    <w:rsid w:val="00500C3E"/>
    <w:rsid w:val="0050214A"/>
    <w:rsid w:val="00502849"/>
    <w:rsid w:val="00504334"/>
    <w:rsid w:val="0050498D"/>
    <w:rsid w:val="005104D7"/>
    <w:rsid w:val="00510563"/>
    <w:rsid w:val="005105CF"/>
    <w:rsid w:val="00510B9E"/>
    <w:rsid w:val="00513303"/>
    <w:rsid w:val="00513393"/>
    <w:rsid w:val="005162C4"/>
    <w:rsid w:val="00524BB9"/>
    <w:rsid w:val="00525692"/>
    <w:rsid w:val="00527B1A"/>
    <w:rsid w:val="00532E4F"/>
    <w:rsid w:val="005360D1"/>
    <w:rsid w:val="00536BC2"/>
    <w:rsid w:val="005377DE"/>
    <w:rsid w:val="005425E1"/>
    <w:rsid w:val="005427C5"/>
    <w:rsid w:val="00542CF6"/>
    <w:rsid w:val="005450C4"/>
    <w:rsid w:val="005508F6"/>
    <w:rsid w:val="00553C03"/>
    <w:rsid w:val="00560DDA"/>
    <w:rsid w:val="0056325A"/>
    <w:rsid w:val="00563692"/>
    <w:rsid w:val="0056504B"/>
    <w:rsid w:val="00566412"/>
    <w:rsid w:val="00570EF7"/>
    <w:rsid w:val="00571679"/>
    <w:rsid w:val="00572794"/>
    <w:rsid w:val="005748B5"/>
    <w:rsid w:val="00576086"/>
    <w:rsid w:val="00576D10"/>
    <w:rsid w:val="00583817"/>
    <w:rsid w:val="00584235"/>
    <w:rsid w:val="005844E7"/>
    <w:rsid w:val="005908B8"/>
    <w:rsid w:val="00591894"/>
    <w:rsid w:val="00591DB5"/>
    <w:rsid w:val="0059512E"/>
    <w:rsid w:val="005972CD"/>
    <w:rsid w:val="00597584"/>
    <w:rsid w:val="005A2670"/>
    <w:rsid w:val="005A5980"/>
    <w:rsid w:val="005A6DD2"/>
    <w:rsid w:val="005B0E6B"/>
    <w:rsid w:val="005B188C"/>
    <w:rsid w:val="005B2E1C"/>
    <w:rsid w:val="005B6773"/>
    <w:rsid w:val="005C36EB"/>
    <w:rsid w:val="005C385D"/>
    <w:rsid w:val="005C538D"/>
    <w:rsid w:val="005D0CEA"/>
    <w:rsid w:val="005D3B20"/>
    <w:rsid w:val="005D71B7"/>
    <w:rsid w:val="005E32EF"/>
    <w:rsid w:val="005E3887"/>
    <w:rsid w:val="005E4759"/>
    <w:rsid w:val="005E583F"/>
    <w:rsid w:val="005E5C68"/>
    <w:rsid w:val="005E65C0"/>
    <w:rsid w:val="005E7D61"/>
    <w:rsid w:val="005F0222"/>
    <w:rsid w:val="005F0390"/>
    <w:rsid w:val="005F3C8F"/>
    <w:rsid w:val="005F4818"/>
    <w:rsid w:val="005F5DD6"/>
    <w:rsid w:val="005F5E96"/>
    <w:rsid w:val="005F7AEB"/>
    <w:rsid w:val="00603F4E"/>
    <w:rsid w:val="006053B7"/>
    <w:rsid w:val="00606C4C"/>
    <w:rsid w:val="006072CD"/>
    <w:rsid w:val="00611AC0"/>
    <w:rsid w:val="00612023"/>
    <w:rsid w:val="00613FFE"/>
    <w:rsid w:val="00614190"/>
    <w:rsid w:val="00615177"/>
    <w:rsid w:val="006176EA"/>
    <w:rsid w:val="006214CF"/>
    <w:rsid w:val="00622A99"/>
    <w:rsid w:val="00622E67"/>
    <w:rsid w:val="00625629"/>
    <w:rsid w:val="00626B57"/>
    <w:rsid w:val="00626EDC"/>
    <w:rsid w:val="00630475"/>
    <w:rsid w:val="006352D7"/>
    <w:rsid w:val="006378D0"/>
    <w:rsid w:val="00637C4A"/>
    <w:rsid w:val="00640776"/>
    <w:rsid w:val="00640AC7"/>
    <w:rsid w:val="00642AFB"/>
    <w:rsid w:val="006435FD"/>
    <w:rsid w:val="0064369B"/>
    <w:rsid w:val="00644CF3"/>
    <w:rsid w:val="006452D3"/>
    <w:rsid w:val="006470EC"/>
    <w:rsid w:val="00650AC9"/>
    <w:rsid w:val="00651DB5"/>
    <w:rsid w:val="00652F29"/>
    <w:rsid w:val="00653807"/>
    <w:rsid w:val="006542D6"/>
    <w:rsid w:val="0065598E"/>
    <w:rsid w:val="00655AF2"/>
    <w:rsid w:val="00655BC5"/>
    <w:rsid w:val="006568BE"/>
    <w:rsid w:val="00657234"/>
    <w:rsid w:val="0066025D"/>
    <w:rsid w:val="006608A8"/>
    <w:rsid w:val="0066091A"/>
    <w:rsid w:val="006610C4"/>
    <w:rsid w:val="00663D00"/>
    <w:rsid w:val="00670076"/>
    <w:rsid w:val="00676A0D"/>
    <w:rsid w:val="006773EC"/>
    <w:rsid w:val="006803B3"/>
    <w:rsid w:val="00680504"/>
    <w:rsid w:val="00681CD9"/>
    <w:rsid w:val="00683E30"/>
    <w:rsid w:val="006868CD"/>
    <w:rsid w:val="00687024"/>
    <w:rsid w:val="00687D63"/>
    <w:rsid w:val="006908B0"/>
    <w:rsid w:val="006914E4"/>
    <w:rsid w:val="00692715"/>
    <w:rsid w:val="006930D3"/>
    <w:rsid w:val="00695E22"/>
    <w:rsid w:val="00696411"/>
    <w:rsid w:val="0069719D"/>
    <w:rsid w:val="006A0352"/>
    <w:rsid w:val="006A4A6A"/>
    <w:rsid w:val="006A6501"/>
    <w:rsid w:val="006B11A0"/>
    <w:rsid w:val="006B2BF4"/>
    <w:rsid w:val="006B40A1"/>
    <w:rsid w:val="006B4B30"/>
    <w:rsid w:val="006B6CF9"/>
    <w:rsid w:val="006B7093"/>
    <w:rsid w:val="006B7417"/>
    <w:rsid w:val="006C0F7F"/>
    <w:rsid w:val="006C1241"/>
    <w:rsid w:val="006C3442"/>
    <w:rsid w:val="006D1BF1"/>
    <w:rsid w:val="006D31F9"/>
    <w:rsid w:val="006D3691"/>
    <w:rsid w:val="006D4A17"/>
    <w:rsid w:val="006D5BD0"/>
    <w:rsid w:val="006E0439"/>
    <w:rsid w:val="006E1312"/>
    <w:rsid w:val="006E200D"/>
    <w:rsid w:val="006E3131"/>
    <w:rsid w:val="006E32F0"/>
    <w:rsid w:val="006E341C"/>
    <w:rsid w:val="006E5EF0"/>
    <w:rsid w:val="006F137A"/>
    <w:rsid w:val="006F3117"/>
    <w:rsid w:val="006F3563"/>
    <w:rsid w:val="006F42B9"/>
    <w:rsid w:val="006F6103"/>
    <w:rsid w:val="006F6DA4"/>
    <w:rsid w:val="006F703D"/>
    <w:rsid w:val="007037E3"/>
    <w:rsid w:val="00704E00"/>
    <w:rsid w:val="00711468"/>
    <w:rsid w:val="00712802"/>
    <w:rsid w:val="00712B16"/>
    <w:rsid w:val="00714126"/>
    <w:rsid w:val="00716C76"/>
    <w:rsid w:val="00716E25"/>
    <w:rsid w:val="00717F13"/>
    <w:rsid w:val="007209E7"/>
    <w:rsid w:val="00722B24"/>
    <w:rsid w:val="00726182"/>
    <w:rsid w:val="00727635"/>
    <w:rsid w:val="00732329"/>
    <w:rsid w:val="007337CA"/>
    <w:rsid w:val="007342B3"/>
    <w:rsid w:val="00734CE4"/>
    <w:rsid w:val="00735123"/>
    <w:rsid w:val="00741837"/>
    <w:rsid w:val="007453E6"/>
    <w:rsid w:val="00754789"/>
    <w:rsid w:val="00755C4C"/>
    <w:rsid w:val="007574A2"/>
    <w:rsid w:val="007605BB"/>
    <w:rsid w:val="00762BE6"/>
    <w:rsid w:val="00762D8B"/>
    <w:rsid w:val="00764131"/>
    <w:rsid w:val="0076612F"/>
    <w:rsid w:val="00770453"/>
    <w:rsid w:val="0077309D"/>
    <w:rsid w:val="0077469E"/>
    <w:rsid w:val="007774EE"/>
    <w:rsid w:val="00781822"/>
    <w:rsid w:val="007839E2"/>
    <w:rsid w:val="00783F21"/>
    <w:rsid w:val="007858AD"/>
    <w:rsid w:val="00785D24"/>
    <w:rsid w:val="00786491"/>
    <w:rsid w:val="00786AE0"/>
    <w:rsid w:val="00787159"/>
    <w:rsid w:val="00787163"/>
    <w:rsid w:val="00787EB1"/>
    <w:rsid w:val="0079004E"/>
    <w:rsid w:val="0079030B"/>
    <w:rsid w:val="0079043A"/>
    <w:rsid w:val="00791668"/>
    <w:rsid w:val="00791AA1"/>
    <w:rsid w:val="0079293F"/>
    <w:rsid w:val="00797C67"/>
    <w:rsid w:val="007A3793"/>
    <w:rsid w:val="007A3902"/>
    <w:rsid w:val="007A390D"/>
    <w:rsid w:val="007A4119"/>
    <w:rsid w:val="007B1036"/>
    <w:rsid w:val="007B6C04"/>
    <w:rsid w:val="007B71AB"/>
    <w:rsid w:val="007C1BA2"/>
    <w:rsid w:val="007C2A88"/>
    <w:rsid w:val="007C2B48"/>
    <w:rsid w:val="007D20E9"/>
    <w:rsid w:val="007D2AC9"/>
    <w:rsid w:val="007D7881"/>
    <w:rsid w:val="007D7E3A"/>
    <w:rsid w:val="007E0E10"/>
    <w:rsid w:val="007E1BDB"/>
    <w:rsid w:val="007E4768"/>
    <w:rsid w:val="007E5358"/>
    <w:rsid w:val="007E662E"/>
    <w:rsid w:val="007E777B"/>
    <w:rsid w:val="007E7F32"/>
    <w:rsid w:val="007F1A0A"/>
    <w:rsid w:val="007F2070"/>
    <w:rsid w:val="007F227E"/>
    <w:rsid w:val="007F529C"/>
    <w:rsid w:val="007F5A7A"/>
    <w:rsid w:val="007F63C1"/>
    <w:rsid w:val="00800EF3"/>
    <w:rsid w:val="00804A93"/>
    <w:rsid w:val="008053F5"/>
    <w:rsid w:val="00807AF7"/>
    <w:rsid w:val="00810198"/>
    <w:rsid w:val="0081069F"/>
    <w:rsid w:val="0081253F"/>
    <w:rsid w:val="00815DA8"/>
    <w:rsid w:val="008207A9"/>
    <w:rsid w:val="0082194D"/>
    <w:rsid w:val="008221F9"/>
    <w:rsid w:val="00825E10"/>
    <w:rsid w:val="00826EF5"/>
    <w:rsid w:val="008279C7"/>
    <w:rsid w:val="0083108B"/>
    <w:rsid w:val="00831693"/>
    <w:rsid w:val="008326D7"/>
    <w:rsid w:val="00840104"/>
    <w:rsid w:val="00840C1F"/>
    <w:rsid w:val="008411C9"/>
    <w:rsid w:val="00841FC5"/>
    <w:rsid w:val="0084293C"/>
    <w:rsid w:val="00843D0F"/>
    <w:rsid w:val="00844051"/>
    <w:rsid w:val="00845606"/>
    <w:rsid w:val="00845709"/>
    <w:rsid w:val="0084693E"/>
    <w:rsid w:val="0085167F"/>
    <w:rsid w:val="008576BD"/>
    <w:rsid w:val="00860463"/>
    <w:rsid w:val="00863FDA"/>
    <w:rsid w:val="00864FDB"/>
    <w:rsid w:val="00870812"/>
    <w:rsid w:val="00870C33"/>
    <w:rsid w:val="00872E93"/>
    <w:rsid w:val="0087306F"/>
    <w:rsid w:val="008733DA"/>
    <w:rsid w:val="00874702"/>
    <w:rsid w:val="00876157"/>
    <w:rsid w:val="00877FDA"/>
    <w:rsid w:val="00883C3A"/>
    <w:rsid w:val="008850E4"/>
    <w:rsid w:val="008910E2"/>
    <w:rsid w:val="0089315C"/>
    <w:rsid w:val="008939AB"/>
    <w:rsid w:val="0089652B"/>
    <w:rsid w:val="00896C62"/>
    <w:rsid w:val="008A12F5"/>
    <w:rsid w:val="008A5635"/>
    <w:rsid w:val="008B1587"/>
    <w:rsid w:val="008B1B01"/>
    <w:rsid w:val="008B3BCD"/>
    <w:rsid w:val="008B457F"/>
    <w:rsid w:val="008B6DF8"/>
    <w:rsid w:val="008B71FA"/>
    <w:rsid w:val="008B7A7E"/>
    <w:rsid w:val="008C106C"/>
    <w:rsid w:val="008C10F1"/>
    <w:rsid w:val="008C1926"/>
    <w:rsid w:val="008C1E99"/>
    <w:rsid w:val="008C380C"/>
    <w:rsid w:val="008C5C8F"/>
    <w:rsid w:val="008C689B"/>
    <w:rsid w:val="008D537C"/>
    <w:rsid w:val="008D53D0"/>
    <w:rsid w:val="008D67C4"/>
    <w:rsid w:val="008E0085"/>
    <w:rsid w:val="008E2AA6"/>
    <w:rsid w:val="008E311B"/>
    <w:rsid w:val="008E4187"/>
    <w:rsid w:val="008E426D"/>
    <w:rsid w:val="008E4938"/>
    <w:rsid w:val="008E5C97"/>
    <w:rsid w:val="008F2B25"/>
    <w:rsid w:val="008F46E7"/>
    <w:rsid w:val="008F6445"/>
    <w:rsid w:val="008F64CA"/>
    <w:rsid w:val="008F6F0B"/>
    <w:rsid w:val="008F7E4B"/>
    <w:rsid w:val="0090343F"/>
    <w:rsid w:val="00904558"/>
    <w:rsid w:val="009051C0"/>
    <w:rsid w:val="00906FB2"/>
    <w:rsid w:val="00907BA7"/>
    <w:rsid w:val="0091064E"/>
    <w:rsid w:val="00911948"/>
    <w:rsid w:val="00911FC5"/>
    <w:rsid w:val="00915573"/>
    <w:rsid w:val="00915C59"/>
    <w:rsid w:val="00915D63"/>
    <w:rsid w:val="009167BE"/>
    <w:rsid w:val="00921FF4"/>
    <w:rsid w:val="00931A10"/>
    <w:rsid w:val="00931D72"/>
    <w:rsid w:val="00932362"/>
    <w:rsid w:val="0093614E"/>
    <w:rsid w:val="0093770B"/>
    <w:rsid w:val="00940468"/>
    <w:rsid w:val="00943D25"/>
    <w:rsid w:val="00944F90"/>
    <w:rsid w:val="00946B15"/>
    <w:rsid w:val="00946C1B"/>
    <w:rsid w:val="0094795F"/>
    <w:rsid w:val="00947967"/>
    <w:rsid w:val="00947F39"/>
    <w:rsid w:val="009506B4"/>
    <w:rsid w:val="0095122A"/>
    <w:rsid w:val="00955201"/>
    <w:rsid w:val="00961BE7"/>
    <w:rsid w:val="00963B3D"/>
    <w:rsid w:val="00965200"/>
    <w:rsid w:val="009668B3"/>
    <w:rsid w:val="00970486"/>
    <w:rsid w:val="00971471"/>
    <w:rsid w:val="0097590C"/>
    <w:rsid w:val="00975B54"/>
    <w:rsid w:val="00981427"/>
    <w:rsid w:val="0098321C"/>
    <w:rsid w:val="009845B6"/>
    <w:rsid w:val="009849C2"/>
    <w:rsid w:val="00984D24"/>
    <w:rsid w:val="009858EB"/>
    <w:rsid w:val="00985D2E"/>
    <w:rsid w:val="00985EC0"/>
    <w:rsid w:val="00987188"/>
    <w:rsid w:val="00987E9F"/>
    <w:rsid w:val="009933C0"/>
    <w:rsid w:val="00993B10"/>
    <w:rsid w:val="009A25E9"/>
    <w:rsid w:val="009A29C5"/>
    <w:rsid w:val="009A2D13"/>
    <w:rsid w:val="009A3C9C"/>
    <w:rsid w:val="009A3F47"/>
    <w:rsid w:val="009A7885"/>
    <w:rsid w:val="009B0046"/>
    <w:rsid w:val="009B4B7E"/>
    <w:rsid w:val="009B5963"/>
    <w:rsid w:val="009B6AA3"/>
    <w:rsid w:val="009B6AC7"/>
    <w:rsid w:val="009C0CA1"/>
    <w:rsid w:val="009C1440"/>
    <w:rsid w:val="009C1661"/>
    <w:rsid w:val="009C1A00"/>
    <w:rsid w:val="009C2107"/>
    <w:rsid w:val="009C53F1"/>
    <w:rsid w:val="009C5D9E"/>
    <w:rsid w:val="009C6A85"/>
    <w:rsid w:val="009D0F12"/>
    <w:rsid w:val="009D20ED"/>
    <w:rsid w:val="009D2C3E"/>
    <w:rsid w:val="009D52EC"/>
    <w:rsid w:val="009D5770"/>
    <w:rsid w:val="009E0625"/>
    <w:rsid w:val="009E1EBD"/>
    <w:rsid w:val="009E3034"/>
    <w:rsid w:val="009E4412"/>
    <w:rsid w:val="009E4EC6"/>
    <w:rsid w:val="009E549F"/>
    <w:rsid w:val="009E781E"/>
    <w:rsid w:val="009F042C"/>
    <w:rsid w:val="009F28A8"/>
    <w:rsid w:val="009F30AE"/>
    <w:rsid w:val="009F3BBE"/>
    <w:rsid w:val="009F3CCF"/>
    <w:rsid w:val="009F473E"/>
    <w:rsid w:val="009F490B"/>
    <w:rsid w:val="009F5247"/>
    <w:rsid w:val="009F682A"/>
    <w:rsid w:val="00A017B8"/>
    <w:rsid w:val="00A022BE"/>
    <w:rsid w:val="00A032FB"/>
    <w:rsid w:val="00A07B4B"/>
    <w:rsid w:val="00A14455"/>
    <w:rsid w:val="00A20DFE"/>
    <w:rsid w:val="00A21451"/>
    <w:rsid w:val="00A22D3D"/>
    <w:rsid w:val="00A22DF7"/>
    <w:rsid w:val="00A23586"/>
    <w:rsid w:val="00A24C95"/>
    <w:rsid w:val="00A2599A"/>
    <w:rsid w:val="00A26094"/>
    <w:rsid w:val="00A301BF"/>
    <w:rsid w:val="00A302B2"/>
    <w:rsid w:val="00A331B4"/>
    <w:rsid w:val="00A3484E"/>
    <w:rsid w:val="00A356D3"/>
    <w:rsid w:val="00A36ADA"/>
    <w:rsid w:val="00A36DE0"/>
    <w:rsid w:val="00A37657"/>
    <w:rsid w:val="00A37C4D"/>
    <w:rsid w:val="00A41DAF"/>
    <w:rsid w:val="00A43140"/>
    <w:rsid w:val="00A438B8"/>
    <w:rsid w:val="00A438D8"/>
    <w:rsid w:val="00A45CF1"/>
    <w:rsid w:val="00A473F5"/>
    <w:rsid w:val="00A47979"/>
    <w:rsid w:val="00A501D3"/>
    <w:rsid w:val="00A50734"/>
    <w:rsid w:val="00A51187"/>
    <w:rsid w:val="00A51F9D"/>
    <w:rsid w:val="00A520C2"/>
    <w:rsid w:val="00A53D2D"/>
    <w:rsid w:val="00A5416A"/>
    <w:rsid w:val="00A56D5A"/>
    <w:rsid w:val="00A639F4"/>
    <w:rsid w:val="00A65864"/>
    <w:rsid w:val="00A65FAE"/>
    <w:rsid w:val="00A6623D"/>
    <w:rsid w:val="00A6640F"/>
    <w:rsid w:val="00A717E9"/>
    <w:rsid w:val="00A71D5E"/>
    <w:rsid w:val="00A77627"/>
    <w:rsid w:val="00A81954"/>
    <w:rsid w:val="00A81A32"/>
    <w:rsid w:val="00A835BD"/>
    <w:rsid w:val="00A8377E"/>
    <w:rsid w:val="00A838AE"/>
    <w:rsid w:val="00A8393B"/>
    <w:rsid w:val="00A84DFA"/>
    <w:rsid w:val="00A92757"/>
    <w:rsid w:val="00A93022"/>
    <w:rsid w:val="00A932D2"/>
    <w:rsid w:val="00A93B9E"/>
    <w:rsid w:val="00A956F5"/>
    <w:rsid w:val="00A975F2"/>
    <w:rsid w:val="00A97B15"/>
    <w:rsid w:val="00AA42D5"/>
    <w:rsid w:val="00AA4F79"/>
    <w:rsid w:val="00AA69F7"/>
    <w:rsid w:val="00AB0984"/>
    <w:rsid w:val="00AB158B"/>
    <w:rsid w:val="00AB18AF"/>
    <w:rsid w:val="00AB2FAB"/>
    <w:rsid w:val="00AB4DC1"/>
    <w:rsid w:val="00AB5C14"/>
    <w:rsid w:val="00AC0ABD"/>
    <w:rsid w:val="00AC1EE7"/>
    <w:rsid w:val="00AC21D4"/>
    <w:rsid w:val="00AC333F"/>
    <w:rsid w:val="00AC585C"/>
    <w:rsid w:val="00AD0B00"/>
    <w:rsid w:val="00AD143E"/>
    <w:rsid w:val="00AD1925"/>
    <w:rsid w:val="00AD3931"/>
    <w:rsid w:val="00AD65F8"/>
    <w:rsid w:val="00AE067D"/>
    <w:rsid w:val="00AE199D"/>
    <w:rsid w:val="00AE22AA"/>
    <w:rsid w:val="00AE5DBC"/>
    <w:rsid w:val="00AE7DD5"/>
    <w:rsid w:val="00AF1181"/>
    <w:rsid w:val="00AF29DD"/>
    <w:rsid w:val="00AF2F79"/>
    <w:rsid w:val="00AF3775"/>
    <w:rsid w:val="00AF4653"/>
    <w:rsid w:val="00AF7C8F"/>
    <w:rsid w:val="00AF7DB7"/>
    <w:rsid w:val="00B00C1F"/>
    <w:rsid w:val="00B066B6"/>
    <w:rsid w:val="00B07956"/>
    <w:rsid w:val="00B10D02"/>
    <w:rsid w:val="00B128DD"/>
    <w:rsid w:val="00B12A57"/>
    <w:rsid w:val="00B12D76"/>
    <w:rsid w:val="00B14F3C"/>
    <w:rsid w:val="00B1567C"/>
    <w:rsid w:val="00B201E2"/>
    <w:rsid w:val="00B20D8A"/>
    <w:rsid w:val="00B20FEC"/>
    <w:rsid w:val="00B218C1"/>
    <w:rsid w:val="00B24129"/>
    <w:rsid w:val="00B245C5"/>
    <w:rsid w:val="00B265D8"/>
    <w:rsid w:val="00B26A3F"/>
    <w:rsid w:val="00B270C0"/>
    <w:rsid w:val="00B27B7E"/>
    <w:rsid w:val="00B317A3"/>
    <w:rsid w:val="00B33324"/>
    <w:rsid w:val="00B40777"/>
    <w:rsid w:val="00B443E4"/>
    <w:rsid w:val="00B451D6"/>
    <w:rsid w:val="00B46BD0"/>
    <w:rsid w:val="00B47C58"/>
    <w:rsid w:val="00B514A7"/>
    <w:rsid w:val="00B52C96"/>
    <w:rsid w:val="00B536AA"/>
    <w:rsid w:val="00B5484D"/>
    <w:rsid w:val="00B5559B"/>
    <w:rsid w:val="00B559AA"/>
    <w:rsid w:val="00B55BAF"/>
    <w:rsid w:val="00B563EA"/>
    <w:rsid w:val="00B56CDF"/>
    <w:rsid w:val="00B6020F"/>
    <w:rsid w:val="00B60862"/>
    <w:rsid w:val="00B60E51"/>
    <w:rsid w:val="00B62A98"/>
    <w:rsid w:val="00B63238"/>
    <w:rsid w:val="00B63A54"/>
    <w:rsid w:val="00B6714D"/>
    <w:rsid w:val="00B70337"/>
    <w:rsid w:val="00B716F9"/>
    <w:rsid w:val="00B779FD"/>
    <w:rsid w:val="00B77D18"/>
    <w:rsid w:val="00B77D8A"/>
    <w:rsid w:val="00B80407"/>
    <w:rsid w:val="00B81DB5"/>
    <w:rsid w:val="00B8313A"/>
    <w:rsid w:val="00B84876"/>
    <w:rsid w:val="00B84E00"/>
    <w:rsid w:val="00B906AA"/>
    <w:rsid w:val="00B9081B"/>
    <w:rsid w:val="00B90917"/>
    <w:rsid w:val="00B93503"/>
    <w:rsid w:val="00B9575A"/>
    <w:rsid w:val="00BA31E8"/>
    <w:rsid w:val="00BA55E0"/>
    <w:rsid w:val="00BA6BD4"/>
    <w:rsid w:val="00BA6C7A"/>
    <w:rsid w:val="00BA6D35"/>
    <w:rsid w:val="00BA7304"/>
    <w:rsid w:val="00BB04A2"/>
    <w:rsid w:val="00BB0E6A"/>
    <w:rsid w:val="00BB17D1"/>
    <w:rsid w:val="00BB3752"/>
    <w:rsid w:val="00BB5798"/>
    <w:rsid w:val="00BB6688"/>
    <w:rsid w:val="00BC2115"/>
    <w:rsid w:val="00BC26D4"/>
    <w:rsid w:val="00BC3190"/>
    <w:rsid w:val="00BC490A"/>
    <w:rsid w:val="00BC75A5"/>
    <w:rsid w:val="00BD49D1"/>
    <w:rsid w:val="00BD61A5"/>
    <w:rsid w:val="00BD6A14"/>
    <w:rsid w:val="00BE0020"/>
    <w:rsid w:val="00BE0C80"/>
    <w:rsid w:val="00BE157C"/>
    <w:rsid w:val="00BE1CB9"/>
    <w:rsid w:val="00BE2072"/>
    <w:rsid w:val="00BE4C3F"/>
    <w:rsid w:val="00BE523D"/>
    <w:rsid w:val="00BF012E"/>
    <w:rsid w:val="00BF182E"/>
    <w:rsid w:val="00BF2A42"/>
    <w:rsid w:val="00BF2B26"/>
    <w:rsid w:val="00BF44A2"/>
    <w:rsid w:val="00BF639F"/>
    <w:rsid w:val="00BF6441"/>
    <w:rsid w:val="00BF6ECC"/>
    <w:rsid w:val="00C03426"/>
    <w:rsid w:val="00C03D8C"/>
    <w:rsid w:val="00C055EC"/>
    <w:rsid w:val="00C073CB"/>
    <w:rsid w:val="00C10DC9"/>
    <w:rsid w:val="00C125AC"/>
    <w:rsid w:val="00C12D40"/>
    <w:rsid w:val="00C12FB3"/>
    <w:rsid w:val="00C13DD8"/>
    <w:rsid w:val="00C15F2A"/>
    <w:rsid w:val="00C168E8"/>
    <w:rsid w:val="00C170DB"/>
    <w:rsid w:val="00C17341"/>
    <w:rsid w:val="00C17ECE"/>
    <w:rsid w:val="00C22500"/>
    <w:rsid w:val="00C247CF"/>
    <w:rsid w:val="00C24EEF"/>
    <w:rsid w:val="00C25CF6"/>
    <w:rsid w:val="00C26C36"/>
    <w:rsid w:val="00C273E4"/>
    <w:rsid w:val="00C32768"/>
    <w:rsid w:val="00C34AC3"/>
    <w:rsid w:val="00C34FC2"/>
    <w:rsid w:val="00C36721"/>
    <w:rsid w:val="00C37300"/>
    <w:rsid w:val="00C41AD7"/>
    <w:rsid w:val="00C431DF"/>
    <w:rsid w:val="00C456BD"/>
    <w:rsid w:val="00C45C0E"/>
    <w:rsid w:val="00C460B3"/>
    <w:rsid w:val="00C4656A"/>
    <w:rsid w:val="00C4748A"/>
    <w:rsid w:val="00C530DC"/>
    <w:rsid w:val="00C5350D"/>
    <w:rsid w:val="00C53FF5"/>
    <w:rsid w:val="00C573FB"/>
    <w:rsid w:val="00C6123C"/>
    <w:rsid w:val="00C62415"/>
    <w:rsid w:val="00C6311A"/>
    <w:rsid w:val="00C63C84"/>
    <w:rsid w:val="00C647AE"/>
    <w:rsid w:val="00C64E4D"/>
    <w:rsid w:val="00C65FA7"/>
    <w:rsid w:val="00C66941"/>
    <w:rsid w:val="00C7084D"/>
    <w:rsid w:val="00C72732"/>
    <w:rsid w:val="00C7315E"/>
    <w:rsid w:val="00C73E00"/>
    <w:rsid w:val="00C74221"/>
    <w:rsid w:val="00C745A4"/>
    <w:rsid w:val="00C757BA"/>
    <w:rsid w:val="00C75895"/>
    <w:rsid w:val="00C776C8"/>
    <w:rsid w:val="00C80C2D"/>
    <w:rsid w:val="00C81520"/>
    <w:rsid w:val="00C82332"/>
    <w:rsid w:val="00C83B68"/>
    <w:rsid w:val="00C83C9F"/>
    <w:rsid w:val="00C83F77"/>
    <w:rsid w:val="00C847D1"/>
    <w:rsid w:val="00C87226"/>
    <w:rsid w:val="00C91253"/>
    <w:rsid w:val="00C91541"/>
    <w:rsid w:val="00C92BD3"/>
    <w:rsid w:val="00C94519"/>
    <w:rsid w:val="00C94840"/>
    <w:rsid w:val="00C97EA0"/>
    <w:rsid w:val="00CA1C18"/>
    <w:rsid w:val="00CA2C0C"/>
    <w:rsid w:val="00CA2D28"/>
    <w:rsid w:val="00CA4D59"/>
    <w:rsid w:val="00CA4EE3"/>
    <w:rsid w:val="00CA4F9F"/>
    <w:rsid w:val="00CA5724"/>
    <w:rsid w:val="00CB027F"/>
    <w:rsid w:val="00CB0D6C"/>
    <w:rsid w:val="00CB2B74"/>
    <w:rsid w:val="00CB3292"/>
    <w:rsid w:val="00CB3DDC"/>
    <w:rsid w:val="00CB4706"/>
    <w:rsid w:val="00CB4F68"/>
    <w:rsid w:val="00CB6079"/>
    <w:rsid w:val="00CC0EBB"/>
    <w:rsid w:val="00CC16DB"/>
    <w:rsid w:val="00CC6297"/>
    <w:rsid w:val="00CC7690"/>
    <w:rsid w:val="00CD1986"/>
    <w:rsid w:val="00CD492D"/>
    <w:rsid w:val="00CD54BF"/>
    <w:rsid w:val="00CE4D5C"/>
    <w:rsid w:val="00CF05DA"/>
    <w:rsid w:val="00CF2A2F"/>
    <w:rsid w:val="00CF407E"/>
    <w:rsid w:val="00CF4531"/>
    <w:rsid w:val="00CF5395"/>
    <w:rsid w:val="00CF58EB"/>
    <w:rsid w:val="00CF6FEC"/>
    <w:rsid w:val="00CF757D"/>
    <w:rsid w:val="00D0106E"/>
    <w:rsid w:val="00D023CD"/>
    <w:rsid w:val="00D06383"/>
    <w:rsid w:val="00D07009"/>
    <w:rsid w:val="00D165B4"/>
    <w:rsid w:val="00D16723"/>
    <w:rsid w:val="00D17E57"/>
    <w:rsid w:val="00D20D26"/>
    <w:rsid w:val="00D20E85"/>
    <w:rsid w:val="00D23CA5"/>
    <w:rsid w:val="00D24615"/>
    <w:rsid w:val="00D26F69"/>
    <w:rsid w:val="00D31167"/>
    <w:rsid w:val="00D37842"/>
    <w:rsid w:val="00D410D0"/>
    <w:rsid w:val="00D42DC2"/>
    <w:rsid w:val="00D4302B"/>
    <w:rsid w:val="00D50504"/>
    <w:rsid w:val="00D537E1"/>
    <w:rsid w:val="00D55BB2"/>
    <w:rsid w:val="00D55C26"/>
    <w:rsid w:val="00D55C34"/>
    <w:rsid w:val="00D6091A"/>
    <w:rsid w:val="00D6109D"/>
    <w:rsid w:val="00D62674"/>
    <w:rsid w:val="00D62A08"/>
    <w:rsid w:val="00D6605A"/>
    <w:rsid w:val="00D6695F"/>
    <w:rsid w:val="00D671DE"/>
    <w:rsid w:val="00D7021D"/>
    <w:rsid w:val="00D75644"/>
    <w:rsid w:val="00D80481"/>
    <w:rsid w:val="00D81656"/>
    <w:rsid w:val="00D83D87"/>
    <w:rsid w:val="00D83D8B"/>
    <w:rsid w:val="00D84A6D"/>
    <w:rsid w:val="00D84BC9"/>
    <w:rsid w:val="00D852FE"/>
    <w:rsid w:val="00D863E6"/>
    <w:rsid w:val="00D86A30"/>
    <w:rsid w:val="00D900A4"/>
    <w:rsid w:val="00D91472"/>
    <w:rsid w:val="00D9252E"/>
    <w:rsid w:val="00D92BC7"/>
    <w:rsid w:val="00D932BB"/>
    <w:rsid w:val="00D97B03"/>
    <w:rsid w:val="00D97CB4"/>
    <w:rsid w:val="00D97DD4"/>
    <w:rsid w:val="00DA01F1"/>
    <w:rsid w:val="00DA2F40"/>
    <w:rsid w:val="00DA47A5"/>
    <w:rsid w:val="00DA5A8A"/>
    <w:rsid w:val="00DB1170"/>
    <w:rsid w:val="00DB26CD"/>
    <w:rsid w:val="00DB2B70"/>
    <w:rsid w:val="00DB3B46"/>
    <w:rsid w:val="00DB40BD"/>
    <w:rsid w:val="00DB441C"/>
    <w:rsid w:val="00DB44AF"/>
    <w:rsid w:val="00DB639E"/>
    <w:rsid w:val="00DC1B51"/>
    <w:rsid w:val="00DC1F58"/>
    <w:rsid w:val="00DC339B"/>
    <w:rsid w:val="00DC5D40"/>
    <w:rsid w:val="00DC69A7"/>
    <w:rsid w:val="00DC73EE"/>
    <w:rsid w:val="00DC74FD"/>
    <w:rsid w:val="00DD0E6C"/>
    <w:rsid w:val="00DD30E9"/>
    <w:rsid w:val="00DD35B3"/>
    <w:rsid w:val="00DD4F47"/>
    <w:rsid w:val="00DD593A"/>
    <w:rsid w:val="00DD7FBB"/>
    <w:rsid w:val="00DE0B9F"/>
    <w:rsid w:val="00DE2A9E"/>
    <w:rsid w:val="00DE354B"/>
    <w:rsid w:val="00DE3552"/>
    <w:rsid w:val="00DE3834"/>
    <w:rsid w:val="00DE4238"/>
    <w:rsid w:val="00DE657F"/>
    <w:rsid w:val="00DF0BEB"/>
    <w:rsid w:val="00DF1218"/>
    <w:rsid w:val="00DF1483"/>
    <w:rsid w:val="00DF3999"/>
    <w:rsid w:val="00DF46EC"/>
    <w:rsid w:val="00DF6462"/>
    <w:rsid w:val="00DF741E"/>
    <w:rsid w:val="00E02FA0"/>
    <w:rsid w:val="00E036DC"/>
    <w:rsid w:val="00E0385C"/>
    <w:rsid w:val="00E050A9"/>
    <w:rsid w:val="00E0710A"/>
    <w:rsid w:val="00E10454"/>
    <w:rsid w:val="00E1047E"/>
    <w:rsid w:val="00E112E5"/>
    <w:rsid w:val="00E122D8"/>
    <w:rsid w:val="00E12CC8"/>
    <w:rsid w:val="00E12DBC"/>
    <w:rsid w:val="00E15352"/>
    <w:rsid w:val="00E17114"/>
    <w:rsid w:val="00E1715E"/>
    <w:rsid w:val="00E206DC"/>
    <w:rsid w:val="00E212CA"/>
    <w:rsid w:val="00E21922"/>
    <w:rsid w:val="00E219B0"/>
    <w:rsid w:val="00E21CC7"/>
    <w:rsid w:val="00E24D9E"/>
    <w:rsid w:val="00E25849"/>
    <w:rsid w:val="00E30109"/>
    <w:rsid w:val="00E30E41"/>
    <w:rsid w:val="00E3197E"/>
    <w:rsid w:val="00E320AE"/>
    <w:rsid w:val="00E342D6"/>
    <w:rsid w:val="00E342F8"/>
    <w:rsid w:val="00E351ED"/>
    <w:rsid w:val="00E36748"/>
    <w:rsid w:val="00E42B19"/>
    <w:rsid w:val="00E4311D"/>
    <w:rsid w:val="00E46AFC"/>
    <w:rsid w:val="00E47DAB"/>
    <w:rsid w:val="00E523AC"/>
    <w:rsid w:val="00E55A95"/>
    <w:rsid w:val="00E6034B"/>
    <w:rsid w:val="00E60825"/>
    <w:rsid w:val="00E61F78"/>
    <w:rsid w:val="00E643F6"/>
    <w:rsid w:val="00E6549E"/>
    <w:rsid w:val="00E65EDE"/>
    <w:rsid w:val="00E70EC2"/>
    <w:rsid w:val="00E70F81"/>
    <w:rsid w:val="00E739B9"/>
    <w:rsid w:val="00E74D9D"/>
    <w:rsid w:val="00E76322"/>
    <w:rsid w:val="00E77055"/>
    <w:rsid w:val="00E77460"/>
    <w:rsid w:val="00E77F28"/>
    <w:rsid w:val="00E81F09"/>
    <w:rsid w:val="00E83ABC"/>
    <w:rsid w:val="00E844F2"/>
    <w:rsid w:val="00E90AD0"/>
    <w:rsid w:val="00E92FCB"/>
    <w:rsid w:val="00E94FA6"/>
    <w:rsid w:val="00EA0904"/>
    <w:rsid w:val="00EA147F"/>
    <w:rsid w:val="00EA3B42"/>
    <w:rsid w:val="00EA4A27"/>
    <w:rsid w:val="00EA4FA6"/>
    <w:rsid w:val="00EB1A25"/>
    <w:rsid w:val="00EB63B1"/>
    <w:rsid w:val="00EB7614"/>
    <w:rsid w:val="00EC1331"/>
    <w:rsid w:val="00EC2E53"/>
    <w:rsid w:val="00EC42C5"/>
    <w:rsid w:val="00EC7363"/>
    <w:rsid w:val="00EC7766"/>
    <w:rsid w:val="00ED03AB"/>
    <w:rsid w:val="00ED1963"/>
    <w:rsid w:val="00ED1CD4"/>
    <w:rsid w:val="00ED1D2B"/>
    <w:rsid w:val="00ED266D"/>
    <w:rsid w:val="00ED4AAD"/>
    <w:rsid w:val="00ED5BE6"/>
    <w:rsid w:val="00ED64B5"/>
    <w:rsid w:val="00EE2DB0"/>
    <w:rsid w:val="00EE328D"/>
    <w:rsid w:val="00EE4684"/>
    <w:rsid w:val="00EE7CCA"/>
    <w:rsid w:val="00EF647C"/>
    <w:rsid w:val="00EF6AE1"/>
    <w:rsid w:val="00EF7366"/>
    <w:rsid w:val="00F05EAE"/>
    <w:rsid w:val="00F06E53"/>
    <w:rsid w:val="00F12E2E"/>
    <w:rsid w:val="00F140B4"/>
    <w:rsid w:val="00F14266"/>
    <w:rsid w:val="00F16900"/>
    <w:rsid w:val="00F16A14"/>
    <w:rsid w:val="00F23241"/>
    <w:rsid w:val="00F27C88"/>
    <w:rsid w:val="00F32BA5"/>
    <w:rsid w:val="00F353DA"/>
    <w:rsid w:val="00F362D7"/>
    <w:rsid w:val="00F37D7B"/>
    <w:rsid w:val="00F40BB3"/>
    <w:rsid w:val="00F43B8F"/>
    <w:rsid w:val="00F5314C"/>
    <w:rsid w:val="00F5688C"/>
    <w:rsid w:val="00F60048"/>
    <w:rsid w:val="00F623D9"/>
    <w:rsid w:val="00F635DD"/>
    <w:rsid w:val="00F6627B"/>
    <w:rsid w:val="00F71FFF"/>
    <w:rsid w:val="00F72D08"/>
    <w:rsid w:val="00F7336E"/>
    <w:rsid w:val="00F734F2"/>
    <w:rsid w:val="00F75052"/>
    <w:rsid w:val="00F804D3"/>
    <w:rsid w:val="00F816CB"/>
    <w:rsid w:val="00F81A64"/>
    <w:rsid w:val="00F81CD2"/>
    <w:rsid w:val="00F82641"/>
    <w:rsid w:val="00F8436C"/>
    <w:rsid w:val="00F86781"/>
    <w:rsid w:val="00F90F18"/>
    <w:rsid w:val="00F937E4"/>
    <w:rsid w:val="00F95EE7"/>
    <w:rsid w:val="00FA0E99"/>
    <w:rsid w:val="00FA17C2"/>
    <w:rsid w:val="00FA2CA1"/>
    <w:rsid w:val="00FA39E6"/>
    <w:rsid w:val="00FA47A5"/>
    <w:rsid w:val="00FA490B"/>
    <w:rsid w:val="00FA7BC9"/>
    <w:rsid w:val="00FB1852"/>
    <w:rsid w:val="00FB1CC4"/>
    <w:rsid w:val="00FB275E"/>
    <w:rsid w:val="00FB2871"/>
    <w:rsid w:val="00FB378E"/>
    <w:rsid w:val="00FB37F1"/>
    <w:rsid w:val="00FB47C0"/>
    <w:rsid w:val="00FB4DEA"/>
    <w:rsid w:val="00FB501B"/>
    <w:rsid w:val="00FB719A"/>
    <w:rsid w:val="00FB7770"/>
    <w:rsid w:val="00FC05B7"/>
    <w:rsid w:val="00FC3A10"/>
    <w:rsid w:val="00FD2660"/>
    <w:rsid w:val="00FD2D22"/>
    <w:rsid w:val="00FD3411"/>
    <w:rsid w:val="00FD3B91"/>
    <w:rsid w:val="00FD576B"/>
    <w:rsid w:val="00FD579E"/>
    <w:rsid w:val="00FD6730"/>
    <w:rsid w:val="00FD6845"/>
    <w:rsid w:val="00FD7821"/>
    <w:rsid w:val="00FE0506"/>
    <w:rsid w:val="00FE1961"/>
    <w:rsid w:val="00FE208E"/>
    <w:rsid w:val="00FE3E55"/>
    <w:rsid w:val="00FE4516"/>
    <w:rsid w:val="00FE4EFB"/>
    <w:rsid w:val="00FE64C8"/>
    <w:rsid w:val="00FE69F4"/>
    <w:rsid w:val="00FF1E25"/>
    <w:rsid w:val="00FF5262"/>
    <w:rsid w:val="00FF5592"/>
    <w:rsid w:val="00FF5BA1"/>
    <w:rsid w:val="00FF7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D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1_標題"/>
    <w:basedOn w:val="a6"/>
    <w:link w:val="10"/>
    <w:qFormat/>
    <w:rsid w:val="004F5E57"/>
    <w:pPr>
      <w:numPr>
        <w:numId w:val="7"/>
      </w:numPr>
      <w:outlineLvl w:val="0"/>
    </w:pPr>
    <w:rPr>
      <w:rFonts w:hAnsi="Arial"/>
      <w:bCs/>
      <w:kern w:val="32"/>
      <w:szCs w:val="52"/>
    </w:rPr>
  </w:style>
  <w:style w:type="paragraph" w:styleId="2">
    <w:name w:val="heading 2"/>
    <w:aliases w:val="2_標題"/>
    <w:basedOn w:val="a6"/>
    <w:link w:val="20"/>
    <w:qFormat/>
    <w:rsid w:val="004F5E57"/>
    <w:pPr>
      <w:numPr>
        <w:ilvl w:val="1"/>
        <w:numId w:val="7"/>
      </w:numPr>
      <w:outlineLvl w:val="1"/>
    </w:pPr>
    <w:rPr>
      <w:rFonts w:hAnsi="Arial"/>
      <w:bCs/>
      <w:kern w:val="32"/>
      <w:szCs w:val="48"/>
    </w:rPr>
  </w:style>
  <w:style w:type="paragraph" w:styleId="3">
    <w:name w:val="heading 3"/>
    <w:aliases w:val="3_標題"/>
    <w:basedOn w:val="a6"/>
    <w:link w:val="30"/>
    <w:qFormat/>
    <w:rsid w:val="004F5E57"/>
    <w:pPr>
      <w:numPr>
        <w:ilvl w:val="2"/>
        <w:numId w:val="7"/>
      </w:numPr>
      <w:ind w:left="1361"/>
      <w:outlineLvl w:val="2"/>
    </w:pPr>
    <w:rPr>
      <w:rFonts w:hAnsi="Arial"/>
      <w:bCs/>
      <w:kern w:val="32"/>
      <w:szCs w:val="36"/>
    </w:rPr>
  </w:style>
  <w:style w:type="paragraph" w:styleId="4">
    <w:name w:val="heading 4"/>
    <w:aliases w:val="4_標題"/>
    <w:basedOn w:val="a6"/>
    <w:link w:val="40"/>
    <w:qFormat/>
    <w:rsid w:val="004F5E57"/>
    <w:pPr>
      <w:numPr>
        <w:ilvl w:val="3"/>
        <w:numId w:val="7"/>
      </w:numPr>
      <w:outlineLvl w:val="3"/>
    </w:pPr>
    <w:rPr>
      <w:rFonts w:hAnsi="Arial"/>
      <w:kern w:val="32"/>
      <w:szCs w:val="36"/>
    </w:rPr>
  </w:style>
  <w:style w:type="paragraph" w:styleId="5">
    <w:name w:val="heading 5"/>
    <w:aliases w:val="5_標題"/>
    <w:basedOn w:val="a6"/>
    <w:link w:val="50"/>
    <w:qFormat/>
    <w:rsid w:val="004F5E57"/>
    <w:pPr>
      <w:numPr>
        <w:ilvl w:val="4"/>
        <w:numId w:val="7"/>
      </w:numPr>
      <w:outlineLvl w:val="4"/>
    </w:pPr>
    <w:rPr>
      <w:rFonts w:hAnsi="Arial"/>
      <w:bCs/>
      <w:kern w:val="32"/>
      <w:szCs w:val="36"/>
    </w:rPr>
  </w:style>
  <w:style w:type="paragraph" w:styleId="6">
    <w:name w:val="heading 6"/>
    <w:aliases w:val="6_標題"/>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1_標題 字元"/>
    <w:basedOn w:val="a7"/>
    <w:link w:val="1"/>
    <w:rsid w:val="00711468"/>
    <w:rPr>
      <w:rFonts w:ascii="標楷體" w:eastAsia="標楷體" w:hAnsi="Arial"/>
      <w:bCs/>
      <w:kern w:val="32"/>
      <w:sz w:val="32"/>
      <w:szCs w:val="52"/>
    </w:rPr>
  </w:style>
  <w:style w:type="character" w:customStyle="1" w:styleId="20">
    <w:name w:val="標題 2 字元"/>
    <w:aliases w:val="2_標題 字元"/>
    <w:basedOn w:val="a7"/>
    <w:link w:val="2"/>
    <w:rsid w:val="0031455E"/>
    <w:rPr>
      <w:rFonts w:ascii="標楷體" w:eastAsia="標楷體" w:hAnsi="Arial"/>
      <w:bCs/>
      <w:kern w:val="32"/>
      <w:sz w:val="32"/>
      <w:szCs w:val="48"/>
    </w:rPr>
  </w:style>
  <w:style w:type="character" w:customStyle="1" w:styleId="30">
    <w:name w:val="標題 3 字元"/>
    <w:aliases w:val="3_標題 字元"/>
    <w:basedOn w:val="a7"/>
    <w:link w:val="3"/>
    <w:rsid w:val="00CA2D28"/>
    <w:rPr>
      <w:rFonts w:ascii="標楷體" w:eastAsia="標楷體" w:hAnsi="Arial"/>
      <w:bCs/>
      <w:kern w:val="32"/>
      <w:sz w:val="32"/>
      <w:szCs w:val="36"/>
    </w:rPr>
  </w:style>
  <w:style w:type="character" w:customStyle="1" w:styleId="40">
    <w:name w:val="標題 4 字元"/>
    <w:aliases w:val="4_標題 字元"/>
    <w:basedOn w:val="a7"/>
    <w:link w:val="4"/>
    <w:rsid w:val="00804A93"/>
    <w:rPr>
      <w:rFonts w:ascii="標楷體" w:eastAsia="標楷體" w:hAnsi="Arial"/>
      <w:kern w:val="32"/>
      <w:sz w:val="32"/>
      <w:szCs w:val="36"/>
    </w:rPr>
  </w:style>
  <w:style w:type="character" w:customStyle="1" w:styleId="50">
    <w:name w:val="標題 5 字元"/>
    <w:aliases w:val="5_標題 字元"/>
    <w:basedOn w:val="a7"/>
    <w:link w:val="5"/>
    <w:rsid w:val="00180740"/>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1_段落樣式"/>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6B11A0"/>
    <w:pPr>
      <w:keepNext/>
      <w:widowControl w:val="0"/>
      <w:numPr>
        <w:numId w:val="4"/>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1.1.1.1清單段落,標題 (4),(二),列點,清單段落2,1.1,2層標,RFP項目,List Paragraph,List Paragraph1,圖標號,編號 1.,壹,彩色清單 - 輔色 12,卑南壹,01章名,表格清單,樣式A,圖標"/>
    <w:basedOn w:val="a6"/>
    <w:link w:val="afd"/>
    <w:uiPriority w:val="34"/>
    <w:qFormat/>
    <w:rsid w:val="00687024"/>
    <w:pPr>
      <w:ind w:leftChars="200" w:left="480"/>
    </w:pPr>
  </w:style>
  <w:style w:type="character" w:customStyle="1" w:styleId="afd">
    <w:name w:val="清單段落 字元"/>
    <w:aliases w:val="1.1.1.1清單段落 字元,標題 (4) 字元,(二) 字元,列點 字元,清單段落2 字元,1.1 字元,2層標 字元,RFP項目 字元,List Paragraph 字元,List Paragraph1 字元,圖標號 字元,編號 1. 字元,壹 字元,彩色清單 - 輔色 12 字元,卑南壹 字元,01章名 字元,表格清單 字元,樣式A 字元,圖標 字元"/>
    <w:link w:val="afc"/>
    <w:uiPriority w:val="34"/>
    <w:qFormat/>
    <w:locked/>
    <w:rsid w:val="006F137A"/>
    <w:rPr>
      <w:rFonts w:ascii="標楷體" w:eastAsia="標楷體"/>
      <w:kern w:val="2"/>
      <w:sz w:val="32"/>
    </w:r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paragraph" w:styleId="aff2">
    <w:name w:val="TOC Heading"/>
    <w:basedOn w:val="1"/>
    <w:next w:val="a6"/>
    <w:uiPriority w:val="39"/>
    <w:unhideWhenUsed/>
    <w:qFormat/>
    <w:rsid w:val="005508F6"/>
    <w:pPr>
      <w:keepNext/>
      <w:keepLines/>
      <w:widowControl/>
      <w:numPr>
        <w:numId w:val="0"/>
      </w:numPr>
      <w:overflowPunct/>
      <w:autoSpaceDE/>
      <w:autoSpaceDN/>
      <w:spacing w:before="240" w:line="259" w:lineRule="auto"/>
      <w:jc w:val="center"/>
      <w:outlineLvl w:val="9"/>
    </w:pPr>
    <w:rPr>
      <w:rFonts w:hAnsi="標楷體" w:cstheme="majorBidi"/>
      <w:b/>
      <w:bCs w:val="0"/>
      <w:kern w:val="0"/>
      <w:szCs w:val="32"/>
      <w:lang w:val="zh-TW"/>
    </w:rPr>
  </w:style>
  <w:style w:type="paragraph" w:styleId="aff3">
    <w:name w:val="footnote text"/>
    <w:basedOn w:val="a6"/>
    <w:link w:val="aff4"/>
    <w:uiPriority w:val="99"/>
    <w:semiHidden/>
    <w:unhideWhenUsed/>
    <w:rsid w:val="004854A9"/>
    <w:pPr>
      <w:snapToGrid w:val="0"/>
      <w:jc w:val="left"/>
    </w:pPr>
    <w:rPr>
      <w:sz w:val="20"/>
    </w:rPr>
  </w:style>
  <w:style w:type="character" w:customStyle="1" w:styleId="aff4">
    <w:name w:val="註腳文字 字元"/>
    <w:basedOn w:val="a7"/>
    <w:link w:val="aff3"/>
    <w:uiPriority w:val="99"/>
    <w:semiHidden/>
    <w:rsid w:val="004854A9"/>
    <w:rPr>
      <w:rFonts w:ascii="標楷體" w:eastAsia="標楷體"/>
      <w:kern w:val="2"/>
    </w:rPr>
  </w:style>
  <w:style w:type="character" w:styleId="aff5">
    <w:name w:val="footnote reference"/>
    <w:basedOn w:val="a7"/>
    <w:uiPriority w:val="99"/>
    <w:semiHidden/>
    <w:unhideWhenUsed/>
    <w:rsid w:val="004854A9"/>
    <w:rPr>
      <w:vertAlign w:val="superscript"/>
    </w:rPr>
  </w:style>
  <w:style w:type="character" w:customStyle="1" w:styleId="13">
    <w:name w:val="未解析的提及項目1"/>
    <w:basedOn w:val="a7"/>
    <w:uiPriority w:val="99"/>
    <w:semiHidden/>
    <w:unhideWhenUsed/>
    <w:rsid w:val="0016115F"/>
    <w:rPr>
      <w:color w:val="605E5C"/>
      <w:shd w:val="clear" w:color="auto" w:fill="E1DFDD"/>
    </w:rPr>
  </w:style>
  <w:style w:type="table" w:customStyle="1" w:styleId="15">
    <w:name w:val="表格格線1"/>
    <w:basedOn w:val="a8"/>
    <w:next w:val="afb"/>
    <w:uiPriority w:val="39"/>
    <w:rsid w:val="000E1C3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sid w:val="0032185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b"/>
    <w:uiPriority w:val="39"/>
    <w:rsid w:val="00FD67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7"/>
    <w:uiPriority w:val="99"/>
    <w:semiHidden/>
    <w:unhideWhenUsed/>
    <w:rsid w:val="006A4A6A"/>
    <w:rPr>
      <w:color w:val="605E5C"/>
      <w:shd w:val="clear" w:color="auto" w:fill="E1DFDD"/>
    </w:rPr>
  </w:style>
  <w:style w:type="table" w:customStyle="1" w:styleId="23">
    <w:name w:val="表格格線2"/>
    <w:basedOn w:val="a8"/>
    <w:next w:val="afb"/>
    <w:uiPriority w:val="59"/>
    <w:rsid w:val="0051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E104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1047E"/>
    <w:rPr>
      <w:rFonts w:ascii="細明體" w:eastAsia="細明體" w:hAnsi="細明體" w:cs="細明體"/>
      <w:sz w:val="24"/>
      <w:szCs w:val="24"/>
    </w:rPr>
  </w:style>
  <w:style w:type="paragraph" w:styleId="Web">
    <w:name w:val="Normal (Web)"/>
    <w:basedOn w:val="a6"/>
    <w:uiPriority w:val="99"/>
    <w:unhideWhenUsed/>
    <w:rsid w:val="00E1047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E1047E"/>
    <w:pPr>
      <w:widowControl w:val="0"/>
      <w:autoSpaceDE w:val="0"/>
      <w:autoSpaceDN w:val="0"/>
      <w:adjustRightInd w:val="0"/>
    </w:pPr>
    <w:rPr>
      <w:rFonts w:ascii="標楷體" w:eastAsia="標楷體" w:cs="標楷體"/>
      <w:color w:val="000000"/>
      <w:sz w:val="24"/>
      <w:szCs w:val="24"/>
    </w:rPr>
  </w:style>
  <w:style w:type="paragraph" w:customStyle="1" w:styleId="16">
    <w:name w:val="字元1 字元 字元 字元 字元 字元 字元"/>
    <w:basedOn w:val="a6"/>
    <w:semiHidden/>
    <w:rsid w:val="00E1047E"/>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af5">
    <w:name w:val="本文縮排 字元"/>
    <w:basedOn w:val="a7"/>
    <w:link w:val="af4"/>
    <w:semiHidden/>
    <w:rsid w:val="00E1047E"/>
    <w:rPr>
      <w:rFonts w:ascii="標楷體" w:eastAsia="標楷體"/>
      <w:kern w:val="2"/>
      <w:sz w:val="32"/>
    </w:rPr>
  </w:style>
  <w:style w:type="character" w:customStyle="1" w:styleId="ad">
    <w:name w:val="章節附註文字 字元"/>
    <w:basedOn w:val="a7"/>
    <w:link w:val="ac"/>
    <w:semiHidden/>
    <w:rsid w:val="00E1047E"/>
    <w:rPr>
      <w:rFonts w:ascii="標楷體" w:eastAsia="標楷體"/>
      <w:snapToGrid w:val="0"/>
      <w:spacing w:val="10"/>
      <w:kern w:val="2"/>
      <w:sz w:val="32"/>
    </w:rPr>
  </w:style>
  <w:style w:type="paragraph" w:customStyle="1" w:styleId="17">
    <w:name w:val="段落樣式1"/>
    <w:basedOn w:val="a6"/>
    <w:qFormat/>
    <w:rsid w:val="00E1047E"/>
    <w:pPr>
      <w:tabs>
        <w:tab w:val="left" w:pos="567"/>
      </w:tabs>
      <w:ind w:leftChars="200" w:left="200" w:firstLineChars="200" w:firstLine="200"/>
    </w:pPr>
    <w:rPr>
      <w:kern w:val="32"/>
    </w:rPr>
  </w:style>
  <w:style w:type="character" w:customStyle="1" w:styleId="af8">
    <w:name w:val="頁尾 字元"/>
    <w:basedOn w:val="a7"/>
    <w:link w:val="af7"/>
    <w:semiHidden/>
    <w:rsid w:val="00E1047E"/>
    <w:rPr>
      <w:rFonts w:ascii="標楷體" w:eastAsia="標楷體"/>
      <w:kern w:val="2"/>
    </w:rPr>
  </w:style>
  <w:style w:type="character" w:customStyle="1" w:styleId="af0">
    <w:name w:val="頁首 字元"/>
    <w:basedOn w:val="a7"/>
    <w:link w:val="af"/>
    <w:semiHidden/>
    <w:rsid w:val="00E1047E"/>
    <w:rPr>
      <w:rFonts w:ascii="標楷體" w:eastAsia="標楷體"/>
      <w:kern w:val="2"/>
    </w:rPr>
  </w:style>
  <w:style w:type="character" w:customStyle="1" w:styleId="60">
    <w:name w:val="標題 6 字元"/>
    <w:aliases w:val="6_標題 字元"/>
    <w:basedOn w:val="a7"/>
    <w:link w:val="6"/>
    <w:rsid w:val="00E1047E"/>
    <w:rPr>
      <w:rFonts w:ascii="標楷體" w:eastAsia="標楷體" w:hAnsi="Arial"/>
      <w:kern w:val="32"/>
      <w:sz w:val="32"/>
      <w:szCs w:val="36"/>
    </w:rPr>
  </w:style>
  <w:style w:type="character" w:customStyle="1" w:styleId="70">
    <w:name w:val="標題 7 字元"/>
    <w:basedOn w:val="a7"/>
    <w:link w:val="7"/>
    <w:rsid w:val="00E1047E"/>
    <w:rPr>
      <w:rFonts w:ascii="標楷體" w:eastAsia="標楷體" w:hAnsi="Arial"/>
      <w:bCs/>
      <w:kern w:val="32"/>
      <w:sz w:val="32"/>
      <w:szCs w:val="36"/>
    </w:rPr>
  </w:style>
  <w:style w:type="character" w:customStyle="1" w:styleId="80">
    <w:name w:val="標題 8 字元"/>
    <w:basedOn w:val="a7"/>
    <w:link w:val="8"/>
    <w:rsid w:val="00E1047E"/>
    <w:rPr>
      <w:rFonts w:ascii="標楷體" w:eastAsia="標楷體" w:hAnsi="Arial"/>
      <w:kern w:val="32"/>
      <w:sz w:val="32"/>
      <w:szCs w:val="36"/>
    </w:rPr>
  </w:style>
  <w:style w:type="character" w:customStyle="1" w:styleId="ab">
    <w:name w:val="簽名 字元"/>
    <w:basedOn w:val="a7"/>
    <w:link w:val="aa"/>
    <w:semiHidden/>
    <w:rsid w:val="00E1047E"/>
    <w:rPr>
      <w:rFonts w:ascii="標楷體" w:eastAsia="標楷體"/>
      <w:b/>
      <w:snapToGrid w:val="0"/>
      <w:spacing w:val="10"/>
      <w:kern w:val="2"/>
      <w:sz w:val="36"/>
    </w:rPr>
  </w:style>
  <w:style w:type="paragraph" w:customStyle="1" w:styleId="18">
    <w:name w:val="字元1 字元 字元 字元 字元 字元 字元"/>
    <w:basedOn w:val="a6"/>
    <w:semiHidden/>
    <w:rsid w:val="0079030B"/>
    <w:pPr>
      <w:widowControl/>
      <w:overflowPunct/>
      <w:autoSpaceDE/>
      <w:autoSpaceDN/>
      <w:spacing w:after="160" w:line="240" w:lineRule="exact"/>
      <w:jc w:val="left"/>
    </w:pPr>
    <w:rPr>
      <w:rFonts w:ascii="Verdana" w:eastAsia="Times New Roman"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80151731">
      <w:bodyDiv w:val="1"/>
      <w:marLeft w:val="0"/>
      <w:marRight w:val="0"/>
      <w:marTop w:val="0"/>
      <w:marBottom w:val="0"/>
      <w:divBdr>
        <w:top w:val="none" w:sz="0" w:space="0" w:color="auto"/>
        <w:left w:val="none" w:sz="0" w:space="0" w:color="auto"/>
        <w:bottom w:val="none" w:sz="0" w:space="0" w:color="auto"/>
        <w:right w:val="none" w:sz="0" w:space="0" w:color="auto"/>
      </w:divBdr>
    </w:div>
    <w:div w:id="170363333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E24B-993D-4541-8BF0-B5809497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3438</Words>
  <Characters>19600</Characters>
  <Application>Microsoft Office Word</Application>
  <DocSecurity>0</DocSecurity>
  <Lines>163</Lines>
  <Paragraphs>45</Paragraphs>
  <ScaleCrop>false</ScaleCrop>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2023-09-26T08:26:00Z</dcterms:created>
  <dcterms:modified xsi:type="dcterms:W3CDTF">2023-09-26T08:26:00Z</dcterms:modified>
  <cp:contentStatus/>
</cp:coreProperties>
</file>