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FD7" w:rsidRPr="00BF0FC7" w:rsidRDefault="00E35FD7" w:rsidP="00E35FD7">
      <w:pPr>
        <w:pStyle w:val="af2"/>
      </w:pPr>
      <w:r w:rsidRPr="00BF0FC7">
        <w:rPr>
          <w:rFonts w:hint="eastAsia"/>
        </w:rPr>
        <w:t>調查報告</w:t>
      </w:r>
    </w:p>
    <w:p w:rsidR="00E25849" w:rsidRPr="00BF0FC7"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40135503"/>
      <w:r w:rsidRPr="00BF0FC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A7F6D" w:rsidRPr="00BF0FC7">
        <w:rPr>
          <w:rFonts w:hint="eastAsia"/>
        </w:rPr>
        <w:t>據審計部</w:t>
      </w:r>
      <w:proofErr w:type="gramStart"/>
      <w:r w:rsidR="00BA7F6D" w:rsidRPr="00BF0FC7">
        <w:rPr>
          <w:rFonts w:hint="eastAsia"/>
        </w:rPr>
        <w:t>110</w:t>
      </w:r>
      <w:proofErr w:type="gramEnd"/>
      <w:r w:rsidR="00BA7F6D" w:rsidRPr="00BF0FC7">
        <w:rPr>
          <w:rFonts w:hint="eastAsia"/>
        </w:rPr>
        <w:t>年度中央政府總決算審核報告，行政院環境保護署為管理土壤及地下水污染整治，已於系統建置代為支應費用求償案件，惟長年來未能掌握求償案件之進度及成效，另地方政府未提報污染控制計畫並進行整治，致部分土地控制場址列管長達10餘年，未能完成整治；以及國防部陸軍司令部辦理營區放流水檢測項目、污水處理及檢驗、高污染潛</w:t>
      </w:r>
      <w:proofErr w:type="gramStart"/>
      <w:r w:rsidR="00BA7F6D" w:rsidRPr="00BF0FC7">
        <w:rPr>
          <w:rFonts w:hint="eastAsia"/>
        </w:rPr>
        <w:t>勢區場址擇</w:t>
      </w:r>
      <w:proofErr w:type="gramEnd"/>
      <w:r w:rsidR="00BA7F6D" w:rsidRPr="00BF0FC7">
        <w:rPr>
          <w:rFonts w:hint="eastAsia"/>
        </w:rPr>
        <w:t>選及改善作業等未臻周全，其原因為何？實有深入瞭解之必要案。</w:t>
      </w:r>
      <w:bookmarkEnd w:id="25"/>
    </w:p>
    <w:p w:rsidR="00132620" w:rsidRPr="00BF0FC7" w:rsidRDefault="00132620" w:rsidP="00132620">
      <w:pPr>
        <w:pStyle w:val="1"/>
        <w:ind w:left="2380" w:hanging="2380"/>
      </w:pPr>
      <w:bookmarkStart w:id="26" w:name="_Toc525070834"/>
      <w:bookmarkStart w:id="27" w:name="_Toc525938374"/>
      <w:bookmarkStart w:id="28" w:name="_Toc525939222"/>
      <w:bookmarkStart w:id="29" w:name="_Toc525939727"/>
      <w:bookmarkStart w:id="30" w:name="_Toc525066144"/>
      <w:bookmarkStart w:id="31" w:name="_Toc524892372"/>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421794872"/>
      <w:bookmarkStart w:id="55" w:name="_Toc422834157"/>
      <w:bookmarkStart w:id="56" w:name="_Toc140135544"/>
      <w:r w:rsidRPr="00BF0FC7">
        <w:rPr>
          <w:rFonts w:hint="eastAsia"/>
        </w:rPr>
        <w:t>調查意見：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645B50" w:rsidRPr="00BF0FC7" w:rsidRDefault="00645B50" w:rsidP="00132620">
      <w:pPr>
        <w:pStyle w:val="10"/>
        <w:ind w:left="680" w:firstLine="680"/>
      </w:pPr>
      <w:bookmarkStart w:id="57" w:name="_Toc524902730"/>
      <w:r w:rsidRPr="00BF0FC7">
        <w:rPr>
          <w:rFonts w:hint="eastAsia"/>
        </w:rPr>
        <w:t>本案係本院社會福利及衛生環境委員會第6屆第14次會議決議，就審計部</w:t>
      </w:r>
      <w:r w:rsidR="000661D6" w:rsidRPr="00BF0FC7">
        <w:rPr>
          <w:rFonts w:hint="eastAsia"/>
        </w:rPr>
        <w:t>民國（下同）</w:t>
      </w:r>
      <w:proofErr w:type="gramStart"/>
      <w:r w:rsidRPr="00BF0FC7">
        <w:rPr>
          <w:rFonts w:hint="eastAsia"/>
        </w:rPr>
        <w:t>110</w:t>
      </w:r>
      <w:proofErr w:type="gramEnd"/>
      <w:r w:rsidRPr="00BF0FC7">
        <w:rPr>
          <w:rFonts w:hint="eastAsia"/>
        </w:rPr>
        <w:t>年度中央政府總決算附屬單位決算及綜計表審核報告（下稱審計部</w:t>
      </w:r>
      <w:proofErr w:type="gramStart"/>
      <w:r w:rsidRPr="00BF0FC7">
        <w:rPr>
          <w:rFonts w:hint="eastAsia"/>
        </w:rPr>
        <w:t>11</w:t>
      </w:r>
      <w:proofErr w:type="gramEnd"/>
      <w:r w:rsidRPr="00BF0FC7">
        <w:rPr>
          <w:rFonts w:hint="eastAsia"/>
        </w:rPr>
        <w:t>0年度中央政府總決算審核報告）指出，有關「行政院環境保護署（下稱環保署）為管理土壤及地下水污染整治，已於系統建置代為支應費用求償案件，惟長年來未能掌握求償案件之進度及成效；另地方政府未提報污染控制計畫並進行整治，致部分土地控制場址列管長達10餘年，未能完成整治，亟待檢討改善」等情，推派調查。又本院外交及國防委員會第6屆第15次會議決議，就審計部</w:t>
      </w:r>
      <w:proofErr w:type="gramStart"/>
      <w:r w:rsidRPr="00BF0FC7">
        <w:rPr>
          <w:rFonts w:hint="eastAsia"/>
        </w:rPr>
        <w:t>110</w:t>
      </w:r>
      <w:proofErr w:type="gramEnd"/>
      <w:r w:rsidRPr="00BF0FC7">
        <w:rPr>
          <w:rFonts w:hint="eastAsia"/>
        </w:rPr>
        <w:t>年度中央政府總決算審核報告中，有關國防部主管「陸軍司令部為減少營區各項污染對環境危害，已辦理營區放流水檢測作業、污染改善及廢棄物清理等環保工作，</w:t>
      </w:r>
      <w:proofErr w:type="gramStart"/>
      <w:r w:rsidRPr="00BF0FC7">
        <w:rPr>
          <w:rFonts w:hint="eastAsia"/>
        </w:rPr>
        <w:t>惟放流</w:t>
      </w:r>
      <w:proofErr w:type="gramEnd"/>
      <w:r w:rsidRPr="00BF0FC7">
        <w:rPr>
          <w:rFonts w:hint="eastAsia"/>
        </w:rPr>
        <w:t>水檢測項目、污水處理及放流水複檢、高污染潛</w:t>
      </w:r>
      <w:proofErr w:type="gramStart"/>
      <w:r w:rsidRPr="00BF0FC7">
        <w:rPr>
          <w:rFonts w:hint="eastAsia"/>
        </w:rPr>
        <w:t>勢區</w:t>
      </w:r>
      <w:proofErr w:type="gramEnd"/>
      <w:r w:rsidRPr="00BF0FC7">
        <w:rPr>
          <w:rFonts w:hint="eastAsia"/>
        </w:rPr>
        <w:t>場址改善作業等未臻周全，亟待研謀改善」，併案調查。</w:t>
      </w:r>
    </w:p>
    <w:p w:rsidR="00132620" w:rsidRPr="00BF0FC7" w:rsidRDefault="00132620" w:rsidP="00132620">
      <w:pPr>
        <w:pStyle w:val="10"/>
        <w:ind w:left="680" w:firstLine="680"/>
      </w:pPr>
      <w:r w:rsidRPr="00BF0FC7">
        <w:rPr>
          <w:rFonts w:hint="eastAsia"/>
        </w:rPr>
        <w:t>案經函請審計部、環保署、國防部提供卷證資料，</w:t>
      </w:r>
      <w:r w:rsidRPr="00BF0FC7">
        <w:rPr>
          <w:rFonts w:hint="eastAsia"/>
        </w:rPr>
        <w:lastRenderedPageBreak/>
        <w:t>並於11</w:t>
      </w:r>
      <w:r w:rsidRPr="00BF0FC7">
        <w:t>2</w:t>
      </w:r>
      <w:r w:rsidRPr="00BF0FC7">
        <w:rPr>
          <w:rFonts w:hint="eastAsia"/>
        </w:rPr>
        <w:t>年3月1日詢問環保署、土壤及地下水污染整治基金管理會（下稱土污基管會）</w:t>
      </w:r>
      <w:r w:rsidRPr="00BF0FC7">
        <w:rPr>
          <w:rFonts w:hint="eastAsia"/>
        </w:rPr>
        <w:tab/>
        <w:t>、國防部及所屬資源規劃司、陸軍司令部等相關人員</w:t>
      </w:r>
      <w:r w:rsidR="00DA4186" w:rsidRPr="00BF0FC7">
        <w:rPr>
          <w:rFonts w:hint="eastAsia"/>
        </w:rPr>
        <w:t>，</w:t>
      </w:r>
      <w:r w:rsidRPr="00BF0FC7">
        <w:rPr>
          <w:rFonts w:hint="eastAsia"/>
        </w:rPr>
        <w:t>復於1</w:t>
      </w:r>
      <w:r w:rsidRPr="00BF0FC7">
        <w:t>12</w:t>
      </w:r>
      <w:r w:rsidRPr="00BF0FC7">
        <w:rPr>
          <w:rFonts w:hint="eastAsia"/>
        </w:rPr>
        <w:t>年3月2</w:t>
      </w:r>
      <w:r w:rsidRPr="00BF0FC7">
        <w:t>9</w:t>
      </w:r>
      <w:r w:rsidRPr="00BF0FC7">
        <w:rPr>
          <w:rFonts w:hint="eastAsia"/>
        </w:rPr>
        <w:t>日偕同環保署、國防部及</w:t>
      </w:r>
      <w:proofErr w:type="gramStart"/>
      <w:r w:rsidRPr="00BF0FC7">
        <w:rPr>
          <w:rFonts w:hint="eastAsia"/>
        </w:rPr>
        <w:t>臺</w:t>
      </w:r>
      <w:proofErr w:type="gramEnd"/>
      <w:r w:rsidRPr="00BF0FC7">
        <w:rPr>
          <w:rFonts w:hint="eastAsia"/>
        </w:rPr>
        <w:t>南市政府等機關所屬人員，於上午實地履勘陸軍航空特戰指揮部（下稱陸軍航特部）歸仁營區，瞭解營區污水處理、各型機清洗作業方式及土壤污染自主檢測等作為，同日下午赴位於臺南市之中國石油化學工業開發有限公司</w:t>
      </w:r>
      <w:r w:rsidR="009A558F" w:rsidRPr="00BF0FC7">
        <w:rPr>
          <w:rFonts w:hint="eastAsia"/>
        </w:rPr>
        <w:t>（下稱</w:t>
      </w:r>
      <w:r w:rsidR="00C61F88" w:rsidRPr="00BF0FC7">
        <w:rPr>
          <w:rFonts w:hint="eastAsia"/>
        </w:rPr>
        <w:t>中石化</w:t>
      </w:r>
      <w:r w:rsidR="009A558F" w:rsidRPr="00BF0FC7">
        <w:rPr>
          <w:rFonts w:hint="eastAsia"/>
        </w:rPr>
        <w:t>）</w:t>
      </w:r>
      <w:r w:rsidRPr="00BF0FC7">
        <w:rPr>
          <w:rFonts w:hint="eastAsia"/>
        </w:rPr>
        <w:t>安順廠土壤污染整治場址，瞭解</w:t>
      </w:r>
      <w:r w:rsidRPr="00BF0FC7">
        <w:rPr>
          <w:rFonts w:hint="eastAsia"/>
        </w:rPr>
        <w:tab/>
        <w:t>臺南市政府環境保護局（下稱臺南環保局）就該場址整治進度及該市列管10年</w:t>
      </w:r>
      <w:r w:rsidR="009C1FEE" w:rsidRPr="00BF0FC7">
        <w:rPr>
          <w:rFonts w:hint="eastAsia"/>
        </w:rPr>
        <w:t>以上</w:t>
      </w:r>
      <w:r w:rsidRPr="00BF0FC7">
        <w:rPr>
          <w:rFonts w:hint="eastAsia"/>
        </w:rPr>
        <w:t>污染場址之處理情形。</w:t>
      </w:r>
      <w:proofErr w:type="gramStart"/>
      <w:r w:rsidR="00603B4C" w:rsidRPr="00BF0FC7">
        <w:rPr>
          <w:rFonts w:hint="eastAsia"/>
        </w:rPr>
        <w:t>茲據各</w:t>
      </w:r>
      <w:proofErr w:type="gramEnd"/>
      <w:r w:rsidR="00603B4C" w:rsidRPr="00BF0FC7">
        <w:rPr>
          <w:rFonts w:hint="eastAsia"/>
        </w:rPr>
        <w:t>機關查復資料、詢問前後提供卷證及本院實地履勘情形，</w:t>
      </w:r>
      <w:r w:rsidRPr="00BF0FC7">
        <w:rPr>
          <w:rFonts w:hint="eastAsia"/>
        </w:rPr>
        <w:t>已調查</w:t>
      </w:r>
      <w:r w:rsidRPr="00BF0FC7">
        <w:rPr>
          <w:rFonts w:hAnsi="標楷體" w:hint="eastAsia"/>
        </w:rPr>
        <w:t>完畢</w:t>
      </w:r>
      <w:r w:rsidRPr="00BF0FC7">
        <w:rPr>
          <w:rFonts w:hint="eastAsia"/>
        </w:rPr>
        <w:t>，茲臚列調查意見如下：</w:t>
      </w:r>
    </w:p>
    <w:p w:rsidR="006037A3" w:rsidRPr="00BF0FC7" w:rsidRDefault="006037A3" w:rsidP="005C024B">
      <w:pPr>
        <w:pStyle w:val="2"/>
        <w:rPr>
          <w:b/>
        </w:rPr>
      </w:pPr>
      <w:bookmarkStart w:id="58" w:name="_Toc140135545"/>
      <w:bookmarkStart w:id="59" w:name="_Toc421794873"/>
      <w:bookmarkStart w:id="60" w:name="_Toc422834158"/>
      <w:r w:rsidRPr="00BF0FC7">
        <w:rPr>
          <w:rFonts w:hint="eastAsia"/>
          <w:b/>
        </w:rPr>
        <w:t>環保署</w:t>
      </w:r>
      <w:r w:rsidR="00ED088D" w:rsidRPr="00BF0FC7">
        <w:rPr>
          <w:rFonts w:hint="eastAsia"/>
          <w:b/>
        </w:rPr>
        <w:t>土壤及地下水污染整治基金</w:t>
      </w:r>
      <w:proofErr w:type="gramStart"/>
      <w:r w:rsidR="0067008F" w:rsidRPr="00BF0FC7">
        <w:rPr>
          <w:rFonts w:hint="eastAsia"/>
          <w:b/>
        </w:rPr>
        <w:t>列管</w:t>
      </w:r>
      <w:r w:rsidR="00ED088D" w:rsidRPr="00BF0FC7">
        <w:rPr>
          <w:rFonts w:hint="eastAsia"/>
          <w:b/>
        </w:rPr>
        <w:t>代為</w:t>
      </w:r>
      <w:proofErr w:type="gramEnd"/>
      <w:r w:rsidR="00ED088D" w:rsidRPr="00BF0FC7">
        <w:rPr>
          <w:rFonts w:hint="eastAsia"/>
          <w:b/>
        </w:rPr>
        <w:t>支應費用之求償案件</w:t>
      </w:r>
      <w:r w:rsidR="00AF0AB5" w:rsidRPr="00BF0FC7">
        <w:rPr>
          <w:rFonts w:hint="eastAsia"/>
          <w:b/>
        </w:rPr>
        <w:t>共</w:t>
      </w:r>
      <w:r w:rsidR="0067008F" w:rsidRPr="00BF0FC7">
        <w:rPr>
          <w:rFonts w:hint="eastAsia"/>
          <w:b/>
        </w:rPr>
        <w:t>233件</w:t>
      </w:r>
      <w:r w:rsidR="00F75620" w:rsidRPr="00BF0FC7">
        <w:rPr>
          <w:rFonts w:hint="eastAsia"/>
          <w:b/>
        </w:rPr>
        <w:t>約</w:t>
      </w:r>
      <w:r w:rsidR="00ED088D" w:rsidRPr="00BF0FC7">
        <w:rPr>
          <w:rFonts w:hint="eastAsia"/>
          <w:b/>
        </w:rPr>
        <w:t>計</w:t>
      </w:r>
      <w:r w:rsidR="00F75620" w:rsidRPr="00BF0FC7">
        <w:rPr>
          <w:rFonts w:hint="eastAsia"/>
          <w:b/>
        </w:rPr>
        <w:t>新臺幣</w:t>
      </w:r>
      <w:r w:rsidR="00ED088D" w:rsidRPr="00BF0FC7">
        <w:rPr>
          <w:rFonts w:hint="eastAsia"/>
          <w:b/>
        </w:rPr>
        <w:t>（下同）</w:t>
      </w:r>
      <w:r w:rsidR="00F75620" w:rsidRPr="00BF0FC7">
        <w:rPr>
          <w:rFonts w:hint="eastAsia"/>
          <w:b/>
        </w:rPr>
        <w:t>29.4億元</w:t>
      </w:r>
      <w:r w:rsidR="0067008F" w:rsidRPr="00BF0FC7">
        <w:rPr>
          <w:rFonts w:hint="eastAsia"/>
          <w:b/>
        </w:rPr>
        <w:t>，</w:t>
      </w:r>
      <w:r w:rsidR="00F75620" w:rsidRPr="00BF0FC7">
        <w:rPr>
          <w:rFonts w:hint="eastAsia"/>
          <w:b/>
        </w:rPr>
        <w:t>其中查無污染行為人無法進行求償，並已逾行政程序法第131條</w:t>
      </w:r>
      <w:r w:rsidR="00A87C24" w:rsidRPr="00BF0FC7">
        <w:rPr>
          <w:rFonts w:hint="eastAsia"/>
          <w:b/>
        </w:rPr>
        <w:t>規定</w:t>
      </w:r>
      <w:r w:rsidR="00F75620" w:rsidRPr="00BF0FC7">
        <w:rPr>
          <w:rFonts w:hint="eastAsia"/>
          <w:b/>
        </w:rPr>
        <w:t>5年公法債權時效部分，農地</w:t>
      </w:r>
      <w:proofErr w:type="gramStart"/>
      <w:r w:rsidR="00F75620" w:rsidRPr="00BF0FC7">
        <w:rPr>
          <w:rFonts w:hint="eastAsia"/>
          <w:b/>
        </w:rPr>
        <w:t>場址約</w:t>
      </w:r>
      <w:proofErr w:type="gramEnd"/>
      <w:r w:rsidR="00F75620" w:rsidRPr="00BF0FC7">
        <w:rPr>
          <w:rFonts w:hint="eastAsia"/>
          <w:b/>
        </w:rPr>
        <w:t>為12億6,400餘萬元，事業</w:t>
      </w:r>
      <w:proofErr w:type="gramStart"/>
      <w:r w:rsidR="00F75620" w:rsidRPr="00BF0FC7">
        <w:rPr>
          <w:rFonts w:hint="eastAsia"/>
          <w:b/>
        </w:rPr>
        <w:t>場址約</w:t>
      </w:r>
      <w:proofErr w:type="gramEnd"/>
      <w:r w:rsidR="00F75620" w:rsidRPr="00BF0FC7">
        <w:rPr>
          <w:rFonts w:hint="eastAsia"/>
          <w:b/>
        </w:rPr>
        <w:t>為3億700餘萬元</w:t>
      </w:r>
      <w:r w:rsidR="00AE29A9" w:rsidRPr="00BF0FC7">
        <w:rPr>
          <w:rFonts w:hint="eastAsia"/>
          <w:b/>
        </w:rPr>
        <w:t>。</w:t>
      </w:r>
      <w:r w:rsidR="00DD0214" w:rsidRPr="00BF0FC7">
        <w:rPr>
          <w:rFonts w:hint="eastAsia"/>
          <w:b/>
        </w:rPr>
        <w:t>復據審計部</w:t>
      </w:r>
      <w:proofErr w:type="gramStart"/>
      <w:r w:rsidR="00DD0214" w:rsidRPr="00BF0FC7">
        <w:rPr>
          <w:rFonts w:hint="eastAsia"/>
          <w:b/>
        </w:rPr>
        <w:t>110</w:t>
      </w:r>
      <w:proofErr w:type="gramEnd"/>
      <w:r w:rsidR="00DD0214" w:rsidRPr="00BF0FC7">
        <w:rPr>
          <w:rFonts w:hint="eastAsia"/>
          <w:b/>
        </w:rPr>
        <w:t>年度中央政府總決算審核報告指出，該基金歷年</w:t>
      </w:r>
      <w:r w:rsidR="00F74F49" w:rsidRPr="00BF0FC7">
        <w:rPr>
          <w:rFonts w:hint="eastAsia"/>
          <w:b/>
        </w:rPr>
        <w:t>歸墊金額僅約1</w:t>
      </w:r>
      <w:r w:rsidR="00F74F49" w:rsidRPr="00BF0FC7">
        <w:rPr>
          <w:b/>
        </w:rPr>
        <w:t>7%</w:t>
      </w:r>
      <w:r w:rsidR="00F74F49" w:rsidRPr="00BF0FC7">
        <w:rPr>
          <w:rFonts w:hint="eastAsia"/>
          <w:b/>
        </w:rPr>
        <w:t>。而</w:t>
      </w:r>
      <w:r w:rsidR="006067A5" w:rsidRPr="00BF0FC7">
        <w:rPr>
          <w:rFonts w:hint="eastAsia"/>
          <w:b/>
        </w:rPr>
        <w:t>就公法債權</w:t>
      </w:r>
      <w:r w:rsidR="00F75620" w:rsidRPr="00BF0FC7">
        <w:rPr>
          <w:rFonts w:hint="eastAsia"/>
          <w:b/>
        </w:rPr>
        <w:t>時效</w:t>
      </w:r>
      <w:proofErr w:type="gramStart"/>
      <w:r w:rsidR="00F75620" w:rsidRPr="00BF0FC7">
        <w:rPr>
          <w:rFonts w:hint="eastAsia"/>
          <w:b/>
        </w:rPr>
        <w:t>尚未屆至案件</w:t>
      </w:r>
      <w:proofErr w:type="gramEnd"/>
      <w:r w:rsidR="00D16B3C" w:rsidRPr="00BF0FC7">
        <w:rPr>
          <w:rFonts w:hint="eastAsia"/>
          <w:b/>
        </w:rPr>
        <w:t>（即1</w:t>
      </w:r>
      <w:r w:rsidR="00D16B3C" w:rsidRPr="00BF0FC7">
        <w:rPr>
          <w:b/>
        </w:rPr>
        <w:t>07</w:t>
      </w:r>
      <w:r w:rsidR="00D16B3C" w:rsidRPr="00BF0FC7">
        <w:rPr>
          <w:rFonts w:hint="eastAsia"/>
          <w:b/>
        </w:rPr>
        <w:t>年迄今）</w:t>
      </w:r>
      <w:r w:rsidR="00F75620" w:rsidRPr="00BF0FC7">
        <w:rPr>
          <w:rFonts w:hint="eastAsia"/>
          <w:b/>
        </w:rPr>
        <w:t>計4</w:t>
      </w:r>
      <w:r w:rsidR="00F75620" w:rsidRPr="00BF0FC7">
        <w:rPr>
          <w:b/>
        </w:rPr>
        <w:t>0</w:t>
      </w:r>
      <w:r w:rsidR="00F75620" w:rsidRPr="00BF0FC7">
        <w:rPr>
          <w:rFonts w:hint="eastAsia"/>
          <w:b/>
        </w:rPr>
        <w:t>件，</w:t>
      </w:r>
      <w:r w:rsidR="00F74F49" w:rsidRPr="00BF0FC7">
        <w:rPr>
          <w:rFonts w:hint="eastAsia"/>
          <w:b/>
        </w:rPr>
        <w:t>仍有3</w:t>
      </w:r>
      <w:r w:rsidR="00F74F49" w:rsidRPr="00BF0FC7">
        <w:rPr>
          <w:b/>
        </w:rPr>
        <w:t>4</w:t>
      </w:r>
      <w:r w:rsidR="00F74F49" w:rsidRPr="00BF0FC7">
        <w:rPr>
          <w:rFonts w:hint="eastAsia"/>
          <w:b/>
        </w:rPr>
        <w:t>件</w:t>
      </w:r>
      <w:proofErr w:type="gramStart"/>
      <w:r w:rsidR="00F74F49" w:rsidRPr="00BF0FC7">
        <w:rPr>
          <w:rFonts w:hint="eastAsia"/>
          <w:b/>
        </w:rPr>
        <w:t>未完成求</w:t>
      </w:r>
      <w:proofErr w:type="gramEnd"/>
      <w:r w:rsidR="00F74F49" w:rsidRPr="00BF0FC7">
        <w:rPr>
          <w:rFonts w:hint="eastAsia"/>
          <w:b/>
        </w:rPr>
        <w:t>償，多</w:t>
      </w:r>
      <w:r w:rsidR="00EA703B" w:rsidRPr="00BF0FC7">
        <w:rPr>
          <w:rFonts w:hint="eastAsia"/>
          <w:b/>
        </w:rPr>
        <w:t>數案件仍</w:t>
      </w:r>
      <w:r w:rsidR="00F74F49" w:rsidRPr="00BF0FC7">
        <w:rPr>
          <w:rFonts w:hint="eastAsia"/>
          <w:b/>
        </w:rPr>
        <w:t>處於求償對象不明或尚未查獲污染行為人之情形，</w:t>
      </w:r>
      <w:r w:rsidR="00EF07C6" w:rsidRPr="00BF0FC7">
        <w:rPr>
          <w:rFonts w:hint="eastAsia"/>
          <w:b/>
        </w:rPr>
        <w:t>且</w:t>
      </w:r>
      <w:r w:rsidR="00F75620" w:rsidRPr="00BF0FC7">
        <w:rPr>
          <w:rFonts w:hint="eastAsia"/>
          <w:b/>
        </w:rPr>
        <w:t>執行進度</w:t>
      </w:r>
      <w:r w:rsidR="002B2FE5" w:rsidRPr="00BF0FC7">
        <w:rPr>
          <w:rFonts w:hint="eastAsia"/>
          <w:b/>
        </w:rPr>
        <w:t>早</w:t>
      </w:r>
      <w:r w:rsidR="00F75620" w:rsidRPr="00BF0FC7">
        <w:rPr>
          <w:rFonts w:hint="eastAsia"/>
          <w:b/>
        </w:rPr>
        <w:t>已落後</w:t>
      </w:r>
      <w:r w:rsidR="00AE29A9" w:rsidRPr="00BF0FC7">
        <w:rPr>
          <w:rFonts w:hint="eastAsia"/>
          <w:b/>
        </w:rPr>
        <w:t>。</w:t>
      </w:r>
      <w:r w:rsidR="00426073" w:rsidRPr="00BF0FC7">
        <w:rPr>
          <w:rFonts w:hint="eastAsia"/>
          <w:b/>
        </w:rPr>
        <w:t>雖</w:t>
      </w:r>
      <w:r w:rsidR="003649A0" w:rsidRPr="00BF0FC7">
        <w:rPr>
          <w:rFonts w:hint="eastAsia"/>
          <w:b/>
        </w:rPr>
        <w:t>環保署</w:t>
      </w:r>
      <w:r w:rsidR="00144C23" w:rsidRPr="00BF0FC7">
        <w:rPr>
          <w:rFonts w:hint="eastAsia"/>
          <w:b/>
        </w:rPr>
        <w:t>以污染來源與污染行為之因果關係建立極為困難</w:t>
      </w:r>
      <w:r w:rsidR="008B2FE2" w:rsidRPr="00BF0FC7">
        <w:rPr>
          <w:rFonts w:hint="eastAsia"/>
          <w:b/>
        </w:rPr>
        <w:t>等</w:t>
      </w:r>
      <w:r w:rsidR="007B77BB" w:rsidRPr="00BF0FC7">
        <w:rPr>
          <w:rFonts w:hint="eastAsia"/>
          <w:b/>
        </w:rPr>
        <w:t>為由</w:t>
      </w:r>
      <w:r w:rsidR="00144C23" w:rsidRPr="00BF0FC7">
        <w:rPr>
          <w:rFonts w:hint="eastAsia"/>
          <w:b/>
        </w:rPr>
        <w:t>，</w:t>
      </w:r>
      <w:r w:rsidR="00276B07" w:rsidRPr="00BF0FC7">
        <w:rPr>
          <w:rFonts w:hint="eastAsia"/>
          <w:b/>
        </w:rPr>
        <w:t>協助地方環保局提升專業能力、績效考評設有鼓勵及加分機制</w:t>
      </w:r>
      <w:r w:rsidR="00D16F05" w:rsidRPr="00BF0FC7">
        <w:rPr>
          <w:rFonts w:hint="eastAsia"/>
          <w:b/>
        </w:rPr>
        <w:t>，</w:t>
      </w:r>
      <w:r w:rsidR="005A066C" w:rsidRPr="00BF0FC7">
        <w:rPr>
          <w:rFonts w:hint="eastAsia"/>
          <w:b/>
        </w:rPr>
        <w:t>或</w:t>
      </w:r>
      <w:r w:rsidR="00736F49" w:rsidRPr="00BF0FC7">
        <w:rPr>
          <w:rFonts w:hint="eastAsia"/>
          <w:b/>
        </w:rPr>
        <w:t>於111年11月22日</w:t>
      </w:r>
      <w:r w:rsidR="009A5545" w:rsidRPr="00BF0FC7">
        <w:rPr>
          <w:rFonts w:hint="eastAsia"/>
          <w:b/>
        </w:rPr>
        <w:t>方</w:t>
      </w:r>
      <w:r w:rsidR="00736F49" w:rsidRPr="00BF0FC7">
        <w:rPr>
          <w:rFonts w:hint="eastAsia"/>
          <w:b/>
        </w:rPr>
        <w:t>下達「土壤及地下水污染整治法現行求償與債權保全制度精進措施指引」</w:t>
      </w:r>
      <w:r w:rsidR="009B1FDA" w:rsidRPr="00BF0FC7">
        <w:rPr>
          <w:rFonts w:hint="eastAsia"/>
          <w:b/>
        </w:rPr>
        <w:t>，僅</w:t>
      </w:r>
      <w:r w:rsidR="007B77BB" w:rsidRPr="00BF0FC7">
        <w:rPr>
          <w:rFonts w:hint="eastAsia"/>
          <w:b/>
        </w:rPr>
        <w:t>供地方環保局參考</w:t>
      </w:r>
      <w:r w:rsidR="00276B07" w:rsidRPr="00BF0FC7">
        <w:rPr>
          <w:rFonts w:hint="eastAsia"/>
          <w:b/>
        </w:rPr>
        <w:t>，</w:t>
      </w:r>
      <w:r w:rsidR="00426073" w:rsidRPr="00BF0FC7">
        <w:rPr>
          <w:rFonts w:hint="eastAsia"/>
          <w:b/>
        </w:rPr>
        <w:t>惟迄</w:t>
      </w:r>
      <w:r w:rsidR="009B1FDA" w:rsidRPr="00BF0FC7">
        <w:rPr>
          <w:rFonts w:hint="eastAsia"/>
          <w:b/>
        </w:rPr>
        <w:t>難以有效督促地方環保局積極查獲污染行為人，致</w:t>
      </w:r>
      <w:r w:rsidR="008B65A1" w:rsidRPr="00BF0FC7">
        <w:rPr>
          <w:rFonts w:hint="eastAsia"/>
          <w:b/>
        </w:rPr>
        <w:t>使</w:t>
      </w:r>
      <w:r w:rsidR="009B1FDA" w:rsidRPr="00BF0FC7">
        <w:rPr>
          <w:rFonts w:hint="eastAsia"/>
          <w:b/>
        </w:rPr>
        <w:t>無從進行債權保全，</w:t>
      </w:r>
      <w:r w:rsidR="00E53993" w:rsidRPr="00BF0FC7">
        <w:rPr>
          <w:rFonts w:hint="eastAsia"/>
          <w:b/>
        </w:rPr>
        <w:t>相關</w:t>
      </w:r>
      <w:proofErr w:type="gramStart"/>
      <w:r w:rsidR="00E53993" w:rsidRPr="00BF0FC7">
        <w:rPr>
          <w:rFonts w:hint="eastAsia"/>
          <w:b/>
        </w:rPr>
        <w:t>作為顯欠積極</w:t>
      </w:r>
      <w:proofErr w:type="gramEnd"/>
      <w:r w:rsidR="00E53993" w:rsidRPr="00BF0FC7">
        <w:rPr>
          <w:rFonts w:hint="eastAsia"/>
          <w:b/>
        </w:rPr>
        <w:t>，</w:t>
      </w:r>
      <w:r w:rsidR="007B6D22" w:rsidRPr="00BF0FC7">
        <w:rPr>
          <w:rFonts w:hint="eastAsia"/>
          <w:b/>
        </w:rPr>
        <w:t>應檢討改進。</w:t>
      </w:r>
      <w:bookmarkEnd w:id="58"/>
    </w:p>
    <w:p w:rsidR="00E26F6E" w:rsidRPr="00BF0FC7" w:rsidRDefault="007D64C7" w:rsidP="0046063F">
      <w:pPr>
        <w:pStyle w:val="3"/>
      </w:pPr>
      <w:bookmarkStart w:id="61" w:name="_Toc138666424"/>
      <w:bookmarkStart w:id="62" w:name="_Toc140135546"/>
      <w:r w:rsidRPr="00BF0FC7">
        <w:rPr>
          <w:rFonts w:hint="eastAsia"/>
        </w:rPr>
        <w:t>依土壤及地下水污染整治法（下稱土污法）</w:t>
      </w:r>
      <w:r w:rsidR="00A24D05" w:rsidRPr="00BF0FC7">
        <w:rPr>
          <w:rFonts w:hint="eastAsia"/>
        </w:rPr>
        <w:t>第28條</w:t>
      </w:r>
      <w:r w:rsidR="00A24D05" w:rsidRPr="00BF0FC7">
        <w:rPr>
          <w:rFonts w:hint="eastAsia"/>
        </w:rPr>
        <w:lastRenderedPageBreak/>
        <w:t>規定：</w:t>
      </w:r>
      <w:r w:rsidR="00141883" w:rsidRPr="00BF0FC7">
        <w:rPr>
          <w:rFonts w:hint="eastAsia"/>
        </w:rPr>
        <w:t>「</w:t>
      </w:r>
      <w:r w:rsidR="00A24D05" w:rsidRPr="00BF0FC7">
        <w:rPr>
          <w:rFonts w:hint="eastAsia"/>
        </w:rPr>
        <w:t>中央主管機關為整治土壤、地下水污染，得對公告之物質，依其產生量及輸入量，向製造者及輸入者徵收土壤及地下水污染整治費，並</w:t>
      </w:r>
      <w:bookmarkStart w:id="63" w:name="_Hlk138661703"/>
      <w:r w:rsidR="00A24D05" w:rsidRPr="00BF0FC7">
        <w:rPr>
          <w:rFonts w:hint="eastAsia"/>
          <w:b/>
        </w:rPr>
        <w:t>成立土壤及地下水污染整治基金</w:t>
      </w:r>
      <w:bookmarkEnd w:id="63"/>
      <w:r w:rsidR="00626A52" w:rsidRPr="00BF0FC7">
        <w:rPr>
          <w:rFonts w:hint="eastAsia"/>
        </w:rPr>
        <w:t>（下稱土污基金）</w:t>
      </w:r>
      <w:r w:rsidR="0014290B" w:rsidRPr="00BF0FC7">
        <w:rPr>
          <w:rFonts w:hint="eastAsia"/>
          <w:b/>
        </w:rPr>
        <w:t>。</w:t>
      </w:r>
      <w:r w:rsidR="0083565E" w:rsidRPr="00BF0FC7">
        <w:rPr>
          <w:rFonts w:hAnsi="標楷體"/>
        </w:rPr>
        <w:t>…</w:t>
      </w:r>
      <w:proofErr w:type="gramStart"/>
      <w:r w:rsidR="0083565E" w:rsidRPr="00BF0FC7">
        <w:rPr>
          <w:rFonts w:hAnsi="標楷體"/>
        </w:rPr>
        <w:t>…</w:t>
      </w:r>
      <w:proofErr w:type="gramEnd"/>
      <w:r w:rsidR="00700F14" w:rsidRPr="00BF0FC7">
        <w:rPr>
          <w:rFonts w:hint="eastAsia"/>
        </w:rPr>
        <w:t>第1項基金之用途如下：一、各級主管機關依第7條第1項與第5項、第1</w:t>
      </w:r>
      <w:r w:rsidR="00700F14" w:rsidRPr="00BF0FC7">
        <w:t>2</w:t>
      </w:r>
      <w:r w:rsidR="00700F14" w:rsidRPr="00BF0FC7">
        <w:rPr>
          <w:rFonts w:hint="eastAsia"/>
        </w:rPr>
        <w:t>條第1項、第5項至第6項、第8項至第1</w:t>
      </w:r>
      <w:r w:rsidR="00700F14" w:rsidRPr="00BF0FC7">
        <w:t>0</w:t>
      </w:r>
      <w:r w:rsidR="00700F14" w:rsidRPr="00BF0FC7">
        <w:rPr>
          <w:rFonts w:hint="eastAsia"/>
        </w:rPr>
        <w:t>項與第1</w:t>
      </w:r>
      <w:r w:rsidR="00700F14" w:rsidRPr="00BF0FC7">
        <w:t>3</w:t>
      </w:r>
      <w:r w:rsidR="00700F14" w:rsidRPr="00BF0FC7">
        <w:rPr>
          <w:rFonts w:hint="eastAsia"/>
        </w:rPr>
        <w:t>項、第1</w:t>
      </w:r>
      <w:r w:rsidR="00700F14" w:rsidRPr="00BF0FC7">
        <w:t>3</w:t>
      </w:r>
      <w:r w:rsidR="00700F14" w:rsidRPr="00BF0FC7">
        <w:rPr>
          <w:rFonts w:hint="eastAsia"/>
        </w:rPr>
        <w:t>條第1項與第2項、第1</w:t>
      </w:r>
      <w:r w:rsidR="00700F14" w:rsidRPr="00BF0FC7">
        <w:t>4</w:t>
      </w:r>
      <w:r w:rsidR="00700F14" w:rsidRPr="00BF0FC7">
        <w:rPr>
          <w:rFonts w:hint="eastAsia"/>
        </w:rPr>
        <w:t>條第1項與第3項、第1</w:t>
      </w:r>
      <w:r w:rsidR="00700F14" w:rsidRPr="00BF0FC7">
        <w:t>5</w:t>
      </w:r>
      <w:r w:rsidR="00700F14" w:rsidRPr="00BF0FC7">
        <w:rPr>
          <w:rFonts w:hint="eastAsia"/>
        </w:rPr>
        <w:t>條、第2</w:t>
      </w:r>
      <w:r w:rsidR="00700F14" w:rsidRPr="00BF0FC7">
        <w:t>2</w:t>
      </w:r>
      <w:r w:rsidR="00700F14" w:rsidRPr="00BF0FC7">
        <w:rPr>
          <w:rFonts w:hint="eastAsia"/>
        </w:rPr>
        <w:t>條第1項、第2項與第4項、第2</w:t>
      </w:r>
      <w:r w:rsidR="00700F14" w:rsidRPr="00BF0FC7">
        <w:t>4</w:t>
      </w:r>
      <w:r w:rsidR="00700F14" w:rsidRPr="00BF0FC7">
        <w:rPr>
          <w:rFonts w:hint="eastAsia"/>
        </w:rPr>
        <w:t>條第3項至第5項及第2</w:t>
      </w:r>
      <w:r w:rsidR="00700F14" w:rsidRPr="00BF0FC7">
        <w:t>7</w:t>
      </w:r>
      <w:r w:rsidR="00700F14" w:rsidRPr="00BF0FC7">
        <w:rPr>
          <w:rFonts w:hint="eastAsia"/>
        </w:rPr>
        <w:t>條第1項與第2項</w:t>
      </w:r>
      <w:r w:rsidR="00700F14" w:rsidRPr="00BF0FC7">
        <w:rPr>
          <w:rFonts w:hint="eastAsia"/>
          <w:b/>
        </w:rPr>
        <w:t>規定查證、採取應變必要措施、監督、訂定計畫、審查計畫、調查計畫、評估、實施計畫、變更計畫支出之費用。</w:t>
      </w:r>
      <w:r w:rsidR="00141883" w:rsidRPr="00BF0FC7">
        <w:rPr>
          <w:rFonts w:hint="eastAsia"/>
        </w:rPr>
        <w:t>」</w:t>
      </w:r>
      <w:r w:rsidR="00700F14" w:rsidRPr="00BF0FC7">
        <w:rPr>
          <w:rFonts w:hint="eastAsia"/>
        </w:rPr>
        <w:t>同法</w:t>
      </w:r>
      <w:r w:rsidRPr="00BF0FC7">
        <w:rPr>
          <w:rFonts w:hint="eastAsia"/>
        </w:rPr>
        <w:t>第31條規定：「</w:t>
      </w:r>
      <w:r w:rsidRPr="00BF0FC7">
        <w:rPr>
          <w:rFonts w:hint="eastAsia"/>
          <w:b/>
        </w:rPr>
        <w:t>污染土地關係人未盡善良管理人注意義務，應就各級主管機關依第13條第2項</w:t>
      </w:r>
      <w:r w:rsidRPr="00BF0FC7">
        <w:rPr>
          <w:rFonts w:hint="eastAsia"/>
        </w:rPr>
        <w:t>、第14條第3項、第15條、第22條第2項及第4項、第24條第3項規定</w:t>
      </w:r>
      <w:r w:rsidRPr="00BF0FC7">
        <w:rPr>
          <w:rFonts w:hint="eastAsia"/>
          <w:b/>
        </w:rPr>
        <w:t>支出之費用，與污染行為人、潛在污染責任人負連帶清償責任。</w:t>
      </w:r>
      <w:r w:rsidRPr="00BF0FC7">
        <w:rPr>
          <w:rFonts w:hint="eastAsia"/>
        </w:rPr>
        <w:t>污染土地關係人依前項規定清償之費用、依第14條第2項及第22條第3項支出之費用，得向污染行為人及潛在污染責任人求償。潛在污染責任人就前項支出之費用，得向污染行為人求償。…</w:t>
      </w:r>
      <w:proofErr w:type="gramStart"/>
      <w:r w:rsidRPr="00BF0FC7">
        <w:rPr>
          <w:rFonts w:hint="eastAsia"/>
        </w:rPr>
        <w:t>…</w:t>
      </w:r>
      <w:proofErr w:type="gramEnd"/>
      <w:r w:rsidRPr="00BF0FC7">
        <w:rPr>
          <w:rFonts w:hint="eastAsia"/>
        </w:rPr>
        <w:t>。」</w:t>
      </w:r>
      <w:bookmarkStart w:id="64" w:name="_Hlk138658282"/>
      <w:r w:rsidRPr="00BF0FC7">
        <w:rPr>
          <w:rFonts w:hint="eastAsia"/>
        </w:rPr>
        <w:t>環保署為向污染行為人或污染土地關係人</w:t>
      </w:r>
      <w:proofErr w:type="gramStart"/>
      <w:r w:rsidRPr="00BF0FC7">
        <w:rPr>
          <w:rFonts w:hint="eastAsia"/>
        </w:rPr>
        <w:t>求償代為</w:t>
      </w:r>
      <w:proofErr w:type="gramEnd"/>
      <w:r w:rsidRPr="00BF0FC7">
        <w:rPr>
          <w:rFonts w:hint="eastAsia"/>
        </w:rPr>
        <w:t>支應費用，</w:t>
      </w:r>
      <w:r w:rsidRPr="00BF0FC7">
        <w:rPr>
          <w:rFonts w:hint="eastAsia"/>
          <w:b/>
        </w:rPr>
        <w:t>於99年3月8日以環</w:t>
      </w:r>
      <w:proofErr w:type="gramStart"/>
      <w:r w:rsidRPr="00BF0FC7">
        <w:rPr>
          <w:rFonts w:hint="eastAsia"/>
          <w:b/>
        </w:rPr>
        <w:t>署土字第0990020031號函</w:t>
      </w:r>
      <w:proofErr w:type="gramEnd"/>
      <w:r w:rsidRPr="00BF0FC7">
        <w:rPr>
          <w:rFonts w:hint="eastAsia"/>
          <w:b/>
        </w:rPr>
        <w:t>訂定</w:t>
      </w:r>
      <w:r w:rsidR="004F00CC" w:rsidRPr="00BF0FC7">
        <w:rPr>
          <w:rFonts w:hint="eastAsia"/>
          <w:b/>
        </w:rPr>
        <w:t>「</w:t>
      </w:r>
      <w:r w:rsidRPr="00BF0FC7">
        <w:rPr>
          <w:rFonts w:hint="eastAsia"/>
          <w:b/>
        </w:rPr>
        <w:t>土壤及地下水污染整治基金代為支應費用求償案件列管作業原則</w:t>
      </w:r>
      <w:r w:rsidR="004F00CC" w:rsidRPr="00BF0FC7">
        <w:rPr>
          <w:rFonts w:hint="eastAsia"/>
          <w:b/>
        </w:rPr>
        <w:t>」</w:t>
      </w:r>
      <w:r w:rsidRPr="00BF0FC7">
        <w:rPr>
          <w:rFonts w:hint="eastAsia"/>
        </w:rPr>
        <w:t>，</w:t>
      </w:r>
      <w:bookmarkEnd w:id="64"/>
      <w:r w:rsidR="00E26F6E" w:rsidRPr="00BF0FC7">
        <w:rPr>
          <w:rFonts w:hint="eastAsia"/>
        </w:rPr>
        <w:t>依上開原則第</w:t>
      </w:r>
      <w:r w:rsidR="00E26F6E" w:rsidRPr="00BF0FC7">
        <w:t>4</w:t>
      </w:r>
      <w:r w:rsidR="00E26F6E" w:rsidRPr="00BF0FC7">
        <w:rPr>
          <w:rFonts w:hint="eastAsia"/>
        </w:rPr>
        <w:t>點規定求償案件應注意以下求償及執行時效：（一）直轄市、縣（市）主管機關應自實際支出</w:t>
      </w:r>
      <w:r w:rsidR="00D0782F" w:rsidRPr="00BF0FC7">
        <w:rPr>
          <w:rFonts w:hint="eastAsia"/>
        </w:rPr>
        <w:t>該</w:t>
      </w:r>
      <w:r w:rsidR="00E26F6E" w:rsidRPr="00BF0FC7">
        <w:rPr>
          <w:rFonts w:hint="eastAsia"/>
        </w:rPr>
        <w:t>署依本法撥付之經費時起5年內，依本法修正前第3</w:t>
      </w:r>
      <w:r w:rsidR="00E26F6E" w:rsidRPr="00BF0FC7">
        <w:t>8</w:t>
      </w:r>
      <w:r w:rsidR="00E26F6E" w:rsidRPr="00BF0FC7">
        <w:rPr>
          <w:rFonts w:hint="eastAsia"/>
        </w:rPr>
        <w:t>條及第3</w:t>
      </w:r>
      <w:r w:rsidR="00E26F6E" w:rsidRPr="00BF0FC7">
        <w:t>9</w:t>
      </w:r>
      <w:r w:rsidR="00E26F6E" w:rsidRPr="00BF0FC7">
        <w:rPr>
          <w:rFonts w:hint="eastAsia"/>
        </w:rPr>
        <w:t>條，或修正後第3</w:t>
      </w:r>
      <w:r w:rsidR="00E26F6E" w:rsidRPr="00BF0FC7">
        <w:t>1</w:t>
      </w:r>
      <w:r w:rsidR="00E26F6E" w:rsidRPr="00BF0FC7">
        <w:rPr>
          <w:rFonts w:hint="eastAsia"/>
        </w:rPr>
        <w:t>條第1項、第4</w:t>
      </w:r>
      <w:r w:rsidR="00E26F6E" w:rsidRPr="00BF0FC7">
        <w:t>3</w:t>
      </w:r>
      <w:r w:rsidR="00E26F6E" w:rsidRPr="00BF0FC7">
        <w:rPr>
          <w:rFonts w:hint="eastAsia"/>
        </w:rPr>
        <w:t>條第1項或第3項限期命污染行為人、污染土地關係人或潛在污染責任人繳納代為支應費用。（二）直轄市、縣（市）主管機關依本法修正前第3</w:t>
      </w:r>
      <w:r w:rsidR="00E26F6E" w:rsidRPr="00BF0FC7">
        <w:t>8</w:t>
      </w:r>
      <w:r w:rsidR="00E26F6E" w:rsidRPr="00BF0FC7">
        <w:rPr>
          <w:rFonts w:hint="eastAsia"/>
        </w:rPr>
        <w:t>條及第3</w:t>
      </w:r>
      <w:r w:rsidR="00E26F6E" w:rsidRPr="00BF0FC7">
        <w:t>9</w:t>
      </w:r>
      <w:r w:rsidR="00E26F6E" w:rsidRPr="00BF0FC7">
        <w:rPr>
          <w:rFonts w:hint="eastAsia"/>
        </w:rPr>
        <w:lastRenderedPageBreak/>
        <w:t>條作成按支出費用加計2倍之處分，及修正後第4</w:t>
      </w:r>
      <w:r w:rsidR="00E26F6E" w:rsidRPr="00BF0FC7">
        <w:t>3</w:t>
      </w:r>
      <w:r w:rsidR="00E26F6E" w:rsidRPr="00BF0FC7">
        <w:rPr>
          <w:rFonts w:hint="eastAsia"/>
        </w:rPr>
        <w:t>條第5項或第4</w:t>
      </w:r>
      <w:r w:rsidR="00E26F6E" w:rsidRPr="00BF0FC7">
        <w:t>4</w:t>
      </w:r>
      <w:r w:rsidR="00E26F6E" w:rsidRPr="00BF0FC7">
        <w:rPr>
          <w:rFonts w:hint="eastAsia"/>
        </w:rPr>
        <w:t>條作成滯納金或罰鍰之處分，皆應與前款處分一同移送行政執行，不因提起訴願或行政訴訟而停止執行。但經依訴願法第9</w:t>
      </w:r>
      <w:r w:rsidR="00E26F6E" w:rsidRPr="00BF0FC7">
        <w:t>3</w:t>
      </w:r>
      <w:r w:rsidR="00E26F6E" w:rsidRPr="00BF0FC7">
        <w:rPr>
          <w:rFonts w:hint="eastAsia"/>
        </w:rPr>
        <w:t>條第2項、第3項及行政訴訟法第1</w:t>
      </w:r>
      <w:r w:rsidR="00E26F6E" w:rsidRPr="00BF0FC7">
        <w:t>16</w:t>
      </w:r>
      <w:r w:rsidR="00E26F6E" w:rsidRPr="00BF0FC7">
        <w:rPr>
          <w:rFonts w:hint="eastAsia"/>
        </w:rPr>
        <w:t>條第2項、第3項停止執行者，不在此限。（三）前2款之處分，於確定之日起，5年內未經執行者，不再執行。</w:t>
      </w:r>
      <w:proofErr w:type="gramStart"/>
      <w:r w:rsidR="00E26F6E" w:rsidRPr="00BF0FC7">
        <w:rPr>
          <w:rFonts w:hint="eastAsia"/>
        </w:rPr>
        <w:t>次依</w:t>
      </w:r>
      <w:r w:rsidR="00E26F6E" w:rsidRPr="00BF0FC7">
        <w:rPr>
          <w:rFonts w:hint="eastAsia"/>
          <w:b/>
        </w:rPr>
        <w:t>行政</w:t>
      </w:r>
      <w:proofErr w:type="gramEnd"/>
      <w:r w:rsidR="00E26F6E" w:rsidRPr="00BF0FC7">
        <w:rPr>
          <w:rFonts w:hint="eastAsia"/>
          <w:b/>
        </w:rPr>
        <w:t>程序法第131條規定：「公法上之請求權，於請求權人為行政機關時，除法律另有規定外，因5年間不行使而消滅</w:t>
      </w:r>
      <w:r w:rsidR="00E26F6E" w:rsidRPr="00BF0FC7">
        <w:rPr>
          <w:rFonts w:hint="eastAsia"/>
        </w:rPr>
        <w:t>；於請求權人為人民時，除法律另有規定外，因10年間不行使而消滅。」</w:t>
      </w:r>
      <w:bookmarkEnd w:id="61"/>
      <w:bookmarkEnd w:id="62"/>
    </w:p>
    <w:p w:rsidR="005933A0" w:rsidRPr="00BF0FC7" w:rsidRDefault="00096978" w:rsidP="0046063F">
      <w:pPr>
        <w:pStyle w:val="3"/>
        <w:rPr>
          <w:b/>
        </w:rPr>
      </w:pPr>
      <w:bookmarkStart w:id="65" w:name="_Toc138666425"/>
      <w:bookmarkStart w:id="66" w:name="_Toc140135547"/>
      <w:r w:rsidRPr="00BF0FC7">
        <w:rPr>
          <w:rFonts w:hint="eastAsia"/>
          <w:b/>
        </w:rPr>
        <w:t>據審計部</w:t>
      </w:r>
      <w:proofErr w:type="gramStart"/>
      <w:r w:rsidRPr="00BF0FC7">
        <w:rPr>
          <w:rFonts w:hint="eastAsia"/>
          <w:b/>
        </w:rPr>
        <w:t>110</w:t>
      </w:r>
      <w:proofErr w:type="gramEnd"/>
      <w:r w:rsidRPr="00BF0FC7">
        <w:rPr>
          <w:rFonts w:hint="eastAsia"/>
          <w:b/>
        </w:rPr>
        <w:t>年度中央政府總決算審核報告指出</w:t>
      </w:r>
      <w:r w:rsidRPr="00BF0FC7">
        <w:rPr>
          <w:rFonts w:hint="eastAsia"/>
        </w:rPr>
        <w:t>，</w:t>
      </w:r>
      <w:proofErr w:type="gramStart"/>
      <w:r w:rsidRPr="00BF0FC7">
        <w:rPr>
          <w:rFonts w:hint="eastAsia"/>
        </w:rPr>
        <w:t>環保署土污基</w:t>
      </w:r>
      <w:proofErr w:type="gramEnd"/>
      <w:r w:rsidRPr="00BF0FC7">
        <w:rPr>
          <w:rFonts w:hint="eastAsia"/>
        </w:rPr>
        <w:t>金統計，基金歷年代為支應費用計28億7,407萬餘元，實際歸墊金額計5億1,025萬餘元（17.75％），其餘尚未歸墊。</w:t>
      </w:r>
      <w:r w:rsidR="001B729C" w:rsidRPr="00BF0FC7">
        <w:rPr>
          <w:rFonts w:hint="eastAsia"/>
          <w:b/>
        </w:rPr>
        <w:t>復據本院</w:t>
      </w:r>
      <w:r w:rsidR="00F314FD" w:rsidRPr="00BF0FC7">
        <w:rPr>
          <w:rFonts w:hint="eastAsia"/>
          <w:b/>
        </w:rPr>
        <w:t>調查，</w:t>
      </w:r>
      <w:proofErr w:type="gramStart"/>
      <w:r w:rsidR="00F314FD" w:rsidRPr="00BF0FC7">
        <w:rPr>
          <w:rFonts w:hint="eastAsia"/>
          <w:b/>
        </w:rPr>
        <w:t>環保署</w:t>
      </w:r>
      <w:r w:rsidR="00793B07" w:rsidRPr="00BF0FC7">
        <w:rPr>
          <w:rFonts w:hint="eastAsia"/>
          <w:b/>
        </w:rPr>
        <w:t>土污基金</w:t>
      </w:r>
      <w:proofErr w:type="gramEnd"/>
      <w:r w:rsidR="008E5169" w:rsidRPr="00BF0FC7">
        <w:rPr>
          <w:rFonts w:hint="eastAsia"/>
          <w:b/>
        </w:rPr>
        <w:t>歷年代為支應費用統計至111年10月31日止，共計列管</w:t>
      </w:r>
      <w:r w:rsidR="001E14D5" w:rsidRPr="00BF0FC7">
        <w:rPr>
          <w:rFonts w:hint="eastAsia"/>
          <w:b/>
        </w:rPr>
        <w:t>233件求償案件，合計金額約為29.4億元</w:t>
      </w:r>
      <w:r w:rsidR="001F30E3" w:rsidRPr="00BF0FC7">
        <w:rPr>
          <w:rFonts w:hint="eastAsia"/>
          <w:b/>
        </w:rPr>
        <w:t>（</w:t>
      </w:r>
      <w:r w:rsidR="00EF21F6" w:rsidRPr="00BF0FC7">
        <w:rPr>
          <w:rFonts w:hint="eastAsia"/>
        </w:rPr>
        <w:t>農地場址約22.5億元，事業場址約6.9億元</w:t>
      </w:r>
      <w:r w:rsidR="001F30E3" w:rsidRPr="00BF0FC7">
        <w:rPr>
          <w:rFonts w:hint="eastAsia"/>
        </w:rPr>
        <w:t>）</w:t>
      </w:r>
      <w:r w:rsidR="00EF21F6" w:rsidRPr="00BF0FC7">
        <w:rPr>
          <w:rFonts w:hint="eastAsia"/>
        </w:rPr>
        <w:t>。</w:t>
      </w:r>
      <w:r w:rsidR="00EF21F6" w:rsidRPr="00BF0FC7">
        <w:rPr>
          <w:rFonts w:hint="eastAsia"/>
          <w:b/>
        </w:rPr>
        <w:t>其中查無污染行為人無法進行求償，並已逾行政程序法第131條5年公法債權時效部分</w:t>
      </w:r>
      <w:r w:rsidR="00EF21F6" w:rsidRPr="00BF0FC7">
        <w:rPr>
          <w:rFonts w:hint="eastAsia"/>
        </w:rPr>
        <w:t>，</w:t>
      </w:r>
      <w:r w:rsidR="00EF21F6" w:rsidRPr="00BF0FC7">
        <w:rPr>
          <w:rFonts w:hint="eastAsia"/>
          <w:b/>
        </w:rPr>
        <w:t>農地場址</w:t>
      </w:r>
      <w:r w:rsidR="00EF21F6" w:rsidRPr="00BF0FC7">
        <w:rPr>
          <w:b/>
        </w:rPr>
        <w:t>147件</w:t>
      </w:r>
      <w:r w:rsidR="00EF21F6" w:rsidRPr="00BF0FC7">
        <w:rPr>
          <w:rFonts w:hint="eastAsia"/>
          <w:b/>
        </w:rPr>
        <w:t>約為12億6,400餘萬元，事業場址</w:t>
      </w:r>
      <w:r w:rsidR="00EF21F6" w:rsidRPr="00BF0FC7">
        <w:rPr>
          <w:b/>
        </w:rPr>
        <w:t>12件</w:t>
      </w:r>
      <w:r w:rsidR="00EF21F6" w:rsidRPr="00BF0FC7">
        <w:rPr>
          <w:rFonts w:hint="eastAsia"/>
          <w:b/>
        </w:rPr>
        <w:t>約為3億700餘萬元</w:t>
      </w:r>
      <w:r w:rsidR="00EF21F6" w:rsidRPr="00BF0FC7">
        <w:rPr>
          <w:rFonts w:hint="eastAsia"/>
        </w:rPr>
        <w:t>（如後表），</w:t>
      </w:r>
      <w:r w:rsidR="008E5169" w:rsidRPr="00BF0FC7">
        <w:rPr>
          <w:rFonts w:hint="eastAsia"/>
        </w:rPr>
        <w:t>另</w:t>
      </w:r>
      <w:r w:rsidR="008E5169" w:rsidRPr="00BF0FC7">
        <w:t>其中5件</w:t>
      </w:r>
      <w:r w:rsidR="00EF21F6" w:rsidRPr="00BF0FC7">
        <w:rPr>
          <w:rFonts w:hint="eastAsia"/>
        </w:rPr>
        <w:t>雖屬</w:t>
      </w:r>
      <w:r w:rsidR="008E5169" w:rsidRPr="00BF0FC7">
        <w:t>污染行為人明確案件</w:t>
      </w:r>
      <w:r w:rsidR="00EF21F6" w:rsidRPr="00BF0FC7">
        <w:rPr>
          <w:rFonts w:hint="eastAsia"/>
        </w:rPr>
        <w:t>且</w:t>
      </w:r>
      <w:r w:rsidR="008E5169" w:rsidRPr="00BF0FC7">
        <w:t>經移送行政執行</w:t>
      </w:r>
      <w:r w:rsidR="00EF21F6" w:rsidRPr="00BF0FC7">
        <w:rPr>
          <w:rFonts w:hint="eastAsia"/>
        </w:rPr>
        <w:t>，仍</w:t>
      </w:r>
      <w:r w:rsidR="008E5169" w:rsidRPr="00BF0FC7">
        <w:t>未獲償</w:t>
      </w:r>
      <w:r w:rsidR="008E5169" w:rsidRPr="00BF0FC7">
        <w:rPr>
          <w:rStyle w:val="aff"/>
        </w:rPr>
        <w:footnoteReference w:id="1"/>
      </w:r>
      <w:r w:rsidR="00EF21F6" w:rsidRPr="00BF0FC7">
        <w:rPr>
          <w:rFonts w:hint="eastAsia"/>
        </w:rPr>
        <w:t>，其</w:t>
      </w:r>
      <w:r w:rsidR="008E5169" w:rsidRPr="00BF0FC7">
        <w:rPr>
          <w:rFonts w:hint="eastAsia"/>
        </w:rPr>
        <w:t>原因</w:t>
      </w:r>
      <w:r w:rsidR="00EF21F6" w:rsidRPr="00BF0FC7">
        <w:rPr>
          <w:rFonts w:hint="eastAsia"/>
        </w:rPr>
        <w:t>為</w:t>
      </w:r>
      <w:r w:rsidR="008E5169" w:rsidRPr="00BF0FC7">
        <w:rPr>
          <w:rFonts w:hint="eastAsia"/>
        </w:rPr>
        <w:t>包括公</w:t>
      </w:r>
      <w:r w:rsidR="008E5169" w:rsidRPr="00BF0FC7">
        <w:rPr>
          <w:rFonts w:hint="eastAsia"/>
        </w:rPr>
        <w:lastRenderedPageBreak/>
        <w:t>司廢止登記、解散、負責人已無財產可供執行</w:t>
      </w:r>
      <w:r w:rsidR="008E5169" w:rsidRPr="00BF0FC7">
        <w:t>。</w:t>
      </w:r>
      <w:bookmarkEnd w:id="65"/>
      <w:bookmarkEnd w:id="66"/>
    </w:p>
    <w:p w:rsidR="0034548F" w:rsidRPr="00BF0FC7" w:rsidRDefault="0034548F">
      <w:pPr>
        <w:widowControl/>
        <w:overflowPunct/>
        <w:autoSpaceDE/>
        <w:autoSpaceDN/>
        <w:jc w:val="left"/>
        <w:rPr>
          <w:rFonts w:hAnsi="華康楷書體W5(P)"/>
          <w:b/>
          <w:bCs/>
          <w:spacing w:val="-10"/>
          <w:kern w:val="28"/>
          <w:sz w:val="28"/>
          <w:szCs w:val="28"/>
        </w:rPr>
      </w:pPr>
      <w:r w:rsidRPr="00BF0FC7">
        <w:rPr>
          <w:b/>
        </w:rPr>
        <w:br w:type="page"/>
      </w:r>
    </w:p>
    <w:p w:rsidR="005933A0" w:rsidRPr="00BF0FC7" w:rsidRDefault="005933A0" w:rsidP="005933A0">
      <w:pPr>
        <w:pStyle w:val="a3"/>
        <w:numPr>
          <w:ilvl w:val="0"/>
          <w:numId w:val="0"/>
        </w:numPr>
        <w:rPr>
          <w:b/>
        </w:rPr>
      </w:pPr>
      <w:proofErr w:type="gramStart"/>
      <w:r w:rsidRPr="00BF0FC7">
        <w:rPr>
          <w:b/>
        </w:rPr>
        <w:lastRenderedPageBreak/>
        <w:t>土污基金</w:t>
      </w:r>
      <w:proofErr w:type="gramEnd"/>
      <w:r w:rsidRPr="00BF0FC7">
        <w:rPr>
          <w:b/>
        </w:rPr>
        <w:t>歷年代為支應費用情形</w:t>
      </w:r>
      <w:r w:rsidRPr="00BF0FC7">
        <w:rPr>
          <w:rFonts w:hint="eastAsia"/>
          <w:b/>
        </w:rPr>
        <w:t>—農地場址</w:t>
      </w:r>
    </w:p>
    <w:p w:rsidR="005933A0" w:rsidRPr="00BF0FC7" w:rsidRDefault="005933A0" w:rsidP="005933A0">
      <w:pPr>
        <w:jc w:val="right"/>
        <w:rPr>
          <w:sz w:val="24"/>
          <w:szCs w:val="24"/>
        </w:rPr>
      </w:pPr>
      <w:r w:rsidRPr="00BF0FC7">
        <w:rPr>
          <w:rFonts w:hint="eastAsia"/>
          <w:sz w:val="24"/>
          <w:szCs w:val="24"/>
        </w:rPr>
        <w:t>單位：新臺幣，千元。</w:t>
      </w:r>
    </w:p>
    <w:tbl>
      <w:tblPr>
        <w:tblW w:w="10040" w:type="dxa"/>
        <w:jc w:val="center"/>
        <w:tblCellMar>
          <w:left w:w="28" w:type="dxa"/>
          <w:right w:w="28" w:type="dxa"/>
        </w:tblCellMar>
        <w:tblLook w:val="04A0" w:firstRow="1" w:lastRow="0" w:firstColumn="1" w:lastColumn="0" w:noHBand="0" w:noVBand="1"/>
      </w:tblPr>
      <w:tblGrid>
        <w:gridCol w:w="699"/>
        <w:gridCol w:w="992"/>
        <w:gridCol w:w="1267"/>
        <w:gridCol w:w="1047"/>
        <w:gridCol w:w="1134"/>
        <w:gridCol w:w="1352"/>
        <w:gridCol w:w="1267"/>
        <w:gridCol w:w="1134"/>
        <w:gridCol w:w="1134"/>
        <w:gridCol w:w="14"/>
      </w:tblGrid>
      <w:tr w:rsidR="00BF0FC7" w:rsidRPr="00BF0FC7" w:rsidTr="00963884">
        <w:trPr>
          <w:trHeight w:val="324"/>
          <w:jc w:val="center"/>
        </w:trPr>
        <w:tc>
          <w:tcPr>
            <w:tcW w:w="10040" w:type="dxa"/>
            <w:gridSpan w:val="10"/>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hAnsi="標楷體" w:hint="eastAsia"/>
                <w:kern w:val="0"/>
                <w:sz w:val="28"/>
                <w:szCs w:val="28"/>
              </w:rPr>
              <w:t>農地場址</w:t>
            </w:r>
          </w:p>
        </w:tc>
      </w:tr>
      <w:tr w:rsidR="00BF0FC7" w:rsidRPr="00BF0FC7" w:rsidTr="00963884">
        <w:trPr>
          <w:gridAfter w:val="1"/>
          <w:wAfter w:w="14" w:type="dxa"/>
          <w:trHeight w:val="975"/>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hAnsi="標楷體" w:hint="eastAsia"/>
                <w:kern w:val="0"/>
                <w:sz w:val="28"/>
                <w:szCs w:val="28"/>
              </w:rPr>
              <w:t>年度</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總件數</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總支應</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金額</w:t>
            </w:r>
          </w:p>
        </w:tc>
        <w:tc>
          <w:tcPr>
            <w:tcW w:w="1047" w:type="dxa"/>
            <w:tcBorders>
              <w:top w:val="nil"/>
              <w:left w:val="nil"/>
              <w:bottom w:val="single" w:sz="4" w:space="0" w:color="auto"/>
              <w:right w:val="single" w:sz="4" w:space="0" w:color="auto"/>
            </w:tcBorders>
            <w:shd w:val="clear" w:color="auto" w:fill="auto"/>
            <w:vAlign w:val="center"/>
            <w:hideMark/>
          </w:tcPr>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求償</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件數</w:t>
            </w:r>
          </w:p>
          <w:p w:rsidR="005933A0" w:rsidRPr="00BF0FC7" w:rsidRDefault="005933A0" w:rsidP="00963884">
            <w:pPr>
              <w:widowControl/>
              <w:overflowPunct/>
              <w:autoSpaceDE/>
              <w:autoSpaceDN/>
              <w:jc w:val="center"/>
              <w:rPr>
                <w:rFonts w:hAnsi="標楷體" w:cs="新細明體"/>
                <w:kern w:val="0"/>
                <w:sz w:val="24"/>
                <w:szCs w:val="24"/>
              </w:rPr>
            </w:pPr>
            <w:r w:rsidRPr="00BF0FC7">
              <w:rPr>
                <w:rFonts w:hAnsi="標楷體" w:cs="新細明體" w:hint="eastAsia"/>
                <w:kern w:val="0"/>
                <w:sz w:val="24"/>
                <w:szCs w:val="24"/>
              </w:rPr>
              <w:t>(</w:t>
            </w:r>
            <w:proofErr w:type="gramStart"/>
            <w:r w:rsidRPr="00BF0FC7">
              <w:rPr>
                <w:rFonts w:hAnsi="標楷體" w:cs="新細明體" w:hint="eastAsia"/>
                <w:kern w:val="0"/>
                <w:sz w:val="24"/>
                <w:szCs w:val="24"/>
              </w:rPr>
              <w:t>註</w:t>
            </w:r>
            <w:proofErr w:type="gramEnd"/>
            <w:r w:rsidRPr="00BF0FC7">
              <w:rPr>
                <w:rFonts w:hAnsi="標楷體" w:cs="新細明體"/>
                <w:kern w:val="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求償</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金額</w:t>
            </w:r>
          </w:p>
        </w:tc>
        <w:tc>
          <w:tcPr>
            <w:tcW w:w="1352" w:type="dxa"/>
            <w:tcBorders>
              <w:top w:val="nil"/>
              <w:left w:val="nil"/>
              <w:bottom w:val="single" w:sz="4" w:space="0" w:color="auto"/>
              <w:right w:val="single" w:sz="4" w:space="0" w:color="auto"/>
            </w:tcBorders>
            <w:shd w:val="clear" w:color="auto" w:fill="auto"/>
            <w:vAlign w:val="center"/>
            <w:hideMark/>
          </w:tcPr>
          <w:p w:rsidR="005933A0" w:rsidRPr="00BF0FC7" w:rsidRDefault="005933A0" w:rsidP="00963884">
            <w:pPr>
              <w:widowControl/>
              <w:overflowPunct/>
              <w:autoSpaceDE/>
              <w:autoSpaceDN/>
              <w:jc w:val="center"/>
              <w:rPr>
                <w:rFonts w:hAnsi="標楷體" w:cs="新細明體"/>
                <w:kern w:val="0"/>
                <w:sz w:val="28"/>
                <w:szCs w:val="28"/>
              </w:rPr>
            </w:pPr>
            <w:proofErr w:type="gramStart"/>
            <w:r w:rsidRPr="00BF0FC7">
              <w:rPr>
                <w:rFonts w:hAnsi="標楷體" w:cs="新細明體" w:hint="eastAsia"/>
                <w:kern w:val="0"/>
                <w:sz w:val="28"/>
                <w:szCs w:val="28"/>
              </w:rPr>
              <w:t>罹</w:t>
            </w:r>
            <w:proofErr w:type="gramEnd"/>
            <w:r w:rsidRPr="00BF0FC7">
              <w:rPr>
                <w:rFonts w:hAnsi="標楷體" w:cs="新細明體" w:hint="eastAsia"/>
                <w:kern w:val="0"/>
                <w:sz w:val="28"/>
                <w:szCs w:val="28"/>
              </w:rPr>
              <w:t>於時效件數</w:t>
            </w:r>
          </w:p>
        </w:tc>
        <w:tc>
          <w:tcPr>
            <w:tcW w:w="1267" w:type="dxa"/>
            <w:tcBorders>
              <w:top w:val="nil"/>
              <w:left w:val="nil"/>
              <w:bottom w:val="single" w:sz="4" w:space="0" w:color="auto"/>
              <w:right w:val="single" w:sz="4" w:space="0" w:color="auto"/>
            </w:tcBorders>
            <w:shd w:val="clear" w:color="auto" w:fill="auto"/>
            <w:vAlign w:val="center"/>
            <w:hideMark/>
          </w:tcPr>
          <w:p w:rsidR="005933A0" w:rsidRPr="00BF0FC7" w:rsidRDefault="005933A0" w:rsidP="00963884">
            <w:pPr>
              <w:widowControl/>
              <w:overflowPunct/>
              <w:autoSpaceDE/>
              <w:autoSpaceDN/>
              <w:jc w:val="center"/>
              <w:rPr>
                <w:rFonts w:hAnsi="標楷體" w:cs="新細明體"/>
                <w:kern w:val="0"/>
                <w:sz w:val="28"/>
                <w:szCs w:val="28"/>
              </w:rPr>
            </w:pPr>
            <w:proofErr w:type="gramStart"/>
            <w:r w:rsidRPr="00BF0FC7">
              <w:rPr>
                <w:rFonts w:hAnsi="標楷體" w:cs="新細明體" w:hint="eastAsia"/>
                <w:kern w:val="0"/>
                <w:sz w:val="28"/>
                <w:szCs w:val="28"/>
              </w:rPr>
              <w:t>罹</w:t>
            </w:r>
            <w:proofErr w:type="gramEnd"/>
            <w:r w:rsidRPr="00BF0FC7">
              <w:rPr>
                <w:rFonts w:hAnsi="標楷體" w:cs="新細明體" w:hint="eastAsia"/>
                <w:kern w:val="0"/>
                <w:sz w:val="28"/>
                <w:szCs w:val="28"/>
              </w:rPr>
              <w:t>於時效</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金額</w:t>
            </w:r>
          </w:p>
        </w:tc>
        <w:tc>
          <w:tcPr>
            <w:tcW w:w="1134" w:type="dxa"/>
            <w:tcBorders>
              <w:top w:val="nil"/>
              <w:left w:val="nil"/>
              <w:bottom w:val="single" w:sz="4" w:space="0" w:color="auto"/>
              <w:right w:val="single" w:sz="4" w:space="0" w:color="auto"/>
            </w:tcBorders>
            <w:shd w:val="clear" w:color="auto" w:fill="auto"/>
            <w:vAlign w:val="center"/>
            <w:hideMark/>
          </w:tcPr>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無污染</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行為人</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件數</w:t>
            </w:r>
          </w:p>
        </w:tc>
        <w:tc>
          <w:tcPr>
            <w:tcW w:w="1134" w:type="dxa"/>
            <w:tcBorders>
              <w:top w:val="nil"/>
              <w:left w:val="nil"/>
              <w:bottom w:val="single" w:sz="4" w:space="0" w:color="auto"/>
              <w:right w:val="single" w:sz="8" w:space="0" w:color="auto"/>
            </w:tcBorders>
            <w:shd w:val="clear" w:color="auto" w:fill="auto"/>
            <w:vAlign w:val="center"/>
            <w:hideMark/>
          </w:tcPr>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無污染</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行為人</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金額</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89</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90</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40,323</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272</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40,051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91</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6</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13,395</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6</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13,395</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92</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13</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241,452</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13</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241,452</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93</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6</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31,675</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6</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31,675</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94</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15</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57,274</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172</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15</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57,102</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95</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21,117</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3,779</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17,338</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96</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15,858</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1,535</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14,323</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97</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24,708</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7,480</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17,228</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98</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55,024</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833</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54,191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99</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14,531</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14,531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100</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6</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44,099</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1,276</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6</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42,823</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101</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7</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46,958</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16,148</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7</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30,810</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102</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10</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62,724</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4</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3,354</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8</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59,370</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103</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32</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197,372</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23,957</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28</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173,415</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104</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26</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67,556</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6</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8,677</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24</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58,879</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105</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13</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325,585</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68,880</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11</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256,706</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106</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169,926</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28,383</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4</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141,543</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b/>
                <w:kern w:val="0"/>
                <w:sz w:val="28"/>
                <w:szCs w:val="28"/>
              </w:rPr>
            </w:pPr>
            <w:r w:rsidRPr="00BF0FC7">
              <w:rPr>
                <w:rFonts w:ascii="Times New Roman" w:eastAsia="新細明體"/>
                <w:b/>
                <w:kern w:val="0"/>
                <w:sz w:val="28"/>
                <w:szCs w:val="28"/>
              </w:rPr>
              <w:t>107</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7</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318,207</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3,251</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7</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314,956</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b/>
                <w:kern w:val="0"/>
                <w:sz w:val="28"/>
                <w:szCs w:val="28"/>
              </w:rPr>
            </w:pPr>
            <w:r w:rsidRPr="00BF0FC7">
              <w:rPr>
                <w:rFonts w:ascii="Times New Roman" w:eastAsia="新細明體"/>
                <w:b/>
                <w:kern w:val="0"/>
                <w:sz w:val="28"/>
                <w:szCs w:val="28"/>
              </w:rPr>
              <w:t>108</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11</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407,788</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2</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20,648</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10</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387,140</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b/>
                <w:kern w:val="0"/>
                <w:sz w:val="28"/>
                <w:szCs w:val="28"/>
              </w:rPr>
            </w:pPr>
            <w:r w:rsidRPr="00BF0FC7">
              <w:rPr>
                <w:rFonts w:ascii="Times New Roman" w:eastAsia="新細明體"/>
                <w:b/>
                <w:kern w:val="0"/>
                <w:sz w:val="28"/>
                <w:szCs w:val="28"/>
              </w:rPr>
              <w:t>109</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9</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57,998</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4</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1,723</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6</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56,275</w:t>
            </w:r>
          </w:p>
        </w:tc>
      </w:tr>
      <w:tr w:rsidR="00BF0FC7" w:rsidRPr="00BF0FC7" w:rsidTr="00963884">
        <w:trPr>
          <w:gridAfter w:val="1"/>
          <w:wAfter w:w="14"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b/>
                <w:kern w:val="0"/>
                <w:sz w:val="28"/>
                <w:szCs w:val="28"/>
              </w:rPr>
            </w:pPr>
            <w:r w:rsidRPr="00BF0FC7">
              <w:rPr>
                <w:rFonts w:ascii="Times New Roman" w:eastAsia="新細明體"/>
                <w:b/>
                <w:kern w:val="0"/>
                <w:sz w:val="28"/>
                <w:szCs w:val="28"/>
              </w:rPr>
              <w:t>110</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10</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35,898</w:t>
            </w:r>
          </w:p>
        </w:tc>
        <w:tc>
          <w:tcPr>
            <w:tcW w:w="104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3</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4,521</w:t>
            </w:r>
          </w:p>
        </w:tc>
        <w:tc>
          <w:tcPr>
            <w:tcW w:w="135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267"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9</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31,377</w:t>
            </w:r>
          </w:p>
        </w:tc>
      </w:tr>
      <w:tr w:rsidR="00BF0FC7" w:rsidRPr="00BF0FC7" w:rsidTr="00963884">
        <w:trPr>
          <w:gridAfter w:val="1"/>
          <w:wAfter w:w="14" w:type="dxa"/>
          <w:trHeight w:val="336"/>
          <w:jc w:val="center"/>
        </w:trPr>
        <w:tc>
          <w:tcPr>
            <w:tcW w:w="699" w:type="dxa"/>
            <w:tcBorders>
              <w:top w:val="nil"/>
              <w:left w:val="single" w:sz="8" w:space="0" w:color="auto"/>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hAnsi="標楷體" w:hint="eastAsia"/>
                <w:kern w:val="0"/>
                <w:sz w:val="28"/>
                <w:szCs w:val="28"/>
              </w:rPr>
              <w:t>小計</w:t>
            </w:r>
          </w:p>
        </w:tc>
        <w:tc>
          <w:tcPr>
            <w:tcW w:w="992" w:type="dxa"/>
            <w:tcBorders>
              <w:top w:val="nil"/>
              <w:left w:val="nil"/>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196</w:t>
            </w:r>
          </w:p>
        </w:tc>
        <w:tc>
          <w:tcPr>
            <w:tcW w:w="1267" w:type="dxa"/>
            <w:tcBorders>
              <w:top w:val="nil"/>
              <w:left w:val="nil"/>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2,249,468</w:t>
            </w:r>
          </w:p>
        </w:tc>
        <w:tc>
          <w:tcPr>
            <w:tcW w:w="1047" w:type="dxa"/>
            <w:tcBorders>
              <w:top w:val="nil"/>
              <w:left w:val="nil"/>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51</w:t>
            </w:r>
          </w:p>
        </w:tc>
        <w:tc>
          <w:tcPr>
            <w:tcW w:w="1134" w:type="dxa"/>
            <w:tcBorders>
              <w:top w:val="nil"/>
              <w:left w:val="nil"/>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194,889</w:t>
            </w:r>
          </w:p>
        </w:tc>
        <w:tc>
          <w:tcPr>
            <w:tcW w:w="1352" w:type="dxa"/>
            <w:tcBorders>
              <w:top w:val="nil"/>
              <w:left w:val="nil"/>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147</w:t>
            </w:r>
          </w:p>
        </w:tc>
        <w:tc>
          <w:tcPr>
            <w:tcW w:w="1267" w:type="dxa"/>
            <w:tcBorders>
              <w:top w:val="nil"/>
              <w:left w:val="nil"/>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1,264,832</w:t>
            </w:r>
          </w:p>
        </w:tc>
        <w:tc>
          <w:tcPr>
            <w:tcW w:w="1134" w:type="dxa"/>
            <w:tcBorders>
              <w:top w:val="nil"/>
              <w:left w:val="nil"/>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32</w:t>
            </w:r>
          </w:p>
        </w:tc>
        <w:tc>
          <w:tcPr>
            <w:tcW w:w="1134" w:type="dxa"/>
            <w:tcBorders>
              <w:top w:val="nil"/>
              <w:left w:val="nil"/>
              <w:bottom w:val="single" w:sz="8"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789,748</w:t>
            </w:r>
          </w:p>
        </w:tc>
      </w:tr>
    </w:tbl>
    <w:p w:rsidR="005933A0" w:rsidRPr="00BF0FC7" w:rsidRDefault="005933A0" w:rsidP="005933A0">
      <w:pPr>
        <w:snapToGrid w:val="0"/>
        <w:ind w:left="567" w:hangingChars="218" w:hanging="567"/>
        <w:rPr>
          <w:sz w:val="24"/>
          <w:szCs w:val="24"/>
        </w:rPr>
      </w:pPr>
      <w:proofErr w:type="gramStart"/>
      <w:r w:rsidRPr="00BF0FC7">
        <w:rPr>
          <w:rFonts w:hint="eastAsia"/>
          <w:sz w:val="24"/>
          <w:szCs w:val="24"/>
        </w:rPr>
        <w:t>註</w:t>
      </w:r>
      <w:proofErr w:type="gramEnd"/>
      <w:r w:rsidRPr="00BF0FC7">
        <w:rPr>
          <w:rFonts w:hint="eastAsia"/>
          <w:sz w:val="24"/>
          <w:szCs w:val="24"/>
        </w:rPr>
        <w:t>1：「</w:t>
      </w:r>
      <w:proofErr w:type="gramStart"/>
      <w:r w:rsidRPr="00BF0FC7">
        <w:rPr>
          <w:rFonts w:hint="eastAsia"/>
          <w:sz w:val="24"/>
          <w:szCs w:val="24"/>
        </w:rPr>
        <w:t>求償件數</w:t>
      </w:r>
      <w:proofErr w:type="gramEnd"/>
      <w:r w:rsidRPr="00BF0FC7">
        <w:rPr>
          <w:rFonts w:hint="eastAsia"/>
          <w:sz w:val="24"/>
          <w:szCs w:val="24"/>
        </w:rPr>
        <w:t>」包括部分求償及全部求償案件。</w:t>
      </w:r>
    </w:p>
    <w:p w:rsidR="005933A0" w:rsidRPr="00BF0FC7" w:rsidRDefault="005933A0" w:rsidP="005933A0">
      <w:pPr>
        <w:snapToGrid w:val="0"/>
        <w:ind w:left="567" w:hangingChars="218" w:hanging="567"/>
        <w:rPr>
          <w:sz w:val="24"/>
          <w:szCs w:val="24"/>
        </w:rPr>
      </w:pPr>
      <w:proofErr w:type="gramStart"/>
      <w:r w:rsidRPr="00BF0FC7">
        <w:rPr>
          <w:rFonts w:hint="eastAsia"/>
          <w:sz w:val="24"/>
          <w:szCs w:val="24"/>
        </w:rPr>
        <w:t>註</w:t>
      </w:r>
      <w:proofErr w:type="gramEnd"/>
      <w:r w:rsidRPr="00BF0FC7">
        <w:rPr>
          <w:rFonts w:hint="eastAsia"/>
          <w:sz w:val="24"/>
          <w:szCs w:val="24"/>
        </w:rPr>
        <w:t>2：全部(農地及事業單位)代為支應案件233件，代為支應總金額2,941,999千元，求償金額540,223千元，</w:t>
      </w:r>
      <w:proofErr w:type="gramStart"/>
      <w:r w:rsidRPr="00BF0FC7">
        <w:rPr>
          <w:rFonts w:hint="eastAsia"/>
          <w:sz w:val="24"/>
          <w:szCs w:val="24"/>
        </w:rPr>
        <w:t>罹</w:t>
      </w:r>
      <w:proofErr w:type="gramEnd"/>
      <w:r w:rsidRPr="00BF0FC7">
        <w:rPr>
          <w:rFonts w:hint="eastAsia"/>
          <w:sz w:val="24"/>
          <w:szCs w:val="24"/>
        </w:rPr>
        <w:t>於時效金額1,572,743千元。</w:t>
      </w:r>
    </w:p>
    <w:p w:rsidR="005933A0" w:rsidRPr="00BF0FC7" w:rsidRDefault="005933A0" w:rsidP="005933A0">
      <w:pPr>
        <w:snapToGrid w:val="0"/>
        <w:ind w:left="567" w:hangingChars="218" w:hanging="567"/>
        <w:rPr>
          <w:sz w:val="24"/>
          <w:szCs w:val="24"/>
        </w:rPr>
      </w:pPr>
      <w:proofErr w:type="gramStart"/>
      <w:r w:rsidRPr="00BF0FC7">
        <w:rPr>
          <w:rFonts w:hint="eastAsia"/>
          <w:sz w:val="24"/>
          <w:szCs w:val="24"/>
        </w:rPr>
        <w:t>註</w:t>
      </w:r>
      <w:proofErr w:type="gramEnd"/>
      <w:r w:rsidRPr="00BF0FC7">
        <w:rPr>
          <w:rFonts w:hint="eastAsia"/>
          <w:sz w:val="24"/>
          <w:szCs w:val="24"/>
        </w:rPr>
        <w:t>3：99年開始推動農地整體管制及永續經營，環保署發動全國系統性農地土壤污染查證工作，個案農地污染則由地方環保機關依個案陳情資料辦理調查，並由土壤污染查證結果推動污染源管制作業，其中多數污染案件於103及</w:t>
      </w:r>
      <w:proofErr w:type="gramStart"/>
      <w:r w:rsidRPr="00BF0FC7">
        <w:rPr>
          <w:rFonts w:hint="eastAsia"/>
          <w:sz w:val="24"/>
          <w:szCs w:val="24"/>
        </w:rPr>
        <w:t>104</w:t>
      </w:r>
      <w:proofErr w:type="gramEnd"/>
      <w:r w:rsidRPr="00BF0FC7">
        <w:rPr>
          <w:rFonts w:hint="eastAsia"/>
          <w:sz w:val="24"/>
          <w:szCs w:val="24"/>
        </w:rPr>
        <w:t>年度進行污染改善作業，故而造成相關年度之案件數量大增。</w:t>
      </w:r>
    </w:p>
    <w:p w:rsidR="005933A0" w:rsidRPr="00BF0FC7" w:rsidRDefault="005933A0" w:rsidP="005933A0">
      <w:pPr>
        <w:snapToGrid w:val="0"/>
        <w:rPr>
          <w:sz w:val="24"/>
          <w:szCs w:val="24"/>
        </w:rPr>
      </w:pPr>
      <w:r w:rsidRPr="00BF0FC7">
        <w:rPr>
          <w:rFonts w:hint="eastAsia"/>
          <w:sz w:val="24"/>
          <w:szCs w:val="24"/>
        </w:rPr>
        <w:t>資料來源：</w:t>
      </w:r>
      <w:r w:rsidR="007630BE" w:rsidRPr="00BF0FC7">
        <w:rPr>
          <w:rFonts w:hint="eastAsia"/>
          <w:sz w:val="24"/>
          <w:szCs w:val="24"/>
        </w:rPr>
        <w:t>環保署，統計至111年10月31日止。</w:t>
      </w:r>
    </w:p>
    <w:p w:rsidR="005933A0" w:rsidRPr="00BF0FC7" w:rsidRDefault="005933A0" w:rsidP="005933A0">
      <w:pPr>
        <w:rPr>
          <w:rFonts w:hAnsi="華康楷書體W5(P)"/>
          <w:b/>
          <w:bCs/>
          <w:spacing w:val="-10"/>
          <w:kern w:val="28"/>
        </w:rPr>
      </w:pPr>
      <w:r w:rsidRPr="00BF0FC7">
        <w:rPr>
          <w:b/>
        </w:rPr>
        <w:br w:type="page"/>
      </w:r>
    </w:p>
    <w:p w:rsidR="005933A0" w:rsidRPr="00BF0FC7" w:rsidRDefault="005933A0" w:rsidP="005933A0">
      <w:pPr>
        <w:pStyle w:val="a3"/>
        <w:numPr>
          <w:ilvl w:val="0"/>
          <w:numId w:val="0"/>
        </w:numPr>
        <w:rPr>
          <w:b/>
        </w:rPr>
      </w:pPr>
      <w:proofErr w:type="gramStart"/>
      <w:r w:rsidRPr="00BF0FC7">
        <w:rPr>
          <w:b/>
        </w:rPr>
        <w:lastRenderedPageBreak/>
        <w:t>土污基金</w:t>
      </w:r>
      <w:proofErr w:type="gramEnd"/>
      <w:r w:rsidRPr="00BF0FC7">
        <w:rPr>
          <w:b/>
        </w:rPr>
        <w:t>歷年代為支應費用情形</w:t>
      </w:r>
      <w:r w:rsidRPr="00BF0FC7">
        <w:rPr>
          <w:rFonts w:hint="eastAsia"/>
          <w:b/>
        </w:rPr>
        <w:t>—事業場址</w:t>
      </w:r>
    </w:p>
    <w:p w:rsidR="005933A0" w:rsidRPr="00BF0FC7" w:rsidRDefault="005933A0" w:rsidP="005933A0">
      <w:pPr>
        <w:jc w:val="right"/>
        <w:rPr>
          <w:sz w:val="24"/>
          <w:szCs w:val="24"/>
        </w:rPr>
      </w:pPr>
      <w:r w:rsidRPr="00BF0FC7">
        <w:rPr>
          <w:rFonts w:hint="eastAsia"/>
          <w:sz w:val="24"/>
          <w:szCs w:val="24"/>
        </w:rPr>
        <w:t>單位：新臺幣，千元。</w:t>
      </w:r>
    </w:p>
    <w:tbl>
      <w:tblPr>
        <w:tblW w:w="9909" w:type="dxa"/>
        <w:jc w:val="center"/>
        <w:tblCellMar>
          <w:left w:w="28" w:type="dxa"/>
          <w:right w:w="28" w:type="dxa"/>
        </w:tblCellMar>
        <w:tblLook w:val="04A0" w:firstRow="1" w:lastRow="0" w:firstColumn="1" w:lastColumn="0" w:noHBand="0" w:noVBand="1"/>
      </w:tblPr>
      <w:tblGrid>
        <w:gridCol w:w="699"/>
        <w:gridCol w:w="992"/>
        <w:gridCol w:w="1115"/>
        <w:gridCol w:w="1134"/>
        <w:gridCol w:w="1134"/>
        <w:gridCol w:w="1275"/>
        <w:gridCol w:w="1276"/>
        <w:gridCol w:w="1134"/>
        <w:gridCol w:w="1134"/>
        <w:gridCol w:w="16"/>
      </w:tblGrid>
      <w:tr w:rsidR="00BF0FC7" w:rsidRPr="00BF0FC7" w:rsidTr="00963884">
        <w:trPr>
          <w:trHeight w:val="324"/>
          <w:jc w:val="center"/>
        </w:trPr>
        <w:tc>
          <w:tcPr>
            <w:tcW w:w="9909" w:type="dxa"/>
            <w:gridSpan w:val="10"/>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hAnsi="標楷體" w:hint="eastAsia"/>
                <w:kern w:val="0"/>
                <w:sz w:val="28"/>
                <w:szCs w:val="28"/>
              </w:rPr>
              <w:t>事業場址</w:t>
            </w:r>
          </w:p>
        </w:tc>
      </w:tr>
      <w:tr w:rsidR="00BF0FC7" w:rsidRPr="00BF0FC7" w:rsidTr="00963884">
        <w:trPr>
          <w:gridAfter w:val="1"/>
          <w:wAfter w:w="16" w:type="dxa"/>
          <w:trHeight w:val="975"/>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hAnsi="標楷體" w:hint="eastAsia"/>
                <w:kern w:val="0"/>
                <w:sz w:val="28"/>
                <w:szCs w:val="28"/>
              </w:rPr>
              <w:t>年度</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總件數</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總支應</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金額</w:t>
            </w:r>
          </w:p>
        </w:tc>
        <w:tc>
          <w:tcPr>
            <w:tcW w:w="1134" w:type="dxa"/>
            <w:tcBorders>
              <w:top w:val="nil"/>
              <w:left w:val="nil"/>
              <w:bottom w:val="single" w:sz="4" w:space="0" w:color="auto"/>
              <w:right w:val="single" w:sz="4" w:space="0" w:color="auto"/>
            </w:tcBorders>
            <w:shd w:val="clear" w:color="auto" w:fill="auto"/>
            <w:vAlign w:val="center"/>
            <w:hideMark/>
          </w:tcPr>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求償</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件數</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w:t>
            </w:r>
            <w:proofErr w:type="gramStart"/>
            <w:r w:rsidRPr="00BF0FC7">
              <w:rPr>
                <w:rFonts w:hAnsi="標楷體" w:cs="新細明體" w:hint="eastAsia"/>
                <w:kern w:val="0"/>
                <w:sz w:val="28"/>
                <w:szCs w:val="28"/>
              </w:rPr>
              <w:t>註</w:t>
            </w:r>
            <w:proofErr w:type="gramEnd"/>
            <w:r w:rsidRPr="00BF0FC7">
              <w:rPr>
                <w:rFonts w:hAnsi="標楷體" w:cs="新細明體" w:hint="eastAsia"/>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求償</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金額</w:t>
            </w:r>
          </w:p>
        </w:tc>
        <w:tc>
          <w:tcPr>
            <w:tcW w:w="1275" w:type="dxa"/>
            <w:tcBorders>
              <w:top w:val="nil"/>
              <w:left w:val="nil"/>
              <w:bottom w:val="single" w:sz="4" w:space="0" w:color="auto"/>
              <w:right w:val="single" w:sz="4" w:space="0" w:color="auto"/>
            </w:tcBorders>
            <w:shd w:val="clear" w:color="auto" w:fill="auto"/>
            <w:vAlign w:val="center"/>
            <w:hideMark/>
          </w:tcPr>
          <w:p w:rsidR="005933A0" w:rsidRPr="00BF0FC7" w:rsidRDefault="005933A0" w:rsidP="00963884">
            <w:pPr>
              <w:widowControl/>
              <w:overflowPunct/>
              <w:autoSpaceDE/>
              <w:autoSpaceDN/>
              <w:jc w:val="center"/>
              <w:rPr>
                <w:rFonts w:hAnsi="標楷體" w:cs="新細明體"/>
                <w:kern w:val="0"/>
                <w:sz w:val="28"/>
                <w:szCs w:val="28"/>
              </w:rPr>
            </w:pPr>
            <w:proofErr w:type="gramStart"/>
            <w:r w:rsidRPr="00BF0FC7">
              <w:rPr>
                <w:rFonts w:hAnsi="標楷體" w:cs="新細明體" w:hint="eastAsia"/>
                <w:kern w:val="0"/>
                <w:sz w:val="28"/>
                <w:szCs w:val="28"/>
              </w:rPr>
              <w:t>罹</w:t>
            </w:r>
            <w:proofErr w:type="gramEnd"/>
            <w:r w:rsidRPr="00BF0FC7">
              <w:rPr>
                <w:rFonts w:hAnsi="標楷體" w:cs="新細明體" w:hint="eastAsia"/>
                <w:kern w:val="0"/>
                <w:sz w:val="28"/>
                <w:szCs w:val="28"/>
              </w:rPr>
              <w:t>於時效</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件數</w:t>
            </w:r>
          </w:p>
        </w:tc>
        <w:tc>
          <w:tcPr>
            <w:tcW w:w="1276" w:type="dxa"/>
            <w:tcBorders>
              <w:top w:val="nil"/>
              <w:left w:val="nil"/>
              <w:bottom w:val="single" w:sz="4" w:space="0" w:color="auto"/>
              <w:right w:val="single" w:sz="4" w:space="0" w:color="auto"/>
            </w:tcBorders>
            <w:shd w:val="clear" w:color="auto" w:fill="auto"/>
            <w:vAlign w:val="center"/>
            <w:hideMark/>
          </w:tcPr>
          <w:p w:rsidR="005933A0" w:rsidRPr="00BF0FC7" w:rsidRDefault="005933A0" w:rsidP="00963884">
            <w:pPr>
              <w:widowControl/>
              <w:overflowPunct/>
              <w:autoSpaceDE/>
              <w:autoSpaceDN/>
              <w:jc w:val="center"/>
              <w:rPr>
                <w:rFonts w:hAnsi="標楷體" w:cs="新細明體"/>
                <w:kern w:val="0"/>
                <w:sz w:val="28"/>
                <w:szCs w:val="28"/>
              </w:rPr>
            </w:pPr>
            <w:proofErr w:type="gramStart"/>
            <w:r w:rsidRPr="00BF0FC7">
              <w:rPr>
                <w:rFonts w:hAnsi="標楷體" w:cs="新細明體" w:hint="eastAsia"/>
                <w:kern w:val="0"/>
                <w:sz w:val="28"/>
                <w:szCs w:val="28"/>
              </w:rPr>
              <w:t>罹</w:t>
            </w:r>
            <w:proofErr w:type="gramEnd"/>
            <w:r w:rsidRPr="00BF0FC7">
              <w:rPr>
                <w:rFonts w:hAnsi="標楷體" w:cs="新細明體" w:hint="eastAsia"/>
                <w:kern w:val="0"/>
                <w:sz w:val="28"/>
                <w:szCs w:val="28"/>
              </w:rPr>
              <w:t>於時效</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金額</w:t>
            </w:r>
          </w:p>
        </w:tc>
        <w:tc>
          <w:tcPr>
            <w:tcW w:w="1134" w:type="dxa"/>
            <w:tcBorders>
              <w:top w:val="nil"/>
              <w:left w:val="nil"/>
              <w:bottom w:val="single" w:sz="4" w:space="0" w:color="auto"/>
              <w:right w:val="single" w:sz="4" w:space="0" w:color="auto"/>
            </w:tcBorders>
            <w:shd w:val="clear" w:color="auto" w:fill="auto"/>
            <w:vAlign w:val="center"/>
            <w:hideMark/>
          </w:tcPr>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無污染</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行為人</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件數</w:t>
            </w:r>
          </w:p>
        </w:tc>
        <w:tc>
          <w:tcPr>
            <w:tcW w:w="1134" w:type="dxa"/>
            <w:tcBorders>
              <w:top w:val="nil"/>
              <w:left w:val="nil"/>
              <w:bottom w:val="single" w:sz="4" w:space="0" w:color="auto"/>
              <w:right w:val="single" w:sz="8" w:space="0" w:color="auto"/>
            </w:tcBorders>
            <w:shd w:val="clear" w:color="auto" w:fill="auto"/>
            <w:vAlign w:val="center"/>
            <w:hideMark/>
          </w:tcPr>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無污染</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行為人</w:t>
            </w:r>
          </w:p>
          <w:p w:rsidR="005933A0" w:rsidRPr="00BF0FC7" w:rsidRDefault="005933A0" w:rsidP="00963884">
            <w:pPr>
              <w:widowControl/>
              <w:overflowPunct/>
              <w:autoSpaceDE/>
              <w:autoSpaceDN/>
              <w:jc w:val="center"/>
              <w:rPr>
                <w:rFonts w:hAnsi="標楷體" w:cs="新細明體"/>
                <w:kern w:val="0"/>
                <w:sz w:val="28"/>
                <w:szCs w:val="28"/>
              </w:rPr>
            </w:pPr>
            <w:r w:rsidRPr="00BF0FC7">
              <w:rPr>
                <w:rFonts w:hAnsi="標楷體" w:cs="新細明體" w:hint="eastAsia"/>
                <w:kern w:val="0"/>
                <w:sz w:val="28"/>
                <w:szCs w:val="28"/>
              </w:rPr>
              <w:t>金額</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89</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90</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91</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1,238</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1,238</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92</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2,460</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3,764</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93</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48,593</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48,593</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94</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41,041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41,041</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95</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14,187</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14,187</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96</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26,475</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26,475</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97</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10,188</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10,188</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98</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7,394</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7,394</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99</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27,650</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27,650</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100</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8</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300,853</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45</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8</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300,808</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101</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102</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67,744</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65,923</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1,821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103</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29</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29</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104</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4</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11,746</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6,493</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5,253</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105</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59,624</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59,624</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ascii="Times New Roman" w:eastAsia="新細明體"/>
                <w:kern w:val="0"/>
                <w:sz w:val="28"/>
                <w:szCs w:val="28"/>
              </w:rPr>
              <w:t>106</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b/>
                <w:kern w:val="0"/>
                <w:sz w:val="28"/>
                <w:szCs w:val="28"/>
              </w:rPr>
            </w:pPr>
            <w:r w:rsidRPr="00BF0FC7">
              <w:rPr>
                <w:rFonts w:ascii="Times New Roman" w:eastAsia="新細明體"/>
                <w:b/>
                <w:kern w:val="0"/>
                <w:sz w:val="28"/>
                <w:szCs w:val="28"/>
              </w:rPr>
              <w:t>107</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1</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32,719</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32,719</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b/>
                <w:kern w:val="0"/>
                <w:sz w:val="28"/>
                <w:szCs w:val="28"/>
              </w:rPr>
            </w:pPr>
            <w:r w:rsidRPr="00BF0FC7">
              <w:rPr>
                <w:rFonts w:ascii="Times New Roman" w:eastAsia="新細明體"/>
                <w:b/>
                <w:kern w:val="0"/>
                <w:sz w:val="28"/>
                <w:szCs w:val="28"/>
              </w:rPr>
              <w:t>108</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b/>
                <w:kern w:val="0"/>
                <w:sz w:val="28"/>
                <w:szCs w:val="28"/>
              </w:rPr>
            </w:pPr>
            <w:r w:rsidRPr="00BF0FC7">
              <w:rPr>
                <w:rFonts w:ascii="Times New Roman" w:eastAsia="新細明體"/>
                <w:b/>
                <w:kern w:val="0"/>
                <w:sz w:val="28"/>
                <w:szCs w:val="28"/>
              </w:rPr>
              <w:t>109</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1</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30,748</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r>
      <w:tr w:rsidR="00BF0FC7" w:rsidRPr="00BF0FC7" w:rsidTr="00963884">
        <w:trPr>
          <w:gridAfter w:val="1"/>
          <w:wAfter w:w="16" w:type="dxa"/>
          <w:trHeight w:val="324"/>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b/>
                <w:kern w:val="0"/>
                <w:sz w:val="28"/>
                <w:szCs w:val="28"/>
              </w:rPr>
            </w:pPr>
            <w:r w:rsidRPr="00BF0FC7">
              <w:rPr>
                <w:rFonts w:ascii="Times New Roman" w:eastAsia="新細明體"/>
                <w:b/>
                <w:kern w:val="0"/>
                <w:sz w:val="28"/>
                <w:szCs w:val="28"/>
              </w:rPr>
              <w:t>110</w:t>
            </w:r>
          </w:p>
        </w:tc>
        <w:tc>
          <w:tcPr>
            <w:tcW w:w="992"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1</w:t>
            </w:r>
          </w:p>
        </w:tc>
        <w:tc>
          <w:tcPr>
            <w:tcW w:w="111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9,842</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275"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1</w:t>
            </w:r>
          </w:p>
        </w:tc>
        <w:tc>
          <w:tcPr>
            <w:tcW w:w="1134" w:type="dxa"/>
            <w:tcBorders>
              <w:top w:val="nil"/>
              <w:left w:val="nil"/>
              <w:bottom w:val="single" w:sz="4"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b/>
                <w:kern w:val="0"/>
                <w:sz w:val="28"/>
                <w:szCs w:val="28"/>
              </w:rPr>
            </w:pPr>
            <w:r w:rsidRPr="00BF0FC7">
              <w:rPr>
                <w:rFonts w:ascii="Times New Roman" w:eastAsia="新細明體"/>
                <w:b/>
                <w:kern w:val="0"/>
                <w:sz w:val="28"/>
                <w:szCs w:val="28"/>
              </w:rPr>
              <w:t>9,842</w:t>
            </w:r>
          </w:p>
        </w:tc>
      </w:tr>
      <w:tr w:rsidR="00BF0FC7" w:rsidRPr="00BF0FC7" w:rsidTr="00963884">
        <w:trPr>
          <w:gridAfter w:val="1"/>
          <w:wAfter w:w="16" w:type="dxa"/>
          <w:trHeight w:val="336"/>
          <w:jc w:val="center"/>
        </w:trPr>
        <w:tc>
          <w:tcPr>
            <w:tcW w:w="699" w:type="dxa"/>
            <w:tcBorders>
              <w:top w:val="nil"/>
              <w:left w:val="single" w:sz="8" w:space="0" w:color="auto"/>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center"/>
              <w:rPr>
                <w:rFonts w:ascii="Times New Roman" w:eastAsia="新細明體"/>
                <w:kern w:val="0"/>
                <w:sz w:val="28"/>
                <w:szCs w:val="28"/>
              </w:rPr>
            </w:pPr>
            <w:r w:rsidRPr="00BF0FC7">
              <w:rPr>
                <w:rFonts w:hAnsi="標楷體" w:hint="eastAsia"/>
                <w:kern w:val="0"/>
                <w:sz w:val="28"/>
                <w:szCs w:val="28"/>
              </w:rPr>
              <w:t>小計</w:t>
            </w:r>
          </w:p>
        </w:tc>
        <w:tc>
          <w:tcPr>
            <w:tcW w:w="992" w:type="dxa"/>
            <w:tcBorders>
              <w:top w:val="nil"/>
              <w:left w:val="nil"/>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37</w:t>
            </w:r>
          </w:p>
        </w:tc>
        <w:tc>
          <w:tcPr>
            <w:tcW w:w="1115" w:type="dxa"/>
            <w:tcBorders>
              <w:top w:val="nil"/>
              <w:left w:val="nil"/>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692,531</w:t>
            </w:r>
          </w:p>
        </w:tc>
        <w:tc>
          <w:tcPr>
            <w:tcW w:w="1134" w:type="dxa"/>
            <w:tcBorders>
              <w:top w:val="nil"/>
              <w:left w:val="nil"/>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24</w:t>
            </w:r>
          </w:p>
        </w:tc>
        <w:tc>
          <w:tcPr>
            <w:tcW w:w="1134" w:type="dxa"/>
            <w:tcBorders>
              <w:top w:val="nil"/>
              <w:left w:val="nil"/>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345,334</w:t>
            </w:r>
          </w:p>
        </w:tc>
        <w:tc>
          <w:tcPr>
            <w:tcW w:w="1275" w:type="dxa"/>
            <w:tcBorders>
              <w:top w:val="nil"/>
              <w:left w:val="nil"/>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12</w:t>
            </w:r>
          </w:p>
        </w:tc>
        <w:tc>
          <w:tcPr>
            <w:tcW w:w="1276" w:type="dxa"/>
            <w:tcBorders>
              <w:top w:val="nil"/>
              <w:left w:val="nil"/>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307,911</w:t>
            </w:r>
          </w:p>
        </w:tc>
        <w:tc>
          <w:tcPr>
            <w:tcW w:w="1134" w:type="dxa"/>
            <w:tcBorders>
              <w:top w:val="nil"/>
              <w:left w:val="nil"/>
              <w:bottom w:val="single" w:sz="8" w:space="0" w:color="auto"/>
              <w:right w:val="single" w:sz="4"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1</w:t>
            </w:r>
          </w:p>
        </w:tc>
        <w:tc>
          <w:tcPr>
            <w:tcW w:w="1134" w:type="dxa"/>
            <w:tcBorders>
              <w:top w:val="nil"/>
              <w:left w:val="nil"/>
              <w:bottom w:val="single" w:sz="8" w:space="0" w:color="auto"/>
              <w:right w:val="single" w:sz="8" w:space="0" w:color="auto"/>
            </w:tcBorders>
            <w:shd w:val="clear" w:color="auto" w:fill="auto"/>
            <w:noWrap/>
            <w:vAlign w:val="center"/>
            <w:hideMark/>
          </w:tcPr>
          <w:p w:rsidR="005933A0" w:rsidRPr="00BF0FC7" w:rsidRDefault="005933A0" w:rsidP="00963884">
            <w:pPr>
              <w:widowControl/>
              <w:overflowPunct/>
              <w:autoSpaceDE/>
              <w:autoSpaceDN/>
              <w:jc w:val="right"/>
              <w:rPr>
                <w:rFonts w:ascii="Times New Roman" w:eastAsia="新細明體"/>
                <w:kern w:val="0"/>
                <w:sz w:val="28"/>
                <w:szCs w:val="28"/>
              </w:rPr>
            </w:pPr>
            <w:r w:rsidRPr="00BF0FC7">
              <w:rPr>
                <w:rFonts w:ascii="Times New Roman" w:eastAsia="新細明體"/>
                <w:kern w:val="0"/>
                <w:sz w:val="28"/>
                <w:szCs w:val="28"/>
              </w:rPr>
              <w:t>9,842</w:t>
            </w:r>
          </w:p>
        </w:tc>
      </w:tr>
    </w:tbl>
    <w:p w:rsidR="005933A0" w:rsidRPr="00BF0FC7" w:rsidRDefault="005933A0" w:rsidP="005933A0">
      <w:pPr>
        <w:snapToGrid w:val="0"/>
        <w:ind w:left="567" w:hangingChars="218" w:hanging="567"/>
        <w:rPr>
          <w:sz w:val="24"/>
          <w:szCs w:val="24"/>
        </w:rPr>
      </w:pPr>
      <w:proofErr w:type="gramStart"/>
      <w:r w:rsidRPr="00BF0FC7">
        <w:rPr>
          <w:rFonts w:hint="eastAsia"/>
          <w:sz w:val="24"/>
          <w:szCs w:val="24"/>
        </w:rPr>
        <w:t>註</w:t>
      </w:r>
      <w:proofErr w:type="gramEnd"/>
      <w:r w:rsidRPr="00BF0FC7">
        <w:rPr>
          <w:rFonts w:hint="eastAsia"/>
          <w:sz w:val="24"/>
          <w:szCs w:val="24"/>
        </w:rPr>
        <w:t>1：「</w:t>
      </w:r>
      <w:proofErr w:type="gramStart"/>
      <w:r w:rsidRPr="00BF0FC7">
        <w:rPr>
          <w:rFonts w:hint="eastAsia"/>
          <w:sz w:val="24"/>
          <w:szCs w:val="24"/>
        </w:rPr>
        <w:t>求償件數</w:t>
      </w:r>
      <w:proofErr w:type="gramEnd"/>
      <w:r w:rsidRPr="00BF0FC7">
        <w:rPr>
          <w:rFonts w:hint="eastAsia"/>
          <w:sz w:val="24"/>
          <w:szCs w:val="24"/>
        </w:rPr>
        <w:t>」包括部分求償及全部求償案件。</w:t>
      </w:r>
    </w:p>
    <w:p w:rsidR="005933A0" w:rsidRPr="00BF0FC7" w:rsidRDefault="005933A0" w:rsidP="005933A0">
      <w:pPr>
        <w:snapToGrid w:val="0"/>
        <w:ind w:left="567" w:hangingChars="218" w:hanging="567"/>
        <w:rPr>
          <w:sz w:val="24"/>
          <w:szCs w:val="24"/>
        </w:rPr>
      </w:pPr>
      <w:proofErr w:type="gramStart"/>
      <w:r w:rsidRPr="00BF0FC7">
        <w:rPr>
          <w:rFonts w:hint="eastAsia"/>
          <w:sz w:val="24"/>
          <w:szCs w:val="24"/>
        </w:rPr>
        <w:t>註</w:t>
      </w:r>
      <w:proofErr w:type="gramEnd"/>
      <w:r w:rsidRPr="00BF0FC7">
        <w:rPr>
          <w:rFonts w:hint="eastAsia"/>
          <w:sz w:val="24"/>
          <w:szCs w:val="24"/>
        </w:rPr>
        <w:t>2：全部(農地及事業單位)代為支應案件233件，代為支應總金額2,941,999千元，求償金額540,223千元，</w:t>
      </w:r>
      <w:proofErr w:type="gramStart"/>
      <w:r w:rsidRPr="00BF0FC7">
        <w:rPr>
          <w:rFonts w:hint="eastAsia"/>
          <w:sz w:val="24"/>
          <w:szCs w:val="24"/>
        </w:rPr>
        <w:t>罹</w:t>
      </w:r>
      <w:proofErr w:type="gramEnd"/>
      <w:r w:rsidRPr="00BF0FC7">
        <w:rPr>
          <w:rFonts w:hint="eastAsia"/>
          <w:sz w:val="24"/>
          <w:szCs w:val="24"/>
        </w:rPr>
        <w:t>於時效金額1,572,743千元</w:t>
      </w:r>
    </w:p>
    <w:p w:rsidR="005933A0" w:rsidRPr="00BF0FC7" w:rsidRDefault="005933A0" w:rsidP="005933A0">
      <w:pPr>
        <w:snapToGrid w:val="0"/>
        <w:ind w:left="567" w:hangingChars="218" w:hanging="567"/>
        <w:rPr>
          <w:sz w:val="24"/>
          <w:szCs w:val="24"/>
        </w:rPr>
      </w:pPr>
      <w:r w:rsidRPr="00BF0FC7">
        <w:rPr>
          <w:rFonts w:hint="eastAsia"/>
          <w:sz w:val="24"/>
          <w:szCs w:val="24"/>
        </w:rPr>
        <w:t>資料來源：</w:t>
      </w:r>
      <w:r w:rsidR="007630BE" w:rsidRPr="00BF0FC7">
        <w:rPr>
          <w:rFonts w:hint="eastAsia"/>
          <w:sz w:val="24"/>
          <w:szCs w:val="24"/>
        </w:rPr>
        <w:t>環保署，統計至111年10月31日止。</w:t>
      </w:r>
    </w:p>
    <w:p w:rsidR="00C0523E" w:rsidRPr="00BF0FC7" w:rsidRDefault="00C0523E">
      <w:pPr>
        <w:widowControl/>
        <w:overflowPunct/>
        <w:autoSpaceDE/>
        <w:autoSpaceDN/>
        <w:jc w:val="left"/>
        <w:rPr>
          <w:rFonts w:hAnsi="Arial"/>
          <w:kern w:val="32"/>
          <w:szCs w:val="36"/>
        </w:rPr>
      </w:pPr>
      <w:r w:rsidRPr="00BF0FC7">
        <w:br w:type="page"/>
      </w:r>
    </w:p>
    <w:p w:rsidR="00963884" w:rsidRPr="00BF0FC7" w:rsidRDefault="0038577F" w:rsidP="00FB37DB">
      <w:pPr>
        <w:pStyle w:val="3"/>
      </w:pPr>
      <w:bookmarkStart w:id="67" w:name="_Toc138666426"/>
      <w:bookmarkStart w:id="68" w:name="_Toc140135548"/>
      <w:r w:rsidRPr="00BF0FC7">
        <w:rPr>
          <w:rFonts w:hint="eastAsia"/>
          <w:b/>
        </w:rPr>
        <w:lastRenderedPageBreak/>
        <w:t>環保署統計</w:t>
      </w:r>
      <w:r w:rsidR="00FB37DB" w:rsidRPr="00BF0FC7">
        <w:rPr>
          <w:rFonts w:hint="eastAsia"/>
          <w:b/>
        </w:rPr>
        <w:t>公法債權時效</w:t>
      </w:r>
      <w:proofErr w:type="gramStart"/>
      <w:r w:rsidR="00963884" w:rsidRPr="00BF0FC7">
        <w:rPr>
          <w:rFonts w:hint="eastAsia"/>
          <w:b/>
        </w:rPr>
        <w:t>尚未屆至</w:t>
      </w:r>
      <w:proofErr w:type="gramEnd"/>
      <w:r w:rsidR="00535B75" w:rsidRPr="00BF0FC7">
        <w:rPr>
          <w:rFonts w:hint="eastAsia"/>
          <w:b/>
        </w:rPr>
        <w:t>（即1</w:t>
      </w:r>
      <w:r w:rsidR="00535B75" w:rsidRPr="00BF0FC7">
        <w:rPr>
          <w:b/>
        </w:rPr>
        <w:t>07</w:t>
      </w:r>
      <w:r w:rsidR="00535B75" w:rsidRPr="00BF0FC7">
        <w:rPr>
          <w:rFonts w:hint="eastAsia"/>
          <w:b/>
        </w:rPr>
        <w:t>年迄今）</w:t>
      </w:r>
      <w:r w:rsidR="00963884" w:rsidRPr="00BF0FC7">
        <w:rPr>
          <w:rFonts w:hint="eastAsia"/>
          <w:b/>
        </w:rPr>
        <w:t>之案件計4</w:t>
      </w:r>
      <w:r w:rsidR="00963884" w:rsidRPr="00BF0FC7">
        <w:rPr>
          <w:b/>
        </w:rPr>
        <w:t>0</w:t>
      </w:r>
      <w:r w:rsidR="00963884" w:rsidRPr="00BF0FC7">
        <w:rPr>
          <w:rFonts w:hint="eastAsia"/>
          <w:b/>
        </w:rPr>
        <w:t>件，</w:t>
      </w:r>
      <w:r w:rsidR="00BA7CD8" w:rsidRPr="00BF0FC7">
        <w:rPr>
          <w:rFonts w:hint="eastAsia"/>
          <w:b/>
        </w:rPr>
        <w:t>惟地方主管機關自行填報</w:t>
      </w:r>
      <w:r w:rsidR="00743C65" w:rsidRPr="00BF0FC7">
        <w:rPr>
          <w:rFonts w:hint="eastAsia"/>
          <w:b/>
        </w:rPr>
        <w:t>之列管</w:t>
      </w:r>
      <w:r w:rsidR="00BA7CD8" w:rsidRPr="00BF0FC7">
        <w:rPr>
          <w:rFonts w:hint="eastAsia"/>
          <w:b/>
        </w:rPr>
        <w:t>進度</w:t>
      </w:r>
      <w:r w:rsidR="00743C65" w:rsidRPr="00BF0FC7">
        <w:rPr>
          <w:rFonts w:hint="eastAsia"/>
          <w:b/>
        </w:rPr>
        <w:t>已有2</w:t>
      </w:r>
      <w:r w:rsidR="00743C65" w:rsidRPr="00BF0FC7">
        <w:rPr>
          <w:b/>
        </w:rPr>
        <w:t>4</w:t>
      </w:r>
      <w:r w:rsidR="00743C65" w:rsidRPr="00BF0FC7">
        <w:rPr>
          <w:rFonts w:hint="eastAsia"/>
          <w:b/>
        </w:rPr>
        <w:t>件落後，其原因為求償對象或部分求償對象不明、尚未查獲污染行為人等情</w:t>
      </w:r>
      <w:r w:rsidRPr="00BF0FC7">
        <w:rPr>
          <w:rFonts w:hint="eastAsia"/>
          <w:b/>
        </w:rPr>
        <w:t>，</w:t>
      </w:r>
      <w:proofErr w:type="gramStart"/>
      <w:r w:rsidRPr="00BF0FC7">
        <w:rPr>
          <w:rFonts w:hint="eastAsia"/>
          <w:b/>
        </w:rPr>
        <w:t>摘述如</w:t>
      </w:r>
      <w:proofErr w:type="gramEnd"/>
      <w:r w:rsidRPr="00BF0FC7">
        <w:rPr>
          <w:rFonts w:hint="eastAsia"/>
          <w:b/>
        </w:rPr>
        <w:t>下</w:t>
      </w:r>
      <w:r w:rsidR="00743C65" w:rsidRPr="00BF0FC7">
        <w:rPr>
          <w:rFonts w:hint="eastAsia"/>
          <w:b/>
        </w:rPr>
        <w:t>：</w:t>
      </w:r>
      <w:bookmarkEnd w:id="67"/>
      <w:bookmarkEnd w:id="68"/>
    </w:p>
    <w:p w:rsidR="00963884" w:rsidRPr="00BF0FC7" w:rsidRDefault="00963884" w:rsidP="00FB37DB">
      <w:pPr>
        <w:pStyle w:val="4"/>
      </w:pPr>
      <w:r w:rsidRPr="00BF0FC7">
        <w:rPr>
          <w:rFonts w:hint="eastAsia"/>
        </w:rPr>
        <w:t>案件性質：農地場址3</w:t>
      </w:r>
      <w:r w:rsidR="001246FC" w:rsidRPr="00BF0FC7">
        <w:rPr>
          <w:rFonts w:hint="eastAsia"/>
        </w:rPr>
        <w:t>7</w:t>
      </w:r>
      <w:r w:rsidRPr="00BF0FC7">
        <w:rPr>
          <w:rFonts w:hint="eastAsia"/>
        </w:rPr>
        <w:t>件、事業場址</w:t>
      </w:r>
      <w:r w:rsidR="001246FC" w:rsidRPr="00BF0FC7">
        <w:rPr>
          <w:rFonts w:hint="eastAsia"/>
        </w:rPr>
        <w:t>3</w:t>
      </w:r>
      <w:r w:rsidRPr="00BF0FC7">
        <w:rPr>
          <w:rFonts w:hint="eastAsia"/>
        </w:rPr>
        <w:t>件</w:t>
      </w:r>
      <w:r w:rsidR="000D6D65" w:rsidRPr="00BF0FC7">
        <w:rPr>
          <w:rFonts w:hint="eastAsia"/>
        </w:rPr>
        <w:t>（</w:t>
      </w:r>
      <w:r w:rsidR="00C61F88" w:rsidRPr="00BF0FC7">
        <w:rPr>
          <w:rFonts w:hint="eastAsia"/>
        </w:rPr>
        <w:t>中石化</w:t>
      </w:r>
      <w:r w:rsidR="000D6D65" w:rsidRPr="00BF0FC7">
        <w:rPr>
          <w:rFonts w:hint="eastAsia"/>
        </w:rPr>
        <w:t>安順廠</w:t>
      </w:r>
      <w:r w:rsidR="000D6D65" w:rsidRPr="00BF0FC7">
        <w:t>2</w:t>
      </w:r>
      <w:r w:rsidR="000D6D65" w:rsidRPr="00BF0FC7">
        <w:rPr>
          <w:rFonts w:hint="eastAsia"/>
        </w:rPr>
        <w:t>件、高雄乙烯事件1件）</w:t>
      </w:r>
      <w:r w:rsidRPr="00BF0FC7">
        <w:rPr>
          <w:rFonts w:hint="eastAsia"/>
        </w:rPr>
        <w:t>，共4</w:t>
      </w:r>
      <w:r w:rsidRPr="00BF0FC7">
        <w:t>0</w:t>
      </w:r>
      <w:r w:rsidRPr="00BF0FC7">
        <w:rPr>
          <w:rFonts w:hint="eastAsia"/>
        </w:rPr>
        <w:t>件。</w:t>
      </w:r>
    </w:p>
    <w:p w:rsidR="00963884" w:rsidRPr="00BF0FC7" w:rsidRDefault="00963884" w:rsidP="00FB37DB">
      <w:pPr>
        <w:pStyle w:val="4"/>
      </w:pPr>
      <w:r w:rsidRPr="00BF0FC7">
        <w:rPr>
          <w:rFonts w:hint="eastAsia"/>
        </w:rPr>
        <w:t>代為支應金額：約8億9</w:t>
      </w:r>
      <w:r w:rsidRPr="00BF0FC7">
        <w:t>,</w:t>
      </w:r>
      <w:r w:rsidRPr="00BF0FC7">
        <w:rPr>
          <w:rFonts w:hint="eastAsia"/>
        </w:rPr>
        <w:t>319萬9千元，</w:t>
      </w:r>
      <w:proofErr w:type="gramStart"/>
      <w:r w:rsidRPr="00BF0FC7">
        <w:rPr>
          <w:rFonts w:hint="eastAsia"/>
        </w:rPr>
        <w:t>求償歸墊</w:t>
      </w:r>
      <w:proofErr w:type="gramEnd"/>
      <w:r w:rsidRPr="00BF0FC7">
        <w:rPr>
          <w:rFonts w:hint="eastAsia"/>
        </w:rPr>
        <w:t>金額約</w:t>
      </w:r>
      <w:r w:rsidRPr="00BF0FC7">
        <w:t>6,286</w:t>
      </w:r>
      <w:r w:rsidRPr="00BF0FC7">
        <w:rPr>
          <w:rFonts w:hint="eastAsia"/>
        </w:rPr>
        <w:t>萬</w:t>
      </w:r>
      <w:r w:rsidRPr="00BF0FC7">
        <w:t>2</w:t>
      </w:r>
      <w:r w:rsidRPr="00BF0FC7">
        <w:rPr>
          <w:rFonts w:hint="eastAsia"/>
        </w:rPr>
        <w:t>千元、尚未歸墊金額</w:t>
      </w:r>
      <w:r w:rsidRPr="00BF0FC7">
        <w:t>8</w:t>
      </w:r>
      <w:r w:rsidRPr="00BF0FC7">
        <w:rPr>
          <w:rFonts w:hint="eastAsia"/>
        </w:rPr>
        <w:t>億</w:t>
      </w:r>
      <w:r w:rsidRPr="00BF0FC7">
        <w:t>3,033</w:t>
      </w:r>
      <w:r w:rsidRPr="00BF0FC7">
        <w:rPr>
          <w:rFonts w:hint="eastAsia"/>
        </w:rPr>
        <w:t>萬</w:t>
      </w:r>
      <w:r w:rsidRPr="00BF0FC7">
        <w:t>7</w:t>
      </w:r>
      <w:r w:rsidRPr="00BF0FC7">
        <w:rPr>
          <w:rFonts w:hint="eastAsia"/>
        </w:rPr>
        <w:t>千元</w:t>
      </w:r>
      <w:r w:rsidRPr="00BF0FC7">
        <w:rPr>
          <w:rStyle w:val="aff"/>
        </w:rPr>
        <w:footnoteReference w:id="2"/>
      </w:r>
      <w:r w:rsidRPr="00BF0FC7">
        <w:rPr>
          <w:rFonts w:hint="eastAsia"/>
        </w:rPr>
        <w:t>、</w:t>
      </w:r>
      <w:r w:rsidRPr="00BF0FC7">
        <w:rPr>
          <w:rFonts w:hint="eastAsia"/>
          <w:b/>
        </w:rPr>
        <w:t>尚未歸墊比率93%。</w:t>
      </w:r>
    </w:p>
    <w:p w:rsidR="00963884" w:rsidRPr="00BF0FC7" w:rsidRDefault="00963884" w:rsidP="00FB37DB">
      <w:pPr>
        <w:pStyle w:val="4"/>
      </w:pPr>
      <w:r w:rsidRPr="00BF0FC7">
        <w:rPr>
          <w:rFonts w:hint="eastAsia"/>
        </w:rPr>
        <w:t>縣市別：彰化縣15件</w:t>
      </w:r>
      <w:r w:rsidRPr="00BF0FC7">
        <w:rPr>
          <w:rStyle w:val="aff"/>
        </w:rPr>
        <w:footnoteReference w:id="3"/>
      </w:r>
      <w:r w:rsidRPr="00BF0FC7">
        <w:rPr>
          <w:rFonts w:hint="eastAsia"/>
        </w:rPr>
        <w:t>、桃園市1</w:t>
      </w:r>
      <w:r w:rsidRPr="00BF0FC7">
        <w:t>1</w:t>
      </w:r>
      <w:r w:rsidRPr="00BF0FC7">
        <w:rPr>
          <w:rFonts w:hint="eastAsia"/>
        </w:rPr>
        <w:t>件</w:t>
      </w:r>
      <w:r w:rsidRPr="00BF0FC7">
        <w:rPr>
          <w:rStyle w:val="aff"/>
        </w:rPr>
        <w:footnoteReference w:id="4"/>
      </w:r>
      <w:r w:rsidRPr="00BF0FC7">
        <w:rPr>
          <w:rFonts w:hint="eastAsia"/>
        </w:rPr>
        <w:t>、</w:t>
      </w:r>
      <w:proofErr w:type="gramStart"/>
      <w:r w:rsidRPr="00BF0FC7">
        <w:rPr>
          <w:rFonts w:hint="eastAsia"/>
        </w:rPr>
        <w:t>臺</w:t>
      </w:r>
      <w:proofErr w:type="gramEnd"/>
      <w:r w:rsidRPr="00BF0FC7">
        <w:rPr>
          <w:rFonts w:hint="eastAsia"/>
        </w:rPr>
        <w:t>南市6件</w:t>
      </w:r>
      <w:r w:rsidRPr="00BF0FC7">
        <w:rPr>
          <w:rStyle w:val="aff"/>
        </w:rPr>
        <w:footnoteReference w:id="5"/>
      </w:r>
      <w:r w:rsidRPr="00BF0FC7">
        <w:rPr>
          <w:rFonts w:hint="eastAsia"/>
        </w:rPr>
        <w:t>、臺市中2件、新北市</w:t>
      </w:r>
      <w:r w:rsidRPr="00BF0FC7">
        <w:t>2</w:t>
      </w:r>
      <w:r w:rsidRPr="00BF0FC7">
        <w:rPr>
          <w:rFonts w:hint="eastAsia"/>
        </w:rPr>
        <w:t>件、苗栗縣、南投縣、雲林縣、高雄市各1件。</w:t>
      </w:r>
    </w:p>
    <w:p w:rsidR="00963884" w:rsidRPr="00BF0FC7" w:rsidRDefault="00963884" w:rsidP="00FB37DB">
      <w:pPr>
        <w:pStyle w:val="4"/>
      </w:pPr>
      <w:r w:rsidRPr="00BF0FC7">
        <w:rPr>
          <w:rFonts w:hint="eastAsia"/>
        </w:rPr>
        <w:t>完成求償：計6件完成（包括</w:t>
      </w:r>
      <w:r w:rsidR="00C61F88" w:rsidRPr="00BF0FC7">
        <w:rPr>
          <w:rFonts w:hint="eastAsia"/>
        </w:rPr>
        <w:t>中石化</w:t>
      </w:r>
      <w:r w:rsidRPr="00BF0FC7">
        <w:rPr>
          <w:rFonts w:hint="eastAsia"/>
        </w:rPr>
        <w:t>安順廠1件）、餘3</w:t>
      </w:r>
      <w:r w:rsidRPr="00BF0FC7">
        <w:t>4</w:t>
      </w:r>
      <w:r w:rsidRPr="00BF0FC7">
        <w:rPr>
          <w:rFonts w:hint="eastAsia"/>
        </w:rPr>
        <w:t>件未完成。</w:t>
      </w:r>
    </w:p>
    <w:p w:rsidR="00963884" w:rsidRPr="00BF0FC7" w:rsidRDefault="00963884" w:rsidP="00FB37DB">
      <w:pPr>
        <w:pStyle w:val="4"/>
        <w:rPr>
          <w:b/>
        </w:rPr>
      </w:pPr>
      <w:r w:rsidRPr="00BF0FC7">
        <w:rPr>
          <w:rFonts w:hint="eastAsia"/>
          <w:b/>
        </w:rPr>
        <w:t>進度是否落後</w:t>
      </w:r>
      <w:r w:rsidR="00BA7CD8" w:rsidRPr="00BF0FC7">
        <w:rPr>
          <w:rStyle w:val="aff"/>
          <w:b/>
        </w:rPr>
        <w:footnoteReference w:id="6"/>
      </w:r>
      <w:r w:rsidRPr="00BF0FC7">
        <w:rPr>
          <w:rFonts w:hint="eastAsia"/>
          <w:b/>
        </w:rPr>
        <w:t>：2</w:t>
      </w:r>
      <w:r w:rsidRPr="00BF0FC7">
        <w:rPr>
          <w:b/>
        </w:rPr>
        <w:t>4</w:t>
      </w:r>
      <w:r w:rsidRPr="00BF0FC7">
        <w:rPr>
          <w:rFonts w:hint="eastAsia"/>
          <w:b/>
        </w:rPr>
        <w:t>件進度落後。</w:t>
      </w:r>
    </w:p>
    <w:p w:rsidR="00963884" w:rsidRPr="00BF0FC7" w:rsidRDefault="00963884" w:rsidP="00FB37DB">
      <w:pPr>
        <w:pStyle w:val="4"/>
        <w:rPr>
          <w:b/>
        </w:rPr>
      </w:pPr>
      <w:r w:rsidRPr="00BF0FC7">
        <w:rPr>
          <w:rFonts w:hint="eastAsia"/>
          <w:b/>
        </w:rPr>
        <w:t>進度落後原因：求償對象或部分求償對象不明、尚未查獲污染行為人等。</w:t>
      </w:r>
    </w:p>
    <w:p w:rsidR="00276B07" w:rsidRPr="00BF0FC7" w:rsidRDefault="00276B07" w:rsidP="00276B07">
      <w:pPr>
        <w:pStyle w:val="3"/>
        <w:rPr>
          <w:b/>
        </w:rPr>
      </w:pPr>
      <w:bookmarkStart w:id="69" w:name="_Toc138666427"/>
      <w:bookmarkStart w:id="70" w:name="_Toc140135549"/>
      <w:r w:rsidRPr="00BF0FC7">
        <w:rPr>
          <w:rFonts w:hint="eastAsia"/>
          <w:b/>
        </w:rPr>
        <w:t>環保署查復土壤及地下水</w:t>
      </w:r>
      <w:proofErr w:type="gramStart"/>
      <w:r w:rsidRPr="00BF0FC7">
        <w:rPr>
          <w:rFonts w:hint="eastAsia"/>
          <w:b/>
        </w:rPr>
        <w:t>污</w:t>
      </w:r>
      <w:proofErr w:type="gramEnd"/>
      <w:r w:rsidRPr="00BF0FC7">
        <w:rPr>
          <w:rFonts w:hint="eastAsia"/>
          <w:b/>
        </w:rPr>
        <w:t>案件之污染行為人難以查明之原因：</w:t>
      </w:r>
      <w:bookmarkEnd w:id="69"/>
      <w:bookmarkEnd w:id="70"/>
    </w:p>
    <w:p w:rsidR="00276B07" w:rsidRPr="00BF0FC7" w:rsidRDefault="00276B07" w:rsidP="00276B07">
      <w:pPr>
        <w:pStyle w:val="4"/>
      </w:pPr>
      <w:r w:rsidRPr="00BF0FC7">
        <w:rPr>
          <w:rFonts w:hint="eastAsia"/>
        </w:rPr>
        <w:t>農地污染來源與污染行為之因果關係建立極為困難，諸如早年未落實灌排分離造成農地累積性污染結果或引用受污染水體灌溉等，致使農地污染案件經主管機關發現時，已難以建立因果關係並認定污染行為人，實務上追查作業未必然能發現污染行為人，</w:t>
      </w:r>
      <w:proofErr w:type="gramStart"/>
      <w:r w:rsidRPr="00BF0FC7">
        <w:rPr>
          <w:rFonts w:hint="eastAsia"/>
        </w:rPr>
        <w:t>罹</w:t>
      </w:r>
      <w:proofErr w:type="gramEnd"/>
      <w:r w:rsidRPr="00BF0FC7">
        <w:rPr>
          <w:rFonts w:hint="eastAsia"/>
        </w:rPr>
        <w:t>於時效案件，係肇因於此。各地方政府及環保署仍基於公益目的維護，優先以基</w:t>
      </w:r>
      <w:r w:rsidRPr="00BF0FC7">
        <w:rPr>
          <w:rFonts w:hint="eastAsia"/>
        </w:rPr>
        <w:lastRenderedPageBreak/>
        <w:t>金支應相關土壤及地下水整治作業費用，但後續多因污染行為人不明而未能依法求償。</w:t>
      </w:r>
    </w:p>
    <w:p w:rsidR="00276B07" w:rsidRPr="00BF0FC7" w:rsidRDefault="00276B07" w:rsidP="00276B07">
      <w:pPr>
        <w:pStyle w:val="4"/>
      </w:pPr>
      <w:r w:rsidRPr="00BF0FC7">
        <w:rPr>
          <w:rFonts w:hint="eastAsia"/>
        </w:rPr>
        <w:t>各環保局針對污染場址</w:t>
      </w:r>
      <w:proofErr w:type="gramStart"/>
      <w:r w:rsidRPr="00BF0FC7">
        <w:rPr>
          <w:rFonts w:hint="eastAsia"/>
        </w:rPr>
        <w:t>均依土污</w:t>
      </w:r>
      <w:proofErr w:type="gramEnd"/>
      <w:r w:rsidRPr="00BF0FC7">
        <w:rPr>
          <w:rFonts w:hint="eastAsia"/>
        </w:rPr>
        <w:t>法第12條</w:t>
      </w:r>
      <w:r w:rsidR="00535B75" w:rsidRPr="00BF0FC7">
        <w:rPr>
          <w:rStyle w:val="aff"/>
        </w:rPr>
        <w:footnoteReference w:id="7"/>
      </w:r>
      <w:r w:rsidRPr="00BF0FC7">
        <w:rPr>
          <w:rFonts w:hint="eastAsia"/>
        </w:rPr>
        <w:t>規定辦理查證作業，然而囿於土壤及地下水為污染傳輸途徑之終端受體，且污染特性不易以目視方式察知，加上早年事業使用製程、原料資料建置不全、污染物質長年累積或農地灌溉渠道系統傳輸等情形，追查作業未必然能發現污染行為人。</w:t>
      </w:r>
    </w:p>
    <w:p w:rsidR="00276B07" w:rsidRPr="00BF0FC7" w:rsidRDefault="00276B07" w:rsidP="00276B07">
      <w:pPr>
        <w:pStyle w:val="4"/>
      </w:pPr>
      <w:r w:rsidRPr="00BF0FC7">
        <w:rPr>
          <w:rFonts w:hint="eastAsia"/>
          <w:b/>
        </w:rPr>
        <w:t>農地污染案件多屬污染行為致使污染物透過灌溉渠道系統衍生之下游污染結果，其傳輸過程中亦多有同質性之事業排放情形</w:t>
      </w:r>
      <w:r w:rsidRPr="00BF0FC7">
        <w:rPr>
          <w:rFonts w:hint="eastAsia"/>
        </w:rPr>
        <w:t>，個案情形究為多個合法排放行為衍生污染物累積導致污染結果，抑或個案情形之非法排放行為所致，</w:t>
      </w:r>
      <w:proofErr w:type="gramStart"/>
      <w:r w:rsidRPr="00BF0FC7">
        <w:rPr>
          <w:rFonts w:hint="eastAsia"/>
        </w:rPr>
        <w:t>均需透過</w:t>
      </w:r>
      <w:proofErr w:type="gramEnd"/>
      <w:r w:rsidRPr="00BF0FC7">
        <w:rPr>
          <w:rFonts w:hint="eastAsia"/>
        </w:rPr>
        <w:t>整體灌溉渠道系統性調查作業始得釐清，惟個案情形仍需進一步證明污染行為人之污染行為事實，及相關污染行為與下游農地之污染關聯等，故針對非現行犯之情形，主管機關仍需投入資源釐清相關事證，故仍有許多污染案件無法認定污染行為人並據以求償。</w:t>
      </w:r>
    </w:p>
    <w:p w:rsidR="00276B07" w:rsidRPr="00BF0FC7" w:rsidRDefault="00276B07" w:rsidP="00276B07">
      <w:pPr>
        <w:pStyle w:val="4"/>
      </w:pPr>
      <w:r w:rsidRPr="00BF0FC7">
        <w:rPr>
          <w:rFonts w:hint="eastAsia"/>
        </w:rPr>
        <w:tab/>
        <w:t>污染案件</w:t>
      </w:r>
      <w:r w:rsidRPr="00BF0FC7">
        <w:rPr>
          <w:rFonts w:hint="eastAsia"/>
          <w:b/>
        </w:rPr>
        <w:t>求償關鍵在於主管機關能夠有效對於污染行為、結果及污染物透過灌溉渠道傳輸途徑等事項能否有效掌握與</w:t>
      </w:r>
      <w:proofErr w:type="gramStart"/>
      <w:r w:rsidRPr="00BF0FC7">
        <w:rPr>
          <w:rFonts w:hint="eastAsia"/>
          <w:b/>
        </w:rPr>
        <w:t>釐</w:t>
      </w:r>
      <w:proofErr w:type="gramEnd"/>
      <w:r w:rsidRPr="00BF0FC7">
        <w:rPr>
          <w:rFonts w:hint="eastAsia"/>
          <w:b/>
        </w:rPr>
        <w:t>清</w:t>
      </w:r>
      <w:r w:rsidRPr="00BF0FC7">
        <w:rPr>
          <w:rFonts w:hint="eastAsia"/>
        </w:rPr>
        <w:t>，始能成為有效證明。</w:t>
      </w:r>
      <w:proofErr w:type="gramStart"/>
      <w:r w:rsidRPr="00BF0FC7">
        <w:rPr>
          <w:rFonts w:hint="eastAsia"/>
        </w:rPr>
        <w:t>惟</w:t>
      </w:r>
      <w:proofErr w:type="gramEnd"/>
      <w:r w:rsidRPr="00BF0FC7">
        <w:rPr>
          <w:rFonts w:hint="eastAsia"/>
        </w:rPr>
        <w:t>環保署與地方環保局合作推動之92年與99年等2次大規模農地土壤調查作業，</w:t>
      </w:r>
      <w:r w:rsidRPr="00BF0FC7">
        <w:rPr>
          <w:rFonts w:hint="eastAsia"/>
          <w:b/>
        </w:rPr>
        <w:t>在當時有限之技術條件仍僅得掌握污染結果，亦不足以充分釐清相關上游事業之運作情形、排放行為及污染傳輸途徑等建立因果關聯性所必需之事證</w:t>
      </w:r>
      <w:r w:rsidRPr="00BF0FC7">
        <w:rPr>
          <w:rFonts w:hint="eastAsia"/>
        </w:rPr>
        <w:t>。</w:t>
      </w:r>
    </w:p>
    <w:p w:rsidR="00736F49" w:rsidRPr="00BF0FC7" w:rsidRDefault="00736F49" w:rsidP="00736F49">
      <w:pPr>
        <w:pStyle w:val="3"/>
      </w:pPr>
      <w:bookmarkStart w:id="71" w:name="_Toc138666428"/>
      <w:bookmarkStart w:id="72" w:name="_Toc140135550"/>
      <w:r w:rsidRPr="00BF0FC7">
        <w:rPr>
          <w:rFonts w:hint="eastAsia"/>
          <w:b/>
        </w:rPr>
        <w:lastRenderedPageBreak/>
        <w:t>環保署</w:t>
      </w:r>
      <w:proofErr w:type="gramStart"/>
      <w:r w:rsidRPr="00BF0FC7">
        <w:rPr>
          <w:rFonts w:hint="eastAsia"/>
          <w:b/>
        </w:rPr>
        <w:t>鑑</w:t>
      </w:r>
      <w:proofErr w:type="gramEnd"/>
      <w:r w:rsidRPr="00BF0FC7">
        <w:rPr>
          <w:rFonts w:hint="eastAsia"/>
          <w:b/>
        </w:rPr>
        <w:t>於相關農地</w:t>
      </w:r>
      <w:proofErr w:type="gramStart"/>
      <w:r w:rsidRPr="00BF0FC7">
        <w:rPr>
          <w:rFonts w:hint="eastAsia"/>
          <w:b/>
        </w:rPr>
        <w:t>場址代支</w:t>
      </w:r>
      <w:proofErr w:type="gramEnd"/>
      <w:r w:rsidRPr="00BF0FC7">
        <w:rPr>
          <w:rFonts w:hint="eastAsia"/>
          <w:b/>
        </w:rPr>
        <w:t>應案件求償關鍵仍在於主管機關對於相關案件與該區域之污染行為、結果及傳輸途徑等事項能否有效掌握與釐清</w:t>
      </w:r>
      <w:r w:rsidRPr="00BF0FC7">
        <w:rPr>
          <w:rFonts w:hint="eastAsia"/>
        </w:rPr>
        <w:t>，故該署將就歷年研究之污染溯源認定技術，結合農地監測預警技術，進一步補助各地方環保局由源頭污染途徑監測，並依水質、土壤污染物項目、</w:t>
      </w:r>
      <w:proofErr w:type="gramStart"/>
      <w:r w:rsidRPr="00BF0FC7">
        <w:rPr>
          <w:rFonts w:hint="eastAsia"/>
        </w:rPr>
        <w:t>態樣及濃</w:t>
      </w:r>
      <w:proofErr w:type="gramEnd"/>
      <w:r w:rsidRPr="00BF0FC7">
        <w:rPr>
          <w:rFonts w:hint="eastAsia"/>
        </w:rPr>
        <w:t>度等，做污染成因分析，查察上游事業廢水及製程關聯性；</w:t>
      </w:r>
      <w:proofErr w:type="gramStart"/>
      <w:r w:rsidRPr="00BF0FC7">
        <w:rPr>
          <w:rFonts w:hint="eastAsia"/>
        </w:rPr>
        <w:t>另</w:t>
      </w:r>
      <w:proofErr w:type="gramEnd"/>
      <w:r w:rsidRPr="00BF0FC7">
        <w:rPr>
          <w:rFonts w:hint="eastAsia"/>
        </w:rPr>
        <w:t>，涉及渠道</w:t>
      </w:r>
      <w:proofErr w:type="gramStart"/>
      <w:r w:rsidRPr="00BF0FC7">
        <w:rPr>
          <w:rFonts w:hint="eastAsia"/>
        </w:rPr>
        <w:t>底泥</w:t>
      </w:r>
      <w:proofErr w:type="gramEnd"/>
      <w:r w:rsidRPr="00BF0FC7">
        <w:rPr>
          <w:rFonts w:hint="eastAsia"/>
        </w:rPr>
        <w:t>者，將進一步辦理上、下游污染源關聯性追查作業，藉以釐清與認定污染行為人或潛在污染責任人。該署針對農地污染案件求償困難</w:t>
      </w:r>
      <w:r w:rsidR="000430A3" w:rsidRPr="00BF0FC7">
        <w:rPr>
          <w:rFonts w:hint="eastAsia"/>
        </w:rPr>
        <w:t>，</w:t>
      </w:r>
      <w:r w:rsidRPr="00BF0FC7">
        <w:rPr>
          <w:rFonts w:hint="eastAsia"/>
        </w:rPr>
        <w:t>以下列方式協助各地方環保局進行關聯性認定與求償作業推動事宜：</w:t>
      </w:r>
      <w:bookmarkEnd w:id="71"/>
      <w:bookmarkEnd w:id="72"/>
    </w:p>
    <w:p w:rsidR="00736F49" w:rsidRPr="00BF0FC7" w:rsidRDefault="00736F49" w:rsidP="00736F49">
      <w:pPr>
        <w:pStyle w:val="4"/>
      </w:pPr>
      <w:r w:rsidRPr="00BF0FC7">
        <w:rPr>
          <w:rFonts w:hint="eastAsia"/>
        </w:rPr>
        <w:t>農地監測預警：依部會分工規劃由行政院農業委員會、經濟部及環保署依權責辦理農地污染預防工作，</w:t>
      </w:r>
      <w:proofErr w:type="gramStart"/>
      <w:r w:rsidRPr="00BF0FC7">
        <w:rPr>
          <w:rFonts w:hint="eastAsia"/>
        </w:rPr>
        <w:t>運用物聯網</w:t>
      </w:r>
      <w:proofErr w:type="gramEnd"/>
      <w:r w:rsidRPr="00BF0FC7">
        <w:rPr>
          <w:rFonts w:hint="eastAsia"/>
        </w:rPr>
        <w:t>（IoT）於農田引灌圳渠水路執行智慧即時監測，並整合污染源（Source）-污染途徑（Pathway）-污染受體（</w:t>
      </w:r>
      <w:proofErr w:type="spellStart"/>
      <w:r w:rsidRPr="00BF0FC7">
        <w:rPr>
          <w:rFonts w:hint="eastAsia"/>
        </w:rPr>
        <w:t>Recepter</w:t>
      </w:r>
      <w:proofErr w:type="spellEnd"/>
      <w:r w:rsidRPr="00BF0FC7">
        <w:rPr>
          <w:rFonts w:hint="eastAsia"/>
        </w:rPr>
        <w:t>）等3面向監測工具，辦理源頭管制（加強工廠源頭管理管制）、途徑防治（水質自動連續監測/灌排分離/廢水排放許可管理/廢水查察/廢水總量管制）及受體整治（農地整治/土壤監測）等三面向作業，配合部會權責職掌，結合地方政府管理能量，推動農地土壤</w:t>
      </w:r>
      <w:proofErr w:type="gramStart"/>
      <w:r w:rsidRPr="00BF0FC7">
        <w:rPr>
          <w:rFonts w:hint="eastAsia"/>
        </w:rPr>
        <w:t>污染熱區預</w:t>
      </w:r>
      <w:proofErr w:type="gramEnd"/>
      <w:r w:rsidRPr="00BF0FC7">
        <w:rPr>
          <w:rFonts w:hint="eastAsia"/>
        </w:rPr>
        <w:t>防管理。</w:t>
      </w:r>
    </w:p>
    <w:p w:rsidR="00736F49" w:rsidRPr="00BF0FC7" w:rsidRDefault="00736F49" w:rsidP="00736F49">
      <w:pPr>
        <w:pStyle w:val="4"/>
      </w:pPr>
      <w:r w:rsidRPr="00BF0FC7">
        <w:rPr>
          <w:rFonts w:hint="eastAsia"/>
        </w:rPr>
        <w:t>污染追溯機制：由源頭污染途徑監測發現水質污染後，調查引灌範圍農地</w:t>
      </w:r>
      <w:r w:rsidR="007630BE" w:rsidRPr="00BF0FC7">
        <w:rPr>
          <w:rFonts w:hint="eastAsia"/>
        </w:rPr>
        <w:t>，</w:t>
      </w:r>
      <w:r w:rsidRPr="00BF0FC7">
        <w:rPr>
          <w:rFonts w:hint="eastAsia"/>
        </w:rPr>
        <w:t>倘土壤已遭受污染，則依據水質、土壤污染物項目、</w:t>
      </w:r>
      <w:proofErr w:type="gramStart"/>
      <w:r w:rsidRPr="00BF0FC7">
        <w:rPr>
          <w:rFonts w:hint="eastAsia"/>
        </w:rPr>
        <w:t>態樣及濃度</w:t>
      </w:r>
      <w:proofErr w:type="gramEnd"/>
      <w:r w:rsidRPr="00BF0FC7">
        <w:rPr>
          <w:rFonts w:hint="eastAsia"/>
        </w:rPr>
        <w:t>等，做污染成因分析，查察上游事業廢水及製程等做關聯性分析，追查污染源；</w:t>
      </w:r>
      <w:proofErr w:type="gramStart"/>
      <w:r w:rsidRPr="00BF0FC7">
        <w:rPr>
          <w:rFonts w:hint="eastAsia"/>
        </w:rPr>
        <w:t>另</w:t>
      </w:r>
      <w:proofErr w:type="gramEnd"/>
      <w:r w:rsidRPr="00BF0FC7">
        <w:rPr>
          <w:rFonts w:hint="eastAsia"/>
        </w:rPr>
        <w:t>，涉及渠道</w:t>
      </w:r>
      <w:proofErr w:type="gramStart"/>
      <w:r w:rsidRPr="00BF0FC7">
        <w:rPr>
          <w:rFonts w:hint="eastAsia"/>
        </w:rPr>
        <w:t>底泥</w:t>
      </w:r>
      <w:proofErr w:type="gramEnd"/>
      <w:r w:rsidRPr="00BF0FC7">
        <w:rPr>
          <w:rFonts w:hint="eastAsia"/>
        </w:rPr>
        <w:t>者，應進行上、下游污染源關聯性追查作業，藉以釐清與認定污染行為人或潛在污染責任人。</w:t>
      </w:r>
    </w:p>
    <w:p w:rsidR="00736F49" w:rsidRPr="00BF0FC7" w:rsidRDefault="00736F49" w:rsidP="00736F49">
      <w:pPr>
        <w:pStyle w:val="4"/>
      </w:pPr>
      <w:r w:rsidRPr="00BF0FC7">
        <w:rPr>
          <w:rFonts w:hint="eastAsia"/>
        </w:rPr>
        <w:lastRenderedPageBreak/>
        <w:t>為強化相關受污染農地代為支應費用求償作業，環保署於106年4月11日下達「農地灌溉</w:t>
      </w:r>
      <w:proofErr w:type="gramStart"/>
      <w:r w:rsidRPr="00BF0FC7">
        <w:rPr>
          <w:rFonts w:hint="eastAsia"/>
        </w:rPr>
        <w:t>渠道底泥之</w:t>
      </w:r>
      <w:proofErr w:type="gramEnd"/>
      <w:r w:rsidRPr="00BF0FC7">
        <w:rPr>
          <w:rFonts w:hint="eastAsia"/>
        </w:rPr>
        <w:t>污染來源與關聯性認定作業查證注意事項」，提供各環保局釐清農地</w:t>
      </w:r>
      <w:proofErr w:type="gramStart"/>
      <w:r w:rsidRPr="00BF0FC7">
        <w:rPr>
          <w:rFonts w:hint="eastAsia"/>
        </w:rPr>
        <w:t>污染與引</w:t>
      </w:r>
      <w:proofErr w:type="gramEnd"/>
      <w:r w:rsidRPr="00BF0FC7">
        <w:rPr>
          <w:rFonts w:hint="eastAsia"/>
        </w:rPr>
        <w:t>灌渠道間關聯性之一致判斷基準。</w:t>
      </w:r>
    </w:p>
    <w:p w:rsidR="00736F49" w:rsidRPr="00BF0FC7" w:rsidRDefault="00736F49" w:rsidP="00736F49">
      <w:pPr>
        <w:pStyle w:val="4"/>
      </w:pPr>
      <w:r w:rsidRPr="00BF0FC7">
        <w:rPr>
          <w:rFonts w:hint="eastAsia"/>
        </w:rPr>
        <w:t>該署持續督導各地方環保局辦理相關求償作業，並於各年度辦理「</w:t>
      </w:r>
      <w:proofErr w:type="gramStart"/>
      <w:r w:rsidRPr="00BF0FC7">
        <w:rPr>
          <w:rFonts w:hint="eastAsia"/>
        </w:rPr>
        <w:t>土污基金</w:t>
      </w:r>
      <w:proofErr w:type="gramEnd"/>
      <w:r w:rsidRPr="00BF0FC7">
        <w:rPr>
          <w:rFonts w:hint="eastAsia"/>
        </w:rPr>
        <w:t>求償作業暨債權保全程序訓練班」，針對求償工作應注意事項及系統檔案建立等工作，督導並訓練地方環保局持續提升求償作業相關專業能力，同時協助各地方環保局針對求償作業衍生之法律爭訟作業給予必要協助。</w:t>
      </w:r>
    </w:p>
    <w:p w:rsidR="00736F49" w:rsidRPr="00BF0FC7" w:rsidRDefault="00736F49" w:rsidP="00736F49">
      <w:pPr>
        <w:pStyle w:val="4"/>
      </w:pPr>
      <w:r w:rsidRPr="00BF0FC7">
        <w:rPr>
          <w:rFonts w:hint="eastAsia"/>
        </w:rPr>
        <w:t>環保署辦理地方環保局年度計畫績效考評內容，設有成功求償案件則予獎勵及加分之機制，鼓勵地方環保局積極辦理污染行為人追查及後續求償作業。</w:t>
      </w:r>
    </w:p>
    <w:p w:rsidR="00736F49" w:rsidRPr="00BF0FC7" w:rsidRDefault="00736F49" w:rsidP="00736F49">
      <w:pPr>
        <w:pStyle w:val="3"/>
      </w:pPr>
      <w:bookmarkStart w:id="73" w:name="_Toc138666429"/>
      <w:bookmarkStart w:id="74" w:name="_Toc140135551"/>
      <w:r w:rsidRPr="00BF0FC7">
        <w:rPr>
          <w:rFonts w:hint="eastAsia"/>
          <w:b/>
        </w:rPr>
        <w:t>該署為進一步強化主管機關求償作業，並加速污染場址改善，於111年11月22日下達「土壤及地下水污染整治法現行求償與債權保全制度精進措施指引」</w:t>
      </w:r>
      <w:r w:rsidRPr="00BF0FC7">
        <w:rPr>
          <w:rFonts w:hint="eastAsia"/>
        </w:rPr>
        <w:t>，給予各環保局更進一步發動求償及保全作業之參考方式，同時，亦於111年起結合推動污染場址加速改善之法律與環工合作模式，由法律專業人員協助各環保局針對相關時效內之公法債權案件主動檢視並輔導環保局強化污染責任人搜尋及認定之可能性，</w:t>
      </w:r>
      <w:proofErr w:type="gramStart"/>
      <w:r w:rsidRPr="00BF0FC7">
        <w:rPr>
          <w:rFonts w:hint="eastAsia"/>
        </w:rPr>
        <w:t>俾</w:t>
      </w:r>
      <w:proofErr w:type="gramEnd"/>
      <w:r w:rsidRPr="00BF0FC7">
        <w:rPr>
          <w:rFonts w:hint="eastAsia"/>
        </w:rPr>
        <w:t>以維護相關債權。</w:t>
      </w:r>
      <w:bookmarkEnd w:id="73"/>
      <w:bookmarkEnd w:id="74"/>
    </w:p>
    <w:p w:rsidR="00F33234" w:rsidRPr="00BF0FC7" w:rsidRDefault="00777BB8" w:rsidP="00F33234">
      <w:pPr>
        <w:pStyle w:val="3"/>
      </w:pPr>
      <w:bookmarkStart w:id="75" w:name="_Toc138666430"/>
      <w:bookmarkStart w:id="76" w:name="_Toc140135552"/>
      <w:r w:rsidRPr="00BF0FC7">
        <w:rPr>
          <w:rFonts w:hint="eastAsia"/>
        </w:rPr>
        <w:t>綜上，</w:t>
      </w:r>
      <w:bookmarkEnd w:id="75"/>
      <w:bookmarkEnd w:id="76"/>
      <w:r w:rsidR="006C0618" w:rsidRPr="00BF0FC7">
        <w:rPr>
          <w:rFonts w:hint="eastAsia"/>
        </w:rPr>
        <w:t>環保署土壤及地下水污染整治基金</w:t>
      </w:r>
      <w:proofErr w:type="gramStart"/>
      <w:r w:rsidR="006C0618" w:rsidRPr="00BF0FC7">
        <w:rPr>
          <w:rFonts w:hint="eastAsia"/>
        </w:rPr>
        <w:t>列管代為</w:t>
      </w:r>
      <w:proofErr w:type="gramEnd"/>
      <w:r w:rsidR="006C0618" w:rsidRPr="00BF0FC7">
        <w:rPr>
          <w:rFonts w:hint="eastAsia"/>
        </w:rPr>
        <w:t>支應費用之求償案件共233件約計29.4億元，其中查無污染行為人無法進行求償，並已逾行政程序法第131條規定5年公法債權時效部分，農地</w:t>
      </w:r>
      <w:proofErr w:type="gramStart"/>
      <w:r w:rsidR="006C0618" w:rsidRPr="00BF0FC7">
        <w:rPr>
          <w:rFonts w:hint="eastAsia"/>
        </w:rPr>
        <w:t>場址約</w:t>
      </w:r>
      <w:proofErr w:type="gramEnd"/>
      <w:r w:rsidR="006C0618" w:rsidRPr="00BF0FC7">
        <w:rPr>
          <w:rFonts w:hint="eastAsia"/>
        </w:rPr>
        <w:t>為12億6,400餘萬元，事業</w:t>
      </w:r>
      <w:proofErr w:type="gramStart"/>
      <w:r w:rsidR="006C0618" w:rsidRPr="00BF0FC7">
        <w:rPr>
          <w:rFonts w:hint="eastAsia"/>
        </w:rPr>
        <w:t>場址約</w:t>
      </w:r>
      <w:proofErr w:type="gramEnd"/>
      <w:r w:rsidR="006C0618" w:rsidRPr="00BF0FC7">
        <w:rPr>
          <w:rFonts w:hint="eastAsia"/>
        </w:rPr>
        <w:t>為3億700餘萬元。復據</w:t>
      </w:r>
      <w:r w:rsidR="006C0618" w:rsidRPr="00BF0FC7">
        <w:rPr>
          <w:rFonts w:hint="eastAsia"/>
        </w:rPr>
        <w:lastRenderedPageBreak/>
        <w:t>審計部</w:t>
      </w:r>
      <w:proofErr w:type="gramStart"/>
      <w:r w:rsidR="006C0618" w:rsidRPr="00BF0FC7">
        <w:rPr>
          <w:rFonts w:hint="eastAsia"/>
        </w:rPr>
        <w:t>110</w:t>
      </w:r>
      <w:proofErr w:type="gramEnd"/>
      <w:r w:rsidR="006C0618" w:rsidRPr="00BF0FC7">
        <w:rPr>
          <w:rFonts w:hint="eastAsia"/>
        </w:rPr>
        <w:t>年度中央政府總決算審核報告指出，該基金歷年歸墊金額僅約1</w:t>
      </w:r>
      <w:r w:rsidR="006C0618" w:rsidRPr="00BF0FC7">
        <w:t>7%</w:t>
      </w:r>
      <w:r w:rsidR="006C0618" w:rsidRPr="00BF0FC7">
        <w:rPr>
          <w:rFonts w:hint="eastAsia"/>
        </w:rPr>
        <w:t>。而就公法債權時效</w:t>
      </w:r>
      <w:proofErr w:type="gramStart"/>
      <w:r w:rsidR="006C0618" w:rsidRPr="00BF0FC7">
        <w:rPr>
          <w:rFonts w:hint="eastAsia"/>
        </w:rPr>
        <w:t>尚未屆至案件</w:t>
      </w:r>
      <w:proofErr w:type="gramEnd"/>
      <w:r w:rsidR="006C0618" w:rsidRPr="00BF0FC7">
        <w:rPr>
          <w:rFonts w:hint="eastAsia"/>
        </w:rPr>
        <w:t>（即1</w:t>
      </w:r>
      <w:r w:rsidR="006C0618" w:rsidRPr="00BF0FC7">
        <w:t>07</w:t>
      </w:r>
      <w:r w:rsidR="006C0618" w:rsidRPr="00BF0FC7">
        <w:rPr>
          <w:rFonts w:hint="eastAsia"/>
        </w:rPr>
        <w:t>年迄今）計4</w:t>
      </w:r>
      <w:r w:rsidR="006C0618" w:rsidRPr="00BF0FC7">
        <w:t>0</w:t>
      </w:r>
      <w:r w:rsidR="006C0618" w:rsidRPr="00BF0FC7">
        <w:rPr>
          <w:rFonts w:hint="eastAsia"/>
        </w:rPr>
        <w:t>件，仍有3</w:t>
      </w:r>
      <w:r w:rsidR="006C0618" w:rsidRPr="00BF0FC7">
        <w:t>4</w:t>
      </w:r>
      <w:r w:rsidR="006C0618" w:rsidRPr="00BF0FC7">
        <w:rPr>
          <w:rFonts w:hint="eastAsia"/>
        </w:rPr>
        <w:t>件</w:t>
      </w:r>
      <w:proofErr w:type="gramStart"/>
      <w:r w:rsidR="006C0618" w:rsidRPr="00BF0FC7">
        <w:rPr>
          <w:rFonts w:hint="eastAsia"/>
        </w:rPr>
        <w:t>未完成求償</w:t>
      </w:r>
      <w:proofErr w:type="gramEnd"/>
      <w:r w:rsidR="006C0618" w:rsidRPr="00BF0FC7">
        <w:rPr>
          <w:rFonts w:hint="eastAsia"/>
        </w:rPr>
        <w:t>，多數案件仍處於求償對象不明或尚未查獲污染行為人之情形，且執行進度早已落後。雖環保署以污染來源與污染行為之因果關係建立極為困難等為由，協助地方環保局提升專業能力、績效考評設有鼓勵及加分機制，或於111年11月22日方下達「土壤及地下水污染整治法現行求償與債權保全制度精進措施指引」，僅供地方環保局參考，惟迄難以有效督促地方環保局積極查獲污染行為人，致使無從進行債權保全，相關</w:t>
      </w:r>
      <w:proofErr w:type="gramStart"/>
      <w:r w:rsidR="006C0618" w:rsidRPr="00BF0FC7">
        <w:rPr>
          <w:rFonts w:hint="eastAsia"/>
        </w:rPr>
        <w:t>作為顯欠積極</w:t>
      </w:r>
      <w:proofErr w:type="gramEnd"/>
      <w:r w:rsidR="006C0618" w:rsidRPr="00BF0FC7">
        <w:rPr>
          <w:rFonts w:hint="eastAsia"/>
        </w:rPr>
        <w:t>，應檢討改進。</w:t>
      </w:r>
    </w:p>
    <w:p w:rsidR="002903F0" w:rsidRPr="00BF0FC7" w:rsidRDefault="002903F0" w:rsidP="002903F0">
      <w:pPr>
        <w:pStyle w:val="3"/>
        <w:numPr>
          <w:ilvl w:val="0"/>
          <w:numId w:val="0"/>
        </w:numPr>
        <w:ind w:left="1344"/>
      </w:pPr>
    </w:p>
    <w:p w:rsidR="00E26F6E" w:rsidRPr="00BF0FC7" w:rsidRDefault="0061031F" w:rsidP="00B555F1">
      <w:pPr>
        <w:pStyle w:val="2"/>
        <w:rPr>
          <w:b/>
        </w:rPr>
      </w:pPr>
      <w:bookmarkStart w:id="77" w:name="_Toc140135553"/>
      <w:r w:rsidRPr="00BF0FC7">
        <w:rPr>
          <w:rFonts w:hint="eastAsia"/>
          <w:b/>
        </w:rPr>
        <w:t>環保署為</w:t>
      </w:r>
      <w:proofErr w:type="gramStart"/>
      <w:r w:rsidRPr="00BF0FC7">
        <w:rPr>
          <w:rFonts w:hint="eastAsia"/>
          <w:b/>
        </w:rPr>
        <w:t>管理</w:t>
      </w:r>
      <w:r w:rsidR="004047B5" w:rsidRPr="00BF0FC7">
        <w:rPr>
          <w:rFonts w:hint="eastAsia"/>
          <w:b/>
        </w:rPr>
        <w:t>土污基金</w:t>
      </w:r>
      <w:proofErr w:type="gramEnd"/>
      <w:r w:rsidRPr="00BF0FC7">
        <w:rPr>
          <w:rFonts w:hint="eastAsia"/>
          <w:b/>
        </w:rPr>
        <w:t>代為支應費用求償案件之列管，要求各地方政府於申請代為支應費用時，應於實際支出費用時起1個月內，</w:t>
      </w:r>
      <w:r w:rsidR="00744CCB" w:rsidRPr="00BF0FC7">
        <w:rPr>
          <w:rFonts w:hint="eastAsia"/>
          <w:b/>
        </w:rPr>
        <w:t>於「土壤及地下水資訊管理系統」</w:t>
      </w:r>
      <w:r w:rsidRPr="00BF0FC7">
        <w:rPr>
          <w:rFonts w:hint="eastAsia"/>
          <w:b/>
        </w:rPr>
        <w:t>新增求償計畫、求償目標，地方政府應於每月10日前至前開系統更新求償進度，惟地方政府未確實於該系統登錄</w:t>
      </w:r>
      <w:r w:rsidR="009C725E" w:rsidRPr="00BF0FC7">
        <w:rPr>
          <w:rFonts w:hint="eastAsia"/>
          <w:b/>
        </w:rPr>
        <w:t>及</w:t>
      </w:r>
      <w:proofErr w:type="gramStart"/>
      <w:r w:rsidR="00054F5F" w:rsidRPr="00BF0FC7">
        <w:rPr>
          <w:rFonts w:hint="eastAsia"/>
          <w:b/>
        </w:rPr>
        <w:t>補登</w:t>
      </w:r>
      <w:r w:rsidRPr="00BF0FC7">
        <w:rPr>
          <w:rFonts w:hint="eastAsia"/>
          <w:b/>
        </w:rPr>
        <w:t>求償</w:t>
      </w:r>
      <w:proofErr w:type="gramEnd"/>
      <w:r w:rsidRPr="00BF0FC7">
        <w:rPr>
          <w:rFonts w:hint="eastAsia"/>
          <w:b/>
        </w:rPr>
        <w:t>資訊及進度，環保署</w:t>
      </w:r>
      <w:r w:rsidR="009778FB" w:rsidRPr="00BF0FC7">
        <w:rPr>
          <w:rFonts w:hint="eastAsia"/>
          <w:b/>
        </w:rPr>
        <w:t>亦</w:t>
      </w:r>
      <w:r w:rsidRPr="00BF0FC7">
        <w:rPr>
          <w:rFonts w:hint="eastAsia"/>
          <w:b/>
        </w:rPr>
        <w:t>未能掌握求償案件之進度及成效，</w:t>
      </w:r>
      <w:r w:rsidR="00F00AC3" w:rsidRPr="00BF0FC7">
        <w:rPr>
          <w:rFonts w:hint="eastAsia"/>
          <w:b/>
        </w:rPr>
        <w:t>且</w:t>
      </w:r>
      <w:r w:rsidR="009778FB" w:rsidRPr="00BF0FC7">
        <w:rPr>
          <w:rFonts w:hint="eastAsia"/>
          <w:b/>
        </w:rPr>
        <w:t>於</w:t>
      </w:r>
      <w:r w:rsidR="00F00AC3" w:rsidRPr="00BF0FC7">
        <w:rPr>
          <w:rFonts w:hint="eastAsia"/>
          <w:b/>
        </w:rPr>
        <w:t>執行進度落後</w:t>
      </w:r>
      <w:r w:rsidR="009778FB" w:rsidRPr="00BF0FC7">
        <w:rPr>
          <w:rFonts w:hint="eastAsia"/>
          <w:b/>
        </w:rPr>
        <w:t>卻</w:t>
      </w:r>
      <w:r w:rsidRPr="00BF0FC7">
        <w:rPr>
          <w:rFonts w:hint="eastAsia"/>
          <w:b/>
        </w:rPr>
        <w:t>未要求地方政府</w:t>
      </w:r>
      <w:r w:rsidR="00F00AC3" w:rsidRPr="00BF0FC7">
        <w:rPr>
          <w:rFonts w:hint="eastAsia"/>
          <w:b/>
        </w:rPr>
        <w:t>積極辦理，系統管制形同虛設，應檢討改進。</w:t>
      </w:r>
      <w:bookmarkEnd w:id="77"/>
    </w:p>
    <w:p w:rsidR="00E26F6E" w:rsidRPr="00BF0FC7" w:rsidRDefault="00E26F6E" w:rsidP="0046063F">
      <w:pPr>
        <w:pStyle w:val="3"/>
      </w:pPr>
      <w:bookmarkStart w:id="78" w:name="_Toc138666432"/>
      <w:bookmarkStart w:id="79" w:name="_Toc140135554"/>
      <w:r w:rsidRPr="00BF0FC7">
        <w:rPr>
          <w:rFonts w:hint="eastAsia"/>
        </w:rPr>
        <w:t>環保署於99年3月8日以環</w:t>
      </w:r>
      <w:proofErr w:type="gramStart"/>
      <w:r w:rsidRPr="00BF0FC7">
        <w:rPr>
          <w:rFonts w:hint="eastAsia"/>
        </w:rPr>
        <w:t>署土字第0990020031號函訂</w:t>
      </w:r>
      <w:proofErr w:type="gramEnd"/>
      <w:r w:rsidRPr="00BF0FC7">
        <w:rPr>
          <w:rFonts w:hint="eastAsia"/>
        </w:rPr>
        <w:t>定</w:t>
      </w:r>
      <w:r w:rsidR="00DE6B97" w:rsidRPr="00BF0FC7">
        <w:rPr>
          <w:rFonts w:hint="eastAsia"/>
        </w:rPr>
        <w:t>「</w:t>
      </w:r>
      <w:r w:rsidRPr="00BF0FC7">
        <w:rPr>
          <w:rFonts w:hint="eastAsia"/>
        </w:rPr>
        <w:t>土壤及地下水污染整治基金代為支應費用求償案件列管作業原則</w:t>
      </w:r>
      <w:r w:rsidR="00DE6B97" w:rsidRPr="00BF0FC7">
        <w:rPr>
          <w:rFonts w:hint="eastAsia"/>
        </w:rPr>
        <w:t>」</w:t>
      </w:r>
      <w:r w:rsidRPr="00BF0FC7">
        <w:rPr>
          <w:rFonts w:hint="eastAsia"/>
        </w:rPr>
        <w:t>，</w:t>
      </w:r>
      <w:r w:rsidRPr="00BF0FC7">
        <w:rPr>
          <w:rFonts w:hint="eastAsia"/>
          <w:b/>
        </w:rPr>
        <w:t>第3點求償案件之列管規定略</w:t>
      </w:r>
      <w:proofErr w:type="gramStart"/>
      <w:r w:rsidRPr="00BF0FC7">
        <w:rPr>
          <w:rFonts w:hint="eastAsia"/>
          <w:b/>
        </w:rPr>
        <w:t>以</w:t>
      </w:r>
      <w:proofErr w:type="gramEnd"/>
      <w:r w:rsidRPr="00BF0FC7">
        <w:rPr>
          <w:rFonts w:hint="eastAsia"/>
          <w:b/>
        </w:rPr>
        <w:t>：各地方政府於申請代為支應費用時，應於實際支出費用時起1個月內，至</w:t>
      </w:r>
      <w:bookmarkStart w:id="80" w:name="_Hlk138658915"/>
      <w:r w:rsidRPr="00BF0FC7">
        <w:rPr>
          <w:rFonts w:hint="eastAsia"/>
          <w:b/>
        </w:rPr>
        <w:t>「土壤及地下水資訊管理系統」</w:t>
      </w:r>
      <w:bookmarkEnd w:id="80"/>
      <w:r w:rsidRPr="00BF0FC7">
        <w:rPr>
          <w:rFonts w:hint="eastAsia"/>
          <w:b/>
        </w:rPr>
        <w:t>新增求償計畫、求償目標，地方政府應於每月10日前至前開系統更新求償進度</w:t>
      </w:r>
      <w:r w:rsidRPr="00BF0FC7">
        <w:rPr>
          <w:rFonts w:hint="eastAsia"/>
        </w:rPr>
        <w:t>，並於實際求償進度落後求償目標1個月以上時詳述原因</w:t>
      </w:r>
      <w:r w:rsidR="002840BD" w:rsidRPr="00BF0FC7">
        <w:rPr>
          <w:rFonts w:hint="eastAsia"/>
        </w:rPr>
        <w:t>。</w:t>
      </w:r>
      <w:r w:rsidR="006808BC" w:rsidRPr="00BF0FC7">
        <w:rPr>
          <w:rFonts w:hint="eastAsia"/>
        </w:rPr>
        <w:t>同作業</w:t>
      </w:r>
      <w:r w:rsidR="006808BC" w:rsidRPr="00BF0FC7">
        <w:rPr>
          <w:rFonts w:hint="eastAsia"/>
        </w:rPr>
        <w:lastRenderedPageBreak/>
        <w:t>原則</w:t>
      </w:r>
      <w:r w:rsidR="00CF3289" w:rsidRPr="00BF0FC7">
        <w:rPr>
          <w:rFonts w:hint="eastAsia"/>
        </w:rPr>
        <w:t>第8點規定直轄市、縣（市）主管機關最遲應於</w:t>
      </w:r>
      <w:r w:rsidR="00CF3289" w:rsidRPr="00BF0FC7">
        <w:rPr>
          <w:rFonts w:hint="eastAsia"/>
          <w:b/>
        </w:rPr>
        <w:t>本原則生效日起6個月內，將本原則生效前之求償案件資料補登於土壤及地下水管理資訊系統</w:t>
      </w:r>
      <w:r w:rsidR="00CF3289" w:rsidRPr="00BF0FC7">
        <w:rPr>
          <w:rFonts w:hint="eastAsia"/>
        </w:rPr>
        <w:t>，</w:t>
      </w:r>
      <w:r w:rsidRPr="00BF0FC7">
        <w:rPr>
          <w:rFonts w:hint="eastAsia"/>
        </w:rPr>
        <w:t>以促進各地方政府辦理土壤及地下水污染整治代為支應費用求償作業，</w:t>
      </w:r>
      <w:proofErr w:type="gramStart"/>
      <w:r w:rsidRPr="00BF0FC7">
        <w:rPr>
          <w:rFonts w:hint="eastAsia"/>
        </w:rPr>
        <w:t>提升土污基金</w:t>
      </w:r>
      <w:proofErr w:type="gramEnd"/>
      <w:r w:rsidRPr="00BF0FC7">
        <w:rPr>
          <w:rFonts w:hint="eastAsia"/>
        </w:rPr>
        <w:t>代為支應費用歸墊比率。</w:t>
      </w:r>
      <w:bookmarkEnd w:id="78"/>
      <w:bookmarkEnd w:id="79"/>
    </w:p>
    <w:p w:rsidR="0061031F" w:rsidRPr="00BF0FC7" w:rsidRDefault="00F037C3" w:rsidP="00E26F6E">
      <w:pPr>
        <w:pStyle w:val="3"/>
      </w:pPr>
      <w:bookmarkStart w:id="81" w:name="_Toc138666433"/>
      <w:bookmarkStart w:id="82" w:name="_Toc140135555"/>
      <w:r w:rsidRPr="00BF0FC7">
        <w:rPr>
          <w:rFonts w:hint="eastAsia"/>
          <w:b/>
        </w:rPr>
        <w:t>據審計部</w:t>
      </w:r>
      <w:proofErr w:type="gramStart"/>
      <w:r w:rsidRPr="00BF0FC7">
        <w:rPr>
          <w:rFonts w:hint="eastAsia"/>
          <w:b/>
        </w:rPr>
        <w:t>110</w:t>
      </w:r>
      <w:proofErr w:type="gramEnd"/>
      <w:r w:rsidRPr="00BF0FC7">
        <w:rPr>
          <w:rFonts w:hint="eastAsia"/>
          <w:b/>
        </w:rPr>
        <w:t>年度中央政府總決算審核報告指出</w:t>
      </w:r>
      <w:r w:rsidRPr="00BF0FC7">
        <w:rPr>
          <w:rFonts w:hint="eastAsia"/>
        </w:rPr>
        <w:t>，</w:t>
      </w:r>
      <w:r w:rsidR="0061031F" w:rsidRPr="00BF0FC7">
        <w:rPr>
          <w:rFonts w:hint="eastAsia"/>
        </w:rPr>
        <w:t>環保署為向污染行為人或污染土地關係人</w:t>
      </w:r>
      <w:proofErr w:type="gramStart"/>
      <w:r w:rsidR="0061031F" w:rsidRPr="00BF0FC7">
        <w:rPr>
          <w:rFonts w:hint="eastAsia"/>
        </w:rPr>
        <w:t>求償代為</w:t>
      </w:r>
      <w:proofErr w:type="gramEnd"/>
      <w:r w:rsidR="0061031F" w:rsidRPr="00BF0FC7">
        <w:rPr>
          <w:rFonts w:hint="eastAsia"/>
        </w:rPr>
        <w:t>支應費用，雖訂定</w:t>
      </w:r>
      <w:r w:rsidR="00BA5A3F" w:rsidRPr="00BF0FC7">
        <w:rPr>
          <w:rFonts w:hint="eastAsia"/>
        </w:rPr>
        <w:t>「</w:t>
      </w:r>
      <w:r w:rsidR="0061031F" w:rsidRPr="00BF0FC7">
        <w:rPr>
          <w:rFonts w:hint="eastAsia"/>
        </w:rPr>
        <w:t>土壤及地下水污染整治基金代為支應費用求償案件列管作業原則</w:t>
      </w:r>
      <w:r w:rsidR="00BA5A3F" w:rsidRPr="00BF0FC7">
        <w:rPr>
          <w:rFonts w:hint="eastAsia"/>
        </w:rPr>
        <w:t>」</w:t>
      </w:r>
      <w:r w:rsidR="0061031F" w:rsidRPr="00BF0FC7">
        <w:rPr>
          <w:rFonts w:hint="eastAsia"/>
        </w:rPr>
        <w:t>，並於土壤及地下水資訊管理系統中進行控管，惟據該部抽查發現，</w:t>
      </w:r>
      <w:r w:rsidR="0061031F" w:rsidRPr="00BF0FC7">
        <w:rPr>
          <w:rFonts w:hint="eastAsia"/>
          <w:b/>
        </w:rPr>
        <w:t>地方政府未依上開規定於系統欄位登錄求償資訊及進度，該署亦無相關督導作為</w:t>
      </w:r>
      <w:r w:rsidR="0061031F" w:rsidRPr="00BF0FC7">
        <w:rPr>
          <w:rFonts w:hint="eastAsia"/>
        </w:rPr>
        <w:t>，致系統項目功能未能發揮，長年來代為支應費用與求償金額不僅無法相互勾</w:t>
      </w:r>
      <w:proofErr w:type="gramStart"/>
      <w:r w:rsidR="0061031F" w:rsidRPr="00BF0FC7">
        <w:rPr>
          <w:rFonts w:hint="eastAsia"/>
        </w:rPr>
        <w:t>稽</w:t>
      </w:r>
      <w:proofErr w:type="gramEnd"/>
      <w:r w:rsidR="0061031F" w:rsidRPr="00BF0FC7">
        <w:rPr>
          <w:rFonts w:hint="eastAsia"/>
        </w:rPr>
        <w:t>，亦無法掌握</w:t>
      </w:r>
      <w:proofErr w:type="gramStart"/>
      <w:r w:rsidR="0061031F" w:rsidRPr="00BF0FC7">
        <w:rPr>
          <w:rFonts w:hint="eastAsia"/>
        </w:rPr>
        <w:t>釐</w:t>
      </w:r>
      <w:proofErr w:type="gramEnd"/>
      <w:r w:rsidR="0061031F" w:rsidRPr="00BF0FC7">
        <w:rPr>
          <w:rFonts w:hint="eastAsia"/>
        </w:rPr>
        <w:t>清</w:t>
      </w:r>
      <w:proofErr w:type="gramStart"/>
      <w:r w:rsidR="0061031F" w:rsidRPr="00BF0FC7">
        <w:rPr>
          <w:rFonts w:hint="eastAsia"/>
        </w:rPr>
        <w:t>該等求償</w:t>
      </w:r>
      <w:proofErr w:type="gramEnd"/>
      <w:r w:rsidR="0061031F" w:rsidRPr="00BF0FC7">
        <w:rPr>
          <w:rFonts w:hint="eastAsia"/>
        </w:rPr>
        <w:t>案件之求償進度及執行時效。</w:t>
      </w:r>
      <w:bookmarkEnd w:id="81"/>
      <w:bookmarkEnd w:id="82"/>
    </w:p>
    <w:p w:rsidR="00E26F6E" w:rsidRPr="00BF0FC7" w:rsidRDefault="0061031F" w:rsidP="00E26F6E">
      <w:pPr>
        <w:pStyle w:val="3"/>
      </w:pPr>
      <w:bookmarkStart w:id="83" w:name="_Toc138666434"/>
      <w:bookmarkStart w:id="84" w:name="_Toc140135556"/>
      <w:r w:rsidRPr="00BF0FC7">
        <w:rPr>
          <w:rFonts w:hint="eastAsia"/>
        </w:rPr>
        <w:t>經</w:t>
      </w:r>
      <w:proofErr w:type="gramStart"/>
      <w:r w:rsidRPr="00BF0FC7">
        <w:rPr>
          <w:rFonts w:hint="eastAsia"/>
        </w:rPr>
        <w:t>審計部函請</w:t>
      </w:r>
      <w:proofErr w:type="gramEnd"/>
      <w:r w:rsidRPr="00BF0FC7">
        <w:rPr>
          <w:rFonts w:hint="eastAsia"/>
        </w:rPr>
        <w:t>環保署全面</w:t>
      </w:r>
      <w:proofErr w:type="gramStart"/>
      <w:r w:rsidRPr="00BF0FC7">
        <w:rPr>
          <w:rFonts w:hint="eastAsia"/>
        </w:rPr>
        <w:t>清查土污基金</w:t>
      </w:r>
      <w:proofErr w:type="gramEnd"/>
      <w:r w:rsidRPr="00BF0FC7">
        <w:rPr>
          <w:rFonts w:hint="eastAsia"/>
        </w:rPr>
        <w:t>歷年代為支應費用之後續求償情形，並落實管控機制，以督促地方政府積極辦理求償作業。</w:t>
      </w:r>
      <w:r w:rsidRPr="00BF0FC7">
        <w:rPr>
          <w:rFonts w:hint="eastAsia"/>
          <w:b/>
        </w:rPr>
        <w:t>環保署回復略</w:t>
      </w:r>
      <w:proofErr w:type="gramStart"/>
      <w:r w:rsidRPr="00BF0FC7">
        <w:rPr>
          <w:rFonts w:hint="eastAsia"/>
          <w:b/>
        </w:rPr>
        <w:t>以</w:t>
      </w:r>
      <w:proofErr w:type="gramEnd"/>
      <w:r w:rsidRPr="00BF0FC7">
        <w:rPr>
          <w:rFonts w:hint="eastAsia"/>
          <w:b/>
        </w:rPr>
        <w:t>：99年間</w:t>
      </w:r>
      <w:proofErr w:type="gramStart"/>
      <w:r w:rsidRPr="00BF0FC7">
        <w:rPr>
          <w:rFonts w:hint="eastAsia"/>
          <w:b/>
        </w:rPr>
        <w:t>配合土污法</w:t>
      </w:r>
      <w:proofErr w:type="gramEnd"/>
      <w:r w:rsidRPr="00BF0FC7">
        <w:rPr>
          <w:rFonts w:hint="eastAsia"/>
          <w:b/>
        </w:rPr>
        <w:t>修正，於土壤及地下水資訊管理系統中建置代為支應費用求償案件，惟因</w:t>
      </w:r>
      <w:proofErr w:type="gramStart"/>
      <w:r w:rsidRPr="00BF0FC7">
        <w:rPr>
          <w:rFonts w:hint="eastAsia"/>
          <w:b/>
        </w:rPr>
        <w:t>土污法代</w:t>
      </w:r>
      <w:proofErr w:type="gramEnd"/>
      <w:r w:rsidRPr="00BF0FC7">
        <w:rPr>
          <w:rFonts w:hint="eastAsia"/>
          <w:b/>
        </w:rPr>
        <w:t>為支應費用求償案件始於89年間，致系統資料未完整，仍須逐步新增匯入99年度以前之代為支應費用求償案件</w:t>
      </w:r>
      <w:r w:rsidRPr="00BF0FC7">
        <w:rPr>
          <w:rFonts w:hint="eastAsia"/>
        </w:rPr>
        <w:t>，該署已逐步針對系統內求償案件進行分類及盤點，並督導地方政府環境保護局</w:t>
      </w:r>
      <w:proofErr w:type="gramStart"/>
      <w:r w:rsidRPr="00BF0FC7">
        <w:rPr>
          <w:rFonts w:hint="eastAsia"/>
        </w:rPr>
        <w:t>釐</w:t>
      </w:r>
      <w:proofErr w:type="gramEnd"/>
      <w:r w:rsidRPr="00BF0FC7">
        <w:rPr>
          <w:rFonts w:hint="eastAsia"/>
        </w:rPr>
        <w:t>清相關案件資料；另刻正針對相關資料勾</w:t>
      </w:r>
      <w:proofErr w:type="gramStart"/>
      <w:r w:rsidRPr="00BF0FC7">
        <w:rPr>
          <w:rFonts w:hint="eastAsia"/>
        </w:rPr>
        <w:t>稽</w:t>
      </w:r>
      <w:proofErr w:type="gramEnd"/>
      <w:r w:rsidRPr="00BF0FC7">
        <w:rPr>
          <w:rFonts w:hint="eastAsia"/>
        </w:rPr>
        <w:t>比對闕漏部分進行校正，並將指導地方政府環境保護局依列管功能補正資料，後續亦將相關系統求償作業納入考核地方政府環境保護局之獎懲計分項目，以確保代為支應費用求償案件列管及執行成效。</w:t>
      </w:r>
      <w:bookmarkEnd w:id="83"/>
      <w:bookmarkEnd w:id="84"/>
    </w:p>
    <w:p w:rsidR="0061031F" w:rsidRPr="00BF0FC7" w:rsidRDefault="0061031F" w:rsidP="00E26F6E">
      <w:pPr>
        <w:pStyle w:val="3"/>
      </w:pPr>
      <w:bookmarkStart w:id="85" w:name="_Toc138666435"/>
      <w:bookmarkStart w:id="86" w:name="_Toc140135557"/>
      <w:r w:rsidRPr="00BF0FC7">
        <w:rPr>
          <w:rFonts w:hint="eastAsia"/>
        </w:rPr>
        <w:t>復經本院調查時，環保署表示</w:t>
      </w:r>
      <w:proofErr w:type="gramStart"/>
      <w:r w:rsidRPr="00BF0FC7">
        <w:rPr>
          <w:rFonts w:hint="eastAsia"/>
        </w:rPr>
        <w:t>針對土污基金</w:t>
      </w:r>
      <w:proofErr w:type="gramEnd"/>
      <w:r w:rsidRPr="00BF0FC7">
        <w:rPr>
          <w:rFonts w:hint="eastAsia"/>
        </w:rPr>
        <w:t>代為支</w:t>
      </w:r>
      <w:r w:rsidRPr="00BF0FC7">
        <w:rPr>
          <w:rFonts w:hint="eastAsia"/>
        </w:rPr>
        <w:lastRenderedPageBreak/>
        <w:t>應</w:t>
      </w:r>
      <w:proofErr w:type="gramStart"/>
      <w:r w:rsidRPr="00BF0FC7">
        <w:rPr>
          <w:rFonts w:hint="eastAsia"/>
        </w:rPr>
        <w:t>案件均</w:t>
      </w:r>
      <w:r w:rsidR="0096166E" w:rsidRPr="00BF0FC7">
        <w:rPr>
          <w:rFonts w:hint="eastAsia"/>
        </w:rPr>
        <w:t>已</w:t>
      </w:r>
      <w:r w:rsidRPr="00BF0FC7">
        <w:rPr>
          <w:rFonts w:hint="eastAsia"/>
        </w:rPr>
        <w:t>督導</w:t>
      </w:r>
      <w:proofErr w:type="gramEnd"/>
      <w:r w:rsidRPr="00BF0FC7">
        <w:rPr>
          <w:rFonts w:hint="eastAsia"/>
        </w:rPr>
        <w:t>及管制，相關管理系統自99年始建立使用，原則係向後適用，惟該署為完備系統整體資料，</w:t>
      </w:r>
      <w:proofErr w:type="gramStart"/>
      <w:r w:rsidRPr="00BF0FC7">
        <w:rPr>
          <w:rFonts w:hint="eastAsia"/>
        </w:rPr>
        <w:t>爰</w:t>
      </w:r>
      <w:proofErr w:type="gramEnd"/>
      <w:r w:rsidRPr="00BF0FC7">
        <w:rPr>
          <w:rFonts w:hint="eastAsia"/>
        </w:rPr>
        <w:t>輔導各地方環保局辦理舊有資料建檔工作，目前已完成全數代為支應案件建檔作業。據此可證，地方政府未依規定於土壤及地下水資訊管理系統登錄</w:t>
      </w:r>
      <w:r w:rsidR="00797589" w:rsidRPr="00BF0FC7">
        <w:rPr>
          <w:rFonts w:hint="eastAsia"/>
        </w:rPr>
        <w:t>（含補登）</w:t>
      </w:r>
      <w:r w:rsidRPr="00BF0FC7">
        <w:rPr>
          <w:rFonts w:hint="eastAsia"/>
        </w:rPr>
        <w:t>求償資訊及進度，環保署亦未督促辦理，致系統資料未完整，至本院調查期間方要求地方環保局完成</w:t>
      </w:r>
      <w:r w:rsidR="000430A3" w:rsidRPr="00BF0FC7">
        <w:rPr>
          <w:rFonts w:hint="eastAsia"/>
        </w:rPr>
        <w:t>建</w:t>
      </w:r>
      <w:r w:rsidRPr="00BF0FC7">
        <w:rPr>
          <w:rFonts w:hint="eastAsia"/>
        </w:rPr>
        <w:t>檔作業，該</w:t>
      </w:r>
      <w:proofErr w:type="gramStart"/>
      <w:r w:rsidRPr="00BF0FC7">
        <w:rPr>
          <w:rFonts w:hint="eastAsia"/>
        </w:rPr>
        <w:t>署作</w:t>
      </w:r>
      <w:proofErr w:type="gramEnd"/>
      <w:r w:rsidRPr="00BF0FC7">
        <w:rPr>
          <w:rFonts w:hint="eastAsia"/>
        </w:rPr>
        <w:t>為</w:t>
      </w:r>
      <w:r w:rsidR="004B797E" w:rsidRPr="00BF0FC7">
        <w:rPr>
          <w:rFonts w:hint="eastAsia"/>
        </w:rPr>
        <w:t>有欠</w:t>
      </w:r>
      <w:r w:rsidRPr="00BF0FC7">
        <w:rPr>
          <w:rFonts w:hint="eastAsia"/>
        </w:rPr>
        <w:t>積極。</w:t>
      </w:r>
      <w:proofErr w:type="gramStart"/>
      <w:r w:rsidR="00DE205A" w:rsidRPr="00BF0FC7">
        <w:rPr>
          <w:rFonts w:hint="eastAsia"/>
        </w:rPr>
        <w:t>又</w:t>
      </w:r>
      <w:r w:rsidR="005414C7" w:rsidRPr="00BF0FC7">
        <w:rPr>
          <w:rFonts w:hint="eastAsia"/>
        </w:rPr>
        <w:t>土污</w:t>
      </w:r>
      <w:proofErr w:type="gramEnd"/>
      <w:r w:rsidR="005414C7" w:rsidRPr="00BF0FC7">
        <w:rPr>
          <w:rFonts w:hint="eastAsia"/>
        </w:rPr>
        <w:t>基金代為</w:t>
      </w:r>
      <w:r w:rsidR="00B20F20" w:rsidRPr="00BF0FC7">
        <w:rPr>
          <w:rFonts w:hint="eastAsia"/>
        </w:rPr>
        <w:t>支應求償案件</w:t>
      </w:r>
      <w:r w:rsidR="008E752C" w:rsidRPr="00BF0FC7">
        <w:rPr>
          <w:rFonts w:hint="eastAsia"/>
        </w:rPr>
        <w:t>中公法債權時效</w:t>
      </w:r>
      <w:proofErr w:type="gramStart"/>
      <w:r w:rsidR="008E752C" w:rsidRPr="00BF0FC7">
        <w:rPr>
          <w:rFonts w:hint="eastAsia"/>
        </w:rPr>
        <w:t>尚未屆至</w:t>
      </w:r>
      <w:proofErr w:type="gramEnd"/>
      <w:r w:rsidR="008E752C" w:rsidRPr="00BF0FC7">
        <w:rPr>
          <w:rFonts w:hint="eastAsia"/>
        </w:rPr>
        <w:t>（即107年迄今）之案件計40件，其多數案件</w:t>
      </w:r>
      <w:r w:rsidR="009778FB" w:rsidRPr="00BF0FC7">
        <w:rPr>
          <w:rFonts w:hint="eastAsia"/>
        </w:rPr>
        <w:t>進度</w:t>
      </w:r>
      <w:r w:rsidR="008E752C" w:rsidRPr="00BF0FC7">
        <w:rPr>
          <w:rFonts w:hint="eastAsia"/>
        </w:rPr>
        <w:t>早已落後</w:t>
      </w:r>
      <w:r w:rsidR="000020F3" w:rsidRPr="00BF0FC7">
        <w:rPr>
          <w:rFonts w:hint="eastAsia"/>
        </w:rPr>
        <w:t>（同意見一）</w:t>
      </w:r>
      <w:r w:rsidR="008E752C" w:rsidRPr="00BF0FC7">
        <w:rPr>
          <w:rFonts w:hint="eastAsia"/>
        </w:rPr>
        <w:t>，環保署於該系統</w:t>
      </w:r>
      <w:r w:rsidR="008F528B" w:rsidRPr="00BF0FC7">
        <w:rPr>
          <w:rFonts w:hint="eastAsia"/>
        </w:rPr>
        <w:t>已</w:t>
      </w:r>
      <w:r w:rsidR="000020F3" w:rsidRPr="00BF0FC7">
        <w:rPr>
          <w:rFonts w:hint="eastAsia"/>
        </w:rPr>
        <w:t>可知悉，卻未要求地方政府積極辦理，系統管制形同虛設。</w:t>
      </w:r>
      <w:bookmarkEnd w:id="85"/>
      <w:bookmarkEnd w:id="86"/>
    </w:p>
    <w:p w:rsidR="00650663" w:rsidRPr="00BF0FC7" w:rsidRDefault="00650663" w:rsidP="00E26F6E">
      <w:pPr>
        <w:pStyle w:val="3"/>
      </w:pPr>
      <w:bookmarkStart w:id="87" w:name="_Toc138666436"/>
      <w:bookmarkStart w:id="88" w:name="_Toc140135558"/>
      <w:r w:rsidRPr="00BF0FC7">
        <w:rPr>
          <w:rFonts w:hint="eastAsia"/>
        </w:rPr>
        <w:t>綜上，環保署為</w:t>
      </w:r>
      <w:proofErr w:type="gramStart"/>
      <w:r w:rsidRPr="00BF0FC7">
        <w:rPr>
          <w:rFonts w:hint="eastAsia"/>
        </w:rPr>
        <w:t>管理土污基金</w:t>
      </w:r>
      <w:proofErr w:type="gramEnd"/>
      <w:r w:rsidRPr="00BF0FC7">
        <w:rPr>
          <w:rFonts w:hint="eastAsia"/>
        </w:rPr>
        <w:t>代為支應費用求償案件之列管，要求各地方政府於申請代為支應費用時，應於實際支出費用時起1個月內，於「土壤及地下水資訊管理系統」新增求償計畫、求償目標，地方政府應於每月10日前至前開系統更新求償進度，惟地方政府未確實於該系統登錄及</w:t>
      </w:r>
      <w:proofErr w:type="gramStart"/>
      <w:r w:rsidRPr="00BF0FC7">
        <w:rPr>
          <w:rFonts w:hint="eastAsia"/>
        </w:rPr>
        <w:t>補登求償</w:t>
      </w:r>
      <w:proofErr w:type="gramEnd"/>
      <w:r w:rsidRPr="00BF0FC7">
        <w:rPr>
          <w:rFonts w:hint="eastAsia"/>
        </w:rPr>
        <w:t>資訊及進度，環保署亦未能掌握求償案件之進度及成效，且於執行進度落後卻未要求地方政府積極辦理，系統管制形同虛設，應檢討改進。</w:t>
      </w:r>
      <w:bookmarkEnd w:id="87"/>
      <w:bookmarkEnd w:id="88"/>
    </w:p>
    <w:p w:rsidR="002903F0" w:rsidRPr="00BF0FC7" w:rsidRDefault="002903F0" w:rsidP="002903F0">
      <w:pPr>
        <w:pStyle w:val="3"/>
        <w:numPr>
          <w:ilvl w:val="0"/>
          <w:numId w:val="0"/>
        </w:numPr>
        <w:ind w:left="1344"/>
      </w:pPr>
    </w:p>
    <w:p w:rsidR="0085137F" w:rsidRPr="00BF0FC7" w:rsidRDefault="006037A3" w:rsidP="00B555F1">
      <w:pPr>
        <w:pStyle w:val="2"/>
        <w:rPr>
          <w:b/>
        </w:rPr>
      </w:pPr>
      <w:bookmarkStart w:id="89" w:name="_Toc140135559"/>
      <w:r w:rsidRPr="00BF0FC7">
        <w:rPr>
          <w:rFonts w:hint="eastAsia"/>
          <w:b/>
        </w:rPr>
        <w:t>環保署</w:t>
      </w:r>
      <w:r w:rsidR="00F437D4" w:rsidRPr="00BF0FC7">
        <w:rPr>
          <w:rFonts w:hint="eastAsia"/>
          <w:b/>
        </w:rPr>
        <w:t>列管土壤及地下水污染</w:t>
      </w:r>
      <w:proofErr w:type="gramStart"/>
      <w:r w:rsidR="00F437D4" w:rsidRPr="00BF0FC7">
        <w:rPr>
          <w:rFonts w:hint="eastAsia"/>
          <w:b/>
        </w:rPr>
        <w:t>場址計</w:t>
      </w:r>
      <w:r w:rsidR="0085137F" w:rsidRPr="00BF0FC7">
        <w:rPr>
          <w:rFonts w:hint="eastAsia"/>
          <w:b/>
        </w:rPr>
        <w:t>473處</w:t>
      </w:r>
      <w:proofErr w:type="gramEnd"/>
      <w:r w:rsidR="0085137F" w:rsidRPr="00BF0FC7">
        <w:rPr>
          <w:rFonts w:hint="eastAsia"/>
          <w:b/>
        </w:rPr>
        <w:t>，其中</w:t>
      </w:r>
      <w:r w:rsidR="00F437D4" w:rsidRPr="00BF0FC7">
        <w:rPr>
          <w:rFonts w:hint="eastAsia"/>
          <w:b/>
        </w:rPr>
        <w:t>95處</w:t>
      </w:r>
      <w:r w:rsidR="008F528B" w:rsidRPr="00BF0FC7">
        <w:rPr>
          <w:rFonts w:hint="eastAsia"/>
          <w:b/>
        </w:rPr>
        <w:t>場址</w:t>
      </w:r>
      <w:r w:rsidR="0085137F" w:rsidRPr="00BF0FC7">
        <w:rPr>
          <w:rFonts w:hint="eastAsia"/>
          <w:b/>
        </w:rPr>
        <w:t>已</w:t>
      </w:r>
      <w:r w:rsidR="00172984" w:rsidRPr="00BF0FC7">
        <w:rPr>
          <w:rFonts w:hint="eastAsia"/>
          <w:b/>
        </w:rPr>
        <w:t>列管</w:t>
      </w:r>
      <w:r w:rsidR="0085137F" w:rsidRPr="00BF0FC7">
        <w:rPr>
          <w:rFonts w:hint="eastAsia"/>
          <w:b/>
        </w:rPr>
        <w:t>1</w:t>
      </w:r>
      <w:r w:rsidR="0085137F" w:rsidRPr="00BF0FC7">
        <w:rPr>
          <w:b/>
        </w:rPr>
        <w:t>0</w:t>
      </w:r>
      <w:r w:rsidR="0085137F" w:rsidRPr="00BF0FC7">
        <w:rPr>
          <w:rFonts w:hint="eastAsia"/>
          <w:b/>
        </w:rPr>
        <w:t>年以上，</w:t>
      </w:r>
      <w:r w:rsidR="006149F0" w:rsidRPr="00BF0FC7">
        <w:rPr>
          <w:rFonts w:hint="eastAsia"/>
          <w:b/>
        </w:rPr>
        <w:t>該署透過環境保護績效考核指標，將57處停滯場址（半年以上無新增改善作為，為95至109年間列管場址）列入，</w:t>
      </w:r>
      <w:r w:rsidR="00E8408A" w:rsidRPr="00BF0FC7">
        <w:rPr>
          <w:rFonts w:hint="eastAsia"/>
          <w:b/>
        </w:rPr>
        <w:t>僅</w:t>
      </w:r>
      <w:r w:rsidR="009F3F05" w:rsidRPr="00BF0FC7">
        <w:rPr>
          <w:rFonts w:hint="eastAsia"/>
          <w:b/>
        </w:rPr>
        <w:t>促成10處停滯場址啟動改善作業</w:t>
      </w:r>
      <w:r w:rsidR="00E8408A" w:rsidRPr="00BF0FC7">
        <w:rPr>
          <w:rFonts w:hint="eastAsia"/>
          <w:b/>
        </w:rPr>
        <w:t>，且</w:t>
      </w:r>
      <w:r w:rsidR="009F3F05" w:rsidRPr="00BF0FC7">
        <w:rPr>
          <w:rFonts w:hint="eastAsia"/>
          <w:b/>
        </w:rPr>
        <w:t>該考核指標權</w:t>
      </w:r>
      <w:proofErr w:type="gramStart"/>
      <w:r w:rsidR="009F3F05" w:rsidRPr="00BF0FC7">
        <w:rPr>
          <w:rFonts w:hint="eastAsia"/>
          <w:b/>
        </w:rPr>
        <w:t>重均僅占</w:t>
      </w:r>
      <w:proofErr w:type="gramEnd"/>
      <w:r w:rsidR="009F3F05" w:rsidRPr="00BF0FC7">
        <w:rPr>
          <w:rFonts w:hint="eastAsia"/>
          <w:b/>
        </w:rPr>
        <w:t>0％至10％，占考評項目比重偏低，致地方政府多未積極提報污染控制計畫進行整治，不利透過考核達成要求地方政府積極整治之目的</w:t>
      </w:r>
      <w:r w:rsidR="00006933" w:rsidRPr="00BF0FC7">
        <w:rPr>
          <w:rFonts w:hint="eastAsia"/>
          <w:b/>
        </w:rPr>
        <w:t>。復據本院實地履</w:t>
      </w:r>
      <w:proofErr w:type="gramStart"/>
      <w:r w:rsidR="00006933" w:rsidRPr="00BF0FC7">
        <w:rPr>
          <w:rFonts w:hint="eastAsia"/>
          <w:b/>
        </w:rPr>
        <w:t>勘臺</w:t>
      </w:r>
      <w:proofErr w:type="gramEnd"/>
      <w:r w:rsidR="00006933" w:rsidRPr="00BF0FC7">
        <w:rPr>
          <w:rFonts w:hint="eastAsia"/>
          <w:b/>
        </w:rPr>
        <w:t>南市轄內</w:t>
      </w:r>
      <w:proofErr w:type="gramStart"/>
      <w:r w:rsidR="00006933" w:rsidRPr="00BF0FC7">
        <w:rPr>
          <w:rFonts w:hint="eastAsia"/>
          <w:b/>
        </w:rPr>
        <w:t>列管場</w:t>
      </w:r>
      <w:r w:rsidR="00006933" w:rsidRPr="00BF0FC7">
        <w:rPr>
          <w:rFonts w:hint="eastAsia"/>
          <w:b/>
        </w:rPr>
        <w:lastRenderedPageBreak/>
        <w:t>址</w:t>
      </w:r>
      <w:proofErr w:type="gramEnd"/>
      <w:r w:rsidR="00006933" w:rsidRPr="00BF0FC7">
        <w:rPr>
          <w:rFonts w:hint="eastAsia"/>
          <w:b/>
        </w:rPr>
        <w:t>，</w:t>
      </w:r>
      <w:r w:rsidR="003C60FC" w:rsidRPr="00BF0FC7">
        <w:rPr>
          <w:rFonts w:hint="eastAsia"/>
          <w:b/>
        </w:rPr>
        <w:t>其中</w:t>
      </w:r>
      <w:r w:rsidR="00944973" w:rsidRPr="00BF0FC7">
        <w:rPr>
          <w:rFonts w:hint="eastAsia"/>
          <w:b/>
        </w:rPr>
        <w:t>列管</w:t>
      </w:r>
      <w:r w:rsidR="003C60FC" w:rsidRPr="00BF0FC7">
        <w:rPr>
          <w:rFonts w:hint="eastAsia"/>
          <w:b/>
        </w:rPr>
        <w:t>1</w:t>
      </w:r>
      <w:r w:rsidR="003C60FC" w:rsidRPr="00BF0FC7">
        <w:rPr>
          <w:b/>
        </w:rPr>
        <w:t>0</w:t>
      </w:r>
      <w:r w:rsidR="003C60FC" w:rsidRPr="00BF0FC7">
        <w:rPr>
          <w:rFonts w:hint="eastAsia"/>
          <w:b/>
        </w:rPr>
        <w:t>年以上</w:t>
      </w:r>
      <w:r w:rsidR="009D36F6" w:rsidRPr="00BF0FC7">
        <w:rPr>
          <w:rFonts w:hint="eastAsia"/>
          <w:b/>
        </w:rPr>
        <w:t>之27處</w:t>
      </w:r>
      <w:r w:rsidR="003C60FC" w:rsidRPr="00BF0FC7">
        <w:rPr>
          <w:rFonts w:hint="eastAsia"/>
          <w:b/>
        </w:rPr>
        <w:t>污染場址，亦僅有7處為整治中</w:t>
      </w:r>
      <w:r w:rsidR="003C60FC" w:rsidRPr="00BF0FC7">
        <w:rPr>
          <w:rFonts w:hint="eastAsia"/>
          <w:b/>
          <w:lang w:eastAsia="zh-HK"/>
        </w:rPr>
        <w:t>，</w:t>
      </w:r>
      <w:r w:rsidR="00C400A6" w:rsidRPr="00BF0FC7">
        <w:rPr>
          <w:rFonts w:hint="eastAsia"/>
          <w:b/>
        </w:rPr>
        <w:t>其他</w:t>
      </w:r>
      <w:r w:rsidR="006A1BB1" w:rsidRPr="00BF0FC7">
        <w:rPr>
          <w:rFonts w:hint="eastAsia"/>
          <w:b/>
        </w:rPr>
        <w:t>污</w:t>
      </w:r>
      <w:r w:rsidR="00C400A6" w:rsidRPr="00BF0FC7">
        <w:rPr>
          <w:rFonts w:hint="eastAsia"/>
          <w:b/>
        </w:rPr>
        <w:t>染場址</w:t>
      </w:r>
      <w:r w:rsidR="00816EA4" w:rsidRPr="00BF0FC7">
        <w:rPr>
          <w:rFonts w:hint="eastAsia"/>
          <w:b/>
        </w:rPr>
        <w:t>雖</w:t>
      </w:r>
      <w:r w:rsidR="00DB6C6B" w:rsidRPr="00BF0FC7">
        <w:rPr>
          <w:rFonts w:hint="eastAsia"/>
          <w:b/>
        </w:rPr>
        <w:t>列管追蹤，卻</w:t>
      </w:r>
      <w:r w:rsidR="00C400A6" w:rsidRPr="00BF0FC7">
        <w:rPr>
          <w:rFonts w:hint="eastAsia"/>
          <w:b/>
        </w:rPr>
        <w:t>未</w:t>
      </w:r>
      <w:r w:rsidR="008666BA" w:rsidRPr="00BF0FC7">
        <w:rPr>
          <w:rFonts w:hint="eastAsia"/>
          <w:b/>
        </w:rPr>
        <w:t>見</w:t>
      </w:r>
      <w:r w:rsidR="00DB6C6B" w:rsidRPr="00BF0FC7">
        <w:rPr>
          <w:rFonts w:hint="eastAsia"/>
          <w:b/>
        </w:rPr>
        <w:t>積極</w:t>
      </w:r>
      <w:r w:rsidR="00C400A6" w:rsidRPr="00BF0FC7">
        <w:rPr>
          <w:rFonts w:hint="eastAsia"/>
          <w:b/>
        </w:rPr>
        <w:t>改善</w:t>
      </w:r>
      <w:r w:rsidR="008666BA" w:rsidRPr="00BF0FC7">
        <w:rPr>
          <w:rFonts w:hint="eastAsia"/>
          <w:b/>
        </w:rPr>
        <w:t>作為</w:t>
      </w:r>
      <w:r w:rsidR="00DB6C6B" w:rsidRPr="00BF0FC7">
        <w:rPr>
          <w:rFonts w:hint="eastAsia"/>
          <w:b/>
        </w:rPr>
        <w:t>，肇致</w:t>
      </w:r>
      <w:r w:rsidR="008F1A90" w:rsidRPr="00BF0FC7">
        <w:rPr>
          <w:rFonts w:hint="eastAsia"/>
          <w:b/>
        </w:rPr>
        <w:t>土地長期處於污染狀態，環保署應</w:t>
      </w:r>
      <w:r w:rsidR="00876828" w:rsidRPr="00BF0FC7">
        <w:rPr>
          <w:rFonts w:hint="eastAsia"/>
          <w:b/>
        </w:rPr>
        <w:t>檢討改進並</w:t>
      </w:r>
      <w:r w:rsidR="008F1A90" w:rsidRPr="00BF0FC7">
        <w:rPr>
          <w:rFonts w:hint="eastAsia"/>
          <w:b/>
        </w:rPr>
        <w:t>積極</w:t>
      </w:r>
      <w:r w:rsidR="00876828" w:rsidRPr="00BF0FC7">
        <w:rPr>
          <w:rFonts w:hint="eastAsia"/>
          <w:b/>
        </w:rPr>
        <w:t>督促</w:t>
      </w:r>
      <w:r w:rsidR="008F1A90" w:rsidRPr="00BF0FC7">
        <w:rPr>
          <w:rFonts w:hint="eastAsia"/>
          <w:b/>
        </w:rPr>
        <w:t>地方主管機關</w:t>
      </w:r>
      <w:r w:rsidR="00876828" w:rsidRPr="00BF0FC7">
        <w:rPr>
          <w:rFonts w:hint="eastAsia"/>
          <w:b/>
        </w:rPr>
        <w:t>辦理改善作為</w:t>
      </w:r>
      <w:r w:rsidR="00DB6C6B" w:rsidRPr="00BF0FC7">
        <w:rPr>
          <w:rFonts w:hint="eastAsia"/>
          <w:b/>
        </w:rPr>
        <w:t>。</w:t>
      </w:r>
      <w:bookmarkEnd w:id="89"/>
    </w:p>
    <w:p w:rsidR="00AF0099" w:rsidRPr="00BF0FC7" w:rsidRDefault="00AF0099" w:rsidP="00AF0099">
      <w:pPr>
        <w:pStyle w:val="3"/>
      </w:pPr>
      <w:bookmarkStart w:id="90" w:name="_Toc138666438"/>
      <w:bookmarkStart w:id="91" w:name="_Toc140135560"/>
      <w:r w:rsidRPr="00BF0FC7">
        <w:rPr>
          <w:rFonts w:hint="eastAsia"/>
        </w:rPr>
        <w:t>經查，環保署依土壤及地下水資訊管理系統統計</w:t>
      </w:r>
      <w:proofErr w:type="gramStart"/>
      <w:r w:rsidRPr="00BF0FC7">
        <w:rPr>
          <w:rFonts w:hint="eastAsia"/>
        </w:rPr>
        <w:t>列管場址</w:t>
      </w:r>
      <w:proofErr w:type="gramEnd"/>
      <w:r w:rsidRPr="00BF0FC7">
        <w:rPr>
          <w:rFonts w:hint="eastAsia"/>
        </w:rPr>
        <w:t>種類及列管時間如下：</w:t>
      </w:r>
      <w:bookmarkEnd w:id="90"/>
      <w:bookmarkEnd w:id="91"/>
    </w:p>
    <w:p w:rsidR="00AF0099" w:rsidRPr="00BF0FC7" w:rsidRDefault="00AF0099" w:rsidP="00AF0099">
      <w:pPr>
        <w:pStyle w:val="4"/>
      </w:pPr>
      <w:r w:rsidRPr="00BF0FC7">
        <w:rPr>
          <w:rFonts w:hint="eastAsia"/>
        </w:rPr>
        <w:t>截至111年10月31日止，歷年</w:t>
      </w:r>
      <w:proofErr w:type="gramStart"/>
      <w:r w:rsidRPr="00BF0FC7">
        <w:rPr>
          <w:rFonts w:hint="eastAsia"/>
        </w:rPr>
        <w:t>列管場址</w:t>
      </w:r>
      <w:proofErr w:type="gramEnd"/>
      <w:r w:rsidRPr="00BF0FC7">
        <w:rPr>
          <w:rFonts w:hint="eastAsia"/>
        </w:rPr>
        <w:t>共計有8,104處，累計改善完成共有7,631處（占94%），其中農地7,233處（約1,185公頃，於110年底全數解列完成），事業398處。目前列管中場址尚有473處，包括農地114處、工廠221處、其他82處、加油站35處、非法棄置場址12處及儲槽9處，列管面積約1,101萬平方公尺，如下表所示。</w:t>
      </w:r>
    </w:p>
    <w:p w:rsidR="00AF0099" w:rsidRPr="00BF0FC7" w:rsidRDefault="00AF0099" w:rsidP="00AF0099">
      <w:pPr>
        <w:pStyle w:val="a3"/>
        <w:numPr>
          <w:ilvl w:val="0"/>
          <w:numId w:val="0"/>
        </w:numPr>
        <w:rPr>
          <w:b/>
        </w:rPr>
      </w:pPr>
      <w:r w:rsidRPr="00BF0FC7">
        <w:rPr>
          <w:rFonts w:hint="eastAsia"/>
          <w:b/>
        </w:rPr>
        <w:t xml:space="preserve">　</w:t>
      </w:r>
      <w:proofErr w:type="gramStart"/>
      <w:r w:rsidRPr="00BF0FC7">
        <w:rPr>
          <w:b/>
        </w:rPr>
        <w:t>土污基金</w:t>
      </w:r>
      <w:proofErr w:type="gramEnd"/>
      <w:r w:rsidRPr="00BF0FC7">
        <w:rPr>
          <w:b/>
        </w:rPr>
        <w:t>列管污染</w:t>
      </w:r>
      <w:proofErr w:type="gramStart"/>
      <w:r w:rsidRPr="00BF0FC7">
        <w:rPr>
          <w:b/>
        </w:rPr>
        <w:t>場址明細</w:t>
      </w:r>
      <w:proofErr w:type="gramEnd"/>
    </w:p>
    <w:tbl>
      <w:tblPr>
        <w:tblStyle w:val="af7"/>
        <w:tblW w:w="0" w:type="auto"/>
        <w:jc w:val="center"/>
        <w:tblLook w:val="04A0" w:firstRow="1" w:lastRow="0" w:firstColumn="1" w:lastColumn="0" w:noHBand="0" w:noVBand="1"/>
      </w:tblPr>
      <w:tblGrid>
        <w:gridCol w:w="2740"/>
        <w:gridCol w:w="2741"/>
        <w:gridCol w:w="2741"/>
      </w:tblGrid>
      <w:tr w:rsidR="00BF0FC7" w:rsidRPr="00BF0FC7" w:rsidTr="00B555F1">
        <w:trPr>
          <w:trHeight w:val="397"/>
          <w:tblHeader/>
          <w:jc w:val="center"/>
        </w:trPr>
        <w:tc>
          <w:tcPr>
            <w:tcW w:w="2740" w:type="dxa"/>
            <w:vAlign w:val="center"/>
          </w:tcPr>
          <w:p w:rsidR="00AF0099" w:rsidRPr="00BF0FC7" w:rsidRDefault="00AF0099" w:rsidP="00B555F1">
            <w:pPr>
              <w:pStyle w:val="aff0"/>
              <w:overflowPunct w:val="0"/>
              <w:adjustRightInd w:val="0"/>
              <w:snapToGrid w:val="0"/>
              <w:ind w:left="836" w:hanging="496"/>
              <w:jc w:val="center"/>
              <w:rPr>
                <w:rFonts w:eastAsia="標楷體"/>
                <w:spacing w:val="-6"/>
                <w:sz w:val="28"/>
                <w:szCs w:val="28"/>
              </w:rPr>
            </w:pPr>
            <w:r w:rsidRPr="00BF0FC7">
              <w:rPr>
                <w:rFonts w:eastAsia="標楷體"/>
                <w:spacing w:val="-6"/>
                <w:sz w:val="28"/>
                <w:szCs w:val="28"/>
              </w:rPr>
              <w:t>場址種類</w:t>
            </w:r>
          </w:p>
        </w:tc>
        <w:tc>
          <w:tcPr>
            <w:tcW w:w="2741" w:type="dxa"/>
            <w:vAlign w:val="center"/>
          </w:tcPr>
          <w:p w:rsidR="00AF0099" w:rsidRPr="00BF0FC7" w:rsidRDefault="00AF0099" w:rsidP="00B555F1">
            <w:pPr>
              <w:pStyle w:val="aff0"/>
              <w:overflowPunct w:val="0"/>
              <w:adjustRightInd w:val="0"/>
              <w:snapToGrid w:val="0"/>
              <w:ind w:left="836" w:hanging="496"/>
              <w:jc w:val="center"/>
              <w:rPr>
                <w:rFonts w:eastAsia="標楷體"/>
                <w:spacing w:val="-6"/>
                <w:sz w:val="28"/>
                <w:szCs w:val="28"/>
              </w:rPr>
            </w:pPr>
            <w:r w:rsidRPr="00BF0FC7">
              <w:rPr>
                <w:rFonts w:eastAsia="標楷體"/>
                <w:spacing w:val="-6"/>
                <w:sz w:val="28"/>
                <w:szCs w:val="28"/>
              </w:rPr>
              <w:t>面積</w:t>
            </w:r>
            <w:r w:rsidRPr="00BF0FC7">
              <w:rPr>
                <w:rFonts w:eastAsia="標楷體"/>
                <w:spacing w:val="-6"/>
                <w:sz w:val="28"/>
                <w:szCs w:val="28"/>
              </w:rPr>
              <w:t>(</w:t>
            </w:r>
            <w:r w:rsidRPr="00BF0FC7">
              <w:rPr>
                <w:rFonts w:eastAsia="標楷體"/>
                <w:spacing w:val="-6"/>
                <w:sz w:val="28"/>
                <w:szCs w:val="28"/>
              </w:rPr>
              <w:t>平方公尺</w:t>
            </w:r>
            <w:r w:rsidRPr="00BF0FC7">
              <w:rPr>
                <w:rFonts w:eastAsia="標楷體"/>
                <w:spacing w:val="-6"/>
                <w:sz w:val="28"/>
                <w:szCs w:val="28"/>
              </w:rPr>
              <w:t>)</w:t>
            </w:r>
          </w:p>
        </w:tc>
        <w:tc>
          <w:tcPr>
            <w:tcW w:w="2741" w:type="dxa"/>
            <w:vAlign w:val="center"/>
          </w:tcPr>
          <w:p w:rsidR="00AF0099" w:rsidRPr="00BF0FC7" w:rsidRDefault="00AF0099" w:rsidP="00B555F1">
            <w:pPr>
              <w:pStyle w:val="aff0"/>
              <w:overflowPunct w:val="0"/>
              <w:adjustRightInd w:val="0"/>
              <w:snapToGrid w:val="0"/>
              <w:ind w:left="836" w:hanging="496"/>
              <w:jc w:val="center"/>
              <w:rPr>
                <w:rFonts w:eastAsia="標楷體"/>
                <w:spacing w:val="-6"/>
                <w:sz w:val="28"/>
                <w:szCs w:val="28"/>
              </w:rPr>
            </w:pPr>
            <w:proofErr w:type="gramStart"/>
            <w:r w:rsidRPr="00BF0FC7">
              <w:rPr>
                <w:rFonts w:eastAsia="標楷體"/>
                <w:spacing w:val="-6"/>
                <w:sz w:val="28"/>
                <w:szCs w:val="28"/>
              </w:rPr>
              <w:t>場址數</w:t>
            </w:r>
            <w:proofErr w:type="gramEnd"/>
            <w:r w:rsidRPr="00BF0FC7">
              <w:rPr>
                <w:rFonts w:eastAsia="標楷體"/>
                <w:spacing w:val="-6"/>
                <w:sz w:val="28"/>
                <w:szCs w:val="28"/>
              </w:rPr>
              <w:t>(</w:t>
            </w:r>
            <w:r w:rsidRPr="00BF0FC7">
              <w:rPr>
                <w:rFonts w:eastAsia="標楷體"/>
                <w:spacing w:val="-6"/>
                <w:sz w:val="28"/>
                <w:szCs w:val="28"/>
              </w:rPr>
              <w:t>處</w:t>
            </w:r>
            <w:r w:rsidRPr="00BF0FC7">
              <w:rPr>
                <w:rFonts w:eastAsia="標楷體"/>
                <w:spacing w:val="-6"/>
                <w:sz w:val="28"/>
                <w:szCs w:val="28"/>
              </w:rPr>
              <w:t>)</w:t>
            </w:r>
          </w:p>
        </w:tc>
      </w:tr>
      <w:tr w:rsidR="00BF0FC7" w:rsidRPr="00BF0FC7" w:rsidTr="00B555F1">
        <w:trPr>
          <w:trHeight w:val="397"/>
          <w:jc w:val="center"/>
        </w:trPr>
        <w:tc>
          <w:tcPr>
            <w:tcW w:w="2740" w:type="dxa"/>
            <w:vAlign w:val="center"/>
          </w:tcPr>
          <w:p w:rsidR="00AF0099" w:rsidRPr="00BF0FC7" w:rsidRDefault="00AF0099" w:rsidP="00B555F1">
            <w:pPr>
              <w:pStyle w:val="aff0"/>
              <w:overflowPunct w:val="0"/>
              <w:adjustRightInd w:val="0"/>
              <w:snapToGrid w:val="0"/>
              <w:ind w:left="836" w:hanging="496"/>
              <w:jc w:val="center"/>
              <w:rPr>
                <w:rFonts w:eastAsia="標楷體"/>
                <w:spacing w:val="-6"/>
                <w:sz w:val="28"/>
                <w:szCs w:val="28"/>
              </w:rPr>
            </w:pPr>
            <w:r w:rsidRPr="00BF0FC7">
              <w:rPr>
                <w:rFonts w:eastAsia="標楷體"/>
                <w:spacing w:val="-6"/>
                <w:sz w:val="28"/>
                <w:szCs w:val="28"/>
              </w:rPr>
              <w:t>農地</w:t>
            </w:r>
          </w:p>
        </w:tc>
        <w:tc>
          <w:tcPr>
            <w:tcW w:w="2741" w:type="dxa"/>
            <w:vAlign w:val="center"/>
          </w:tcPr>
          <w:p w:rsidR="00AF0099" w:rsidRPr="00BF0FC7" w:rsidRDefault="00AF0099" w:rsidP="00B555F1">
            <w:pPr>
              <w:widowControl/>
              <w:overflowPunct/>
              <w:autoSpaceDE/>
              <w:autoSpaceDN/>
              <w:jc w:val="right"/>
              <w:rPr>
                <w:rFonts w:ascii="Times New Roman" w:eastAsia="微軟正黑體"/>
                <w:kern w:val="0"/>
                <w:sz w:val="28"/>
                <w:szCs w:val="28"/>
              </w:rPr>
            </w:pPr>
            <w:r w:rsidRPr="00BF0FC7">
              <w:rPr>
                <w:rFonts w:ascii="Times New Roman" w:eastAsia="微軟正黑體"/>
                <w:sz w:val="28"/>
                <w:szCs w:val="28"/>
              </w:rPr>
              <w:t>218,269.45</w:t>
            </w:r>
          </w:p>
        </w:tc>
        <w:tc>
          <w:tcPr>
            <w:tcW w:w="2741" w:type="dxa"/>
            <w:vAlign w:val="center"/>
          </w:tcPr>
          <w:p w:rsidR="00AF0099" w:rsidRPr="00BF0FC7" w:rsidRDefault="00AF0099" w:rsidP="00B555F1">
            <w:pPr>
              <w:widowControl/>
              <w:overflowPunct/>
              <w:autoSpaceDE/>
              <w:autoSpaceDN/>
              <w:jc w:val="right"/>
              <w:rPr>
                <w:rFonts w:ascii="Times New Roman" w:eastAsia="微軟正黑體"/>
                <w:kern w:val="0"/>
                <w:sz w:val="28"/>
                <w:szCs w:val="28"/>
              </w:rPr>
            </w:pPr>
            <w:r w:rsidRPr="00BF0FC7">
              <w:rPr>
                <w:rFonts w:ascii="Times New Roman" w:eastAsia="微軟正黑體"/>
                <w:sz w:val="28"/>
                <w:szCs w:val="28"/>
              </w:rPr>
              <w:t>114</w:t>
            </w:r>
          </w:p>
        </w:tc>
      </w:tr>
      <w:tr w:rsidR="00BF0FC7" w:rsidRPr="00BF0FC7" w:rsidTr="00B555F1">
        <w:trPr>
          <w:trHeight w:val="397"/>
          <w:jc w:val="center"/>
        </w:trPr>
        <w:tc>
          <w:tcPr>
            <w:tcW w:w="2740" w:type="dxa"/>
            <w:vAlign w:val="center"/>
          </w:tcPr>
          <w:p w:rsidR="00AF0099" w:rsidRPr="00BF0FC7" w:rsidRDefault="00AF0099" w:rsidP="00B555F1">
            <w:pPr>
              <w:pStyle w:val="aff0"/>
              <w:overflowPunct w:val="0"/>
              <w:adjustRightInd w:val="0"/>
              <w:snapToGrid w:val="0"/>
              <w:ind w:left="836" w:hanging="496"/>
              <w:jc w:val="center"/>
              <w:rPr>
                <w:rFonts w:eastAsia="標楷體"/>
                <w:spacing w:val="-6"/>
                <w:sz w:val="28"/>
                <w:szCs w:val="28"/>
              </w:rPr>
            </w:pPr>
            <w:r w:rsidRPr="00BF0FC7">
              <w:rPr>
                <w:rFonts w:eastAsia="標楷體"/>
                <w:spacing w:val="-6"/>
                <w:sz w:val="28"/>
                <w:szCs w:val="28"/>
              </w:rPr>
              <w:t>工廠</w:t>
            </w:r>
          </w:p>
        </w:tc>
        <w:tc>
          <w:tcPr>
            <w:tcW w:w="2741" w:type="dxa"/>
            <w:vAlign w:val="center"/>
          </w:tcPr>
          <w:p w:rsidR="00AF0099" w:rsidRPr="00BF0FC7" w:rsidRDefault="00AF0099" w:rsidP="00B555F1">
            <w:pPr>
              <w:jc w:val="right"/>
              <w:rPr>
                <w:rFonts w:ascii="Times New Roman" w:eastAsia="微軟正黑體"/>
                <w:sz w:val="28"/>
                <w:szCs w:val="28"/>
              </w:rPr>
            </w:pPr>
            <w:r w:rsidRPr="00BF0FC7">
              <w:rPr>
                <w:rFonts w:ascii="Times New Roman" w:eastAsia="微軟正黑體"/>
                <w:sz w:val="28"/>
                <w:szCs w:val="28"/>
              </w:rPr>
              <w:t>9,615,940.01</w:t>
            </w:r>
          </w:p>
        </w:tc>
        <w:tc>
          <w:tcPr>
            <w:tcW w:w="2741" w:type="dxa"/>
            <w:vAlign w:val="center"/>
          </w:tcPr>
          <w:p w:rsidR="00AF0099" w:rsidRPr="00BF0FC7" w:rsidRDefault="00AF0099" w:rsidP="00B555F1">
            <w:pPr>
              <w:jc w:val="right"/>
              <w:rPr>
                <w:rFonts w:ascii="Times New Roman" w:eastAsia="微軟正黑體"/>
                <w:sz w:val="28"/>
                <w:szCs w:val="28"/>
              </w:rPr>
            </w:pPr>
            <w:r w:rsidRPr="00BF0FC7">
              <w:rPr>
                <w:rFonts w:ascii="Times New Roman" w:eastAsia="微軟正黑體"/>
                <w:sz w:val="28"/>
                <w:szCs w:val="28"/>
              </w:rPr>
              <w:t>221</w:t>
            </w:r>
          </w:p>
        </w:tc>
      </w:tr>
      <w:tr w:rsidR="00BF0FC7" w:rsidRPr="00BF0FC7" w:rsidTr="00B555F1">
        <w:trPr>
          <w:trHeight w:val="397"/>
          <w:jc w:val="center"/>
        </w:trPr>
        <w:tc>
          <w:tcPr>
            <w:tcW w:w="2740" w:type="dxa"/>
            <w:vAlign w:val="center"/>
          </w:tcPr>
          <w:p w:rsidR="00AF0099" w:rsidRPr="00BF0FC7" w:rsidRDefault="00AF0099" w:rsidP="00B555F1">
            <w:pPr>
              <w:pStyle w:val="aff0"/>
              <w:overflowPunct w:val="0"/>
              <w:adjustRightInd w:val="0"/>
              <w:snapToGrid w:val="0"/>
              <w:ind w:left="836" w:hanging="496"/>
              <w:jc w:val="center"/>
              <w:rPr>
                <w:rFonts w:eastAsia="標楷體"/>
                <w:spacing w:val="-6"/>
                <w:sz w:val="28"/>
                <w:szCs w:val="28"/>
              </w:rPr>
            </w:pPr>
            <w:r w:rsidRPr="00BF0FC7">
              <w:rPr>
                <w:rFonts w:eastAsia="標楷體"/>
                <w:spacing w:val="-6"/>
                <w:sz w:val="28"/>
                <w:szCs w:val="28"/>
              </w:rPr>
              <w:t>其他場址</w:t>
            </w:r>
          </w:p>
        </w:tc>
        <w:tc>
          <w:tcPr>
            <w:tcW w:w="2741" w:type="dxa"/>
            <w:vAlign w:val="center"/>
          </w:tcPr>
          <w:p w:rsidR="00AF0099" w:rsidRPr="00BF0FC7" w:rsidRDefault="00AF0099" w:rsidP="00B555F1">
            <w:pPr>
              <w:jc w:val="right"/>
              <w:rPr>
                <w:rFonts w:ascii="Times New Roman" w:eastAsia="微軟正黑體"/>
                <w:sz w:val="28"/>
                <w:szCs w:val="28"/>
              </w:rPr>
            </w:pPr>
            <w:r w:rsidRPr="00BF0FC7">
              <w:rPr>
                <w:rFonts w:ascii="Times New Roman" w:eastAsia="微軟正黑體"/>
                <w:sz w:val="28"/>
                <w:szCs w:val="28"/>
              </w:rPr>
              <w:t>740,449.67</w:t>
            </w:r>
          </w:p>
        </w:tc>
        <w:tc>
          <w:tcPr>
            <w:tcW w:w="2741" w:type="dxa"/>
            <w:vAlign w:val="center"/>
          </w:tcPr>
          <w:p w:rsidR="00AF0099" w:rsidRPr="00BF0FC7" w:rsidRDefault="00AF0099" w:rsidP="00B555F1">
            <w:pPr>
              <w:jc w:val="right"/>
              <w:rPr>
                <w:rFonts w:ascii="Times New Roman" w:eastAsia="微軟正黑體"/>
                <w:sz w:val="28"/>
                <w:szCs w:val="28"/>
              </w:rPr>
            </w:pPr>
            <w:r w:rsidRPr="00BF0FC7">
              <w:rPr>
                <w:rFonts w:ascii="Times New Roman" w:eastAsia="微軟正黑體"/>
                <w:sz w:val="28"/>
                <w:szCs w:val="28"/>
              </w:rPr>
              <w:t>82</w:t>
            </w:r>
          </w:p>
        </w:tc>
      </w:tr>
      <w:tr w:rsidR="00BF0FC7" w:rsidRPr="00BF0FC7" w:rsidTr="00B555F1">
        <w:trPr>
          <w:trHeight w:val="397"/>
          <w:jc w:val="center"/>
        </w:trPr>
        <w:tc>
          <w:tcPr>
            <w:tcW w:w="2740" w:type="dxa"/>
            <w:vAlign w:val="center"/>
          </w:tcPr>
          <w:p w:rsidR="00AF0099" w:rsidRPr="00BF0FC7" w:rsidRDefault="00AF0099" w:rsidP="00B555F1">
            <w:pPr>
              <w:pStyle w:val="aff0"/>
              <w:overflowPunct w:val="0"/>
              <w:adjustRightInd w:val="0"/>
              <w:snapToGrid w:val="0"/>
              <w:ind w:left="836" w:hanging="496"/>
              <w:jc w:val="center"/>
              <w:rPr>
                <w:rFonts w:eastAsia="標楷體"/>
                <w:spacing w:val="-6"/>
                <w:sz w:val="28"/>
                <w:szCs w:val="28"/>
              </w:rPr>
            </w:pPr>
            <w:r w:rsidRPr="00BF0FC7">
              <w:rPr>
                <w:rFonts w:eastAsia="標楷體"/>
                <w:spacing w:val="-6"/>
                <w:sz w:val="28"/>
                <w:szCs w:val="28"/>
              </w:rPr>
              <w:t>加油站</w:t>
            </w:r>
          </w:p>
        </w:tc>
        <w:tc>
          <w:tcPr>
            <w:tcW w:w="2741" w:type="dxa"/>
            <w:vAlign w:val="center"/>
          </w:tcPr>
          <w:p w:rsidR="00AF0099" w:rsidRPr="00BF0FC7" w:rsidRDefault="00AF0099" w:rsidP="00B555F1">
            <w:pPr>
              <w:jc w:val="right"/>
              <w:rPr>
                <w:rFonts w:ascii="Times New Roman" w:eastAsia="微軟正黑體"/>
                <w:sz w:val="28"/>
                <w:szCs w:val="28"/>
              </w:rPr>
            </w:pPr>
            <w:r w:rsidRPr="00BF0FC7">
              <w:rPr>
                <w:rFonts w:ascii="Times New Roman" w:eastAsia="微軟正黑體"/>
                <w:sz w:val="28"/>
                <w:szCs w:val="28"/>
              </w:rPr>
              <w:t>59,600.59</w:t>
            </w:r>
          </w:p>
        </w:tc>
        <w:tc>
          <w:tcPr>
            <w:tcW w:w="2741" w:type="dxa"/>
            <w:vAlign w:val="center"/>
          </w:tcPr>
          <w:p w:rsidR="00AF0099" w:rsidRPr="00BF0FC7" w:rsidRDefault="00AF0099" w:rsidP="00B555F1">
            <w:pPr>
              <w:jc w:val="right"/>
              <w:rPr>
                <w:rFonts w:ascii="Times New Roman" w:eastAsia="微軟正黑體"/>
                <w:sz w:val="28"/>
                <w:szCs w:val="28"/>
              </w:rPr>
            </w:pPr>
            <w:r w:rsidRPr="00BF0FC7">
              <w:rPr>
                <w:rFonts w:ascii="Times New Roman" w:eastAsia="微軟正黑體"/>
                <w:sz w:val="28"/>
                <w:szCs w:val="28"/>
              </w:rPr>
              <w:t>35</w:t>
            </w:r>
          </w:p>
        </w:tc>
      </w:tr>
      <w:tr w:rsidR="00BF0FC7" w:rsidRPr="00BF0FC7" w:rsidTr="00B555F1">
        <w:trPr>
          <w:trHeight w:val="397"/>
          <w:jc w:val="center"/>
        </w:trPr>
        <w:tc>
          <w:tcPr>
            <w:tcW w:w="2740" w:type="dxa"/>
            <w:vAlign w:val="center"/>
          </w:tcPr>
          <w:p w:rsidR="00AF0099" w:rsidRPr="00BF0FC7" w:rsidRDefault="00AF0099" w:rsidP="00B555F1">
            <w:pPr>
              <w:pStyle w:val="aff0"/>
              <w:overflowPunct w:val="0"/>
              <w:adjustRightInd w:val="0"/>
              <w:snapToGrid w:val="0"/>
              <w:ind w:left="836" w:hanging="496"/>
              <w:jc w:val="center"/>
              <w:rPr>
                <w:rFonts w:eastAsia="標楷體"/>
                <w:spacing w:val="-6"/>
                <w:sz w:val="28"/>
                <w:szCs w:val="28"/>
              </w:rPr>
            </w:pPr>
            <w:r w:rsidRPr="00BF0FC7">
              <w:rPr>
                <w:rFonts w:eastAsia="標楷體"/>
                <w:spacing w:val="-6"/>
                <w:sz w:val="28"/>
                <w:szCs w:val="28"/>
              </w:rPr>
              <w:t>非法棄置場址</w:t>
            </w:r>
          </w:p>
        </w:tc>
        <w:tc>
          <w:tcPr>
            <w:tcW w:w="2741" w:type="dxa"/>
            <w:vAlign w:val="center"/>
          </w:tcPr>
          <w:p w:rsidR="00AF0099" w:rsidRPr="00BF0FC7" w:rsidRDefault="00AF0099" w:rsidP="00B555F1">
            <w:pPr>
              <w:jc w:val="right"/>
              <w:rPr>
                <w:rFonts w:ascii="Times New Roman" w:eastAsia="微軟正黑體"/>
                <w:sz w:val="28"/>
                <w:szCs w:val="28"/>
              </w:rPr>
            </w:pPr>
            <w:r w:rsidRPr="00BF0FC7">
              <w:rPr>
                <w:rFonts w:ascii="Times New Roman" w:eastAsia="微軟正黑體"/>
                <w:sz w:val="28"/>
                <w:szCs w:val="28"/>
              </w:rPr>
              <w:t>63,394.02</w:t>
            </w:r>
          </w:p>
        </w:tc>
        <w:tc>
          <w:tcPr>
            <w:tcW w:w="2741" w:type="dxa"/>
            <w:vAlign w:val="center"/>
          </w:tcPr>
          <w:p w:rsidR="00AF0099" w:rsidRPr="00BF0FC7" w:rsidRDefault="00AF0099" w:rsidP="00B555F1">
            <w:pPr>
              <w:jc w:val="right"/>
              <w:rPr>
                <w:rFonts w:ascii="Times New Roman" w:eastAsia="微軟正黑體"/>
                <w:sz w:val="28"/>
                <w:szCs w:val="28"/>
              </w:rPr>
            </w:pPr>
            <w:r w:rsidRPr="00BF0FC7">
              <w:rPr>
                <w:rFonts w:ascii="Times New Roman" w:eastAsia="微軟正黑體"/>
                <w:sz w:val="28"/>
                <w:szCs w:val="28"/>
              </w:rPr>
              <w:t>12</w:t>
            </w:r>
          </w:p>
        </w:tc>
      </w:tr>
      <w:tr w:rsidR="00BF0FC7" w:rsidRPr="00BF0FC7" w:rsidTr="00B555F1">
        <w:trPr>
          <w:trHeight w:val="397"/>
          <w:jc w:val="center"/>
        </w:trPr>
        <w:tc>
          <w:tcPr>
            <w:tcW w:w="2740" w:type="dxa"/>
            <w:vAlign w:val="center"/>
          </w:tcPr>
          <w:p w:rsidR="00AF0099" w:rsidRPr="00BF0FC7" w:rsidRDefault="00AF0099" w:rsidP="00B555F1">
            <w:pPr>
              <w:pStyle w:val="aff0"/>
              <w:overflowPunct w:val="0"/>
              <w:adjustRightInd w:val="0"/>
              <w:snapToGrid w:val="0"/>
              <w:ind w:left="836" w:hanging="496"/>
              <w:jc w:val="center"/>
              <w:rPr>
                <w:rFonts w:eastAsia="標楷體"/>
                <w:spacing w:val="-6"/>
                <w:sz w:val="28"/>
                <w:szCs w:val="28"/>
              </w:rPr>
            </w:pPr>
            <w:r w:rsidRPr="00BF0FC7">
              <w:rPr>
                <w:rFonts w:eastAsia="標楷體"/>
                <w:spacing w:val="-6"/>
                <w:sz w:val="28"/>
                <w:szCs w:val="28"/>
              </w:rPr>
              <w:t>儲槽</w:t>
            </w:r>
          </w:p>
        </w:tc>
        <w:tc>
          <w:tcPr>
            <w:tcW w:w="2741" w:type="dxa"/>
            <w:vAlign w:val="center"/>
          </w:tcPr>
          <w:p w:rsidR="00AF0099" w:rsidRPr="00BF0FC7" w:rsidRDefault="00AF0099" w:rsidP="00B555F1">
            <w:pPr>
              <w:jc w:val="right"/>
              <w:rPr>
                <w:rFonts w:ascii="Times New Roman" w:eastAsia="微軟正黑體"/>
                <w:sz w:val="28"/>
                <w:szCs w:val="28"/>
              </w:rPr>
            </w:pPr>
            <w:r w:rsidRPr="00BF0FC7">
              <w:rPr>
                <w:rFonts w:ascii="Times New Roman" w:eastAsia="微軟正黑體"/>
                <w:sz w:val="28"/>
                <w:szCs w:val="28"/>
              </w:rPr>
              <w:t>312,962.99</w:t>
            </w:r>
          </w:p>
        </w:tc>
        <w:tc>
          <w:tcPr>
            <w:tcW w:w="2741" w:type="dxa"/>
            <w:vAlign w:val="center"/>
          </w:tcPr>
          <w:p w:rsidR="00AF0099" w:rsidRPr="00BF0FC7" w:rsidRDefault="00AF0099" w:rsidP="00B555F1">
            <w:pPr>
              <w:jc w:val="right"/>
              <w:rPr>
                <w:rFonts w:ascii="Times New Roman" w:eastAsia="微軟正黑體"/>
                <w:sz w:val="28"/>
                <w:szCs w:val="28"/>
              </w:rPr>
            </w:pPr>
            <w:r w:rsidRPr="00BF0FC7">
              <w:rPr>
                <w:rFonts w:ascii="Times New Roman" w:eastAsia="微軟正黑體"/>
                <w:sz w:val="28"/>
                <w:szCs w:val="28"/>
              </w:rPr>
              <w:t>9</w:t>
            </w:r>
          </w:p>
        </w:tc>
      </w:tr>
      <w:tr w:rsidR="00BF0FC7" w:rsidRPr="00BF0FC7" w:rsidTr="00B555F1">
        <w:trPr>
          <w:trHeight w:val="397"/>
          <w:jc w:val="center"/>
        </w:trPr>
        <w:tc>
          <w:tcPr>
            <w:tcW w:w="2740" w:type="dxa"/>
          </w:tcPr>
          <w:p w:rsidR="00AF0099" w:rsidRPr="00BF0FC7" w:rsidRDefault="00AF0099" w:rsidP="00B555F1">
            <w:pPr>
              <w:pStyle w:val="aff0"/>
              <w:overflowPunct w:val="0"/>
              <w:adjustRightInd w:val="0"/>
              <w:snapToGrid w:val="0"/>
              <w:ind w:left="837" w:hanging="497"/>
              <w:jc w:val="center"/>
              <w:rPr>
                <w:rFonts w:eastAsia="標楷體"/>
                <w:b/>
                <w:spacing w:val="-6"/>
                <w:sz w:val="28"/>
                <w:szCs w:val="28"/>
              </w:rPr>
            </w:pPr>
            <w:r w:rsidRPr="00BF0FC7">
              <w:rPr>
                <w:rFonts w:eastAsia="標楷體"/>
                <w:b/>
                <w:spacing w:val="-6"/>
                <w:sz w:val="28"/>
                <w:szCs w:val="28"/>
              </w:rPr>
              <w:t>合計</w:t>
            </w:r>
          </w:p>
        </w:tc>
        <w:tc>
          <w:tcPr>
            <w:tcW w:w="2741" w:type="dxa"/>
            <w:vAlign w:val="center"/>
          </w:tcPr>
          <w:p w:rsidR="00AF0099" w:rsidRPr="00BF0FC7" w:rsidRDefault="00AF0099" w:rsidP="00B555F1">
            <w:pPr>
              <w:widowControl/>
              <w:overflowPunct/>
              <w:autoSpaceDE/>
              <w:autoSpaceDN/>
              <w:jc w:val="right"/>
              <w:rPr>
                <w:rFonts w:ascii="Times New Roman" w:eastAsia="微軟正黑體"/>
                <w:b/>
                <w:bCs/>
                <w:kern w:val="0"/>
                <w:sz w:val="28"/>
                <w:szCs w:val="28"/>
              </w:rPr>
            </w:pPr>
            <w:r w:rsidRPr="00BF0FC7">
              <w:rPr>
                <w:rFonts w:ascii="Times New Roman" w:eastAsia="微軟正黑體"/>
                <w:b/>
                <w:bCs/>
                <w:sz w:val="28"/>
                <w:szCs w:val="28"/>
              </w:rPr>
              <w:t>11,010,616.73</w:t>
            </w:r>
          </w:p>
        </w:tc>
        <w:tc>
          <w:tcPr>
            <w:tcW w:w="2741" w:type="dxa"/>
            <w:vAlign w:val="center"/>
          </w:tcPr>
          <w:p w:rsidR="00AF0099" w:rsidRPr="00BF0FC7" w:rsidRDefault="00AF0099" w:rsidP="00B555F1">
            <w:pPr>
              <w:pStyle w:val="aff0"/>
              <w:overflowPunct w:val="0"/>
              <w:adjustRightInd w:val="0"/>
              <w:snapToGrid w:val="0"/>
              <w:ind w:left="837" w:hanging="497"/>
              <w:jc w:val="right"/>
              <w:rPr>
                <w:rFonts w:eastAsia="標楷體"/>
                <w:b/>
                <w:spacing w:val="-6"/>
                <w:sz w:val="28"/>
                <w:szCs w:val="28"/>
              </w:rPr>
            </w:pPr>
            <w:r w:rsidRPr="00BF0FC7">
              <w:rPr>
                <w:rFonts w:eastAsia="標楷體"/>
                <w:b/>
                <w:spacing w:val="-6"/>
                <w:sz w:val="28"/>
                <w:szCs w:val="28"/>
              </w:rPr>
              <w:t>473</w:t>
            </w:r>
          </w:p>
        </w:tc>
      </w:tr>
    </w:tbl>
    <w:p w:rsidR="00AF0099" w:rsidRPr="00BF0FC7" w:rsidRDefault="00AF0099" w:rsidP="00AF0099">
      <w:pPr>
        <w:rPr>
          <w:sz w:val="24"/>
          <w:szCs w:val="24"/>
        </w:rPr>
      </w:pPr>
      <w:r w:rsidRPr="00BF0FC7">
        <w:rPr>
          <w:rFonts w:hint="eastAsia"/>
          <w:sz w:val="24"/>
          <w:szCs w:val="24"/>
        </w:rPr>
        <w:t xml:space="preserve">　資料來源：環保署。</w:t>
      </w:r>
    </w:p>
    <w:p w:rsidR="00AF0099" w:rsidRPr="00BF0FC7" w:rsidRDefault="00AF0099" w:rsidP="00AF0099">
      <w:pPr>
        <w:pStyle w:val="4"/>
      </w:pPr>
      <w:r w:rsidRPr="00BF0FC7">
        <w:rPr>
          <w:rFonts w:hint="eastAsia"/>
        </w:rPr>
        <w:t>列管中場址主要</w:t>
      </w:r>
      <w:proofErr w:type="gramStart"/>
      <w:r w:rsidRPr="00BF0FC7">
        <w:rPr>
          <w:rFonts w:hint="eastAsia"/>
        </w:rPr>
        <w:t>集中於列管</w:t>
      </w:r>
      <w:proofErr w:type="gramEnd"/>
      <w:r w:rsidRPr="00BF0FC7">
        <w:rPr>
          <w:rFonts w:hint="eastAsia"/>
        </w:rPr>
        <w:t>時間5年以下場址，其餘</w:t>
      </w:r>
      <w:r w:rsidRPr="00BF0FC7">
        <w:rPr>
          <w:rFonts w:hint="eastAsia"/>
          <w:b/>
        </w:rPr>
        <w:t>列管時間15年以上計有17處</w:t>
      </w:r>
      <w:r w:rsidRPr="00BF0FC7">
        <w:rPr>
          <w:rFonts w:hint="eastAsia"/>
        </w:rPr>
        <w:t>，列管面積約270萬平方公尺，</w:t>
      </w:r>
      <w:r w:rsidRPr="00BF0FC7">
        <w:rPr>
          <w:rFonts w:hint="eastAsia"/>
          <w:b/>
        </w:rPr>
        <w:t>列管時間10年以上未滿15年共有78處</w:t>
      </w:r>
      <w:r w:rsidRPr="00BF0FC7">
        <w:rPr>
          <w:rFonts w:hint="eastAsia"/>
        </w:rPr>
        <w:t>，列管面積約248萬平方公尺，如下表所示。</w:t>
      </w:r>
    </w:p>
    <w:p w:rsidR="00AF0099" w:rsidRPr="00BF0FC7" w:rsidRDefault="00AF0099" w:rsidP="00AF0099">
      <w:pPr>
        <w:pStyle w:val="a3"/>
        <w:numPr>
          <w:ilvl w:val="0"/>
          <w:numId w:val="0"/>
        </w:numPr>
        <w:rPr>
          <w:b/>
        </w:rPr>
      </w:pPr>
      <w:r w:rsidRPr="00BF0FC7">
        <w:rPr>
          <w:rFonts w:hint="eastAsia"/>
          <w:b/>
        </w:rPr>
        <w:t xml:space="preserve">　</w:t>
      </w:r>
      <w:proofErr w:type="gramStart"/>
      <w:r w:rsidRPr="00BF0FC7">
        <w:rPr>
          <w:b/>
        </w:rPr>
        <w:t>土污基金</w:t>
      </w:r>
      <w:proofErr w:type="gramEnd"/>
      <w:r w:rsidRPr="00BF0FC7">
        <w:rPr>
          <w:b/>
        </w:rPr>
        <w:t>列管污染場址期間情形</w:t>
      </w:r>
    </w:p>
    <w:tbl>
      <w:tblPr>
        <w:tblStyle w:val="af7"/>
        <w:tblW w:w="0" w:type="auto"/>
        <w:jc w:val="center"/>
        <w:tblLook w:val="04A0" w:firstRow="1" w:lastRow="0" w:firstColumn="1" w:lastColumn="0" w:noHBand="0" w:noVBand="1"/>
      </w:tblPr>
      <w:tblGrid>
        <w:gridCol w:w="2689"/>
        <w:gridCol w:w="2788"/>
        <w:gridCol w:w="2788"/>
      </w:tblGrid>
      <w:tr w:rsidR="00BF0FC7" w:rsidRPr="00BF0FC7" w:rsidTr="00B555F1">
        <w:trPr>
          <w:trHeight w:val="397"/>
          <w:tblHeader/>
          <w:jc w:val="center"/>
        </w:trPr>
        <w:tc>
          <w:tcPr>
            <w:tcW w:w="2689" w:type="dxa"/>
            <w:vAlign w:val="center"/>
          </w:tcPr>
          <w:p w:rsidR="00AF0099" w:rsidRPr="00BF0FC7" w:rsidRDefault="00AF0099" w:rsidP="00B555F1">
            <w:pPr>
              <w:pStyle w:val="aff0"/>
              <w:overflowPunct w:val="0"/>
              <w:adjustRightInd w:val="0"/>
              <w:snapToGrid w:val="0"/>
              <w:ind w:left="836" w:hanging="496"/>
              <w:jc w:val="center"/>
              <w:rPr>
                <w:rFonts w:eastAsia="標楷體"/>
                <w:spacing w:val="-6"/>
                <w:sz w:val="28"/>
                <w:szCs w:val="28"/>
              </w:rPr>
            </w:pPr>
            <w:r w:rsidRPr="00BF0FC7">
              <w:rPr>
                <w:rFonts w:eastAsia="標楷體"/>
                <w:spacing w:val="-6"/>
                <w:sz w:val="28"/>
                <w:szCs w:val="28"/>
              </w:rPr>
              <w:t>列管期間</w:t>
            </w:r>
          </w:p>
        </w:tc>
        <w:tc>
          <w:tcPr>
            <w:tcW w:w="2788" w:type="dxa"/>
            <w:vAlign w:val="center"/>
          </w:tcPr>
          <w:p w:rsidR="00AF0099" w:rsidRPr="00BF0FC7" w:rsidRDefault="00AF0099" w:rsidP="00B555F1">
            <w:pPr>
              <w:pStyle w:val="aff0"/>
              <w:overflowPunct w:val="0"/>
              <w:adjustRightInd w:val="0"/>
              <w:snapToGrid w:val="0"/>
              <w:ind w:left="836" w:hanging="496"/>
              <w:jc w:val="center"/>
              <w:rPr>
                <w:rFonts w:eastAsia="標楷體"/>
                <w:spacing w:val="-6"/>
                <w:sz w:val="28"/>
                <w:szCs w:val="28"/>
              </w:rPr>
            </w:pPr>
            <w:r w:rsidRPr="00BF0FC7">
              <w:rPr>
                <w:rFonts w:eastAsia="標楷體"/>
                <w:spacing w:val="-6"/>
                <w:sz w:val="28"/>
                <w:szCs w:val="28"/>
              </w:rPr>
              <w:t>面積</w:t>
            </w:r>
            <w:r w:rsidRPr="00BF0FC7">
              <w:rPr>
                <w:rFonts w:eastAsia="標楷體"/>
                <w:spacing w:val="-6"/>
                <w:sz w:val="28"/>
                <w:szCs w:val="28"/>
              </w:rPr>
              <w:t>(</w:t>
            </w:r>
            <w:r w:rsidRPr="00BF0FC7">
              <w:rPr>
                <w:rFonts w:eastAsia="標楷體"/>
                <w:spacing w:val="-6"/>
                <w:sz w:val="28"/>
                <w:szCs w:val="28"/>
              </w:rPr>
              <w:t>平方公尺</w:t>
            </w:r>
            <w:r w:rsidRPr="00BF0FC7">
              <w:rPr>
                <w:rFonts w:eastAsia="標楷體"/>
                <w:spacing w:val="-6"/>
                <w:sz w:val="28"/>
                <w:szCs w:val="28"/>
              </w:rPr>
              <w:t>)</w:t>
            </w:r>
          </w:p>
        </w:tc>
        <w:tc>
          <w:tcPr>
            <w:tcW w:w="2788" w:type="dxa"/>
            <w:vAlign w:val="center"/>
          </w:tcPr>
          <w:p w:rsidR="00AF0099" w:rsidRPr="00BF0FC7" w:rsidRDefault="00AF0099" w:rsidP="00B555F1">
            <w:pPr>
              <w:pStyle w:val="aff0"/>
              <w:overflowPunct w:val="0"/>
              <w:adjustRightInd w:val="0"/>
              <w:snapToGrid w:val="0"/>
              <w:ind w:left="836" w:hanging="496"/>
              <w:jc w:val="center"/>
              <w:rPr>
                <w:rFonts w:eastAsia="標楷體"/>
                <w:spacing w:val="-6"/>
                <w:sz w:val="28"/>
                <w:szCs w:val="28"/>
              </w:rPr>
            </w:pPr>
            <w:proofErr w:type="gramStart"/>
            <w:r w:rsidRPr="00BF0FC7">
              <w:rPr>
                <w:rFonts w:eastAsia="標楷體"/>
                <w:spacing w:val="-6"/>
                <w:sz w:val="28"/>
                <w:szCs w:val="28"/>
              </w:rPr>
              <w:t>場址數</w:t>
            </w:r>
            <w:proofErr w:type="gramEnd"/>
            <w:r w:rsidRPr="00BF0FC7">
              <w:rPr>
                <w:rFonts w:eastAsia="標楷體"/>
                <w:spacing w:val="-6"/>
                <w:sz w:val="28"/>
                <w:szCs w:val="28"/>
              </w:rPr>
              <w:t>(</w:t>
            </w:r>
            <w:r w:rsidRPr="00BF0FC7">
              <w:rPr>
                <w:rFonts w:eastAsia="標楷體"/>
                <w:spacing w:val="-6"/>
                <w:sz w:val="28"/>
                <w:szCs w:val="28"/>
              </w:rPr>
              <w:t>處</w:t>
            </w:r>
            <w:r w:rsidRPr="00BF0FC7">
              <w:rPr>
                <w:rFonts w:eastAsia="標楷體"/>
                <w:spacing w:val="-6"/>
                <w:sz w:val="28"/>
                <w:szCs w:val="28"/>
              </w:rPr>
              <w:t>)</w:t>
            </w:r>
          </w:p>
        </w:tc>
      </w:tr>
      <w:tr w:rsidR="00BF0FC7" w:rsidRPr="00BF0FC7" w:rsidTr="00B555F1">
        <w:trPr>
          <w:trHeight w:val="397"/>
          <w:jc w:val="center"/>
        </w:trPr>
        <w:tc>
          <w:tcPr>
            <w:tcW w:w="2689" w:type="dxa"/>
            <w:vAlign w:val="center"/>
          </w:tcPr>
          <w:p w:rsidR="00AF0099" w:rsidRPr="00BF0FC7" w:rsidRDefault="00AF0099" w:rsidP="00B555F1">
            <w:pPr>
              <w:pStyle w:val="aff0"/>
              <w:overflowPunct w:val="0"/>
              <w:adjustRightInd w:val="0"/>
              <w:snapToGrid w:val="0"/>
              <w:ind w:left="836" w:hanging="496"/>
              <w:jc w:val="center"/>
              <w:rPr>
                <w:rFonts w:eastAsia="標楷體"/>
                <w:spacing w:val="-6"/>
                <w:sz w:val="28"/>
                <w:szCs w:val="28"/>
              </w:rPr>
            </w:pPr>
            <w:r w:rsidRPr="00BF0FC7">
              <w:rPr>
                <w:rFonts w:eastAsia="標楷體"/>
                <w:spacing w:val="-6"/>
                <w:sz w:val="28"/>
                <w:szCs w:val="28"/>
              </w:rPr>
              <w:t>5</w:t>
            </w:r>
            <w:r w:rsidRPr="00BF0FC7">
              <w:rPr>
                <w:rFonts w:eastAsia="標楷體"/>
                <w:spacing w:val="-6"/>
                <w:sz w:val="28"/>
                <w:szCs w:val="28"/>
              </w:rPr>
              <w:t>年以下</w:t>
            </w:r>
          </w:p>
        </w:tc>
        <w:tc>
          <w:tcPr>
            <w:tcW w:w="2788" w:type="dxa"/>
            <w:vAlign w:val="center"/>
          </w:tcPr>
          <w:p w:rsidR="00AF0099" w:rsidRPr="00BF0FC7" w:rsidRDefault="00AF0099" w:rsidP="00B555F1">
            <w:pPr>
              <w:widowControl/>
              <w:overflowPunct/>
              <w:autoSpaceDE/>
              <w:autoSpaceDN/>
              <w:jc w:val="right"/>
              <w:rPr>
                <w:rFonts w:ascii="Times New Roman" w:eastAsia="微軟正黑體"/>
                <w:kern w:val="0"/>
                <w:sz w:val="28"/>
                <w:szCs w:val="28"/>
              </w:rPr>
            </w:pPr>
            <w:r w:rsidRPr="00BF0FC7">
              <w:rPr>
                <w:rFonts w:ascii="Times New Roman" w:eastAsia="微軟正黑體"/>
                <w:sz w:val="28"/>
                <w:szCs w:val="28"/>
              </w:rPr>
              <w:t>1,834,136.61</w:t>
            </w:r>
          </w:p>
        </w:tc>
        <w:tc>
          <w:tcPr>
            <w:tcW w:w="2788" w:type="dxa"/>
            <w:vAlign w:val="center"/>
          </w:tcPr>
          <w:p w:rsidR="00AF0099" w:rsidRPr="00BF0FC7" w:rsidRDefault="00AF0099" w:rsidP="00B555F1">
            <w:pPr>
              <w:widowControl/>
              <w:overflowPunct/>
              <w:autoSpaceDE/>
              <w:autoSpaceDN/>
              <w:jc w:val="right"/>
              <w:rPr>
                <w:rFonts w:ascii="Times New Roman" w:eastAsia="微軟正黑體"/>
                <w:kern w:val="0"/>
                <w:sz w:val="28"/>
                <w:szCs w:val="28"/>
              </w:rPr>
            </w:pPr>
            <w:r w:rsidRPr="00BF0FC7">
              <w:rPr>
                <w:rFonts w:ascii="Times New Roman" w:eastAsia="微軟正黑體"/>
                <w:sz w:val="28"/>
                <w:szCs w:val="28"/>
              </w:rPr>
              <w:t>240</w:t>
            </w:r>
          </w:p>
        </w:tc>
      </w:tr>
      <w:tr w:rsidR="00BF0FC7" w:rsidRPr="00BF0FC7" w:rsidTr="00B555F1">
        <w:trPr>
          <w:trHeight w:val="397"/>
          <w:jc w:val="center"/>
        </w:trPr>
        <w:tc>
          <w:tcPr>
            <w:tcW w:w="2689" w:type="dxa"/>
            <w:vAlign w:val="center"/>
          </w:tcPr>
          <w:p w:rsidR="00AF0099" w:rsidRPr="00BF0FC7" w:rsidRDefault="00AF0099" w:rsidP="00B555F1">
            <w:pPr>
              <w:pStyle w:val="aff0"/>
              <w:overflowPunct w:val="0"/>
              <w:adjustRightInd w:val="0"/>
              <w:snapToGrid w:val="0"/>
              <w:ind w:left="836" w:hanging="496"/>
              <w:jc w:val="center"/>
              <w:rPr>
                <w:rFonts w:eastAsia="標楷體"/>
                <w:spacing w:val="-6"/>
                <w:sz w:val="28"/>
                <w:szCs w:val="28"/>
              </w:rPr>
            </w:pPr>
            <w:r w:rsidRPr="00BF0FC7">
              <w:rPr>
                <w:rFonts w:eastAsia="標楷體"/>
                <w:spacing w:val="-6"/>
                <w:sz w:val="28"/>
                <w:szCs w:val="28"/>
              </w:rPr>
              <w:lastRenderedPageBreak/>
              <w:t>逾</w:t>
            </w:r>
            <w:r w:rsidRPr="00BF0FC7">
              <w:rPr>
                <w:rFonts w:eastAsia="標楷體"/>
                <w:spacing w:val="-6"/>
                <w:sz w:val="28"/>
                <w:szCs w:val="28"/>
              </w:rPr>
              <w:t>5</w:t>
            </w:r>
            <w:r w:rsidRPr="00BF0FC7">
              <w:rPr>
                <w:rFonts w:eastAsia="標楷體"/>
                <w:spacing w:val="-6"/>
                <w:sz w:val="28"/>
                <w:szCs w:val="28"/>
              </w:rPr>
              <w:t>年至</w:t>
            </w:r>
            <w:r w:rsidRPr="00BF0FC7">
              <w:rPr>
                <w:rFonts w:eastAsia="標楷體"/>
                <w:spacing w:val="-6"/>
                <w:sz w:val="28"/>
                <w:szCs w:val="28"/>
              </w:rPr>
              <w:t>10</w:t>
            </w:r>
            <w:r w:rsidRPr="00BF0FC7">
              <w:rPr>
                <w:rFonts w:eastAsia="標楷體"/>
                <w:spacing w:val="-6"/>
                <w:sz w:val="28"/>
                <w:szCs w:val="28"/>
              </w:rPr>
              <w:t>年</w:t>
            </w:r>
          </w:p>
        </w:tc>
        <w:tc>
          <w:tcPr>
            <w:tcW w:w="2788" w:type="dxa"/>
            <w:vAlign w:val="center"/>
          </w:tcPr>
          <w:p w:rsidR="00AF0099" w:rsidRPr="00BF0FC7" w:rsidRDefault="00AF0099" w:rsidP="00B555F1">
            <w:pPr>
              <w:jc w:val="right"/>
              <w:rPr>
                <w:rFonts w:ascii="Times New Roman" w:eastAsia="微軟正黑體"/>
                <w:sz w:val="28"/>
                <w:szCs w:val="28"/>
              </w:rPr>
            </w:pPr>
            <w:r w:rsidRPr="00BF0FC7">
              <w:rPr>
                <w:rFonts w:ascii="Times New Roman" w:eastAsia="微軟正黑體"/>
                <w:sz w:val="28"/>
                <w:szCs w:val="28"/>
              </w:rPr>
              <w:t>3,989,895.88</w:t>
            </w:r>
          </w:p>
        </w:tc>
        <w:tc>
          <w:tcPr>
            <w:tcW w:w="2788" w:type="dxa"/>
            <w:vAlign w:val="center"/>
          </w:tcPr>
          <w:p w:rsidR="00AF0099" w:rsidRPr="00BF0FC7" w:rsidRDefault="00AF0099" w:rsidP="00B555F1">
            <w:pPr>
              <w:jc w:val="right"/>
              <w:rPr>
                <w:rFonts w:ascii="Times New Roman" w:eastAsia="微軟正黑體"/>
                <w:sz w:val="28"/>
                <w:szCs w:val="28"/>
              </w:rPr>
            </w:pPr>
            <w:r w:rsidRPr="00BF0FC7">
              <w:rPr>
                <w:rFonts w:ascii="Times New Roman" w:eastAsia="微軟正黑體"/>
                <w:sz w:val="28"/>
                <w:szCs w:val="28"/>
              </w:rPr>
              <w:t>138</w:t>
            </w:r>
          </w:p>
        </w:tc>
      </w:tr>
      <w:tr w:rsidR="00BF0FC7" w:rsidRPr="00BF0FC7" w:rsidTr="00B555F1">
        <w:trPr>
          <w:trHeight w:val="397"/>
          <w:jc w:val="center"/>
        </w:trPr>
        <w:tc>
          <w:tcPr>
            <w:tcW w:w="2689" w:type="dxa"/>
            <w:vAlign w:val="center"/>
          </w:tcPr>
          <w:p w:rsidR="00AF0099" w:rsidRPr="00BF0FC7" w:rsidRDefault="00AF0099" w:rsidP="00B555F1">
            <w:pPr>
              <w:pStyle w:val="aff0"/>
              <w:overflowPunct w:val="0"/>
              <w:adjustRightInd w:val="0"/>
              <w:snapToGrid w:val="0"/>
              <w:ind w:left="836" w:hanging="496"/>
              <w:jc w:val="center"/>
              <w:rPr>
                <w:rFonts w:eastAsia="標楷體"/>
                <w:b/>
                <w:spacing w:val="-6"/>
                <w:sz w:val="28"/>
                <w:szCs w:val="28"/>
              </w:rPr>
            </w:pPr>
            <w:r w:rsidRPr="00BF0FC7">
              <w:rPr>
                <w:rFonts w:eastAsia="標楷體"/>
                <w:b/>
                <w:spacing w:val="-6"/>
                <w:sz w:val="28"/>
                <w:szCs w:val="28"/>
              </w:rPr>
              <w:t>逾</w:t>
            </w:r>
            <w:r w:rsidRPr="00BF0FC7">
              <w:rPr>
                <w:rFonts w:eastAsia="標楷體"/>
                <w:b/>
                <w:spacing w:val="-6"/>
                <w:sz w:val="28"/>
                <w:szCs w:val="28"/>
              </w:rPr>
              <w:t>10</w:t>
            </w:r>
            <w:r w:rsidRPr="00BF0FC7">
              <w:rPr>
                <w:rFonts w:eastAsia="標楷體"/>
                <w:b/>
                <w:spacing w:val="-6"/>
                <w:sz w:val="28"/>
                <w:szCs w:val="28"/>
              </w:rPr>
              <w:t>年至</w:t>
            </w:r>
            <w:r w:rsidRPr="00BF0FC7">
              <w:rPr>
                <w:rFonts w:eastAsia="標楷體"/>
                <w:b/>
                <w:spacing w:val="-6"/>
                <w:sz w:val="28"/>
                <w:szCs w:val="28"/>
              </w:rPr>
              <w:t>15</w:t>
            </w:r>
            <w:r w:rsidRPr="00BF0FC7">
              <w:rPr>
                <w:rFonts w:eastAsia="標楷體"/>
                <w:b/>
                <w:spacing w:val="-6"/>
                <w:sz w:val="28"/>
                <w:szCs w:val="28"/>
              </w:rPr>
              <w:t>年</w:t>
            </w:r>
          </w:p>
        </w:tc>
        <w:tc>
          <w:tcPr>
            <w:tcW w:w="2788" w:type="dxa"/>
            <w:vAlign w:val="center"/>
          </w:tcPr>
          <w:p w:rsidR="00AF0099" w:rsidRPr="00BF0FC7" w:rsidRDefault="00AF0099" w:rsidP="00B555F1">
            <w:pPr>
              <w:jc w:val="right"/>
              <w:rPr>
                <w:rFonts w:ascii="Times New Roman" w:eastAsia="微軟正黑體"/>
                <w:b/>
                <w:sz w:val="28"/>
                <w:szCs w:val="28"/>
              </w:rPr>
            </w:pPr>
            <w:r w:rsidRPr="00BF0FC7">
              <w:rPr>
                <w:rFonts w:ascii="Times New Roman" w:eastAsia="微軟正黑體"/>
                <w:b/>
                <w:sz w:val="28"/>
                <w:szCs w:val="28"/>
              </w:rPr>
              <w:t>2,483,251.07</w:t>
            </w:r>
          </w:p>
        </w:tc>
        <w:tc>
          <w:tcPr>
            <w:tcW w:w="2788" w:type="dxa"/>
            <w:vAlign w:val="center"/>
          </w:tcPr>
          <w:p w:rsidR="00AF0099" w:rsidRPr="00BF0FC7" w:rsidRDefault="00AF0099" w:rsidP="00B555F1">
            <w:pPr>
              <w:jc w:val="right"/>
              <w:rPr>
                <w:rFonts w:ascii="Times New Roman" w:eastAsia="微軟正黑體"/>
                <w:b/>
                <w:sz w:val="28"/>
                <w:szCs w:val="28"/>
              </w:rPr>
            </w:pPr>
            <w:r w:rsidRPr="00BF0FC7">
              <w:rPr>
                <w:rFonts w:ascii="Times New Roman" w:eastAsia="微軟正黑體"/>
                <w:b/>
                <w:sz w:val="28"/>
                <w:szCs w:val="28"/>
              </w:rPr>
              <w:t>78</w:t>
            </w:r>
          </w:p>
        </w:tc>
      </w:tr>
      <w:tr w:rsidR="00BF0FC7" w:rsidRPr="00BF0FC7" w:rsidTr="00B555F1">
        <w:trPr>
          <w:trHeight w:val="397"/>
          <w:jc w:val="center"/>
        </w:trPr>
        <w:tc>
          <w:tcPr>
            <w:tcW w:w="2689" w:type="dxa"/>
            <w:vAlign w:val="center"/>
          </w:tcPr>
          <w:p w:rsidR="00AF0099" w:rsidRPr="00BF0FC7" w:rsidRDefault="00AF0099" w:rsidP="00B555F1">
            <w:pPr>
              <w:pStyle w:val="aff0"/>
              <w:overflowPunct w:val="0"/>
              <w:adjustRightInd w:val="0"/>
              <w:snapToGrid w:val="0"/>
              <w:ind w:left="836" w:hanging="496"/>
              <w:jc w:val="center"/>
              <w:rPr>
                <w:rFonts w:eastAsia="標楷體"/>
                <w:b/>
                <w:spacing w:val="-6"/>
                <w:sz w:val="28"/>
                <w:szCs w:val="28"/>
              </w:rPr>
            </w:pPr>
            <w:r w:rsidRPr="00BF0FC7">
              <w:rPr>
                <w:rFonts w:eastAsia="標楷體"/>
                <w:b/>
                <w:spacing w:val="-6"/>
                <w:sz w:val="28"/>
                <w:szCs w:val="28"/>
              </w:rPr>
              <w:t>逾</w:t>
            </w:r>
            <w:r w:rsidRPr="00BF0FC7">
              <w:rPr>
                <w:rFonts w:eastAsia="標楷體"/>
                <w:b/>
                <w:spacing w:val="-6"/>
                <w:sz w:val="28"/>
                <w:szCs w:val="28"/>
              </w:rPr>
              <w:t>15</w:t>
            </w:r>
            <w:r w:rsidRPr="00BF0FC7">
              <w:rPr>
                <w:rFonts w:eastAsia="標楷體"/>
                <w:b/>
                <w:spacing w:val="-6"/>
                <w:sz w:val="28"/>
                <w:szCs w:val="28"/>
              </w:rPr>
              <w:t>年</w:t>
            </w:r>
          </w:p>
        </w:tc>
        <w:tc>
          <w:tcPr>
            <w:tcW w:w="2788" w:type="dxa"/>
            <w:vAlign w:val="center"/>
          </w:tcPr>
          <w:p w:rsidR="00AF0099" w:rsidRPr="00BF0FC7" w:rsidRDefault="00AF0099" w:rsidP="00B555F1">
            <w:pPr>
              <w:jc w:val="right"/>
              <w:rPr>
                <w:rFonts w:ascii="Times New Roman" w:eastAsia="微軟正黑體"/>
                <w:b/>
                <w:sz w:val="28"/>
                <w:szCs w:val="28"/>
              </w:rPr>
            </w:pPr>
            <w:r w:rsidRPr="00BF0FC7">
              <w:rPr>
                <w:rFonts w:ascii="Times New Roman" w:eastAsia="微軟正黑體"/>
                <w:b/>
                <w:sz w:val="28"/>
                <w:szCs w:val="28"/>
              </w:rPr>
              <w:t>2,703,333.17</w:t>
            </w:r>
          </w:p>
        </w:tc>
        <w:tc>
          <w:tcPr>
            <w:tcW w:w="2788" w:type="dxa"/>
            <w:vAlign w:val="center"/>
          </w:tcPr>
          <w:p w:rsidR="00AF0099" w:rsidRPr="00BF0FC7" w:rsidRDefault="00AF0099" w:rsidP="00B555F1">
            <w:pPr>
              <w:jc w:val="right"/>
              <w:rPr>
                <w:rFonts w:ascii="Times New Roman" w:eastAsia="微軟正黑體"/>
                <w:b/>
                <w:sz w:val="28"/>
                <w:szCs w:val="28"/>
              </w:rPr>
            </w:pPr>
            <w:r w:rsidRPr="00BF0FC7">
              <w:rPr>
                <w:rFonts w:ascii="Times New Roman" w:eastAsia="微軟正黑體"/>
                <w:b/>
                <w:sz w:val="28"/>
                <w:szCs w:val="28"/>
              </w:rPr>
              <w:t>17</w:t>
            </w:r>
          </w:p>
        </w:tc>
      </w:tr>
      <w:tr w:rsidR="00BF0FC7" w:rsidRPr="00BF0FC7" w:rsidTr="00B555F1">
        <w:trPr>
          <w:trHeight w:val="397"/>
          <w:jc w:val="center"/>
        </w:trPr>
        <w:tc>
          <w:tcPr>
            <w:tcW w:w="2689" w:type="dxa"/>
          </w:tcPr>
          <w:p w:rsidR="00AF0099" w:rsidRPr="00BF0FC7" w:rsidRDefault="00AF0099" w:rsidP="00B555F1">
            <w:pPr>
              <w:pStyle w:val="aff0"/>
              <w:overflowPunct w:val="0"/>
              <w:adjustRightInd w:val="0"/>
              <w:snapToGrid w:val="0"/>
              <w:ind w:left="837" w:hanging="497"/>
              <w:jc w:val="center"/>
              <w:rPr>
                <w:rFonts w:eastAsia="標楷體"/>
                <w:b/>
                <w:spacing w:val="-6"/>
                <w:sz w:val="28"/>
                <w:szCs w:val="28"/>
              </w:rPr>
            </w:pPr>
            <w:r w:rsidRPr="00BF0FC7">
              <w:rPr>
                <w:rFonts w:eastAsia="標楷體"/>
                <w:b/>
                <w:spacing w:val="-6"/>
                <w:sz w:val="28"/>
                <w:szCs w:val="28"/>
              </w:rPr>
              <w:t>合計</w:t>
            </w:r>
          </w:p>
        </w:tc>
        <w:tc>
          <w:tcPr>
            <w:tcW w:w="2788" w:type="dxa"/>
            <w:vAlign w:val="center"/>
          </w:tcPr>
          <w:p w:rsidR="00AF0099" w:rsidRPr="00BF0FC7" w:rsidRDefault="00AF0099" w:rsidP="00B555F1">
            <w:pPr>
              <w:widowControl/>
              <w:overflowPunct/>
              <w:autoSpaceDE/>
              <w:autoSpaceDN/>
              <w:jc w:val="right"/>
              <w:rPr>
                <w:rFonts w:ascii="Times New Roman" w:eastAsia="微軟正黑體"/>
                <w:b/>
                <w:bCs/>
                <w:kern w:val="0"/>
                <w:sz w:val="28"/>
                <w:szCs w:val="28"/>
              </w:rPr>
            </w:pPr>
            <w:r w:rsidRPr="00BF0FC7">
              <w:rPr>
                <w:rFonts w:ascii="Times New Roman" w:eastAsia="微軟正黑體"/>
                <w:b/>
                <w:bCs/>
                <w:sz w:val="28"/>
                <w:szCs w:val="28"/>
              </w:rPr>
              <w:t>11,010,616.73</w:t>
            </w:r>
          </w:p>
        </w:tc>
        <w:tc>
          <w:tcPr>
            <w:tcW w:w="2788" w:type="dxa"/>
            <w:vAlign w:val="center"/>
          </w:tcPr>
          <w:p w:rsidR="00AF0099" w:rsidRPr="00BF0FC7" w:rsidRDefault="00AF0099" w:rsidP="00B555F1">
            <w:pPr>
              <w:pStyle w:val="aff0"/>
              <w:overflowPunct w:val="0"/>
              <w:adjustRightInd w:val="0"/>
              <w:snapToGrid w:val="0"/>
              <w:ind w:left="837" w:hanging="497"/>
              <w:jc w:val="right"/>
              <w:rPr>
                <w:rFonts w:eastAsia="標楷體"/>
                <w:b/>
                <w:spacing w:val="-6"/>
                <w:sz w:val="28"/>
                <w:szCs w:val="28"/>
              </w:rPr>
            </w:pPr>
            <w:r w:rsidRPr="00BF0FC7">
              <w:rPr>
                <w:rFonts w:eastAsia="標楷體"/>
                <w:b/>
                <w:spacing w:val="-6"/>
                <w:sz w:val="28"/>
                <w:szCs w:val="28"/>
              </w:rPr>
              <w:t>473</w:t>
            </w:r>
          </w:p>
        </w:tc>
      </w:tr>
    </w:tbl>
    <w:p w:rsidR="00AF0099" w:rsidRPr="00BF0FC7" w:rsidRDefault="00AF0099" w:rsidP="00AF0099">
      <w:pPr>
        <w:rPr>
          <w:sz w:val="24"/>
          <w:szCs w:val="24"/>
        </w:rPr>
      </w:pPr>
      <w:r w:rsidRPr="00BF0FC7">
        <w:rPr>
          <w:rFonts w:hint="eastAsia"/>
          <w:sz w:val="24"/>
          <w:szCs w:val="24"/>
        </w:rPr>
        <w:t xml:space="preserve">　資料來源：環保署。</w:t>
      </w:r>
    </w:p>
    <w:p w:rsidR="00AF0099" w:rsidRPr="00BF0FC7" w:rsidRDefault="00AF0099" w:rsidP="00AF0099">
      <w:pPr>
        <w:pStyle w:val="4"/>
      </w:pPr>
      <w:r w:rsidRPr="00BF0FC7">
        <w:rPr>
          <w:rFonts w:hint="eastAsia"/>
        </w:rPr>
        <w:t>經查，</w:t>
      </w:r>
      <w:r w:rsidR="00F42C87" w:rsidRPr="00BF0FC7">
        <w:rPr>
          <w:rFonts w:hint="eastAsia"/>
        </w:rPr>
        <w:t>列管</w:t>
      </w:r>
      <w:r w:rsidRPr="00BF0FC7">
        <w:rPr>
          <w:rFonts w:hint="eastAsia"/>
        </w:rPr>
        <w:t>10年以上之污染</w:t>
      </w:r>
      <w:proofErr w:type="gramStart"/>
      <w:r w:rsidRPr="00BF0FC7">
        <w:rPr>
          <w:rFonts w:hint="eastAsia"/>
        </w:rPr>
        <w:t>場址計95處</w:t>
      </w:r>
      <w:proofErr w:type="gramEnd"/>
      <w:r w:rsidRPr="00BF0FC7">
        <w:rPr>
          <w:rFonts w:hint="eastAsia"/>
        </w:rPr>
        <w:t>，分布12縣市：</w:t>
      </w:r>
      <w:bookmarkStart w:id="92" w:name="_Hlk138613188"/>
      <w:proofErr w:type="gramStart"/>
      <w:r w:rsidRPr="00BF0FC7">
        <w:rPr>
          <w:rFonts w:hint="eastAsia"/>
          <w:b/>
        </w:rPr>
        <w:t>臺</w:t>
      </w:r>
      <w:proofErr w:type="gramEnd"/>
      <w:r w:rsidRPr="00BF0FC7">
        <w:rPr>
          <w:rFonts w:hint="eastAsia"/>
          <w:b/>
        </w:rPr>
        <w:t>南市（27處）、高雄市（27處）</w:t>
      </w:r>
      <w:bookmarkEnd w:id="92"/>
      <w:r w:rsidRPr="00BF0FC7">
        <w:rPr>
          <w:rFonts w:hint="eastAsia"/>
        </w:rPr>
        <w:t>、</w:t>
      </w:r>
      <w:proofErr w:type="gramStart"/>
      <w:r w:rsidRPr="00BF0FC7">
        <w:rPr>
          <w:rFonts w:hint="eastAsia"/>
        </w:rPr>
        <w:t>臺</w:t>
      </w:r>
      <w:proofErr w:type="gramEnd"/>
      <w:r w:rsidRPr="00BF0FC7">
        <w:rPr>
          <w:rFonts w:hint="eastAsia"/>
        </w:rPr>
        <w:t>中市（10處）、桃園市（6處）、屏東縣（6處）、新北市（5處）、苗栗縣（4處）、彰化縣（4處）、嘉義縣（3處）、雲林縣（1處）、基隆市（1處）及新竹縣（1處）。</w:t>
      </w:r>
    </w:p>
    <w:p w:rsidR="00C923B3" w:rsidRPr="00BF0FC7" w:rsidRDefault="00C923B3" w:rsidP="00963884">
      <w:pPr>
        <w:pStyle w:val="3"/>
      </w:pPr>
      <w:bookmarkStart w:id="93" w:name="_Toc138666439"/>
      <w:bookmarkStart w:id="94" w:name="_Toc140135561"/>
      <w:r w:rsidRPr="00BF0FC7">
        <w:rPr>
          <w:rFonts w:hint="eastAsia"/>
          <w:b/>
        </w:rPr>
        <w:t>據審計部</w:t>
      </w:r>
      <w:proofErr w:type="gramStart"/>
      <w:r w:rsidRPr="00BF0FC7">
        <w:rPr>
          <w:rFonts w:hint="eastAsia"/>
          <w:b/>
        </w:rPr>
        <w:t>110</w:t>
      </w:r>
      <w:proofErr w:type="gramEnd"/>
      <w:r w:rsidRPr="00BF0FC7">
        <w:rPr>
          <w:rFonts w:hint="eastAsia"/>
          <w:b/>
        </w:rPr>
        <w:t>年度中央政府總決算審核報告指出，</w:t>
      </w:r>
      <w:r w:rsidR="006C18FF" w:rsidRPr="00BF0FC7">
        <w:rPr>
          <w:rFonts w:hint="eastAsia"/>
          <w:b/>
        </w:rPr>
        <w:t>地方政府未提報污染控制計畫並進行整治，致部分土地控制場址列管長達10餘年，未能完成整治，恐影響土地運用效益</w:t>
      </w:r>
      <w:r w:rsidR="006C18FF" w:rsidRPr="00BF0FC7">
        <w:rPr>
          <w:rFonts w:hint="eastAsia"/>
        </w:rPr>
        <w:t>：</w:t>
      </w:r>
      <w:r w:rsidRPr="00BF0FC7">
        <w:rPr>
          <w:rFonts w:hint="eastAsia"/>
        </w:rPr>
        <w:t>據「國內污染場址查詢系統」，截至110年10月30日止，全國累計公告污染</w:t>
      </w:r>
      <w:proofErr w:type="gramStart"/>
      <w:r w:rsidRPr="00BF0FC7">
        <w:rPr>
          <w:rFonts w:hint="eastAsia"/>
        </w:rPr>
        <w:t>場址計</w:t>
      </w:r>
      <w:proofErr w:type="gramEnd"/>
      <w:r w:rsidRPr="00BF0FC7">
        <w:rPr>
          <w:rFonts w:hint="eastAsia"/>
        </w:rPr>
        <w:t>8,094處，改善完成場址7,243處，尚在列管中場址計有851處（包含農地482處、工廠209處、其他場址99處、加油站37處、非法棄置場址13處及儲槽11處），列管面積達1,235萬餘平方公尺，其中16處場址自公告為控制場址已逾15年、列管面積達365萬餘平方公尺，62處場址</w:t>
      </w:r>
      <w:proofErr w:type="gramStart"/>
      <w:r w:rsidRPr="00BF0FC7">
        <w:rPr>
          <w:rFonts w:hint="eastAsia"/>
        </w:rPr>
        <w:t>列管逾10年</w:t>
      </w:r>
      <w:proofErr w:type="gramEnd"/>
      <w:r w:rsidRPr="00BF0FC7">
        <w:rPr>
          <w:rFonts w:hint="eastAsia"/>
        </w:rPr>
        <w:t>至15年、列管面積達130萬餘平方公尺，均未完成整治解除列管。環保署僅就57處停滯</w:t>
      </w:r>
      <w:proofErr w:type="gramStart"/>
      <w:r w:rsidRPr="00BF0FC7">
        <w:rPr>
          <w:rFonts w:hint="eastAsia"/>
        </w:rPr>
        <w:t>場址函請</w:t>
      </w:r>
      <w:proofErr w:type="gramEnd"/>
      <w:r w:rsidRPr="00BF0FC7">
        <w:rPr>
          <w:rFonts w:hint="eastAsia"/>
        </w:rPr>
        <w:t>地方政府加強清理，至其他公告之</w:t>
      </w:r>
      <w:r w:rsidRPr="00BF0FC7">
        <w:rPr>
          <w:rFonts w:hint="eastAsia"/>
          <w:b/>
        </w:rPr>
        <w:t>794處污染場址則由各地方政府自行列管整治</w:t>
      </w:r>
      <w:r w:rsidRPr="00BF0FC7">
        <w:rPr>
          <w:rFonts w:hint="eastAsia"/>
        </w:rPr>
        <w:t>進度，</w:t>
      </w:r>
      <w:proofErr w:type="gramStart"/>
      <w:r w:rsidRPr="00BF0FC7">
        <w:rPr>
          <w:rFonts w:hint="eastAsia"/>
        </w:rPr>
        <w:t>並依場址</w:t>
      </w:r>
      <w:proofErr w:type="gramEnd"/>
      <w:r w:rsidRPr="00BF0FC7">
        <w:rPr>
          <w:rFonts w:hint="eastAsia"/>
        </w:rPr>
        <w:t>改善進度列入考核指標，惟因該署對地方政府停滯場址推動作業及</w:t>
      </w:r>
      <w:proofErr w:type="gramStart"/>
      <w:r w:rsidRPr="00BF0FC7">
        <w:rPr>
          <w:rFonts w:hint="eastAsia"/>
        </w:rPr>
        <w:t>列管場址</w:t>
      </w:r>
      <w:proofErr w:type="gramEnd"/>
      <w:r w:rsidRPr="00BF0FC7">
        <w:rPr>
          <w:rFonts w:hint="eastAsia"/>
        </w:rPr>
        <w:t>解列績效之考核指標權</w:t>
      </w:r>
      <w:proofErr w:type="gramStart"/>
      <w:r w:rsidRPr="00BF0FC7">
        <w:rPr>
          <w:rFonts w:hint="eastAsia"/>
        </w:rPr>
        <w:t>重均僅占</w:t>
      </w:r>
      <w:proofErr w:type="gramEnd"/>
      <w:r w:rsidRPr="00BF0FC7">
        <w:rPr>
          <w:rFonts w:hint="eastAsia"/>
        </w:rPr>
        <w:t>0％至10％，占考評項目比重偏低，致地方政府多未積極提報污染控制計畫進行整</w:t>
      </w:r>
      <w:r w:rsidRPr="00BF0FC7">
        <w:rPr>
          <w:rFonts w:hint="eastAsia"/>
        </w:rPr>
        <w:lastRenderedPageBreak/>
        <w:t>治，不利透過考核達成要求地方政府積極整治之目的，為避免土地長期處於污染狀態，影響土地資源有效運用。經函請環保署強化管考機制，督促地方政府積極整治污染土地。據復：持續輔導污染行為人、污染土地關係人執行改善作業，並於</w:t>
      </w:r>
      <w:proofErr w:type="gramStart"/>
      <w:r w:rsidRPr="00BF0FC7">
        <w:rPr>
          <w:rFonts w:hint="eastAsia"/>
        </w:rPr>
        <w:t>111</w:t>
      </w:r>
      <w:proofErr w:type="gramEnd"/>
      <w:r w:rsidRPr="00BF0FC7">
        <w:rPr>
          <w:rFonts w:hint="eastAsia"/>
        </w:rPr>
        <w:t>年度地方績效考核指標中，針對地方政府環境保護局提送改善計畫、其他行政管制作為及啟動改善相關事項等，提高考評分數，期有效促成場址改善及加速解除列管之成效。</w:t>
      </w:r>
      <w:bookmarkEnd w:id="93"/>
      <w:bookmarkEnd w:id="94"/>
    </w:p>
    <w:p w:rsidR="00032DF8" w:rsidRPr="00BF0FC7" w:rsidRDefault="00AF0099" w:rsidP="0034363E">
      <w:pPr>
        <w:pStyle w:val="3"/>
      </w:pPr>
      <w:bookmarkStart w:id="95" w:name="_Toc138666440"/>
      <w:bookmarkStart w:id="96" w:name="_Toc140135562"/>
      <w:r w:rsidRPr="00BF0FC7">
        <w:rPr>
          <w:rFonts w:hint="eastAsia"/>
        </w:rPr>
        <w:t>環保署查復，</w:t>
      </w:r>
      <w:proofErr w:type="gramStart"/>
      <w:r w:rsidRPr="00BF0FC7">
        <w:rPr>
          <w:rFonts w:hint="eastAsia"/>
        </w:rPr>
        <w:t>鑑</w:t>
      </w:r>
      <w:proofErr w:type="gramEnd"/>
      <w:r w:rsidRPr="00BF0FC7">
        <w:rPr>
          <w:rFonts w:hint="eastAsia"/>
        </w:rPr>
        <w:t>於國內土壤污染事件頻仍，</w:t>
      </w:r>
      <w:proofErr w:type="gramStart"/>
      <w:r w:rsidRPr="00BF0FC7">
        <w:rPr>
          <w:rFonts w:hint="eastAsia"/>
        </w:rPr>
        <w:t>自</w:t>
      </w:r>
      <w:r w:rsidR="006248B4" w:rsidRPr="00BF0FC7">
        <w:rPr>
          <w:rFonts w:hint="eastAsia"/>
        </w:rPr>
        <w:t>土污法</w:t>
      </w:r>
      <w:proofErr w:type="gramEnd"/>
      <w:r w:rsidR="006248B4" w:rsidRPr="00BF0FC7">
        <w:rPr>
          <w:rFonts w:hint="eastAsia"/>
        </w:rPr>
        <w:t>於</w:t>
      </w:r>
      <w:r w:rsidRPr="00BF0FC7">
        <w:rPr>
          <w:rFonts w:hint="eastAsia"/>
        </w:rPr>
        <w:t>89年間正式施行後，即陸續針對農地、大型儲槽、工廠、加油站、航空站及軍事設施等進行整體性調查工作，並</w:t>
      </w:r>
      <w:proofErr w:type="gramStart"/>
      <w:r w:rsidRPr="00BF0FC7">
        <w:rPr>
          <w:rFonts w:hint="eastAsia"/>
        </w:rPr>
        <w:t>依土污</w:t>
      </w:r>
      <w:proofErr w:type="gramEnd"/>
      <w:r w:rsidRPr="00BF0FC7">
        <w:rPr>
          <w:rFonts w:hint="eastAsia"/>
        </w:rPr>
        <w:t>法規定公告污染控制場址或整治場址，復為推動場址加速改善作業，避免整治期程冗長，該署於各年度直轄市及縣（市）政府環境保護績效考核指標、權重及評分標準中，將57處停滯場址（半年以上無新增改善作為，且分別為95至109年間列管場址）積極推動作業列入考核指標，並將加速改善場址名單函送相關地方政府，期地方政府積極辦理污染改善</w:t>
      </w:r>
      <w:r w:rsidR="0034363E" w:rsidRPr="00BF0FC7">
        <w:rPr>
          <w:rFonts w:hint="eastAsia"/>
        </w:rPr>
        <w:t>，如下：</w:t>
      </w:r>
      <w:bookmarkEnd w:id="95"/>
      <w:bookmarkEnd w:id="96"/>
    </w:p>
    <w:p w:rsidR="00032DF8" w:rsidRPr="00BF0FC7" w:rsidRDefault="00032DF8" w:rsidP="00032DF8">
      <w:pPr>
        <w:pStyle w:val="4"/>
      </w:pPr>
      <w:r w:rsidRPr="00BF0FC7">
        <w:rPr>
          <w:rFonts w:hint="eastAsia"/>
        </w:rPr>
        <w:t>有關停滯場址推動納入考核指標項目-「停滯場址積極推動作業」，其主要指標內容包括：輔導推動</w:t>
      </w:r>
      <w:r w:rsidRPr="00BF0FC7">
        <w:rPr>
          <w:rFonts w:hint="eastAsia"/>
        </w:rPr>
        <w:tab/>
        <w:t>污染行為人/污染土地關係人執行改善作業或由各地方環保局</w:t>
      </w:r>
      <w:proofErr w:type="gramStart"/>
      <w:r w:rsidRPr="00BF0FC7">
        <w:rPr>
          <w:rFonts w:hint="eastAsia"/>
        </w:rPr>
        <w:t>依土污</w:t>
      </w:r>
      <w:proofErr w:type="gramEnd"/>
      <w:r w:rsidRPr="00BF0FC7">
        <w:rPr>
          <w:rFonts w:hint="eastAsia"/>
        </w:rPr>
        <w:t>法第13條第2項採取適當措施改善等，並依實際執行改善進度進行考核予以計分，包含提送改善計畫時程、核定時程、解除列管時程等，另環保局執行其他行政管制作為及啟動改善相關事項，每</w:t>
      </w:r>
      <w:proofErr w:type="gramStart"/>
      <w:r w:rsidRPr="00BF0FC7">
        <w:rPr>
          <w:rFonts w:hint="eastAsia"/>
        </w:rPr>
        <w:t>場址每完成</w:t>
      </w:r>
      <w:proofErr w:type="gramEnd"/>
      <w:r w:rsidRPr="00BF0FC7">
        <w:rPr>
          <w:rFonts w:hint="eastAsia"/>
        </w:rPr>
        <w:t>一項作業，並提交佐證資料，亦可加分。透過應加速改善場址推動方案，</w:t>
      </w:r>
      <w:r w:rsidRPr="00BF0FC7">
        <w:rPr>
          <w:rFonts w:hint="eastAsia"/>
          <w:b/>
        </w:rPr>
        <w:t>110年底統計57處停滯場址改善進度，</w:t>
      </w:r>
      <w:r w:rsidRPr="00BF0FC7">
        <w:rPr>
          <w:rFonts w:hint="eastAsia"/>
          <w:b/>
        </w:rPr>
        <w:lastRenderedPageBreak/>
        <w:t>已促成10處停滯場址啟動改善作業</w:t>
      </w:r>
      <w:r w:rsidRPr="00BF0FC7">
        <w:rPr>
          <w:rFonts w:hint="eastAsia"/>
        </w:rPr>
        <w:t>，其餘場址依據上述方式持續加強推動，並將國公有場址列入優先推動改善對象。</w:t>
      </w:r>
    </w:p>
    <w:p w:rsidR="00032DF8" w:rsidRPr="00BF0FC7" w:rsidRDefault="00032DF8" w:rsidP="00032DF8">
      <w:pPr>
        <w:pStyle w:val="4"/>
      </w:pPr>
      <w:r w:rsidRPr="00BF0FC7">
        <w:rPr>
          <w:rFonts w:hint="eastAsia"/>
        </w:rPr>
        <w:t>環保署針對列管中場址，除57處停滯</w:t>
      </w:r>
      <w:proofErr w:type="gramStart"/>
      <w:r w:rsidRPr="00BF0FC7">
        <w:rPr>
          <w:rFonts w:hint="eastAsia"/>
        </w:rPr>
        <w:t>場址外</w:t>
      </w:r>
      <w:proofErr w:type="gramEnd"/>
      <w:r w:rsidRPr="00BF0FC7">
        <w:rPr>
          <w:rFonts w:hint="eastAsia"/>
        </w:rPr>
        <w:t>，其餘場</w:t>
      </w:r>
      <w:proofErr w:type="gramStart"/>
      <w:r w:rsidRPr="00BF0FC7">
        <w:rPr>
          <w:rFonts w:hint="eastAsia"/>
        </w:rPr>
        <w:t>址均為由</w:t>
      </w:r>
      <w:proofErr w:type="gramEnd"/>
      <w:r w:rsidRPr="00BF0FC7">
        <w:rPr>
          <w:rFonts w:hint="eastAsia"/>
        </w:rPr>
        <w:t>污染行為人自行改善作業執行中，並依法由環保局持續監督場址改善進度符合改善計畫期程。</w:t>
      </w:r>
    </w:p>
    <w:p w:rsidR="00032DF8" w:rsidRPr="00BF0FC7" w:rsidRDefault="00032DF8" w:rsidP="00032DF8">
      <w:pPr>
        <w:pStyle w:val="4"/>
      </w:pPr>
      <w:r w:rsidRPr="00BF0FC7">
        <w:rPr>
          <w:rFonts w:hint="eastAsia"/>
        </w:rPr>
        <w:t>57處停滯場址主要為污染責任主體因故未能順利推動改善致進度延宕，為避免污染持續擴散及朝土地再利用等目標，故</w:t>
      </w:r>
      <w:r w:rsidRPr="00BF0FC7">
        <w:rPr>
          <w:rFonts w:hint="eastAsia"/>
          <w:b/>
        </w:rPr>
        <w:t>加強針對停滯場址進行場址現況盤點分析及樣態分類處理</w:t>
      </w:r>
      <w:r w:rsidRPr="00BF0FC7">
        <w:rPr>
          <w:rFonts w:hint="eastAsia"/>
        </w:rPr>
        <w:t>，協助環保局排除問題，有效監督執行，加速推動場址改善作業。</w:t>
      </w:r>
    </w:p>
    <w:p w:rsidR="00032DF8" w:rsidRPr="00BF0FC7" w:rsidRDefault="00032DF8" w:rsidP="00032DF8">
      <w:pPr>
        <w:pStyle w:val="4"/>
      </w:pPr>
      <w:r w:rsidRPr="00BF0FC7">
        <w:rPr>
          <w:rFonts w:hint="eastAsia"/>
        </w:rPr>
        <w:t>地方績效考核指標亦針對行政管制作為部分，強化地方環保機關除基本巡查外，增加協調訪談會議之辦理，協助污染行為人、土地關係人等執行改善作業。</w:t>
      </w:r>
    </w:p>
    <w:p w:rsidR="00032DF8" w:rsidRPr="00BF0FC7" w:rsidRDefault="00032DF8" w:rsidP="00032DF8">
      <w:pPr>
        <w:pStyle w:val="3"/>
      </w:pPr>
      <w:bookmarkStart w:id="97" w:name="_Toc138666441"/>
      <w:bookmarkStart w:id="98" w:name="_Toc140135563"/>
      <w:r w:rsidRPr="00BF0FC7">
        <w:rPr>
          <w:rFonts w:hint="eastAsia"/>
        </w:rPr>
        <w:t>上述</w:t>
      </w:r>
      <w:r w:rsidRPr="00BF0FC7">
        <w:rPr>
          <w:rFonts w:hint="eastAsia"/>
          <w:b/>
        </w:rPr>
        <w:t>10處停滯場址分布於新北市1處、彰化縣3處、</w:t>
      </w:r>
      <w:proofErr w:type="gramStart"/>
      <w:r w:rsidRPr="00BF0FC7">
        <w:rPr>
          <w:rFonts w:hint="eastAsia"/>
          <w:b/>
        </w:rPr>
        <w:t>臺</w:t>
      </w:r>
      <w:proofErr w:type="gramEnd"/>
      <w:r w:rsidRPr="00BF0FC7">
        <w:rPr>
          <w:rFonts w:hint="eastAsia"/>
          <w:b/>
        </w:rPr>
        <w:t>南</w:t>
      </w:r>
      <w:r w:rsidR="00E25878" w:rsidRPr="00BF0FC7">
        <w:rPr>
          <w:rFonts w:hint="eastAsia"/>
          <w:b/>
        </w:rPr>
        <w:t>市</w:t>
      </w:r>
      <w:r w:rsidRPr="00BF0FC7">
        <w:rPr>
          <w:rFonts w:hint="eastAsia"/>
          <w:b/>
        </w:rPr>
        <w:t>1處及高雄</w:t>
      </w:r>
      <w:r w:rsidR="00E25878" w:rsidRPr="00BF0FC7">
        <w:rPr>
          <w:rFonts w:hint="eastAsia"/>
          <w:b/>
        </w:rPr>
        <w:t>市</w:t>
      </w:r>
      <w:r w:rsidRPr="00BF0FC7">
        <w:rPr>
          <w:rFonts w:hint="eastAsia"/>
          <w:b/>
        </w:rPr>
        <w:t>2處</w:t>
      </w:r>
      <w:r w:rsidRPr="00BF0FC7">
        <w:rPr>
          <w:rFonts w:hint="eastAsia"/>
        </w:rPr>
        <w:t>，由污染行為人或污染土地關係人依法提送控制計畫或執行調查評估作業</w:t>
      </w:r>
      <w:r w:rsidR="009D098B" w:rsidRPr="00BF0FC7">
        <w:rPr>
          <w:rFonts w:hint="eastAsia"/>
        </w:rPr>
        <w:t>，</w:t>
      </w:r>
      <w:proofErr w:type="gramStart"/>
      <w:r w:rsidRPr="00BF0FC7">
        <w:rPr>
          <w:rFonts w:hint="eastAsia"/>
        </w:rPr>
        <w:t>釐</w:t>
      </w:r>
      <w:proofErr w:type="gramEnd"/>
      <w:r w:rsidRPr="00BF0FC7">
        <w:rPr>
          <w:rFonts w:hint="eastAsia"/>
        </w:rPr>
        <w:t>清污染範圍及量體</w:t>
      </w:r>
      <w:r w:rsidR="00957F82" w:rsidRPr="00BF0FC7">
        <w:rPr>
          <w:rFonts w:hint="eastAsia"/>
        </w:rPr>
        <w:t>；</w:t>
      </w:r>
      <w:r w:rsidRPr="00BF0FC7">
        <w:rPr>
          <w:rFonts w:hint="eastAsia"/>
          <w:b/>
        </w:rPr>
        <w:t>餘3處位於苗栗縣</w:t>
      </w:r>
      <w:r w:rsidR="00957F82" w:rsidRPr="00BF0FC7">
        <w:rPr>
          <w:rFonts w:hint="eastAsia"/>
          <w:b/>
        </w:rPr>
        <w:t>，</w:t>
      </w:r>
      <w:r w:rsidRPr="00BF0FC7">
        <w:rPr>
          <w:rFonts w:hint="eastAsia"/>
          <w:b/>
        </w:rPr>
        <w:t>由地方主管機關執行地下水污染範圍調查評估或監測式自然衰減可行性評估作業</w:t>
      </w:r>
      <w:r w:rsidRPr="00BF0FC7">
        <w:rPr>
          <w:rFonts w:hint="eastAsia"/>
        </w:rPr>
        <w:t>，</w:t>
      </w:r>
      <w:proofErr w:type="gramStart"/>
      <w:r w:rsidRPr="00BF0FC7">
        <w:rPr>
          <w:rFonts w:hint="eastAsia"/>
        </w:rPr>
        <w:t>俾</w:t>
      </w:r>
      <w:proofErr w:type="gramEnd"/>
      <w:r w:rsidRPr="00BF0FC7">
        <w:rPr>
          <w:rFonts w:hint="eastAsia"/>
        </w:rPr>
        <w:t>利加速推動相關責任主體執行改善及完備風險管控措施。</w:t>
      </w:r>
      <w:bookmarkEnd w:id="97"/>
      <w:bookmarkEnd w:id="98"/>
    </w:p>
    <w:p w:rsidR="00032DF8" w:rsidRPr="00BF0FC7" w:rsidRDefault="00032DF8" w:rsidP="00032DF8">
      <w:pPr>
        <w:pStyle w:val="3"/>
      </w:pPr>
      <w:bookmarkStart w:id="99" w:name="_Toc138666442"/>
      <w:bookmarkStart w:id="100" w:name="_Toc140135564"/>
      <w:r w:rsidRPr="00BF0FC7">
        <w:rPr>
          <w:rFonts w:hint="eastAsia"/>
        </w:rPr>
        <w:t>環保署對於其他場址未能啟動改善之原因，以及後續具體推動作法，說明如下：</w:t>
      </w:r>
      <w:bookmarkEnd w:id="99"/>
      <w:bookmarkEnd w:id="100"/>
    </w:p>
    <w:p w:rsidR="00032DF8" w:rsidRPr="00BF0FC7" w:rsidRDefault="00032DF8" w:rsidP="00032DF8">
      <w:pPr>
        <w:pStyle w:val="4"/>
      </w:pPr>
      <w:r w:rsidRPr="00BF0FC7">
        <w:rPr>
          <w:rFonts w:hint="eastAsia"/>
        </w:rPr>
        <w:t>對於目前各縣市列管污染場址，未能順利推動改善致進度延宕者，</w:t>
      </w:r>
      <w:proofErr w:type="gramStart"/>
      <w:r w:rsidRPr="00BF0FC7">
        <w:rPr>
          <w:rFonts w:hint="eastAsia"/>
        </w:rPr>
        <w:t>均按場</w:t>
      </w:r>
      <w:proofErr w:type="gramEnd"/>
      <w:r w:rsidRPr="00BF0FC7">
        <w:rPr>
          <w:rFonts w:hint="eastAsia"/>
        </w:rPr>
        <w:t>址污染狀況每年進行盤查並逐年進行必要之補充調查，以利掌握污染狀況控管，並加強針對停滯場址進行場址現況盤點分析及樣態分類處理，協助環保局排除問題，有</w:t>
      </w:r>
      <w:r w:rsidRPr="00BF0FC7">
        <w:rPr>
          <w:rFonts w:hint="eastAsia"/>
        </w:rPr>
        <w:lastRenderedPageBreak/>
        <w:t>效監督執行，加速推動場址改善作業。</w:t>
      </w:r>
      <w:proofErr w:type="gramStart"/>
      <w:r w:rsidRPr="00BF0FC7">
        <w:rPr>
          <w:rFonts w:hint="eastAsia"/>
        </w:rPr>
        <w:t>惟遇有</w:t>
      </w:r>
      <w:proofErr w:type="gramEnd"/>
      <w:r w:rsidRPr="00BF0FC7">
        <w:rPr>
          <w:rFonts w:hint="eastAsia"/>
        </w:rPr>
        <w:t>個案污染行為人等責任人不明時，地方主管機關持續辦理調查及認定作業，並</w:t>
      </w:r>
      <w:proofErr w:type="gramStart"/>
      <w:r w:rsidRPr="00BF0FC7">
        <w:rPr>
          <w:rFonts w:hint="eastAsia"/>
        </w:rPr>
        <w:t>俟</w:t>
      </w:r>
      <w:proofErr w:type="gramEnd"/>
      <w:r w:rsidRPr="00BF0FC7">
        <w:rPr>
          <w:rFonts w:hint="eastAsia"/>
        </w:rPr>
        <w:t>相關責任人明確時，即</w:t>
      </w:r>
      <w:proofErr w:type="gramStart"/>
      <w:r w:rsidRPr="00BF0FC7">
        <w:rPr>
          <w:rFonts w:hint="eastAsia"/>
        </w:rPr>
        <w:t>依土污</w:t>
      </w:r>
      <w:proofErr w:type="gramEnd"/>
      <w:r w:rsidRPr="00BF0FC7">
        <w:rPr>
          <w:rFonts w:hint="eastAsia"/>
        </w:rPr>
        <w:t>法相關規定辦理，該署監督</w:t>
      </w:r>
      <w:proofErr w:type="gramStart"/>
      <w:r w:rsidRPr="00BF0FC7">
        <w:rPr>
          <w:rFonts w:hint="eastAsia"/>
        </w:rPr>
        <w:t>環保局依場址</w:t>
      </w:r>
      <w:proofErr w:type="gramEnd"/>
      <w:r w:rsidRPr="00BF0FC7">
        <w:rPr>
          <w:rFonts w:hint="eastAsia"/>
        </w:rPr>
        <w:t>現況要求環保局除應掌握污染全貌外，並應提出最佳污染控管、風險管理、土地活化等方案，旨在避免危害環境及影響國民健康。</w:t>
      </w:r>
    </w:p>
    <w:p w:rsidR="00032DF8" w:rsidRPr="00BF0FC7" w:rsidRDefault="00032DF8" w:rsidP="00032DF8">
      <w:pPr>
        <w:pStyle w:val="4"/>
      </w:pPr>
      <w:r w:rsidRPr="00BF0FC7">
        <w:rPr>
          <w:rFonts w:hint="eastAsia"/>
        </w:rPr>
        <w:t>針對列管中場址，地方主管機關均確實要求污染行為人提送控制計畫，並</w:t>
      </w:r>
      <w:proofErr w:type="gramStart"/>
      <w:r w:rsidRPr="00BF0FC7">
        <w:rPr>
          <w:rFonts w:hint="eastAsia"/>
        </w:rPr>
        <w:t>依土污</w:t>
      </w:r>
      <w:proofErr w:type="gramEnd"/>
      <w:r w:rsidRPr="00BF0FC7">
        <w:rPr>
          <w:rFonts w:hint="eastAsia"/>
        </w:rPr>
        <w:t>法相關規定進行裁處，針對無污染行為人或因故未執行改善之場址，檢視其污染土地關係人</w:t>
      </w:r>
      <w:proofErr w:type="gramStart"/>
      <w:r w:rsidRPr="00BF0FC7">
        <w:rPr>
          <w:rFonts w:hint="eastAsia"/>
        </w:rPr>
        <w:t>有無未盡</w:t>
      </w:r>
      <w:proofErr w:type="gramEnd"/>
      <w:r w:rsidRPr="00BF0FC7">
        <w:rPr>
          <w:rFonts w:hint="eastAsia"/>
        </w:rPr>
        <w:t>善良管理人之責</w:t>
      </w:r>
      <w:r w:rsidR="00D21982" w:rsidRPr="00BF0FC7">
        <w:rPr>
          <w:rFonts w:hint="eastAsia"/>
        </w:rPr>
        <w:t>，</w:t>
      </w:r>
      <w:r w:rsidRPr="00BF0FC7">
        <w:rPr>
          <w:rFonts w:hint="eastAsia"/>
        </w:rPr>
        <w:t>並加強推動執行改善。該署並將停滯場址積極推動作業納入地方環保局年度計畫績效考評內容，並依實際執行改善進度進行考核，目前各地方環保局對於進度有延宕，均積極努力推動改善或其他風險管理等方式，以維護環境。</w:t>
      </w:r>
    </w:p>
    <w:p w:rsidR="005F24D2" w:rsidRPr="00BF0FC7" w:rsidRDefault="00D47E71" w:rsidP="00963884">
      <w:pPr>
        <w:pStyle w:val="3"/>
      </w:pPr>
      <w:bookmarkStart w:id="101" w:name="_Toc138666443"/>
      <w:bookmarkStart w:id="102" w:name="_Toc140135565"/>
      <w:r w:rsidRPr="00BF0FC7">
        <w:rPr>
          <w:rFonts w:hint="eastAsia"/>
        </w:rPr>
        <w:t>本院</w:t>
      </w:r>
      <w:r w:rsidR="00F613B1" w:rsidRPr="00BF0FC7">
        <w:rPr>
          <w:rFonts w:hint="eastAsia"/>
        </w:rPr>
        <w:t>實地赴</w:t>
      </w:r>
      <w:r w:rsidR="00C61F88" w:rsidRPr="00BF0FC7">
        <w:rPr>
          <w:rFonts w:hint="eastAsia"/>
        </w:rPr>
        <w:t>中石化</w:t>
      </w:r>
      <w:r w:rsidR="00F613B1" w:rsidRPr="00BF0FC7">
        <w:rPr>
          <w:rFonts w:hint="eastAsia"/>
        </w:rPr>
        <w:t>安順廠</w:t>
      </w:r>
      <w:r w:rsidR="00236534" w:rsidRPr="00BF0FC7">
        <w:rPr>
          <w:rFonts w:hint="eastAsia"/>
        </w:rPr>
        <w:t>履</w:t>
      </w:r>
      <w:proofErr w:type="gramStart"/>
      <w:r w:rsidR="00236534" w:rsidRPr="00BF0FC7">
        <w:rPr>
          <w:rFonts w:hint="eastAsia"/>
        </w:rPr>
        <w:t>勘</w:t>
      </w:r>
      <w:proofErr w:type="gramEnd"/>
      <w:r w:rsidR="00236534" w:rsidRPr="00BF0FC7">
        <w:rPr>
          <w:rFonts w:hint="eastAsia"/>
        </w:rPr>
        <w:t>，並</w:t>
      </w:r>
      <w:r w:rsidR="00F613B1" w:rsidRPr="00BF0FC7">
        <w:rPr>
          <w:rFonts w:hint="eastAsia"/>
        </w:rPr>
        <w:t>聽取</w:t>
      </w:r>
      <w:proofErr w:type="gramStart"/>
      <w:r w:rsidR="00F613B1" w:rsidRPr="00BF0FC7">
        <w:rPr>
          <w:rFonts w:hint="eastAsia"/>
        </w:rPr>
        <w:t>臺</w:t>
      </w:r>
      <w:proofErr w:type="gramEnd"/>
      <w:r w:rsidR="00F613B1" w:rsidRPr="00BF0FC7">
        <w:rPr>
          <w:rFonts w:hint="eastAsia"/>
        </w:rPr>
        <w:t>南環保局說明該市列管10年</w:t>
      </w:r>
      <w:r w:rsidR="00346A3D" w:rsidRPr="00BF0FC7">
        <w:rPr>
          <w:rFonts w:hint="eastAsia"/>
        </w:rPr>
        <w:t>以上</w:t>
      </w:r>
      <w:r w:rsidR="00F613B1" w:rsidRPr="00BF0FC7">
        <w:rPr>
          <w:rFonts w:hint="eastAsia"/>
        </w:rPr>
        <w:t>污染場址之處理情形及</w:t>
      </w:r>
      <w:r w:rsidR="002F3E3E" w:rsidRPr="00BF0FC7">
        <w:rPr>
          <w:rFonts w:hint="eastAsia"/>
        </w:rPr>
        <w:t>該</w:t>
      </w:r>
      <w:r w:rsidR="00F613B1" w:rsidRPr="00BF0FC7">
        <w:rPr>
          <w:rFonts w:hint="eastAsia"/>
        </w:rPr>
        <w:t>廠整治進度</w:t>
      </w:r>
      <w:r w:rsidR="00236534" w:rsidRPr="00BF0FC7">
        <w:rPr>
          <w:rFonts w:hint="eastAsia"/>
        </w:rPr>
        <w:t>。查</w:t>
      </w:r>
      <w:r w:rsidR="00F613B1" w:rsidRPr="00BF0FC7">
        <w:rPr>
          <w:rFonts w:hint="eastAsia"/>
        </w:rPr>
        <w:t>該市列管10年以</w:t>
      </w:r>
      <w:proofErr w:type="gramStart"/>
      <w:r w:rsidR="00F613B1" w:rsidRPr="00BF0FC7">
        <w:rPr>
          <w:rFonts w:hint="eastAsia"/>
        </w:rPr>
        <w:t>上場址</w:t>
      </w:r>
      <w:r w:rsidR="00435484" w:rsidRPr="00BF0FC7">
        <w:rPr>
          <w:rFonts w:hint="eastAsia"/>
        </w:rPr>
        <w:t>計</w:t>
      </w:r>
      <w:r w:rsidR="00F613B1" w:rsidRPr="00BF0FC7">
        <w:rPr>
          <w:rFonts w:hint="eastAsia"/>
        </w:rPr>
        <w:t>27處</w:t>
      </w:r>
      <w:proofErr w:type="gramEnd"/>
      <w:r w:rsidR="00F613B1" w:rsidRPr="00BF0FC7">
        <w:rPr>
          <w:rFonts w:hint="eastAsia"/>
        </w:rPr>
        <w:t>，</w:t>
      </w:r>
      <w:proofErr w:type="gramStart"/>
      <w:r w:rsidR="005F24D2" w:rsidRPr="00BF0FC7">
        <w:rPr>
          <w:rFonts w:hint="eastAsia"/>
        </w:rPr>
        <w:t>然除7處</w:t>
      </w:r>
      <w:proofErr w:type="gramEnd"/>
      <w:r w:rsidR="005F24D2" w:rsidRPr="00BF0FC7">
        <w:rPr>
          <w:rFonts w:hint="eastAsia"/>
        </w:rPr>
        <w:t>整治中</w:t>
      </w:r>
      <w:proofErr w:type="gramStart"/>
      <w:r w:rsidR="005F24D2" w:rsidRPr="00BF0FC7">
        <w:rPr>
          <w:rFonts w:hint="eastAsia"/>
        </w:rPr>
        <w:t>場址外</w:t>
      </w:r>
      <w:proofErr w:type="gramEnd"/>
      <w:r w:rsidR="005F24D2" w:rsidRPr="00BF0FC7">
        <w:rPr>
          <w:rFonts w:hint="eastAsia"/>
        </w:rPr>
        <w:t>，其他場址並無實質進度：</w:t>
      </w:r>
      <w:bookmarkEnd w:id="101"/>
      <w:bookmarkEnd w:id="102"/>
    </w:p>
    <w:p w:rsidR="005F24D2" w:rsidRPr="00BF0FC7" w:rsidRDefault="00F613B1" w:rsidP="005F24D2">
      <w:pPr>
        <w:pStyle w:val="4"/>
      </w:pPr>
      <w:r w:rsidRPr="00BF0FC7">
        <w:rPr>
          <w:rFonts w:hint="eastAsia"/>
        </w:rPr>
        <w:t>7處</w:t>
      </w:r>
      <w:r w:rsidR="000430A3" w:rsidRPr="00BF0FC7">
        <w:rPr>
          <w:rFonts w:hint="eastAsia"/>
        </w:rPr>
        <w:t>場址</w:t>
      </w:r>
      <w:r w:rsidRPr="00BF0FC7">
        <w:rPr>
          <w:rFonts w:hint="eastAsia"/>
        </w:rPr>
        <w:t>整治中</w:t>
      </w:r>
      <w:r w:rsidR="005F24D2" w:rsidRPr="00BF0FC7">
        <w:rPr>
          <w:rFonts w:hint="eastAsia"/>
        </w:rPr>
        <w:t>（包括</w:t>
      </w:r>
      <w:r w:rsidR="00C61F88" w:rsidRPr="00BF0FC7">
        <w:rPr>
          <w:rFonts w:hint="eastAsia"/>
        </w:rPr>
        <w:t>中石化</w:t>
      </w:r>
      <w:r w:rsidR="005F24D2" w:rsidRPr="00BF0FC7">
        <w:rPr>
          <w:rFonts w:hint="eastAsia"/>
        </w:rPr>
        <w:t>安順廠）。</w:t>
      </w:r>
    </w:p>
    <w:p w:rsidR="00D47E71" w:rsidRPr="00BF0FC7" w:rsidRDefault="005F24D2" w:rsidP="005F24D2">
      <w:pPr>
        <w:pStyle w:val="4"/>
      </w:pPr>
      <w:r w:rsidRPr="00BF0FC7">
        <w:rPr>
          <w:rFonts w:hint="eastAsia"/>
        </w:rPr>
        <w:t>4處</w:t>
      </w:r>
      <w:r w:rsidR="000430A3" w:rsidRPr="00BF0FC7">
        <w:rPr>
          <w:rFonts w:hint="eastAsia"/>
        </w:rPr>
        <w:t>場址</w:t>
      </w:r>
      <w:r w:rsidRPr="00BF0FC7">
        <w:rPr>
          <w:rFonts w:hint="eastAsia"/>
        </w:rPr>
        <w:t>責成土地關係人改善：污染成因為50年代南區非法熔煉廢五金盛行造成歷史共業查無污染行為人，</w:t>
      </w:r>
      <w:proofErr w:type="gramStart"/>
      <w:r w:rsidRPr="00BF0FC7">
        <w:rPr>
          <w:rFonts w:hint="eastAsia"/>
        </w:rPr>
        <w:t>依土污</w:t>
      </w:r>
      <w:proofErr w:type="gramEnd"/>
      <w:r w:rsidRPr="00BF0FC7">
        <w:rPr>
          <w:rFonts w:hint="eastAsia"/>
        </w:rPr>
        <w:t>法無法要求土地所有人進行改善</w:t>
      </w:r>
      <w:r w:rsidRPr="00BF0FC7">
        <w:rPr>
          <w:rStyle w:val="aff"/>
        </w:rPr>
        <w:footnoteReference w:id="8"/>
      </w:r>
      <w:r w:rsidRPr="00BF0FC7">
        <w:rPr>
          <w:rFonts w:hint="eastAsia"/>
        </w:rPr>
        <w:t>。</w:t>
      </w:r>
    </w:p>
    <w:p w:rsidR="005F24D2" w:rsidRPr="00BF0FC7" w:rsidRDefault="005F24D2" w:rsidP="005F24D2">
      <w:pPr>
        <w:pStyle w:val="4"/>
      </w:pPr>
      <w:r w:rsidRPr="00BF0FC7">
        <w:rPr>
          <w:rFonts w:hint="eastAsia"/>
        </w:rPr>
        <w:lastRenderedPageBreak/>
        <w:t>9處</w:t>
      </w:r>
      <w:proofErr w:type="gramStart"/>
      <w:r w:rsidR="000430A3" w:rsidRPr="00BF0FC7">
        <w:rPr>
          <w:rFonts w:hint="eastAsia"/>
        </w:rPr>
        <w:t>場址</w:t>
      </w:r>
      <w:r w:rsidRPr="00BF0FC7">
        <w:rPr>
          <w:rFonts w:hint="eastAsia"/>
        </w:rPr>
        <w:t>無污染</w:t>
      </w:r>
      <w:proofErr w:type="gramEnd"/>
      <w:r w:rsidRPr="00BF0FC7">
        <w:rPr>
          <w:rFonts w:hint="eastAsia"/>
        </w:rPr>
        <w:t>行為人，</w:t>
      </w:r>
      <w:proofErr w:type="gramStart"/>
      <w:r w:rsidRPr="00BF0FC7">
        <w:rPr>
          <w:rFonts w:hint="eastAsia"/>
        </w:rPr>
        <w:t>採</w:t>
      </w:r>
      <w:proofErr w:type="gramEnd"/>
      <w:r w:rsidRPr="00BF0FC7">
        <w:rPr>
          <w:rFonts w:hint="eastAsia"/>
        </w:rPr>
        <w:t>風險管理措施：污染成因為50年代南區非法熔煉廢五金盛行造成歷史共業查無污染行為人，</w:t>
      </w:r>
      <w:proofErr w:type="gramStart"/>
      <w:r w:rsidRPr="00BF0FC7">
        <w:rPr>
          <w:rFonts w:hint="eastAsia"/>
        </w:rPr>
        <w:t>依土污</w:t>
      </w:r>
      <w:proofErr w:type="gramEnd"/>
      <w:r w:rsidRPr="00BF0FC7">
        <w:rPr>
          <w:rFonts w:hint="eastAsia"/>
        </w:rPr>
        <w:t>法無法要求土地所有人進行改善。</w:t>
      </w:r>
    </w:p>
    <w:p w:rsidR="005F24D2" w:rsidRPr="00BF0FC7" w:rsidRDefault="005F24D2" w:rsidP="005F24D2">
      <w:pPr>
        <w:pStyle w:val="4"/>
      </w:pPr>
      <w:r w:rsidRPr="00BF0FC7">
        <w:rPr>
          <w:rFonts w:hint="eastAsia"/>
        </w:rPr>
        <w:t>7處</w:t>
      </w:r>
      <w:r w:rsidR="005C584D" w:rsidRPr="00BF0FC7">
        <w:rPr>
          <w:rFonts w:hint="eastAsia"/>
        </w:rPr>
        <w:t>場址因</w:t>
      </w:r>
      <w:r w:rsidRPr="00BF0FC7">
        <w:rPr>
          <w:rFonts w:hint="eastAsia"/>
        </w:rPr>
        <w:t>無行為人</w:t>
      </w:r>
      <w:r w:rsidR="005C584D" w:rsidRPr="00BF0FC7">
        <w:rPr>
          <w:rFonts w:hint="eastAsia"/>
        </w:rPr>
        <w:t>且尚</w:t>
      </w:r>
      <w:r w:rsidRPr="00BF0FC7">
        <w:rPr>
          <w:rFonts w:hint="eastAsia"/>
        </w:rPr>
        <w:t>無法改善。</w:t>
      </w:r>
    </w:p>
    <w:p w:rsidR="00032DF8" w:rsidRPr="00BF0FC7" w:rsidRDefault="00AA5B3D" w:rsidP="00B555F1">
      <w:pPr>
        <w:pStyle w:val="3"/>
      </w:pPr>
      <w:bookmarkStart w:id="103" w:name="_Toc138666444"/>
      <w:bookmarkStart w:id="104" w:name="_Toc140135566"/>
      <w:r w:rsidRPr="00BF0FC7">
        <w:rPr>
          <w:rFonts w:hint="eastAsia"/>
        </w:rPr>
        <w:t>綜上</w:t>
      </w:r>
      <w:r w:rsidRPr="00BF0FC7">
        <w:rPr>
          <w:rFonts w:hint="eastAsia"/>
          <w:lang w:eastAsia="zh-HK"/>
        </w:rPr>
        <w:t>，</w:t>
      </w:r>
      <w:bookmarkEnd w:id="103"/>
      <w:r w:rsidR="00766509" w:rsidRPr="00BF0FC7">
        <w:rPr>
          <w:rFonts w:hint="eastAsia"/>
        </w:rPr>
        <w:t>環保署列管土壤及地下水污染</w:t>
      </w:r>
      <w:proofErr w:type="gramStart"/>
      <w:r w:rsidR="00766509" w:rsidRPr="00BF0FC7">
        <w:rPr>
          <w:rFonts w:hint="eastAsia"/>
        </w:rPr>
        <w:t>場址計473處</w:t>
      </w:r>
      <w:proofErr w:type="gramEnd"/>
      <w:r w:rsidR="00766509" w:rsidRPr="00BF0FC7">
        <w:rPr>
          <w:rFonts w:hint="eastAsia"/>
        </w:rPr>
        <w:t>，其中95處場址已列管1</w:t>
      </w:r>
      <w:r w:rsidR="00766509" w:rsidRPr="00BF0FC7">
        <w:t>0</w:t>
      </w:r>
      <w:r w:rsidR="00766509" w:rsidRPr="00BF0FC7">
        <w:rPr>
          <w:rFonts w:hint="eastAsia"/>
        </w:rPr>
        <w:t>年以上，該署透過環境保護績效考核指標，將57處停滯場址（半年以上無新增改善作為，為95至109年間列管場址）列入，僅促成10處停滯場址啟動改善作業，且該考核指標權</w:t>
      </w:r>
      <w:proofErr w:type="gramStart"/>
      <w:r w:rsidR="00766509" w:rsidRPr="00BF0FC7">
        <w:rPr>
          <w:rFonts w:hint="eastAsia"/>
        </w:rPr>
        <w:t>重均僅占</w:t>
      </w:r>
      <w:proofErr w:type="gramEnd"/>
      <w:r w:rsidR="00766509" w:rsidRPr="00BF0FC7">
        <w:rPr>
          <w:rFonts w:hint="eastAsia"/>
        </w:rPr>
        <w:t>0％至10％，占考評項目比重偏低，致地方政府多未積極提報污染控制計畫進行整治，不利透過考核達成要求地方政府積極整治之目的。復據本院實地履</w:t>
      </w:r>
      <w:proofErr w:type="gramStart"/>
      <w:r w:rsidR="00766509" w:rsidRPr="00BF0FC7">
        <w:rPr>
          <w:rFonts w:hint="eastAsia"/>
        </w:rPr>
        <w:t>勘臺</w:t>
      </w:r>
      <w:proofErr w:type="gramEnd"/>
      <w:r w:rsidR="00766509" w:rsidRPr="00BF0FC7">
        <w:rPr>
          <w:rFonts w:hint="eastAsia"/>
        </w:rPr>
        <w:t>南市轄內</w:t>
      </w:r>
      <w:proofErr w:type="gramStart"/>
      <w:r w:rsidR="00766509" w:rsidRPr="00BF0FC7">
        <w:rPr>
          <w:rFonts w:hint="eastAsia"/>
        </w:rPr>
        <w:t>列管場址</w:t>
      </w:r>
      <w:proofErr w:type="gramEnd"/>
      <w:r w:rsidR="00766509" w:rsidRPr="00BF0FC7">
        <w:rPr>
          <w:rFonts w:hint="eastAsia"/>
        </w:rPr>
        <w:t>，其中列管1</w:t>
      </w:r>
      <w:r w:rsidR="00766509" w:rsidRPr="00BF0FC7">
        <w:t>0</w:t>
      </w:r>
      <w:r w:rsidR="00766509" w:rsidRPr="00BF0FC7">
        <w:rPr>
          <w:rFonts w:hint="eastAsia"/>
        </w:rPr>
        <w:t>年以上之27處污染場址，亦僅有7處為整治中</w:t>
      </w:r>
      <w:r w:rsidR="00766509" w:rsidRPr="00BF0FC7">
        <w:rPr>
          <w:rFonts w:hint="eastAsia"/>
          <w:lang w:eastAsia="zh-HK"/>
        </w:rPr>
        <w:t>，</w:t>
      </w:r>
      <w:r w:rsidR="00766509" w:rsidRPr="00BF0FC7">
        <w:rPr>
          <w:rFonts w:hint="eastAsia"/>
        </w:rPr>
        <w:t>其他污染場址雖列管追蹤，卻未見積極改善作為，肇致土地長期處於污染狀態，環保署應檢討改進並積極督促地方主管機關辦理改善作為。</w:t>
      </w:r>
      <w:bookmarkEnd w:id="104"/>
    </w:p>
    <w:p w:rsidR="002903F0" w:rsidRPr="00BF0FC7" w:rsidRDefault="002903F0" w:rsidP="002903F0">
      <w:pPr>
        <w:pStyle w:val="3"/>
        <w:numPr>
          <w:ilvl w:val="0"/>
          <w:numId w:val="0"/>
        </w:numPr>
        <w:ind w:left="1344"/>
      </w:pPr>
    </w:p>
    <w:p w:rsidR="006037A3" w:rsidRPr="00BF0FC7" w:rsidRDefault="006037A3" w:rsidP="005C024B">
      <w:pPr>
        <w:pStyle w:val="2"/>
        <w:rPr>
          <w:b/>
        </w:rPr>
      </w:pPr>
      <w:bookmarkStart w:id="105" w:name="_Toc140135567"/>
      <w:r w:rsidRPr="00BF0FC7">
        <w:rPr>
          <w:rFonts w:hint="eastAsia"/>
          <w:b/>
        </w:rPr>
        <w:t>國防部</w:t>
      </w:r>
      <w:r w:rsidR="00392090" w:rsidRPr="00BF0FC7">
        <w:rPr>
          <w:rFonts w:hint="eastAsia"/>
          <w:b/>
        </w:rPr>
        <w:t>陸軍營</w:t>
      </w:r>
      <w:r w:rsidR="00365EB9" w:rsidRPr="00BF0FC7">
        <w:rPr>
          <w:rFonts w:hint="eastAsia"/>
          <w:b/>
        </w:rPr>
        <w:t>區</w:t>
      </w:r>
      <w:r w:rsidRPr="00BF0FC7">
        <w:rPr>
          <w:rFonts w:hint="eastAsia"/>
          <w:b/>
        </w:rPr>
        <w:t>放流水</w:t>
      </w:r>
      <w:r w:rsidR="00170CFA" w:rsidRPr="00BF0FC7">
        <w:rPr>
          <w:rFonts w:hint="eastAsia"/>
          <w:b/>
        </w:rPr>
        <w:t>檢測項目</w:t>
      </w:r>
      <w:r w:rsidR="00152EE0" w:rsidRPr="00BF0FC7">
        <w:rPr>
          <w:rFonts w:hint="eastAsia"/>
          <w:b/>
        </w:rPr>
        <w:t>計有氫離子濃度(pH</w:t>
      </w:r>
      <w:proofErr w:type="gramStart"/>
      <w:r w:rsidR="00152EE0" w:rsidRPr="00BF0FC7">
        <w:rPr>
          <w:rFonts w:hint="eastAsia"/>
          <w:b/>
        </w:rPr>
        <w:t>）</w:t>
      </w:r>
      <w:proofErr w:type="gramEnd"/>
      <w:r w:rsidR="00152EE0" w:rsidRPr="00BF0FC7">
        <w:rPr>
          <w:rFonts w:hint="eastAsia"/>
          <w:b/>
        </w:rPr>
        <w:t>、油脂、生化需氧量（BOD）、化學需氧量（COD）、懸浮固體（SS）、水溫及大腸桿菌群等7項目，而位處水源保護區之營區增加硼、氨氮、正磷酸鹽等</w:t>
      </w:r>
      <w:r w:rsidR="007D715D" w:rsidRPr="00BF0FC7">
        <w:rPr>
          <w:rFonts w:hint="eastAsia"/>
          <w:b/>
        </w:rPr>
        <w:t>3</w:t>
      </w:r>
      <w:r w:rsidR="00152EE0" w:rsidRPr="00BF0FC7">
        <w:rPr>
          <w:rFonts w:hint="eastAsia"/>
          <w:b/>
        </w:rPr>
        <w:t>項目，屬事業廢水部分依其業別辦理檢測及申報。</w:t>
      </w:r>
      <w:r w:rsidR="007D715D" w:rsidRPr="00BF0FC7">
        <w:rPr>
          <w:rFonts w:hint="eastAsia"/>
          <w:b/>
        </w:rPr>
        <w:t>然</w:t>
      </w:r>
      <w:r w:rsidR="00AA4C88" w:rsidRPr="00BF0FC7">
        <w:rPr>
          <w:rFonts w:hint="eastAsia"/>
          <w:b/>
        </w:rPr>
        <w:t>國防部</w:t>
      </w:r>
      <w:r w:rsidR="007D715D" w:rsidRPr="00BF0FC7">
        <w:rPr>
          <w:rFonts w:hint="eastAsia"/>
          <w:b/>
        </w:rPr>
        <w:t>為</w:t>
      </w:r>
      <w:r w:rsidR="00AA4C88" w:rsidRPr="00BF0FC7">
        <w:rPr>
          <w:rFonts w:hint="eastAsia"/>
          <w:b/>
        </w:rPr>
        <w:t>實際戰備整備</w:t>
      </w:r>
      <w:r w:rsidR="007D715D" w:rsidRPr="00BF0FC7">
        <w:rPr>
          <w:rFonts w:hint="eastAsia"/>
          <w:b/>
        </w:rPr>
        <w:t>需</w:t>
      </w:r>
      <w:r w:rsidR="00800819" w:rsidRPr="00BF0FC7">
        <w:rPr>
          <w:rFonts w:hint="eastAsia"/>
          <w:b/>
        </w:rPr>
        <w:t>求，而有將營區</w:t>
      </w:r>
      <w:r w:rsidR="00AA4C88" w:rsidRPr="00BF0FC7">
        <w:rPr>
          <w:rFonts w:hint="eastAsia"/>
          <w:b/>
        </w:rPr>
        <w:t>調整使用</w:t>
      </w:r>
      <w:r w:rsidR="007D715D" w:rsidRPr="00BF0FC7">
        <w:rPr>
          <w:rFonts w:hint="eastAsia"/>
          <w:b/>
        </w:rPr>
        <w:t>之情形</w:t>
      </w:r>
      <w:r w:rsidR="00AA4C88" w:rsidRPr="00BF0FC7">
        <w:rPr>
          <w:rFonts w:hint="eastAsia"/>
          <w:b/>
        </w:rPr>
        <w:t>，應預為</w:t>
      </w:r>
      <w:r w:rsidR="007D715D" w:rsidRPr="00BF0FC7">
        <w:rPr>
          <w:rFonts w:hint="eastAsia"/>
          <w:b/>
        </w:rPr>
        <w:t>籌</w:t>
      </w:r>
      <w:proofErr w:type="gramStart"/>
      <w:r w:rsidR="007D715D" w:rsidRPr="00BF0FC7">
        <w:rPr>
          <w:rFonts w:hint="eastAsia"/>
          <w:b/>
        </w:rPr>
        <w:t>謀</w:t>
      </w:r>
      <w:r w:rsidR="00AA4C88" w:rsidRPr="00BF0FC7">
        <w:rPr>
          <w:rFonts w:hint="eastAsia"/>
          <w:b/>
        </w:rPr>
        <w:t>並增驗</w:t>
      </w:r>
      <w:proofErr w:type="gramEnd"/>
      <w:r w:rsidR="00AA4C88" w:rsidRPr="00BF0FC7">
        <w:rPr>
          <w:rFonts w:hint="eastAsia"/>
          <w:b/>
        </w:rPr>
        <w:t>相關檢測項目，</w:t>
      </w:r>
      <w:proofErr w:type="gramStart"/>
      <w:r w:rsidR="00D61E8A" w:rsidRPr="00BF0FC7">
        <w:rPr>
          <w:rFonts w:hint="eastAsia"/>
          <w:b/>
        </w:rPr>
        <w:t>該部既已</w:t>
      </w:r>
      <w:proofErr w:type="gramEnd"/>
      <w:r w:rsidR="00D61E8A" w:rsidRPr="00BF0FC7">
        <w:rPr>
          <w:rFonts w:hint="eastAsia"/>
          <w:b/>
        </w:rPr>
        <w:t>承諾部分營區因應</w:t>
      </w:r>
      <w:r w:rsidR="00800819" w:rsidRPr="00BF0FC7">
        <w:rPr>
          <w:rFonts w:hint="eastAsia"/>
          <w:b/>
        </w:rPr>
        <w:t>使用</w:t>
      </w:r>
      <w:r w:rsidR="00D61E8A" w:rsidRPr="00BF0FC7">
        <w:rPr>
          <w:rFonts w:hint="eastAsia"/>
          <w:b/>
        </w:rPr>
        <w:t>特性</w:t>
      </w:r>
      <w:proofErr w:type="gramStart"/>
      <w:r w:rsidR="00D61E8A" w:rsidRPr="00BF0FC7">
        <w:rPr>
          <w:rFonts w:hint="eastAsia"/>
          <w:b/>
        </w:rPr>
        <w:t>增驗鉛</w:t>
      </w:r>
      <w:proofErr w:type="gramEnd"/>
      <w:r w:rsidR="00D61E8A" w:rsidRPr="00BF0FC7">
        <w:rPr>
          <w:rFonts w:hint="eastAsia"/>
          <w:b/>
        </w:rPr>
        <w:t>、總鉻、鎘、鎳、銅、鋅等</w:t>
      </w:r>
      <w:proofErr w:type="gramStart"/>
      <w:r w:rsidR="00D61E8A" w:rsidRPr="00BF0FC7">
        <w:rPr>
          <w:rFonts w:hint="eastAsia"/>
          <w:b/>
        </w:rPr>
        <w:t>重金屬檢項</w:t>
      </w:r>
      <w:proofErr w:type="gramEnd"/>
      <w:r w:rsidR="00D61E8A" w:rsidRPr="00BF0FC7">
        <w:rPr>
          <w:rFonts w:hint="eastAsia"/>
          <w:b/>
        </w:rPr>
        <w:t>，後續應依實際執行狀況</w:t>
      </w:r>
      <w:r w:rsidR="00725BCC" w:rsidRPr="00BF0FC7">
        <w:rPr>
          <w:rFonts w:hint="eastAsia"/>
          <w:b/>
        </w:rPr>
        <w:t>確實</w:t>
      </w:r>
      <w:r w:rsidR="003B3B4C" w:rsidRPr="00BF0FC7">
        <w:rPr>
          <w:rFonts w:hint="eastAsia"/>
          <w:b/>
        </w:rPr>
        <w:t>辦理</w:t>
      </w:r>
      <w:r w:rsidR="001677EF" w:rsidRPr="00BF0FC7">
        <w:rPr>
          <w:rFonts w:hint="eastAsia"/>
          <w:b/>
        </w:rPr>
        <w:t>，以符合法令規定</w:t>
      </w:r>
      <w:r w:rsidR="001677EF" w:rsidRPr="00BF0FC7">
        <w:rPr>
          <w:rFonts w:hAnsi="Arial"/>
          <w:b/>
        </w:rPr>
        <w:t>。</w:t>
      </w:r>
      <w:bookmarkEnd w:id="105"/>
    </w:p>
    <w:p w:rsidR="001A4C4D" w:rsidRPr="00BF0FC7" w:rsidRDefault="001A4C4D" w:rsidP="007F67EB">
      <w:pPr>
        <w:pStyle w:val="3"/>
      </w:pPr>
      <w:bookmarkStart w:id="106" w:name="_Toc138666446"/>
      <w:bookmarkStart w:id="107" w:name="_Toc140135568"/>
      <w:r w:rsidRPr="00BF0FC7">
        <w:rPr>
          <w:rFonts w:hint="eastAsia"/>
        </w:rPr>
        <w:t>依</w:t>
      </w:r>
      <w:r w:rsidRPr="00BF0FC7">
        <w:rPr>
          <w:rFonts w:hint="eastAsia"/>
        </w:rPr>
        <w:tab/>
        <w:t>水污染防治法第7條規定，事業、污水下水道系統</w:t>
      </w:r>
      <w:r w:rsidRPr="00BF0FC7">
        <w:rPr>
          <w:rFonts w:hint="eastAsia"/>
        </w:rPr>
        <w:lastRenderedPageBreak/>
        <w:t>或建築物污水處理設施，排放廢（污）</w:t>
      </w:r>
      <w:proofErr w:type="gramStart"/>
      <w:r w:rsidRPr="00BF0FC7">
        <w:rPr>
          <w:rFonts w:hint="eastAsia"/>
        </w:rPr>
        <w:t>水於地面</w:t>
      </w:r>
      <w:proofErr w:type="gramEnd"/>
      <w:r w:rsidRPr="00BF0FC7">
        <w:rPr>
          <w:rFonts w:hint="eastAsia"/>
        </w:rPr>
        <w:t>水體者，應符合放流水標準。環保署訂頒之放流水標準第2條規定，建築物污水處理設施適用附表15，其放流水水質項目及限值共同適用為油脂、陰離子界面</w:t>
      </w:r>
      <w:proofErr w:type="gramStart"/>
      <w:r w:rsidRPr="00BF0FC7">
        <w:rPr>
          <w:rFonts w:hint="eastAsia"/>
        </w:rPr>
        <w:t>活性劑</w:t>
      </w:r>
      <w:proofErr w:type="gramEnd"/>
      <w:r w:rsidRPr="00BF0FC7">
        <w:rPr>
          <w:rFonts w:hint="eastAsia"/>
        </w:rPr>
        <w:t>、生化需氧量、化學需氧量、懸浮固體、大腸桿菌群、錳、鎘、鉛…</w:t>
      </w:r>
      <w:proofErr w:type="gramStart"/>
      <w:r w:rsidRPr="00BF0FC7">
        <w:rPr>
          <w:rFonts w:hint="eastAsia"/>
        </w:rPr>
        <w:t>…</w:t>
      </w:r>
      <w:proofErr w:type="gramEnd"/>
      <w:r w:rsidRPr="00BF0FC7">
        <w:rPr>
          <w:rFonts w:hint="eastAsia"/>
        </w:rPr>
        <w:t>等26項。</w:t>
      </w:r>
      <w:bookmarkEnd w:id="106"/>
      <w:bookmarkEnd w:id="107"/>
    </w:p>
    <w:p w:rsidR="001A4C4D" w:rsidRPr="00BF0FC7" w:rsidRDefault="000D2B58" w:rsidP="00774394">
      <w:pPr>
        <w:pStyle w:val="3"/>
      </w:pPr>
      <w:bookmarkStart w:id="108" w:name="_Toc138666447"/>
      <w:bookmarkStart w:id="109" w:name="_Toc140135569"/>
      <w:r w:rsidRPr="00BF0FC7">
        <w:rPr>
          <w:rFonts w:hint="eastAsia"/>
          <w:b/>
        </w:rPr>
        <w:t>據審計部</w:t>
      </w:r>
      <w:proofErr w:type="gramStart"/>
      <w:r w:rsidRPr="00BF0FC7">
        <w:rPr>
          <w:rFonts w:hint="eastAsia"/>
          <w:b/>
        </w:rPr>
        <w:t>110</w:t>
      </w:r>
      <w:proofErr w:type="gramEnd"/>
      <w:r w:rsidRPr="00BF0FC7">
        <w:rPr>
          <w:rFonts w:hint="eastAsia"/>
          <w:b/>
        </w:rPr>
        <w:t>年度中央政府總決算審核報告指出</w:t>
      </w:r>
      <w:r w:rsidRPr="00BF0FC7">
        <w:rPr>
          <w:rFonts w:hint="eastAsia"/>
        </w:rPr>
        <w:t>，</w:t>
      </w:r>
      <w:r w:rsidR="001A4C4D" w:rsidRPr="00BF0FC7">
        <w:rPr>
          <w:rFonts w:hint="eastAsia"/>
        </w:rPr>
        <w:t>陸軍司令部營區污水下水道接管與放流水檢測實施計畫附錄6放流水檢測規定：管制國軍各營區放流水檢測情形，填報之「放流水檢測成果統計表」載列，計有氫離子濃度（</w:t>
      </w:r>
      <w:r w:rsidR="00213A9C" w:rsidRPr="00BF0FC7">
        <w:rPr>
          <w:rFonts w:hint="eastAsia"/>
        </w:rPr>
        <w:t>p</w:t>
      </w:r>
      <w:r w:rsidR="001A4C4D" w:rsidRPr="00BF0FC7">
        <w:rPr>
          <w:rFonts w:hint="eastAsia"/>
        </w:rPr>
        <w:t>H）、油脂、生化需氧量（BOD）、化學需氧量（COD）、懸浮固體（SS）、水溫及大腸桿菌等7項目。陸軍司令部18座污水處理廠中，烏日、</w:t>
      </w:r>
      <w:proofErr w:type="gramStart"/>
      <w:r w:rsidR="001A4C4D" w:rsidRPr="00BF0FC7">
        <w:rPr>
          <w:rFonts w:hint="eastAsia"/>
        </w:rPr>
        <w:t>兵崗</w:t>
      </w:r>
      <w:proofErr w:type="gramEnd"/>
      <w:r w:rsidR="001A4C4D" w:rsidRPr="00BF0FC7">
        <w:rPr>
          <w:rFonts w:hint="eastAsia"/>
        </w:rPr>
        <w:t>、銀河、歸仁產生事業廢水，依照</w:t>
      </w:r>
      <w:r w:rsidR="005507C7" w:rsidRPr="00BF0FC7">
        <w:rPr>
          <w:rFonts w:hint="eastAsia"/>
        </w:rPr>
        <w:t>該</w:t>
      </w:r>
      <w:r w:rsidR="001A4C4D" w:rsidRPr="00BF0FC7">
        <w:rPr>
          <w:rFonts w:hint="eastAsia"/>
        </w:rPr>
        <w:t>實施計畫附錄6放流水檢測規定在生活污水檢測之7個項目之基礎上再加上6個事業廢水種類之檢測項目（鉛、鎘、銅、總鉻、鎳、鋅）。目前所屬營區僅檢測前述7個或13個項目，核與</w:t>
      </w:r>
      <w:r w:rsidR="00C7442B" w:rsidRPr="00BF0FC7">
        <w:rPr>
          <w:rFonts w:hint="eastAsia"/>
        </w:rPr>
        <w:t>環保署訂定之</w:t>
      </w:r>
      <w:r w:rsidR="001A4C4D" w:rsidRPr="00BF0FC7">
        <w:rPr>
          <w:rFonts w:hint="eastAsia"/>
        </w:rPr>
        <w:t>放流水標準附表15放流水水質項目計26項，尚有顯著差距，</w:t>
      </w:r>
      <w:proofErr w:type="gramStart"/>
      <w:r w:rsidR="00E814AF" w:rsidRPr="00BF0FC7">
        <w:rPr>
          <w:rFonts w:hint="eastAsia"/>
        </w:rPr>
        <w:t>審計</w:t>
      </w:r>
      <w:r w:rsidR="001A4C4D" w:rsidRPr="00BF0FC7">
        <w:rPr>
          <w:rFonts w:hint="eastAsia"/>
        </w:rPr>
        <w:t>部前於109</w:t>
      </w:r>
      <w:proofErr w:type="gramEnd"/>
      <w:r w:rsidR="001A4C4D" w:rsidRPr="00BF0FC7">
        <w:rPr>
          <w:rFonts w:hint="eastAsia"/>
        </w:rPr>
        <w:t>年度專案調查國軍推動環保業務執行情形，國防部針對上開事項已</w:t>
      </w:r>
      <w:proofErr w:type="gramStart"/>
      <w:r w:rsidR="001A4C4D" w:rsidRPr="00BF0FC7">
        <w:rPr>
          <w:rFonts w:hint="eastAsia"/>
        </w:rPr>
        <w:t>查復各單位</w:t>
      </w:r>
      <w:proofErr w:type="gramEnd"/>
      <w:r w:rsidR="001A4C4D" w:rsidRPr="00BF0FC7">
        <w:rPr>
          <w:rFonts w:hint="eastAsia"/>
        </w:rPr>
        <w:t>可依實需自行增列其他檢測項目，經追蹤查證結果，迄今已歷2年，</w:t>
      </w:r>
      <w:r w:rsidR="002A05F6" w:rsidRPr="00BF0FC7">
        <w:rPr>
          <w:rFonts w:hint="eastAsia"/>
        </w:rPr>
        <w:t>該</w:t>
      </w:r>
      <w:r w:rsidR="001A4C4D" w:rsidRPr="00BF0FC7">
        <w:rPr>
          <w:rFonts w:hint="eastAsia"/>
        </w:rPr>
        <w:t>司令部所屬營區尚無增列其他檢測項目，恐有污染源檢測項目缺漏、無法及時掌握之疑慮，請督促所屬參照放流水標準要求之水質檢測項目數、限值，妥適檢討實需，增列其他檢測項目，以確保營區環境品質。</w:t>
      </w:r>
      <w:bookmarkEnd w:id="108"/>
      <w:bookmarkEnd w:id="109"/>
    </w:p>
    <w:p w:rsidR="009A2115" w:rsidRPr="00BF0FC7" w:rsidRDefault="009A2115" w:rsidP="00774394">
      <w:pPr>
        <w:pStyle w:val="3"/>
      </w:pPr>
      <w:bookmarkStart w:id="110" w:name="_Toc138666448"/>
      <w:bookmarkStart w:id="111" w:name="_Toc140135570"/>
      <w:r w:rsidRPr="00BF0FC7">
        <w:rPr>
          <w:rFonts w:hint="eastAsia"/>
          <w:b/>
        </w:rPr>
        <w:t>經查</w:t>
      </w:r>
      <w:r w:rsidRPr="00BF0FC7">
        <w:rPr>
          <w:rFonts w:hint="eastAsia"/>
          <w:b/>
          <w:lang w:eastAsia="zh-HK"/>
        </w:rPr>
        <w:t>，</w:t>
      </w:r>
      <w:r w:rsidRPr="00BF0FC7">
        <w:rPr>
          <w:rFonts w:hint="eastAsia"/>
          <w:b/>
        </w:rPr>
        <w:t>陸軍營區生活污水</w:t>
      </w:r>
      <w:r w:rsidRPr="00BF0FC7">
        <w:rPr>
          <w:rFonts w:hint="eastAsia"/>
        </w:rPr>
        <w:t>依環保署84年8月1日環</w:t>
      </w:r>
      <w:proofErr w:type="gramStart"/>
      <w:r w:rsidRPr="00BF0FC7">
        <w:rPr>
          <w:rFonts w:hint="eastAsia"/>
        </w:rPr>
        <w:t>署水字</w:t>
      </w:r>
      <w:proofErr w:type="gramEnd"/>
      <w:r w:rsidRPr="00BF0FC7">
        <w:rPr>
          <w:rFonts w:hint="eastAsia"/>
        </w:rPr>
        <w:t>第39426號函釋(軍隊營區排放廢污水管制執行</w:t>
      </w:r>
      <w:r w:rsidRPr="00BF0FC7">
        <w:rPr>
          <w:rFonts w:hint="eastAsia"/>
        </w:rPr>
        <w:lastRenderedPageBreak/>
        <w:t>疑義)，</w:t>
      </w:r>
      <w:r w:rsidRPr="00BF0FC7">
        <w:rPr>
          <w:rFonts w:hint="eastAsia"/>
          <w:b/>
        </w:rPr>
        <w:t>適用建築物污水處理設施之放流水標準</w:t>
      </w:r>
      <w:r w:rsidRPr="00BF0FC7">
        <w:rPr>
          <w:rStyle w:val="aff"/>
          <w:b/>
        </w:rPr>
        <w:footnoteReference w:id="9"/>
      </w:r>
      <w:r w:rsidRPr="00BF0FC7">
        <w:rPr>
          <w:rFonts w:hint="eastAsia"/>
        </w:rPr>
        <w:t>。</w:t>
      </w:r>
      <w:r w:rsidR="008E1912" w:rsidRPr="00BF0FC7">
        <w:rPr>
          <w:rFonts w:hint="eastAsia"/>
        </w:rPr>
        <w:t>國防部查復，</w:t>
      </w:r>
      <w:r w:rsidRPr="00BF0FC7">
        <w:rPr>
          <w:rFonts w:hint="eastAsia"/>
        </w:rPr>
        <w:t>依</w:t>
      </w:r>
      <w:r w:rsidR="008E1912" w:rsidRPr="00BF0FC7">
        <w:rPr>
          <w:rFonts w:hint="eastAsia"/>
        </w:rPr>
        <w:t>該</w:t>
      </w:r>
      <w:r w:rsidRPr="00BF0FC7">
        <w:rPr>
          <w:rFonts w:hint="eastAsia"/>
        </w:rPr>
        <w:t>函釋</w:t>
      </w:r>
      <w:r w:rsidR="00B65E70" w:rsidRPr="00BF0FC7">
        <w:rPr>
          <w:rFonts w:hint="eastAsia"/>
        </w:rPr>
        <w:t>內容</w:t>
      </w:r>
      <w:r w:rsidRPr="00BF0FC7">
        <w:rPr>
          <w:rFonts w:hint="eastAsia"/>
        </w:rPr>
        <w:t>，軍隊營區適用「附表15建築物污水處理設施」，檢測項目因係「建築物污水處理設施」，並無檢測申報項目及檢測頻率相關規定，</w:t>
      </w:r>
      <w:proofErr w:type="gramStart"/>
      <w:r w:rsidRPr="00BF0FC7">
        <w:rPr>
          <w:rFonts w:hint="eastAsia"/>
        </w:rPr>
        <w:t>爰</w:t>
      </w:r>
      <w:proofErr w:type="gramEnd"/>
      <w:r w:rsidRPr="00BF0FC7">
        <w:rPr>
          <w:rFonts w:hint="eastAsia"/>
        </w:rPr>
        <w:t>參考「事業或污水下水道系統檢測申報項目及檢測頻率」中「一般水質」共同應申報之水質項目及109年審計部查核指導進行規劃，計檢測氫離子濃度(</w:t>
      </w:r>
      <w:r w:rsidR="00D81ACF" w:rsidRPr="00BF0FC7">
        <w:rPr>
          <w:rFonts w:hint="eastAsia"/>
        </w:rPr>
        <w:t>p</w:t>
      </w:r>
      <w:r w:rsidRPr="00BF0FC7">
        <w:rPr>
          <w:rFonts w:hint="eastAsia"/>
        </w:rPr>
        <w:t>H</w:t>
      </w:r>
      <w:proofErr w:type="gramStart"/>
      <w:r w:rsidRPr="00BF0FC7">
        <w:rPr>
          <w:rFonts w:hint="eastAsia"/>
        </w:rPr>
        <w:t>）</w:t>
      </w:r>
      <w:proofErr w:type="gramEnd"/>
      <w:r w:rsidRPr="00BF0FC7">
        <w:rPr>
          <w:rFonts w:hint="eastAsia"/>
        </w:rPr>
        <w:t>、油脂、生化需氧量（BOD）、化學需氧量（COD）、懸浮固體（SS）、水溫及大腸桿菌群等7項目，位處水源保護區營區增硼、氨氮、正磷酸鹽，合計檢測10項</w:t>
      </w:r>
      <w:r w:rsidR="007508B2" w:rsidRPr="00BF0FC7">
        <w:rPr>
          <w:rFonts w:hint="eastAsia"/>
        </w:rPr>
        <w:t>（如下表）</w:t>
      </w:r>
      <w:r w:rsidRPr="00BF0FC7">
        <w:rPr>
          <w:rFonts w:hint="eastAsia"/>
        </w:rPr>
        <w:t>。另陸軍所屬烏日、岳崗、銀河、歸仁營區為金屬表面處理業，屬水污染防治法定義之事業，各事業單位依「水污染防治措施及檢測申報管理辦法」附表</w:t>
      </w:r>
      <w:proofErr w:type="gramStart"/>
      <w:r w:rsidRPr="00BF0FC7">
        <w:rPr>
          <w:rFonts w:hint="eastAsia"/>
        </w:rPr>
        <w:t>一</w:t>
      </w:r>
      <w:proofErr w:type="gramEnd"/>
      <w:r w:rsidRPr="00BF0FC7">
        <w:rPr>
          <w:rFonts w:hint="eastAsia"/>
        </w:rPr>
        <w:t>「事業或污水下水道系統檢測申報項目及檢測頻率」辦理檢測，並定期至「水污染源管制資料管理系統」完成申報，由地方政府環保局進行審查。</w:t>
      </w:r>
      <w:bookmarkEnd w:id="110"/>
      <w:bookmarkEnd w:id="111"/>
    </w:p>
    <w:p w:rsidR="009A2115" w:rsidRPr="00BF0FC7" w:rsidRDefault="009A2115" w:rsidP="00112F37">
      <w:pPr>
        <w:pStyle w:val="a3"/>
        <w:numPr>
          <w:ilvl w:val="0"/>
          <w:numId w:val="0"/>
        </w:numPr>
        <w:rPr>
          <w:b/>
        </w:rPr>
      </w:pPr>
      <w:r w:rsidRPr="00BF0FC7">
        <w:rPr>
          <w:b/>
        </w:rPr>
        <w:t>陸軍司令部</w:t>
      </w:r>
      <w:r w:rsidRPr="00BF0FC7">
        <w:rPr>
          <w:rFonts w:hint="eastAsia"/>
          <w:b/>
        </w:rPr>
        <w:t>營區放流水檢測項目及限值統計表</w:t>
      </w:r>
    </w:p>
    <w:tbl>
      <w:tblPr>
        <w:tblStyle w:val="af7"/>
        <w:tblW w:w="1029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A0" w:firstRow="1" w:lastRow="0" w:firstColumn="1" w:lastColumn="0" w:noHBand="0" w:noVBand="1"/>
      </w:tblPr>
      <w:tblGrid>
        <w:gridCol w:w="1076"/>
        <w:gridCol w:w="886"/>
        <w:gridCol w:w="868"/>
        <w:gridCol w:w="866"/>
        <w:gridCol w:w="866"/>
        <w:gridCol w:w="821"/>
        <w:gridCol w:w="1133"/>
        <w:gridCol w:w="1276"/>
        <w:gridCol w:w="920"/>
        <w:gridCol w:w="834"/>
        <w:gridCol w:w="749"/>
      </w:tblGrid>
      <w:tr w:rsidR="00BF0FC7" w:rsidRPr="00BF0FC7" w:rsidTr="00EC0934">
        <w:trPr>
          <w:trHeight w:val="20"/>
          <w:jc w:val="center"/>
        </w:trPr>
        <w:tc>
          <w:tcPr>
            <w:tcW w:w="1076" w:type="dxa"/>
            <w:tcBorders>
              <w:top w:val="single" w:sz="4" w:space="0" w:color="auto"/>
              <w:left w:val="single" w:sz="4" w:space="0" w:color="auto"/>
              <w:bottom w:val="single" w:sz="4" w:space="0" w:color="auto"/>
              <w:right w:val="single" w:sz="4" w:space="0" w:color="auto"/>
              <w:tl2br w:val="single" w:sz="6" w:space="0" w:color="000000"/>
            </w:tcBorders>
            <w:vAlign w:val="center"/>
          </w:tcPr>
          <w:p w:rsidR="009A2115" w:rsidRPr="00BF0FC7" w:rsidRDefault="009A2115" w:rsidP="00EC0934">
            <w:pPr>
              <w:pStyle w:val="aff0"/>
              <w:overflowPunct w:val="0"/>
              <w:snapToGrid w:val="0"/>
              <w:jc w:val="right"/>
              <w:rPr>
                <w:rFonts w:ascii="標楷體" w:eastAsia="標楷體" w:hAnsi="標楷體"/>
                <w:spacing w:val="-6"/>
                <w:sz w:val="26"/>
                <w:szCs w:val="26"/>
              </w:rPr>
            </w:pPr>
            <w:r w:rsidRPr="00BF0FC7">
              <w:rPr>
                <w:rFonts w:ascii="標楷體" w:eastAsia="標楷體" w:hAnsi="標楷體" w:hint="eastAsia"/>
                <w:spacing w:val="-6"/>
                <w:sz w:val="26"/>
                <w:szCs w:val="26"/>
              </w:rPr>
              <w:t>檢項</w:t>
            </w:r>
          </w:p>
          <w:p w:rsidR="009A2115" w:rsidRPr="00BF0FC7" w:rsidRDefault="009A2115" w:rsidP="00EC0934">
            <w:pPr>
              <w:pStyle w:val="aff0"/>
              <w:overflowPunct w:val="0"/>
              <w:snapToGrid w:val="0"/>
              <w:rPr>
                <w:rFonts w:ascii="標楷體" w:eastAsia="標楷體" w:hAnsi="標楷體"/>
                <w:spacing w:val="-6"/>
                <w:sz w:val="26"/>
                <w:szCs w:val="26"/>
              </w:rPr>
            </w:pPr>
          </w:p>
          <w:p w:rsidR="009A2115" w:rsidRPr="00BF0FC7" w:rsidRDefault="009A2115" w:rsidP="00EC0934">
            <w:pPr>
              <w:pStyle w:val="aff0"/>
              <w:overflowPunct w:val="0"/>
              <w:snapToGrid w:val="0"/>
              <w:rPr>
                <w:rFonts w:ascii="標楷體" w:eastAsia="標楷體" w:hAnsi="標楷體"/>
                <w:spacing w:val="-6"/>
                <w:sz w:val="26"/>
                <w:szCs w:val="26"/>
              </w:rPr>
            </w:pPr>
            <w:r w:rsidRPr="00BF0FC7">
              <w:rPr>
                <w:rFonts w:ascii="標楷體" w:eastAsia="標楷體" w:hAnsi="標楷體"/>
                <w:spacing w:val="-6"/>
                <w:sz w:val="26"/>
                <w:szCs w:val="26"/>
              </w:rPr>
              <w:t>區分</w:t>
            </w:r>
          </w:p>
        </w:tc>
        <w:tc>
          <w:tcPr>
            <w:tcW w:w="886"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ind w:rightChars="-74" w:right="-252"/>
              <w:rPr>
                <w:rFonts w:ascii="標楷體" w:eastAsia="標楷體" w:hAnsi="標楷體"/>
                <w:spacing w:val="-6"/>
                <w:szCs w:val="24"/>
              </w:rPr>
            </w:pPr>
            <w:r w:rsidRPr="00BF0FC7">
              <w:rPr>
                <w:rFonts w:ascii="標楷體" w:eastAsia="標楷體" w:hAnsi="標楷體" w:cs="Arial"/>
                <w:szCs w:val="24"/>
              </w:rPr>
              <w:t>氫離子濃度數</w:t>
            </w:r>
            <w:r w:rsidRPr="00BF0FC7">
              <w:rPr>
                <w:rFonts w:ascii="標楷體" w:eastAsia="標楷體" w:hAnsi="標楷體" w:cs="Arial" w:hint="eastAsia"/>
                <w:szCs w:val="24"/>
              </w:rPr>
              <w:t>(pH)</w:t>
            </w:r>
          </w:p>
        </w:tc>
        <w:tc>
          <w:tcPr>
            <w:tcW w:w="868"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ind w:rightChars="-74" w:right="-252"/>
              <w:rPr>
                <w:rFonts w:ascii="標楷體" w:eastAsia="標楷體" w:hAnsi="標楷體"/>
                <w:spacing w:val="-6"/>
                <w:szCs w:val="24"/>
              </w:rPr>
            </w:pPr>
            <w:r w:rsidRPr="00BF0FC7">
              <w:rPr>
                <w:rFonts w:ascii="標楷體" w:eastAsia="標楷體" w:hAnsi="標楷體" w:cs="Arial"/>
                <w:szCs w:val="24"/>
              </w:rPr>
              <w:t>總懸浮固體</w:t>
            </w:r>
            <w:r w:rsidRPr="00BF0FC7">
              <w:rPr>
                <w:rFonts w:ascii="標楷體" w:eastAsia="標楷體" w:hAnsi="標楷體" w:cs="Arial" w:hint="eastAsia"/>
                <w:szCs w:val="24"/>
              </w:rPr>
              <w:t>(SS)</w:t>
            </w:r>
          </w:p>
        </w:tc>
        <w:tc>
          <w:tcPr>
            <w:tcW w:w="866"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ind w:rightChars="-67" w:right="-228"/>
              <w:rPr>
                <w:rFonts w:ascii="標楷體" w:eastAsia="標楷體" w:hAnsi="標楷體" w:cs="Arial"/>
                <w:szCs w:val="24"/>
              </w:rPr>
            </w:pPr>
            <w:r w:rsidRPr="00BF0FC7">
              <w:rPr>
                <w:rFonts w:ascii="標楷體" w:eastAsia="標楷體" w:hAnsi="標楷體" w:cs="Arial"/>
                <w:szCs w:val="24"/>
              </w:rPr>
              <w:t>生化</w:t>
            </w:r>
          </w:p>
          <w:p w:rsidR="009A2115" w:rsidRPr="00BF0FC7" w:rsidRDefault="009A2115" w:rsidP="00EC0934">
            <w:pPr>
              <w:pStyle w:val="aff0"/>
              <w:overflowPunct w:val="0"/>
              <w:snapToGrid w:val="0"/>
              <w:ind w:rightChars="-67" w:right="-228"/>
              <w:rPr>
                <w:rFonts w:ascii="標楷體" w:eastAsia="標楷體" w:hAnsi="標楷體"/>
                <w:spacing w:val="-6"/>
                <w:szCs w:val="24"/>
              </w:rPr>
            </w:pPr>
            <w:r w:rsidRPr="00BF0FC7">
              <w:rPr>
                <w:rFonts w:ascii="標楷體" w:eastAsia="標楷體" w:hAnsi="標楷體" w:cs="Arial"/>
                <w:szCs w:val="24"/>
              </w:rPr>
              <w:t>需氧量</w:t>
            </w:r>
            <w:r w:rsidRPr="00BF0FC7">
              <w:rPr>
                <w:rFonts w:ascii="標楷體" w:eastAsia="標楷體" w:hAnsi="標楷體" w:cs="Arial" w:hint="eastAsia"/>
                <w:szCs w:val="24"/>
              </w:rPr>
              <w:t>(BOD)</w:t>
            </w:r>
          </w:p>
        </w:tc>
        <w:tc>
          <w:tcPr>
            <w:tcW w:w="866"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ind w:rightChars="-61" w:right="-207"/>
              <w:rPr>
                <w:rFonts w:ascii="標楷體" w:eastAsia="標楷體" w:hAnsi="標楷體" w:cs="Arial"/>
                <w:szCs w:val="24"/>
              </w:rPr>
            </w:pPr>
            <w:r w:rsidRPr="00BF0FC7">
              <w:rPr>
                <w:rFonts w:ascii="標楷體" w:eastAsia="標楷體" w:hAnsi="標楷體" w:cs="Arial"/>
                <w:szCs w:val="24"/>
              </w:rPr>
              <w:t>化學</w:t>
            </w:r>
          </w:p>
          <w:p w:rsidR="009A2115" w:rsidRPr="00BF0FC7" w:rsidRDefault="009A2115" w:rsidP="00EC0934">
            <w:pPr>
              <w:pStyle w:val="aff0"/>
              <w:overflowPunct w:val="0"/>
              <w:snapToGrid w:val="0"/>
              <w:ind w:rightChars="-61" w:right="-207"/>
              <w:rPr>
                <w:rFonts w:ascii="標楷體" w:eastAsia="標楷體" w:hAnsi="標楷體"/>
                <w:spacing w:val="-6"/>
                <w:szCs w:val="24"/>
              </w:rPr>
            </w:pPr>
            <w:r w:rsidRPr="00BF0FC7">
              <w:rPr>
                <w:rFonts w:ascii="標楷體" w:eastAsia="標楷體" w:hAnsi="標楷體" w:cs="Arial"/>
                <w:szCs w:val="24"/>
              </w:rPr>
              <w:t>需氧量</w:t>
            </w:r>
            <w:r w:rsidRPr="00BF0FC7">
              <w:rPr>
                <w:rFonts w:ascii="標楷體" w:eastAsia="標楷體" w:hAnsi="標楷體" w:cs="Arial" w:hint="eastAsia"/>
                <w:szCs w:val="24"/>
              </w:rPr>
              <w:t>(COD)</w:t>
            </w:r>
          </w:p>
        </w:tc>
        <w:tc>
          <w:tcPr>
            <w:tcW w:w="821"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Cs w:val="24"/>
              </w:rPr>
            </w:pPr>
            <w:r w:rsidRPr="00BF0FC7">
              <w:rPr>
                <w:rFonts w:ascii="標楷體" w:eastAsia="標楷體" w:hAnsi="標楷體" w:cs="Arial"/>
                <w:szCs w:val="24"/>
              </w:rPr>
              <w:t>油脂</w:t>
            </w:r>
          </w:p>
        </w:tc>
        <w:tc>
          <w:tcPr>
            <w:tcW w:w="1133"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Cs w:val="24"/>
              </w:rPr>
            </w:pPr>
            <w:r w:rsidRPr="00BF0FC7">
              <w:rPr>
                <w:rFonts w:ascii="標楷體" w:eastAsia="標楷體" w:hAnsi="標楷體" w:cs="Arial" w:hint="eastAsia"/>
                <w:szCs w:val="24"/>
              </w:rPr>
              <w:t>水溫</w:t>
            </w:r>
          </w:p>
        </w:tc>
        <w:tc>
          <w:tcPr>
            <w:tcW w:w="1276"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cs="Arial"/>
                <w:szCs w:val="24"/>
              </w:rPr>
            </w:pPr>
            <w:r w:rsidRPr="00BF0FC7">
              <w:rPr>
                <w:rFonts w:ascii="標楷體" w:eastAsia="標楷體" w:hAnsi="標楷體" w:cs="Arial" w:hint="eastAsia"/>
                <w:szCs w:val="24"/>
              </w:rPr>
              <w:t>大腸</w:t>
            </w:r>
          </w:p>
          <w:p w:rsidR="009A2115" w:rsidRPr="00BF0FC7" w:rsidRDefault="009A2115" w:rsidP="00EC0934">
            <w:pPr>
              <w:pStyle w:val="aff0"/>
              <w:overflowPunct w:val="0"/>
              <w:snapToGrid w:val="0"/>
              <w:rPr>
                <w:rFonts w:ascii="標楷體" w:eastAsia="標楷體" w:hAnsi="標楷體"/>
                <w:spacing w:val="-6"/>
                <w:szCs w:val="24"/>
              </w:rPr>
            </w:pPr>
            <w:r w:rsidRPr="00BF0FC7">
              <w:rPr>
                <w:rFonts w:ascii="標楷體" w:eastAsia="標楷體" w:hAnsi="標楷體" w:cs="Arial" w:hint="eastAsia"/>
                <w:szCs w:val="24"/>
              </w:rPr>
              <w:t>桿菌群</w:t>
            </w:r>
          </w:p>
        </w:tc>
        <w:tc>
          <w:tcPr>
            <w:tcW w:w="920"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Cs w:val="24"/>
              </w:rPr>
            </w:pPr>
            <w:r w:rsidRPr="00BF0FC7">
              <w:rPr>
                <w:rFonts w:ascii="標楷體" w:eastAsia="標楷體" w:hAnsi="標楷體" w:cs="Arial" w:hint="eastAsia"/>
                <w:szCs w:val="24"/>
              </w:rPr>
              <w:t>硼</w:t>
            </w:r>
          </w:p>
        </w:tc>
        <w:tc>
          <w:tcPr>
            <w:tcW w:w="834"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Cs w:val="24"/>
              </w:rPr>
            </w:pPr>
            <w:r w:rsidRPr="00BF0FC7">
              <w:rPr>
                <w:rFonts w:ascii="標楷體" w:eastAsia="標楷體" w:hAnsi="標楷體" w:cs="Arial" w:hint="eastAsia"/>
                <w:szCs w:val="24"/>
              </w:rPr>
              <w:t>正磷酸鹽</w:t>
            </w:r>
          </w:p>
        </w:tc>
        <w:tc>
          <w:tcPr>
            <w:tcW w:w="749"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Cs w:val="24"/>
              </w:rPr>
            </w:pPr>
            <w:r w:rsidRPr="00BF0FC7">
              <w:rPr>
                <w:rFonts w:ascii="標楷體" w:eastAsia="標楷體" w:hAnsi="標楷體" w:cs="Arial" w:hint="eastAsia"/>
                <w:szCs w:val="24"/>
              </w:rPr>
              <w:t>氨氮</w:t>
            </w:r>
          </w:p>
        </w:tc>
      </w:tr>
      <w:tr w:rsidR="00BF0FC7" w:rsidRPr="00BF0FC7" w:rsidTr="00EC0934">
        <w:trPr>
          <w:trHeight w:val="20"/>
          <w:jc w:val="center"/>
        </w:trPr>
        <w:tc>
          <w:tcPr>
            <w:tcW w:w="1076"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D81ACF">
            <w:pPr>
              <w:pStyle w:val="aff0"/>
              <w:overflowPunct w:val="0"/>
              <w:snapToGrid w:val="0"/>
              <w:ind w:leftChars="-69" w:left="301" w:rightChars="-45" w:right="-153" w:hanging="536"/>
              <w:jc w:val="center"/>
              <w:rPr>
                <w:rFonts w:ascii="標楷體" w:eastAsia="標楷體" w:hAnsi="標楷體"/>
                <w:spacing w:val="-6"/>
                <w:sz w:val="26"/>
                <w:szCs w:val="26"/>
              </w:rPr>
            </w:pPr>
            <w:r w:rsidRPr="00BF0FC7">
              <w:rPr>
                <w:rFonts w:ascii="標楷體" w:eastAsia="標楷體" w:hAnsi="標楷體"/>
                <w:spacing w:val="-6"/>
                <w:sz w:val="26"/>
                <w:szCs w:val="26"/>
              </w:rPr>
              <w:t>一般營區</w:t>
            </w:r>
          </w:p>
        </w:tc>
        <w:tc>
          <w:tcPr>
            <w:tcW w:w="886" w:type="dxa"/>
            <w:vMerge w:val="restart"/>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 w:val="26"/>
                <w:szCs w:val="26"/>
              </w:rPr>
            </w:pPr>
            <w:r w:rsidRPr="00BF0FC7">
              <w:rPr>
                <w:rFonts w:ascii="標楷體" w:eastAsia="標楷體" w:hAnsi="標楷體" w:cs="Arial"/>
                <w:sz w:val="26"/>
                <w:szCs w:val="26"/>
              </w:rPr>
              <w:t>6-9</w:t>
            </w:r>
          </w:p>
        </w:tc>
        <w:tc>
          <w:tcPr>
            <w:tcW w:w="868" w:type="dxa"/>
            <w:vMerge w:val="restart"/>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 w:val="26"/>
                <w:szCs w:val="26"/>
              </w:rPr>
            </w:pPr>
            <w:r w:rsidRPr="00BF0FC7">
              <w:rPr>
                <w:rFonts w:ascii="標楷體" w:eastAsia="標楷體" w:hAnsi="標楷體" w:cs="Arial"/>
                <w:sz w:val="26"/>
                <w:szCs w:val="26"/>
              </w:rPr>
              <w:t>50</w:t>
            </w:r>
          </w:p>
        </w:tc>
        <w:tc>
          <w:tcPr>
            <w:tcW w:w="866" w:type="dxa"/>
            <w:vMerge w:val="restart"/>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 w:val="26"/>
                <w:szCs w:val="26"/>
              </w:rPr>
            </w:pPr>
            <w:r w:rsidRPr="00BF0FC7">
              <w:rPr>
                <w:rFonts w:ascii="標楷體" w:eastAsia="標楷體" w:hAnsi="標楷體" w:cs="Arial"/>
                <w:sz w:val="26"/>
                <w:szCs w:val="26"/>
              </w:rPr>
              <w:t>50</w:t>
            </w:r>
          </w:p>
        </w:tc>
        <w:tc>
          <w:tcPr>
            <w:tcW w:w="866" w:type="dxa"/>
            <w:vMerge w:val="restart"/>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 w:val="26"/>
                <w:szCs w:val="26"/>
              </w:rPr>
            </w:pPr>
            <w:r w:rsidRPr="00BF0FC7">
              <w:rPr>
                <w:rFonts w:ascii="標楷體" w:eastAsia="標楷體" w:hAnsi="標楷體" w:cs="Arial"/>
                <w:sz w:val="26"/>
                <w:szCs w:val="26"/>
              </w:rPr>
              <w:t>150</w:t>
            </w:r>
          </w:p>
        </w:tc>
        <w:tc>
          <w:tcPr>
            <w:tcW w:w="821" w:type="dxa"/>
            <w:vMerge w:val="restart"/>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 w:val="26"/>
                <w:szCs w:val="26"/>
              </w:rPr>
            </w:pPr>
            <w:r w:rsidRPr="00BF0FC7">
              <w:rPr>
                <w:rFonts w:ascii="標楷體" w:eastAsia="標楷體" w:hAnsi="標楷體" w:cs="Arial"/>
                <w:sz w:val="26"/>
                <w:szCs w:val="26"/>
              </w:rPr>
              <w:t>10</w:t>
            </w:r>
          </w:p>
        </w:tc>
        <w:tc>
          <w:tcPr>
            <w:tcW w:w="1133"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cs="Arial"/>
                <w:sz w:val="26"/>
                <w:szCs w:val="26"/>
              </w:rPr>
            </w:pPr>
            <w:r w:rsidRPr="00BF0FC7">
              <w:rPr>
                <w:rFonts w:ascii="標楷體" w:eastAsia="標楷體" w:hAnsi="標楷體" w:cs="Arial" w:hint="eastAsia"/>
                <w:sz w:val="26"/>
                <w:szCs w:val="26"/>
              </w:rPr>
              <w:t>5-9月</w:t>
            </w:r>
          </w:p>
          <w:p w:rsidR="009A2115" w:rsidRPr="00BF0FC7" w:rsidRDefault="009A2115" w:rsidP="00EC0934">
            <w:pPr>
              <w:pStyle w:val="aff0"/>
              <w:overflowPunct w:val="0"/>
              <w:snapToGrid w:val="0"/>
              <w:rPr>
                <w:rFonts w:ascii="標楷體" w:eastAsia="標楷體" w:hAnsi="標楷體"/>
                <w:spacing w:val="-6"/>
                <w:sz w:val="26"/>
                <w:szCs w:val="26"/>
              </w:rPr>
            </w:pPr>
            <w:r w:rsidRPr="00BF0FC7">
              <w:rPr>
                <w:rFonts w:ascii="標楷體" w:eastAsia="標楷體" w:hAnsi="標楷體" w:cs="Arial" w:hint="eastAsia"/>
                <w:sz w:val="26"/>
                <w:szCs w:val="26"/>
              </w:rPr>
              <w:t>38度</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 w:val="26"/>
                <w:szCs w:val="26"/>
              </w:rPr>
            </w:pPr>
            <w:r w:rsidRPr="00BF0FC7">
              <w:rPr>
                <w:rFonts w:ascii="標楷體" w:eastAsia="標楷體" w:hAnsi="標楷體" w:cs="Arial" w:hint="eastAsia"/>
                <w:sz w:val="26"/>
                <w:szCs w:val="26"/>
              </w:rPr>
              <w:t>300,000</w:t>
            </w:r>
          </w:p>
        </w:tc>
        <w:tc>
          <w:tcPr>
            <w:tcW w:w="920"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 w:val="26"/>
                <w:szCs w:val="26"/>
              </w:rPr>
            </w:pPr>
            <w:proofErr w:type="gramStart"/>
            <w:r w:rsidRPr="00BF0FC7">
              <w:rPr>
                <w:rFonts w:ascii="新細明體" w:hAnsi="新細明體" w:hint="eastAsia"/>
                <w:spacing w:val="-6"/>
                <w:sz w:val="26"/>
                <w:szCs w:val="26"/>
              </w:rPr>
              <w:t>＊</w:t>
            </w:r>
            <w:proofErr w:type="gramEnd"/>
          </w:p>
        </w:tc>
        <w:tc>
          <w:tcPr>
            <w:tcW w:w="834"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 w:val="26"/>
                <w:szCs w:val="26"/>
              </w:rPr>
            </w:pPr>
            <w:proofErr w:type="gramStart"/>
            <w:r w:rsidRPr="00BF0FC7">
              <w:rPr>
                <w:rFonts w:ascii="新細明體" w:hAnsi="新細明體" w:hint="eastAsia"/>
                <w:spacing w:val="-6"/>
                <w:sz w:val="26"/>
                <w:szCs w:val="26"/>
              </w:rPr>
              <w:t>＊</w:t>
            </w:r>
            <w:proofErr w:type="gramEnd"/>
          </w:p>
        </w:tc>
        <w:tc>
          <w:tcPr>
            <w:tcW w:w="749"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 w:val="26"/>
                <w:szCs w:val="26"/>
              </w:rPr>
            </w:pPr>
            <w:proofErr w:type="gramStart"/>
            <w:r w:rsidRPr="00BF0FC7">
              <w:rPr>
                <w:rFonts w:ascii="新細明體" w:hAnsi="新細明體" w:hint="eastAsia"/>
                <w:spacing w:val="-6"/>
                <w:sz w:val="26"/>
                <w:szCs w:val="26"/>
              </w:rPr>
              <w:t>＊</w:t>
            </w:r>
            <w:proofErr w:type="gramEnd"/>
          </w:p>
        </w:tc>
      </w:tr>
      <w:tr w:rsidR="00BF0FC7" w:rsidRPr="00BF0FC7" w:rsidTr="00EC0934">
        <w:trPr>
          <w:trHeight w:val="20"/>
          <w:jc w:val="center"/>
        </w:trPr>
        <w:tc>
          <w:tcPr>
            <w:tcW w:w="1076" w:type="dxa"/>
            <w:tcBorders>
              <w:top w:val="single" w:sz="4" w:space="0" w:color="auto"/>
              <w:left w:val="single" w:sz="4" w:space="0" w:color="auto"/>
              <w:bottom w:val="single" w:sz="4" w:space="0" w:color="auto"/>
              <w:right w:val="single" w:sz="4" w:space="0" w:color="auto"/>
            </w:tcBorders>
            <w:vAlign w:val="center"/>
          </w:tcPr>
          <w:p w:rsidR="00D81ACF" w:rsidRPr="00BF0FC7" w:rsidRDefault="00D81ACF" w:rsidP="00D81ACF">
            <w:pPr>
              <w:pStyle w:val="aff0"/>
              <w:overflowPunct w:val="0"/>
              <w:snapToGrid w:val="0"/>
              <w:jc w:val="center"/>
              <w:rPr>
                <w:rFonts w:ascii="標楷體" w:eastAsia="標楷體" w:hAnsi="標楷體"/>
                <w:spacing w:val="-6"/>
                <w:sz w:val="26"/>
                <w:szCs w:val="26"/>
              </w:rPr>
            </w:pPr>
            <w:r w:rsidRPr="00BF0FC7">
              <w:rPr>
                <w:rFonts w:ascii="標楷體" w:eastAsia="標楷體" w:hAnsi="標楷體" w:hint="eastAsia"/>
                <w:spacing w:val="-6"/>
                <w:sz w:val="26"/>
                <w:szCs w:val="26"/>
              </w:rPr>
              <w:t>水源</w:t>
            </w:r>
          </w:p>
          <w:p w:rsidR="009A2115" w:rsidRPr="00BF0FC7" w:rsidRDefault="00D81ACF" w:rsidP="00D81ACF">
            <w:pPr>
              <w:pStyle w:val="aff0"/>
              <w:overflowPunct w:val="0"/>
              <w:snapToGrid w:val="0"/>
              <w:jc w:val="center"/>
              <w:rPr>
                <w:rFonts w:ascii="標楷體" w:eastAsia="標楷體" w:hAnsi="標楷體"/>
                <w:spacing w:val="-6"/>
                <w:sz w:val="26"/>
                <w:szCs w:val="26"/>
              </w:rPr>
            </w:pPr>
            <w:r w:rsidRPr="00BF0FC7">
              <w:rPr>
                <w:rFonts w:ascii="標楷體" w:eastAsia="標楷體" w:hAnsi="標楷體" w:hint="eastAsia"/>
                <w:spacing w:val="-6"/>
                <w:sz w:val="26"/>
                <w:szCs w:val="26"/>
              </w:rPr>
              <w:t>保護區</w:t>
            </w:r>
          </w:p>
        </w:tc>
        <w:tc>
          <w:tcPr>
            <w:tcW w:w="886" w:type="dxa"/>
            <w:vMerge/>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ind w:left="876" w:hanging="536"/>
              <w:jc w:val="center"/>
              <w:rPr>
                <w:rFonts w:ascii="標楷體" w:eastAsia="標楷體" w:hAnsi="標楷體"/>
                <w:spacing w:val="-6"/>
                <w:sz w:val="26"/>
                <w:szCs w:val="26"/>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ind w:left="876" w:hanging="536"/>
              <w:jc w:val="center"/>
              <w:rPr>
                <w:rFonts w:ascii="標楷體" w:eastAsia="標楷體" w:hAnsi="標楷體"/>
                <w:spacing w:val="-6"/>
                <w:sz w:val="26"/>
                <w:szCs w:val="26"/>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ind w:left="876" w:hanging="536"/>
              <w:jc w:val="center"/>
              <w:rPr>
                <w:rFonts w:ascii="標楷體" w:eastAsia="標楷體" w:hAnsi="標楷體"/>
                <w:spacing w:val="-6"/>
                <w:sz w:val="26"/>
                <w:szCs w:val="26"/>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ind w:left="876" w:hanging="536"/>
              <w:jc w:val="center"/>
              <w:rPr>
                <w:rFonts w:ascii="標楷體" w:eastAsia="標楷體" w:hAnsi="標楷體"/>
                <w:spacing w:val="-6"/>
                <w:sz w:val="26"/>
                <w:szCs w:val="26"/>
              </w:rPr>
            </w:pPr>
          </w:p>
        </w:tc>
        <w:tc>
          <w:tcPr>
            <w:tcW w:w="821" w:type="dxa"/>
            <w:vMerge/>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ind w:left="876" w:hanging="536"/>
              <w:jc w:val="center"/>
              <w:rPr>
                <w:rFonts w:ascii="標楷體" w:eastAsia="標楷體" w:hAnsi="標楷體"/>
                <w:spacing w:val="-6"/>
                <w:sz w:val="26"/>
                <w:szCs w:val="26"/>
              </w:rPr>
            </w:pPr>
          </w:p>
        </w:tc>
        <w:tc>
          <w:tcPr>
            <w:tcW w:w="1133"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cs="Arial"/>
                <w:sz w:val="26"/>
                <w:szCs w:val="26"/>
              </w:rPr>
            </w:pPr>
            <w:r w:rsidRPr="00BF0FC7">
              <w:rPr>
                <w:rFonts w:ascii="標楷體" w:eastAsia="標楷體" w:hAnsi="標楷體" w:cs="Arial" w:hint="eastAsia"/>
                <w:sz w:val="26"/>
                <w:szCs w:val="26"/>
              </w:rPr>
              <w:t>10-4月</w:t>
            </w:r>
          </w:p>
          <w:p w:rsidR="009A2115" w:rsidRPr="00BF0FC7" w:rsidRDefault="009A2115" w:rsidP="00EC0934">
            <w:pPr>
              <w:pStyle w:val="aff0"/>
              <w:overflowPunct w:val="0"/>
              <w:snapToGrid w:val="0"/>
              <w:rPr>
                <w:rFonts w:ascii="標楷體" w:eastAsia="標楷體" w:hAnsi="標楷體"/>
                <w:spacing w:val="-6"/>
                <w:sz w:val="26"/>
                <w:szCs w:val="26"/>
              </w:rPr>
            </w:pPr>
            <w:r w:rsidRPr="00BF0FC7">
              <w:rPr>
                <w:rFonts w:ascii="標楷體" w:eastAsia="標楷體" w:hAnsi="標楷體" w:cs="Arial" w:hint="eastAsia"/>
                <w:sz w:val="26"/>
                <w:szCs w:val="26"/>
              </w:rPr>
              <w:t>35度</w:t>
            </w:r>
          </w:p>
        </w:tc>
        <w:tc>
          <w:tcPr>
            <w:tcW w:w="1276" w:type="dxa"/>
            <w:vMerge/>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ind w:left="876" w:hanging="536"/>
              <w:jc w:val="center"/>
              <w:rPr>
                <w:rFonts w:ascii="標楷體" w:eastAsia="標楷體" w:hAnsi="標楷體"/>
                <w:spacing w:val="-6"/>
                <w:sz w:val="26"/>
                <w:szCs w:val="26"/>
              </w:rPr>
            </w:pPr>
          </w:p>
        </w:tc>
        <w:tc>
          <w:tcPr>
            <w:tcW w:w="920"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 w:val="26"/>
                <w:szCs w:val="26"/>
              </w:rPr>
            </w:pPr>
            <w:r w:rsidRPr="00BF0FC7">
              <w:rPr>
                <w:rFonts w:ascii="標楷體" w:eastAsia="標楷體" w:hAnsi="標楷體"/>
                <w:spacing w:val="-6"/>
                <w:sz w:val="26"/>
                <w:szCs w:val="26"/>
              </w:rPr>
              <w:t>1.0</w:t>
            </w:r>
          </w:p>
        </w:tc>
        <w:tc>
          <w:tcPr>
            <w:tcW w:w="834"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 w:val="26"/>
                <w:szCs w:val="26"/>
              </w:rPr>
            </w:pPr>
            <w:r w:rsidRPr="00BF0FC7">
              <w:rPr>
                <w:rFonts w:ascii="標楷體" w:eastAsia="標楷體" w:hAnsi="標楷體"/>
                <w:spacing w:val="-6"/>
                <w:sz w:val="26"/>
                <w:szCs w:val="26"/>
              </w:rPr>
              <w:t>4.0</w:t>
            </w:r>
          </w:p>
        </w:tc>
        <w:tc>
          <w:tcPr>
            <w:tcW w:w="749" w:type="dxa"/>
            <w:tcBorders>
              <w:top w:val="single" w:sz="4" w:space="0" w:color="auto"/>
              <w:left w:val="single" w:sz="4" w:space="0" w:color="auto"/>
              <w:bottom w:val="single" w:sz="4" w:space="0" w:color="auto"/>
              <w:right w:val="single" w:sz="4" w:space="0" w:color="auto"/>
            </w:tcBorders>
            <w:vAlign w:val="center"/>
          </w:tcPr>
          <w:p w:rsidR="009A2115" w:rsidRPr="00BF0FC7" w:rsidRDefault="009A2115" w:rsidP="00EC0934">
            <w:pPr>
              <w:pStyle w:val="aff0"/>
              <w:overflowPunct w:val="0"/>
              <w:snapToGrid w:val="0"/>
              <w:rPr>
                <w:rFonts w:ascii="標楷體" w:eastAsia="標楷體" w:hAnsi="標楷體"/>
                <w:spacing w:val="-6"/>
                <w:sz w:val="26"/>
                <w:szCs w:val="26"/>
              </w:rPr>
            </w:pPr>
            <w:r w:rsidRPr="00BF0FC7">
              <w:rPr>
                <w:rFonts w:ascii="標楷體" w:eastAsia="標楷體" w:hAnsi="標楷體"/>
                <w:spacing w:val="-6"/>
                <w:sz w:val="26"/>
                <w:szCs w:val="26"/>
              </w:rPr>
              <w:t>10</w:t>
            </w:r>
          </w:p>
        </w:tc>
      </w:tr>
    </w:tbl>
    <w:p w:rsidR="009A2115" w:rsidRPr="00BF0FC7" w:rsidRDefault="009A2115" w:rsidP="009A2115">
      <w:pPr>
        <w:rPr>
          <w:sz w:val="24"/>
          <w:szCs w:val="24"/>
        </w:rPr>
      </w:pPr>
      <w:r w:rsidRPr="00BF0FC7">
        <w:rPr>
          <w:rFonts w:hint="eastAsia"/>
          <w:sz w:val="24"/>
          <w:szCs w:val="24"/>
        </w:rPr>
        <w:t>資料來源：國防部。</w:t>
      </w:r>
    </w:p>
    <w:p w:rsidR="000C3F9E" w:rsidRPr="00BF0FC7" w:rsidRDefault="000C3F9E" w:rsidP="009A2115">
      <w:pPr>
        <w:rPr>
          <w:sz w:val="24"/>
          <w:szCs w:val="24"/>
        </w:rPr>
      </w:pPr>
    </w:p>
    <w:p w:rsidR="004D7173" w:rsidRPr="00BF0FC7" w:rsidRDefault="003B40D8" w:rsidP="007F67EB">
      <w:pPr>
        <w:pStyle w:val="3"/>
      </w:pPr>
      <w:bookmarkStart w:id="112" w:name="_Toc138666449"/>
      <w:bookmarkStart w:id="113" w:name="_Toc140135571"/>
      <w:r w:rsidRPr="00BF0FC7">
        <w:rPr>
          <w:rFonts w:hint="eastAsia"/>
        </w:rPr>
        <w:t>另據環保署查復，依</w:t>
      </w:r>
      <w:r w:rsidRPr="00BF0FC7">
        <w:t>水污染源管理系統，陸軍司令部營區依營區特性區分事業（金屬表面處理業、基</w:t>
      </w:r>
      <w:r w:rsidRPr="00BF0FC7">
        <w:lastRenderedPageBreak/>
        <w:t>本化學原料製造業）、污水下水道系統或建築物污水處理設施等三類對象管制，</w:t>
      </w:r>
      <w:r w:rsidRPr="00BF0FC7">
        <w:rPr>
          <w:rFonts w:hint="eastAsia"/>
        </w:rPr>
        <w:t>並依管制</w:t>
      </w:r>
      <w:r w:rsidR="0015748C" w:rsidRPr="00BF0FC7">
        <w:rPr>
          <w:rFonts w:hint="eastAsia"/>
        </w:rPr>
        <w:t>業別進行</w:t>
      </w:r>
      <w:r w:rsidR="0015748C" w:rsidRPr="00BF0FC7">
        <w:t>放流水標準管制項目及管制限值</w:t>
      </w:r>
      <w:r w:rsidR="0015748C" w:rsidRPr="00BF0FC7">
        <w:rPr>
          <w:rFonts w:hint="eastAsia"/>
        </w:rPr>
        <w:t>。是</w:t>
      </w:r>
      <w:proofErr w:type="gramStart"/>
      <w:r w:rsidR="0015748C" w:rsidRPr="00BF0FC7">
        <w:rPr>
          <w:rFonts w:hint="eastAsia"/>
        </w:rPr>
        <w:t>以</w:t>
      </w:r>
      <w:proofErr w:type="gramEnd"/>
      <w:r w:rsidR="0015748C" w:rsidRPr="00BF0FC7">
        <w:rPr>
          <w:rFonts w:hint="eastAsia"/>
        </w:rPr>
        <w:t>，國防部營區依其使用特性，放流水標準各有不同，且因應實際戰備整備作為而有調整</w:t>
      </w:r>
      <w:r w:rsidR="001677EF" w:rsidRPr="00BF0FC7">
        <w:rPr>
          <w:rFonts w:hint="eastAsia"/>
        </w:rPr>
        <w:t>營區</w:t>
      </w:r>
      <w:r w:rsidR="0015748C" w:rsidRPr="00BF0FC7">
        <w:rPr>
          <w:rFonts w:hint="eastAsia"/>
        </w:rPr>
        <w:t>使用</w:t>
      </w:r>
      <w:r w:rsidR="001677EF" w:rsidRPr="00BF0FC7">
        <w:rPr>
          <w:rFonts w:hint="eastAsia"/>
        </w:rPr>
        <w:t>特別</w:t>
      </w:r>
      <w:r w:rsidR="0015748C" w:rsidRPr="00BF0FC7">
        <w:rPr>
          <w:rFonts w:hint="eastAsia"/>
        </w:rPr>
        <w:t>時，</w:t>
      </w:r>
      <w:r w:rsidR="001677EF" w:rsidRPr="00BF0FC7">
        <w:rPr>
          <w:rFonts w:hint="eastAsia"/>
        </w:rPr>
        <w:t>國防部</w:t>
      </w:r>
      <w:r w:rsidR="0015748C" w:rsidRPr="00BF0FC7">
        <w:rPr>
          <w:rFonts w:hint="eastAsia"/>
        </w:rPr>
        <w:t>應預為因應</w:t>
      </w:r>
      <w:proofErr w:type="gramStart"/>
      <w:r w:rsidR="0015748C" w:rsidRPr="00BF0FC7">
        <w:rPr>
          <w:rFonts w:hint="eastAsia"/>
        </w:rPr>
        <w:t>並增驗相關</w:t>
      </w:r>
      <w:proofErr w:type="gramEnd"/>
      <w:r w:rsidR="0015748C" w:rsidRPr="00BF0FC7">
        <w:rPr>
          <w:rFonts w:hint="eastAsia"/>
        </w:rPr>
        <w:t>檢測項目，</w:t>
      </w:r>
      <w:r w:rsidR="001677EF" w:rsidRPr="00BF0FC7">
        <w:rPr>
          <w:rFonts w:hint="eastAsia"/>
        </w:rPr>
        <w:t>又</w:t>
      </w:r>
      <w:proofErr w:type="gramStart"/>
      <w:r w:rsidR="0015748C" w:rsidRPr="00BF0FC7">
        <w:rPr>
          <w:rFonts w:hint="eastAsia"/>
        </w:rPr>
        <w:t>該部既已</w:t>
      </w:r>
      <w:proofErr w:type="gramEnd"/>
      <w:r w:rsidR="0015748C" w:rsidRPr="00BF0FC7">
        <w:rPr>
          <w:rFonts w:hint="eastAsia"/>
        </w:rPr>
        <w:t>承諾部分營區因應特性</w:t>
      </w:r>
      <w:proofErr w:type="gramStart"/>
      <w:r w:rsidR="0015748C" w:rsidRPr="00BF0FC7">
        <w:rPr>
          <w:rFonts w:hint="eastAsia"/>
        </w:rPr>
        <w:t>增驗鉛</w:t>
      </w:r>
      <w:proofErr w:type="gramEnd"/>
      <w:r w:rsidR="0015748C" w:rsidRPr="00BF0FC7">
        <w:rPr>
          <w:rFonts w:hint="eastAsia"/>
        </w:rPr>
        <w:t>、總鉻、鎘、鎳、銅、鋅等</w:t>
      </w:r>
      <w:proofErr w:type="gramStart"/>
      <w:r w:rsidR="0015748C" w:rsidRPr="00BF0FC7">
        <w:rPr>
          <w:rFonts w:hint="eastAsia"/>
        </w:rPr>
        <w:t>重金屬檢項</w:t>
      </w:r>
      <w:proofErr w:type="gramEnd"/>
      <w:r w:rsidR="0015748C" w:rsidRPr="00BF0FC7">
        <w:rPr>
          <w:rFonts w:hint="eastAsia"/>
        </w:rPr>
        <w:t>，後續應依實際執行狀況</w:t>
      </w:r>
      <w:r w:rsidR="00725BCC" w:rsidRPr="00BF0FC7">
        <w:rPr>
          <w:rFonts w:hint="eastAsia"/>
        </w:rPr>
        <w:t>確</w:t>
      </w:r>
      <w:r w:rsidR="0015748C" w:rsidRPr="00BF0FC7">
        <w:rPr>
          <w:rFonts w:hint="eastAsia"/>
        </w:rPr>
        <w:t>實</w:t>
      </w:r>
      <w:r w:rsidR="00725BCC" w:rsidRPr="00BF0FC7">
        <w:rPr>
          <w:rFonts w:hint="eastAsia"/>
        </w:rPr>
        <w:t>檢討</w:t>
      </w:r>
      <w:r w:rsidR="001677EF" w:rsidRPr="00BF0FC7">
        <w:rPr>
          <w:rFonts w:hint="eastAsia"/>
        </w:rPr>
        <w:t>，以符合法令規定</w:t>
      </w:r>
      <w:r w:rsidRPr="00BF0FC7">
        <w:t>。</w:t>
      </w:r>
      <w:bookmarkEnd w:id="112"/>
      <w:bookmarkEnd w:id="113"/>
    </w:p>
    <w:p w:rsidR="007D715D" w:rsidRPr="00BF0FC7" w:rsidRDefault="007D715D" w:rsidP="007F67EB">
      <w:pPr>
        <w:pStyle w:val="3"/>
      </w:pPr>
      <w:bookmarkStart w:id="114" w:name="_Toc138666450"/>
      <w:bookmarkStart w:id="115" w:name="_Toc140135572"/>
      <w:r w:rsidRPr="00BF0FC7">
        <w:rPr>
          <w:rFonts w:hint="eastAsia"/>
        </w:rPr>
        <w:t>綜上，</w:t>
      </w:r>
      <w:bookmarkEnd w:id="114"/>
      <w:r w:rsidR="002032C5" w:rsidRPr="00BF0FC7">
        <w:rPr>
          <w:rFonts w:hint="eastAsia"/>
        </w:rPr>
        <w:t>國防部陸軍營區放流水檢測項目計有氫離子濃度(pH</w:t>
      </w:r>
      <w:proofErr w:type="gramStart"/>
      <w:r w:rsidR="002032C5" w:rsidRPr="00BF0FC7">
        <w:rPr>
          <w:rFonts w:hint="eastAsia"/>
        </w:rPr>
        <w:t>）</w:t>
      </w:r>
      <w:proofErr w:type="gramEnd"/>
      <w:r w:rsidR="002032C5" w:rsidRPr="00BF0FC7">
        <w:rPr>
          <w:rFonts w:hint="eastAsia"/>
        </w:rPr>
        <w:t>、油脂、生化需氧量（BOD）、化學需氧量（COD）、懸浮固體（SS）、水溫及大腸桿菌群等7項目，而位處水源保護區之營區增加硼、氨氮、正磷酸鹽等3項目，屬事業廢水部分依其業別辦理檢測及申報。然國防部為實際戰備整備需求，而有將營區調整使用之情形，應預為籌</w:t>
      </w:r>
      <w:proofErr w:type="gramStart"/>
      <w:r w:rsidR="002032C5" w:rsidRPr="00BF0FC7">
        <w:rPr>
          <w:rFonts w:hint="eastAsia"/>
        </w:rPr>
        <w:t>謀並增驗</w:t>
      </w:r>
      <w:proofErr w:type="gramEnd"/>
      <w:r w:rsidR="002032C5" w:rsidRPr="00BF0FC7">
        <w:rPr>
          <w:rFonts w:hint="eastAsia"/>
        </w:rPr>
        <w:t>相關檢測項目，</w:t>
      </w:r>
      <w:proofErr w:type="gramStart"/>
      <w:r w:rsidR="002032C5" w:rsidRPr="00BF0FC7">
        <w:rPr>
          <w:rFonts w:hint="eastAsia"/>
        </w:rPr>
        <w:t>該部既已</w:t>
      </w:r>
      <w:proofErr w:type="gramEnd"/>
      <w:r w:rsidR="002032C5" w:rsidRPr="00BF0FC7">
        <w:rPr>
          <w:rFonts w:hint="eastAsia"/>
        </w:rPr>
        <w:t>承諾部分營區因應使用特性</w:t>
      </w:r>
      <w:proofErr w:type="gramStart"/>
      <w:r w:rsidR="002032C5" w:rsidRPr="00BF0FC7">
        <w:rPr>
          <w:rFonts w:hint="eastAsia"/>
        </w:rPr>
        <w:t>增驗鉛</w:t>
      </w:r>
      <w:proofErr w:type="gramEnd"/>
      <w:r w:rsidR="002032C5" w:rsidRPr="00BF0FC7">
        <w:rPr>
          <w:rFonts w:hint="eastAsia"/>
        </w:rPr>
        <w:t>、總鉻、鎘、鎳、銅、鋅等</w:t>
      </w:r>
      <w:proofErr w:type="gramStart"/>
      <w:r w:rsidR="002032C5" w:rsidRPr="00BF0FC7">
        <w:rPr>
          <w:rFonts w:hint="eastAsia"/>
        </w:rPr>
        <w:t>重金屬檢項</w:t>
      </w:r>
      <w:proofErr w:type="gramEnd"/>
      <w:r w:rsidR="002032C5" w:rsidRPr="00BF0FC7">
        <w:rPr>
          <w:rFonts w:hint="eastAsia"/>
        </w:rPr>
        <w:t>，後續應依實際執行狀況確實辦理，以符合法令規定</w:t>
      </w:r>
      <w:r w:rsidR="002032C5" w:rsidRPr="00BF0FC7">
        <w:t>。</w:t>
      </w:r>
      <w:bookmarkEnd w:id="115"/>
    </w:p>
    <w:p w:rsidR="002903F0" w:rsidRPr="00BF0FC7" w:rsidRDefault="002903F0" w:rsidP="002903F0">
      <w:pPr>
        <w:pStyle w:val="3"/>
        <w:numPr>
          <w:ilvl w:val="0"/>
          <w:numId w:val="0"/>
        </w:numPr>
        <w:ind w:left="1344"/>
      </w:pPr>
    </w:p>
    <w:p w:rsidR="00DF13C2" w:rsidRPr="00BF0FC7" w:rsidRDefault="00E223E9" w:rsidP="00774394">
      <w:pPr>
        <w:pStyle w:val="2"/>
        <w:rPr>
          <w:b/>
        </w:rPr>
      </w:pPr>
      <w:bookmarkStart w:id="116" w:name="_Toc140135573"/>
      <w:r w:rsidRPr="00BF0FC7">
        <w:rPr>
          <w:rFonts w:hint="eastAsia"/>
          <w:b/>
        </w:rPr>
        <w:t>國防部</w:t>
      </w:r>
      <w:r w:rsidR="00DF13C2" w:rsidRPr="00BF0FC7">
        <w:rPr>
          <w:rFonts w:hint="eastAsia"/>
          <w:b/>
        </w:rPr>
        <w:t>陸軍營區污水處理</w:t>
      </w:r>
      <w:r w:rsidR="00CA4A05" w:rsidRPr="00BF0FC7">
        <w:rPr>
          <w:rFonts w:hint="eastAsia"/>
          <w:b/>
        </w:rPr>
        <w:t>之</w:t>
      </w:r>
      <w:r w:rsidR="00DF13C2" w:rsidRPr="00BF0FC7">
        <w:rPr>
          <w:rFonts w:hint="eastAsia"/>
          <w:b/>
        </w:rPr>
        <w:t>放流水檢</w:t>
      </w:r>
      <w:r w:rsidR="001E4F6C" w:rsidRPr="00BF0FC7">
        <w:rPr>
          <w:rFonts w:hint="eastAsia"/>
          <w:b/>
        </w:rPr>
        <w:t>測作業</w:t>
      </w:r>
      <w:r w:rsidR="00CA4A05" w:rsidRPr="00BF0FC7">
        <w:rPr>
          <w:rFonts w:hint="eastAsia"/>
          <w:b/>
        </w:rPr>
        <w:t>，於1</w:t>
      </w:r>
      <w:r w:rsidR="00CA4A05" w:rsidRPr="00BF0FC7">
        <w:rPr>
          <w:b/>
        </w:rPr>
        <w:t>09</w:t>
      </w:r>
      <w:r w:rsidR="00CA4A05" w:rsidRPr="00BF0FC7">
        <w:rPr>
          <w:rFonts w:hint="eastAsia"/>
          <w:b/>
        </w:rPr>
        <w:t>年至1</w:t>
      </w:r>
      <w:r w:rsidR="00CA4A05" w:rsidRPr="00BF0FC7">
        <w:rPr>
          <w:b/>
        </w:rPr>
        <w:t>11</w:t>
      </w:r>
      <w:r w:rsidR="00CA4A05" w:rsidRPr="00BF0FC7">
        <w:rPr>
          <w:rFonts w:hint="eastAsia"/>
          <w:b/>
        </w:rPr>
        <w:t>年間檢測不合格率</w:t>
      </w:r>
      <w:r w:rsidR="00270AB3" w:rsidRPr="00BF0FC7">
        <w:rPr>
          <w:rFonts w:hint="eastAsia"/>
          <w:b/>
        </w:rPr>
        <w:t>（不合格數/實際檢測數）逐年增加至0.5%、8.2%、17.3%，</w:t>
      </w:r>
      <w:r w:rsidR="002032C5" w:rsidRPr="00BF0FC7">
        <w:rPr>
          <w:rFonts w:hint="eastAsia"/>
          <w:b/>
        </w:rPr>
        <w:t>由</w:t>
      </w:r>
      <w:r w:rsidR="00991DCB" w:rsidRPr="00BF0FC7">
        <w:rPr>
          <w:rFonts w:hint="eastAsia"/>
          <w:b/>
        </w:rPr>
        <w:t>檢驗</w:t>
      </w:r>
      <w:r w:rsidR="003E4875" w:rsidRPr="00BF0FC7">
        <w:rPr>
          <w:rFonts w:hint="eastAsia"/>
          <w:b/>
        </w:rPr>
        <w:t>不合格項目</w:t>
      </w:r>
      <w:r w:rsidR="00991DCB" w:rsidRPr="00BF0FC7">
        <w:rPr>
          <w:rFonts w:hint="eastAsia"/>
          <w:b/>
        </w:rPr>
        <w:t>（</w:t>
      </w:r>
      <w:r w:rsidR="003E4875" w:rsidRPr="00BF0FC7">
        <w:rPr>
          <w:rFonts w:hint="eastAsia"/>
          <w:b/>
        </w:rPr>
        <w:t>化學需氧量、生化需氧量、正磷酸鹽、油脂及氨氣等</w:t>
      </w:r>
      <w:r w:rsidR="00991DCB" w:rsidRPr="00BF0FC7">
        <w:rPr>
          <w:rFonts w:hint="eastAsia"/>
          <w:b/>
        </w:rPr>
        <w:t>）可知</w:t>
      </w:r>
      <w:r w:rsidR="00A93161" w:rsidRPr="00BF0FC7">
        <w:rPr>
          <w:rFonts w:hint="eastAsia"/>
          <w:b/>
        </w:rPr>
        <w:t>，</w:t>
      </w:r>
      <w:r w:rsidR="00157C03" w:rsidRPr="00BF0FC7">
        <w:rPr>
          <w:rFonts w:hint="eastAsia"/>
          <w:b/>
        </w:rPr>
        <w:t>係</w:t>
      </w:r>
      <w:r w:rsidR="00991DCB" w:rsidRPr="00BF0FC7">
        <w:rPr>
          <w:rFonts w:hint="eastAsia"/>
          <w:b/>
        </w:rPr>
        <w:t>肇因於油水分離槽清理未落實、水溝淤積未清理、污水處理設施未定期添加藥劑等</w:t>
      </w:r>
      <w:r w:rsidR="00C970BB" w:rsidRPr="00BF0FC7">
        <w:rPr>
          <w:rFonts w:hint="eastAsia"/>
          <w:b/>
        </w:rPr>
        <w:t>作業未盡確實</w:t>
      </w:r>
      <w:r w:rsidR="00C609C6" w:rsidRPr="00BF0FC7">
        <w:rPr>
          <w:rFonts w:hint="eastAsia"/>
          <w:b/>
        </w:rPr>
        <w:t>，</w:t>
      </w:r>
      <w:r w:rsidR="00CA4A05" w:rsidRPr="00BF0FC7">
        <w:rPr>
          <w:rFonts w:hint="eastAsia"/>
          <w:b/>
        </w:rPr>
        <w:t>雖經</w:t>
      </w:r>
      <w:proofErr w:type="gramStart"/>
      <w:r w:rsidR="00CA4A05" w:rsidRPr="00BF0FC7">
        <w:rPr>
          <w:rFonts w:hint="eastAsia"/>
          <w:b/>
        </w:rPr>
        <w:t>複</w:t>
      </w:r>
      <w:proofErr w:type="gramEnd"/>
      <w:r w:rsidR="00CA4A05" w:rsidRPr="00BF0FC7">
        <w:rPr>
          <w:rFonts w:hint="eastAsia"/>
          <w:b/>
        </w:rPr>
        <w:t>檢合格，</w:t>
      </w:r>
      <w:r w:rsidR="003E4875" w:rsidRPr="00BF0FC7">
        <w:rPr>
          <w:rFonts w:hint="eastAsia"/>
          <w:b/>
        </w:rPr>
        <w:t>然</w:t>
      </w:r>
      <w:r w:rsidR="00C609C6" w:rsidRPr="00BF0FC7">
        <w:rPr>
          <w:rFonts w:hint="eastAsia"/>
          <w:b/>
        </w:rPr>
        <w:t>此</w:t>
      </w:r>
      <w:proofErr w:type="gramStart"/>
      <w:r w:rsidR="00BD4A78" w:rsidRPr="00BF0FC7">
        <w:rPr>
          <w:rFonts w:hint="eastAsia"/>
          <w:b/>
        </w:rPr>
        <w:t>凸</w:t>
      </w:r>
      <w:proofErr w:type="gramEnd"/>
      <w:r w:rsidR="00BD4A78" w:rsidRPr="00BF0FC7">
        <w:rPr>
          <w:rFonts w:hint="eastAsia"/>
          <w:b/>
        </w:rPr>
        <w:t>顯陸軍營區未落實污水處理設施之維護</w:t>
      </w:r>
      <w:r w:rsidR="002E52FD" w:rsidRPr="00BF0FC7">
        <w:rPr>
          <w:rFonts w:hint="eastAsia"/>
          <w:b/>
        </w:rPr>
        <w:t>管理</w:t>
      </w:r>
      <w:r w:rsidR="00BD4A78" w:rsidRPr="00BF0FC7">
        <w:rPr>
          <w:rFonts w:hint="eastAsia"/>
          <w:b/>
        </w:rPr>
        <w:t>及操作</w:t>
      </w:r>
      <w:r w:rsidR="001E4F6C" w:rsidRPr="00BF0FC7">
        <w:rPr>
          <w:rFonts w:hint="eastAsia"/>
          <w:b/>
        </w:rPr>
        <w:t>，</w:t>
      </w:r>
      <w:r w:rsidR="00B7522D" w:rsidRPr="00BF0FC7">
        <w:rPr>
          <w:rFonts w:hint="eastAsia"/>
          <w:b/>
        </w:rPr>
        <w:t>已有污染環境之虞，</w:t>
      </w:r>
      <w:r w:rsidR="00740FC7" w:rsidRPr="00BF0FC7">
        <w:rPr>
          <w:rFonts w:hint="eastAsia"/>
          <w:b/>
        </w:rPr>
        <w:t>亟待檢討改進。</w:t>
      </w:r>
      <w:bookmarkEnd w:id="116"/>
    </w:p>
    <w:p w:rsidR="00540039" w:rsidRPr="00BF0FC7" w:rsidRDefault="00650DA4" w:rsidP="00774394">
      <w:pPr>
        <w:pStyle w:val="3"/>
      </w:pPr>
      <w:bookmarkStart w:id="117" w:name="_Toc138666452"/>
      <w:bookmarkStart w:id="118" w:name="_Toc140135574"/>
      <w:r w:rsidRPr="00BF0FC7">
        <w:rPr>
          <w:rFonts w:hint="eastAsia"/>
        </w:rPr>
        <w:t>依</w:t>
      </w:r>
      <w:r w:rsidR="00540039" w:rsidRPr="00BF0FC7">
        <w:rPr>
          <w:rFonts w:hint="eastAsia"/>
        </w:rPr>
        <w:t>國軍營區污水下水道接管與放流水檢測</w:t>
      </w:r>
      <w:r w:rsidR="009827A8" w:rsidRPr="00BF0FC7">
        <w:rPr>
          <w:rFonts w:hint="eastAsia"/>
        </w:rPr>
        <w:t>綱要</w:t>
      </w:r>
      <w:r w:rsidR="00540039" w:rsidRPr="00BF0FC7">
        <w:rPr>
          <w:rFonts w:hint="eastAsia"/>
        </w:rPr>
        <w:t>計畫</w:t>
      </w:r>
      <w:r w:rsidR="00E223E9" w:rsidRPr="00BF0FC7">
        <w:rPr>
          <w:rFonts w:hint="eastAsia"/>
        </w:rPr>
        <w:lastRenderedPageBreak/>
        <w:t>指出，</w:t>
      </w:r>
      <w:r w:rsidRPr="00BF0FC7">
        <w:rPr>
          <w:rFonts w:hint="eastAsia"/>
        </w:rPr>
        <w:t>配合國家環保政策落實國軍環保工作，強化軍事營區污水下水道接管作業與放流水監測，以維護國軍營區及周邊環境品質。</w:t>
      </w:r>
      <w:proofErr w:type="gramStart"/>
      <w:r w:rsidRPr="00BF0FC7">
        <w:rPr>
          <w:rFonts w:hint="eastAsia"/>
        </w:rPr>
        <w:t>次依</w:t>
      </w:r>
      <w:r w:rsidR="00E223E9" w:rsidRPr="00BF0FC7">
        <w:rPr>
          <w:rFonts w:hint="eastAsia"/>
        </w:rPr>
        <w:t>陸</w:t>
      </w:r>
      <w:r w:rsidR="00540039" w:rsidRPr="00BF0FC7">
        <w:rPr>
          <w:rFonts w:hint="eastAsia"/>
        </w:rPr>
        <w:t>軍司令部</w:t>
      </w:r>
      <w:proofErr w:type="gramEnd"/>
      <w:r w:rsidR="00540039" w:rsidRPr="00BF0FC7">
        <w:rPr>
          <w:rFonts w:hint="eastAsia"/>
        </w:rPr>
        <w:t>營區污水下水道接管與放流水檢測實施計畫</w:t>
      </w:r>
      <w:r w:rsidR="00E223E9" w:rsidRPr="00BF0FC7">
        <w:rPr>
          <w:rFonts w:hint="eastAsia"/>
        </w:rPr>
        <w:t>目的為</w:t>
      </w:r>
      <w:r w:rsidR="00E223E9" w:rsidRPr="00BF0FC7">
        <w:t>1</w:t>
      </w:r>
      <w:r w:rsidR="00E223E9" w:rsidRPr="00BF0FC7">
        <w:rPr>
          <w:rFonts w:hint="eastAsia"/>
        </w:rPr>
        <w:t>、</w:t>
      </w:r>
      <w:r w:rsidR="00540039" w:rsidRPr="00BF0FC7">
        <w:rPr>
          <w:rFonts w:hint="eastAsia"/>
        </w:rPr>
        <w:t>促進都市計畫地區及指定地區下水道之建設與管理，以保護水域水質</w:t>
      </w:r>
      <w:r w:rsidR="00E223E9" w:rsidRPr="00BF0FC7">
        <w:rPr>
          <w:rFonts w:hint="eastAsia"/>
        </w:rPr>
        <w:t>。2、</w:t>
      </w:r>
      <w:r w:rsidR="00540039" w:rsidRPr="00BF0FC7">
        <w:rPr>
          <w:rFonts w:hint="eastAsia"/>
        </w:rPr>
        <w:t>防治水污染，確保水資源之清潔，維護生態體系，改善生活環境，增進官兵健康</w:t>
      </w:r>
      <w:r w:rsidR="00E223E9" w:rsidRPr="00BF0FC7">
        <w:rPr>
          <w:rFonts w:hint="eastAsia"/>
        </w:rPr>
        <w:t>。3、</w:t>
      </w:r>
      <w:r w:rsidR="00540039" w:rsidRPr="00BF0FC7">
        <w:rPr>
          <w:rFonts w:hint="eastAsia"/>
        </w:rPr>
        <w:t>符合法律規範，避免肇生污染案件遭民眾</w:t>
      </w:r>
      <w:proofErr w:type="gramStart"/>
      <w:r w:rsidR="00540039" w:rsidRPr="00BF0FC7">
        <w:rPr>
          <w:rFonts w:hint="eastAsia"/>
        </w:rPr>
        <w:t>陳抗或</w:t>
      </w:r>
      <w:proofErr w:type="gramEnd"/>
      <w:r w:rsidR="00540039" w:rsidRPr="00BF0FC7">
        <w:rPr>
          <w:rFonts w:hint="eastAsia"/>
        </w:rPr>
        <w:t>主管機關糾</w:t>
      </w:r>
      <w:proofErr w:type="gramStart"/>
      <w:r w:rsidR="00540039" w:rsidRPr="00BF0FC7">
        <w:rPr>
          <w:rFonts w:hint="eastAsia"/>
        </w:rPr>
        <w:t>舉開罰</w:t>
      </w:r>
      <w:proofErr w:type="gramEnd"/>
      <w:r w:rsidR="00540039" w:rsidRPr="00BF0FC7">
        <w:rPr>
          <w:rFonts w:hint="eastAsia"/>
        </w:rPr>
        <w:t>。</w:t>
      </w:r>
      <w:bookmarkEnd w:id="117"/>
      <w:bookmarkEnd w:id="118"/>
    </w:p>
    <w:p w:rsidR="00E223E9" w:rsidRPr="00BF0FC7" w:rsidRDefault="00E223E9" w:rsidP="00540039">
      <w:pPr>
        <w:pStyle w:val="3"/>
      </w:pPr>
      <w:bookmarkStart w:id="119" w:name="_Toc138666453"/>
      <w:bookmarkStart w:id="120" w:name="_Toc140135575"/>
      <w:r w:rsidRPr="00BF0FC7">
        <w:rPr>
          <w:rFonts w:hint="eastAsia"/>
          <w:b/>
        </w:rPr>
        <w:t>據審計部</w:t>
      </w:r>
      <w:proofErr w:type="gramStart"/>
      <w:r w:rsidRPr="00BF0FC7">
        <w:rPr>
          <w:rFonts w:hint="eastAsia"/>
          <w:b/>
        </w:rPr>
        <w:t>110</w:t>
      </w:r>
      <w:proofErr w:type="gramEnd"/>
      <w:r w:rsidRPr="00BF0FC7">
        <w:rPr>
          <w:rFonts w:hint="eastAsia"/>
          <w:b/>
        </w:rPr>
        <w:t>年度中央政府總決算審核報告指出</w:t>
      </w:r>
      <w:r w:rsidRPr="00BF0FC7">
        <w:rPr>
          <w:rFonts w:hint="eastAsia"/>
        </w:rPr>
        <w:t>，經查陸軍33個營區水質檢測報告，發現陸軍馬祖防衛指揮部（下稱馬防部）位處水源保護區之營區</w:t>
      </w:r>
      <w:proofErr w:type="gramStart"/>
      <w:r w:rsidRPr="00BF0FC7">
        <w:rPr>
          <w:rFonts w:hint="eastAsia"/>
        </w:rPr>
        <w:t>有津沙北</w:t>
      </w:r>
      <w:proofErr w:type="gramEnd"/>
      <w:r w:rsidRPr="00BF0FC7">
        <w:rPr>
          <w:rFonts w:hint="eastAsia"/>
        </w:rPr>
        <w:t>、天馬、</w:t>
      </w:r>
      <w:proofErr w:type="gramStart"/>
      <w:r w:rsidRPr="00BF0FC7">
        <w:rPr>
          <w:rFonts w:hint="eastAsia"/>
        </w:rPr>
        <w:t>雲台山</w:t>
      </w:r>
      <w:proofErr w:type="gramEnd"/>
      <w:r w:rsidRPr="00BF0FC7">
        <w:rPr>
          <w:rFonts w:hint="eastAsia"/>
        </w:rPr>
        <w:t>、虎踞南、204據點、下志清、</w:t>
      </w:r>
      <w:proofErr w:type="gramStart"/>
      <w:r w:rsidRPr="00BF0FC7">
        <w:rPr>
          <w:rFonts w:hint="eastAsia"/>
        </w:rPr>
        <w:t>雲台山莊</w:t>
      </w:r>
      <w:proofErr w:type="gramEnd"/>
      <w:r w:rsidRPr="00BF0FC7">
        <w:rPr>
          <w:rFonts w:hint="eastAsia"/>
        </w:rPr>
        <w:t>、及忠貞一等8個營區，於110年9月期間依序進行放流水檢測，依水質檢測報告顯示，</w:t>
      </w:r>
      <w:proofErr w:type="gramStart"/>
      <w:r w:rsidRPr="00BF0FC7">
        <w:rPr>
          <w:rFonts w:hint="eastAsia"/>
        </w:rPr>
        <w:t>僅天馬及雲台山</w:t>
      </w:r>
      <w:proofErr w:type="gramEnd"/>
      <w:r w:rsidRPr="00BF0FC7">
        <w:rPr>
          <w:rFonts w:hint="eastAsia"/>
        </w:rPr>
        <w:t>營區於所有檢測項目符合標準（忠貞</w:t>
      </w:r>
      <w:proofErr w:type="gramStart"/>
      <w:r w:rsidRPr="00BF0FC7">
        <w:rPr>
          <w:rFonts w:hint="eastAsia"/>
        </w:rPr>
        <w:t>一</w:t>
      </w:r>
      <w:proofErr w:type="gramEnd"/>
      <w:r w:rsidRPr="00BF0FC7">
        <w:rPr>
          <w:rFonts w:hint="eastAsia"/>
        </w:rPr>
        <w:t>有效水量不足而未進行檢測），其餘營區分別有化學需氧量、生化需氧量、正磷酸鹽、油脂及氨氣等檢驗項目不合格，於110年12月再次</w:t>
      </w:r>
      <w:proofErr w:type="gramStart"/>
      <w:r w:rsidRPr="00BF0FC7">
        <w:rPr>
          <w:rFonts w:hint="eastAsia"/>
        </w:rPr>
        <w:t>複</w:t>
      </w:r>
      <w:proofErr w:type="gramEnd"/>
      <w:r w:rsidRPr="00BF0FC7">
        <w:rPr>
          <w:rFonts w:hint="eastAsia"/>
        </w:rPr>
        <w:t>檢，</w:t>
      </w:r>
      <w:proofErr w:type="gramStart"/>
      <w:r w:rsidRPr="00BF0FC7">
        <w:rPr>
          <w:rFonts w:hint="eastAsia"/>
        </w:rPr>
        <w:t>其中津沙北</w:t>
      </w:r>
      <w:proofErr w:type="gramEnd"/>
      <w:r w:rsidRPr="00BF0FC7">
        <w:rPr>
          <w:rFonts w:hint="eastAsia"/>
        </w:rPr>
        <w:t>及天馬營區的油脂檢驗值分別為15.8及19.9mg/L，仍超過最大限值10mg/L，恐污染水源保護區及遭地方環保局依水污染防治法第58條處罰之疑慮，經函請陸軍司令部</w:t>
      </w:r>
      <w:proofErr w:type="gramStart"/>
      <w:r w:rsidRPr="00BF0FC7">
        <w:rPr>
          <w:rFonts w:hint="eastAsia"/>
        </w:rPr>
        <w:t>檢討妥處</w:t>
      </w:r>
      <w:proofErr w:type="gramEnd"/>
      <w:r w:rsidRPr="00BF0FC7">
        <w:rPr>
          <w:rFonts w:hint="eastAsia"/>
        </w:rPr>
        <w:t>，以確保飲用水品質。</w:t>
      </w:r>
      <w:bookmarkEnd w:id="119"/>
      <w:bookmarkEnd w:id="120"/>
    </w:p>
    <w:p w:rsidR="009C6551" w:rsidRPr="00BF0FC7" w:rsidRDefault="00E223E9" w:rsidP="00774394">
      <w:pPr>
        <w:pStyle w:val="3"/>
      </w:pPr>
      <w:bookmarkStart w:id="121" w:name="_Toc138666454"/>
      <w:bookmarkStart w:id="122" w:name="_Toc140135576"/>
      <w:r w:rsidRPr="00BF0FC7">
        <w:rPr>
          <w:rFonts w:hint="eastAsia"/>
        </w:rPr>
        <w:t>據國防部查復，</w:t>
      </w:r>
      <w:r w:rsidR="009C6551" w:rsidRPr="00BF0FC7">
        <w:rPr>
          <w:rFonts w:hint="eastAsia"/>
        </w:rPr>
        <w:t>陸軍司令部各營區放流水檢測結果及檢測不合格之改善作為</w:t>
      </w:r>
      <w:r w:rsidR="007C55F9" w:rsidRPr="00BF0FC7">
        <w:rPr>
          <w:rFonts w:hint="eastAsia"/>
        </w:rPr>
        <w:t>：</w:t>
      </w:r>
      <w:bookmarkEnd w:id="121"/>
      <w:bookmarkEnd w:id="122"/>
    </w:p>
    <w:p w:rsidR="009C6551" w:rsidRPr="00BF0FC7" w:rsidRDefault="009C6551" w:rsidP="009C6551">
      <w:pPr>
        <w:pStyle w:val="4"/>
      </w:pPr>
      <w:r w:rsidRPr="00BF0FC7">
        <w:rPr>
          <w:rFonts w:hint="eastAsia"/>
          <w:b/>
        </w:rPr>
        <w:t>陸軍司令部各營區</w:t>
      </w:r>
      <w:r w:rsidRPr="00BF0FC7">
        <w:rPr>
          <w:rFonts w:hint="eastAsia"/>
        </w:rPr>
        <w:t>109至111年對各營區實施一般放流水檢測，並按檢測結果逐年滾動修調檢測管制作法，自110年起另依審計部109年查核指導事項增驗大腸桿菌群及水溫及位處水源保護區營區檢測項目，自主檢測管制放流水，並根據檢測結</w:t>
      </w:r>
      <w:r w:rsidRPr="00BF0FC7">
        <w:rPr>
          <w:rFonts w:hint="eastAsia"/>
        </w:rPr>
        <w:lastRenderedPageBreak/>
        <w:t>果，進行污染防治。各營區放流水檢測成果統計表(含</w:t>
      </w:r>
      <w:proofErr w:type="gramStart"/>
      <w:r w:rsidRPr="00BF0FC7">
        <w:rPr>
          <w:rFonts w:hint="eastAsia"/>
        </w:rPr>
        <w:t>複</w:t>
      </w:r>
      <w:proofErr w:type="gramEnd"/>
      <w:r w:rsidRPr="00BF0FC7">
        <w:rPr>
          <w:rFonts w:hint="eastAsia"/>
        </w:rPr>
        <w:t>測</w:t>
      </w:r>
      <w:proofErr w:type="gramStart"/>
      <w:r w:rsidRPr="00BF0FC7">
        <w:rPr>
          <w:rFonts w:hint="eastAsia"/>
        </w:rPr>
        <w:t>）</w:t>
      </w:r>
      <w:proofErr w:type="gramEnd"/>
      <w:r w:rsidRPr="00BF0FC7">
        <w:rPr>
          <w:rFonts w:hint="eastAsia"/>
        </w:rPr>
        <w:t>成果如</w:t>
      </w:r>
      <w:r w:rsidR="00E223E9" w:rsidRPr="00BF0FC7">
        <w:rPr>
          <w:rFonts w:hint="eastAsia"/>
        </w:rPr>
        <w:t>下</w:t>
      </w:r>
      <w:r w:rsidRPr="00BF0FC7">
        <w:rPr>
          <w:rFonts w:hint="eastAsia"/>
        </w:rPr>
        <w:t>表。因未有針對「建築物污水處理設施」檢測申報項目及檢測頻率之相關規定，</w:t>
      </w:r>
      <w:proofErr w:type="gramStart"/>
      <w:r w:rsidRPr="00BF0FC7">
        <w:rPr>
          <w:rFonts w:hint="eastAsia"/>
        </w:rPr>
        <w:t>爰</w:t>
      </w:r>
      <w:proofErr w:type="gramEnd"/>
      <w:r w:rsidRPr="00BF0FC7">
        <w:rPr>
          <w:rFonts w:hint="eastAsia"/>
        </w:rPr>
        <w:t>參考「事業或污水下水道系統檢測申報項目及檢測頻率」規定，實施自主檢測管理，並針對檢測不合格項目</w:t>
      </w:r>
      <w:proofErr w:type="gramStart"/>
      <w:r w:rsidRPr="00BF0FC7">
        <w:rPr>
          <w:rFonts w:hint="eastAsia"/>
        </w:rPr>
        <w:t>採</w:t>
      </w:r>
      <w:proofErr w:type="gramEnd"/>
      <w:r w:rsidRPr="00BF0FC7">
        <w:rPr>
          <w:rFonts w:hint="eastAsia"/>
        </w:rPr>
        <w:t>自主改善及</w:t>
      </w:r>
      <w:proofErr w:type="gramStart"/>
      <w:r w:rsidRPr="00BF0FC7">
        <w:rPr>
          <w:rFonts w:hint="eastAsia"/>
        </w:rPr>
        <w:t>複</w:t>
      </w:r>
      <w:proofErr w:type="gramEnd"/>
      <w:r w:rsidRPr="00BF0FC7">
        <w:rPr>
          <w:rFonts w:hint="eastAsia"/>
        </w:rPr>
        <w:t>檢，先期預警防處；</w:t>
      </w:r>
      <w:proofErr w:type="gramStart"/>
      <w:r w:rsidRPr="00BF0FC7">
        <w:rPr>
          <w:rFonts w:hint="eastAsia"/>
        </w:rPr>
        <w:t>近年無未符放</w:t>
      </w:r>
      <w:proofErr w:type="gramEnd"/>
      <w:r w:rsidRPr="00BF0FC7">
        <w:rPr>
          <w:rFonts w:hint="eastAsia"/>
        </w:rPr>
        <w:t>流水標準遭地方環保局依水污染防治法處罰之情事。</w:t>
      </w:r>
    </w:p>
    <w:p w:rsidR="009C6551" w:rsidRPr="00BF0FC7" w:rsidRDefault="009C6551" w:rsidP="00E223E9">
      <w:pPr>
        <w:pStyle w:val="a3"/>
        <w:numPr>
          <w:ilvl w:val="0"/>
          <w:numId w:val="0"/>
        </w:numPr>
        <w:ind w:left="426" w:hanging="480"/>
        <w:rPr>
          <w:b/>
        </w:rPr>
      </w:pPr>
      <w:r w:rsidRPr="00BF0FC7">
        <w:rPr>
          <w:b/>
        </w:rPr>
        <w:t>陸軍司令部</w:t>
      </w:r>
      <w:r w:rsidRPr="00BF0FC7">
        <w:rPr>
          <w:rFonts w:hint="eastAsia"/>
          <w:b/>
        </w:rPr>
        <w:t>各營區</w:t>
      </w:r>
      <w:r w:rsidRPr="00BF0FC7">
        <w:rPr>
          <w:b/>
        </w:rPr>
        <w:t>109-111年</w:t>
      </w:r>
      <w:r w:rsidRPr="00BF0FC7">
        <w:rPr>
          <w:rFonts w:hint="eastAsia"/>
          <w:b/>
        </w:rPr>
        <w:t>放流水檢測成果統計表</w:t>
      </w:r>
    </w:p>
    <w:tbl>
      <w:tblPr>
        <w:tblStyle w:val="af7"/>
        <w:tblW w:w="8901" w:type="dxa"/>
        <w:jc w:val="center"/>
        <w:tblLook w:val="04A0" w:firstRow="1" w:lastRow="0" w:firstColumn="1" w:lastColumn="0" w:noHBand="0" w:noVBand="1"/>
      </w:tblPr>
      <w:tblGrid>
        <w:gridCol w:w="886"/>
        <w:gridCol w:w="1016"/>
        <w:gridCol w:w="921"/>
        <w:gridCol w:w="957"/>
        <w:gridCol w:w="956"/>
        <w:gridCol w:w="1188"/>
        <w:gridCol w:w="921"/>
        <w:gridCol w:w="1206"/>
        <w:gridCol w:w="850"/>
      </w:tblGrid>
      <w:tr w:rsidR="00BF0FC7" w:rsidRPr="00BF0FC7" w:rsidTr="00EC0934">
        <w:trPr>
          <w:tblHeader/>
          <w:jc w:val="center"/>
        </w:trPr>
        <w:tc>
          <w:tcPr>
            <w:tcW w:w="88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年度</w:t>
            </w:r>
          </w:p>
        </w:tc>
        <w:tc>
          <w:tcPr>
            <w:tcW w:w="101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應檢</w:t>
            </w:r>
          </w:p>
          <w:p w:rsidR="009C6551" w:rsidRPr="00BF0FC7" w:rsidRDefault="009C6551" w:rsidP="00EC0934">
            <w:pPr>
              <w:pStyle w:val="aff0"/>
              <w:overflowPunct w:val="0"/>
              <w:snapToGrid w:val="0"/>
              <w:jc w:val="center"/>
              <w:rPr>
                <w:rFonts w:ascii="標楷體" w:eastAsia="標楷體" w:hAnsi="標楷體"/>
                <w:spacing w:val="-6"/>
                <w:sz w:val="28"/>
                <w:szCs w:val="28"/>
              </w:rPr>
            </w:pPr>
            <w:proofErr w:type="gramStart"/>
            <w:r w:rsidRPr="00BF0FC7">
              <w:rPr>
                <w:rFonts w:ascii="標楷體" w:eastAsia="標楷體" w:hAnsi="標楷體"/>
                <w:spacing w:val="-6"/>
                <w:sz w:val="28"/>
                <w:szCs w:val="28"/>
              </w:rPr>
              <w:t>測數</w:t>
            </w:r>
            <w:proofErr w:type="gramEnd"/>
          </w:p>
        </w:tc>
        <w:tc>
          <w:tcPr>
            <w:tcW w:w="921"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無法</w:t>
            </w:r>
          </w:p>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檢測</w:t>
            </w:r>
          </w:p>
        </w:tc>
        <w:tc>
          <w:tcPr>
            <w:tcW w:w="957"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實際</w:t>
            </w:r>
          </w:p>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檢測</w:t>
            </w:r>
          </w:p>
        </w:tc>
        <w:tc>
          <w:tcPr>
            <w:tcW w:w="95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合格</w:t>
            </w:r>
          </w:p>
        </w:tc>
        <w:tc>
          <w:tcPr>
            <w:tcW w:w="1188"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不合格</w:t>
            </w:r>
          </w:p>
        </w:tc>
        <w:tc>
          <w:tcPr>
            <w:tcW w:w="921"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proofErr w:type="gramStart"/>
            <w:r w:rsidRPr="00BF0FC7">
              <w:rPr>
                <w:rFonts w:ascii="標楷體" w:eastAsia="標楷體" w:hAnsi="標楷體"/>
                <w:spacing w:val="-6"/>
                <w:sz w:val="28"/>
                <w:szCs w:val="28"/>
              </w:rPr>
              <w:t>複</w:t>
            </w:r>
            <w:proofErr w:type="gramEnd"/>
            <w:r w:rsidRPr="00BF0FC7">
              <w:rPr>
                <w:rFonts w:ascii="標楷體" w:eastAsia="標楷體" w:hAnsi="標楷體"/>
                <w:spacing w:val="-6"/>
                <w:sz w:val="28"/>
                <w:szCs w:val="28"/>
              </w:rPr>
              <w:t>檢</w:t>
            </w:r>
          </w:p>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合格</w:t>
            </w:r>
          </w:p>
        </w:tc>
        <w:tc>
          <w:tcPr>
            <w:tcW w:w="120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合格率</w:t>
            </w:r>
          </w:p>
        </w:tc>
        <w:tc>
          <w:tcPr>
            <w:tcW w:w="850"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不合格數</w:t>
            </w:r>
          </w:p>
        </w:tc>
      </w:tr>
      <w:tr w:rsidR="00BF0FC7" w:rsidRPr="00BF0FC7" w:rsidTr="00EC0934">
        <w:trPr>
          <w:jc w:val="center"/>
        </w:trPr>
        <w:tc>
          <w:tcPr>
            <w:tcW w:w="88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109</w:t>
            </w:r>
          </w:p>
        </w:tc>
        <w:tc>
          <w:tcPr>
            <w:tcW w:w="101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200</w:t>
            </w:r>
          </w:p>
        </w:tc>
        <w:tc>
          <w:tcPr>
            <w:tcW w:w="921"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0</w:t>
            </w:r>
          </w:p>
        </w:tc>
        <w:tc>
          <w:tcPr>
            <w:tcW w:w="957"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200</w:t>
            </w:r>
          </w:p>
        </w:tc>
        <w:tc>
          <w:tcPr>
            <w:tcW w:w="95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199</w:t>
            </w:r>
          </w:p>
        </w:tc>
        <w:tc>
          <w:tcPr>
            <w:tcW w:w="1188"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1</w:t>
            </w:r>
          </w:p>
        </w:tc>
        <w:tc>
          <w:tcPr>
            <w:tcW w:w="921"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1</w:t>
            </w:r>
          </w:p>
        </w:tc>
        <w:tc>
          <w:tcPr>
            <w:tcW w:w="120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100%</w:t>
            </w:r>
          </w:p>
        </w:tc>
        <w:tc>
          <w:tcPr>
            <w:tcW w:w="850"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0</w:t>
            </w:r>
          </w:p>
        </w:tc>
      </w:tr>
      <w:tr w:rsidR="00BF0FC7" w:rsidRPr="00BF0FC7" w:rsidTr="00EC0934">
        <w:trPr>
          <w:jc w:val="center"/>
        </w:trPr>
        <w:tc>
          <w:tcPr>
            <w:tcW w:w="88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110</w:t>
            </w:r>
          </w:p>
        </w:tc>
        <w:tc>
          <w:tcPr>
            <w:tcW w:w="101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312</w:t>
            </w:r>
          </w:p>
        </w:tc>
        <w:tc>
          <w:tcPr>
            <w:tcW w:w="921"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31</w:t>
            </w:r>
          </w:p>
        </w:tc>
        <w:tc>
          <w:tcPr>
            <w:tcW w:w="957"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281</w:t>
            </w:r>
          </w:p>
        </w:tc>
        <w:tc>
          <w:tcPr>
            <w:tcW w:w="95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258</w:t>
            </w:r>
          </w:p>
        </w:tc>
        <w:tc>
          <w:tcPr>
            <w:tcW w:w="1188"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23</w:t>
            </w:r>
          </w:p>
        </w:tc>
        <w:tc>
          <w:tcPr>
            <w:tcW w:w="921"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16</w:t>
            </w:r>
          </w:p>
        </w:tc>
        <w:tc>
          <w:tcPr>
            <w:tcW w:w="120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98%</w:t>
            </w:r>
          </w:p>
        </w:tc>
        <w:tc>
          <w:tcPr>
            <w:tcW w:w="850"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7</w:t>
            </w:r>
          </w:p>
        </w:tc>
      </w:tr>
      <w:tr w:rsidR="00BF0FC7" w:rsidRPr="00BF0FC7" w:rsidTr="00EC0934">
        <w:trPr>
          <w:jc w:val="center"/>
        </w:trPr>
        <w:tc>
          <w:tcPr>
            <w:tcW w:w="88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111</w:t>
            </w:r>
          </w:p>
        </w:tc>
        <w:tc>
          <w:tcPr>
            <w:tcW w:w="101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296</w:t>
            </w:r>
          </w:p>
        </w:tc>
        <w:tc>
          <w:tcPr>
            <w:tcW w:w="921"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18</w:t>
            </w:r>
          </w:p>
        </w:tc>
        <w:tc>
          <w:tcPr>
            <w:tcW w:w="957"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278</w:t>
            </w:r>
          </w:p>
        </w:tc>
        <w:tc>
          <w:tcPr>
            <w:tcW w:w="95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230</w:t>
            </w:r>
          </w:p>
        </w:tc>
        <w:tc>
          <w:tcPr>
            <w:tcW w:w="1188"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48</w:t>
            </w:r>
          </w:p>
        </w:tc>
        <w:tc>
          <w:tcPr>
            <w:tcW w:w="921"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hint="eastAsia"/>
                <w:spacing w:val="-6"/>
                <w:sz w:val="28"/>
                <w:szCs w:val="28"/>
              </w:rPr>
              <w:t>4</w:t>
            </w:r>
            <w:r w:rsidRPr="00BF0FC7">
              <w:rPr>
                <w:rFonts w:ascii="標楷體" w:eastAsia="標楷體" w:hAnsi="標楷體"/>
                <w:spacing w:val="-6"/>
                <w:sz w:val="28"/>
                <w:szCs w:val="28"/>
              </w:rPr>
              <w:t>8</w:t>
            </w:r>
          </w:p>
        </w:tc>
        <w:tc>
          <w:tcPr>
            <w:tcW w:w="1206"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100%</w:t>
            </w:r>
          </w:p>
        </w:tc>
        <w:tc>
          <w:tcPr>
            <w:tcW w:w="850" w:type="dxa"/>
            <w:vAlign w:val="center"/>
          </w:tcPr>
          <w:p w:rsidR="009C6551" w:rsidRPr="00BF0FC7" w:rsidRDefault="009C6551" w:rsidP="00EC0934">
            <w:pPr>
              <w:pStyle w:val="aff0"/>
              <w:overflowPunct w:val="0"/>
              <w:snapToGrid w:val="0"/>
              <w:jc w:val="center"/>
              <w:rPr>
                <w:rFonts w:ascii="標楷體" w:eastAsia="標楷體" w:hAnsi="標楷體"/>
                <w:spacing w:val="-6"/>
                <w:sz w:val="28"/>
                <w:szCs w:val="28"/>
              </w:rPr>
            </w:pPr>
            <w:r w:rsidRPr="00BF0FC7">
              <w:rPr>
                <w:rFonts w:ascii="標楷體" w:eastAsia="標楷體" w:hAnsi="標楷體"/>
                <w:spacing w:val="-6"/>
                <w:sz w:val="28"/>
                <w:szCs w:val="28"/>
              </w:rPr>
              <w:t>0</w:t>
            </w:r>
          </w:p>
        </w:tc>
      </w:tr>
    </w:tbl>
    <w:p w:rsidR="009C6551" w:rsidRPr="00BF0FC7" w:rsidRDefault="009C6551" w:rsidP="009C6551">
      <w:pPr>
        <w:snapToGrid w:val="0"/>
        <w:rPr>
          <w:sz w:val="24"/>
          <w:szCs w:val="24"/>
        </w:rPr>
      </w:pPr>
      <w:r w:rsidRPr="00BF0FC7">
        <w:rPr>
          <w:rFonts w:hint="eastAsia"/>
          <w:sz w:val="24"/>
          <w:szCs w:val="24"/>
        </w:rPr>
        <w:t>備註：</w:t>
      </w:r>
    </w:p>
    <w:p w:rsidR="009C6551" w:rsidRPr="00BF0FC7" w:rsidRDefault="009C6551" w:rsidP="009C6551">
      <w:pPr>
        <w:snapToGrid w:val="0"/>
        <w:ind w:left="284" w:hangingChars="109" w:hanging="284"/>
        <w:rPr>
          <w:sz w:val="24"/>
          <w:szCs w:val="24"/>
        </w:rPr>
      </w:pPr>
      <w:r w:rsidRPr="00BF0FC7">
        <w:rPr>
          <w:rFonts w:hint="eastAsia"/>
          <w:sz w:val="24"/>
          <w:szCs w:val="24"/>
        </w:rPr>
        <w:t>1.110年7處不合格</w:t>
      </w:r>
      <w:proofErr w:type="gramStart"/>
      <w:r w:rsidRPr="00BF0FC7">
        <w:rPr>
          <w:rFonts w:hint="eastAsia"/>
          <w:sz w:val="24"/>
          <w:szCs w:val="24"/>
        </w:rPr>
        <w:t>囿</w:t>
      </w:r>
      <w:proofErr w:type="gramEnd"/>
      <w:r w:rsidRPr="00BF0FC7">
        <w:rPr>
          <w:rFonts w:hint="eastAsia"/>
          <w:sz w:val="24"/>
          <w:szCs w:val="24"/>
        </w:rPr>
        <w:t>於地理位置招商不易，</w:t>
      </w:r>
      <w:proofErr w:type="gramStart"/>
      <w:r w:rsidRPr="00BF0FC7">
        <w:rPr>
          <w:rFonts w:hint="eastAsia"/>
          <w:sz w:val="24"/>
          <w:szCs w:val="24"/>
        </w:rPr>
        <w:t>採</w:t>
      </w:r>
      <w:proofErr w:type="gramEnd"/>
      <w:r w:rsidRPr="00BF0FC7">
        <w:rPr>
          <w:rFonts w:hint="eastAsia"/>
          <w:sz w:val="24"/>
          <w:szCs w:val="24"/>
        </w:rPr>
        <w:t>樣</w:t>
      </w:r>
      <w:proofErr w:type="gramStart"/>
      <w:r w:rsidRPr="00BF0FC7">
        <w:rPr>
          <w:rFonts w:hint="eastAsia"/>
          <w:sz w:val="24"/>
          <w:szCs w:val="24"/>
        </w:rPr>
        <w:t>不</w:t>
      </w:r>
      <w:proofErr w:type="gramEnd"/>
      <w:r w:rsidRPr="00BF0FC7">
        <w:rPr>
          <w:rFonts w:hint="eastAsia"/>
          <w:sz w:val="24"/>
          <w:szCs w:val="24"/>
        </w:rPr>
        <w:t>及於年度內</w:t>
      </w:r>
      <w:proofErr w:type="gramStart"/>
      <w:r w:rsidRPr="00BF0FC7">
        <w:rPr>
          <w:rFonts w:hint="eastAsia"/>
          <w:sz w:val="24"/>
          <w:szCs w:val="24"/>
        </w:rPr>
        <w:t>複</w:t>
      </w:r>
      <w:proofErr w:type="gramEnd"/>
      <w:r w:rsidRPr="00BF0FC7">
        <w:rPr>
          <w:rFonts w:hint="eastAsia"/>
          <w:sz w:val="24"/>
          <w:szCs w:val="24"/>
        </w:rPr>
        <w:t>檢，納入111年</w:t>
      </w:r>
      <w:proofErr w:type="gramStart"/>
      <w:r w:rsidRPr="00BF0FC7">
        <w:rPr>
          <w:rFonts w:hint="eastAsia"/>
          <w:sz w:val="24"/>
          <w:szCs w:val="24"/>
        </w:rPr>
        <w:t>採</w:t>
      </w:r>
      <w:proofErr w:type="gramEnd"/>
      <w:r w:rsidRPr="00BF0FC7">
        <w:rPr>
          <w:rFonts w:hint="eastAsia"/>
          <w:sz w:val="24"/>
          <w:szCs w:val="24"/>
        </w:rPr>
        <w:t>檢。</w:t>
      </w:r>
    </w:p>
    <w:p w:rsidR="009C6551" w:rsidRPr="00BF0FC7" w:rsidRDefault="009C6551" w:rsidP="009C6551">
      <w:pPr>
        <w:snapToGrid w:val="0"/>
        <w:ind w:left="284" w:hangingChars="109" w:hanging="284"/>
        <w:rPr>
          <w:sz w:val="24"/>
          <w:szCs w:val="24"/>
        </w:rPr>
      </w:pPr>
      <w:r w:rsidRPr="00BF0FC7">
        <w:rPr>
          <w:rFonts w:hint="eastAsia"/>
          <w:sz w:val="24"/>
          <w:szCs w:val="24"/>
        </w:rPr>
        <w:t>2.111年不合格營區持續改善</w:t>
      </w:r>
      <w:proofErr w:type="gramStart"/>
      <w:r w:rsidRPr="00BF0FC7">
        <w:rPr>
          <w:rFonts w:hint="eastAsia"/>
          <w:sz w:val="24"/>
          <w:szCs w:val="24"/>
        </w:rPr>
        <w:t>複</w:t>
      </w:r>
      <w:proofErr w:type="gramEnd"/>
      <w:r w:rsidRPr="00BF0FC7">
        <w:rPr>
          <w:rFonts w:hint="eastAsia"/>
          <w:sz w:val="24"/>
          <w:szCs w:val="24"/>
        </w:rPr>
        <w:t>檢中，管制12月20日前全數完成。</w:t>
      </w:r>
    </w:p>
    <w:p w:rsidR="009C6551" w:rsidRPr="00BF0FC7" w:rsidRDefault="009C6551" w:rsidP="009C6551">
      <w:pPr>
        <w:snapToGrid w:val="0"/>
        <w:ind w:left="284" w:hangingChars="109" w:hanging="284"/>
        <w:rPr>
          <w:sz w:val="24"/>
          <w:szCs w:val="24"/>
        </w:rPr>
      </w:pPr>
      <w:r w:rsidRPr="00BF0FC7">
        <w:rPr>
          <w:rFonts w:hint="eastAsia"/>
          <w:sz w:val="24"/>
          <w:szCs w:val="24"/>
        </w:rPr>
        <w:t>3.無法檢測係</w:t>
      </w:r>
      <w:proofErr w:type="gramStart"/>
      <w:r w:rsidRPr="00BF0FC7">
        <w:rPr>
          <w:rFonts w:hint="eastAsia"/>
          <w:sz w:val="24"/>
          <w:szCs w:val="24"/>
        </w:rPr>
        <w:t>採</w:t>
      </w:r>
      <w:proofErr w:type="gramEnd"/>
      <w:r w:rsidRPr="00BF0FC7">
        <w:rPr>
          <w:rFonts w:hint="eastAsia"/>
          <w:sz w:val="24"/>
          <w:szCs w:val="24"/>
        </w:rPr>
        <w:t>樣有效水量不足、營區移交、已完成</w:t>
      </w:r>
      <w:r w:rsidR="007508B2" w:rsidRPr="00BF0FC7">
        <w:rPr>
          <w:rFonts w:hint="eastAsia"/>
          <w:sz w:val="24"/>
          <w:szCs w:val="24"/>
        </w:rPr>
        <w:t>接管</w:t>
      </w:r>
      <w:r w:rsidRPr="00BF0FC7">
        <w:rPr>
          <w:rFonts w:hint="eastAsia"/>
          <w:sz w:val="24"/>
          <w:szCs w:val="24"/>
        </w:rPr>
        <w:t>下水道無需檢測等因素。</w:t>
      </w:r>
    </w:p>
    <w:p w:rsidR="009C6551" w:rsidRPr="00BF0FC7" w:rsidRDefault="009C6551" w:rsidP="009C6551">
      <w:pPr>
        <w:snapToGrid w:val="0"/>
        <w:rPr>
          <w:sz w:val="24"/>
          <w:szCs w:val="24"/>
        </w:rPr>
      </w:pPr>
      <w:r w:rsidRPr="00BF0FC7">
        <w:rPr>
          <w:rFonts w:hint="eastAsia"/>
          <w:sz w:val="24"/>
          <w:szCs w:val="24"/>
        </w:rPr>
        <w:t>資料來源：國防部。</w:t>
      </w:r>
    </w:p>
    <w:p w:rsidR="009C6551" w:rsidRPr="00BF0FC7" w:rsidRDefault="009C6551" w:rsidP="009C6551">
      <w:pPr>
        <w:snapToGrid w:val="0"/>
        <w:rPr>
          <w:sz w:val="24"/>
          <w:szCs w:val="24"/>
        </w:rPr>
      </w:pPr>
    </w:p>
    <w:p w:rsidR="009C6551" w:rsidRPr="00BF0FC7" w:rsidRDefault="009C6551" w:rsidP="009C6551">
      <w:pPr>
        <w:pStyle w:val="4"/>
      </w:pPr>
      <w:r w:rsidRPr="00BF0FC7">
        <w:rPr>
          <w:rFonts w:hint="eastAsia"/>
        </w:rPr>
        <w:t>111年不合格營區分為第六軍團指揮部及馬防部所屬營區，由軍團(防衛部)督導不合格營區針對各項不合格項目實施改善，相關改善措施如下：</w:t>
      </w:r>
    </w:p>
    <w:p w:rsidR="009C6551" w:rsidRPr="00BF0FC7" w:rsidRDefault="009C6551" w:rsidP="009C6551">
      <w:pPr>
        <w:pStyle w:val="5"/>
      </w:pPr>
      <w:r w:rsidRPr="00BF0FC7">
        <w:rPr>
          <w:rFonts w:hint="eastAsia"/>
        </w:rPr>
        <w:t>油脂、生化需氧量（BOD）、化學需氧量（COD）、懸浮固體（SS）：定時派員清理油水分離槽及</w:t>
      </w:r>
      <w:proofErr w:type="gramStart"/>
      <w:r w:rsidRPr="00BF0FC7">
        <w:rPr>
          <w:rFonts w:hint="eastAsia"/>
        </w:rPr>
        <w:t>攔渣網</w:t>
      </w:r>
      <w:proofErr w:type="gramEnd"/>
      <w:r w:rsidRPr="00BF0FC7">
        <w:rPr>
          <w:rFonts w:hint="eastAsia"/>
        </w:rPr>
        <w:t>，避免因內部油脂或有機物質過多，降低處理效能、定期疏通水溝及放流口。</w:t>
      </w:r>
    </w:p>
    <w:p w:rsidR="009C6551" w:rsidRPr="00BF0FC7" w:rsidRDefault="009C6551" w:rsidP="009C6551">
      <w:pPr>
        <w:pStyle w:val="5"/>
      </w:pPr>
      <w:r w:rsidRPr="00BF0FC7">
        <w:rPr>
          <w:rFonts w:hint="eastAsia"/>
        </w:rPr>
        <w:t>大腸桿菌群：於水體</w:t>
      </w:r>
      <w:proofErr w:type="gramStart"/>
      <w:r w:rsidRPr="00BF0FC7">
        <w:rPr>
          <w:rFonts w:hint="eastAsia"/>
        </w:rPr>
        <w:t>放流前設置</w:t>
      </w:r>
      <w:proofErr w:type="gramEnd"/>
      <w:r w:rsidRPr="00BF0FC7">
        <w:rPr>
          <w:rFonts w:hint="eastAsia"/>
        </w:rPr>
        <w:t>污水處理設施，若已有污水處理設施，應進行檢修或確認是否有添加藥劑消毒、定期清理化糞池。</w:t>
      </w:r>
    </w:p>
    <w:p w:rsidR="009C6551" w:rsidRPr="00BF0FC7" w:rsidRDefault="009C6551" w:rsidP="009C6551">
      <w:pPr>
        <w:pStyle w:val="5"/>
      </w:pPr>
      <w:r w:rsidRPr="00BF0FC7">
        <w:rPr>
          <w:rFonts w:hint="eastAsia"/>
        </w:rPr>
        <w:t>硼、氨氮、正磷酸鹽：宣導使用無磷洗潔精，</w:t>
      </w:r>
      <w:r w:rsidRPr="00BF0FC7">
        <w:rPr>
          <w:rFonts w:hint="eastAsia"/>
        </w:rPr>
        <w:lastRenderedPageBreak/>
        <w:t>並配合</w:t>
      </w:r>
      <w:proofErr w:type="gramStart"/>
      <w:r w:rsidRPr="00BF0FC7">
        <w:rPr>
          <w:rFonts w:hint="eastAsia"/>
        </w:rPr>
        <w:t>地方政府環資局</w:t>
      </w:r>
      <w:proofErr w:type="gramEnd"/>
      <w:r w:rsidRPr="00BF0FC7">
        <w:rPr>
          <w:rFonts w:hint="eastAsia"/>
        </w:rPr>
        <w:t>水質改善計畫整建污水處理設施。</w:t>
      </w:r>
    </w:p>
    <w:p w:rsidR="009C6551" w:rsidRPr="00BF0FC7" w:rsidRDefault="009C6551" w:rsidP="009C6551">
      <w:pPr>
        <w:pStyle w:val="5"/>
      </w:pPr>
      <w:r w:rsidRPr="00BF0FC7">
        <w:rPr>
          <w:rFonts w:hint="eastAsia"/>
        </w:rPr>
        <w:t>陸軍營區位於水源保護區於110年未符放流水標準者，僅為馬防部所屬營區計2處（天馬及津沙北），已實施改善並納入111年檢測，並配合</w:t>
      </w:r>
      <w:proofErr w:type="gramStart"/>
      <w:r w:rsidRPr="00BF0FC7">
        <w:rPr>
          <w:rFonts w:hint="eastAsia"/>
        </w:rPr>
        <w:t>連江縣環資局</w:t>
      </w:r>
      <w:proofErr w:type="gramEnd"/>
      <w:r w:rsidRPr="00BF0FC7">
        <w:rPr>
          <w:rFonts w:hint="eastAsia"/>
        </w:rPr>
        <w:t>相關水質改善計畫辦理；其餘位處水源保護區之營區檢測結果均合格。</w:t>
      </w:r>
    </w:p>
    <w:p w:rsidR="009C6551" w:rsidRPr="00BF0FC7" w:rsidRDefault="009C6551" w:rsidP="009C6551">
      <w:pPr>
        <w:pStyle w:val="5"/>
      </w:pPr>
      <w:r w:rsidRPr="00BF0FC7">
        <w:rPr>
          <w:rFonts w:hint="eastAsia"/>
        </w:rPr>
        <w:t>經查110年馬防部所屬天馬</w:t>
      </w:r>
      <w:proofErr w:type="gramStart"/>
      <w:r w:rsidRPr="00BF0FC7">
        <w:rPr>
          <w:rFonts w:hint="eastAsia"/>
        </w:rPr>
        <w:t>及津沙北</w:t>
      </w:r>
      <w:proofErr w:type="gramEnd"/>
      <w:r w:rsidRPr="00BF0FC7">
        <w:rPr>
          <w:rFonts w:hint="eastAsia"/>
        </w:rPr>
        <w:t>等2處營區，</w:t>
      </w:r>
      <w:proofErr w:type="gramStart"/>
      <w:r w:rsidRPr="00BF0FC7">
        <w:rPr>
          <w:rFonts w:hint="eastAsia"/>
        </w:rPr>
        <w:t>採</w:t>
      </w:r>
      <w:proofErr w:type="gramEnd"/>
      <w:r w:rsidRPr="00BF0FC7">
        <w:rPr>
          <w:rFonts w:hint="eastAsia"/>
        </w:rPr>
        <w:t>檢時因適逢</w:t>
      </w:r>
      <w:proofErr w:type="gramStart"/>
      <w:r w:rsidRPr="00BF0FC7">
        <w:rPr>
          <w:rFonts w:hint="eastAsia"/>
        </w:rPr>
        <w:t>單位接訓軍事訓練</w:t>
      </w:r>
      <w:proofErr w:type="gramEnd"/>
      <w:r w:rsidRPr="00BF0FC7">
        <w:rPr>
          <w:rFonts w:hint="eastAsia"/>
        </w:rPr>
        <w:t>役，開伙人數較多，導致油脂檢測值未達標準值。經馬防部</w:t>
      </w:r>
      <w:proofErr w:type="gramStart"/>
      <w:r w:rsidRPr="00BF0FC7">
        <w:rPr>
          <w:rFonts w:hint="eastAsia"/>
        </w:rPr>
        <w:t>加強督管單位</w:t>
      </w:r>
      <w:proofErr w:type="gramEnd"/>
      <w:r w:rsidRPr="00BF0FC7">
        <w:rPr>
          <w:rFonts w:hint="eastAsia"/>
        </w:rPr>
        <w:t>落實油水分離槽清理工作，降低放流水油脂含量，111年檢測結果</w:t>
      </w:r>
      <w:proofErr w:type="gramStart"/>
      <w:r w:rsidRPr="00BF0FC7">
        <w:rPr>
          <w:rFonts w:hint="eastAsia"/>
        </w:rPr>
        <w:t>油脂檢項已</w:t>
      </w:r>
      <w:proofErr w:type="gramEnd"/>
      <w:r w:rsidRPr="00BF0FC7">
        <w:rPr>
          <w:rFonts w:hint="eastAsia"/>
        </w:rPr>
        <w:t>符合標準。</w:t>
      </w:r>
    </w:p>
    <w:p w:rsidR="009C6551" w:rsidRPr="00BF0FC7" w:rsidRDefault="009C6551" w:rsidP="009C6551">
      <w:pPr>
        <w:pStyle w:val="5"/>
      </w:pPr>
      <w:r w:rsidRPr="00BF0FC7">
        <w:rPr>
          <w:rFonts w:hint="eastAsia"/>
        </w:rPr>
        <w:t>馬防部所屬天馬</w:t>
      </w:r>
      <w:proofErr w:type="gramStart"/>
      <w:r w:rsidRPr="00BF0FC7">
        <w:rPr>
          <w:rFonts w:hint="eastAsia"/>
        </w:rPr>
        <w:t>及津沙北</w:t>
      </w:r>
      <w:proofErr w:type="gramEnd"/>
      <w:r w:rsidRPr="00BF0FC7">
        <w:rPr>
          <w:rFonts w:hint="eastAsia"/>
        </w:rPr>
        <w:t>2處營區，於</w:t>
      </w:r>
      <w:proofErr w:type="gramStart"/>
      <w:r w:rsidRPr="00BF0FC7">
        <w:rPr>
          <w:rFonts w:hint="eastAsia"/>
        </w:rPr>
        <w:t>111</w:t>
      </w:r>
      <w:proofErr w:type="gramEnd"/>
      <w:r w:rsidRPr="00BF0FC7">
        <w:rPr>
          <w:rFonts w:hint="eastAsia"/>
        </w:rPr>
        <w:t>年度檢討近年檢測結果及評估現有合併式淨化槽使用情況後，針對不符標準之項目規劃改善作為，</w:t>
      </w:r>
      <w:proofErr w:type="gramStart"/>
      <w:r w:rsidRPr="00BF0FC7">
        <w:rPr>
          <w:rFonts w:hint="eastAsia"/>
        </w:rPr>
        <w:t>111</w:t>
      </w:r>
      <w:proofErr w:type="gramEnd"/>
      <w:r w:rsidRPr="00BF0FC7">
        <w:rPr>
          <w:rFonts w:hint="eastAsia"/>
        </w:rPr>
        <w:t>年度已委商</w:t>
      </w:r>
      <w:proofErr w:type="gramStart"/>
      <w:r w:rsidRPr="00BF0FC7">
        <w:rPr>
          <w:rFonts w:hint="eastAsia"/>
        </w:rPr>
        <w:t>實施槽體清理</w:t>
      </w:r>
      <w:proofErr w:type="gramEnd"/>
      <w:r w:rsidRPr="00BF0FC7">
        <w:rPr>
          <w:rFonts w:hint="eastAsia"/>
        </w:rPr>
        <w:t>及投放氯錠改善，並納入</w:t>
      </w:r>
      <w:proofErr w:type="gramStart"/>
      <w:r w:rsidRPr="00BF0FC7">
        <w:rPr>
          <w:rFonts w:hint="eastAsia"/>
        </w:rPr>
        <w:t>112</w:t>
      </w:r>
      <w:proofErr w:type="gramEnd"/>
      <w:r w:rsidRPr="00BF0FC7">
        <w:rPr>
          <w:rFonts w:hint="eastAsia"/>
        </w:rPr>
        <w:t>年度整修設施，確實改善處理效能，並請連江縣政府進行指導，以符放流水標準。</w:t>
      </w:r>
    </w:p>
    <w:p w:rsidR="00735758" w:rsidRPr="00BF0FC7" w:rsidRDefault="00270AB3" w:rsidP="000C3F9E">
      <w:pPr>
        <w:pStyle w:val="3"/>
      </w:pPr>
      <w:bookmarkStart w:id="123" w:name="_Toc138666455"/>
      <w:bookmarkStart w:id="124" w:name="_Toc140135577"/>
      <w:r w:rsidRPr="00BF0FC7">
        <w:rPr>
          <w:rFonts w:hint="eastAsia"/>
        </w:rPr>
        <w:t>審視上開</w:t>
      </w:r>
      <w:r w:rsidR="00735758" w:rsidRPr="00BF0FC7">
        <w:rPr>
          <w:rFonts w:hint="eastAsia"/>
        </w:rPr>
        <w:t>國防部陸軍營區污水處理之放流水檢測作業，於1</w:t>
      </w:r>
      <w:r w:rsidR="00735758" w:rsidRPr="00BF0FC7">
        <w:t>09</w:t>
      </w:r>
      <w:r w:rsidR="00735758" w:rsidRPr="00BF0FC7">
        <w:rPr>
          <w:rFonts w:hint="eastAsia"/>
        </w:rPr>
        <w:t>年至1</w:t>
      </w:r>
      <w:r w:rsidR="00735758" w:rsidRPr="00BF0FC7">
        <w:t>11</w:t>
      </w:r>
      <w:r w:rsidR="00735758" w:rsidRPr="00BF0FC7">
        <w:rPr>
          <w:rFonts w:hint="eastAsia"/>
        </w:rPr>
        <w:t>年間檢測不合格率（不合格數/實際檢測數）逐年增加至0.5%、8.2%、17.3%，</w:t>
      </w:r>
      <w:r w:rsidR="0034380F" w:rsidRPr="00BF0FC7">
        <w:rPr>
          <w:rFonts w:hint="eastAsia"/>
        </w:rPr>
        <w:t>由</w:t>
      </w:r>
      <w:r w:rsidR="00735758" w:rsidRPr="00BF0FC7">
        <w:rPr>
          <w:rFonts w:hint="eastAsia"/>
        </w:rPr>
        <w:t>檢驗不合格項目（化學需氧量、生化需氧量、正磷酸鹽、油脂及氨氣等）可知</w:t>
      </w:r>
      <w:r w:rsidR="0034380F" w:rsidRPr="00BF0FC7">
        <w:rPr>
          <w:rFonts w:hint="eastAsia"/>
        </w:rPr>
        <w:t>，</w:t>
      </w:r>
      <w:r w:rsidR="00735758" w:rsidRPr="00BF0FC7">
        <w:rPr>
          <w:rFonts w:hint="eastAsia"/>
        </w:rPr>
        <w:t>係肇因於油水分離槽清理未落實、水溝淤積未清理、污水處理設施未定期添加藥劑等作業未盡確實，雖經</w:t>
      </w:r>
      <w:proofErr w:type="gramStart"/>
      <w:r w:rsidR="00735758" w:rsidRPr="00BF0FC7">
        <w:rPr>
          <w:rFonts w:hint="eastAsia"/>
        </w:rPr>
        <w:t>複</w:t>
      </w:r>
      <w:proofErr w:type="gramEnd"/>
      <w:r w:rsidR="00735758" w:rsidRPr="00BF0FC7">
        <w:rPr>
          <w:rFonts w:hint="eastAsia"/>
        </w:rPr>
        <w:t>檢合格，然此</w:t>
      </w:r>
      <w:proofErr w:type="gramStart"/>
      <w:r w:rsidR="00735758" w:rsidRPr="00BF0FC7">
        <w:rPr>
          <w:rFonts w:hint="eastAsia"/>
        </w:rPr>
        <w:t>凸</w:t>
      </w:r>
      <w:proofErr w:type="gramEnd"/>
      <w:r w:rsidR="00735758" w:rsidRPr="00BF0FC7">
        <w:rPr>
          <w:rFonts w:hint="eastAsia"/>
        </w:rPr>
        <w:t>顯陸軍營區未落實污水處理設施之維護管理及操作，已有污染環境之虞，亟待檢討改進。</w:t>
      </w:r>
      <w:bookmarkEnd w:id="123"/>
      <w:bookmarkEnd w:id="124"/>
    </w:p>
    <w:p w:rsidR="002903F0" w:rsidRPr="00BF0FC7" w:rsidRDefault="002903F0" w:rsidP="002903F0">
      <w:pPr>
        <w:pStyle w:val="3"/>
        <w:numPr>
          <w:ilvl w:val="0"/>
          <w:numId w:val="0"/>
        </w:numPr>
        <w:ind w:left="1344"/>
      </w:pPr>
    </w:p>
    <w:p w:rsidR="0096166E" w:rsidRPr="00BF0FC7" w:rsidRDefault="0096166E" w:rsidP="002903F0">
      <w:pPr>
        <w:pStyle w:val="3"/>
        <w:numPr>
          <w:ilvl w:val="0"/>
          <w:numId w:val="0"/>
        </w:numPr>
        <w:ind w:left="1344"/>
      </w:pPr>
    </w:p>
    <w:p w:rsidR="001A4C4D" w:rsidRPr="00BF0FC7" w:rsidRDefault="00343448" w:rsidP="00E814AF">
      <w:pPr>
        <w:pStyle w:val="2"/>
        <w:rPr>
          <w:b/>
        </w:rPr>
      </w:pPr>
      <w:bookmarkStart w:id="125" w:name="_Toc140135578"/>
      <w:r w:rsidRPr="00BF0FC7">
        <w:rPr>
          <w:rFonts w:hint="eastAsia"/>
          <w:b/>
        </w:rPr>
        <w:lastRenderedPageBreak/>
        <w:t>國防部</w:t>
      </w:r>
      <w:r w:rsidR="009C3BC9" w:rsidRPr="00BF0FC7">
        <w:rPr>
          <w:rFonts w:hint="eastAsia"/>
          <w:b/>
        </w:rPr>
        <w:t>陸軍司令部轄管正常使用中營區計有392處，該司令部於107至108年間檢討屬高污染</w:t>
      </w:r>
      <w:proofErr w:type="gramStart"/>
      <w:r w:rsidR="009C3BC9" w:rsidRPr="00BF0FC7">
        <w:rPr>
          <w:rFonts w:hint="eastAsia"/>
          <w:b/>
        </w:rPr>
        <w:t>潛勢場址</w:t>
      </w:r>
      <w:proofErr w:type="gramEnd"/>
      <w:r w:rsidR="00B8590B" w:rsidRPr="00BF0FC7">
        <w:rPr>
          <w:rFonts w:hint="eastAsia"/>
          <w:b/>
        </w:rPr>
        <w:t>，且</w:t>
      </w:r>
      <w:r w:rsidR="009C3BC9" w:rsidRPr="00BF0FC7">
        <w:rPr>
          <w:rFonts w:hint="eastAsia"/>
          <w:b/>
        </w:rPr>
        <w:t>須辦理自主檢測計209處，</w:t>
      </w:r>
      <w:r w:rsidR="005F3792" w:rsidRPr="00BF0FC7">
        <w:rPr>
          <w:rFonts w:hint="eastAsia"/>
          <w:b/>
        </w:rPr>
        <w:t>業已</w:t>
      </w:r>
      <w:r w:rsidR="009C3BC9" w:rsidRPr="00BF0FC7">
        <w:rPr>
          <w:rFonts w:hint="eastAsia"/>
          <w:b/>
        </w:rPr>
        <w:t>分年執行</w:t>
      </w:r>
      <w:r w:rsidR="00EC0934" w:rsidRPr="00BF0FC7">
        <w:rPr>
          <w:rFonts w:hint="eastAsia"/>
          <w:b/>
        </w:rPr>
        <w:t>在案。</w:t>
      </w:r>
      <w:r w:rsidR="009C3BC9" w:rsidRPr="00BF0FC7">
        <w:rPr>
          <w:rFonts w:hint="eastAsia"/>
          <w:b/>
        </w:rPr>
        <w:t>審計部</w:t>
      </w:r>
      <w:proofErr w:type="gramStart"/>
      <w:r w:rsidR="0036400B" w:rsidRPr="00BF0FC7">
        <w:rPr>
          <w:rFonts w:hint="eastAsia"/>
          <w:b/>
        </w:rPr>
        <w:t>1</w:t>
      </w:r>
      <w:r w:rsidR="0036400B" w:rsidRPr="00BF0FC7">
        <w:rPr>
          <w:b/>
        </w:rPr>
        <w:t>1</w:t>
      </w:r>
      <w:r w:rsidR="0036400B" w:rsidRPr="00BF0FC7">
        <w:rPr>
          <w:rFonts w:hint="eastAsia"/>
          <w:b/>
        </w:rPr>
        <w:t>0</w:t>
      </w:r>
      <w:proofErr w:type="gramEnd"/>
      <w:r w:rsidR="0036400B" w:rsidRPr="00BF0FC7">
        <w:rPr>
          <w:rFonts w:hint="eastAsia"/>
          <w:b/>
        </w:rPr>
        <w:t>年度</w:t>
      </w:r>
      <w:r w:rsidR="00645B50" w:rsidRPr="00BF0FC7">
        <w:rPr>
          <w:rFonts w:hint="eastAsia"/>
          <w:b/>
        </w:rPr>
        <w:t>中央政府總決算審核報告指出</w:t>
      </w:r>
      <w:r w:rsidR="00645B50" w:rsidRPr="00BF0FC7">
        <w:rPr>
          <w:rFonts w:hint="eastAsia"/>
          <w:b/>
          <w:lang w:eastAsia="zh-HK"/>
        </w:rPr>
        <w:t>，</w:t>
      </w:r>
      <w:r w:rsidR="00E40DE1" w:rsidRPr="00BF0FC7">
        <w:rPr>
          <w:rFonts w:hint="eastAsia"/>
          <w:b/>
        </w:rPr>
        <w:t>陸軍擇選高污染潛</w:t>
      </w:r>
      <w:proofErr w:type="gramStart"/>
      <w:r w:rsidR="00E40DE1" w:rsidRPr="00BF0FC7">
        <w:rPr>
          <w:rFonts w:hint="eastAsia"/>
          <w:b/>
        </w:rPr>
        <w:t>勢區場</w:t>
      </w:r>
      <w:proofErr w:type="gramEnd"/>
      <w:r w:rsidR="00E40DE1" w:rsidRPr="00BF0FC7">
        <w:rPr>
          <w:rFonts w:hint="eastAsia"/>
          <w:b/>
        </w:rPr>
        <w:t>址自主檢測</w:t>
      </w:r>
      <w:proofErr w:type="gramStart"/>
      <w:r w:rsidR="00E40DE1" w:rsidRPr="00BF0FC7">
        <w:rPr>
          <w:rFonts w:hint="eastAsia"/>
          <w:b/>
        </w:rPr>
        <w:t>採樣點未臻</w:t>
      </w:r>
      <w:proofErr w:type="gramEnd"/>
      <w:r w:rsidR="00E40DE1" w:rsidRPr="00BF0FC7">
        <w:rPr>
          <w:rFonts w:hint="eastAsia"/>
          <w:b/>
        </w:rPr>
        <w:t>周全</w:t>
      </w:r>
      <w:r w:rsidR="00C27783" w:rsidRPr="00BF0FC7">
        <w:rPr>
          <w:rFonts w:hint="eastAsia"/>
          <w:b/>
        </w:rPr>
        <w:t>，</w:t>
      </w:r>
      <w:r w:rsidR="00C009BA" w:rsidRPr="00BF0FC7">
        <w:rPr>
          <w:rFonts w:hint="eastAsia"/>
          <w:b/>
        </w:rPr>
        <w:t>其中陸軍航</w:t>
      </w:r>
      <w:proofErr w:type="gramStart"/>
      <w:r w:rsidR="00C009BA" w:rsidRPr="00BF0FC7">
        <w:rPr>
          <w:rFonts w:hint="eastAsia"/>
          <w:b/>
        </w:rPr>
        <w:t>特</w:t>
      </w:r>
      <w:proofErr w:type="gramEnd"/>
      <w:r w:rsidR="00C009BA" w:rsidRPr="00BF0FC7">
        <w:rPr>
          <w:rFonts w:hint="eastAsia"/>
          <w:b/>
        </w:rPr>
        <w:t>部營區配賦有陸用直升機，清洗飛機之廢水直接排放於地面</w:t>
      </w:r>
      <w:r w:rsidR="00420CAD" w:rsidRPr="00BF0FC7">
        <w:rPr>
          <w:rFonts w:hint="eastAsia"/>
          <w:b/>
        </w:rPr>
        <w:t>，存有污染土壤之疑慮。據本院實地履</w:t>
      </w:r>
      <w:proofErr w:type="gramStart"/>
      <w:r w:rsidR="00420CAD" w:rsidRPr="00BF0FC7">
        <w:rPr>
          <w:rFonts w:hint="eastAsia"/>
          <w:b/>
        </w:rPr>
        <w:t>勘</w:t>
      </w:r>
      <w:proofErr w:type="gramEnd"/>
      <w:r w:rsidR="0085582A" w:rsidRPr="00BF0FC7">
        <w:rPr>
          <w:rFonts w:hint="eastAsia"/>
          <w:b/>
        </w:rPr>
        <w:t>陸軍</w:t>
      </w:r>
      <w:r w:rsidR="00420CAD" w:rsidRPr="00BF0FC7">
        <w:rPr>
          <w:rFonts w:hint="eastAsia"/>
          <w:b/>
        </w:rPr>
        <w:t>航</w:t>
      </w:r>
      <w:proofErr w:type="gramStart"/>
      <w:r w:rsidR="00420CAD" w:rsidRPr="00BF0FC7">
        <w:rPr>
          <w:rFonts w:hint="eastAsia"/>
          <w:b/>
        </w:rPr>
        <w:t>特</w:t>
      </w:r>
      <w:proofErr w:type="gramEnd"/>
      <w:r w:rsidR="00420CAD" w:rsidRPr="00BF0FC7">
        <w:rPr>
          <w:rFonts w:hint="eastAsia"/>
          <w:b/>
        </w:rPr>
        <w:t>部歸仁營區執行飛機清洗作業方式</w:t>
      </w:r>
      <w:r w:rsidR="007F5628" w:rsidRPr="00BF0FC7">
        <w:rPr>
          <w:rFonts w:hint="eastAsia"/>
          <w:b/>
        </w:rPr>
        <w:t>，於定期清洗</w:t>
      </w:r>
      <w:r w:rsidR="000C39EA" w:rsidRPr="00BF0FC7">
        <w:rPr>
          <w:rFonts w:hint="eastAsia"/>
          <w:b/>
        </w:rPr>
        <w:t>（使用清洗劑）</w:t>
      </w:r>
      <w:r w:rsidR="007F5628" w:rsidRPr="00BF0FC7">
        <w:rPr>
          <w:rFonts w:hint="eastAsia"/>
          <w:b/>
        </w:rPr>
        <w:t>時之用水量甚微，不定期清洗</w:t>
      </w:r>
      <w:r w:rsidR="000C39EA" w:rsidRPr="00BF0FC7">
        <w:rPr>
          <w:rFonts w:hint="eastAsia"/>
          <w:b/>
        </w:rPr>
        <w:t>（使用清水）</w:t>
      </w:r>
      <w:r w:rsidR="007F5628" w:rsidRPr="00BF0FC7">
        <w:rPr>
          <w:rFonts w:hint="eastAsia"/>
          <w:b/>
        </w:rPr>
        <w:t>僅為特定</w:t>
      </w:r>
      <w:r w:rsidR="009725F9" w:rsidRPr="00BF0FC7">
        <w:rPr>
          <w:rFonts w:hint="eastAsia"/>
          <w:b/>
        </w:rPr>
        <w:t>場域</w:t>
      </w:r>
      <w:r w:rsidR="007F5628" w:rsidRPr="00BF0FC7">
        <w:rPr>
          <w:rFonts w:hint="eastAsia"/>
          <w:b/>
        </w:rPr>
        <w:t>作業</w:t>
      </w:r>
      <w:r w:rsidR="009725F9" w:rsidRPr="00BF0FC7">
        <w:rPr>
          <w:rFonts w:hint="eastAsia"/>
          <w:b/>
        </w:rPr>
        <w:t>後執行，又</w:t>
      </w:r>
      <w:r w:rsidR="007F5628" w:rsidRPr="00BF0FC7">
        <w:rPr>
          <w:rFonts w:hint="eastAsia"/>
          <w:b/>
        </w:rPr>
        <w:t>地面</w:t>
      </w:r>
      <w:r w:rsidR="009725F9" w:rsidRPr="00BF0FC7">
        <w:rPr>
          <w:rFonts w:hint="eastAsia"/>
          <w:b/>
        </w:rPr>
        <w:t>已</w:t>
      </w:r>
      <w:r w:rsidR="0086226C" w:rsidRPr="00BF0FC7">
        <w:rPr>
          <w:rFonts w:hint="eastAsia"/>
          <w:b/>
        </w:rPr>
        <w:t>鋪</w:t>
      </w:r>
      <w:r w:rsidR="007F5628" w:rsidRPr="00BF0FC7">
        <w:rPr>
          <w:rFonts w:hint="eastAsia"/>
          <w:b/>
        </w:rPr>
        <w:t>設不透水混凝土</w:t>
      </w:r>
      <w:r w:rsidR="0086226C" w:rsidRPr="00BF0FC7">
        <w:rPr>
          <w:rFonts w:hint="eastAsia"/>
          <w:b/>
        </w:rPr>
        <w:t>鋪</w:t>
      </w:r>
      <w:r w:rsidR="007F5628" w:rsidRPr="00BF0FC7">
        <w:rPr>
          <w:rFonts w:hint="eastAsia"/>
          <w:b/>
        </w:rPr>
        <w:t>面</w:t>
      </w:r>
      <w:r w:rsidR="00BE0166" w:rsidRPr="00BF0FC7">
        <w:rPr>
          <w:rFonts w:hint="eastAsia"/>
          <w:b/>
        </w:rPr>
        <w:t>。</w:t>
      </w:r>
      <w:r w:rsidR="007F5628" w:rsidRPr="00BF0FC7">
        <w:rPr>
          <w:rFonts w:hint="eastAsia"/>
          <w:b/>
        </w:rPr>
        <w:t>國防部</w:t>
      </w:r>
      <w:r w:rsidR="00F94E8E" w:rsidRPr="00BF0FC7">
        <w:rPr>
          <w:rFonts w:hint="eastAsia"/>
          <w:b/>
        </w:rPr>
        <w:t>以</w:t>
      </w:r>
      <w:r w:rsidR="009725F9" w:rsidRPr="00BF0FC7">
        <w:rPr>
          <w:rFonts w:hint="eastAsia"/>
          <w:b/>
        </w:rPr>
        <w:t>飛機</w:t>
      </w:r>
      <w:r w:rsidR="007F5628" w:rsidRPr="00BF0FC7">
        <w:rPr>
          <w:rFonts w:hint="eastAsia"/>
          <w:b/>
        </w:rPr>
        <w:t>清洗廢水多數蒸發、少量排入溝渠，</w:t>
      </w:r>
      <w:r w:rsidR="00D043CC" w:rsidRPr="00BF0FC7">
        <w:rPr>
          <w:rFonts w:hint="eastAsia"/>
          <w:b/>
        </w:rPr>
        <w:t>且承諾辦理該場址評估作業，</w:t>
      </w:r>
      <w:r w:rsidR="00F94E8E" w:rsidRPr="00BF0FC7">
        <w:rPr>
          <w:rFonts w:hint="eastAsia"/>
          <w:b/>
        </w:rPr>
        <w:t>應</w:t>
      </w:r>
      <w:r w:rsidR="00D043CC" w:rsidRPr="00BF0FC7">
        <w:rPr>
          <w:rFonts w:hint="eastAsia"/>
          <w:b/>
        </w:rPr>
        <w:t>確實執行</w:t>
      </w:r>
      <w:r w:rsidR="00F94E8E" w:rsidRPr="00BF0FC7">
        <w:rPr>
          <w:rFonts w:hint="eastAsia"/>
          <w:b/>
        </w:rPr>
        <w:t>，</w:t>
      </w:r>
      <w:r w:rsidR="00D043CC" w:rsidRPr="00BF0FC7">
        <w:rPr>
          <w:rFonts w:hint="eastAsia"/>
          <w:b/>
        </w:rPr>
        <w:t>另如有廢水產生時，仍應注意水污染防治法相關事業廢水排放</w:t>
      </w:r>
      <w:proofErr w:type="gramStart"/>
      <w:r w:rsidR="00D043CC" w:rsidRPr="00BF0FC7">
        <w:rPr>
          <w:rFonts w:hint="eastAsia"/>
          <w:b/>
        </w:rPr>
        <w:t>或貯留之</w:t>
      </w:r>
      <w:proofErr w:type="gramEnd"/>
      <w:r w:rsidR="00D043CC" w:rsidRPr="00BF0FC7">
        <w:rPr>
          <w:rFonts w:hint="eastAsia"/>
          <w:b/>
        </w:rPr>
        <w:t>規定</w:t>
      </w:r>
      <w:r w:rsidR="0001664A" w:rsidRPr="00BF0FC7">
        <w:rPr>
          <w:rFonts w:hint="eastAsia"/>
          <w:b/>
        </w:rPr>
        <w:t>，以符</w:t>
      </w:r>
      <w:r w:rsidR="0066446D" w:rsidRPr="00BF0FC7">
        <w:rPr>
          <w:rFonts w:hint="eastAsia"/>
          <w:b/>
        </w:rPr>
        <w:t>合</w:t>
      </w:r>
      <w:r w:rsidR="0001664A" w:rsidRPr="00BF0FC7">
        <w:rPr>
          <w:rFonts w:hint="eastAsia"/>
          <w:b/>
        </w:rPr>
        <w:t>法令</w:t>
      </w:r>
      <w:r w:rsidR="003B2335" w:rsidRPr="00BF0FC7">
        <w:rPr>
          <w:rFonts w:hint="eastAsia"/>
          <w:b/>
        </w:rPr>
        <w:t>且</w:t>
      </w:r>
      <w:r w:rsidR="0001664A" w:rsidRPr="00BF0FC7">
        <w:rPr>
          <w:rFonts w:hint="eastAsia"/>
          <w:b/>
        </w:rPr>
        <w:t>避免</w:t>
      </w:r>
      <w:r w:rsidR="00D043CC" w:rsidRPr="00BF0FC7">
        <w:rPr>
          <w:rFonts w:hint="eastAsia"/>
          <w:b/>
        </w:rPr>
        <w:t>衍生</w:t>
      </w:r>
      <w:r w:rsidR="00FE4091" w:rsidRPr="00BF0FC7">
        <w:rPr>
          <w:rFonts w:hint="eastAsia"/>
          <w:b/>
        </w:rPr>
        <w:t>外界疑慮</w:t>
      </w:r>
      <w:r w:rsidR="007F5628" w:rsidRPr="00BF0FC7">
        <w:rPr>
          <w:rFonts w:hint="eastAsia"/>
          <w:b/>
        </w:rPr>
        <w:t>。</w:t>
      </w:r>
      <w:bookmarkEnd w:id="125"/>
    </w:p>
    <w:p w:rsidR="001A4C4D" w:rsidRPr="00BF0FC7" w:rsidRDefault="0039334B" w:rsidP="00EC0934">
      <w:pPr>
        <w:pStyle w:val="3"/>
      </w:pPr>
      <w:bookmarkStart w:id="126" w:name="_Toc138666457"/>
      <w:bookmarkStart w:id="127" w:name="_Toc140135579"/>
      <w:r w:rsidRPr="00BF0FC7">
        <w:rPr>
          <w:rFonts w:hint="eastAsia"/>
        </w:rPr>
        <w:t>陸軍擇選高污染潛</w:t>
      </w:r>
      <w:proofErr w:type="gramStart"/>
      <w:r w:rsidRPr="00BF0FC7">
        <w:rPr>
          <w:rFonts w:hint="eastAsia"/>
        </w:rPr>
        <w:t>勢區場</w:t>
      </w:r>
      <w:proofErr w:type="gramEnd"/>
      <w:r w:rsidRPr="00BF0FC7">
        <w:rPr>
          <w:rFonts w:hint="eastAsia"/>
        </w:rPr>
        <w:t>址自主檢測</w:t>
      </w:r>
      <w:proofErr w:type="gramStart"/>
      <w:r w:rsidRPr="00BF0FC7">
        <w:rPr>
          <w:rFonts w:hint="eastAsia"/>
        </w:rPr>
        <w:t>採樣點</w:t>
      </w:r>
      <w:proofErr w:type="gramEnd"/>
      <w:r w:rsidRPr="00BF0FC7">
        <w:rPr>
          <w:rFonts w:hint="eastAsia"/>
        </w:rPr>
        <w:t>部分，陸軍原檢討高風險污染潛勢區域計209處，規劃分年(105至115年)執行自主檢測作業國防部所屬執行轄管高污染</w:t>
      </w:r>
      <w:proofErr w:type="gramStart"/>
      <w:r w:rsidRPr="00BF0FC7">
        <w:rPr>
          <w:rFonts w:hint="eastAsia"/>
        </w:rPr>
        <w:t>潛勢場址</w:t>
      </w:r>
      <w:proofErr w:type="gramEnd"/>
      <w:r w:rsidRPr="00BF0FC7">
        <w:rPr>
          <w:rFonts w:hint="eastAsia"/>
        </w:rPr>
        <w:t>自主檢測作業，係為自發性良善土地管理行為，在不影響正常戰備訓練任務前提下，配合預算編列排定分年規劃執行檢測。</w:t>
      </w:r>
      <w:bookmarkEnd w:id="126"/>
      <w:bookmarkEnd w:id="127"/>
    </w:p>
    <w:p w:rsidR="007F67EB" w:rsidRPr="00BF0FC7" w:rsidRDefault="00134D83" w:rsidP="007F67EB">
      <w:pPr>
        <w:pStyle w:val="3"/>
      </w:pPr>
      <w:bookmarkStart w:id="128" w:name="_Toc138666458"/>
      <w:bookmarkStart w:id="129" w:name="_Toc140135580"/>
      <w:r w:rsidRPr="00BF0FC7">
        <w:rPr>
          <w:rFonts w:hint="eastAsia"/>
        </w:rPr>
        <w:t>據</w:t>
      </w:r>
      <w:r w:rsidR="001A4C4D" w:rsidRPr="00BF0FC7">
        <w:rPr>
          <w:rFonts w:hint="eastAsia"/>
        </w:rPr>
        <w:t>審計部</w:t>
      </w:r>
      <w:proofErr w:type="gramStart"/>
      <w:r w:rsidR="001A4C4D" w:rsidRPr="00BF0FC7">
        <w:rPr>
          <w:rFonts w:hint="eastAsia"/>
        </w:rPr>
        <w:t>110</w:t>
      </w:r>
      <w:proofErr w:type="gramEnd"/>
      <w:r w:rsidR="001A4C4D" w:rsidRPr="00BF0FC7">
        <w:rPr>
          <w:rFonts w:hint="eastAsia"/>
        </w:rPr>
        <w:t>年度中央政府總決算審核報告</w:t>
      </w:r>
      <w:r w:rsidR="009C3BC9" w:rsidRPr="00BF0FC7">
        <w:rPr>
          <w:rFonts w:hint="eastAsia"/>
        </w:rPr>
        <w:t>指出，</w:t>
      </w:r>
      <w:r w:rsidR="00745AF2" w:rsidRPr="00BF0FC7">
        <w:rPr>
          <w:rFonts w:hint="eastAsia"/>
        </w:rPr>
        <w:t>陸軍航</w:t>
      </w:r>
      <w:proofErr w:type="gramStart"/>
      <w:r w:rsidR="00745AF2" w:rsidRPr="00BF0FC7">
        <w:rPr>
          <w:rFonts w:hint="eastAsia"/>
        </w:rPr>
        <w:t>特</w:t>
      </w:r>
      <w:proofErr w:type="gramEnd"/>
      <w:r w:rsidR="00745AF2" w:rsidRPr="00BF0FC7">
        <w:rPr>
          <w:rFonts w:hint="eastAsia"/>
        </w:rPr>
        <w:t>部飛行訓練指揮部（下稱飛訓部）</w:t>
      </w:r>
      <w:r w:rsidR="009C3BC9" w:rsidRPr="00BF0FC7">
        <w:rPr>
          <w:rFonts w:hint="eastAsia"/>
        </w:rPr>
        <w:t>負責培育陸軍直升機飛行官</w:t>
      </w:r>
      <w:proofErr w:type="gramStart"/>
      <w:r w:rsidR="009C3BC9" w:rsidRPr="00BF0FC7">
        <w:rPr>
          <w:rFonts w:hint="eastAsia"/>
        </w:rPr>
        <w:t>及航保人員</w:t>
      </w:r>
      <w:proofErr w:type="gramEnd"/>
      <w:r w:rsidR="009C3BC9" w:rsidRPr="00BF0FC7">
        <w:rPr>
          <w:rFonts w:hint="eastAsia"/>
        </w:rPr>
        <w:t>專業專長部隊，營區內配賦有AH-64E、AH-1W、OH-58D等陸用直升機，應屬國軍營區（地）土壤及地下水污染防（整）治綱要計畫規定之軍用機場場址，</w:t>
      </w:r>
      <w:r w:rsidR="009C3BC9" w:rsidRPr="00BF0FC7">
        <w:rPr>
          <w:rFonts w:hint="eastAsia"/>
          <w:b/>
        </w:rPr>
        <w:t>該營區內亦設有飛機保修廠</w:t>
      </w:r>
      <w:proofErr w:type="gramStart"/>
      <w:r w:rsidR="009C3BC9" w:rsidRPr="00BF0FC7">
        <w:rPr>
          <w:rFonts w:hint="eastAsia"/>
          <w:b/>
        </w:rPr>
        <w:t>及陸油加油站</w:t>
      </w:r>
      <w:proofErr w:type="gramEnd"/>
      <w:r w:rsidR="009C3BC9" w:rsidRPr="00BF0FC7">
        <w:rPr>
          <w:rFonts w:hint="eastAsia"/>
        </w:rPr>
        <w:t>，且該部平時清洗飛機之廢水、清潔劑，</w:t>
      </w:r>
      <w:r w:rsidR="009C3BC9" w:rsidRPr="00BF0FC7">
        <w:rPr>
          <w:rFonts w:hint="eastAsia"/>
          <w:b/>
        </w:rPr>
        <w:t>直接排放於地面，並未設置污水處理設備處理，尚待確認是否存有污染土壤之疑慮，惟未依</w:t>
      </w:r>
      <w:r w:rsidR="009C3BC9" w:rsidRPr="00BF0FC7">
        <w:rPr>
          <w:rFonts w:hint="eastAsia"/>
          <w:b/>
        </w:rPr>
        <w:lastRenderedPageBreak/>
        <w:t>上述規定納為自主檢測範圍</w:t>
      </w:r>
      <w:r w:rsidR="009C3BC9" w:rsidRPr="00BF0FC7">
        <w:rPr>
          <w:rFonts w:hint="eastAsia"/>
        </w:rPr>
        <w:t>，亟待檢討</w:t>
      </w:r>
      <w:proofErr w:type="gramStart"/>
      <w:r w:rsidR="009C3BC9" w:rsidRPr="00BF0FC7">
        <w:rPr>
          <w:rFonts w:hint="eastAsia"/>
        </w:rPr>
        <w:t>飛訓部</w:t>
      </w:r>
      <w:proofErr w:type="gramEnd"/>
      <w:r w:rsidR="009C3BC9" w:rsidRPr="00BF0FC7">
        <w:rPr>
          <w:rFonts w:hint="eastAsia"/>
        </w:rPr>
        <w:t>、第六○一旅及第六○二旅等軍用機場飛機保修廠、加油站及清洗飛機之</w:t>
      </w:r>
      <w:proofErr w:type="gramStart"/>
      <w:r w:rsidR="009C3BC9" w:rsidRPr="00BF0FC7">
        <w:rPr>
          <w:rFonts w:hint="eastAsia"/>
        </w:rPr>
        <w:t>場處，研</w:t>
      </w:r>
      <w:proofErr w:type="gramEnd"/>
      <w:r w:rsidR="009C3BC9" w:rsidRPr="00BF0FC7">
        <w:rPr>
          <w:rFonts w:hint="eastAsia"/>
        </w:rPr>
        <w:t>酌納入自主檢測重點調查場址。</w:t>
      </w:r>
      <w:bookmarkEnd w:id="128"/>
      <w:bookmarkEnd w:id="129"/>
    </w:p>
    <w:p w:rsidR="00003FBB" w:rsidRPr="00BF0FC7" w:rsidRDefault="00003FBB" w:rsidP="00003FBB">
      <w:pPr>
        <w:pStyle w:val="3"/>
      </w:pPr>
      <w:bookmarkStart w:id="130" w:name="_Toc138666459"/>
      <w:bookmarkStart w:id="131" w:name="_Toc140135581"/>
      <w:r w:rsidRPr="00BF0FC7">
        <w:rPr>
          <w:rFonts w:hint="eastAsia"/>
        </w:rPr>
        <w:t>據國防部查復，航</w:t>
      </w:r>
      <w:proofErr w:type="gramStart"/>
      <w:r w:rsidRPr="00BF0FC7">
        <w:rPr>
          <w:rFonts w:hint="eastAsia"/>
        </w:rPr>
        <w:t>特</w:t>
      </w:r>
      <w:proofErr w:type="gramEnd"/>
      <w:r w:rsidRPr="00BF0FC7">
        <w:rPr>
          <w:rFonts w:hint="eastAsia"/>
        </w:rPr>
        <w:t>部所屬軍用機場場</w:t>
      </w:r>
      <w:proofErr w:type="gramStart"/>
      <w:r w:rsidRPr="00BF0FC7">
        <w:rPr>
          <w:rFonts w:hint="eastAsia"/>
        </w:rPr>
        <w:t>址未納列</w:t>
      </w:r>
      <w:proofErr w:type="gramEnd"/>
      <w:r w:rsidRPr="00BF0FC7">
        <w:rPr>
          <w:rFonts w:hint="eastAsia"/>
        </w:rPr>
        <w:t>自主檢測範圍查證說明其原因如下：</w:t>
      </w:r>
      <w:bookmarkEnd w:id="130"/>
      <w:bookmarkEnd w:id="131"/>
    </w:p>
    <w:p w:rsidR="00003FBB" w:rsidRPr="00BF0FC7" w:rsidRDefault="00003FBB" w:rsidP="00003FBB">
      <w:pPr>
        <w:pStyle w:val="4"/>
        <w:rPr>
          <w:b/>
        </w:rPr>
      </w:pPr>
      <w:r w:rsidRPr="00BF0FC7">
        <w:rPr>
          <w:rFonts w:hint="eastAsia"/>
          <w:b/>
        </w:rPr>
        <w:t>此類型營區</w:t>
      </w:r>
      <w:proofErr w:type="gramStart"/>
      <w:r w:rsidRPr="00BF0FC7">
        <w:rPr>
          <w:rFonts w:hint="eastAsia"/>
          <w:b/>
        </w:rPr>
        <w:t>疑</w:t>
      </w:r>
      <w:proofErr w:type="gramEnd"/>
      <w:r w:rsidRPr="00BF0FC7">
        <w:rPr>
          <w:rFonts w:hint="eastAsia"/>
          <w:b/>
        </w:rPr>
        <w:t>有污染風險區域為停機坪(執行飛機清洗作業)，因該區域(含周邊)均設置不透水水泥鋪面，經初步研判非屬高風險污染潛勢區域，故未檢討納入自主檢測作業。</w:t>
      </w:r>
    </w:p>
    <w:p w:rsidR="00003FBB" w:rsidRPr="00BF0FC7" w:rsidRDefault="00003FBB" w:rsidP="00003FBB">
      <w:pPr>
        <w:pStyle w:val="4"/>
      </w:pPr>
      <w:r w:rsidRPr="00BF0FC7">
        <w:rPr>
          <w:rFonts w:hint="eastAsia"/>
        </w:rPr>
        <w:t>基於航</w:t>
      </w:r>
      <w:proofErr w:type="gramStart"/>
      <w:r w:rsidRPr="00BF0FC7">
        <w:rPr>
          <w:rFonts w:hint="eastAsia"/>
        </w:rPr>
        <w:t>特</w:t>
      </w:r>
      <w:proofErr w:type="gramEnd"/>
      <w:r w:rsidRPr="00BF0FC7">
        <w:rPr>
          <w:rFonts w:hint="eastAsia"/>
        </w:rPr>
        <w:t>部所屬軍用機場場址</w:t>
      </w:r>
      <w:proofErr w:type="gramStart"/>
      <w:r w:rsidRPr="00BF0FC7">
        <w:rPr>
          <w:rFonts w:hint="eastAsia"/>
        </w:rPr>
        <w:t>疑</w:t>
      </w:r>
      <w:proofErr w:type="gramEnd"/>
      <w:r w:rsidRPr="00BF0FC7">
        <w:rPr>
          <w:rFonts w:hint="eastAsia"/>
        </w:rPr>
        <w:t>有污染風險區域為停機坪執行飛機清洗作業，國防部已管制陸軍於1</w:t>
      </w:r>
      <w:r w:rsidRPr="00BF0FC7">
        <w:t>12</w:t>
      </w:r>
      <w:r w:rsidRPr="00BF0FC7">
        <w:rPr>
          <w:rFonts w:hint="eastAsia"/>
        </w:rPr>
        <w:t>年依循「國軍營區地土壤及地下水污染防整治綱要計畫」，將龍城營區龍潭機場、龍翔營區新社機場、歸仁營區歸仁機場等3處場址納入自主檢測調查場址，</w:t>
      </w:r>
      <w:proofErr w:type="gramStart"/>
      <w:r w:rsidRPr="00BF0FC7">
        <w:rPr>
          <w:rFonts w:hint="eastAsia"/>
        </w:rPr>
        <w:t>預劃1</w:t>
      </w:r>
      <w:r w:rsidRPr="00BF0FC7">
        <w:t>12</w:t>
      </w:r>
      <w:r w:rsidRPr="00BF0FC7">
        <w:rPr>
          <w:rFonts w:hint="eastAsia"/>
        </w:rPr>
        <w:t>年6月前</w:t>
      </w:r>
      <w:proofErr w:type="gramEnd"/>
      <w:r w:rsidRPr="00BF0FC7">
        <w:rPr>
          <w:rFonts w:hint="eastAsia"/>
        </w:rPr>
        <w:t>完成自主檢測作業，7月獲檢測結果，</w:t>
      </w:r>
      <w:proofErr w:type="gramStart"/>
      <w:r w:rsidRPr="00BF0FC7">
        <w:rPr>
          <w:rFonts w:hint="eastAsia"/>
        </w:rPr>
        <w:t>該部已納入</w:t>
      </w:r>
      <w:proofErr w:type="gramEnd"/>
      <w:r w:rsidRPr="00BF0FC7">
        <w:rPr>
          <w:rFonts w:hint="eastAsia"/>
        </w:rPr>
        <w:t>每季召開之「土壤及地下水污染整治進度管制會議」管制執行進度，並依檢測成果</w:t>
      </w:r>
      <w:proofErr w:type="gramStart"/>
      <w:r w:rsidRPr="00BF0FC7">
        <w:rPr>
          <w:rFonts w:hint="eastAsia"/>
        </w:rPr>
        <w:t>賡續管辦</w:t>
      </w:r>
      <w:proofErr w:type="gramEnd"/>
      <w:r w:rsidRPr="00BF0FC7">
        <w:rPr>
          <w:rFonts w:hint="eastAsia"/>
        </w:rPr>
        <w:t>。</w:t>
      </w:r>
    </w:p>
    <w:p w:rsidR="00003FBB" w:rsidRPr="00BF0FC7" w:rsidRDefault="00003FBB" w:rsidP="00003FBB">
      <w:pPr>
        <w:pStyle w:val="3"/>
        <w:rPr>
          <w:b/>
        </w:rPr>
      </w:pPr>
      <w:bookmarkStart w:id="132" w:name="_Toc138666460"/>
      <w:bookmarkStart w:id="133" w:name="_Toc140135582"/>
      <w:r w:rsidRPr="00BF0FC7">
        <w:rPr>
          <w:rFonts w:hint="eastAsia"/>
          <w:b/>
        </w:rPr>
        <w:t>為瞭解航</w:t>
      </w:r>
      <w:proofErr w:type="gramStart"/>
      <w:r w:rsidRPr="00BF0FC7">
        <w:rPr>
          <w:rFonts w:hint="eastAsia"/>
          <w:b/>
        </w:rPr>
        <w:t>特</w:t>
      </w:r>
      <w:proofErr w:type="gramEnd"/>
      <w:r w:rsidRPr="00BF0FC7">
        <w:rPr>
          <w:rFonts w:hint="eastAsia"/>
          <w:b/>
        </w:rPr>
        <w:t>部所屬軍用機場場址清洗作業方式，本院實地履</w:t>
      </w:r>
      <w:proofErr w:type="gramStart"/>
      <w:r w:rsidRPr="00BF0FC7">
        <w:rPr>
          <w:rFonts w:hint="eastAsia"/>
          <w:b/>
        </w:rPr>
        <w:t>勘</w:t>
      </w:r>
      <w:proofErr w:type="gramEnd"/>
      <w:r w:rsidR="00745AF2" w:rsidRPr="00BF0FC7">
        <w:rPr>
          <w:rFonts w:hint="eastAsia"/>
          <w:b/>
        </w:rPr>
        <w:t>航</w:t>
      </w:r>
      <w:proofErr w:type="gramStart"/>
      <w:r w:rsidR="00745AF2" w:rsidRPr="00BF0FC7">
        <w:rPr>
          <w:rFonts w:hint="eastAsia"/>
          <w:b/>
        </w:rPr>
        <w:t>特</w:t>
      </w:r>
      <w:proofErr w:type="gramEnd"/>
      <w:r w:rsidR="00745AF2" w:rsidRPr="00BF0FC7">
        <w:rPr>
          <w:rFonts w:hint="eastAsia"/>
          <w:b/>
        </w:rPr>
        <w:t>部</w:t>
      </w:r>
      <w:r w:rsidR="005A16A5" w:rsidRPr="00BF0FC7">
        <w:rPr>
          <w:rFonts w:hint="eastAsia"/>
          <w:b/>
        </w:rPr>
        <w:t>歸仁</w:t>
      </w:r>
      <w:r w:rsidR="00A066E7" w:rsidRPr="00BF0FC7">
        <w:rPr>
          <w:rFonts w:hint="eastAsia"/>
          <w:b/>
        </w:rPr>
        <w:t>營區</w:t>
      </w:r>
      <w:r w:rsidR="00B941AD" w:rsidRPr="00BF0FC7">
        <w:rPr>
          <w:rFonts w:hint="eastAsia"/>
          <w:b/>
        </w:rPr>
        <w:t>之</w:t>
      </w:r>
      <w:r w:rsidRPr="00BF0FC7">
        <w:rPr>
          <w:rFonts w:hint="eastAsia"/>
          <w:b/>
        </w:rPr>
        <w:t>執行情形如下：</w:t>
      </w:r>
      <w:bookmarkEnd w:id="132"/>
      <w:bookmarkEnd w:id="133"/>
    </w:p>
    <w:p w:rsidR="00745AF2" w:rsidRPr="00BF0FC7" w:rsidRDefault="00003FBB" w:rsidP="00003FBB">
      <w:pPr>
        <w:pStyle w:val="4"/>
      </w:pPr>
      <w:r w:rsidRPr="00BF0FC7">
        <w:rPr>
          <w:rFonts w:hint="eastAsia"/>
        </w:rPr>
        <w:t>航</w:t>
      </w:r>
      <w:proofErr w:type="gramStart"/>
      <w:r w:rsidRPr="00BF0FC7">
        <w:rPr>
          <w:rFonts w:hint="eastAsia"/>
        </w:rPr>
        <w:t>特</w:t>
      </w:r>
      <w:proofErr w:type="gramEnd"/>
      <w:r w:rsidRPr="00BF0FC7">
        <w:rPr>
          <w:rFonts w:hint="eastAsia"/>
        </w:rPr>
        <w:t>部任務：</w:t>
      </w:r>
    </w:p>
    <w:p w:rsidR="00542FAF" w:rsidRPr="00BF0FC7" w:rsidRDefault="00003FBB" w:rsidP="00745AF2">
      <w:pPr>
        <w:pStyle w:val="5"/>
      </w:pPr>
      <w:r w:rsidRPr="00BF0FC7">
        <w:rPr>
          <w:rFonts w:hint="eastAsia"/>
        </w:rPr>
        <w:t>平時：負責陸、海、空軍直升機飛行、補保人員專業專長及進階教育訓練；另</w:t>
      </w:r>
      <w:proofErr w:type="gramStart"/>
      <w:r w:rsidRPr="00BF0FC7">
        <w:rPr>
          <w:rFonts w:hint="eastAsia"/>
        </w:rPr>
        <w:t>任仁德災防分區</w:t>
      </w:r>
      <w:proofErr w:type="gramEnd"/>
      <w:r w:rsidRPr="00BF0FC7">
        <w:rPr>
          <w:rFonts w:hint="eastAsia"/>
        </w:rPr>
        <w:t>指揮官，依令執行災害防救任務。</w:t>
      </w:r>
    </w:p>
    <w:p w:rsidR="00003FBB" w:rsidRPr="00BF0FC7" w:rsidRDefault="00003FBB" w:rsidP="00745AF2">
      <w:pPr>
        <w:pStyle w:val="5"/>
      </w:pPr>
      <w:r w:rsidRPr="00BF0FC7">
        <w:rPr>
          <w:rFonts w:hint="eastAsia"/>
        </w:rPr>
        <w:t>戰時：轉換為航空第</w:t>
      </w:r>
      <w:r w:rsidR="00D44AE1" w:rsidRPr="00BF0FC7">
        <w:rPr>
          <w:rFonts w:hint="eastAsia"/>
        </w:rPr>
        <w:t>六○</w:t>
      </w:r>
      <w:r w:rsidR="00123D3F" w:rsidRPr="00BF0FC7">
        <w:rPr>
          <w:rFonts w:hint="eastAsia"/>
        </w:rPr>
        <w:t>三</w:t>
      </w:r>
      <w:r w:rsidRPr="00BF0FC7">
        <w:rPr>
          <w:rFonts w:hint="eastAsia"/>
        </w:rPr>
        <w:t>旅，並納編內政部空中勤務總隊，任國防部戰略預備隊</w:t>
      </w:r>
      <w:r w:rsidR="00F565DB" w:rsidRPr="00BF0FC7">
        <w:rPr>
          <w:rFonts w:hint="eastAsia"/>
        </w:rPr>
        <w:t>，</w:t>
      </w:r>
      <w:proofErr w:type="gramStart"/>
      <w:r w:rsidRPr="00BF0FC7">
        <w:rPr>
          <w:rFonts w:hint="eastAsia"/>
        </w:rPr>
        <w:t>依令遂行</w:t>
      </w:r>
      <w:proofErr w:type="gramEnd"/>
      <w:r w:rsidRPr="00BF0FC7">
        <w:rPr>
          <w:rFonts w:hint="eastAsia"/>
        </w:rPr>
        <w:t>國土防衛作戰。</w:t>
      </w:r>
    </w:p>
    <w:p w:rsidR="00003FBB" w:rsidRPr="00BF0FC7" w:rsidRDefault="00003FBB" w:rsidP="00003FBB">
      <w:pPr>
        <w:pStyle w:val="4"/>
      </w:pPr>
      <w:r w:rsidRPr="00BF0FC7">
        <w:rPr>
          <w:rFonts w:hint="eastAsia"/>
        </w:rPr>
        <w:t>配賦飛機裝備現有AH-1W、OH-58D、CH-47SD及TH-67等4型機。</w:t>
      </w:r>
    </w:p>
    <w:p w:rsidR="00003FBB" w:rsidRPr="00BF0FC7" w:rsidRDefault="00003FBB" w:rsidP="00003FBB">
      <w:pPr>
        <w:pStyle w:val="4"/>
      </w:pPr>
      <w:r w:rsidRPr="00BF0FC7">
        <w:rPr>
          <w:rFonts w:hint="eastAsia"/>
        </w:rPr>
        <w:lastRenderedPageBreak/>
        <w:t>飛機清洗污水</w:t>
      </w:r>
    </w:p>
    <w:p w:rsidR="00003FBB" w:rsidRPr="00BF0FC7" w:rsidRDefault="00003FBB" w:rsidP="00003FBB">
      <w:pPr>
        <w:pStyle w:val="5"/>
      </w:pPr>
      <w:r w:rsidRPr="00BF0FC7">
        <w:rPr>
          <w:rFonts w:hint="eastAsia"/>
        </w:rPr>
        <w:t>定期(使用清洗劑)：各型機清洗週期</w:t>
      </w:r>
      <w:proofErr w:type="gramStart"/>
      <w:r w:rsidRPr="00BF0FC7">
        <w:rPr>
          <w:rFonts w:hint="eastAsia"/>
        </w:rPr>
        <w:t>依據技令規定</w:t>
      </w:r>
      <w:proofErr w:type="gramEnd"/>
      <w:r w:rsidRPr="00BF0FC7">
        <w:rPr>
          <w:rFonts w:hint="eastAsia"/>
        </w:rPr>
        <w:t>執行，並按清洗劑型式及調和比例實施作業。各型機清洗劑型式</w:t>
      </w:r>
      <w:proofErr w:type="gramStart"/>
      <w:r w:rsidRPr="00BF0FC7">
        <w:rPr>
          <w:rFonts w:hint="eastAsia"/>
        </w:rPr>
        <w:t>均依技令</w:t>
      </w:r>
      <w:proofErr w:type="gramEnd"/>
      <w:r w:rsidRPr="00BF0FC7">
        <w:rPr>
          <w:rFonts w:hint="eastAsia"/>
        </w:rPr>
        <w:t>規範型式使用，</w:t>
      </w:r>
      <w:proofErr w:type="gramStart"/>
      <w:r w:rsidRPr="00BF0FC7">
        <w:rPr>
          <w:rFonts w:hint="eastAsia"/>
        </w:rPr>
        <w:t>成分易可為</w:t>
      </w:r>
      <w:proofErr w:type="gramEnd"/>
      <w:r w:rsidRPr="00BF0FC7">
        <w:rPr>
          <w:rFonts w:hint="eastAsia"/>
        </w:rPr>
        <w:t>微生物分解，pH值為弱鹼，稀釋後為中性，危險等級為無害廢物，可溶解於水</w:t>
      </w:r>
      <w:proofErr w:type="gramStart"/>
      <w:r w:rsidRPr="00BF0FC7">
        <w:rPr>
          <w:rFonts w:hint="eastAsia"/>
        </w:rPr>
        <w:t>併</w:t>
      </w:r>
      <w:proofErr w:type="gramEnd"/>
      <w:r w:rsidRPr="00BF0FC7">
        <w:rPr>
          <w:rFonts w:hint="eastAsia"/>
        </w:rPr>
        <w:t>隨水蒸發。</w:t>
      </w:r>
    </w:p>
    <w:p w:rsidR="00003FBB" w:rsidRPr="00BF0FC7" w:rsidRDefault="00003FBB" w:rsidP="00003FBB">
      <w:pPr>
        <w:pStyle w:val="5"/>
      </w:pPr>
      <w:r w:rsidRPr="00BF0FC7">
        <w:rPr>
          <w:rFonts w:hint="eastAsia"/>
        </w:rPr>
        <w:t>不定期(使用清水)：於海上、腐蝕物質地帶及沙塵區域後執行動態清洗。</w:t>
      </w:r>
    </w:p>
    <w:p w:rsidR="00003FBB" w:rsidRPr="00BF0FC7" w:rsidRDefault="00003FBB" w:rsidP="00003FBB">
      <w:pPr>
        <w:pStyle w:val="4"/>
      </w:pPr>
      <w:r w:rsidRPr="00BF0FC7">
        <w:rPr>
          <w:rFonts w:hint="eastAsia"/>
        </w:rPr>
        <w:t>機身清洗按</w:t>
      </w:r>
      <w:proofErr w:type="gramStart"/>
      <w:r w:rsidRPr="00BF0FC7">
        <w:rPr>
          <w:rFonts w:hint="eastAsia"/>
        </w:rPr>
        <w:t>美軍技令規範</w:t>
      </w:r>
      <w:proofErr w:type="gramEnd"/>
      <w:r w:rsidRPr="00BF0FC7">
        <w:rPr>
          <w:rFonts w:hint="eastAsia"/>
        </w:rPr>
        <w:t>，清洗劑與水調和比例約</w:t>
      </w:r>
      <w:r w:rsidRPr="00BF0FC7">
        <w:t>4</w:t>
      </w:r>
      <w:r w:rsidRPr="00BF0FC7">
        <w:rPr>
          <w:rFonts w:hint="eastAsia"/>
        </w:rPr>
        <w:t>〜</w:t>
      </w:r>
      <w:r w:rsidRPr="00BF0FC7">
        <w:t>10(</w:t>
      </w:r>
      <w:r w:rsidRPr="00BF0FC7">
        <w:rPr>
          <w:rFonts w:hint="eastAsia"/>
        </w:rPr>
        <w:t>清水</w:t>
      </w:r>
      <w:r w:rsidRPr="00BF0FC7">
        <w:t>)</w:t>
      </w:r>
      <w:r w:rsidRPr="00BF0FC7">
        <w:rPr>
          <w:rFonts w:hint="eastAsia"/>
        </w:rPr>
        <w:t>：</w:t>
      </w:r>
      <w:r w:rsidRPr="00BF0FC7">
        <w:t>1(</w:t>
      </w:r>
      <w:r w:rsidRPr="00BF0FC7">
        <w:rPr>
          <w:rFonts w:hint="eastAsia"/>
        </w:rPr>
        <w:t>清洗劑</w:t>
      </w:r>
      <w:r w:rsidRPr="00BF0FC7">
        <w:t>)</w:t>
      </w:r>
      <w:r w:rsidRPr="00BF0FC7">
        <w:rPr>
          <w:rFonts w:hint="eastAsia"/>
        </w:rPr>
        <w:t>，沖洗時水量依機型不同約為</w:t>
      </w:r>
      <w:r w:rsidRPr="00BF0FC7">
        <w:t>56~200</w:t>
      </w:r>
      <w:r w:rsidRPr="00BF0FC7">
        <w:rPr>
          <w:rFonts w:hint="eastAsia"/>
        </w:rPr>
        <w:t>公升，清洗後產生廢水多數於停機坪上直接蒸發，僅少量排入溝渠。</w:t>
      </w:r>
    </w:p>
    <w:p w:rsidR="007F3B81" w:rsidRPr="00BF0FC7" w:rsidRDefault="007F3B81" w:rsidP="00661F6F">
      <w:pPr>
        <w:pStyle w:val="3"/>
      </w:pPr>
      <w:bookmarkStart w:id="134" w:name="_Toc138666461"/>
      <w:bookmarkStart w:id="135" w:name="_Toc140135583"/>
      <w:r w:rsidRPr="00BF0FC7">
        <w:rPr>
          <w:rFonts w:hint="eastAsia"/>
        </w:rPr>
        <w:t>經本院實地履</w:t>
      </w:r>
      <w:proofErr w:type="gramStart"/>
      <w:r w:rsidRPr="00BF0FC7">
        <w:rPr>
          <w:rFonts w:hint="eastAsia"/>
        </w:rPr>
        <w:t>勘</w:t>
      </w:r>
      <w:proofErr w:type="gramEnd"/>
      <w:r w:rsidR="002023FF" w:rsidRPr="00BF0FC7">
        <w:rPr>
          <w:rFonts w:hint="eastAsia"/>
        </w:rPr>
        <w:t>其清洗作業</w:t>
      </w:r>
      <w:r w:rsidRPr="00BF0FC7">
        <w:rPr>
          <w:rFonts w:hint="eastAsia"/>
        </w:rPr>
        <w:t>，可知</w:t>
      </w:r>
      <w:r w:rsidR="001F00C4" w:rsidRPr="00BF0FC7">
        <w:rPr>
          <w:rFonts w:hint="eastAsia"/>
        </w:rPr>
        <w:t>航</w:t>
      </w:r>
      <w:proofErr w:type="gramStart"/>
      <w:r w:rsidR="001F00C4" w:rsidRPr="00BF0FC7">
        <w:rPr>
          <w:rFonts w:hint="eastAsia"/>
        </w:rPr>
        <w:t>特</w:t>
      </w:r>
      <w:proofErr w:type="gramEnd"/>
      <w:r w:rsidR="001F00C4" w:rsidRPr="00BF0FC7">
        <w:rPr>
          <w:rFonts w:hint="eastAsia"/>
        </w:rPr>
        <w:t>部所屬軍用機場於飛機清洗作業時，定期清洗</w:t>
      </w:r>
      <w:r w:rsidR="000C39EA" w:rsidRPr="00BF0FC7">
        <w:rPr>
          <w:rFonts w:hint="eastAsia"/>
        </w:rPr>
        <w:t>（使用清洗劑）</w:t>
      </w:r>
      <w:r w:rsidR="001F00C4" w:rsidRPr="00BF0FC7">
        <w:rPr>
          <w:rFonts w:hint="eastAsia"/>
        </w:rPr>
        <w:t>時之用水量甚微，而不定期清洗</w:t>
      </w:r>
      <w:r w:rsidR="000C39EA" w:rsidRPr="00BF0FC7">
        <w:rPr>
          <w:rFonts w:hint="eastAsia"/>
        </w:rPr>
        <w:t>（使用清水）</w:t>
      </w:r>
      <w:r w:rsidR="001F00C4" w:rsidRPr="00BF0FC7">
        <w:rPr>
          <w:rFonts w:hint="eastAsia"/>
        </w:rPr>
        <w:t>則為</w:t>
      </w:r>
      <w:r w:rsidR="000C39EA" w:rsidRPr="00BF0FC7">
        <w:rPr>
          <w:rFonts w:hint="eastAsia"/>
        </w:rPr>
        <w:t>上</w:t>
      </w:r>
      <w:r w:rsidR="001F00C4" w:rsidRPr="00BF0FC7">
        <w:rPr>
          <w:rFonts w:hint="eastAsia"/>
        </w:rPr>
        <w:t>述特定</w:t>
      </w:r>
      <w:r w:rsidR="000C39EA" w:rsidRPr="00BF0FC7">
        <w:rPr>
          <w:rFonts w:hint="eastAsia"/>
        </w:rPr>
        <w:t>場域</w:t>
      </w:r>
      <w:r w:rsidR="001F00C4" w:rsidRPr="00BF0FC7">
        <w:rPr>
          <w:rFonts w:hint="eastAsia"/>
        </w:rPr>
        <w:t>作業</w:t>
      </w:r>
      <w:r w:rsidR="000C39EA" w:rsidRPr="00BF0FC7">
        <w:rPr>
          <w:rFonts w:hint="eastAsia"/>
        </w:rPr>
        <w:t>後，</w:t>
      </w:r>
      <w:r w:rsidR="001F00C4" w:rsidRPr="00BF0FC7">
        <w:rPr>
          <w:rFonts w:hint="eastAsia"/>
        </w:rPr>
        <w:t>以大量清水且以飛機運轉狀態下使用</w:t>
      </w:r>
      <w:r w:rsidR="00FC0A7E" w:rsidRPr="00BF0FC7">
        <w:rPr>
          <w:rFonts w:hint="eastAsia"/>
        </w:rPr>
        <w:t>，且其地面</w:t>
      </w:r>
      <w:r w:rsidR="0046635D" w:rsidRPr="00BF0FC7">
        <w:rPr>
          <w:rFonts w:hint="eastAsia"/>
        </w:rPr>
        <w:t>鋪設</w:t>
      </w:r>
      <w:r w:rsidR="00FC0A7E" w:rsidRPr="00BF0FC7">
        <w:rPr>
          <w:rFonts w:hint="eastAsia"/>
        </w:rPr>
        <w:t>不透水混凝土</w:t>
      </w:r>
      <w:r w:rsidR="0046635D" w:rsidRPr="00BF0FC7">
        <w:rPr>
          <w:rFonts w:hint="eastAsia"/>
        </w:rPr>
        <w:t>鋪面</w:t>
      </w:r>
      <w:r w:rsidR="00016326" w:rsidRPr="00BF0FC7">
        <w:rPr>
          <w:rFonts w:hint="eastAsia"/>
        </w:rPr>
        <w:t>。</w:t>
      </w:r>
      <w:r w:rsidR="00FC0A7E" w:rsidRPr="00BF0FC7">
        <w:rPr>
          <w:rFonts w:hint="eastAsia"/>
        </w:rPr>
        <w:t>是國防部所復資料</w:t>
      </w:r>
      <w:r w:rsidR="004D2CC8" w:rsidRPr="00BF0FC7">
        <w:rPr>
          <w:rFonts w:hint="eastAsia"/>
        </w:rPr>
        <w:t>清洗廢水多數蒸發、少量排入溝渠等內容，</w:t>
      </w:r>
      <w:r w:rsidR="00BB6258" w:rsidRPr="00BF0FC7">
        <w:rPr>
          <w:rFonts w:hint="eastAsia"/>
        </w:rPr>
        <w:t>尚</w:t>
      </w:r>
      <w:r w:rsidR="00FC0A7E" w:rsidRPr="00BF0FC7">
        <w:rPr>
          <w:rFonts w:hint="eastAsia"/>
        </w:rPr>
        <w:t>屬有據，</w:t>
      </w:r>
      <w:r w:rsidR="003E3D83" w:rsidRPr="00BF0FC7">
        <w:rPr>
          <w:rFonts w:hint="eastAsia"/>
        </w:rPr>
        <w:t>且</w:t>
      </w:r>
      <w:proofErr w:type="gramStart"/>
      <w:r w:rsidR="003E3D83" w:rsidRPr="00BF0FC7">
        <w:rPr>
          <w:rFonts w:hint="eastAsia"/>
        </w:rPr>
        <w:t>該部既已</w:t>
      </w:r>
      <w:proofErr w:type="gramEnd"/>
      <w:r w:rsidR="003E3D83" w:rsidRPr="00BF0FC7">
        <w:rPr>
          <w:rFonts w:hint="eastAsia"/>
        </w:rPr>
        <w:t>承諾</w:t>
      </w:r>
      <w:r w:rsidR="0094093E" w:rsidRPr="00BF0FC7">
        <w:rPr>
          <w:rFonts w:hint="eastAsia"/>
        </w:rPr>
        <w:t>辦理場址評估作業，</w:t>
      </w:r>
      <w:proofErr w:type="gramStart"/>
      <w:r w:rsidR="0094093E" w:rsidRPr="00BF0FC7">
        <w:rPr>
          <w:rFonts w:hint="eastAsia"/>
        </w:rPr>
        <w:t>倘經評估</w:t>
      </w:r>
      <w:proofErr w:type="gramEnd"/>
      <w:r w:rsidR="0094093E" w:rsidRPr="00BF0FC7">
        <w:rPr>
          <w:rFonts w:hint="eastAsia"/>
        </w:rPr>
        <w:t>為高風險污染潛勢區域始執行</w:t>
      </w:r>
      <w:proofErr w:type="gramStart"/>
      <w:r w:rsidR="0094093E" w:rsidRPr="00BF0FC7">
        <w:rPr>
          <w:rFonts w:hint="eastAsia"/>
        </w:rPr>
        <w:t>採</w:t>
      </w:r>
      <w:proofErr w:type="gramEnd"/>
      <w:r w:rsidR="0094093E" w:rsidRPr="00BF0FC7">
        <w:rPr>
          <w:rFonts w:hint="eastAsia"/>
        </w:rPr>
        <w:t>點檢測，應確實辦理。</w:t>
      </w:r>
      <w:r w:rsidR="00D043CC" w:rsidRPr="00BF0FC7">
        <w:rPr>
          <w:rFonts w:hint="eastAsia"/>
        </w:rPr>
        <w:t>另據水污染防治法第14條、第2</w:t>
      </w:r>
      <w:r w:rsidR="00D043CC" w:rsidRPr="00BF0FC7">
        <w:t>0</w:t>
      </w:r>
      <w:r w:rsidR="00D043CC" w:rsidRPr="00BF0FC7">
        <w:rPr>
          <w:rFonts w:hint="eastAsia"/>
        </w:rPr>
        <w:t>條規定略</w:t>
      </w:r>
      <w:proofErr w:type="gramStart"/>
      <w:r w:rsidR="00D043CC" w:rsidRPr="00BF0FC7">
        <w:rPr>
          <w:rFonts w:hint="eastAsia"/>
        </w:rPr>
        <w:t>以</w:t>
      </w:r>
      <w:proofErr w:type="gramEnd"/>
      <w:r w:rsidR="00D043CC" w:rsidRPr="00BF0FC7">
        <w:rPr>
          <w:rFonts w:hint="eastAsia"/>
        </w:rPr>
        <w:t>，事業排放廢（污）</w:t>
      </w:r>
      <w:proofErr w:type="gramStart"/>
      <w:r w:rsidR="00D043CC" w:rsidRPr="00BF0FC7">
        <w:rPr>
          <w:rFonts w:hint="eastAsia"/>
        </w:rPr>
        <w:t>水於地面</w:t>
      </w:r>
      <w:proofErr w:type="gramEnd"/>
      <w:r w:rsidR="00D043CC" w:rsidRPr="00BF0FC7">
        <w:rPr>
          <w:rFonts w:hint="eastAsia"/>
        </w:rPr>
        <w:t>水體者，應向主管機關申請核發排放許可證</w:t>
      </w:r>
      <w:r w:rsidR="00322EB7" w:rsidRPr="00BF0FC7">
        <w:rPr>
          <w:rFonts w:hint="eastAsia"/>
        </w:rPr>
        <w:t>，</w:t>
      </w:r>
      <w:proofErr w:type="gramStart"/>
      <w:r w:rsidR="00D043CC" w:rsidRPr="00BF0FC7">
        <w:rPr>
          <w:rFonts w:hint="eastAsia"/>
        </w:rPr>
        <w:t>事業貯留廢水</w:t>
      </w:r>
      <w:proofErr w:type="gramEnd"/>
      <w:r w:rsidR="00D043CC" w:rsidRPr="00BF0FC7">
        <w:rPr>
          <w:rFonts w:hint="eastAsia"/>
        </w:rPr>
        <w:t>應申請直轄市或縣（市）主管機關許可後，始得為之等內容</w:t>
      </w:r>
      <w:r w:rsidR="003F44B1" w:rsidRPr="00BF0FC7">
        <w:rPr>
          <w:rFonts w:hint="eastAsia"/>
        </w:rPr>
        <w:t>。基此</w:t>
      </w:r>
      <w:r w:rsidR="00D043CC" w:rsidRPr="00BF0FC7">
        <w:rPr>
          <w:rFonts w:hint="eastAsia"/>
        </w:rPr>
        <w:t>，</w:t>
      </w:r>
      <w:r w:rsidR="00EF0E2B" w:rsidRPr="00BF0FC7">
        <w:rPr>
          <w:rFonts w:hint="eastAsia"/>
        </w:rPr>
        <w:t>上開作業</w:t>
      </w:r>
      <w:r w:rsidR="00D043CC" w:rsidRPr="00BF0FC7">
        <w:rPr>
          <w:rFonts w:hint="eastAsia"/>
        </w:rPr>
        <w:t>仍應注意水污染防治法相關事業廢水排放</w:t>
      </w:r>
      <w:proofErr w:type="gramStart"/>
      <w:r w:rsidR="00D043CC" w:rsidRPr="00BF0FC7">
        <w:rPr>
          <w:rFonts w:hint="eastAsia"/>
        </w:rPr>
        <w:t>或貯留之</w:t>
      </w:r>
      <w:proofErr w:type="gramEnd"/>
      <w:r w:rsidR="00D043CC" w:rsidRPr="00BF0FC7">
        <w:rPr>
          <w:rFonts w:hint="eastAsia"/>
        </w:rPr>
        <w:t>規定，避免衍生外界疑慮。</w:t>
      </w:r>
      <w:bookmarkEnd w:id="134"/>
      <w:bookmarkEnd w:id="135"/>
    </w:p>
    <w:p w:rsidR="007F67EB" w:rsidRPr="00BF0FC7" w:rsidRDefault="00AA6363" w:rsidP="003623A5">
      <w:pPr>
        <w:pStyle w:val="3"/>
      </w:pPr>
      <w:bookmarkStart w:id="136" w:name="_Toc138666462"/>
      <w:bookmarkStart w:id="137" w:name="_Toc140135584"/>
      <w:r w:rsidRPr="00BF0FC7">
        <w:rPr>
          <w:rFonts w:hint="eastAsia"/>
        </w:rPr>
        <w:t>綜上，</w:t>
      </w:r>
      <w:bookmarkEnd w:id="136"/>
      <w:r w:rsidR="00523119" w:rsidRPr="00BF0FC7">
        <w:rPr>
          <w:rFonts w:hint="eastAsia"/>
        </w:rPr>
        <w:t>國防部陸軍司令部轄管正常使用中營區計有392處，該司令部於107至108年間檢討屬高污染</w:t>
      </w:r>
      <w:proofErr w:type="gramStart"/>
      <w:r w:rsidR="00523119" w:rsidRPr="00BF0FC7">
        <w:rPr>
          <w:rFonts w:hint="eastAsia"/>
        </w:rPr>
        <w:t>潛勢</w:t>
      </w:r>
      <w:r w:rsidR="00523119" w:rsidRPr="00BF0FC7">
        <w:rPr>
          <w:rFonts w:hint="eastAsia"/>
        </w:rPr>
        <w:lastRenderedPageBreak/>
        <w:t>場址</w:t>
      </w:r>
      <w:proofErr w:type="gramEnd"/>
      <w:r w:rsidR="00523119" w:rsidRPr="00BF0FC7">
        <w:rPr>
          <w:rFonts w:hint="eastAsia"/>
        </w:rPr>
        <w:t>，且須辦理自主檢測計209處，業已分年執行在案。審計部</w:t>
      </w:r>
      <w:proofErr w:type="gramStart"/>
      <w:r w:rsidR="00523119" w:rsidRPr="00BF0FC7">
        <w:rPr>
          <w:rFonts w:hint="eastAsia"/>
        </w:rPr>
        <w:t>1</w:t>
      </w:r>
      <w:r w:rsidR="00523119" w:rsidRPr="00BF0FC7">
        <w:t>1</w:t>
      </w:r>
      <w:r w:rsidR="00523119" w:rsidRPr="00BF0FC7">
        <w:rPr>
          <w:rFonts w:hint="eastAsia"/>
        </w:rPr>
        <w:t>0</w:t>
      </w:r>
      <w:proofErr w:type="gramEnd"/>
      <w:r w:rsidR="00523119" w:rsidRPr="00BF0FC7">
        <w:rPr>
          <w:rFonts w:hint="eastAsia"/>
        </w:rPr>
        <w:t>年度中央政府總決算審核報告指出</w:t>
      </w:r>
      <w:r w:rsidR="00523119" w:rsidRPr="00BF0FC7">
        <w:rPr>
          <w:rFonts w:hint="eastAsia"/>
          <w:lang w:eastAsia="zh-HK"/>
        </w:rPr>
        <w:t>，</w:t>
      </w:r>
      <w:r w:rsidR="00523119" w:rsidRPr="00BF0FC7">
        <w:rPr>
          <w:rFonts w:hint="eastAsia"/>
        </w:rPr>
        <w:t>陸軍擇選高污染潛</w:t>
      </w:r>
      <w:proofErr w:type="gramStart"/>
      <w:r w:rsidR="00523119" w:rsidRPr="00BF0FC7">
        <w:rPr>
          <w:rFonts w:hint="eastAsia"/>
        </w:rPr>
        <w:t>勢區場</w:t>
      </w:r>
      <w:proofErr w:type="gramEnd"/>
      <w:r w:rsidR="00523119" w:rsidRPr="00BF0FC7">
        <w:rPr>
          <w:rFonts w:hint="eastAsia"/>
        </w:rPr>
        <w:t>址自主檢測</w:t>
      </w:r>
      <w:proofErr w:type="gramStart"/>
      <w:r w:rsidR="00523119" w:rsidRPr="00BF0FC7">
        <w:rPr>
          <w:rFonts w:hint="eastAsia"/>
        </w:rPr>
        <w:t>採樣點未臻</w:t>
      </w:r>
      <w:proofErr w:type="gramEnd"/>
      <w:r w:rsidR="00523119" w:rsidRPr="00BF0FC7">
        <w:rPr>
          <w:rFonts w:hint="eastAsia"/>
        </w:rPr>
        <w:t>周全，其中陸軍航</w:t>
      </w:r>
      <w:proofErr w:type="gramStart"/>
      <w:r w:rsidR="00523119" w:rsidRPr="00BF0FC7">
        <w:rPr>
          <w:rFonts w:hint="eastAsia"/>
        </w:rPr>
        <w:t>特</w:t>
      </w:r>
      <w:proofErr w:type="gramEnd"/>
      <w:r w:rsidR="00523119" w:rsidRPr="00BF0FC7">
        <w:rPr>
          <w:rFonts w:hint="eastAsia"/>
        </w:rPr>
        <w:t>部營區配賦有陸用直升機，清洗飛機之廢水直接排放於地面，存有污染土壤之疑慮。據本院實地履</w:t>
      </w:r>
      <w:proofErr w:type="gramStart"/>
      <w:r w:rsidR="00523119" w:rsidRPr="00BF0FC7">
        <w:rPr>
          <w:rFonts w:hint="eastAsia"/>
        </w:rPr>
        <w:t>勘</w:t>
      </w:r>
      <w:proofErr w:type="gramEnd"/>
      <w:r w:rsidR="00523119" w:rsidRPr="00BF0FC7">
        <w:rPr>
          <w:rFonts w:hint="eastAsia"/>
        </w:rPr>
        <w:t>陸軍航</w:t>
      </w:r>
      <w:proofErr w:type="gramStart"/>
      <w:r w:rsidR="00523119" w:rsidRPr="00BF0FC7">
        <w:rPr>
          <w:rFonts w:hint="eastAsia"/>
        </w:rPr>
        <w:t>特</w:t>
      </w:r>
      <w:proofErr w:type="gramEnd"/>
      <w:r w:rsidR="00523119" w:rsidRPr="00BF0FC7">
        <w:rPr>
          <w:rFonts w:hint="eastAsia"/>
        </w:rPr>
        <w:t>部歸仁營區執行飛機清洗作業方式，於定期清洗（使用清洗劑）時之用水量甚微，不定期清洗（使用清水）僅為特定場域作業後執行，又地面已鋪設不透水混凝土鋪面。國防部以飛機清洗廢水多數蒸發、少量排入溝渠，且承諾辦理該場址評估作業，應確實執行，另如有廢水產生時，仍應注意水污染防治法相關事業廢水排放</w:t>
      </w:r>
      <w:proofErr w:type="gramStart"/>
      <w:r w:rsidR="00523119" w:rsidRPr="00BF0FC7">
        <w:rPr>
          <w:rFonts w:hint="eastAsia"/>
        </w:rPr>
        <w:t>或貯留之</w:t>
      </w:r>
      <w:proofErr w:type="gramEnd"/>
      <w:r w:rsidR="00523119" w:rsidRPr="00BF0FC7">
        <w:rPr>
          <w:rFonts w:hint="eastAsia"/>
        </w:rPr>
        <w:t>規定，以符合法令且避免衍生外界疑慮。</w:t>
      </w:r>
      <w:bookmarkEnd w:id="137"/>
    </w:p>
    <w:p w:rsidR="002903F0" w:rsidRPr="00BF0FC7" w:rsidRDefault="002903F0" w:rsidP="002903F0">
      <w:pPr>
        <w:pStyle w:val="3"/>
        <w:numPr>
          <w:ilvl w:val="0"/>
          <w:numId w:val="0"/>
        </w:numPr>
        <w:ind w:left="1344"/>
      </w:pPr>
    </w:p>
    <w:p w:rsidR="007F67EB" w:rsidRPr="00BF0FC7" w:rsidRDefault="00481DFC" w:rsidP="00B77324">
      <w:pPr>
        <w:pStyle w:val="2"/>
        <w:rPr>
          <w:b/>
        </w:rPr>
      </w:pPr>
      <w:bookmarkStart w:id="138" w:name="_Toc140135585"/>
      <w:r w:rsidRPr="00BF0FC7">
        <w:rPr>
          <w:rFonts w:hint="eastAsia"/>
          <w:b/>
        </w:rPr>
        <w:t>國防部</w:t>
      </w:r>
      <w:r w:rsidR="007F7EBA" w:rsidRPr="00BF0FC7">
        <w:rPr>
          <w:rFonts w:hint="eastAsia"/>
          <w:b/>
        </w:rPr>
        <w:t>陸軍金門防衛指揮部</w:t>
      </w:r>
      <w:r w:rsidRPr="00BF0FC7">
        <w:rPr>
          <w:rFonts w:hint="eastAsia"/>
          <w:b/>
        </w:rPr>
        <w:t>新頭</w:t>
      </w:r>
      <w:proofErr w:type="gramStart"/>
      <w:r w:rsidRPr="00BF0FC7">
        <w:rPr>
          <w:rFonts w:hint="eastAsia"/>
          <w:b/>
        </w:rPr>
        <w:t>三</w:t>
      </w:r>
      <w:proofErr w:type="gramEnd"/>
      <w:r w:rsidRPr="00BF0FC7">
        <w:rPr>
          <w:rFonts w:hint="eastAsia"/>
          <w:b/>
        </w:rPr>
        <w:t>營區</w:t>
      </w:r>
      <w:r w:rsidR="00930F72" w:rsidRPr="00BF0FC7">
        <w:rPr>
          <w:rFonts w:hint="eastAsia"/>
          <w:b/>
        </w:rPr>
        <w:t>於</w:t>
      </w:r>
      <w:r w:rsidRPr="00BF0FC7">
        <w:rPr>
          <w:rFonts w:hint="eastAsia"/>
          <w:b/>
        </w:rPr>
        <w:t>107年6月</w:t>
      </w:r>
      <w:r w:rsidR="00C07E7A" w:rsidRPr="00BF0FC7">
        <w:rPr>
          <w:rFonts w:hint="eastAsia"/>
          <w:b/>
        </w:rPr>
        <w:t>6日</w:t>
      </w:r>
      <w:r w:rsidRPr="00BF0FC7">
        <w:rPr>
          <w:rFonts w:hint="eastAsia"/>
          <w:b/>
        </w:rPr>
        <w:t>經主管機關公告為土壤污染</w:t>
      </w:r>
      <w:r w:rsidR="00746D9C" w:rsidRPr="00BF0FC7">
        <w:rPr>
          <w:rFonts w:hint="eastAsia"/>
          <w:b/>
        </w:rPr>
        <w:t>場址</w:t>
      </w:r>
      <w:r w:rsidR="00A40568" w:rsidRPr="00BF0FC7">
        <w:rPr>
          <w:rFonts w:hint="eastAsia"/>
          <w:b/>
        </w:rPr>
        <w:t>，因屬舊時雷區</w:t>
      </w:r>
      <w:r w:rsidR="00B77570" w:rsidRPr="00BF0FC7">
        <w:rPr>
          <w:rFonts w:hint="eastAsia"/>
          <w:b/>
        </w:rPr>
        <w:t>須</w:t>
      </w:r>
      <w:r w:rsidR="00A40568" w:rsidRPr="00BF0FC7">
        <w:rPr>
          <w:rFonts w:hint="eastAsia"/>
          <w:b/>
        </w:rPr>
        <w:t>進行探測作業，故所提送污染控制計畫書至1</w:t>
      </w:r>
      <w:r w:rsidR="00A40568" w:rsidRPr="00BF0FC7">
        <w:rPr>
          <w:b/>
        </w:rPr>
        <w:t>09</w:t>
      </w:r>
      <w:r w:rsidR="00A40568" w:rsidRPr="00BF0FC7">
        <w:rPr>
          <w:rFonts w:hint="eastAsia"/>
          <w:b/>
        </w:rPr>
        <w:t>年7月2</w:t>
      </w:r>
      <w:r w:rsidR="00A40568" w:rsidRPr="00BF0FC7">
        <w:rPr>
          <w:b/>
        </w:rPr>
        <w:t>0</w:t>
      </w:r>
      <w:r w:rsidR="00A40568" w:rsidRPr="00BF0FC7">
        <w:rPr>
          <w:rFonts w:hint="eastAsia"/>
          <w:b/>
        </w:rPr>
        <w:t>日方獲金門縣政府</w:t>
      </w:r>
      <w:r w:rsidR="00B77570" w:rsidRPr="00BF0FC7">
        <w:rPr>
          <w:rFonts w:hint="eastAsia"/>
          <w:b/>
        </w:rPr>
        <w:t>同意在案，</w:t>
      </w:r>
      <w:r w:rsidR="00776B6B" w:rsidRPr="00BF0FC7">
        <w:rPr>
          <w:rFonts w:hint="eastAsia"/>
          <w:b/>
        </w:rPr>
        <w:t>原</w:t>
      </w:r>
      <w:r w:rsidR="00B77570" w:rsidRPr="00BF0FC7">
        <w:rPr>
          <w:rFonts w:hint="eastAsia"/>
          <w:b/>
        </w:rPr>
        <w:t>核定</w:t>
      </w:r>
      <w:r w:rsidR="00776B6B" w:rsidRPr="00BF0FC7">
        <w:rPr>
          <w:rFonts w:hint="eastAsia"/>
          <w:b/>
        </w:rPr>
        <w:t>期程為</w:t>
      </w:r>
      <w:r w:rsidR="00C07E7A" w:rsidRPr="00BF0FC7">
        <w:rPr>
          <w:rFonts w:hint="eastAsia"/>
          <w:b/>
        </w:rPr>
        <w:t>1</w:t>
      </w:r>
      <w:r w:rsidR="00C07E7A" w:rsidRPr="00BF0FC7">
        <w:rPr>
          <w:b/>
        </w:rPr>
        <w:t>12</w:t>
      </w:r>
      <w:r w:rsidR="00C07E7A" w:rsidRPr="00BF0FC7">
        <w:rPr>
          <w:rFonts w:hint="eastAsia"/>
          <w:b/>
        </w:rPr>
        <w:t>年1月3</w:t>
      </w:r>
      <w:r w:rsidR="00C07E7A" w:rsidRPr="00BF0FC7">
        <w:rPr>
          <w:b/>
        </w:rPr>
        <w:t>1</w:t>
      </w:r>
      <w:r w:rsidR="00C07E7A" w:rsidRPr="00BF0FC7">
        <w:rPr>
          <w:rFonts w:hint="eastAsia"/>
          <w:b/>
        </w:rPr>
        <w:t>日完成</w:t>
      </w:r>
      <w:r w:rsidR="00C07E7A" w:rsidRPr="00BF0FC7">
        <w:rPr>
          <w:rFonts w:hint="eastAsia"/>
          <w:b/>
          <w:lang w:eastAsia="zh-HK"/>
        </w:rPr>
        <w:t>，後再展延期限至</w:t>
      </w:r>
      <w:r w:rsidR="00C07E7A" w:rsidRPr="00BF0FC7">
        <w:rPr>
          <w:rFonts w:hint="eastAsia"/>
          <w:b/>
        </w:rPr>
        <w:t>1</w:t>
      </w:r>
      <w:r w:rsidR="00C07E7A" w:rsidRPr="00BF0FC7">
        <w:rPr>
          <w:b/>
        </w:rPr>
        <w:t>14</w:t>
      </w:r>
      <w:r w:rsidR="00C07E7A" w:rsidRPr="00BF0FC7">
        <w:rPr>
          <w:rFonts w:hint="eastAsia"/>
          <w:b/>
        </w:rPr>
        <w:t>年5月1日完成整治工作</w:t>
      </w:r>
      <w:r w:rsidR="00DE65EC" w:rsidRPr="00BF0FC7">
        <w:rPr>
          <w:rFonts w:hint="eastAsia"/>
          <w:b/>
        </w:rPr>
        <w:t>。</w:t>
      </w:r>
      <w:r w:rsidR="001D44A3" w:rsidRPr="00BF0FC7">
        <w:rPr>
          <w:rFonts w:hint="eastAsia"/>
          <w:b/>
        </w:rPr>
        <w:t>該</w:t>
      </w:r>
      <w:r w:rsidR="00B06870" w:rsidRPr="00BF0FC7">
        <w:rPr>
          <w:rFonts w:hint="eastAsia"/>
          <w:b/>
        </w:rPr>
        <w:t>污染</w:t>
      </w:r>
      <w:r w:rsidR="001D44A3" w:rsidRPr="00BF0FC7">
        <w:rPr>
          <w:rFonts w:hint="eastAsia"/>
          <w:b/>
        </w:rPr>
        <w:t>場址</w:t>
      </w:r>
      <w:r w:rsidR="002750FE" w:rsidRPr="00BF0FC7">
        <w:rPr>
          <w:rFonts w:hint="eastAsia"/>
          <w:b/>
        </w:rPr>
        <w:t>雖已於111年6月1</w:t>
      </w:r>
      <w:r w:rsidR="002750FE" w:rsidRPr="00BF0FC7">
        <w:rPr>
          <w:b/>
        </w:rPr>
        <w:t>7</w:t>
      </w:r>
      <w:r w:rsidR="002750FE" w:rsidRPr="00BF0FC7">
        <w:rPr>
          <w:rFonts w:hint="eastAsia"/>
          <w:b/>
        </w:rPr>
        <w:t>日開工執行，然將</w:t>
      </w:r>
      <w:r w:rsidR="00B77570" w:rsidRPr="00BF0FC7">
        <w:rPr>
          <w:rFonts w:hint="eastAsia"/>
          <w:b/>
        </w:rPr>
        <w:t>歷時近7年</w:t>
      </w:r>
      <w:r w:rsidR="002750FE" w:rsidRPr="00BF0FC7">
        <w:rPr>
          <w:rFonts w:hint="eastAsia"/>
          <w:b/>
        </w:rPr>
        <w:t>方可完成</w:t>
      </w:r>
      <w:r w:rsidR="00B77570" w:rsidRPr="00BF0FC7">
        <w:rPr>
          <w:rFonts w:hint="eastAsia"/>
          <w:b/>
        </w:rPr>
        <w:t>，</w:t>
      </w:r>
      <w:r w:rsidR="002750FE" w:rsidRPr="00BF0FC7">
        <w:rPr>
          <w:rFonts w:hint="eastAsia"/>
          <w:b/>
        </w:rPr>
        <w:t>其</w:t>
      </w:r>
      <w:r w:rsidR="007A0F0D" w:rsidRPr="00BF0FC7">
        <w:rPr>
          <w:rFonts w:hint="eastAsia"/>
          <w:b/>
        </w:rPr>
        <w:t>處理</w:t>
      </w:r>
      <w:r w:rsidR="002750FE" w:rsidRPr="00BF0FC7">
        <w:rPr>
          <w:rFonts w:hint="eastAsia"/>
          <w:b/>
        </w:rPr>
        <w:t>作為</w:t>
      </w:r>
      <w:r w:rsidR="00584DD5" w:rsidRPr="00BF0FC7">
        <w:rPr>
          <w:rFonts w:hint="eastAsia"/>
          <w:b/>
        </w:rPr>
        <w:t>有</w:t>
      </w:r>
      <w:r w:rsidR="002750FE" w:rsidRPr="00BF0FC7">
        <w:rPr>
          <w:rFonts w:hint="eastAsia"/>
          <w:b/>
        </w:rPr>
        <w:t>欠積極，應檢討改進。</w:t>
      </w:r>
      <w:bookmarkEnd w:id="138"/>
    </w:p>
    <w:p w:rsidR="006F71BD" w:rsidRPr="00BF0FC7" w:rsidRDefault="006F71BD" w:rsidP="003623A5">
      <w:pPr>
        <w:pStyle w:val="3"/>
      </w:pPr>
      <w:bookmarkStart w:id="139" w:name="_Toc138666464"/>
      <w:bookmarkStart w:id="140" w:name="_Toc140135586"/>
      <w:r w:rsidRPr="00BF0FC7">
        <w:rPr>
          <w:rFonts w:hint="eastAsia"/>
        </w:rPr>
        <w:t>據審計部</w:t>
      </w:r>
      <w:proofErr w:type="gramStart"/>
      <w:r w:rsidRPr="00BF0FC7">
        <w:rPr>
          <w:rFonts w:hint="eastAsia"/>
        </w:rPr>
        <w:t>110</w:t>
      </w:r>
      <w:proofErr w:type="gramEnd"/>
      <w:r w:rsidRPr="00BF0FC7">
        <w:rPr>
          <w:rFonts w:hint="eastAsia"/>
        </w:rPr>
        <w:t>年度中央政府總決算審核報告指出，陸軍司令部轄管金門新頭</w:t>
      </w:r>
      <w:proofErr w:type="gramStart"/>
      <w:r w:rsidRPr="00BF0FC7">
        <w:rPr>
          <w:rFonts w:hint="eastAsia"/>
        </w:rPr>
        <w:t>三</w:t>
      </w:r>
      <w:proofErr w:type="gramEnd"/>
      <w:r w:rsidRPr="00BF0FC7">
        <w:rPr>
          <w:rFonts w:hint="eastAsia"/>
        </w:rPr>
        <w:t>營區前於105至106年經地方環保局檢測，</w:t>
      </w:r>
      <w:r w:rsidR="00A44DAB" w:rsidRPr="00BF0FC7">
        <w:rPr>
          <w:rFonts w:hint="eastAsia"/>
        </w:rPr>
        <w:t>並</w:t>
      </w:r>
      <w:r w:rsidRPr="00BF0FC7">
        <w:rPr>
          <w:rFonts w:hint="eastAsia"/>
        </w:rPr>
        <w:t>於107年6月6日公告為</w:t>
      </w:r>
      <w:r w:rsidR="00481DFC" w:rsidRPr="00BF0FC7">
        <w:rPr>
          <w:rFonts w:hint="eastAsia"/>
        </w:rPr>
        <w:t>土壤</w:t>
      </w:r>
      <w:r w:rsidRPr="00BF0FC7">
        <w:rPr>
          <w:rFonts w:hint="eastAsia"/>
        </w:rPr>
        <w:t>污染場址，惟截至該部查核日（111年4月29日）止，已歷4年，迄未辦理污染整治改善作業。</w:t>
      </w:r>
      <w:bookmarkEnd w:id="139"/>
      <w:bookmarkEnd w:id="140"/>
    </w:p>
    <w:p w:rsidR="00130956" w:rsidRPr="00BF0FC7" w:rsidRDefault="00130956" w:rsidP="00130956">
      <w:pPr>
        <w:pStyle w:val="3"/>
      </w:pPr>
      <w:bookmarkStart w:id="141" w:name="_Toc138666465"/>
      <w:bookmarkStart w:id="142" w:name="_Toc140135587"/>
      <w:r w:rsidRPr="00BF0FC7">
        <w:rPr>
          <w:rFonts w:hint="eastAsia"/>
        </w:rPr>
        <w:t>據國防部查復，金門新頭</w:t>
      </w:r>
      <w:proofErr w:type="gramStart"/>
      <w:r w:rsidRPr="00BF0FC7">
        <w:rPr>
          <w:rFonts w:hint="eastAsia"/>
        </w:rPr>
        <w:t>三</w:t>
      </w:r>
      <w:proofErr w:type="gramEnd"/>
      <w:r w:rsidRPr="00BF0FC7">
        <w:rPr>
          <w:rFonts w:hint="eastAsia"/>
        </w:rPr>
        <w:t>營區經主管機關公告為污染場址已歷4年</w:t>
      </w:r>
      <w:r w:rsidR="00D84ADD" w:rsidRPr="00BF0FC7">
        <w:rPr>
          <w:rFonts w:hint="eastAsia"/>
        </w:rPr>
        <w:t>，</w:t>
      </w:r>
      <w:r w:rsidRPr="00BF0FC7">
        <w:rPr>
          <w:rFonts w:hint="eastAsia"/>
        </w:rPr>
        <w:t>迄未辦理整治改善作業</w:t>
      </w:r>
      <w:r w:rsidR="00F819D1" w:rsidRPr="00BF0FC7">
        <w:rPr>
          <w:rFonts w:hint="eastAsia"/>
        </w:rPr>
        <w:t>之</w:t>
      </w:r>
      <w:r w:rsidRPr="00BF0FC7">
        <w:rPr>
          <w:rFonts w:hint="eastAsia"/>
        </w:rPr>
        <w:t>處理</w:t>
      </w:r>
      <w:bookmarkEnd w:id="141"/>
      <w:r w:rsidR="00F819D1" w:rsidRPr="00BF0FC7">
        <w:rPr>
          <w:rFonts w:hint="eastAsia"/>
        </w:rPr>
        <w:t>情形</w:t>
      </w:r>
      <w:r w:rsidR="00D84ADD" w:rsidRPr="00BF0FC7">
        <w:rPr>
          <w:rFonts w:hint="eastAsia"/>
        </w:rPr>
        <w:t>：</w:t>
      </w:r>
      <w:bookmarkEnd w:id="142"/>
    </w:p>
    <w:p w:rsidR="00130956" w:rsidRPr="00BF0FC7" w:rsidRDefault="00130956" w:rsidP="00130956">
      <w:pPr>
        <w:pStyle w:val="4"/>
      </w:pPr>
      <w:r w:rsidRPr="00BF0FC7">
        <w:rPr>
          <w:rFonts w:hint="eastAsia"/>
        </w:rPr>
        <w:lastRenderedPageBreak/>
        <w:t>場址列管範圍：金門縣金湖鎮新頭段805、833、834、835-1地號土地為土壤污染管制區，管制區面積計2萬3,989.29平方公尺。</w:t>
      </w:r>
    </w:p>
    <w:p w:rsidR="00130956" w:rsidRPr="00BF0FC7" w:rsidRDefault="00437D32" w:rsidP="00130956">
      <w:pPr>
        <w:pStyle w:val="4"/>
      </w:pPr>
      <w:r w:rsidRPr="00BF0FC7">
        <w:rPr>
          <w:rFonts w:hint="eastAsia"/>
        </w:rPr>
        <w:t>計畫</w:t>
      </w:r>
      <w:proofErr w:type="gramStart"/>
      <w:r w:rsidRPr="00BF0FC7">
        <w:rPr>
          <w:rFonts w:hint="eastAsia"/>
        </w:rPr>
        <w:t>提送期程</w:t>
      </w:r>
      <w:proofErr w:type="gramEnd"/>
      <w:r w:rsidRPr="00BF0FC7">
        <w:rPr>
          <w:rFonts w:hint="eastAsia"/>
        </w:rPr>
        <w:t>及整治作為：</w:t>
      </w:r>
    </w:p>
    <w:p w:rsidR="00437D32" w:rsidRPr="00BF0FC7" w:rsidRDefault="00437D32" w:rsidP="00437D32">
      <w:pPr>
        <w:pStyle w:val="5"/>
      </w:pPr>
      <w:r w:rsidRPr="00BF0FC7">
        <w:rPr>
          <w:rFonts w:hint="eastAsia"/>
        </w:rPr>
        <w:t>107年6月6日公告為污染場址，</w:t>
      </w:r>
      <w:r w:rsidR="00844987" w:rsidRPr="00BF0FC7">
        <w:rPr>
          <w:rFonts w:hint="eastAsia"/>
        </w:rPr>
        <w:t>陸軍金門防衛指揮部（下稱金防部）</w:t>
      </w:r>
      <w:r w:rsidRPr="00BF0FC7">
        <w:rPr>
          <w:rFonts w:hint="eastAsia"/>
        </w:rPr>
        <w:t>依金門縣環</w:t>
      </w:r>
      <w:r w:rsidR="00844987" w:rsidRPr="00BF0FC7">
        <w:rPr>
          <w:rFonts w:hint="eastAsia"/>
        </w:rPr>
        <w:t>境保護</w:t>
      </w:r>
      <w:r w:rsidRPr="00BF0FC7">
        <w:rPr>
          <w:rFonts w:hint="eastAsia"/>
        </w:rPr>
        <w:t>局指導辦理「細密度調查」及「控制計畫書撰擬」，前於107年11月19日申請控制計畫書期</w:t>
      </w:r>
      <w:proofErr w:type="gramStart"/>
      <w:r w:rsidRPr="00BF0FC7">
        <w:rPr>
          <w:rFonts w:hint="eastAsia"/>
        </w:rPr>
        <w:t>程展延案</w:t>
      </w:r>
      <w:proofErr w:type="gramEnd"/>
      <w:r w:rsidRPr="00BF0FC7">
        <w:rPr>
          <w:rFonts w:hint="eastAsia"/>
        </w:rPr>
        <w:t>，經金門縣政府於同年12月4日同意，108年5月21日</w:t>
      </w:r>
      <w:proofErr w:type="gramStart"/>
      <w:r w:rsidRPr="00BF0FC7">
        <w:rPr>
          <w:rFonts w:hint="eastAsia"/>
        </w:rPr>
        <w:t>決標委商</w:t>
      </w:r>
      <w:proofErr w:type="gramEnd"/>
      <w:r w:rsidRPr="00BF0FC7">
        <w:rPr>
          <w:rFonts w:hint="eastAsia"/>
        </w:rPr>
        <w:t>辦理，續依契約執行「細密度調查」及「控制計畫書撰擬」，並提送污染場址控制計畫書至金門縣環保局審查，並於109年7月20日核定，金</w:t>
      </w:r>
      <w:proofErr w:type="gramStart"/>
      <w:r w:rsidRPr="00BF0FC7">
        <w:rPr>
          <w:rFonts w:hint="eastAsia"/>
        </w:rPr>
        <w:t>防部依控制</w:t>
      </w:r>
      <w:proofErr w:type="gramEnd"/>
      <w:r w:rsidRPr="00BF0FC7">
        <w:rPr>
          <w:rFonts w:hint="eastAsia"/>
        </w:rPr>
        <w:t>計畫書</w:t>
      </w:r>
      <w:proofErr w:type="gramStart"/>
      <w:r w:rsidRPr="00BF0FC7">
        <w:rPr>
          <w:rFonts w:hint="eastAsia"/>
        </w:rPr>
        <w:t>辦理開決標</w:t>
      </w:r>
      <w:proofErr w:type="gramEnd"/>
      <w:r w:rsidRPr="00BF0FC7">
        <w:rPr>
          <w:rFonts w:hint="eastAsia"/>
        </w:rPr>
        <w:t>作業，因廠商改善工期需1</w:t>
      </w:r>
      <w:r w:rsidRPr="00BF0FC7">
        <w:t>,</w:t>
      </w:r>
      <w:r w:rsidRPr="00BF0FC7">
        <w:rPr>
          <w:rFonts w:hint="eastAsia"/>
        </w:rPr>
        <w:t>050日曆天，</w:t>
      </w:r>
      <w:proofErr w:type="gramStart"/>
      <w:r w:rsidRPr="00BF0FC7">
        <w:rPr>
          <w:rFonts w:hint="eastAsia"/>
        </w:rPr>
        <w:t>爰</w:t>
      </w:r>
      <w:proofErr w:type="gramEnd"/>
      <w:r w:rsidRPr="00BF0FC7">
        <w:rPr>
          <w:rFonts w:hint="eastAsia"/>
        </w:rPr>
        <w:t>申請控制計畫書變更，復經縣府111年10月12日同意備查，執行期限展延至114年5月1日。</w:t>
      </w:r>
    </w:p>
    <w:p w:rsidR="00130956" w:rsidRPr="00BF0FC7" w:rsidRDefault="00437D32" w:rsidP="00437D32">
      <w:pPr>
        <w:pStyle w:val="5"/>
      </w:pPr>
      <w:r w:rsidRPr="00BF0FC7">
        <w:rPr>
          <w:rFonts w:hint="eastAsia"/>
        </w:rPr>
        <w:t>依核定之控制計畫書辦理新頭</w:t>
      </w:r>
      <w:proofErr w:type="gramStart"/>
      <w:r w:rsidRPr="00BF0FC7">
        <w:rPr>
          <w:rFonts w:hint="eastAsia"/>
        </w:rPr>
        <w:t>三</w:t>
      </w:r>
      <w:proofErr w:type="gramEnd"/>
      <w:r w:rsidRPr="00BF0FC7">
        <w:rPr>
          <w:rFonts w:hint="eastAsia"/>
        </w:rPr>
        <w:t>營區整治工作計畫撰擬，該計畫於111年1月核定，同年5月24日工程決標，6月17日開工，迄111年10月31日止，截至112年1月31日止，進度正常(預定進度22.2%、實際進度22.2%)。</w:t>
      </w:r>
    </w:p>
    <w:p w:rsidR="00130956" w:rsidRPr="00BF0FC7" w:rsidRDefault="00130956" w:rsidP="00130956">
      <w:pPr>
        <w:pStyle w:val="4"/>
      </w:pPr>
      <w:r w:rsidRPr="00BF0FC7">
        <w:rPr>
          <w:rFonts w:hint="eastAsia"/>
        </w:rPr>
        <w:t>管制期程：依污染控制計畫書，管制於114年5月1日完成。以每季（3、6、9、12月）提報進度報告至金門縣政府進行階段成果查核，預計於完成新頭</w:t>
      </w:r>
      <w:proofErr w:type="gramStart"/>
      <w:r w:rsidRPr="00BF0FC7">
        <w:rPr>
          <w:rFonts w:hint="eastAsia"/>
        </w:rPr>
        <w:t>三</w:t>
      </w:r>
      <w:proofErr w:type="gramEnd"/>
      <w:r w:rsidRPr="00BF0FC7">
        <w:rPr>
          <w:rFonts w:hint="eastAsia"/>
        </w:rPr>
        <w:t>營區土壤污染控制場址自主驗證及提送改善完成報告。</w:t>
      </w:r>
    </w:p>
    <w:p w:rsidR="007F67EB" w:rsidRPr="00BF0FC7" w:rsidRDefault="00130956" w:rsidP="00130956">
      <w:pPr>
        <w:pStyle w:val="4"/>
      </w:pPr>
      <w:r w:rsidRPr="00BF0FC7">
        <w:rPr>
          <w:rFonts w:hint="eastAsia"/>
        </w:rPr>
        <w:t>續處作為：該部</w:t>
      </w:r>
      <w:proofErr w:type="gramStart"/>
      <w:r w:rsidRPr="00BF0FC7">
        <w:rPr>
          <w:rFonts w:hint="eastAsia"/>
        </w:rPr>
        <w:t>賡</w:t>
      </w:r>
      <w:proofErr w:type="gramEnd"/>
      <w:r w:rsidRPr="00BF0FC7">
        <w:rPr>
          <w:rFonts w:hint="eastAsia"/>
        </w:rPr>
        <w:t>續加強督導與管制，</w:t>
      </w:r>
      <w:proofErr w:type="gramStart"/>
      <w:r w:rsidRPr="00BF0FC7">
        <w:rPr>
          <w:rFonts w:hint="eastAsia"/>
        </w:rPr>
        <w:t>確依縣府</w:t>
      </w:r>
      <w:proofErr w:type="gramEnd"/>
      <w:r w:rsidRPr="00BF0FC7">
        <w:rPr>
          <w:rFonts w:hint="eastAsia"/>
        </w:rPr>
        <w:t>核定之污染控制計畫書落實查核並配合環保局定期進場稽查巡檢，全案預於114年5月1日完成，並依規定將改善完成報告提送縣府辦理審查及</w:t>
      </w:r>
      <w:proofErr w:type="gramStart"/>
      <w:r w:rsidRPr="00BF0FC7">
        <w:rPr>
          <w:rFonts w:hint="eastAsia"/>
        </w:rPr>
        <w:t>複</w:t>
      </w:r>
      <w:proofErr w:type="gramEnd"/>
      <w:r w:rsidRPr="00BF0FC7">
        <w:rPr>
          <w:rFonts w:hint="eastAsia"/>
        </w:rPr>
        <w:lastRenderedPageBreak/>
        <w:t>驗，</w:t>
      </w:r>
      <w:proofErr w:type="gramStart"/>
      <w:r w:rsidRPr="00BF0FC7">
        <w:rPr>
          <w:rFonts w:hint="eastAsia"/>
        </w:rPr>
        <w:t>俾</w:t>
      </w:r>
      <w:proofErr w:type="gramEnd"/>
      <w:r w:rsidRPr="00BF0FC7">
        <w:rPr>
          <w:rFonts w:hint="eastAsia"/>
        </w:rPr>
        <w:t>利</w:t>
      </w:r>
      <w:proofErr w:type="gramStart"/>
      <w:r w:rsidRPr="00BF0FC7">
        <w:rPr>
          <w:rFonts w:hint="eastAsia"/>
        </w:rPr>
        <w:t>後續解管</w:t>
      </w:r>
      <w:proofErr w:type="gramEnd"/>
      <w:r w:rsidRPr="00BF0FC7">
        <w:rPr>
          <w:rFonts w:hint="eastAsia"/>
        </w:rPr>
        <w:t>。</w:t>
      </w:r>
    </w:p>
    <w:p w:rsidR="00B71B57" w:rsidRPr="00BF0FC7" w:rsidRDefault="004D7ACF" w:rsidP="00774394">
      <w:pPr>
        <w:pStyle w:val="3"/>
      </w:pPr>
      <w:bookmarkStart w:id="143" w:name="_Toc138666466"/>
      <w:bookmarkStart w:id="144" w:name="_Toc140135588"/>
      <w:r w:rsidRPr="00BF0FC7">
        <w:rPr>
          <w:rFonts w:hint="eastAsia"/>
        </w:rPr>
        <w:t>經查，</w:t>
      </w:r>
      <w:r w:rsidR="00437D32" w:rsidRPr="00BF0FC7">
        <w:rPr>
          <w:rFonts w:hint="eastAsia"/>
        </w:rPr>
        <w:t>金防部申請「新頭</w:t>
      </w:r>
      <w:proofErr w:type="gramStart"/>
      <w:r w:rsidR="00437D32" w:rsidRPr="00BF0FC7">
        <w:rPr>
          <w:rFonts w:hint="eastAsia"/>
        </w:rPr>
        <w:t>三</w:t>
      </w:r>
      <w:proofErr w:type="gramEnd"/>
      <w:r w:rsidR="00437D32" w:rsidRPr="00BF0FC7">
        <w:rPr>
          <w:rFonts w:hint="eastAsia"/>
        </w:rPr>
        <w:t>營區土壤污染控制場址」污染控制計畫</w:t>
      </w:r>
      <w:proofErr w:type="gramStart"/>
      <w:r w:rsidR="00437D32" w:rsidRPr="00BF0FC7">
        <w:rPr>
          <w:rFonts w:hint="eastAsia"/>
        </w:rPr>
        <w:t>書提送期程展延案</w:t>
      </w:r>
      <w:proofErr w:type="gramEnd"/>
      <w:r w:rsidR="00437D32" w:rsidRPr="00BF0FC7">
        <w:rPr>
          <w:rFonts w:hint="eastAsia"/>
        </w:rPr>
        <w:t>，係因該場址為舊時雷區，須先行執行雷區探測等相關作業，故申請</w:t>
      </w:r>
      <w:proofErr w:type="gramStart"/>
      <w:r w:rsidR="00437D32" w:rsidRPr="00BF0FC7">
        <w:rPr>
          <w:rFonts w:hint="eastAsia"/>
        </w:rPr>
        <w:t>期程展延</w:t>
      </w:r>
      <w:proofErr w:type="gramEnd"/>
      <w:r w:rsidR="00437D32" w:rsidRPr="00BF0FC7">
        <w:rPr>
          <w:rFonts w:hint="eastAsia"/>
        </w:rPr>
        <w:t>，並經金門縣政府</w:t>
      </w:r>
      <w:r w:rsidR="00844987" w:rsidRPr="00BF0FC7">
        <w:rPr>
          <w:rFonts w:hint="eastAsia"/>
        </w:rPr>
        <w:t>於</w:t>
      </w:r>
      <w:r w:rsidR="00437D32" w:rsidRPr="00BF0FC7">
        <w:rPr>
          <w:rFonts w:hint="eastAsia"/>
        </w:rPr>
        <w:t>107年12月4日</w:t>
      </w:r>
      <w:r w:rsidR="00844987" w:rsidRPr="00BF0FC7">
        <w:rPr>
          <w:rFonts w:hint="eastAsia"/>
        </w:rPr>
        <w:t>以</w:t>
      </w:r>
      <w:proofErr w:type="gramStart"/>
      <w:r w:rsidR="00437D32" w:rsidRPr="00BF0FC7">
        <w:rPr>
          <w:rFonts w:hint="eastAsia"/>
        </w:rPr>
        <w:t>府環水字</w:t>
      </w:r>
      <w:proofErr w:type="gramEnd"/>
      <w:r w:rsidR="00437D32" w:rsidRPr="00BF0FC7">
        <w:rPr>
          <w:rFonts w:hint="eastAsia"/>
        </w:rPr>
        <w:t>第1070099269號函同意核備</w:t>
      </w:r>
      <w:r w:rsidRPr="00BF0FC7">
        <w:rPr>
          <w:rFonts w:hint="eastAsia"/>
        </w:rPr>
        <w:t>。是</w:t>
      </w:r>
      <w:proofErr w:type="gramStart"/>
      <w:r w:rsidRPr="00BF0FC7">
        <w:rPr>
          <w:rFonts w:hint="eastAsia"/>
        </w:rPr>
        <w:t>以</w:t>
      </w:r>
      <w:proofErr w:type="gramEnd"/>
      <w:r w:rsidRPr="00BF0FC7">
        <w:rPr>
          <w:rFonts w:hint="eastAsia"/>
        </w:rPr>
        <w:t>，該控制場址因屬舊時雷區範圍而</w:t>
      </w:r>
      <w:r w:rsidR="001B6048" w:rsidRPr="00BF0FC7">
        <w:rPr>
          <w:rFonts w:hint="eastAsia"/>
        </w:rPr>
        <w:t>需</w:t>
      </w:r>
      <w:r w:rsidRPr="00BF0FC7">
        <w:rPr>
          <w:rFonts w:hint="eastAsia"/>
        </w:rPr>
        <w:t>時探測，但原</w:t>
      </w:r>
      <w:r w:rsidR="00B71B57" w:rsidRPr="00BF0FC7">
        <w:rPr>
          <w:rFonts w:hint="eastAsia"/>
        </w:rPr>
        <w:t>核定</w:t>
      </w:r>
      <w:r w:rsidRPr="00BF0FC7">
        <w:rPr>
          <w:rFonts w:hint="eastAsia"/>
        </w:rPr>
        <w:t>期程為</w:t>
      </w:r>
      <w:r w:rsidR="00B71B57" w:rsidRPr="00BF0FC7">
        <w:rPr>
          <w:rFonts w:hint="eastAsia"/>
        </w:rPr>
        <w:t>1</w:t>
      </w:r>
      <w:r w:rsidR="00B71B57" w:rsidRPr="00BF0FC7">
        <w:t>12</w:t>
      </w:r>
      <w:r w:rsidR="00B71B57" w:rsidRPr="00BF0FC7">
        <w:rPr>
          <w:rFonts w:hint="eastAsia"/>
        </w:rPr>
        <w:t>年1月3</w:t>
      </w:r>
      <w:r w:rsidR="00B71B57" w:rsidRPr="00BF0FC7">
        <w:t>1</w:t>
      </w:r>
      <w:r w:rsidR="00B71B57" w:rsidRPr="00BF0FC7">
        <w:rPr>
          <w:rFonts w:hint="eastAsia"/>
        </w:rPr>
        <w:t>日完成</w:t>
      </w:r>
      <w:r w:rsidR="00B71B57" w:rsidRPr="00BF0FC7">
        <w:rPr>
          <w:rFonts w:hint="eastAsia"/>
          <w:lang w:eastAsia="zh-HK"/>
        </w:rPr>
        <w:t>，</w:t>
      </w:r>
      <w:r w:rsidRPr="00BF0FC7">
        <w:rPr>
          <w:rFonts w:hint="eastAsia"/>
          <w:lang w:eastAsia="zh-HK"/>
        </w:rPr>
        <w:t>嗣後金</w:t>
      </w:r>
      <w:proofErr w:type="gramStart"/>
      <w:r w:rsidRPr="00BF0FC7">
        <w:rPr>
          <w:rFonts w:hint="eastAsia"/>
          <w:lang w:eastAsia="zh-HK"/>
        </w:rPr>
        <w:t>防部</w:t>
      </w:r>
      <w:r w:rsidR="00B71B57" w:rsidRPr="00BF0FC7">
        <w:rPr>
          <w:rFonts w:hint="eastAsia"/>
          <w:lang w:eastAsia="zh-HK"/>
        </w:rPr>
        <w:t>再展</w:t>
      </w:r>
      <w:proofErr w:type="gramEnd"/>
      <w:r w:rsidR="00B71B57" w:rsidRPr="00BF0FC7">
        <w:rPr>
          <w:rFonts w:hint="eastAsia"/>
          <w:lang w:eastAsia="zh-HK"/>
        </w:rPr>
        <w:t>延期限</w:t>
      </w:r>
      <w:r w:rsidRPr="00BF0FC7">
        <w:rPr>
          <w:rFonts w:hint="eastAsia"/>
          <w:lang w:eastAsia="zh-HK"/>
        </w:rPr>
        <w:t>，且須</w:t>
      </w:r>
      <w:r w:rsidR="00B71B57" w:rsidRPr="00BF0FC7">
        <w:rPr>
          <w:rFonts w:hint="eastAsia"/>
          <w:lang w:eastAsia="zh-HK"/>
        </w:rPr>
        <w:t>至</w:t>
      </w:r>
      <w:r w:rsidR="00B71B57" w:rsidRPr="00BF0FC7">
        <w:rPr>
          <w:rFonts w:hint="eastAsia"/>
        </w:rPr>
        <w:t>1</w:t>
      </w:r>
      <w:r w:rsidR="00B71B57" w:rsidRPr="00BF0FC7">
        <w:t>14</w:t>
      </w:r>
      <w:r w:rsidR="00B71B57" w:rsidRPr="00BF0FC7">
        <w:rPr>
          <w:rFonts w:hint="eastAsia"/>
        </w:rPr>
        <w:t>年5月1日方可完成整治工作，</w:t>
      </w:r>
      <w:r w:rsidR="00C368C3" w:rsidRPr="00BF0FC7">
        <w:rPr>
          <w:rFonts w:hint="eastAsia"/>
        </w:rPr>
        <w:t>該</w:t>
      </w:r>
      <w:r w:rsidR="0016126B" w:rsidRPr="00BF0FC7">
        <w:rPr>
          <w:rFonts w:hint="eastAsia"/>
        </w:rPr>
        <w:t>污染</w:t>
      </w:r>
      <w:r w:rsidR="00C368C3" w:rsidRPr="00BF0FC7">
        <w:rPr>
          <w:rFonts w:hint="eastAsia"/>
        </w:rPr>
        <w:t>場址</w:t>
      </w:r>
      <w:r w:rsidR="00B71B57" w:rsidRPr="00BF0FC7">
        <w:rPr>
          <w:rFonts w:hint="eastAsia"/>
        </w:rPr>
        <w:t>雖已於111年6月1</w:t>
      </w:r>
      <w:r w:rsidR="00B71B57" w:rsidRPr="00BF0FC7">
        <w:t>7</w:t>
      </w:r>
      <w:r w:rsidR="00B71B57" w:rsidRPr="00BF0FC7">
        <w:rPr>
          <w:rFonts w:hint="eastAsia"/>
        </w:rPr>
        <w:t>日開工執行，然歷時近7年方可完成</w:t>
      </w:r>
      <w:r w:rsidR="000A2064" w:rsidRPr="00BF0FC7">
        <w:rPr>
          <w:rFonts w:hint="eastAsia"/>
        </w:rPr>
        <w:t>，其處理作為有欠積極，應檢討改進。</w:t>
      </w:r>
      <w:bookmarkEnd w:id="143"/>
      <w:bookmarkEnd w:id="144"/>
    </w:p>
    <w:p w:rsidR="002903F0" w:rsidRPr="00BF0FC7" w:rsidRDefault="002903F0" w:rsidP="002903F0">
      <w:pPr>
        <w:pStyle w:val="3"/>
        <w:numPr>
          <w:ilvl w:val="0"/>
          <w:numId w:val="0"/>
        </w:numPr>
        <w:ind w:left="1344"/>
      </w:pPr>
    </w:p>
    <w:p w:rsidR="00700DD9" w:rsidRPr="00BF0FC7" w:rsidRDefault="009C6551" w:rsidP="00774394">
      <w:pPr>
        <w:pStyle w:val="2"/>
        <w:rPr>
          <w:b/>
        </w:rPr>
      </w:pPr>
      <w:bookmarkStart w:id="145" w:name="_Toc140135589"/>
      <w:r w:rsidRPr="00BF0FC7">
        <w:rPr>
          <w:rFonts w:hint="eastAsia"/>
          <w:b/>
        </w:rPr>
        <w:t>國防部</w:t>
      </w:r>
      <w:r w:rsidR="00BF001C" w:rsidRPr="00BF0FC7">
        <w:rPr>
          <w:rFonts w:hint="eastAsia"/>
          <w:b/>
        </w:rPr>
        <w:t>於</w:t>
      </w:r>
      <w:r w:rsidR="002C6506" w:rsidRPr="00BF0FC7">
        <w:rPr>
          <w:rFonts w:hint="eastAsia"/>
          <w:b/>
        </w:rPr>
        <w:t>國防安全與戰備整備作為前提下，</w:t>
      </w:r>
      <w:r w:rsidR="00677F52" w:rsidRPr="00BF0FC7">
        <w:rPr>
          <w:rFonts w:hint="eastAsia"/>
          <w:b/>
        </w:rPr>
        <w:t>亦</w:t>
      </w:r>
      <w:r w:rsidR="002C6506" w:rsidRPr="00BF0FC7">
        <w:rPr>
          <w:rFonts w:hint="eastAsia"/>
          <w:b/>
        </w:rPr>
        <w:t>應配合國家環保政策</w:t>
      </w:r>
      <w:r w:rsidR="000A2064" w:rsidRPr="00BF0FC7">
        <w:rPr>
          <w:rFonts w:hint="eastAsia"/>
          <w:b/>
        </w:rPr>
        <w:t>並</w:t>
      </w:r>
      <w:r w:rsidR="003064C3" w:rsidRPr="00BF0FC7">
        <w:rPr>
          <w:rFonts w:hint="eastAsia"/>
          <w:b/>
        </w:rPr>
        <w:t>符合法令規範</w:t>
      </w:r>
      <w:r w:rsidR="002C6506" w:rsidRPr="00BF0FC7">
        <w:rPr>
          <w:rFonts w:hint="eastAsia"/>
          <w:b/>
        </w:rPr>
        <w:t>，惟該部</w:t>
      </w:r>
      <w:r w:rsidR="002354C9" w:rsidRPr="00BF0FC7">
        <w:rPr>
          <w:rFonts w:hint="eastAsia"/>
          <w:b/>
        </w:rPr>
        <w:t>陸軍營區污水放流</w:t>
      </w:r>
      <w:r w:rsidR="00F53884" w:rsidRPr="00BF0FC7">
        <w:rPr>
          <w:rFonts w:hint="eastAsia"/>
          <w:b/>
        </w:rPr>
        <w:t>水</w:t>
      </w:r>
      <w:r w:rsidR="002354C9" w:rsidRPr="00BF0FC7">
        <w:rPr>
          <w:rFonts w:hint="eastAsia"/>
          <w:b/>
        </w:rPr>
        <w:t>檢測未達標準</w:t>
      </w:r>
      <w:r w:rsidR="002C6506" w:rsidRPr="00BF0FC7">
        <w:rPr>
          <w:rFonts w:hint="eastAsia"/>
          <w:b/>
        </w:rPr>
        <w:t>、</w:t>
      </w:r>
      <w:r w:rsidR="00C74E83" w:rsidRPr="00BF0FC7">
        <w:rPr>
          <w:rFonts w:hint="eastAsia"/>
          <w:b/>
        </w:rPr>
        <w:t>擇選高污染潛</w:t>
      </w:r>
      <w:proofErr w:type="gramStart"/>
      <w:r w:rsidR="00C74E83" w:rsidRPr="00BF0FC7">
        <w:rPr>
          <w:rFonts w:hint="eastAsia"/>
          <w:b/>
        </w:rPr>
        <w:t>勢區場</w:t>
      </w:r>
      <w:proofErr w:type="gramEnd"/>
      <w:r w:rsidR="00C74E83" w:rsidRPr="00BF0FC7">
        <w:rPr>
          <w:rFonts w:hint="eastAsia"/>
          <w:b/>
        </w:rPr>
        <w:t>址自主檢測</w:t>
      </w:r>
      <w:proofErr w:type="gramStart"/>
      <w:r w:rsidR="00C74E83" w:rsidRPr="00BF0FC7">
        <w:rPr>
          <w:rFonts w:hint="eastAsia"/>
          <w:b/>
        </w:rPr>
        <w:t>採樣點未臻</w:t>
      </w:r>
      <w:proofErr w:type="gramEnd"/>
      <w:r w:rsidR="00C74E83" w:rsidRPr="00BF0FC7">
        <w:rPr>
          <w:rFonts w:hint="eastAsia"/>
          <w:b/>
        </w:rPr>
        <w:t>周全、土壤污染控制場址仍待辦理整治改善等情</w:t>
      </w:r>
      <w:r w:rsidR="003571AA" w:rsidRPr="00BF0FC7">
        <w:rPr>
          <w:rFonts w:hint="eastAsia"/>
          <w:b/>
        </w:rPr>
        <w:t>事</w:t>
      </w:r>
      <w:r w:rsidR="00C74E83" w:rsidRPr="00BF0FC7">
        <w:rPr>
          <w:rFonts w:hint="eastAsia"/>
          <w:b/>
        </w:rPr>
        <w:t>，</w:t>
      </w:r>
      <w:r w:rsidR="00700DD9" w:rsidRPr="00BF0FC7">
        <w:rPr>
          <w:rFonts w:hint="eastAsia"/>
          <w:b/>
        </w:rPr>
        <w:t>一旦</w:t>
      </w:r>
      <w:r w:rsidR="00C74E83" w:rsidRPr="00BF0FC7">
        <w:rPr>
          <w:rFonts w:hint="eastAsia"/>
          <w:b/>
        </w:rPr>
        <w:t>違反環保法令遭</w:t>
      </w:r>
      <w:r w:rsidR="001169F9" w:rsidRPr="00BF0FC7">
        <w:rPr>
          <w:rFonts w:hint="eastAsia"/>
          <w:b/>
        </w:rPr>
        <w:t>受</w:t>
      </w:r>
      <w:r w:rsidR="00C74E83" w:rsidRPr="00BF0FC7">
        <w:rPr>
          <w:rFonts w:hint="eastAsia"/>
          <w:b/>
        </w:rPr>
        <w:t>裁罰</w:t>
      </w:r>
      <w:r w:rsidR="004F65A7" w:rsidRPr="00BF0FC7">
        <w:rPr>
          <w:rFonts w:hint="eastAsia"/>
          <w:b/>
        </w:rPr>
        <w:t>，甚且</w:t>
      </w:r>
      <w:r w:rsidR="00C74E83" w:rsidRPr="00BF0FC7">
        <w:rPr>
          <w:rFonts w:hint="eastAsia"/>
          <w:b/>
        </w:rPr>
        <w:t>營區土地</w:t>
      </w:r>
      <w:r w:rsidR="00CC1051" w:rsidRPr="00BF0FC7">
        <w:rPr>
          <w:rFonts w:hint="eastAsia"/>
          <w:b/>
        </w:rPr>
        <w:t>因土壤污染</w:t>
      </w:r>
      <w:r w:rsidR="008703E7" w:rsidRPr="00BF0FC7">
        <w:rPr>
          <w:rFonts w:hint="eastAsia"/>
          <w:b/>
        </w:rPr>
        <w:t>致</w:t>
      </w:r>
      <w:r w:rsidR="00C74E83" w:rsidRPr="00BF0FC7">
        <w:rPr>
          <w:rFonts w:hint="eastAsia"/>
          <w:b/>
        </w:rPr>
        <w:t>公告列管時，均不利於國軍戰備整備</w:t>
      </w:r>
      <w:r w:rsidR="007B3CC5" w:rsidRPr="00BF0FC7">
        <w:rPr>
          <w:rFonts w:hint="eastAsia"/>
          <w:b/>
        </w:rPr>
        <w:t>，</w:t>
      </w:r>
      <w:r w:rsidR="00700DD9" w:rsidRPr="00BF0FC7">
        <w:rPr>
          <w:rFonts w:hint="eastAsia"/>
          <w:b/>
        </w:rPr>
        <w:t>國防部因應後備戰力提升及役期延長等任務，應預為</w:t>
      </w:r>
      <w:r w:rsidR="005243CA" w:rsidRPr="00BF0FC7">
        <w:rPr>
          <w:rFonts w:hint="eastAsia"/>
          <w:b/>
        </w:rPr>
        <w:t>規劃</w:t>
      </w:r>
      <w:r w:rsidR="00700DD9" w:rsidRPr="00BF0FC7">
        <w:rPr>
          <w:rFonts w:hint="eastAsia"/>
          <w:b/>
        </w:rPr>
        <w:t>並妥善設置相關環境保護設施，</w:t>
      </w:r>
      <w:r w:rsidR="00D4032B" w:rsidRPr="00BF0FC7">
        <w:rPr>
          <w:rFonts w:hint="eastAsia"/>
          <w:b/>
        </w:rPr>
        <w:t>有效維持國軍營區</w:t>
      </w:r>
      <w:r w:rsidR="008703E7" w:rsidRPr="00BF0FC7">
        <w:rPr>
          <w:rFonts w:hint="eastAsia"/>
          <w:b/>
        </w:rPr>
        <w:t>（地）</w:t>
      </w:r>
      <w:r w:rsidR="00D4032B" w:rsidRPr="00BF0FC7">
        <w:rPr>
          <w:rFonts w:hint="eastAsia"/>
          <w:b/>
        </w:rPr>
        <w:t>環境品質，</w:t>
      </w:r>
      <w:r w:rsidR="00E95ECE" w:rsidRPr="00BF0FC7">
        <w:rPr>
          <w:rFonts w:hint="eastAsia"/>
          <w:b/>
        </w:rPr>
        <w:t>以</w:t>
      </w:r>
      <w:r w:rsidR="00BB4648" w:rsidRPr="00BF0FC7">
        <w:rPr>
          <w:rFonts w:hint="eastAsia"/>
          <w:b/>
        </w:rPr>
        <w:t>避免戰備任務</w:t>
      </w:r>
      <w:r w:rsidR="002338CA" w:rsidRPr="00BF0FC7">
        <w:rPr>
          <w:rFonts w:hint="eastAsia"/>
          <w:b/>
        </w:rPr>
        <w:t>遭受</w:t>
      </w:r>
      <w:r w:rsidR="00BB4648" w:rsidRPr="00BF0FC7">
        <w:rPr>
          <w:rFonts w:hint="eastAsia"/>
          <w:b/>
        </w:rPr>
        <w:t>影響。</w:t>
      </w:r>
      <w:bookmarkEnd w:id="145"/>
    </w:p>
    <w:p w:rsidR="00700DD9" w:rsidRPr="00BF0FC7" w:rsidRDefault="00F53884" w:rsidP="00774394">
      <w:pPr>
        <w:pStyle w:val="3"/>
        <w:rPr>
          <w:b/>
        </w:rPr>
      </w:pPr>
      <w:bookmarkStart w:id="146" w:name="_Toc138666468"/>
      <w:bookmarkStart w:id="147" w:name="_Toc140135590"/>
      <w:r w:rsidRPr="00BF0FC7">
        <w:rPr>
          <w:rFonts w:hint="eastAsia"/>
        </w:rPr>
        <w:t>國防部陸軍營區污水放流水檢測未達標準、擇選高污染潛</w:t>
      </w:r>
      <w:proofErr w:type="gramStart"/>
      <w:r w:rsidRPr="00BF0FC7">
        <w:rPr>
          <w:rFonts w:hint="eastAsia"/>
        </w:rPr>
        <w:t>勢區場</w:t>
      </w:r>
      <w:proofErr w:type="gramEnd"/>
      <w:r w:rsidRPr="00BF0FC7">
        <w:rPr>
          <w:rFonts w:hint="eastAsia"/>
        </w:rPr>
        <w:t>址自主檢測</w:t>
      </w:r>
      <w:proofErr w:type="gramStart"/>
      <w:r w:rsidRPr="00BF0FC7">
        <w:rPr>
          <w:rFonts w:hint="eastAsia"/>
        </w:rPr>
        <w:t>採樣點未臻</w:t>
      </w:r>
      <w:proofErr w:type="gramEnd"/>
      <w:r w:rsidRPr="00BF0FC7">
        <w:rPr>
          <w:rFonts w:hint="eastAsia"/>
        </w:rPr>
        <w:t>周全、土壤污染控制場址仍待辦理整治改善等情，已於前述。又放流水檢測未達標準，據國防部</w:t>
      </w:r>
      <w:proofErr w:type="gramStart"/>
      <w:r w:rsidRPr="00BF0FC7">
        <w:rPr>
          <w:rFonts w:hint="eastAsia"/>
        </w:rPr>
        <w:t>查復</w:t>
      </w:r>
      <w:r w:rsidR="002354C9" w:rsidRPr="00BF0FC7">
        <w:rPr>
          <w:rFonts w:hint="eastAsia"/>
          <w:b/>
        </w:rPr>
        <w:t>係因</w:t>
      </w:r>
      <w:proofErr w:type="gramEnd"/>
      <w:r w:rsidRPr="00BF0FC7">
        <w:rPr>
          <w:rFonts w:hint="eastAsia"/>
          <w:b/>
        </w:rPr>
        <w:t>該營區於</w:t>
      </w:r>
      <w:proofErr w:type="gramStart"/>
      <w:r w:rsidRPr="00BF0FC7">
        <w:rPr>
          <w:rFonts w:hint="eastAsia"/>
          <w:b/>
        </w:rPr>
        <w:t>採</w:t>
      </w:r>
      <w:proofErr w:type="gramEnd"/>
      <w:r w:rsidRPr="00BF0FC7">
        <w:rPr>
          <w:rFonts w:hint="eastAsia"/>
          <w:b/>
        </w:rPr>
        <w:t>檢時因適逢</w:t>
      </w:r>
      <w:proofErr w:type="gramStart"/>
      <w:r w:rsidRPr="00BF0FC7">
        <w:rPr>
          <w:rFonts w:hint="eastAsia"/>
          <w:b/>
        </w:rPr>
        <w:t>單位接訓軍事訓練</w:t>
      </w:r>
      <w:proofErr w:type="gramEnd"/>
      <w:r w:rsidRPr="00BF0FC7">
        <w:rPr>
          <w:rFonts w:hint="eastAsia"/>
          <w:b/>
        </w:rPr>
        <w:t>役，開伙人數較多，導致油脂檢測值未達標準值。</w:t>
      </w:r>
      <w:r w:rsidR="00476BE0" w:rsidRPr="00BF0FC7">
        <w:rPr>
          <w:rFonts w:hint="eastAsia"/>
          <w:b/>
        </w:rPr>
        <w:t>然</w:t>
      </w:r>
      <w:r w:rsidR="00476BE0" w:rsidRPr="00BF0FC7">
        <w:rPr>
          <w:rFonts w:hint="eastAsia"/>
        </w:rPr>
        <w:t>國防部所屬營區因</w:t>
      </w:r>
      <w:r w:rsidR="00515459" w:rsidRPr="00BF0FC7">
        <w:rPr>
          <w:rFonts w:hint="eastAsia"/>
        </w:rPr>
        <w:t>戰備調度</w:t>
      </w:r>
      <w:r w:rsidR="00476BE0" w:rsidRPr="00BF0FC7">
        <w:rPr>
          <w:rFonts w:hint="eastAsia"/>
        </w:rPr>
        <w:t>及操作性質特殊，人員變動甚大，尤以近年辦理召集</w:t>
      </w:r>
      <w:proofErr w:type="gramStart"/>
      <w:r w:rsidR="00476BE0" w:rsidRPr="00BF0FC7">
        <w:rPr>
          <w:rFonts w:hint="eastAsia"/>
        </w:rPr>
        <w:t>事務或役期</w:t>
      </w:r>
      <w:proofErr w:type="gramEnd"/>
      <w:r w:rsidR="00476BE0" w:rsidRPr="00BF0FC7">
        <w:rPr>
          <w:rFonts w:hint="eastAsia"/>
        </w:rPr>
        <w:t>延長等情，就可能衍生之環保問題應預為規劃因應，國防部</w:t>
      </w:r>
      <w:r w:rsidR="00BD57B1" w:rsidRPr="00BF0FC7">
        <w:rPr>
          <w:rFonts w:hint="eastAsia"/>
        </w:rPr>
        <w:t>已</w:t>
      </w:r>
      <w:r w:rsidR="00476BE0" w:rsidRPr="00BF0FC7">
        <w:rPr>
          <w:rFonts w:hint="eastAsia"/>
        </w:rPr>
        <w:t>檢討說明如下：</w:t>
      </w:r>
      <w:bookmarkEnd w:id="146"/>
      <w:bookmarkEnd w:id="147"/>
    </w:p>
    <w:p w:rsidR="00476BE0" w:rsidRPr="00BF0FC7" w:rsidRDefault="00476BE0" w:rsidP="00476BE0">
      <w:pPr>
        <w:pStyle w:val="4"/>
      </w:pPr>
      <w:r w:rsidRPr="00BF0FC7">
        <w:rPr>
          <w:rFonts w:hint="eastAsia"/>
        </w:rPr>
        <w:lastRenderedPageBreak/>
        <w:t>配合近年提升後備戰力及役期延長等任務，相關新編成單位概以進駐既有營區及設施為原則</w:t>
      </w:r>
      <w:r w:rsidR="00703BDB" w:rsidRPr="00BF0FC7">
        <w:rPr>
          <w:rFonts w:hint="eastAsia"/>
        </w:rPr>
        <w:t>，</w:t>
      </w:r>
      <w:r w:rsidRPr="00BF0FC7">
        <w:rPr>
          <w:rFonts w:hint="eastAsia"/>
        </w:rPr>
        <w:t>目前陸軍配合於任務整備期間派員至營區輔導，針對伙房油水分離槽、資源回收場等設施實施現</w:t>
      </w:r>
      <w:proofErr w:type="gramStart"/>
      <w:r w:rsidRPr="00BF0FC7">
        <w:rPr>
          <w:rFonts w:hint="eastAsia"/>
        </w:rPr>
        <w:t>勘</w:t>
      </w:r>
      <w:proofErr w:type="gramEnd"/>
      <w:r w:rsidRPr="00BF0FC7">
        <w:rPr>
          <w:rFonts w:hint="eastAsia"/>
        </w:rPr>
        <w:t>，</w:t>
      </w:r>
      <w:proofErr w:type="gramStart"/>
      <w:r w:rsidRPr="00BF0FC7">
        <w:rPr>
          <w:rFonts w:hint="eastAsia"/>
        </w:rPr>
        <w:t>確認接訓進駐</w:t>
      </w:r>
      <w:proofErr w:type="gramEnd"/>
      <w:r w:rsidRPr="00BF0FC7">
        <w:rPr>
          <w:rFonts w:hint="eastAsia"/>
        </w:rPr>
        <w:t>人員增加後，設施可有效處理產生之廢污水、廢棄物等，</w:t>
      </w:r>
      <w:proofErr w:type="gramStart"/>
      <w:r w:rsidRPr="00BF0FC7">
        <w:rPr>
          <w:rFonts w:hint="eastAsia"/>
        </w:rPr>
        <w:t>俾</w:t>
      </w:r>
      <w:proofErr w:type="gramEnd"/>
      <w:r w:rsidRPr="00BF0FC7">
        <w:rPr>
          <w:rFonts w:hint="eastAsia"/>
        </w:rPr>
        <w:t>利任務遂行。針對提升後備戰力、召集事務等任務，陸軍自109年起已完成所屬</w:t>
      </w:r>
      <w:r w:rsidR="00D465E0" w:rsidRPr="00BF0FC7">
        <w:rPr>
          <w:rFonts w:hint="eastAsia"/>
          <w:sz w:val="28"/>
          <w:szCs w:val="28"/>
        </w:rPr>
        <w:t>一</w:t>
      </w:r>
      <w:r w:rsidR="00D465E0" w:rsidRPr="00BF0FC7">
        <w:rPr>
          <w:rFonts w:hAnsi="標楷體" w:hint="eastAsia"/>
          <w:sz w:val="28"/>
          <w:szCs w:val="28"/>
        </w:rPr>
        <w:t>○</w:t>
      </w:r>
      <w:r w:rsidR="00D465E0" w:rsidRPr="00BF0FC7">
        <w:rPr>
          <w:rFonts w:hint="eastAsia"/>
          <w:sz w:val="28"/>
          <w:szCs w:val="28"/>
        </w:rPr>
        <w:t>九</w:t>
      </w:r>
      <w:r w:rsidRPr="00BF0FC7">
        <w:rPr>
          <w:rFonts w:hint="eastAsia"/>
        </w:rPr>
        <w:t>旅、金防部、</w:t>
      </w:r>
      <w:r w:rsidR="00D465E0" w:rsidRPr="00BF0FC7">
        <w:rPr>
          <w:rFonts w:hint="eastAsia"/>
        </w:rPr>
        <w:t>二</w:t>
      </w:r>
      <w:r w:rsidR="00D465E0" w:rsidRPr="00BF0FC7">
        <w:rPr>
          <w:rFonts w:hAnsi="標楷體" w:hint="eastAsia"/>
          <w:sz w:val="28"/>
          <w:szCs w:val="28"/>
        </w:rPr>
        <w:t>○六</w:t>
      </w:r>
      <w:r w:rsidRPr="00BF0FC7">
        <w:rPr>
          <w:rFonts w:hint="eastAsia"/>
        </w:rPr>
        <w:t>旅等單位之油水分離槽、資源回收場等設施改善、垃圾桶、子車購置及廢棄物清運等經費</w:t>
      </w:r>
      <w:proofErr w:type="gramStart"/>
      <w:r w:rsidRPr="00BF0FC7">
        <w:rPr>
          <w:rFonts w:hint="eastAsia"/>
        </w:rPr>
        <w:t>挹</w:t>
      </w:r>
      <w:proofErr w:type="gramEnd"/>
      <w:r w:rsidRPr="00BF0FC7">
        <w:rPr>
          <w:rFonts w:hint="eastAsia"/>
        </w:rPr>
        <w:t>注合計1,697萬餘元，協助單位有效推動營區環保工作，後續配合任務實需，對營區設施及環保工作輔導現</w:t>
      </w:r>
      <w:proofErr w:type="gramStart"/>
      <w:r w:rsidRPr="00BF0FC7">
        <w:rPr>
          <w:rFonts w:hint="eastAsia"/>
        </w:rPr>
        <w:t>勘</w:t>
      </w:r>
      <w:proofErr w:type="gramEnd"/>
      <w:r w:rsidRPr="00BF0FC7">
        <w:rPr>
          <w:rFonts w:hint="eastAsia"/>
        </w:rPr>
        <w:t>，適時檢討經費因應。</w:t>
      </w:r>
    </w:p>
    <w:p w:rsidR="00476BE0" w:rsidRPr="00BF0FC7" w:rsidRDefault="00476BE0" w:rsidP="00476BE0">
      <w:pPr>
        <w:pStyle w:val="4"/>
      </w:pPr>
      <w:r w:rsidRPr="00BF0FC7">
        <w:rPr>
          <w:rFonts w:hint="eastAsia"/>
        </w:rPr>
        <w:t>為強化所屬單位落實執行環境維護工作，每年持續辦理環境教育工作，經統計陸軍111年計辦理3梯次「環境維護講習班」，完成131員訓練，並將環保實務課程納入「營長講習班」、「連長講習班」各6</w:t>
      </w:r>
      <w:proofErr w:type="gramStart"/>
      <w:r w:rsidRPr="00BF0FC7">
        <w:rPr>
          <w:rFonts w:hint="eastAsia"/>
        </w:rPr>
        <w:t>梯次施訓</w:t>
      </w:r>
      <w:proofErr w:type="gramEnd"/>
      <w:r w:rsidRPr="00BF0FC7">
        <w:rPr>
          <w:rFonts w:hint="eastAsia"/>
        </w:rPr>
        <w:t>，使部隊營、連長等主官具備環保觀念；考量</w:t>
      </w:r>
      <w:proofErr w:type="gramStart"/>
      <w:r w:rsidRPr="00BF0FC7">
        <w:rPr>
          <w:rFonts w:hint="eastAsia"/>
        </w:rPr>
        <w:t>疫</w:t>
      </w:r>
      <w:proofErr w:type="gramEnd"/>
      <w:r w:rsidRPr="00BF0FC7">
        <w:rPr>
          <w:rFonts w:hint="eastAsia"/>
        </w:rPr>
        <w:t>情影響，111年完成訓練教材彙整，供各級下載運用及宣教，另將部隊基層環保實務工作拍攝成示範影片，提供各單位收視及宣教，以提升官兵環保意識，</w:t>
      </w:r>
      <w:r w:rsidR="00AC6B9D" w:rsidRPr="00BF0FC7">
        <w:rPr>
          <w:rFonts w:hint="eastAsia"/>
        </w:rPr>
        <w:t>消弭</w:t>
      </w:r>
      <w:r w:rsidRPr="00BF0FC7">
        <w:rPr>
          <w:rFonts w:hint="eastAsia"/>
        </w:rPr>
        <w:t>環保污染案件。</w:t>
      </w:r>
    </w:p>
    <w:p w:rsidR="002C6506" w:rsidRPr="00BF0FC7" w:rsidRDefault="00892CED" w:rsidP="00774394">
      <w:pPr>
        <w:pStyle w:val="3"/>
      </w:pPr>
      <w:bookmarkStart w:id="148" w:name="_Toc138666469"/>
      <w:bookmarkStart w:id="149" w:name="_Toc140135591"/>
      <w:r w:rsidRPr="00BF0FC7">
        <w:rPr>
          <w:rFonts w:hint="eastAsia"/>
        </w:rPr>
        <w:t>而國防部</w:t>
      </w:r>
      <w:r w:rsidR="00E4664A" w:rsidRPr="00BF0FC7">
        <w:rPr>
          <w:rFonts w:hint="eastAsia"/>
        </w:rPr>
        <w:t>針對</w:t>
      </w:r>
      <w:proofErr w:type="gramStart"/>
      <w:r w:rsidR="00E4664A" w:rsidRPr="00BF0FC7">
        <w:rPr>
          <w:rFonts w:hint="eastAsia"/>
        </w:rPr>
        <w:t>審計部所提出</w:t>
      </w:r>
      <w:proofErr w:type="gramEnd"/>
      <w:r w:rsidRPr="00BF0FC7">
        <w:rPr>
          <w:rFonts w:hint="eastAsia"/>
        </w:rPr>
        <w:t>擇選高污染潛</w:t>
      </w:r>
      <w:proofErr w:type="gramStart"/>
      <w:r w:rsidRPr="00BF0FC7">
        <w:rPr>
          <w:rFonts w:hint="eastAsia"/>
        </w:rPr>
        <w:t>勢區場</w:t>
      </w:r>
      <w:proofErr w:type="gramEnd"/>
      <w:r w:rsidRPr="00BF0FC7">
        <w:rPr>
          <w:rFonts w:hint="eastAsia"/>
        </w:rPr>
        <w:t>址自主檢測</w:t>
      </w:r>
      <w:proofErr w:type="gramStart"/>
      <w:r w:rsidRPr="00BF0FC7">
        <w:rPr>
          <w:rFonts w:hint="eastAsia"/>
        </w:rPr>
        <w:t>採樣點未臻</w:t>
      </w:r>
      <w:proofErr w:type="gramEnd"/>
      <w:r w:rsidRPr="00BF0FC7">
        <w:rPr>
          <w:rFonts w:hint="eastAsia"/>
        </w:rPr>
        <w:t>周全、土壤污染控制場址仍待辦理整治改善等情，就個別案件部分，國防部已提出檢討因應作為，</w:t>
      </w:r>
      <w:r w:rsidR="0041268F" w:rsidRPr="00BF0FC7">
        <w:rPr>
          <w:rFonts w:hint="eastAsia"/>
        </w:rPr>
        <w:t>但更</w:t>
      </w:r>
      <w:r w:rsidR="005C3EBF" w:rsidRPr="00BF0FC7">
        <w:rPr>
          <w:rFonts w:hint="eastAsia"/>
        </w:rPr>
        <w:t>應避免因違反法令規範</w:t>
      </w:r>
      <w:proofErr w:type="gramStart"/>
      <w:r w:rsidR="005C3EBF" w:rsidRPr="00BF0FC7">
        <w:rPr>
          <w:rFonts w:hint="eastAsia"/>
        </w:rPr>
        <w:t>遭致裁罰</w:t>
      </w:r>
      <w:proofErr w:type="gramEnd"/>
      <w:r w:rsidR="005C3EBF" w:rsidRPr="00BF0FC7">
        <w:rPr>
          <w:rFonts w:hint="eastAsia"/>
        </w:rPr>
        <w:t>，甚至因土壤污染致營區土地遭公告列管</w:t>
      </w:r>
      <w:r w:rsidR="00AC4CEB" w:rsidRPr="00BF0FC7">
        <w:rPr>
          <w:rFonts w:hint="eastAsia"/>
        </w:rPr>
        <w:t>後</w:t>
      </w:r>
      <w:r w:rsidR="005C3EBF" w:rsidRPr="00BF0FC7">
        <w:rPr>
          <w:rFonts w:hint="eastAsia"/>
        </w:rPr>
        <w:t>，</w:t>
      </w:r>
      <w:r w:rsidR="000C1A11" w:rsidRPr="00BF0FC7">
        <w:rPr>
          <w:rFonts w:hint="eastAsia"/>
        </w:rPr>
        <w:t>其污染控制計畫及整治作為，</w:t>
      </w:r>
      <w:r w:rsidR="00FB70DA" w:rsidRPr="00BF0FC7">
        <w:rPr>
          <w:rFonts w:hint="eastAsia"/>
        </w:rPr>
        <w:t>均</w:t>
      </w:r>
      <w:r w:rsidR="005C3EBF" w:rsidRPr="00BF0FC7">
        <w:rPr>
          <w:rFonts w:hint="eastAsia"/>
        </w:rPr>
        <w:t>不利於戰備整備任務，基此，國防部</w:t>
      </w:r>
      <w:r w:rsidR="0041268F" w:rsidRPr="00BF0FC7">
        <w:rPr>
          <w:rFonts w:hint="eastAsia"/>
        </w:rPr>
        <w:t>應確實查核所屬各單位環境污染防治作為，</w:t>
      </w:r>
      <w:r w:rsidR="00CD7F4E" w:rsidRPr="00BF0FC7">
        <w:rPr>
          <w:rFonts w:hint="eastAsia"/>
        </w:rPr>
        <w:t>妥善設置相關環境保護設施，有效維持</w:t>
      </w:r>
      <w:r w:rsidR="00CD7F4E" w:rsidRPr="00BF0FC7">
        <w:rPr>
          <w:rFonts w:hint="eastAsia"/>
        </w:rPr>
        <w:lastRenderedPageBreak/>
        <w:t>國軍營區</w:t>
      </w:r>
      <w:r w:rsidR="00E210A5" w:rsidRPr="00BF0FC7">
        <w:rPr>
          <w:rFonts w:hint="eastAsia"/>
        </w:rPr>
        <w:t>（</w:t>
      </w:r>
      <w:r w:rsidR="00CD7F4E" w:rsidRPr="00BF0FC7">
        <w:rPr>
          <w:rFonts w:hint="eastAsia"/>
        </w:rPr>
        <w:t>地</w:t>
      </w:r>
      <w:r w:rsidR="00E210A5" w:rsidRPr="00BF0FC7">
        <w:rPr>
          <w:rFonts w:hint="eastAsia"/>
        </w:rPr>
        <w:t>）</w:t>
      </w:r>
      <w:r w:rsidR="00CD7F4E" w:rsidRPr="00BF0FC7">
        <w:rPr>
          <w:rFonts w:hint="eastAsia"/>
        </w:rPr>
        <w:t>環境品質，</w:t>
      </w:r>
      <w:r w:rsidR="00076081" w:rsidRPr="00BF0FC7">
        <w:rPr>
          <w:rFonts w:hint="eastAsia"/>
        </w:rPr>
        <w:t>以</w:t>
      </w:r>
      <w:r w:rsidR="00CD7F4E" w:rsidRPr="00BF0FC7">
        <w:rPr>
          <w:rFonts w:hint="eastAsia"/>
        </w:rPr>
        <w:t>避免戰備任務受到影響。</w:t>
      </w:r>
      <w:bookmarkEnd w:id="148"/>
      <w:bookmarkEnd w:id="149"/>
    </w:p>
    <w:p w:rsidR="00132620" w:rsidRPr="00BF0FC7" w:rsidRDefault="00132620" w:rsidP="00132620">
      <w:pPr>
        <w:pStyle w:val="1"/>
        <w:ind w:left="2380" w:hanging="2380"/>
      </w:pPr>
      <w:bookmarkStart w:id="150" w:name="_Toc524895648"/>
      <w:bookmarkStart w:id="151" w:name="_Toc524896194"/>
      <w:bookmarkStart w:id="152" w:name="_Toc524896224"/>
      <w:bookmarkStart w:id="153" w:name="_Toc524902734"/>
      <w:bookmarkStart w:id="154" w:name="_Toc525066148"/>
      <w:bookmarkStart w:id="155" w:name="_Toc525070839"/>
      <w:bookmarkStart w:id="156" w:name="_Toc525938379"/>
      <w:bookmarkStart w:id="157" w:name="_Toc525939227"/>
      <w:bookmarkStart w:id="158" w:name="_Toc525939732"/>
      <w:bookmarkStart w:id="159" w:name="_Toc529218272"/>
      <w:bookmarkEnd w:id="57"/>
      <w:bookmarkEnd w:id="59"/>
      <w:bookmarkEnd w:id="60"/>
      <w:r w:rsidRPr="00BF0FC7">
        <w:br w:type="page"/>
      </w:r>
      <w:bookmarkStart w:id="160" w:name="_Toc529222689"/>
      <w:bookmarkStart w:id="161" w:name="_Toc529223111"/>
      <w:bookmarkStart w:id="162" w:name="_Toc529223862"/>
      <w:bookmarkStart w:id="163" w:name="_Toc529228265"/>
      <w:bookmarkStart w:id="164" w:name="_Toc2400395"/>
      <w:bookmarkStart w:id="165" w:name="_Toc4316189"/>
      <w:bookmarkStart w:id="166" w:name="_Toc4473330"/>
      <w:bookmarkStart w:id="167" w:name="_Toc69556897"/>
      <w:bookmarkStart w:id="168" w:name="_Toc69556946"/>
      <w:bookmarkStart w:id="169" w:name="_Toc69609820"/>
      <w:bookmarkStart w:id="170" w:name="_Toc70241816"/>
      <w:bookmarkStart w:id="171" w:name="_Toc70242205"/>
      <w:bookmarkStart w:id="172" w:name="_Toc421794875"/>
      <w:bookmarkStart w:id="173" w:name="_Toc422834160"/>
      <w:bookmarkStart w:id="174" w:name="_Toc140135592"/>
      <w:r w:rsidRPr="00BF0FC7">
        <w:rPr>
          <w:rFonts w:hint="eastAsia"/>
        </w:rPr>
        <w:lastRenderedPageBreak/>
        <w:t>處理辦法：</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132620" w:rsidRPr="00BF0FC7" w:rsidRDefault="00132620" w:rsidP="005C024B">
      <w:pPr>
        <w:pStyle w:val="2"/>
      </w:pPr>
      <w:bookmarkStart w:id="175" w:name="_Toc524895649"/>
      <w:bookmarkStart w:id="176" w:name="_Toc524896195"/>
      <w:bookmarkStart w:id="177" w:name="_Toc524896225"/>
      <w:bookmarkStart w:id="178" w:name="_Toc2400396"/>
      <w:bookmarkStart w:id="179" w:name="_Toc4316190"/>
      <w:bookmarkStart w:id="180" w:name="_Toc4473331"/>
      <w:bookmarkStart w:id="181" w:name="_Toc69556898"/>
      <w:bookmarkStart w:id="182" w:name="_Toc69556947"/>
      <w:bookmarkStart w:id="183" w:name="_Toc69609821"/>
      <w:bookmarkStart w:id="184" w:name="_Toc70241817"/>
      <w:bookmarkStart w:id="185" w:name="_Toc70242206"/>
      <w:bookmarkStart w:id="186" w:name="_Toc421794877"/>
      <w:bookmarkStart w:id="187" w:name="_Toc421795443"/>
      <w:bookmarkStart w:id="188" w:name="_Toc421796024"/>
      <w:bookmarkStart w:id="189" w:name="_Toc422728959"/>
      <w:bookmarkStart w:id="190" w:name="_Toc422834162"/>
      <w:bookmarkStart w:id="191" w:name="_Toc140135593"/>
      <w:bookmarkStart w:id="192" w:name="_Toc524902735"/>
      <w:bookmarkStart w:id="193" w:name="_Toc525066149"/>
      <w:bookmarkStart w:id="194" w:name="_Toc525070840"/>
      <w:bookmarkStart w:id="195" w:name="_Toc525938380"/>
      <w:bookmarkStart w:id="196" w:name="_Toc525939228"/>
      <w:bookmarkStart w:id="197" w:name="_Toc525939733"/>
      <w:bookmarkStart w:id="198" w:name="_Toc529218273"/>
      <w:bookmarkStart w:id="199" w:name="_Toc529222690"/>
      <w:bookmarkStart w:id="200" w:name="_Toc529223112"/>
      <w:bookmarkStart w:id="201" w:name="_Toc529223863"/>
      <w:bookmarkStart w:id="202" w:name="_Toc529228266"/>
      <w:bookmarkEnd w:id="175"/>
      <w:bookmarkEnd w:id="176"/>
      <w:bookmarkEnd w:id="177"/>
      <w:r w:rsidRPr="00BF0FC7">
        <w:rPr>
          <w:rFonts w:hint="eastAsia"/>
        </w:rPr>
        <w:t>調查意見</w:t>
      </w:r>
      <w:r w:rsidR="00090BB2" w:rsidRPr="00BF0FC7">
        <w:rPr>
          <w:rFonts w:hint="eastAsia"/>
        </w:rPr>
        <w:t>一至</w:t>
      </w:r>
      <w:r w:rsidR="00847D1E" w:rsidRPr="00BF0FC7">
        <w:rPr>
          <w:rFonts w:hint="eastAsia"/>
        </w:rPr>
        <w:t>三</w:t>
      </w:r>
      <w:r w:rsidRPr="00BF0FC7">
        <w:rPr>
          <w:rFonts w:hint="eastAsia"/>
        </w:rPr>
        <w:t>，函請行政院環境保護署確實檢討改進</w:t>
      </w:r>
      <w:proofErr w:type="gramStart"/>
      <w:r w:rsidRPr="00BF0FC7">
        <w:rPr>
          <w:rFonts w:hint="eastAsia"/>
        </w:rPr>
        <w:t>見復。</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roofErr w:type="gramEnd"/>
    </w:p>
    <w:p w:rsidR="00132620" w:rsidRPr="00BF0FC7" w:rsidRDefault="00132620" w:rsidP="005C024B">
      <w:pPr>
        <w:pStyle w:val="2"/>
      </w:pPr>
      <w:bookmarkStart w:id="203" w:name="_Toc140135594"/>
      <w:r w:rsidRPr="00BF0FC7">
        <w:rPr>
          <w:rFonts w:hint="eastAsia"/>
        </w:rPr>
        <w:t>調查意見</w:t>
      </w:r>
      <w:r w:rsidR="00847D1E" w:rsidRPr="00BF0FC7">
        <w:rPr>
          <w:rFonts w:hint="eastAsia"/>
        </w:rPr>
        <w:t>四</w:t>
      </w:r>
      <w:r w:rsidR="00F60A96" w:rsidRPr="00BF0FC7">
        <w:rPr>
          <w:rFonts w:hint="eastAsia"/>
        </w:rPr>
        <w:t>至</w:t>
      </w:r>
      <w:r w:rsidR="002903F0" w:rsidRPr="00BF0FC7">
        <w:rPr>
          <w:rFonts w:hint="eastAsia"/>
        </w:rPr>
        <w:t>八</w:t>
      </w:r>
      <w:r w:rsidRPr="00BF0FC7">
        <w:rPr>
          <w:rFonts w:hint="eastAsia"/>
        </w:rPr>
        <w:t>，函請國防部確實檢討改進</w:t>
      </w:r>
      <w:proofErr w:type="gramStart"/>
      <w:r w:rsidRPr="00BF0FC7">
        <w:rPr>
          <w:rFonts w:hint="eastAsia"/>
        </w:rPr>
        <w:t>見復。</w:t>
      </w:r>
      <w:bookmarkEnd w:id="203"/>
      <w:proofErr w:type="gramEnd"/>
    </w:p>
    <w:p w:rsidR="00132620" w:rsidRPr="00BF0FC7" w:rsidRDefault="00132620" w:rsidP="005C024B">
      <w:pPr>
        <w:pStyle w:val="2"/>
      </w:pPr>
      <w:bookmarkStart w:id="204" w:name="_Toc70241819"/>
      <w:bookmarkStart w:id="205" w:name="_Toc70242208"/>
      <w:bookmarkStart w:id="206" w:name="_Toc421794878"/>
      <w:bookmarkStart w:id="207" w:name="_Toc421795444"/>
      <w:bookmarkStart w:id="208" w:name="_Toc421796025"/>
      <w:bookmarkStart w:id="209" w:name="_Toc422728960"/>
      <w:bookmarkStart w:id="210" w:name="_Toc422834163"/>
      <w:bookmarkStart w:id="211" w:name="_Toc140135595"/>
      <w:bookmarkStart w:id="212" w:name="_Toc70241818"/>
      <w:bookmarkStart w:id="213" w:name="_Toc70242207"/>
      <w:r w:rsidRPr="00BF0FC7">
        <w:rPr>
          <w:rFonts w:hint="eastAsia"/>
        </w:rPr>
        <w:t>調查意見，函審計部參考。</w:t>
      </w:r>
      <w:bookmarkEnd w:id="204"/>
      <w:bookmarkEnd w:id="205"/>
      <w:bookmarkEnd w:id="206"/>
      <w:bookmarkEnd w:id="207"/>
      <w:bookmarkEnd w:id="208"/>
      <w:bookmarkEnd w:id="209"/>
      <w:bookmarkEnd w:id="210"/>
      <w:bookmarkEnd w:id="211"/>
    </w:p>
    <w:p w:rsidR="00132620" w:rsidRPr="00BF0FC7" w:rsidRDefault="00132620" w:rsidP="005C024B">
      <w:pPr>
        <w:pStyle w:val="2"/>
      </w:pPr>
      <w:bookmarkStart w:id="214" w:name="_Toc2400397"/>
      <w:bookmarkStart w:id="215" w:name="_Toc4316191"/>
      <w:bookmarkStart w:id="216" w:name="_Toc4473332"/>
      <w:bookmarkStart w:id="217" w:name="_Toc69556901"/>
      <w:bookmarkStart w:id="218" w:name="_Toc69556950"/>
      <w:bookmarkStart w:id="219" w:name="_Toc69609824"/>
      <w:bookmarkStart w:id="220" w:name="_Toc70241822"/>
      <w:bookmarkStart w:id="221" w:name="_Toc70242211"/>
      <w:bookmarkStart w:id="222" w:name="_Toc421794881"/>
      <w:bookmarkStart w:id="223" w:name="_Toc421795447"/>
      <w:bookmarkStart w:id="224" w:name="_Toc421796028"/>
      <w:bookmarkStart w:id="225" w:name="_Toc422728963"/>
      <w:bookmarkStart w:id="226" w:name="_Toc422834166"/>
      <w:bookmarkStart w:id="227" w:name="_Toc140135596"/>
      <w:bookmarkEnd w:id="192"/>
      <w:bookmarkEnd w:id="193"/>
      <w:bookmarkEnd w:id="194"/>
      <w:bookmarkEnd w:id="195"/>
      <w:bookmarkEnd w:id="196"/>
      <w:bookmarkEnd w:id="197"/>
      <w:bookmarkEnd w:id="198"/>
      <w:bookmarkEnd w:id="199"/>
      <w:bookmarkEnd w:id="200"/>
      <w:bookmarkEnd w:id="201"/>
      <w:bookmarkEnd w:id="202"/>
      <w:bookmarkEnd w:id="212"/>
      <w:bookmarkEnd w:id="213"/>
      <w:r w:rsidRPr="00BF0FC7">
        <w:rPr>
          <w:rFonts w:hint="eastAsia"/>
        </w:rPr>
        <w:t>檢</w:t>
      </w:r>
      <w:proofErr w:type="gramStart"/>
      <w:r w:rsidRPr="00BF0FC7">
        <w:rPr>
          <w:rFonts w:hint="eastAsia"/>
        </w:rPr>
        <w:t>附派查函</w:t>
      </w:r>
      <w:proofErr w:type="gramEnd"/>
      <w:r w:rsidRPr="00BF0FC7">
        <w:rPr>
          <w:rFonts w:hint="eastAsia"/>
        </w:rPr>
        <w:t>及相關附件，送請社會福利及衛生環境委員會、外交及國防委員會聯席會議處理。</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132620" w:rsidRPr="00BF0FC7" w:rsidRDefault="00132620" w:rsidP="00132620">
      <w:pPr>
        <w:pStyle w:val="aa"/>
        <w:spacing w:beforeLines="50" w:before="228" w:afterLines="100" w:after="457"/>
        <w:ind w:leftChars="1100" w:left="3742"/>
        <w:rPr>
          <w:b w:val="0"/>
          <w:bCs/>
          <w:snapToGrid/>
          <w:spacing w:val="12"/>
          <w:kern w:val="0"/>
          <w:sz w:val="40"/>
        </w:rPr>
      </w:pPr>
    </w:p>
    <w:p w:rsidR="00D438BB" w:rsidRDefault="00132620" w:rsidP="00132620">
      <w:pPr>
        <w:pStyle w:val="aa"/>
        <w:spacing w:beforeLines="50" w:before="228" w:afterLines="100" w:after="457"/>
        <w:ind w:leftChars="1100" w:left="3742"/>
        <w:rPr>
          <w:b w:val="0"/>
          <w:bCs/>
          <w:snapToGrid/>
          <w:spacing w:val="12"/>
          <w:kern w:val="0"/>
          <w:sz w:val="40"/>
        </w:rPr>
      </w:pPr>
      <w:r w:rsidRPr="00BF0FC7">
        <w:rPr>
          <w:rFonts w:hint="eastAsia"/>
          <w:b w:val="0"/>
          <w:bCs/>
          <w:snapToGrid/>
          <w:spacing w:val="12"/>
          <w:kern w:val="0"/>
          <w:sz w:val="40"/>
        </w:rPr>
        <w:t>調查委員：</w:t>
      </w:r>
      <w:r w:rsidR="00D438BB" w:rsidRPr="00D438BB">
        <w:rPr>
          <w:rFonts w:hint="eastAsia"/>
          <w:b w:val="0"/>
          <w:bCs/>
          <w:snapToGrid/>
          <w:spacing w:val="12"/>
          <w:kern w:val="0"/>
          <w:sz w:val="40"/>
        </w:rPr>
        <w:t>趙永清</w:t>
      </w:r>
    </w:p>
    <w:p w:rsidR="00D438BB" w:rsidRDefault="00D438BB" w:rsidP="00D438BB">
      <w:pPr>
        <w:pStyle w:val="aa"/>
        <w:spacing w:beforeLines="50" w:before="228" w:afterLines="100" w:after="457"/>
        <w:ind w:leftChars="1100" w:left="3742" w:firstLineChars="506" w:firstLine="2247"/>
        <w:rPr>
          <w:b w:val="0"/>
          <w:bCs/>
          <w:snapToGrid/>
          <w:spacing w:val="12"/>
          <w:kern w:val="0"/>
          <w:sz w:val="40"/>
        </w:rPr>
      </w:pPr>
      <w:r w:rsidRPr="00D438BB">
        <w:rPr>
          <w:rFonts w:hint="eastAsia"/>
          <w:b w:val="0"/>
          <w:bCs/>
          <w:snapToGrid/>
          <w:spacing w:val="12"/>
          <w:kern w:val="0"/>
          <w:sz w:val="40"/>
        </w:rPr>
        <w:t>蔡崇義</w:t>
      </w:r>
    </w:p>
    <w:p w:rsidR="00132620" w:rsidRPr="00BF0FC7" w:rsidRDefault="00D438BB" w:rsidP="00D438BB">
      <w:pPr>
        <w:pStyle w:val="aa"/>
        <w:spacing w:beforeLines="50" w:before="228" w:afterLines="100" w:after="457"/>
        <w:ind w:leftChars="1100" w:left="3742" w:firstLineChars="506" w:firstLine="2247"/>
        <w:rPr>
          <w:b w:val="0"/>
          <w:bCs/>
          <w:snapToGrid/>
          <w:spacing w:val="12"/>
          <w:kern w:val="0"/>
          <w:sz w:val="40"/>
        </w:rPr>
      </w:pPr>
      <w:r w:rsidRPr="00D438BB">
        <w:rPr>
          <w:rFonts w:hint="eastAsia"/>
          <w:b w:val="0"/>
          <w:bCs/>
          <w:snapToGrid/>
          <w:spacing w:val="12"/>
          <w:kern w:val="0"/>
          <w:sz w:val="40"/>
        </w:rPr>
        <w:t>田秋</w:t>
      </w:r>
      <w:proofErr w:type="gramStart"/>
      <w:r w:rsidRPr="00D438BB">
        <w:rPr>
          <w:rFonts w:hint="eastAsia"/>
          <w:b w:val="0"/>
          <w:bCs/>
          <w:snapToGrid/>
          <w:spacing w:val="12"/>
          <w:kern w:val="0"/>
          <w:sz w:val="40"/>
        </w:rPr>
        <w:t>堇</w:t>
      </w:r>
      <w:proofErr w:type="gramEnd"/>
    </w:p>
    <w:p w:rsidR="00132620" w:rsidRPr="00BF0FC7" w:rsidRDefault="00132620" w:rsidP="00132620">
      <w:pPr>
        <w:pStyle w:val="aa"/>
        <w:spacing w:before="0" w:after="0"/>
        <w:ind w:leftChars="1100" w:left="3742"/>
        <w:rPr>
          <w:rFonts w:ascii="Times New Roman"/>
          <w:b w:val="0"/>
          <w:bCs/>
          <w:snapToGrid/>
          <w:spacing w:val="0"/>
          <w:kern w:val="0"/>
          <w:sz w:val="40"/>
        </w:rPr>
      </w:pPr>
    </w:p>
    <w:p w:rsidR="00EA6B60" w:rsidRPr="00BF0FC7" w:rsidRDefault="00EA6B60" w:rsidP="00132620">
      <w:pPr>
        <w:pStyle w:val="aa"/>
        <w:spacing w:before="0" w:after="0"/>
        <w:ind w:leftChars="1100" w:left="3742"/>
        <w:rPr>
          <w:rFonts w:ascii="Times New Roman"/>
          <w:b w:val="0"/>
          <w:bCs/>
          <w:snapToGrid/>
          <w:spacing w:val="0"/>
          <w:kern w:val="0"/>
          <w:sz w:val="40"/>
        </w:rPr>
      </w:pPr>
    </w:p>
    <w:p w:rsidR="00EA6B60" w:rsidRPr="00BF0FC7" w:rsidRDefault="00EA6B60" w:rsidP="00132620">
      <w:pPr>
        <w:pStyle w:val="aa"/>
        <w:spacing w:before="0" w:after="0"/>
        <w:ind w:leftChars="1100" w:left="3742"/>
        <w:rPr>
          <w:rFonts w:ascii="Times New Roman"/>
          <w:b w:val="0"/>
          <w:bCs/>
          <w:snapToGrid/>
          <w:spacing w:val="0"/>
          <w:kern w:val="0"/>
          <w:sz w:val="40"/>
        </w:rPr>
      </w:pPr>
      <w:bookmarkStart w:id="228" w:name="_GoBack"/>
      <w:bookmarkEnd w:id="26"/>
      <w:bookmarkEnd w:id="27"/>
      <w:bookmarkEnd w:id="28"/>
      <w:bookmarkEnd w:id="29"/>
      <w:bookmarkEnd w:id="30"/>
      <w:bookmarkEnd w:id="31"/>
      <w:bookmarkEnd w:id="228"/>
    </w:p>
    <w:sectPr w:rsidR="00EA6B60" w:rsidRPr="00BF0FC7" w:rsidSect="00EF70E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DCC" w:rsidRDefault="00F96DCC">
      <w:r>
        <w:separator/>
      </w:r>
    </w:p>
  </w:endnote>
  <w:endnote w:type="continuationSeparator" w:id="0">
    <w:p w:rsidR="00F96DCC" w:rsidRDefault="00F9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05" w:rsidRDefault="0057590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575905" w:rsidRDefault="0057590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DCC" w:rsidRDefault="00F96DCC">
      <w:r>
        <w:separator/>
      </w:r>
    </w:p>
  </w:footnote>
  <w:footnote w:type="continuationSeparator" w:id="0">
    <w:p w:rsidR="00F96DCC" w:rsidRDefault="00F96DCC">
      <w:r>
        <w:continuationSeparator/>
      </w:r>
    </w:p>
  </w:footnote>
  <w:footnote w:id="1">
    <w:p w:rsidR="00575905" w:rsidRDefault="00575905" w:rsidP="008E5169">
      <w:pPr>
        <w:pStyle w:val="afd"/>
      </w:pPr>
      <w:r>
        <w:rPr>
          <w:rStyle w:val="aff"/>
        </w:rPr>
        <w:footnoteRef/>
      </w:r>
      <w:r>
        <w:t xml:space="preserve"> </w:t>
      </w:r>
      <w:r>
        <w:rPr>
          <w:rFonts w:hint="eastAsia"/>
        </w:rPr>
        <w:t>案件1、</w:t>
      </w:r>
      <w:r w:rsidRPr="00963884">
        <w:rPr>
          <w:rFonts w:hint="eastAsia"/>
        </w:rPr>
        <w:tab/>
        <w:t>屏東縣萬丹鄉新安段1438及1439地號土壤污染</w:t>
      </w:r>
      <w:r>
        <w:rPr>
          <w:rFonts w:hint="eastAsia"/>
        </w:rPr>
        <w:t>：</w:t>
      </w:r>
      <w:r w:rsidRPr="00963884">
        <w:rPr>
          <w:rFonts w:hint="eastAsia"/>
        </w:rPr>
        <w:t>污染行為人運泰股份有限公司於94年經主管機關廢止登記，環保局並於102年向財政部財政資訊中心確認該公司無有價資產。惟環保局仍持續於104年起移送行政執行。</w:t>
      </w:r>
    </w:p>
    <w:p w:rsidR="00575905" w:rsidRDefault="00575905" w:rsidP="008E5169">
      <w:pPr>
        <w:pStyle w:val="afd"/>
      </w:pPr>
      <w:r>
        <w:rPr>
          <w:rFonts w:hint="eastAsia"/>
        </w:rPr>
        <w:t>案件2、</w:t>
      </w:r>
      <w:r w:rsidRPr="00963884">
        <w:rPr>
          <w:rFonts w:hint="eastAsia"/>
        </w:rPr>
        <w:t>嘉義市下埤段農地污染</w:t>
      </w:r>
      <w:r>
        <w:rPr>
          <w:rFonts w:hint="eastAsia"/>
        </w:rPr>
        <w:t>：</w:t>
      </w:r>
      <w:r w:rsidRPr="00963884">
        <w:rPr>
          <w:rFonts w:hint="eastAsia"/>
        </w:rPr>
        <w:t>環保局針對本案所涉及之非法排放業者於104年認定為污染行為人，並移送行政執行，惟個案情形係為非法工廠，負責人已無財產可供執行，故未能完成求償。</w:t>
      </w:r>
    </w:p>
    <w:p w:rsidR="00575905" w:rsidRPr="00963884" w:rsidRDefault="00575905" w:rsidP="008E5169">
      <w:pPr>
        <w:pStyle w:val="afd"/>
      </w:pPr>
      <w:r>
        <w:rPr>
          <w:rFonts w:hint="eastAsia"/>
        </w:rPr>
        <w:t>案件3~</w:t>
      </w:r>
      <w:r>
        <w:t>5</w:t>
      </w:r>
      <w:r>
        <w:rPr>
          <w:rFonts w:hint="eastAsia"/>
        </w:rPr>
        <w:t>、</w:t>
      </w:r>
      <w:r w:rsidRPr="00963884">
        <w:rPr>
          <w:rFonts w:hint="eastAsia"/>
        </w:rPr>
        <w:t>臺中市</w:t>
      </w:r>
      <w:r w:rsidRPr="00963884">
        <w:rPr>
          <w:rFonts w:hint="eastAsia"/>
        </w:rPr>
        <w:tab/>
        <w:t>龍井區田水段農地污染</w:t>
      </w:r>
      <w:r>
        <w:rPr>
          <w:rFonts w:hint="eastAsia"/>
        </w:rPr>
        <w:t>：</w:t>
      </w:r>
      <w:r w:rsidRPr="00963884">
        <w:rPr>
          <w:rFonts w:hint="eastAsia"/>
        </w:rPr>
        <w:t>環保局已針對龍井區農地污染部分，透過相關污染</w:t>
      </w:r>
      <w:r w:rsidRPr="000430A3">
        <w:rPr>
          <w:rFonts w:hint="eastAsia"/>
          <w:color w:val="C00000"/>
        </w:rPr>
        <w:t>源</w:t>
      </w:r>
      <w:r w:rsidRPr="00963884">
        <w:rPr>
          <w:rFonts w:hint="eastAsia"/>
        </w:rPr>
        <w:t>追查與關聯性分析結果，確認污染行為人係寶聯金屬工業有限公司，並依法發動求償與移送行政執行，惟該公司目前公示資料顯示已解散，故未能完成求償。</w:t>
      </w:r>
    </w:p>
  </w:footnote>
  <w:footnote w:id="2">
    <w:p w:rsidR="00575905" w:rsidRPr="00AC331E" w:rsidRDefault="00575905" w:rsidP="00963884">
      <w:pPr>
        <w:pStyle w:val="afd"/>
      </w:pPr>
      <w:r>
        <w:rPr>
          <w:rStyle w:val="aff"/>
        </w:rPr>
        <w:footnoteRef/>
      </w:r>
      <w:r>
        <w:t xml:space="preserve"> </w:t>
      </w:r>
      <w:r>
        <w:rPr>
          <w:rFonts w:hint="eastAsia"/>
        </w:rPr>
        <w:t>事業場址：</w:t>
      </w:r>
      <w:r w:rsidRPr="00AC331E">
        <w:rPr>
          <w:rFonts w:hint="eastAsia"/>
        </w:rPr>
        <w:t>高雄乙烯事件</w:t>
      </w:r>
      <w:r>
        <w:rPr>
          <w:rFonts w:hint="eastAsia"/>
        </w:rPr>
        <w:t>984萬2千元。</w:t>
      </w:r>
    </w:p>
  </w:footnote>
  <w:footnote w:id="3">
    <w:p w:rsidR="00575905" w:rsidRPr="00341C22" w:rsidRDefault="00575905" w:rsidP="00963884">
      <w:pPr>
        <w:pStyle w:val="afd"/>
      </w:pPr>
      <w:r>
        <w:rPr>
          <w:rStyle w:val="aff"/>
        </w:rPr>
        <w:footnoteRef/>
      </w:r>
      <w:r>
        <w:t xml:space="preserve"> </w:t>
      </w:r>
      <w:r w:rsidRPr="00341C22">
        <w:rPr>
          <w:rFonts w:hint="eastAsia"/>
        </w:rPr>
        <w:t>代為支應金額3億9,805萬5千元、尚未歸墊金額3億6,869萬3千元</w:t>
      </w:r>
    </w:p>
  </w:footnote>
  <w:footnote w:id="4">
    <w:p w:rsidR="00575905" w:rsidRPr="00341C22" w:rsidRDefault="00575905" w:rsidP="00963884">
      <w:pPr>
        <w:pStyle w:val="afd"/>
      </w:pPr>
      <w:r>
        <w:rPr>
          <w:rStyle w:val="aff"/>
        </w:rPr>
        <w:footnoteRef/>
      </w:r>
      <w:r>
        <w:t xml:space="preserve"> </w:t>
      </w:r>
      <w:r w:rsidRPr="00341C22">
        <w:rPr>
          <w:rFonts w:hint="eastAsia"/>
        </w:rPr>
        <w:t>代為支應金額3億6,820萬9千元、尚未歸墊金額3億6,792萬3千元</w:t>
      </w:r>
    </w:p>
  </w:footnote>
  <w:footnote w:id="5">
    <w:p w:rsidR="00575905" w:rsidRDefault="00575905" w:rsidP="00963884">
      <w:pPr>
        <w:pStyle w:val="afd"/>
      </w:pPr>
      <w:r>
        <w:rPr>
          <w:rStyle w:val="aff"/>
        </w:rPr>
        <w:footnoteRef/>
      </w:r>
      <w:r>
        <w:t xml:space="preserve"> </w:t>
      </w:r>
      <w:r w:rsidRPr="00341C22">
        <w:rPr>
          <w:rFonts w:hint="eastAsia"/>
        </w:rPr>
        <w:t>代為支應金額8,535萬9千元、尚未歸墊金額5,248萬8千元</w:t>
      </w:r>
    </w:p>
  </w:footnote>
  <w:footnote w:id="6">
    <w:p w:rsidR="00575905" w:rsidRPr="00BA7CD8" w:rsidRDefault="00575905">
      <w:pPr>
        <w:pStyle w:val="afd"/>
      </w:pPr>
      <w:r>
        <w:rPr>
          <w:rStyle w:val="aff"/>
        </w:rPr>
        <w:footnoteRef/>
      </w:r>
      <w:r>
        <w:t xml:space="preserve"> </w:t>
      </w:r>
      <w:r>
        <w:rPr>
          <w:rFonts w:hint="eastAsia"/>
        </w:rPr>
        <w:t>據環保署表示，該進度列管期程係由地方主管機關自行填列。</w:t>
      </w:r>
    </w:p>
  </w:footnote>
  <w:footnote w:id="7">
    <w:p w:rsidR="00575905" w:rsidRPr="00535B75" w:rsidRDefault="00575905" w:rsidP="00535B75">
      <w:pPr>
        <w:pStyle w:val="afd"/>
      </w:pPr>
      <w:r>
        <w:rPr>
          <w:rStyle w:val="aff"/>
        </w:rPr>
        <w:footnoteRef/>
      </w:r>
      <w:r>
        <w:rPr>
          <w:rFonts w:hint="eastAsia"/>
        </w:rPr>
        <w:t xml:space="preserve"> 各級主管機關對於有土壤或地下水污染之虞之場址，應即進行查證，並依相關環境保護法規管制污染源及調查環境污染情形。</w:t>
      </w:r>
    </w:p>
  </w:footnote>
  <w:footnote w:id="8">
    <w:p w:rsidR="00575905" w:rsidRPr="00EF416C" w:rsidRDefault="00575905" w:rsidP="005F24D2">
      <w:pPr>
        <w:pStyle w:val="afd"/>
      </w:pPr>
      <w:r>
        <w:rPr>
          <w:rStyle w:val="aff"/>
        </w:rPr>
        <w:footnoteRef/>
      </w:r>
      <w:r>
        <w:t>1.</w:t>
      </w:r>
      <w:r>
        <w:rPr>
          <w:rFonts w:hint="eastAsia"/>
        </w:rPr>
        <w:t>109年5月15日環保署副署長及經濟部水利署署長現勘三爺溪後指示三爺溪整治工程範圍內廢棄物之移除與處理由經濟部水利署納入工程一併執行。</w:t>
      </w:r>
      <w:r>
        <w:t>2.</w:t>
      </w:r>
      <w:r>
        <w:rPr>
          <w:rFonts w:hint="eastAsia"/>
        </w:rPr>
        <w:t>為減緩三爺溪排水周遭水患影響六河局繞道避開4處列管場址辦理河川工程111年1月六河局完成場址廢棄物及污染物量體概估。</w:t>
      </w:r>
      <w:r>
        <w:t>3.</w:t>
      </w:r>
      <w:r>
        <w:rPr>
          <w:rFonts w:hint="eastAsia"/>
        </w:rPr>
        <w:t>環保局於111年5月13日函文提醒六河局須每2個月定期函復場址現況及其管理情形。</w:t>
      </w:r>
      <w:r>
        <w:t>4.</w:t>
      </w:r>
      <w:r>
        <w:rPr>
          <w:rFonts w:hint="eastAsia"/>
        </w:rPr>
        <w:t>111年12月16日函文六河局請持續依環保署指示爭取經費辦理廢棄物移除作業及污染改善作業另建議規劃該4處場址改善作為時可考量朝風險管理方式進行污染控管。</w:t>
      </w:r>
    </w:p>
  </w:footnote>
  <w:footnote w:id="9">
    <w:p w:rsidR="00575905" w:rsidRDefault="00575905" w:rsidP="009A2115">
      <w:pPr>
        <w:pStyle w:val="afd"/>
      </w:pPr>
      <w:r>
        <w:rPr>
          <w:rStyle w:val="aff"/>
        </w:rPr>
        <w:footnoteRef/>
      </w:r>
      <w:r>
        <w:t xml:space="preserve"> </w:t>
      </w:r>
      <w:r w:rsidRPr="00402F44">
        <w:rPr>
          <w:rFonts w:hint="eastAsia"/>
        </w:rPr>
        <w:t>放流水標準附表15：建築物污水處理設施放流水水質項目及限值</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C26AC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4C90468"/>
    <w:multiLevelType w:val="multilevel"/>
    <w:tmpl w:val="8CC63414"/>
    <w:styleLink w:val="WWNum27"/>
    <w:lvl w:ilvl="0">
      <w:start w:val="1"/>
      <w:numFmt w:val="decimal"/>
      <w:lvlText w:val="%1."/>
      <w:lvlJc w:val="left"/>
      <w:pPr>
        <w:ind w:left="840" w:hanging="480"/>
      </w:pPr>
      <w:rPr>
        <w:rFonts w:cs="Times New Roman"/>
        <w:b w:val="0"/>
        <w:sz w:val="32"/>
      </w:rPr>
    </w:lvl>
    <w:lvl w:ilvl="1">
      <w:start w:val="1"/>
      <w:numFmt w:val="ideographTraditional"/>
      <w:lvlText w:val="%1.%2、"/>
      <w:lvlJc w:val="left"/>
      <w:pPr>
        <w:ind w:left="1320" w:hanging="480"/>
      </w:pPr>
      <w:rPr>
        <w:rFonts w:cs="Times New Roman"/>
      </w:rPr>
    </w:lvl>
    <w:lvl w:ilvl="2">
      <w:start w:val="1"/>
      <w:numFmt w:val="lowerRoman"/>
      <w:lvlText w:val="%1.%2.%3."/>
      <w:lvlJc w:val="right"/>
      <w:pPr>
        <w:ind w:left="1800" w:hanging="480"/>
      </w:pPr>
      <w:rPr>
        <w:rFonts w:cs="Times New Roman"/>
      </w:rPr>
    </w:lvl>
    <w:lvl w:ilvl="3">
      <w:start w:val="1"/>
      <w:numFmt w:val="decimal"/>
      <w:lvlText w:val="%1.%2.%3.%4."/>
      <w:lvlJc w:val="left"/>
      <w:pPr>
        <w:ind w:left="2280" w:hanging="480"/>
      </w:pPr>
      <w:rPr>
        <w:rFonts w:cs="Times New Roman"/>
      </w:rPr>
    </w:lvl>
    <w:lvl w:ilvl="4">
      <w:start w:val="1"/>
      <w:numFmt w:val="ideographTraditional"/>
      <w:lvlText w:val="%1.%2.%3.%4.%5、"/>
      <w:lvlJc w:val="left"/>
      <w:pPr>
        <w:ind w:left="2760" w:hanging="480"/>
      </w:pPr>
      <w:rPr>
        <w:rFonts w:cs="Times New Roman"/>
      </w:rPr>
    </w:lvl>
    <w:lvl w:ilvl="5">
      <w:start w:val="1"/>
      <w:numFmt w:val="lowerRoman"/>
      <w:lvlText w:val="%1.%2.%3.%4.%5.%6."/>
      <w:lvlJc w:val="right"/>
      <w:pPr>
        <w:ind w:left="3240" w:hanging="480"/>
      </w:pPr>
      <w:rPr>
        <w:rFonts w:cs="Times New Roman"/>
      </w:rPr>
    </w:lvl>
    <w:lvl w:ilvl="6">
      <w:start w:val="1"/>
      <w:numFmt w:val="decimal"/>
      <w:lvlText w:val="%1.%2.%3.%4.%5.%6.%7."/>
      <w:lvlJc w:val="left"/>
      <w:pPr>
        <w:ind w:left="3720" w:hanging="480"/>
      </w:pPr>
      <w:rPr>
        <w:rFonts w:cs="Times New Roman"/>
      </w:rPr>
    </w:lvl>
    <w:lvl w:ilvl="7">
      <w:start w:val="1"/>
      <w:numFmt w:val="ideographTraditional"/>
      <w:lvlText w:val="%1.%2.%3.%4.%5.%6.%7.%8、"/>
      <w:lvlJc w:val="left"/>
      <w:pPr>
        <w:ind w:left="4200" w:hanging="480"/>
      </w:pPr>
      <w:rPr>
        <w:rFonts w:cs="Times New Roman"/>
      </w:rPr>
    </w:lvl>
    <w:lvl w:ilvl="8">
      <w:start w:val="1"/>
      <w:numFmt w:val="lowerRoman"/>
      <w:lvlText w:val="%1.%2.%3.%4.%5.%6.%7.%8.%9."/>
      <w:lvlJc w:val="right"/>
      <w:pPr>
        <w:ind w:left="4680" w:hanging="480"/>
      </w:pPr>
      <w:rPr>
        <w:rFonts w:cs="Times New Roman"/>
      </w:rPr>
    </w:lvl>
  </w:abstractNum>
  <w:abstractNum w:abstractNumId="3" w15:restartNumberingAfterBreak="0">
    <w:nsid w:val="17850E07"/>
    <w:multiLevelType w:val="multilevel"/>
    <w:tmpl w:val="8AB83974"/>
    <w:styleLink w:val="WWNum28"/>
    <w:lvl w:ilvl="0">
      <w:start w:val="1"/>
      <w:numFmt w:val="decimal"/>
      <w:lvlText w:val="(%1)"/>
      <w:lvlJc w:val="left"/>
      <w:pPr>
        <w:ind w:left="948" w:hanging="480"/>
      </w:pPr>
      <w:rPr>
        <w:rFonts w:cs="Times New Roman"/>
        <w:b w:val="0"/>
        <w:sz w:val="32"/>
      </w:rPr>
    </w:lvl>
    <w:lvl w:ilvl="1">
      <w:start w:val="1"/>
      <w:numFmt w:val="ideographTraditional"/>
      <w:lvlText w:val="%1.%2、"/>
      <w:lvlJc w:val="left"/>
      <w:pPr>
        <w:ind w:left="1428" w:hanging="480"/>
      </w:pPr>
      <w:rPr>
        <w:rFonts w:cs="Times New Roman"/>
      </w:rPr>
    </w:lvl>
    <w:lvl w:ilvl="2">
      <w:start w:val="1"/>
      <w:numFmt w:val="lowerRoman"/>
      <w:lvlText w:val="%1.%2.%3."/>
      <w:lvlJc w:val="right"/>
      <w:pPr>
        <w:ind w:left="1908" w:hanging="480"/>
      </w:pPr>
      <w:rPr>
        <w:rFonts w:cs="Times New Roman"/>
      </w:rPr>
    </w:lvl>
    <w:lvl w:ilvl="3">
      <w:start w:val="1"/>
      <w:numFmt w:val="decimal"/>
      <w:lvlText w:val="%1.%2.%3.%4."/>
      <w:lvlJc w:val="left"/>
      <w:pPr>
        <w:ind w:left="2388" w:hanging="480"/>
      </w:pPr>
      <w:rPr>
        <w:rFonts w:cs="Times New Roman"/>
      </w:rPr>
    </w:lvl>
    <w:lvl w:ilvl="4">
      <w:start w:val="1"/>
      <w:numFmt w:val="ideographTraditional"/>
      <w:lvlText w:val="%1.%2.%3.%4.%5、"/>
      <w:lvlJc w:val="left"/>
      <w:pPr>
        <w:ind w:left="2868" w:hanging="480"/>
      </w:pPr>
      <w:rPr>
        <w:rFonts w:cs="Times New Roman"/>
      </w:rPr>
    </w:lvl>
    <w:lvl w:ilvl="5">
      <w:start w:val="1"/>
      <w:numFmt w:val="lowerRoman"/>
      <w:lvlText w:val="%1.%2.%3.%4.%5.%6."/>
      <w:lvlJc w:val="right"/>
      <w:pPr>
        <w:ind w:left="3348" w:hanging="480"/>
      </w:pPr>
      <w:rPr>
        <w:rFonts w:cs="Times New Roman"/>
      </w:rPr>
    </w:lvl>
    <w:lvl w:ilvl="6">
      <w:start w:val="1"/>
      <w:numFmt w:val="decimal"/>
      <w:lvlText w:val="%1.%2.%3.%4.%5.%6.%7."/>
      <w:lvlJc w:val="left"/>
      <w:pPr>
        <w:ind w:left="3828" w:hanging="480"/>
      </w:pPr>
      <w:rPr>
        <w:rFonts w:cs="Times New Roman"/>
      </w:rPr>
    </w:lvl>
    <w:lvl w:ilvl="7">
      <w:start w:val="1"/>
      <w:numFmt w:val="ideographTraditional"/>
      <w:lvlText w:val="%1.%2.%3.%4.%5.%6.%7.%8、"/>
      <w:lvlJc w:val="left"/>
      <w:pPr>
        <w:ind w:left="4308" w:hanging="480"/>
      </w:pPr>
      <w:rPr>
        <w:rFonts w:cs="Times New Roman"/>
      </w:rPr>
    </w:lvl>
    <w:lvl w:ilvl="8">
      <w:start w:val="1"/>
      <w:numFmt w:val="lowerRoman"/>
      <w:lvlText w:val="%1.%2.%3.%4.%5.%6.%7.%8.%9."/>
      <w:lvlJc w:val="right"/>
      <w:pPr>
        <w:ind w:left="4788" w:hanging="480"/>
      </w:pPr>
      <w:rPr>
        <w:rFonts w:cs="Times New Roman"/>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784B58"/>
    <w:multiLevelType w:val="multilevel"/>
    <w:tmpl w:val="86A60DE0"/>
    <w:styleLink w:val="WWNum2"/>
    <w:lvl w:ilvl="0">
      <w:start w:val="1"/>
      <w:numFmt w:val="decimal"/>
      <w:lvlText w:val="%1."/>
      <w:lvlJc w:val="left"/>
      <w:pPr>
        <w:ind w:left="782" w:hanging="360"/>
      </w:pPr>
      <w:rPr>
        <w:rFonts w:ascii="標楷體" w:hAnsi="標楷體" w:cs="Times New Roman"/>
        <w:b w:val="0"/>
        <w:sz w:val="32"/>
      </w:rPr>
    </w:lvl>
    <w:lvl w:ilvl="1">
      <w:start w:val="1"/>
      <w:numFmt w:val="ideographTraditional"/>
      <w:lvlText w:val="%1.%2、"/>
      <w:lvlJc w:val="left"/>
      <w:pPr>
        <w:ind w:left="1382" w:hanging="480"/>
      </w:pPr>
      <w:rPr>
        <w:rFonts w:cs="Times New Roman"/>
      </w:rPr>
    </w:lvl>
    <w:lvl w:ilvl="2">
      <w:start w:val="1"/>
      <w:numFmt w:val="lowerRoman"/>
      <w:lvlText w:val="%1.%2.%3."/>
      <w:lvlJc w:val="right"/>
      <w:pPr>
        <w:ind w:left="1862" w:hanging="480"/>
      </w:pPr>
      <w:rPr>
        <w:rFonts w:cs="Times New Roman"/>
      </w:rPr>
    </w:lvl>
    <w:lvl w:ilvl="3">
      <w:start w:val="1"/>
      <w:numFmt w:val="decimal"/>
      <w:lvlText w:val="%1.%2.%3.%4."/>
      <w:lvlJc w:val="left"/>
      <w:pPr>
        <w:ind w:left="2342" w:hanging="480"/>
      </w:pPr>
      <w:rPr>
        <w:rFonts w:cs="Times New Roman"/>
      </w:rPr>
    </w:lvl>
    <w:lvl w:ilvl="4">
      <w:start w:val="1"/>
      <w:numFmt w:val="ideographTraditional"/>
      <w:lvlText w:val="%1.%2.%3.%4.%5、"/>
      <w:lvlJc w:val="left"/>
      <w:pPr>
        <w:ind w:left="2822" w:hanging="480"/>
      </w:pPr>
      <w:rPr>
        <w:rFonts w:cs="Times New Roman"/>
      </w:rPr>
    </w:lvl>
    <w:lvl w:ilvl="5">
      <w:start w:val="1"/>
      <w:numFmt w:val="lowerRoman"/>
      <w:lvlText w:val="%1.%2.%3.%4.%5.%6."/>
      <w:lvlJc w:val="right"/>
      <w:pPr>
        <w:ind w:left="3302" w:hanging="480"/>
      </w:pPr>
      <w:rPr>
        <w:rFonts w:cs="Times New Roman"/>
      </w:rPr>
    </w:lvl>
    <w:lvl w:ilvl="6">
      <w:start w:val="1"/>
      <w:numFmt w:val="decimal"/>
      <w:lvlText w:val="%1.%2.%3.%4.%5.%6.%7."/>
      <w:lvlJc w:val="left"/>
      <w:pPr>
        <w:ind w:left="3782" w:hanging="480"/>
      </w:pPr>
      <w:rPr>
        <w:rFonts w:cs="Times New Roman"/>
      </w:rPr>
    </w:lvl>
    <w:lvl w:ilvl="7">
      <w:start w:val="1"/>
      <w:numFmt w:val="ideographTraditional"/>
      <w:lvlText w:val="%1.%2.%3.%4.%5.%6.%7.%8、"/>
      <w:lvlJc w:val="left"/>
      <w:pPr>
        <w:ind w:left="4262" w:hanging="480"/>
      </w:pPr>
      <w:rPr>
        <w:rFonts w:cs="Times New Roman"/>
      </w:rPr>
    </w:lvl>
    <w:lvl w:ilvl="8">
      <w:start w:val="1"/>
      <w:numFmt w:val="lowerRoman"/>
      <w:lvlText w:val="%1.%2.%3.%4.%5.%6.%7.%8.%9."/>
      <w:lvlJc w:val="right"/>
      <w:pPr>
        <w:ind w:left="4742" w:hanging="480"/>
      </w:pPr>
      <w:rPr>
        <w:rFonts w:cs="Times New Roman"/>
      </w:rPr>
    </w:lvl>
  </w:abstractNum>
  <w:abstractNum w:abstractNumId="6" w15:restartNumberingAfterBreak="0">
    <w:nsid w:val="2314019F"/>
    <w:multiLevelType w:val="multilevel"/>
    <w:tmpl w:val="A3A0C21C"/>
    <w:styleLink w:val="WWNum12"/>
    <w:lvl w:ilvl="0">
      <w:start w:val="1"/>
      <w:numFmt w:val="decimal"/>
      <w:lvlText w:val="%1."/>
      <w:lvlJc w:val="left"/>
      <w:pPr>
        <w:ind w:left="360" w:hanging="360"/>
      </w:pPr>
      <w:rPr>
        <w:rFonts w:cs="Times New Roman"/>
        <w:b w:val="0"/>
        <w:sz w:val="32"/>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 w15:restartNumberingAfterBreak="0">
    <w:nsid w:val="2D2640DD"/>
    <w:multiLevelType w:val="multilevel"/>
    <w:tmpl w:val="26F843A8"/>
    <w:styleLink w:val="WWNum13"/>
    <w:lvl w:ilvl="0">
      <w:start w:val="1"/>
      <w:numFmt w:val="decimal"/>
      <w:lvlText w:val="(%1)"/>
      <w:lvlJc w:val="left"/>
      <w:pPr>
        <w:ind w:left="840" w:hanging="480"/>
      </w:pPr>
      <w:rPr>
        <w:rFonts w:cs="Times New Roman"/>
        <w:b w:val="0"/>
        <w:sz w:val="32"/>
      </w:rPr>
    </w:lvl>
    <w:lvl w:ilvl="1">
      <w:start w:val="1"/>
      <w:numFmt w:val="ideographTraditional"/>
      <w:lvlText w:val="%1.%2、"/>
      <w:lvlJc w:val="left"/>
      <w:pPr>
        <w:ind w:left="1320" w:hanging="480"/>
      </w:pPr>
      <w:rPr>
        <w:rFonts w:cs="Times New Roman"/>
      </w:rPr>
    </w:lvl>
    <w:lvl w:ilvl="2">
      <w:start w:val="1"/>
      <w:numFmt w:val="lowerRoman"/>
      <w:lvlText w:val="%1.%2.%3."/>
      <w:lvlJc w:val="right"/>
      <w:pPr>
        <w:ind w:left="1800" w:hanging="480"/>
      </w:pPr>
      <w:rPr>
        <w:rFonts w:cs="Times New Roman"/>
      </w:rPr>
    </w:lvl>
    <w:lvl w:ilvl="3">
      <w:start w:val="1"/>
      <w:numFmt w:val="decimal"/>
      <w:lvlText w:val="%1.%2.%3.%4."/>
      <w:lvlJc w:val="left"/>
      <w:pPr>
        <w:ind w:left="2280" w:hanging="480"/>
      </w:pPr>
      <w:rPr>
        <w:rFonts w:cs="Times New Roman"/>
      </w:rPr>
    </w:lvl>
    <w:lvl w:ilvl="4">
      <w:start w:val="1"/>
      <w:numFmt w:val="ideographTraditional"/>
      <w:lvlText w:val="%1.%2.%3.%4.%5、"/>
      <w:lvlJc w:val="left"/>
      <w:pPr>
        <w:ind w:left="2760" w:hanging="480"/>
      </w:pPr>
      <w:rPr>
        <w:rFonts w:cs="Times New Roman"/>
      </w:rPr>
    </w:lvl>
    <w:lvl w:ilvl="5">
      <w:start w:val="1"/>
      <w:numFmt w:val="lowerRoman"/>
      <w:lvlText w:val="%1.%2.%3.%4.%5.%6."/>
      <w:lvlJc w:val="right"/>
      <w:pPr>
        <w:ind w:left="3240" w:hanging="480"/>
      </w:pPr>
      <w:rPr>
        <w:rFonts w:cs="Times New Roman"/>
      </w:rPr>
    </w:lvl>
    <w:lvl w:ilvl="6">
      <w:start w:val="1"/>
      <w:numFmt w:val="decimal"/>
      <w:lvlText w:val="%1.%2.%3.%4.%5.%6.%7."/>
      <w:lvlJc w:val="left"/>
      <w:pPr>
        <w:ind w:left="3720" w:hanging="480"/>
      </w:pPr>
      <w:rPr>
        <w:rFonts w:cs="Times New Roman"/>
      </w:rPr>
    </w:lvl>
    <w:lvl w:ilvl="7">
      <w:start w:val="1"/>
      <w:numFmt w:val="ideographTraditional"/>
      <w:lvlText w:val="%1.%2.%3.%4.%5.%6.%7.%8、"/>
      <w:lvlJc w:val="left"/>
      <w:pPr>
        <w:ind w:left="4200" w:hanging="480"/>
      </w:pPr>
      <w:rPr>
        <w:rFonts w:cs="Times New Roman"/>
      </w:rPr>
    </w:lvl>
    <w:lvl w:ilvl="8">
      <w:start w:val="1"/>
      <w:numFmt w:val="lowerRoman"/>
      <w:lvlText w:val="%1.%2.%3.%4.%5.%6.%7.%8.%9."/>
      <w:lvlJc w:val="right"/>
      <w:pPr>
        <w:ind w:left="4680" w:hanging="480"/>
      </w:pPr>
      <w:rPr>
        <w:rFonts w:cs="Times New Roman"/>
      </w:rPr>
    </w:lvl>
  </w:abstractNum>
  <w:abstractNum w:abstractNumId="8" w15:restartNumberingAfterBreak="0">
    <w:nsid w:val="33464C5C"/>
    <w:multiLevelType w:val="multilevel"/>
    <w:tmpl w:val="5254DF40"/>
    <w:styleLink w:val="WWNum11"/>
    <w:lvl w:ilvl="0">
      <w:start w:val="1"/>
      <w:numFmt w:val="decimal"/>
      <w:lvlText w:val="(%1)"/>
      <w:lvlJc w:val="left"/>
      <w:pPr>
        <w:ind w:left="840" w:hanging="480"/>
      </w:pPr>
      <w:rPr>
        <w:rFonts w:cs="Times New Roman"/>
        <w:b w:val="0"/>
        <w:sz w:val="32"/>
      </w:rPr>
    </w:lvl>
    <w:lvl w:ilvl="1">
      <w:start w:val="1"/>
      <w:numFmt w:val="decimal"/>
      <w:lvlText w:val="%1.%2."/>
      <w:lvlJc w:val="left"/>
      <w:pPr>
        <w:ind w:left="1200" w:hanging="360"/>
      </w:pPr>
      <w:rPr>
        <w:rFonts w:cs="Times New Roman"/>
      </w:rPr>
    </w:lvl>
    <w:lvl w:ilvl="2">
      <w:start w:val="1"/>
      <w:numFmt w:val="lowerRoman"/>
      <w:lvlText w:val="%1.%2.%3."/>
      <w:lvlJc w:val="right"/>
      <w:pPr>
        <w:ind w:left="1800" w:hanging="480"/>
      </w:pPr>
      <w:rPr>
        <w:rFonts w:cs="Times New Roman"/>
      </w:rPr>
    </w:lvl>
    <w:lvl w:ilvl="3">
      <w:start w:val="1"/>
      <w:numFmt w:val="decimal"/>
      <w:lvlText w:val="%1.%2.%3.%4."/>
      <w:lvlJc w:val="left"/>
      <w:pPr>
        <w:ind w:left="2280" w:hanging="480"/>
      </w:pPr>
      <w:rPr>
        <w:rFonts w:cs="Times New Roman"/>
      </w:rPr>
    </w:lvl>
    <w:lvl w:ilvl="4">
      <w:start w:val="1"/>
      <w:numFmt w:val="ideographTraditional"/>
      <w:lvlText w:val="%1.%2.%3.%4.%5、"/>
      <w:lvlJc w:val="left"/>
      <w:pPr>
        <w:ind w:left="2760" w:hanging="480"/>
      </w:pPr>
      <w:rPr>
        <w:rFonts w:cs="Times New Roman"/>
      </w:rPr>
    </w:lvl>
    <w:lvl w:ilvl="5">
      <w:start w:val="1"/>
      <w:numFmt w:val="lowerRoman"/>
      <w:lvlText w:val="%1.%2.%3.%4.%5.%6."/>
      <w:lvlJc w:val="right"/>
      <w:pPr>
        <w:ind w:left="3240" w:hanging="480"/>
      </w:pPr>
      <w:rPr>
        <w:rFonts w:cs="Times New Roman"/>
      </w:rPr>
    </w:lvl>
    <w:lvl w:ilvl="6">
      <w:start w:val="1"/>
      <w:numFmt w:val="decimal"/>
      <w:lvlText w:val="%1.%2.%3.%4.%5.%6.%7."/>
      <w:lvlJc w:val="left"/>
      <w:pPr>
        <w:ind w:left="3720" w:hanging="480"/>
      </w:pPr>
      <w:rPr>
        <w:rFonts w:cs="Times New Roman"/>
      </w:rPr>
    </w:lvl>
    <w:lvl w:ilvl="7">
      <w:start w:val="1"/>
      <w:numFmt w:val="ideographTraditional"/>
      <w:lvlText w:val="%1.%2.%3.%4.%5.%6.%7.%8、"/>
      <w:lvlJc w:val="left"/>
      <w:pPr>
        <w:ind w:left="4200" w:hanging="480"/>
      </w:pPr>
      <w:rPr>
        <w:rFonts w:cs="Times New Roman"/>
      </w:rPr>
    </w:lvl>
    <w:lvl w:ilvl="8">
      <w:start w:val="1"/>
      <w:numFmt w:val="lowerRoman"/>
      <w:lvlText w:val="%1.%2.%3.%4.%5.%6.%7.%8.%9."/>
      <w:lvlJc w:val="right"/>
      <w:pPr>
        <w:ind w:left="4680" w:hanging="480"/>
      </w:pPr>
      <w:rPr>
        <w:rFonts w:cs="Times New Roman"/>
      </w:r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342EAA"/>
    <w:multiLevelType w:val="multilevel"/>
    <w:tmpl w:val="EBBAF030"/>
    <w:styleLink w:val="WWNum29"/>
    <w:lvl w:ilvl="0">
      <w:start w:val="1"/>
      <w:numFmt w:val="decimal"/>
      <w:lvlText w:val="(%1)"/>
      <w:lvlJc w:val="left"/>
      <w:pPr>
        <w:ind w:left="840" w:hanging="480"/>
      </w:pPr>
      <w:rPr>
        <w:rFonts w:cs="Times New Roman"/>
        <w:b w:val="0"/>
        <w:sz w:val="32"/>
      </w:rPr>
    </w:lvl>
    <w:lvl w:ilvl="1">
      <w:start w:val="1"/>
      <w:numFmt w:val="ideographTraditional"/>
      <w:lvlText w:val="%1.%2、"/>
      <w:lvlJc w:val="left"/>
      <w:pPr>
        <w:ind w:left="1320" w:hanging="480"/>
      </w:pPr>
      <w:rPr>
        <w:rFonts w:cs="Times New Roman"/>
      </w:rPr>
    </w:lvl>
    <w:lvl w:ilvl="2">
      <w:start w:val="1"/>
      <w:numFmt w:val="lowerRoman"/>
      <w:lvlText w:val="%1.%2.%3."/>
      <w:lvlJc w:val="right"/>
      <w:pPr>
        <w:ind w:left="1800" w:hanging="480"/>
      </w:pPr>
      <w:rPr>
        <w:rFonts w:cs="Times New Roman"/>
      </w:rPr>
    </w:lvl>
    <w:lvl w:ilvl="3">
      <w:start w:val="1"/>
      <w:numFmt w:val="decimal"/>
      <w:lvlText w:val="%1.%2.%3.%4."/>
      <w:lvlJc w:val="left"/>
      <w:pPr>
        <w:ind w:left="2280" w:hanging="480"/>
      </w:pPr>
      <w:rPr>
        <w:rFonts w:cs="Times New Roman"/>
      </w:rPr>
    </w:lvl>
    <w:lvl w:ilvl="4">
      <w:start w:val="1"/>
      <w:numFmt w:val="ideographTraditional"/>
      <w:lvlText w:val="%1.%2.%3.%4.%5、"/>
      <w:lvlJc w:val="left"/>
      <w:pPr>
        <w:ind w:left="2760" w:hanging="480"/>
      </w:pPr>
      <w:rPr>
        <w:rFonts w:cs="Times New Roman"/>
      </w:rPr>
    </w:lvl>
    <w:lvl w:ilvl="5">
      <w:start w:val="1"/>
      <w:numFmt w:val="lowerRoman"/>
      <w:lvlText w:val="%1.%2.%3.%4.%5.%6."/>
      <w:lvlJc w:val="right"/>
      <w:pPr>
        <w:ind w:left="3240" w:hanging="480"/>
      </w:pPr>
      <w:rPr>
        <w:rFonts w:cs="Times New Roman"/>
      </w:rPr>
    </w:lvl>
    <w:lvl w:ilvl="6">
      <w:start w:val="1"/>
      <w:numFmt w:val="decimal"/>
      <w:lvlText w:val="%1.%2.%3.%4.%5.%6.%7."/>
      <w:lvlJc w:val="left"/>
      <w:pPr>
        <w:ind w:left="3720" w:hanging="480"/>
      </w:pPr>
      <w:rPr>
        <w:rFonts w:cs="Times New Roman"/>
      </w:rPr>
    </w:lvl>
    <w:lvl w:ilvl="7">
      <w:start w:val="1"/>
      <w:numFmt w:val="ideographTraditional"/>
      <w:lvlText w:val="%1.%2.%3.%4.%5.%6.%7.%8、"/>
      <w:lvlJc w:val="left"/>
      <w:pPr>
        <w:ind w:left="4200" w:hanging="480"/>
      </w:pPr>
      <w:rPr>
        <w:rFonts w:cs="Times New Roman"/>
      </w:rPr>
    </w:lvl>
    <w:lvl w:ilvl="8">
      <w:start w:val="1"/>
      <w:numFmt w:val="lowerRoman"/>
      <w:lvlText w:val="%1.%2.%3.%4.%5.%6.%7.%8.%9."/>
      <w:lvlJc w:val="right"/>
      <w:pPr>
        <w:ind w:left="4680" w:hanging="480"/>
      </w:pPr>
      <w:rPr>
        <w:rFonts w:cs="Times New Roman"/>
      </w:r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693CAE"/>
    <w:multiLevelType w:val="multilevel"/>
    <w:tmpl w:val="5638F5B4"/>
    <w:styleLink w:val="WWNum3"/>
    <w:lvl w:ilvl="0">
      <w:start w:val="1"/>
      <w:numFmt w:val="decimal"/>
      <w:lvlText w:val="%1."/>
      <w:lvlJc w:val="left"/>
      <w:pPr>
        <w:ind w:left="360" w:hanging="360"/>
      </w:pPr>
      <w:rPr>
        <w:rFonts w:ascii="Times New Roman" w:hAnsi="Times New Roman" w:cs="Times New Roman"/>
        <w:b w:val="0"/>
        <w:sz w:val="32"/>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3" w15:restartNumberingAfterBreak="0">
    <w:nsid w:val="4A5F5684"/>
    <w:multiLevelType w:val="hybridMultilevel"/>
    <w:tmpl w:val="2918DD08"/>
    <w:lvl w:ilvl="0" w:tplc="3EDE5C54">
      <w:start w:val="1"/>
      <w:numFmt w:val="decimal"/>
      <w:pStyle w:val="a3"/>
      <w:lvlText w:val="表%1　"/>
      <w:lvlJc w:val="left"/>
      <w:pPr>
        <w:ind w:left="2891"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D4D4451"/>
    <w:multiLevelType w:val="multilevel"/>
    <w:tmpl w:val="3EDAACFC"/>
    <w:styleLink w:val="WWNum4"/>
    <w:lvl w:ilvl="0">
      <w:start w:val="1"/>
      <w:numFmt w:val="decimal"/>
      <w:lvlText w:val="%1."/>
      <w:lvlJc w:val="left"/>
      <w:pPr>
        <w:ind w:left="360" w:hanging="360"/>
      </w:pPr>
      <w:rPr>
        <w:rFonts w:ascii="Times New Roman" w:hAnsi="Times New Roman" w:cs="Times New Roman"/>
        <w:b w:val="0"/>
        <w:sz w:val="32"/>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DD369B"/>
    <w:multiLevelType w:val="multilevel"/>
    <w:tmpl w:val="35B8452E"/>
    <w:styleLink w:val="WWNum10"/>
    <w:lvl w:ilvl="0">
      <w:start w:val="1"/>
      <w:numFmt w:val="decimal"/>
      <w:lvlText w:val="%1."/>
      <w:lvlJc w:val="left"/>
      <w:pPr>
        <w:ind w:left="782" w:hanging="360"/>
      </w:pPr>
      <w:rPr>
        <w:rFonts w:ascii="標楷體" w:hAnsi="標楷體" w:cs="Times New Roman"/>
        <w:b w:val="0"/>
        <w:sz w:val="32"/>
      </w:rPr>
    </w:lvl>
    <w:lvl w:ilvl="1">
      <w:start w:val="1"/>
      <w:numFmt w:val="ideographTraditional"/>
      <w:lvlText w:val="%1.%2、"/>
      <w:lvlJc w:val="left"/>
      <w:pPr>
        <w:ind w:left="1382" w:hanging="480"/>
      </w:pPr>
      <w:rPr>
        <w:rFonts w:cs="Times New Roman"/>
      </w:rPr>
    </w:lvl>
    <w:lvl w:ilvl="2">
      <w:start w:val="1"/>
      <w:numFmt w:val="lowerRoman"/>
      <w:lvlText w:val="%1.%2.%3."/>
      <w:lvlJc w:val="right"/>
      <w:pPr>
        <w:ind w:left="1862" w:hanging="480"/>
      </w:pPr>
      <w:rPr>
        <w:rFonts w:cs="Times New Roman"/>
      </w:rPr>
    </w:lvl>
    <w:lvl w:ilvl="3">
      <w:start w:val="1"/>
      <w:numFmt w:val="decimal"/>
      <w:lvlText w:val="%1.%2.%3.%4."/>
      <w:lvlJc w:val="left"/>
      <w:pPr>
        <w:ind w:left="2342" w:hanging="480"/>
      </w:pPr>
      <w:rPr>
        <w:rFonts w:cs="Times New Roman"/>
      </w:rPr>
    </w:lvl>
    <w:lvl w:ilvl="4">
      <w:start w:val="1"/>
      <w:numFmt w:val="ideographTraditional"/>
      <w:lvlText w:val="%1.%2.%3.%4.%5、"/>
      <w:lvlJc w:val="left"/>
      <w:pPr>
        <w:ind w:left="2822" w:hanging="480"/>
      </w:pPr>
      <w:rPr>
        <w:rFonts w:cs="Times New Roman"/>
      </w:rPr>
    </w:lvl>
    <w:lvl w:ilvl="5">
      <w:start w:val="1"/>
      <w:numFmt w:val="lowerRoman"/>
      <w:lvlText w:val="%1.%2.%3.%4.%5.%6."/>
      <w:lvlJc w:val="right"/>
      <w:pPr>
        <w:ind w:left="3302" w:hanging="480"/>
      </w:pPr>
      <w:rPr>
        <w:rFonts w:cs="Times New Roman"/>
      </w:rPr>
    </w:lvl>
    <w:lvl w:ilvl="6">
      <w:start w:val="1"/>
      <w:numFmt w:val="decimal"/>
      <w:lvlText w:val="%1.%2.%3.%4.%5.%6.%7."/>
      <w:lvlJc w:val="left"/>
      <w:pPr>
        <w:ind w:left="3782" w:hanging="480"/>
      </w:pPr>
      <w:rPr>
        <w:rFonts w:cs="Times New Roman"/>
      </w:rPr>
    </w:lvl>
    <w:lvl w:ilvl="7">
      <w:start w:val="1"/>
      <w:numFmt w:val="ideographTraditional"/>
      <w:lvlText w:val="%1.%2.%3.%4.%5.%6.%7.%8、"/>
      <w:lvlJc w:val="left"/>
      <w:pPr>
        <w:ind w:left="4262" w:hanging="480"/>
      </w:pPr>
      <w:rPr>
        <w:rFonts w:cs="Times New Roman"/>
      </w:rPr>
    </w:lvl>
    <w:lvl w:ilvl="8">
      <w:start w:val="1"/>
      <w:numFmt w:val="lowerRoman"/>
      <w:lvlText w:val="%1.%2.%3.%4.%5.%6.%7.%8.%9."/>
      <w:lvlJc w:val="right"/>
      <w:pPr>
        <w:ind w:left="4742" w:hanging="480"/>
      </w:pPr>
      <w:rPr>
        <w:rFonts w:cs="Times New Roman"/>
      </w:rPr>
    </w:lvl>
  </w:abstractNum>
  <w:abstractNum w:abstractNumId="1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DB4075"/>
    <w:multiLevelType w:val="multilevel"/>
    <w:tmpl w:val="0C0A4680"/>
    <w:styleLink w:val="WWNum15"/>
    <w:lvl w:ilvl="0">
      <w:start w:val="1"/>
      <w:numFmt w:val="decimal"/>
      <w:lvlText w:val="%1."/>
      <w:lvlJc w:val="left"/>
      <w:pPr>
        <w:ind w:left="480" w:hanging="480"/>
      </w:pPr>
      <w:rPr>
        <w:rFonts w:cs="Times New Roman"/>
        <w:b w:val="0"/>
        <w:sz w:val="32"/>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9" w15:restartNumberingAfterBreak="0">
    <w:nsid w:val="5B86002B"/>
    <w:multiLevelType w:val="multilevel"/>
    <w:tmpl w:val="51686726"/>
    <w:styleLink w:val="WWNum9"/>
    <w:lvl w:ilvl="0">
      <w:start w:val="1"/>
      <w:numFmt w:val="decimal"/>
      <w:lvlText w:val="(%1)"/>
      <w:lvlJc w:val="left"/>
      <w:pPr>
        <w:ind w:left="840" w:hanging="480"/>
      </w:pPr>
      <w:rPr>
        <w:rFonts w:cs="Times New Roman"/>
        <w:b w:val="0"/>
        <w:sz w:val="32"/>
      </w:rPr>
    </w:lvl>
    <w:lvl w:ilvl="1">
      <w:start w:val="1"/>
      <w:numFmt w:val="decimal"/>
      <w:lvlText w:val="%2."/>
      <w:lvlJc w:val="left"/>
      <w:pPr>
        <w:ind w:left="1200" w:hanging="360"/>
      </w:pPr>
      <w:rPr>
        <w:b w:val="0"/>
        <w:sz w:val="32"/>
      </w:rPr>
    </w:lvl>
    <w:lvl w:ilvl="2">
      <w:start w:val="1"/>
      <w:numFmt w:val="lowerRoman"/>
      <w:lvlText w:val="%1.%2.%3."/>
      <w:lvlJc w:val="right"/>
      <w:pPr>
        <w:ind w:left="1800" w:hanging="480"/>
      </w:pPr>
      <w:rPr>
        <w:rFonts w:cs="Times New Roman"/>
      </w:rPr>
    </w:lvl>
    <w:lvl w:ilvl="3">
      <w:start w:val="1"/>
      <w:numFmt w:val="decimal"/>
      <w:lvlText w:val="%1.%2.%3.%4."/>
      <w:lvlJc w:val="left"/>
      <w:pPr>
        <w:ind w:left="2280" w:hanging="480"/>
      </w:pPr>
      <w:rPr>
        <w:rFonts w:cs="Times New Roman"/>
      </w:rPr>
    </w:lvl>
    <w:lvl w:ilvl="4">
      <w:start w:val="1"/>
      <w:numFmt w:val="ideographTraditional"/>
      <w:lvlText w:val="%1.%2.%3.%4.%5、"/>
      <w:lvlJc w:val="left"/>
      <w:pPr>
        <w:ind w:left="2760" w:hanging="480"/>
      </w:pPr>
      <w:rPr>
        <w:rFonts w:cs="Times New Roman"/>
      </w:rPr>
    </w:lvl>
    <w:lvl w:ilvl="5">
      <w:start w:val="1"/>
      <w:numFmt w:val="lowerRoman"/>
      <w:lvlText w:val="%1.%2.%3.%4.%5.%6."/>
      <w:lvlJc w:val="right"/>
      <w:pPr>
        <w:ind w:left="3240" w:hanging="480"/>
      </w:pPr>
      <w:rPr>
        <w:rFonts w:cs="Times New Roman"/>
      </w:rPr>
    </w:lvl>
    <w:lvl w:ilvl="6">
      <w:start w:val="1"/>
      <w:numFmt w:val="decimal"/>
      <w:lvlText w:val="%1.%2.%3.%4.%5.%6.%7."/>
      <w:lvlJc w:val="left"/>
      <w:pPr>
        <w:ind w:left="3720" w:hanging="480"/>
      </w:pPr>
      <w:rPr>
        <w:rFonts w:cs="Times New Roman"/>
      </w:rPr>
    </w:lvl>
    <w:lvl w:ilvl="7">
      <w:start w:val="1"/>
      <w:numFmt w:val="ideographTraditional"/>
      <w:lvlText w:val="%1.%2.%3.%4.%5.%6.%7.%8、"/>
      <w:lvlJc w:val="left"/>
      <w:pPr>
        <w:ind w:left="4200" w:hanging="480"/>
      </w:pPr>
      <w:rPr>
        <w:rFonts w:cs="Times New Roman"/>
      </w:rPr>
    </w:lvl>
    <w:lvl w:ilvl="8">
      <w:start w:val="1"/>
      <w:numFmt w:val="lowerRoman"/>
      <w:lvlText w:val="%1.%2.%3.%4.%5.%6.%7.%8.%9."/>
      <w:lvlJc w:val="right"/>
      <w:pPr>
        <w:ind w:left="4680" w:hanging="480"/>
      </w:pPr>
      <w:rPr>
        <w:rFonts w:cs="Times New Roman"/>
      </w:rPr>
    </w:lvl>
  </w:abstractNum>
  <w:abstractNum w:abstractNumId="20" w15:restartNumberingAfterBreak="0">
    <w:nsid w:val="68350652"/>
    <w:multiLevelType w:val="multilevel"/>
    <w:tmpl w:val="33AA4C48"/>
    <w:styleLink w:val="WWNum8"/>
    <w:lvl w:ilvl="0">
      <w:start w:val="1"/>
      <w:numFmt w:val="decimal"/>
      <w:lvlText w:val="(%1)"/>
      <w:lvlJc w:val="left"/>
      <w:pPr>
        <w:ind w:left="840" w:hanging="480"/>
      </w:pPr>
      <w:rPr>
        <w:rFonts w:cs="Times New Roman"/>
        <w:b w:val="0"/>
        <w:sz w:val="32"/>
      </w:rPr>
    </w:lvl>
    <w:lvl w:ilvl="1">
      <w:start w:val="1"/>
      <w:numFmt w:val="ideographTraditional"/>
      <w:lvlText w:val="%1.%2、"/>
      <w:lvlJc w:val="left"/>
      <w:pPr>
        <w:ind w:left="1320" w:hanging="480"/>
      </w:pPr>
      <w:rPr>
        <w:rFonts w:cs="Times New Roman"/>
      </w:rPr>
    </w:lvl>
    <w:lvl w:ilvl="2">
      <w:start w:val="1"/>
      <w:numFmt w:val="lowerRoman"/>
      <w:lvlText w:val="%1.%2.%3."/>
      <w:lvlJc w:val="right"/>
      <w:pPr>
        <w:ind w:left="1800" w:hanging="480"/>
      </w:pPr>
      <w:rPr>
        <w:rFonts w:cs="Times New Roman"/>
      </w:rPr>
    </w:lvl>
    <w:lvl w:ilvl="3">
      <w:start w:val="1"/>
      <w:numFmt w:val="decimal"/>
      <w:lvlText w:val="%1.%2.%3.%4."/>
      <w:lvlJc w:val="left"/>
      <w:pPr>
        <w:ind w:left="2280" w:hanging="480"/>
      </w:pPr>
      <w:rPr>
        <w:rFonts w:cs="Times New Roman"/>
      </w:rPr>
    </w:lvl>
    <w:lvl w:ilvl="4">
      <w:start w:val="1"/>
      <w:numFmt w:val="ideographTraditional"/>
      <w:lvlText w:val="%1.%2.%3.%4.%5、"/>
      <w:lvlJc w:val="left"/>
      <w:pPr>
        <w:ind w:left="2760" w:hanging="480"/>
      </w:pPr>
      <w:rPr>
        <w:rFonts w:cs="Times New Roman"/>
      </w:rPr>
    </w:lvl>
    <w:lvl w:ilvl="5">
      <w:start w:val="1"/>
      <w:numFmt w:val="lowerRoman"/>
      <w:lvlText w:val="%1.%2.%3.%4.%5.%6."/>
      <w:lvlJc w:val="right"/>
      <w:pPr>
        <w:ind w:left="3240" w:hanging="480"/>
      </w:pPr>
      <w:rPr>
        <w:rFonts w:cs="Times New Roman"/>
      </w:rPr>
    </w:lvl>
    <w:lvl w:ilvl="6">
      <w:start w:val="1"/>
      <w:numFmt w:val="decimal"/>
      <w:lvlText w:val="%1.%2.%3.%4.%5.%6.%7."/>
      <w:lvlJc w:val="left"/>
      <w:pPr>
        <w:ind w:left="3720" w:hanging="480"/>
      </w:pPr>
      <w:rPr>
        <w:rFonts w:cs="Times New Roman"/>
      </w:rPr>
    </w:lvl>
    <w:lvl w:ilvl="7">
      <w:start w:val="1"/>
      <w:numFmt w:val="ideographTraditional"/>
      <w:lvlText w:val="%1.%2.%3.%4.%5.%6.%7.%8、"/>
      <w:lvlJc w:val="left"/>
      <w:pPr>
        <w:ind w:left="4200" w:hanging="480"/>
      </w:pPr>
      <w:rPr>
        <w:rFonts w:cs="Times New Roman"/>
      </w:rPr>
    </w:lvl>
    <w:lvl w:ilvl="8">
      <w:start w:val="1"/>
      <w:numFmt w:val="lowerRoman"/>
      <w:lvlText w:val="%1.%2.%3.%4.%5.%6.%7.%8.%9."/>
      <w:lvlJc w:val="right"/>
      <w:pPr>
        <w:ind w:left="4680" w:hanging="480"/>
      </w:pPr>
      <w:rPr>
        <w:rFonts w:cs="Times New Roman"/>
      </w:rPr>
    </w:lvl>
  </w:abstractNum>
  <w:abstractNum w:abstractNumId="21" w15:restartNumberingAfterBreak="0">
    <w:nsid w:val="69372401"/>
    <w:multiLevelType w:val="multilevel"/>
    <w:tmpl w:val="094608DA"/>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22" w15:restartNumberingAfterBreak="0">
    <w:nsid w:val="7B4B42FA"/>
    <w:multiLevelType w:val="multilevel"/>
    <w:tmpl w:val="772069A8"/>
    <w:styleLink w:val="WWNum16"/>
    <w:lvl w:ilvl="0">
      <w:start w:val="1"/>
      <w:numFmt w:val="decimal"/>
      <w:suff w:val="nothing"/>
      <w:lvlText w:val="%1."/>
      <w:lvlJc w:val="left"/>
      <w:pPr>
        <w:ind w:left="720" w:hanging="360"/>
      </w:pPr>
      <w:rPr>
        <w:rFonts w:cs="Times New Roman"/>
        <w:b w:val="0"/>
        <w:sz w:val="32"/>
      </w:rPr>
    </w:lvl>
    <w:lvl w:ilvl="1">
      <w:start w:val="1"/>
      <w:numFmt w:val="decimal"/>
      <w:suff w:val="nothing"/>
      <w:lvlText w:val="%1.%2."/>
      <w:lvlJc w:val="left"/>
      <w:pPr>
        <w:ind w:left="1080" w:hanging="360"/>
      </w:pPr>
      <w:rPr>
        <w:rFonts w:cs="Times New Roman"/>
      </w:rPr>
    </w:lvl>
    <w:lvl w:ilvl="2">
      <w:start w:val="1"/>
      <w:numFmt w:val="decimal"/>
      <w:suff w:val="nothing"/>
      <w:lvlText w:val="%1.%2.%3."/>
      <w:lvlJc w:val="left"/>
      <w:pPr>
        <w:ind w:left="1440" w:hanging="360"/>
      </w:pPr>
      <w:rPr>
        <w:rFonts w:cs="Times New Roman"/>
      </w:rPr>
    </w:lvl>
    <w:lvl w:ilvl="3">
      <w:start w:val="1"/>
      <w:numFmt w:val="decimal"/>
      <w:suff w:val="nothing"/>
      <w:lvlText w:val="%1.%2.%3.%4."/>
      <w:lvlJc w:val="left"/>
      <w:pPr>
        <w:ind w:left="1800" w:hanging="360"/>
      </w:pPr>
      <w:rPr>
        <w:rFonts w:cs="Times New Roman"/>
      </w:rPr>
    </w:lvl>
    <w:lvl w:ilvl="4">
      <w:start w:val="1"/>
      <w:numFmt w:val="decimal"/>
      <w:suff w:val="nothing"/>
      <w:lvlText w:val="%1.%2.%3.%4.%5."/>
      <w:lvlJc w:val="left"/>
      <w:pPr>
        <w:ind w:left="2160" w:hanging="360"/>
      </w:pPr>
      <w:rPr>
        <w:rFonts w:cs="Times New Roman"/>
      </w:rPr>
    </w:lvl>
    <w:lvl w:ilvl="5">
      <w:start w:val="1"/>
      <w:numFmt w:val="decimal"/>
      <w:suff w:val="nothing"/>
      <w:lvlText w:val="%1.%2.%3.%4.%5.%6."/>
      <w:lvlJc w:val="left"/>
      <w:pPr>
        <w:ind w:left="2520" w:hanging="360"/>
      </w:pPr>
      <w:rPr>
        <w:rFonts w:cs="Times New Roman"/>
      </w:rPr>
    </w:lvl>
    <w:lvl w:ilvl="6">
      <w:start w:val="1"/>
      <w:numFmt w:val="decimal"/>
      <w:suff w:val="nothing"/>
      <w:lvlText w:val="%1.%2.%3.%4.%5.%6.%7."/>
      <w:lvlJc w:val="left"/>
      <w:pPr>
        <w:ind w:left="2880" w:hanging="360"/>
      </w:pPr>
      <w:rPr>
        <w:rFonts w:cs="Times New Roman"/>
      </w:rPr>
    </w:lvl>
    <w:lvl w:ilvl="7">
      <w:start w:val="1"/>
      <w:numFmt w:val="decimal"/>
      <w:suff w:val="nothing"/>
      <w:lvlText w:val="%1.%2.%3.%4.%5.%6.%7.%8."/>
      <w:lvlJc w:val="left"/>
      <w:pPr>
        <w:ind w:left="3240" w:hanging="360"/>
      </w:pPr>
      <w:rPr>
        <w:rFonts w:cs="Times New Roman"/>
      </w:rPr>
    </w:lvl>
    <w:lvl w:ilvl="8">
      <w:start w:val="1"/>
      <w:numFmt w:val="decimal"/>
      <w:suff w:val="nothing"/>
      <w:lvlText w:val="%1.%2.%3.%4.%5.%6.%7.%8.%9."/>
      <w:lvlJc w:val="left"/>
      <w:pPr>
        <w:ind w:left="3600" w:hanging="360"/>
      </w:pPr>
      <w:rPr>
        <w:rFonts w:cs="Times New Roman"/>
      </w:rPr>
    </w:lvl>
  </w:abstractNum>
  <w:abstractNum w:abstractNumId="23" w15:restartNumberingAfterBreak="0">
    <w:nsid w:val="7C6B56F9"/>
    <w:multiLevelType w:val="multilevel"/>
    <w:tmpl w:val="B43E59A6"/>
    <w:styleLink w:val="WWNum14"/>
    <w:lvl w:ilvl="0">
      <w:start w:val="1"/>
      <w:numFmt w:val="decimal"/>
      <w:lvlText w:val="%1."/>
      <w:lvlJc w:val="left"/>
      <w:pPr>
        <w:ind w:left="840" w:hanging="480"/>
      </w:pPr>
      <w:rPr>
        <w:rFonts w:cs="Times New Roman"/>
        <w:b w:val="0"/>
        <w:sz w:val="32"/>
      </w:rPr>
    </w:lvl>
    <w:lvl w:ilvl="1">
      <w:start w:val="1"/>
      <w:numFmt w:val="ideographTraditional"/>
      <w:lvlText w:val="%1.%2、"/>
      <w:lvlJc w:val="left"/>
      <w:pPr>
        <w:ind w:left="1320" w:hanging="480"/>
      </w:pPr>
      <w:rPr>
        <w:rFonts w:cs="Times New Roman"/>
      </w:rPr>
    </w:lvl>
    <w:lvl w:ilvl="2">
      <w:start w:val="1"/>
      <w:numFmt w:val="lowerRoman"/>
      <w:lvlText w:val="%1.%2.%3."/>
      <w:lvlJc w:val="right"/>
      <w:pPr>
        <w:ind w:left="1800" w:hanging="480"/>
      </w:pPr>
      <w:rPr>
        <w:rFonts w:cs="Times New Roman"/>
      </w:rPr>
    </w:lvl>
    <w:lvl w:ilvl="3">
      <w:start w:val="1"/>
      <w:numFmt w:val="decimal"/>
      <w:lvlText w:val="%1.%2.%3.%4."/>
      <w:lvlJc w:val="left"/>
      <w:pPr>
        <w:ind w:left="2280" w:hanging="480"/>
      </w:pPr>
      <w:rPr>
        <w:rFonts w:cs="Times New Roman"/>
      </w:rPr>
    </w:lvl>
    <w:lvl w:ilvl="4">
      <w:start w:val="1"/>
      <w:numFmt w:val="ideographTraditional"/>
      <w:lvlText w:val="%1.%2.%3.%4.%5、"/>
      <w:lvlJc w:val="left"/>
      <w:pPr>
        <w:ind w:left="2760" w:hanging="480"/>
      </w:pPr>
      <w:rPr>
        <w:rFonts w:cs="Times New Roman"/>
      </w:rPr>
    </w:lvl>
    <w:lvl w:ilvl="5">
      <w:start w:val="1"/>
      <w:numFmt w:val="lowerRoman"/>
      <w:lvlText w:val="%1.%2.%3.%4.%5.%6."/>
      <w:lvlJc w:val="right"/>
      <w:pPr>
        <w:ind w:left="3240" w:hanging="480"/>
      </w:pPr>
      <w:rPr>
        <w:rFonts w:cs="Times New Roman"/>
      </w:rPr>
    </w:lvl>
    <w:lvl w:ilvl="6">
      <w:start w:val="1"/>
      <w:numFmt w:val="decimal"/>
      <w:lvlText w:val="%1.%2.%3.%4.%5.%6.%7."/>
      <w:lvlJc w:val="left"/>
      <w:pPr>
        <w:ind w:left="3720" w:hanging="480"/>
      </w:pPr>
      <w:rPr>
        <w:rFonts w:cs="Times New Roman"/>
      </w:rPr>
    </w:lvl>
    <w:lvl w:ilvl="7">
      <w:start w:val="1"/>
      <w:numFmt w:val="ideographTraditional"/>
      <w:lvlText w:val="%1.%2.%3.%4.%5.%6.%7.%8、"/>
      <w:lvlJc w:val="left"/>
      <w:pPr>
        <w:ind w:left="4200" w:hanging="480"/>
      </w:pPr>
      <w:rPr>
        <w:rFonts w:cs="Times New Roman"/>
      </w:rPr>
    </w:lvl>
    <w:lvl w:ilvl="8">
      <w:start w:val="1"/>
      <w:numFmt w:val="lowerRoman"/>
      <w:lvlText w:val="%1.%2.%3.%4.%5.%6.%7.%8.%9."/>
      <w:lvlJc w:val="right"/>
      <w:pPr>
        <w:ind w:left="4680" w:hanging="480"/>
      </w:pPr>
      <w:rPr>
        <w:rFonts w:cs="Times New Roman"/>
      </w:rPr>
    </w:lvl>
  </w:abstractNum>
  <w:num w:numId="1">
    <w:abstractNumId w:val="4"/>
  </w:num>
  <w:num w:numId="2">
    <w:abstractNumId w:val="0"/>
  </w:num>
  <w:num w:numId="3">
    <w:abstractNumId w:val="4"/>
    <w:lvlOverride w:ilvl="0">
      <w:startOverride w:val="1"/>
    </w:lvlOverride>
  </w:num>
  <w:num w:numId="4">
    <w:abstractNumId w:val="13"/>
  </w:num>
  <w:num w:numId="5">
    <w:abstractNumId w:val="9"/>
  </w:num>
  <w:num w:numId="6">
    <w:abstractNumId w:val="15"/>
  </w:num>
  <w:num w:numId="7">
    <w:abstractNumId w:val="17"/>
  </w:num>
  <w:num w:numId="8">
    <w:abstractNumId w:val="11"/>
  </w:num>
  <w:num w:numId="9">
    <w:abstractNumId w:val="21"/>
  </w:num>
  <w:num w:numId="10">
    <w:abstractNumId w:val="5"/>
  </w:num>
  <w:num w:numId="11">
    <w:abstractNumId w:val="12"/>
  </w:num>
  <w:num w:numId="12">
    <w:abstractNumId w:val="14"/>
  </w:num>
  <w:num w:numId="13">
    <w:abstractNumId w:val="20"/>
  </w:num>
  <w:num w:numId="14">
    <w:abstractNumId w:val="19"/>
  </w:num>
  <w:num w:numId="15">
    <w:abstractNumId w:val="16"/>
  </w:num>
  <w:num w:numId="16">
    <w:abstractNumId w:val="8"/>
  </w:num>
  <w:num w:numId="17">
    <w:abstractNumId w:val="6"/>
  </w:num>
  <w:num w:numId="18">
    <w:abstractNumId w:val="7"/>
  </w:num>
  <w:num w:numId="19">
    <w:abstractNumId w:val="23"/>
  </w:num>
  <w:num w:numId="20">
    <w:abstractNumId w:val="18"/>
  </w:num>
  <w:num w:numId="21">
    <w:abstractNumId w:val="22"/>
  </w:num>
  <w:num w:numId="22">
    <w:abstractNumId w:val="2"/>
  </w:num>
  <w:num w:numId="23">
    <w:abstractNumId w:val="3"/>
  </w:num>
  <w:num w:numId="24">
    <w:abstractNumId w:val="10"/>
  </w:num>
  <w:num w:numId="25">
    <w:abstractNumId w:val="1"/>
  </w:num>
  <w:num w:numId="26">
    <w:abstractNumId w:val="1"/>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37"/>
    <w:rsid w:val="00001D68"/>
    <w:rsid w:val="000020F3"/>
    <w:rsid w:val="000024C0"/>
    <w:rsid w:val="00003FBB"/>
    <w:rsid w:val="000049F1"/>
    <w:rsid w:val="00006933"/>
    <w:rsid w:val="00006961"/>
    <w:rsid w:val="000112BF"/>
    <w:rsid w:val="00012233"/>
    <w:rsid w:val="00016326"/>
    <w:rsid w:val="0001664A"/>
    <w:rsid w:val="00016955"/>
    <w:rsid w:val="00017318"/>
    <w:rsid w:val="000222BB"/>
    <w:rsid w:val="000229AD"/>
    <w:rsid w:val="000246F7"/>
    <w:rsid w:val="00024C12"/>
    <w:rsid w:val="000262EB"/>
    <w:rsid w:val="0003114D"/>
    <w:rsid w:val="000321F5"/>
    <w:rsid w:val="0003229C"/>
    <w:rsid w:val="00032DF8"/>
    <w:rsid w:val="00036D76"/>
    <w:rsid w:val="00040C35"/>
    <w:rsid w:val="000430A3"/>
    <w:rsid w:val="00043753"/>
    <w:rsid w:val="00050A68"/>
    <w:rsid w:val="000525C8"/>
    <w:rsid w:val="00054F5F"/>
    <w:rsid w:val="00055A4D"/>
    <w:rsid w:val="00057F32"/>
    <w:rsid w:val="00060153"/>
    <w:rsid w:val="00062A25"/>
    <w:rsid w:val="00064592"/>
    <w:rsid w:val="000661D6"/>
    <w:rsid w:val="000665E9"/>
    <w:rsid w:val="00073608"/>
    <w:rsid w:val="00073CB5"/>
    <w:rsid w:val="0007425C"/>
    <w:rsid w:val="00076081"/>
    <w:rsid w:val="00077553"/>
    <w:rsid w:val="00077FED"/>
    <w:rsid w:val="00080EEC"/>
    <w:rsid w:val="000820FB"/>
    <w:rsid w:val="000822F5"/>
    <w:rsid w:val="000851A2"/>
    <w:rsid w:val="000858DF"/>
    <w:rsid w:val="00087264"/>
    <w:rsid w:val="00090BB2"/>
    <w:rsid w:val="00091A8D"/>
    <w:rsid w:val="0009352E"/>
    <w:rsid w:val="00096978"/>
    <w:rsid w:val="00096B96"/>
    <w:rsid w:val="000A042A"/>
    <w:rsid w:val="000A2064"/>
    <w:rsid w:val="000A2F3F"/>
    <w:rsid w:val="000B0168"/>
    <w:rsid w:val="000B0B4A"/>
    <w:rsid w:val="000B1C84"/>
    <w:rsid w:val="000B279A"/>
    <w:rsid w:val="000B61D2"/>
    <w:rsid w:val="000B70A7"/>
    <w:rsid w:val="000B73DD"/>
    <w:rsid w:val="000C1A11"/>
    <w:rsid w:val="000C233B"/>
    <w:rsid w:val="000C39EA"/>
    <w:rsid w:val="000C3F9E"/>
    <w:rsid w:val="000C3FE3"/>
    <w:rsid w:val="000C495F"/>
    <w:rsid w:val="000D118F"/>
    <w:rsid w:val="000D2B58"/>
    <w:rsid w:val="000D66D9"/>
    <w:rsid w:val="000D6D65"/>
    <w:rsid w:val="000E6431"/>
    <w:rsid w:val="000E6DA2"/>
    <w:rsid w:val="000F09F4"/>
    <w:rsid w:val="000F21A5"/>
    <w:rsid w:val="000F24C8"/>
    <w:rsid w:val="000F36B8"/>
    <w:rsid w:val="000F4B45"/>
    <w:rsid w:val="00100A65"/>
    <w:rsid w:val="0010229B"/>
    <w:rsid w:val="00102B9F"/>
    <w:rsid w:val="00112637"/>
    <w:rsid w:val="00112ABC"/>
    <w:rsid w:val="00112F37"/>
    <w:rsid w:val="001134C0"/>
    <w:rsid w:val="001149ED"/>
    <w:rsid w:val="00114CC0"/>
    <w:rsid w:val="001169F9"/>
    <w:rsid w:val="0012001E"/>
    <w:rsid w:val="00123D3F"/>
    <w:rsid w:val="001246FC"/>
    <w:rsid w:val="00126A55"/>
    <w:rsid w:val="00127D9E"/>
    <w:rsid w:val="00130956"/>
    <w:rsid w:val="00132620"/>
    <w:rsid w:val="00133F08"/>
    <w:rsid w:val="001345E6"/>
    <w:rsid w:val="00134D83"/>
    <w:rsid w:val="0013787D"/>
    <w:rsid w:val="001378B0"/>
    <w:rsid w:val="00140E6F"/>
    <w:rsid w:val="00141883"/>
    <w:rsid w:val="0014290B"/>
    <w:rsid w:val="00142E00"/>
    <w:rsid w:val="0014335A"/>
    <w:rsid w:val="00144C23"/>
    <w:rsid w:val="001479A2"/>
    <w:rsid w:val="00147BE4"/>
    <w:rsid w:val="00152793"/>
    <w:rsid w:val="00152EE0"/>
    <w:rsid w:val="00153B7E"/>
    <w:rsid w:val="001545A9"/>
    <w:rsid w:val="0015748C"/>
    <w:rsid w:val="001575D2"/>
    <w:rsid w:val="00157C03"/>
    <w:rsid w:val="0016126B"/>
    <w:rsid w:val="001637C7"/>
    <w:rsid w:val="0016480E"/>
    <w:rsid w:val="00164FBA"/>
    <w:rsid w:val="001676C4"/>
    <w:rsid w:val="001677EF"/>
    <w:rsid w:val="00170AF4"/>
    <w:rsid w:val="00170CFA"/>
    <w:rsid w:val="001715F5"/>
    <w:rsid w:val="001726B8"/>
    <w:rsid w:val="00172984"/>
    <w:rsid w:val="0017413B"/>
    <w:rsid w:val="00174297"/>
    <w:rsid w:val="00180E06"/>
    <w:rsid w:val="001817B3"/>
    <w:rsid w:val="00181D30"/>
    <w:rsid w:val="00183014"/>
    <w:rsid w:val="001921A6"/>
    <w:rsid w:val="001959C2"/>
    <w:rsid w:val="00195F55"/>
    <w:rsid w:val="00196BF4"/>
    <w:rsid w:val="001A4C4D"/>
    <w:rsid w:val="001A51E3"/>
    <w:rsid w:val="001A7968"/>
    <w:rsid w:val="001A7C94"/>
    <w:rsid w:val="001B02A1"/>
    <w:rsid w:val="001B22FF"/>
    <w:rsid w:val="001B2E98"/>
    <w:rsid w:val="001B3483"/>
    <w:rsid w:val="001B3C1E"/>
    <w:rsid w:val="001B4494"/>
    <w:rsid w:val="001B6048"/>
    <w:rsid w:val="001B6600"/>
    <w:rsid w:val="001B729C"/>
    <w:rsid w:val="001C01F4"/>
    <w:rsid w:val="001C0562"/>
    <w:rsid w:val="001C0D8B"/>
    <w:rsid w:val="001C0DA8"/>
    <w:rsid w:val="001C3C02"/>
    <w:rsid w:val="001D010E"/>
    <w:rsid w:val="001D202C"/>
    <w:rsid w:val="001D2139"/>
    <w:rsid w:val="001D44A3"/>
    <w:rsid w:val="001D4AD7"/>
    <w:rsid w:val="001D5006"/>
    <w:rsid w:val="001D6306"/>
    <w:rsid w:val="001E0D8A"/>
    <w:rsid w:val="001E14D5"/>
    <w:rsid w:val="001E1A35"/>
    <w:rsid w:val="001E4F6C"/>
    <w:rsid w:val="001E67BA"/>
    <w:rsid w:val="001E74C2"/>
    <w:rsid w:val="001F00C4"/>
    <w:rsid w:val="001F30E3"/>
    <w:rsid w:val="001F3BE4"/>
    <w:rsid w:val="001F4F82"/>
    <w:rsid w:val="001F5A48"/>
    <w:rsid w:val="001F613F"/>
    <w:rsid w:val="001F6260"/>
    <w:rsid w:val="00200007"/>
    <w:rsid w:val="00201720"/>
    <w:rsid w:val="002023FF"/>
    <w:rsid w:val="002030A5"/>
    <w:rsid w:val="00203131"/>
    <w:rsid w:val="002032C5"/>
    <w:rsid w:val="0020611B"/>
    <w:rsid w:val="002100B5"/>
    <w:rsid w:val="00210381"/>
    <w:rsid w:val="00212E88"/>
    <w:rsid w:val="00213163"/>
    <w:rsid w:val="00213A9C"/>
    <w:rsid w:val="00213B84"/>
    <w:rsid w:val="00213C9C"/>
    <w:rsid w:val="00217178"/>
    <w:rsid w:val="0022009E"/>
    <w:rsid w:val="002209AA"/>
    <w:rsid w:val="00221CCD"/>
    <w:rsid w:val="00223241"/>
    <w:rsid w:val="0022425C"/>
    <w:rsid w:val="002246DE"/>
    <w:rsid w:val="00224888"/>
    <w:rsid w:val="00230EAE"/>
    <w:rsid w:val="002312DA"/>
    <w:rsid w:val="002336F1"/>
    <w:rsid w:val="002338CA"/>
    <w:rsid w:val="002354C9"/>
    <w:rsid w:val="00236534"/>
    <w:rsid w:val="0023663F"/>
    <w:rsid w:val="00236C21"/>
    <w:rsid w:val="0023722D"/>
    <w:rsid w:val="00240B07"/>
    <w:rsid w:val="00240F99"/>
    <w:rsid w:val="002429E2"/>
    <w:rsid w:val="002458BB"/>
    <w:rsid w:val="00246B05"/>
    <w:rsid w:val="00250B33"/>
    <w:rsid w:val="00252BC4"/>
    <w:rsid w:val="00254014"/>
    <w:rsid w:val="00254B39"/>
    <w:rsid w:val="00257B41"/>
    <w:rsid w:val="00261018"/>
    <w:rsid w:val="002621CA"/>
    <w:rsid w:val="00264634"/>
    <w:rsid w:val="0026504D"/>
    <w:rsid w:val="002664FD"/>
    <w:rsid w:val="00267176"/>
    <w:rsid w:val="002672AD"/>
    <w:rsid w:val="0026747D"/>
    <w:rsid w:val="00270AB3"/>
    <w:rsid w:val="0027348D"/>
    <w:rsid w:val="00273A2F"/>
    <w:rsid w:val="002750FE"/>
    <w:rsid w:val="00276B07"/>
    <w:rsid w:val="00277A55"/>
    <w:rsid w:val="00277AA1"/>
    <w:rsid w:val="00280986"/>
    <w:rsid w:val="00280E21"/>
    <w:rsid w:val="002817C4"/>
    <w:rsid w:val="00281EA7"/>
    <w:rsid w:val="00281ECE"/>
    <w:rsid w:val="002831C7"/>
    <w:rsid w:val="002840BD"/>
    <w:rsid w:val="002840C6"/>
    <w:rsid w:val="002903F0"/>
    <w:rsid w:val="00293AD0"/>
    <w:rsid w:val="00295174"/>
    <w:rsid w:val="00296172"/>
    <w:rsid w:val="002969E6"/>
    <w:rsid w:val="00296B92"/>
    <w:rsid w:val="002A05F6"/>
    <w:rsid w:val="002A2C22"/>
    <w:rsid w:val="002A43D4"/>
    <w:rsid w:val="002A4FBD"/>
    <w:rsid w:val="002B02EB"/>
    <w:rsid w:val="002B217D"/>
    <w:rsid w:val="002B2FE5"/>
    <w:rsid w:val="002B3370"/>
    <w:rsid w:val="002B42E2"/>
    <w:rsid w:val="002B4A5E"/>
    <w:rsid w:val="002B5239"/>
    <w:rsid w:val="002C0602"/>
    <w:rsid w:val="002C6506"/>
    <w:rsid w:val="002C6611"/>
    <w:rsid w:val="002D4DB8"/>
    <w:rsid w:val="002D5C16"/>
    <w:rsid w:val="002E0D2C"/>
    <w:rsid w:val="002E451B"/>
    <w:rsid w:val="002E52FD"/>
    <w:rsid w:val="002E6F05"/>
    <w:rsid w:val="002F2476"/>
    <w:rsid w:val="002F24F9"/>
    <w:rsid w:val="002F282A"/>
    <w:rsid w:val="002F3B6B"/>
    <w:rsid w:val="002F3DFF"/>
    <w:rsid w:val="002F3E3E"/>
    <w:rsid w:val="002F4B11"/>
    <w:rsid w:val="002F5E05"/>
    <w:rsid w:val="00301860"/>
    <w:rsid w:val="0030189B"/>
    <w:rsid w:val="00303040"/>
    <w:rsid w:val="003031D3"/>
    <w:rsid w:val="0030596F"/>
    <w:rsid w:val="00306095"/>
    <w:rsid w:val="003064C3"/>
    <w:rsid w:val="00306742"/>
    <w:rsid w:val="00307497"/>
    <w:rsid w:val="003075C4"/>
    <w:rsid w:val="00307A76"/>
    <w:rsid w:val="0031455E"/>
    <w:rsid w:val="00315A16"/>
    <w:rsid w:val="00317053"/>
    <w:rsid w:val="0032109C"/>
    <w:rsid w:val="00322B45"/>
    <w:rsid w:val="00322EB7"/>
    <w:rsid w:val="00323809"/>
    <w:rsid w:val="00323D41"/>
    <w:rsid w:val="00325414"/>
    <w:rsid w:val="003278DE"/>
    <w:rsid w:val="003302F1"/>
    <w:rsid w:val="00331AF9"/>
    <w:rsid w:val="00333B60"/>
    <w:rsid w:val="00341C22"/>
    <w:rsid w:val="00343448"/>
    <w:rsid w:val="0034363E"/>
    <w:rsid w:val="0034380F"/>
    <w:rsid w:val="0034470E"/>
    <w:rsid w:val="003453AF"/>
    <w:rsid w:val="0034548F"/>
    <w:rsid w:val="003469A5"/>
    <w:rsid w:val="00346A3D"/>
    <w:rsid w:val="00352B9D"/>
    <w:rsid w:val="00352DB0"/>
    <w:rsid w:val="00353D31"/>
    <w:rsid w:val="003571AA"/>
    <w:rsid w:val="0036038F"/>
    <w:rsid w:val="00361063"/>
    <w:rsid w:val="003623A5"/>
    <w:rsid w:val="00362E46"/>
    <w:rsid w:val="0036400B"/>
    <w:rsid w:val="0036431E"/>
    <w:rsid w:val="003647A0"/>
    <w:rsid w:val="003649A0"/>
    <w:rsid w:val="00365A11"/>
    <w:rsid w:val="00365EB9"/>
    <w:rsid w:val="0037094A"/>
    <w:rsid w:val="00371000"/>
    <w:rsid w:val="00371ED3"/>
    <w:rsid w:val="00372659"/>
    <w:rsid w:val="00372FFC"/>
    <w:rsid w:val="00375CDC"/>
    <w:rsid w:val="00376DE0"/>
    <w:rsid w:val="0037728A"/>
    <w:rsid w:val="003774D2"/>
    <w:rsid w:val="00380B7D"/>
    <w:rsid w:val="003814C3"/>
    <w:rsid w:val="00381A99"/>
    <w:rsid w:val="003829C2"/>
    <w:rsid w:val="003830B2"/>
    <w:rsid w:val="00384724"/>
    <w:rsid w:val="0038577F"/>
    <w:rsid w:val="003919B7"/>
    <w:rsid w:val="00391D57"/>
    <w:rsid w:val="00392090"/>
    <w:rsid w:val="00392292"/>
    <w:rsid w:val="00392D86"/>
    <w:rsid w:val="0039334B"/>
    <w:rsid w:val="00394212"/>
    <w:rsid w:val="00394E5A"/>
    <w:rsid w:val="00394F45"/>
    <w:rsid w:val="00395B53"/>
    <w:rsid w:val="00396E25"/>
    <w:rsid w:val="003A2407"/>
    <w:rsid w:val="003A5927"/>
    <w:rsid w:val="003B0806"/>
    <w:rsid w:val="003B1017"/>
    <w:rsid w:val="003B2335"/>
    <w:rsid w:val="003B3B4C"/>
    <w:rsid w:val="003B3C07"/>
    <w:rsid w:val="003B40D8"/>
    <w:rsid w:val="003B4375"/>
    <w:rsid w:val="003B6081"/>
    <w:rsid w:val="003B6775"/>
    <w:rsid w:val="003C04A6"/>
    <w:rsid w:val="003C211B"/>
    <w:rsid w:val="003C5FE2"/>
    <w:rsid w:val="003C60FC"/>
    <w:rsid w:val="003D05FB"/>
    <w:rsid w:val="003D1364"/>
    <w:rsid w:val="003D1B16"/>
    <w:rsid w:val="003D232B"/>
    <w:rsid w:val="003D28A4"/>
    <w:rsid w:val="003D40AA"/>
    <w:rsid w:val="003D45BF"/>
    <w:rsid w:val="003D508A"/>
    <w:rsid w:val="003D537F"/>
    <w:rsid w:val="003D7A74"/>
    <w:rsid w:val="003D7B75"/>
    <w:rsid w:val="003E0208"/>
    <w:rsid w:val="003E1349"/>
    <w:rsid w:val="003E3D83"/>
    <w:rsid w:val="003E4875"/>
    <w:rsid w:val="003E49AE"/>
    <w:rsid w:val="003E4B57"/>
    <w:rsid w:val="003E74CC"/>
    <w:rsid w:val="003F27E1"/>
    <w:rsid w:val="003F3CDD"/>
    <w:rsid w:val="003F437A"/>
    <w:rsid w:val="003F44B1"/>
    <w:rsid w:val="003F5C2B"/>
    <w:rsid w:val="00400575"/>
    <w:rsid w:val="00402240"/>
    <w:rsid w:val="004023E9"/>
    <w:rsid w:val="00402F44"/>
    <w:rsid w:val="0040454A"/>
    <w:rsid w:val="004047B5"/>
    <w:rsid w:val="004058C0"/>
    <w:rsid w:val="00410758"/>
    <w:rsid w:val="0041268F"/>
    <w:rsid w:val="00413F83"/>
    <w:rsid w:val="0041484D"/>
    <w:rsid w:val="0041490C"/>
    <w:rsid w:val="004150B1"/>
    <w:rsid w:val="00415D62"/>
    <w:rsid w:val="00416191"/>
    <w:rsid w:val="00416721"/>
    <w:rsid w:val="0041685B"/>
    <w:rsid w:val="00420CAD"/>
    <w:rsid w:val="00421EF0"/>
    <w:rsid w:val="004224FA"/>
    <w:rsid w:val="00423994"/>
    <w:rsid w:val="00423D07"/>
    <w:rsid w:val="00426073"/>
    <w:rsid w:val="00427936"/>
    <w:rsid w:val="004307F5"/>
    <w:rsid w:val="00431908"/>
    <w:rsid w:val="00435484"/>
    <w:rsid w:val="00437B01"/>
    <w:rsid w:val="00437D32"/>
    <w:rsid w:val="004407B7"/>
    <w:rsid w:val="0044346F"/>
    <w:rsid w:val="0044591E"/>
    <w:rsid w:val="00447C53"/>
    <w:rsid w:val="00453FF6"/>
    <w:rsid w:val="0045524D"/>
    <w:rsid w:val="0046063F"/>
    <w:rsid w:val="00463602"/>
    <w:rsid w:val="0046520A"/>
    <w:rsid w:val="0046635D"/>
    <w:rsid w:val="004671C7"/>
    <w:rsid w:val="004672AB"/>
    <w:rsid w:val="004714FE"/>
    <w:rsid w:val="0047278D"/>
    <w:rsid w:val="00476BE0"/>
    <w:rsid w:val="00477B1E"/>
    <w:rsid w:val="00477BAA"/>
    <w:rsid w:val="00481DFC"/>
    <w:rsid w:val="00482B58"/>
    <w:rsid w:val="004830C7"/>
    <w:rsid w:val="0048322C"/>
    <w:rsid w:val="00486DF7"/>
    <w:rsid w:val="004876C8"/>
    <w:rsid w:val="00487C99"/>
    <w:rsid w:val="00492042"/>
    <w:rsid w:val="004941A8"/>
    <w:rsid w:val="00494E43"/>
    <w:rsid w:val="00495053"/>
    <w:rsid w:val="00496F9B"/>
    <w:rsid w:val="004A041D"/>
    <w:rsid w:val="004A1F59"/>
    <w:rsid w:val="004A29BE"/>
    <w:rsid w:val="004A3225"/>
    <w:rsid w:val="004A33EE"/>
    <w:rsid w:val="004A3AA8"/>
    <w:rsid w:val="004A5630"/>
    <w:rsid w:val="004A70E5"/>
    <w:rsid w:val="004B13C7"/>
    <w:rsid w:val="004B150B"/>
    <w:rsid w:val="004B3CF3"/>
    <w:rsid w:val="004B778F"/>
    <w:rsid w:val="004B797E"/>
    <w:rsid w:val="004C0609"/>
    <w:rsid w:val="004C43E1"/>
    <w:rsid w:val="004C639F"/>
    <w:rsid w:val="004C720C"/>
    <w:rsid w:val="004D13F5"/>
    <w:rsid w:val="004D141F"/>
    <w:rsid w:val="004D2742"/>
    <w:rsid w:val="004D2CC8"/>
    <w:rsid w:val="004D4A8B"/>
    <w:rsid w:val="004D6310"/>
    <w:rsid w:val="004D7173"/>
    <w:rsid w:val="004D7719"/>
    <w:rsid w:val="004D7A73"/>
    <w:rsid w:val="004D7ACF"/>
    <w:rsid w:val="004E0062"/>
    <w:rsid w:val="004E05A1"/>
    <w:rsid w:val="004E2DEF"/>
    <w:rsid w:val="004E4441"/>
    <w:rsid w:val="004E5B63"/>
    <w:rsid w:val="004E65ED"/>
    <w:rsid w:val="004E7C98"/>
    <w:rsid w:val="004E7F21"/>
    <w:rsid w:val="004F00CC"/>
    <w:rsid w:val="004F0B36"/>
    <w:rsid w:val="004F472A"/>
    <w:rsid w:val="004F5E57"/>
    <w:rsid w:val="004F65A7"/>
    <w:rsid w:val="004F6710"/>
    <w:rsid w:val="00500C3E"/>
    <w:rsid w:val="00501AED"/>
    <w:rsid w:val="00501C15"/>
    <w:rsid w:val="00502849"/>
    <w:rsid w:val="005037CD"/>
    <w:rsid w:val="00504334"/>
    <w:rsid w:val="0050498D"/>
    <w:rsid w:val="00506534"/>
    <w:rsid w:val="005075F1"/>
    <w:rsid w:val="005104D7"/>
    <w:rsid w:val="00510B9E"/>
    <w:rsid w:val="00514BC8"/>
    <w:rsid w:val="00515459"/>
    <w:rsid w:val="00515499"/>
    <w:rsid w:val="0051643B"/>
    <w:rsid w:val="00523119"/>
    <w:rsid w:val="00523706"/>
    <w:rsid w:val="00524006"/>
    <w:rsid w:val="005243CA"/>
    <w:rsid w:val="00527767"/>
    <w:rsid w:val="00530293"/>
    <w:rsid w:val="00530719"/>
    <w:rsid w:val="00535B75"/>
    <w:rsid w:val="00536859"/>
    <w:rsid w:val="00536BC2"/>
    <w:rsid w:val="00540039"/>
    <w:rsid w:val="005414C7"/>
    <w:rsid w:val="005425E1"/>
    <w:rsid w:val="005427C5"/>
    <w:rsid w:val="00542CF6"/>
    <w:rsid w:val="00542FAF"/>
    <w:rsid w:val="005507C7"/>
    <w:rsid w:val="00553C03"/>
    <w:rsid w:val="00555D0C"/>
    <w:rsid w:val="0055750A"/>
    <w:rsid w:val="00560DDA"/>
    <w:rsid w:val="005618F7"/>
    <w:rsid w:val="00563692"/>
    <w:rsid w:val="00566EC9"/>
    <w:rsid w:val="00567569"/>
    <w:rsid w:val="00567991"/>
    <w:rsid w:val="00571679"/>
    <w:rsid w:val="00572794"/>
    <w:rsid w:val="00573175"/>
    <w:rsid w:val="00573829"/>
    <w:rsid w:val="00575905"/>
    <w:rsid w:val="00580FB9"/>
    <w:rsid w:val="00583F28"/>
    <w:rsid w:val="00584235"/>
    <w:rsid w:val="005844E7"/>
    <w:rsid w:val="00584B8C"/>
    <w:rsid w:val="00584DD5"/>
    <w:rsid w:val="0059066D"/>
    <w:rsid w:val="005908B8"/>
    <w:rsid w:val="00590ADC"/>
    <w:rsid w:val="005933A0"/>
    <w:rsid w:val="0059512E"/>
    <w:rsid w:val="00595ED9"/>
    <w:rsid w:val="005963E1"/>
    <w:rsid w:val="005A066C"/>
    <w:rsid w:val="005A16A5"/>
    <w:rsid w:val="005A1D78"/>
    <w:rsid w:val="005A6828"/>
    <w:rsid w:val="005A6DD2"/>
    <w:rsid w:val="005B1D14"/>
    <w:rsid w:val="005B2546"/>
    <w:rsid w:val="005B3A43"/>
    <w:rsid w:val="005B5EE7"/>
    <w:rsid w:val="005C024B"/>
    <w:rsid w:val="005C046E"/>
    <w:rsid w:val="005C0949"/>
    <w:rsid w:val="005C385D"/>
    <w:rsid w:val="005C3968"/>
    <w:rsid w:val="005C3EBF"/>
    <w:rsid w:val="005C584D"/>
    <w:rsid w:val="005C6456"/>
    <w:rsid w:val="005C6E63"/>
    <w:rsid w:val="005D202E"/>
    <w:rsid w:val="005D3B20"/>
    <w:rsid w:val="005D71B7"/>
    <w:rsid w:val="005E0009"/>
    <w:rsid w:val="005E14B4"/>
    <w:rsid w:val="005E41BD"/>
    <w:rsid w:val="005E4759"/>
    <w:rsid w:val="005E5C68"/>
    <w:rsid w:val="005E65C0"/>
    <w:rsid w:val="005E6D67"/>
    <w:rsid w:val="005F0390"/>
    <w:rsid w:val="005F2076"/>
    <w:rsid w:val="005F24D2"/>
    <w:rsid w:val="005F3792"/>
    <w:rsid w:val="005F4430"/>
    <w:rsid w:val="006037A3"/>
    <w:rsid w:val="006039D7"/>
    <w:rsid w:val="00603B4C"/>
    <w:rsid w:val="006067A5"/>
    <w:rsid w:val="006072CD"/>
    <w:rsid w:val="0061031F"/>
    <w:rsid w:val="00611E22"/>
    <w:rsid w:val="00612023"/>
    <w:rsid w:val="00614190"/>
    <w:rsid w:val="006149F0"/>
    <w:rsid w:val="00615C31"/>
    <w:rsid w:val="00622A99"/>
    <w:rsid w:val="00622E67"/>
    <w:rsid w:val="00623FCE"/>
    <w:rsid w:val="006248B4"/>
    <w:rsid w:val="00626A52"/>
    <w:rsid w:val="00626B57"/>
    <w:rsid w:val="00626EDC"/>
    <w:rsid w:val="00637162"/>
    <w:rsid w:val="00637D9C"/>
    <w:rsid w:val="0064066C"/>
    <w:rsid w:val="00643147"/>
    <w:rsid w:val="006452D3"/>
    <w:rsid w:val="00645B50"/>
    <w:rsid w:val="006467F1"/>
    <w:rsid w:val="006470EC"/>
    <w:rsid w:val="00650663"/>
    <w:rsid w:val="00650DA4"/>
    <w:rsid w:val="006542D6"/>
    <w:rsid w:val="0065598E"/>
    <w:rsid w:val="00655AF2"/>
    <w:rsid w:val="00655B0F"/>
    <w:rsid w:val="00655BC5"/>
    <w:rsid w:val="006568BE"/>
    <w:rsid w:val="0065750A"/>
    <w:rsid w:val="0066025D"/>
    <w:rsid w:val="0066091A"/>
    <w:rsid w:val="00660A61"/>
    <w:rsid w:val="00661F6F"/>
    <w:rsid w:val="00662FE1"/>
    <w:rsid w:val="00663177"/>
    <w:rsid w:val="0066446D"/>
    <w:rsid w:val="0067008F"/>
    <w:rsid w:val="00673BED"/>
    <w:rsid w:val="006773EC"/>
    <w:rsid w:val="0067740E"/>
    <w:rsid w:val="0067784E"/>
    <w:rsid w:val="00677F52"/>
    <w:rsid w:val="00680504"/>
    <w:rsid w:val="006808BC"/>
    <w:rsid w:val="00681CD9"/>
    <w:rsid w:val="00682357"/>
    <w:rsid w:val="0068251B"/>
    <w:rsid w:val="00682B9A"/>
    <w:rsid w:val="00683E30"/>
    <w:rsid w:val="00684D2C"/>
    <w:rsid w:val="00687024"/>
    <w:rsid w:val="0069082D"/>
    <w:rsid w:val="00694AE8"/>
    <w:rsid w:val="00695E22"/>
    <w:rsid w:val="006A1BB1"/>
    <w:rsid w:val="006A2C24"/>
    <w:rsid w:val="006A3A84"/>
    <w:rsid w:val="006A4447"/>
    <w:rsid w:val="006A5E86"/>
    <w:rsid w:val="006A789C"/>
    <w:rsid w:val="006B119F"/>
    <w:rsid w:val="006B2EAF"/>
    <w:rsid w:val="006B7093"/>
    <w:rsid w:val="006B7417"/>
    <w:rsid w:val="006B7897"/>
    <w:rsid w:val="006C0618"/>
    <w:rsid w:val="006C18FF"/>
    <w:rsid w:val="006C2721"/>
    <w:rsid w:val="006C4E6D"/>
    <w:rsid w:val="006D1FA9"/>
    <w:rsid w:val="006D2868"/>
    <w:rsid w:val="006D31F9"/>
    <w:rsid w:val="006D3691"/>
    <w:rsid w:val="006D49F9"/>
    <w:rsid w:val="006D5933"/>
    <w:rsid w:val="006D5F9B"/>
    <w:rsid w:val="006E04CA"/>
    <w:rsid w:val="006E1466"/>
    <w:rsid w:val="006E1960"/>
    <w:rsid w:val="006E2BE9"/>
    <w:rsid w:val="006E5D7E"/>
    <w:rsid w:val="006E5EF0"/>
    <w:rsid w:val="006F0553"/>
    <w:rsid w:val="006F3563"/>
    <w:rsid w:val="006F42B9"/>
    <w:rsid w:val="006F6103"/>
    <w:rsid w:val="006F71BD"/>
    <w:rsid w:val="00700DD9"/>
    <w:rsid w:val="00700F14"/>
    <w:rsid w:val="00702DFF"/>
    <w:rsid w:val="00703BDB"/>
    <w:rsid w:val="00704E00"/>
    <w:rsid w:val="007124A0"/>
    <w:rsid w:val="00712B8B"/>
    <w:rsid w:val="007209E7"/>
    <w:rsid w:val="00722FAA"/>
    <w:rsid w:val="0072572A"/>
    <w:rsid w:val="00725BCC"/>
    <w:rsid w:val="00726182"/>
    <w:rsid w:val="007266A7"/>
    <w:rsid w:val="00727289"/>
    <w:rsid w:val="00727635"/>
    <w:rsid w:val="00731FB2"/>
    <w:rsid w:val="00732329"/>
    <w:rsid w:val="007337CA"/>
    <w:rsid w:val="00734CE4"/>
    <w:rsid w:val="00735123"/>
    <w:rsid w:val="00735758"/>
    <w:rsid w:val="00736F49"/>
    <w:rsid w:val="00740FC7"/>
    <w:rsid w:val="00741837"/>
    <w:rsid w:val="00743C65"/>
    <w:rsid w:val="00744CCB"/>
    <w:rsid w:val="007453E6"/>
    <w:rsid w:val="00745AF2"/>
    <w:rsid w:val="00746D9C"/>
    <w:rsid w:val="00747FC9"/>
    <w:rsid w:val="0075041A"/>
    <w:rsid w:val="007508B2"/>
    <w:rsid w:val="00754789"/>
    <w:rsid w:val="007630BE"/>
    <w:rsid w:val="00764365"/>
    <w:rsid w:val="00765F11"/>
    <w:rsid w:val="00766509"/>
    <w:rsid w:val="007668D7"/>
    <w:rsid w:val="00767EA3"/>
    <w:rsid w:val="00770453"/>
    <w:rsid w:val="0077309D"/>
    <w:rsid w:val="00773B22"/>
    <w:rsid w:val="0077410D"/>
    <w:rsid w:val="00774394"/>
    <w:rsid w:val="00774606"/>
    <w:rsid w:val="00776B6B"/>
    <w:rsid w:val="007774EE"/>
    <w:rsid w:val="00777BB8"/>
    <w:rsid w:val="0078153D"/>
    <w:rsid w:val="00781822"/>
    <w:rsid w:val="00782D88"/>
    <w:rsid w:val="00783F21"/>
    <w:rsid w:val="00785E8B"/>
    <w:rsid w:val="00786AE0"/>
    <w:rsid w:val="00787159"/>
    <w:rsid w:val="00787931"/>
    <w:rsid w:val="0079006C"/>
    <w:rsid w:val="0079043A"/>
    <w:rsid w:val="00791536"/>
    <w:rsid w:val="00791668"/>
    <w:rsid w:val="00791AA1"/>
    <w:rsid w:val="00793B07"/>
    <w:rsid w:val="00797589"/>
    <w:rsid w:val="007A0EEE"/>
    <w:rsid w:val="007A0F0D"/>
    <w:rsid w:val="007A214A"/>
    <w:rsid w:val="007A3793"/>
    <w:rsid w:val="007A7705"/>
    <w:rsid w:val="007A7F68"/>
    <w:rsid w:val="007B0FB2"/>
    <w:rsid w:val="007B1EF4"/>
    <w:rsid w:val="007B2927"/>
    <w:rsid w:val="007B3CC5"/>
    <w:rsid w:val="007B6D22"/>
    <w:rsid w:val="007B7510"/>
    <w:rsid w:val="007B77BB"/>
    <w:rsid w:val="007C0830"/>
    <w:rsid w:val="007C0A4F"/>
    <w:rsid w:val="007C1070"/>
    <w:rsid w:val="007C1BA2"/>
    <w:rsid w:val="007C2B48"/>
    <w:rsid w:val="007C3119"/>
    <w:rsid w:val="007C4A2D"/>
    <w:rsid w:val="007C4E10"/>
    <w:rsid w:val="007C55F9"/>
    <w:rsid w:val="007C6797"/>
    <w:rsid w:val="007D1A67"/>
    <w:rsid w:val="007D20E9"/>
    <w:rsid w:val="007D3F97"/>
    <w:rsid w:val="007D64C7"/>
    <w:rsid w:val="007D715D"/>
    <w:rsid w:val="007D7881"/>
    <w:rsid w:val="007D7E3A"/>
    <w:rsid w:val="007E0E10"/>
    <w:rsid w:val="007E1532"/>
    <w:rsid w:val="007E4768"/>
    <w:rsid w:val="007E777B"/>
    <w:rsid w:val="007F2070"/>
    <w:rsid w:val="007F3B81"/>
    <w:rsid w:val="007F5628"/>
    <w:rsid w:val="007F63C1"/>
    <w:rsid w:val="007F67EB"/>
    <w:rsid w:val="007F7EBA"/>
    <w:rsid w:val="00800819"/>
    <w:rsid w:val="00802B43"/>
    <w:rsid w:val="00802BC7"/>
    <w:rsid w:val="0080443D"/>
    <w:rsid w:val="008053F5"/>
    <w:rsid w:val="00805E0A"/>
    <w:rsid w:val="008064EC"/>
    <w:rsid w:val="00807AF7"/>
    <w:rsid w:val="00810198"/>
    <w:rsid w:val="00811C32"/>
    <w:rsid w:val="008136AD"/>
    <w:rsid w:val="00815DA8"/>
    <w:rsid w:val="00816EA4"/>
    <w:rsid w:val="008205C9"/>
    <w:rsid w:val="0082194D"/>
    <w:rsid w:val="008221F9"/>
    <w:rsid w:val="00825AF7"/>
    <w:rsid w:val="00826EF5"/>
    <w:rsid w:val="008312B7"/>
    <w:rsid w:val="00831693"/>
    <w:rsid w:val="00832DB1"/>
    <w:rsid w:val="008340CA"/>
    <w:rsid w:val="0083459E"/>
    <w:rsid w:val="0083565E"/>
    <w:rsid w:val="00840104"/>
    <w:rsid w:val="00840C1F"/>
    <w:rsid w:val="008411C9"/>
    <w:rsid w:val="00841CB7"/>
    <w:rsid w:val="00841FC5"/>
    <w:rsid w:val="0084293C"/>
    <w:rsid w:val="00843D0F"/>
    <w:rsid w:val="00844987"/>
    <w:rsid w:val="00845709"/>
    <w:rsid w:val="00846A8C"/>
    <w:rsid w:val="00847D1E"/>
    <w:rsid w:val="0085137F"/>
    <w:rsid w:val="0085582A"/>
    <w:rsid w:val="008571BD"/>
    <w:rsid w:val="008576BD"/>
    <w:rsid w:val="00860463"/>
    <w:rsid w:val="0086226C"/>
    <w:rsid w:val="008666BA"/>
    <w:rsid w:val="00866762"/>
    <w:rsid w:val="008703E7"/>
    <w:rsid w:val="00871BEE"/>
    <w:rsid w:val="00872E93"/>
    <w:rsid w:val="008733DA"/>
    <w:rsid w:val="00874B70"/>
    <w:rsid w:val="00876828"/>
    <w:rsid w:val="00877C52"/>
    <w:rsid w:val="0088309F"/>
    <w:rsid w:val="0088396D"/>
    <w:rsid w:val="0088422A"/>
    <w:rsid w:val="008850E4"/>
    <w:rsid w:val="00890D1D"/>
    <w:rsid w:val="00891386"/>
    <w:rsid w:val="00892CED"/>
    <w:rsid w:val="0089346C"/>
    <w:rsid w:val="008939AB"/>
    <w:rsid w:val="00893AA3"/>
    <w:rsid w:val="00894F11"/>
    <w:rsid w:val="00896093"/>
    <w:rsid w:val="008A12F5"/>
    <w:rsid w:val="008A3438"/>
    <w:rsid w:val="008A7D71"/>
    <w:rsid w:val="008B134D"/>
    <w:rsid w:val="008B1587"/>
    <w:rsid w:val="008B1B01"/>
    <w:rsid w:val="008B1DC5"/>
    <w:rsid w:val="008B2FE2"/>
    <w:rsid w:val="008B3642"/>
    <w:rsid w:val="008B3BCD"/>
    <w:rsid w:val="008B4C39"/>
    <w:rsid w:val="008B65A1"/>
    <w:rsid w:val="008B6831"/>
    <w:rsid w:val="008B6DF8"/>
    <w:rsid w:val="008C07DB"/>
    <w:rsid w:val="008C09ED"/>
    <w:rsid w:val="008C106C"/>
    <w:rsid w:val="008C10F1"/>
    <w:rsid w:val="008C1926"/>
    <w:rsid w:val="008C1E99"/>
    <w:rsid w:val="008C61F8"/>
    <w:rsid w:val="008C7189"/>
    <w:rsid w:val="008C7908"/>
    <w:rsid w:val="008D41F8"/>
    <w:rsid w:val="008E0085"/>
    <w:rsid w:val="008E1912"/>
    <w:rsid w:val="008E2AA6"/>
    <w:rsid w:val="008E311B"/>
    <w:rsid w:val="008E3EBF"/>
    <w:rsid w:val="008E5169"/>
    <w:rsid w:val="008E56C9"/>
    <w:rsid w:val="008E5FB6"/>
    <w:rsid w:val="008E752C"/>
    <w:rsid w:val="008F1A90"/>
    <w:rsid w:val="008F3190"/>
    <w:rsid w:val="008F46E7"/>
    <w:rsid w:val="008F528B"/>
    <w:rsid w:val="008F64CA"/>
    <w:rsid w:val="008F6F0B"/>
    <w:rsid w:val="008F7D04"/>
    <w:rsid w:val="008F7E4B"/>
    <w:rsid w:val="00900770"/>
    <w:rsid w:val="00901300"/>
    <w:rsid w:val="00903D49"/>
    <w:rsid w:val="00907BA7"/>
    <w:rsid w:val="00907CF2"/>
    <w:rsid w:val="0091064E"/>
    <w:rsid w:val="0091111F"/>
    <w:rsid w:val="00911FC5"/>
    <w:rsid w:val="00924114"/>
    <w:rsid w:val="00924994"/>
    <w:rsid w:val="00925590"/>
    <w:rsid w:val="00930F72"/>
    <w:rsid w:val="00931A10"/>
    <w:rsid w:val="00933C37"/>
    <w:rsid w:val="0093430E"/>
    <w:rsid w:val="0094093E"/>
    <w:rsid w:val="009417E0"/>
    <w:rsid w:val="00944973"/>
    <w:rsid w:val="00945614"/>
    <w:rsid w:val="009470A6"/>
    <w:rsid w:val="00947967"/>
    <w:rsid w:val="00947A0B"/>
    <w:rsid w:val="0095050A"/>
    <w:rsid w:val="00950B3B"/>
    <w:rsid w:val="0095221E"/>
    <w:rsid w:val="00952773"/>
    <w:rsid w:val="00953DC7"/>
    <w:rsid w:val="00954FE7"/>
    <w:rsid w:val="00955201"/>
    <w:rsid w:val="00957F82"/>
    <w:rsid w:val="0096166E"/>
    <w:rsid w:val="009632C3"/>
    <w:rsid w:val="009637E2"/>
    <w:rsid w:val="00963884"/>
    <w:rsid w:val="00965200"/>
    <w:rsid w:val="009668B3"/>
    <w:rsid w:val="00971471"/>
    <w:rsid w:val="00971B50"/>
    <w:rsid w:val="009725F9"/>
    <w:rsid w:val="00974B5E"/>
    <w:rsid w:val="009762C4"/>
    <w:rsid w:val="0097664F"/>
    <w:rsid w:val="009778FB"/>
    <w:rsid w:val="009827A8"/>
    <w:rsid w:val="009849C2"/>
    <w:rsid w:val="00984D24"/>
    <w:rsid w:val="009858EB"/>
    <w:rsid w:val="00987190"/>
    <w:rsid w:val="00991DCB"/>
    <w:rsid w:val="0099290F"/>
    <w:rsid w:val="0099501D"/>
    <w:rsid w:val="00995AA8"/>
    <w:rsid w:val="009A2115"/>
    <w:rsid w:val="009A3C58"/>
    <w:rsid w:val="009A3F47"/>
    <w:rsid w:val="009A5545"/>
    <w:rsid w:val="009A558F"/>
    <w:rsid w:val="009A5E80"/>
    <w:rsid w:val="009A69E7"/>
    <w:rsid w:val="009A6E39"/>
    <w:rsid w:val="009A771A"/>
    <w:rsid w:val="009B0046"/>
    <w:rsid w:val="009B1215"/>
    <w:rsid w:val="009B1FDA"/>
    <w:rsid w:val="009B2EA6"/>
    <w:rsid w:val="009B3B8F"/>
    <w:rsid w:val="009B3E7B"/>
    <w:rsid w:val="009C1440"/>
    <w:rsid w:val="009C1FEE"/>
    <w:rsid w:val="009C2107"/>
    <w:rsid w:val="009C2D5A"/>
    <w:rsid w:val="009C3A0C"/>
    <w:rsid w:val="009C3BC9"/>
    <w:rsid w:val="009C5D9E"/>
    <w:rsid w:val="009C6551"/>
    <w:rsid w:val="009C725E"/>
    <w:rsid w:val="009D098B"/>
    <w:rsid w:val="009D2C3E"/>
    <w:rsid w:val="009D2D6C"/>
    <w:rsid w:val="009D3498"/>
    <w:rsid w:val="009D36F6"/>
    <w:rsid w:val="009E0625"/>
    <w:rsid w:val="009E096A"/>
    <w:rsid w:val="009E1850"/>
    <w:rsid w:val="009E2560"/>
    <w:rsid w:val="009E3034"/>
    <w:rsid w:val="009E501B"/>
    <w:rsid w:val="009E549F"/>
    <w:rsid w:val="009E6590"/>
    <w:rsid w:val="009E67B1"/>
    <w:rsid w:val="009E7D0A"/>
    <w:rsid w:val="009F1363"/>
    <w:rsid w:val="009F13CB"/>
    <w:rsid w:val="009F16B9"/>
    <w:rsid w:val="009F28A8"/>
    <w:rsid w:val="009F3F05"/>
    <w:rsid w:val="009F4409"/>
    <w:rsid w:val="009F473E"/>
    <w:rsid w:val="009F5247"/>
    <w:rsid w:val="009F682A"/>
    <w:rsid w:val="00A02128"/>
    <w:rsid w:val="00A022BE"/>
    <w:rsid w:val="00A066E7"/>
    <w:rsid w:val="00A07117"/>
    <w:rsid w:val="00A07B4B"/>
    <w:rsid w:val="00A1146F"/>
    <w:rsid w:val="00A133BB"/>
    <w:rsid w:val="00A14FB9"/>
    <w:rsid w:val="00A2253A"/>
    <w:rsid w:val="00A236F4"/>
    <w:rsid w:val="00A23B07"/>
    <w:rsid w:val="00A24C95"/>
    <w:rsid w:val="00A24D05"/>
    <w:rsid w:val="00A2599A"/>
    <w:rsid w:val="00A26094"/>
    <w:rsid w:val="00A278A6"/>
    <w:rsid w:val="00A27E92"/>
    <w:rsid w:val="00A301BF"/>
    <w:rsid w:val="00A302B2"/>
    <w:rsid w:val="00A308A6"/>
    <w:rsid w:val="00A30E3D"/>
    <w:rsid w:val="00A315BC"/>
    <w:rsid w:val="00A31BB8"/>
    <w:rsid w:val="00A331B4"/>
    <w:rsid w:val="00A3484E"/>
    <w:rsid w:val="00A356D3"/>
    <w:rsid w:val="00A36ADA"/>
    <w:rsid w:val="00A37C4D"/>
    <w:rsid w:val="00A40568"/>
    <w:rsid w:val="00A41E13"/>
    <w:rsid w:val="00A42670"/>
    <w:rsid w:val="00A42C4D"/>
    <w:rsid w:val="00A42CE9"/>
    <w:rsid w:val="00A438D8"/>
    <w:rsid w:val="00A44DAB"/>
    <w:rsid w:val="00A473F5"/>
    <w:rsid w:val="00A50760"/>
    <w:rsid w:val="00A51F9D"/>
    <w:rsid w:val="00A5413D"/>
    <w:rsid w:val="00A5416A"/>
    <w:rsid w:val="00A5451C"/>
    <w:rsid w:val="00A57E6D"/>
    <w:rsid w:val="00A639F4"/>
    <w:rsid w:val="00A65864"/>
    <w:rsid w:val="00A65FAE"/>
    <w:rsid w:val="00A71885"/>
    <w:rsid w:val="00A73C54"/>
    <w:rsid w:val="00A740F0"/>
    <w:rsid w:val="00A74B9A"/>
    <w:rsid w:val="00A74D33"/>
    <w:rsid w:val="00A7702A"/>
    <w:rsid w:val="00A8008F"/>
    <w:rsid w:val="00A813E7"/>
    <w:rsid w:val="00A81A32"/>
    <w:rsid w:val="00A81B79"/>
    <w:rsid w:val="00A835BD"/>
    <w:rsid w:val="00A84612"/>
    <w:rsid w:val="00A84A1F"/>
    <w:rsid w:val="00A84BF3"/>
    <w:rsid w:val="00A87C24"/>
    <w:rsid w:val="00A9114F"/>
    <w:rsid w:val="00A913C2"/>
    <w:rsid w:val="00A93161"/>
    <w:rsid w:val="00A94CB3"/>
    <w:rsid w:val="00A94F69"/>
    <w:rsid w:val="00A97B15"/>
    <w:rsid w:val="00AA0E1C"/>
    <w:rsid w:val="00AA30F0"/>
    <w:rsid w:val="00AA42D5"/>
    <w:rsid w:val="00AA4C88"/>
    <w:rsid w:val="00AA5B3D"/>
    <w:rsid w:val="00AA6363"/>
    <w:rsid w:val="00AB1692"/>
    <w:rsid w:val="00AB2FAB"/>
    <w:rsid w:val="00AB5C14"/>
    <w:rsid w:val="00AC1EE7"/>
    <w:rsid w:val="00AC331E"/>
    <w:rsid w:val="00AC333F"/>
    <w:rsid w:val="00AC4CEB"/>
    <w:rsid w:val="00AC585C"/>
    <w:rsid w:val="00AC6B9D"/>
    <w:rsid w:val="00AD026F"/>
    <w:rsid w:val="00AD1925"/>
    <w:rsid w:val="00AD583F"/>
    <w:rsid w:val="00AE067D"/>
    <w:rsid w:val="00AE29A9"/>
    <w:rsid w:val="00AE3993"/>
    <w:rsid w:val="00AE5A0F"/>
    <w:rsid w:val="00AF0099"/>
    <w:rsid w:val="00AF0AB5"/>
    <w:rsid w:val="00AF1181"/>
    <w:rsid w:val="00AF1369"/>
    <w:rsid w:val="00AF251D"/>
    <w:rsid w:val="00AF2AB5"/>
    <w:rsid w:val="00AF2F79"/>
    <w:rsid w:val="00AF3B78"/>
    <w:rsid w:val="00AF4653"/>
    <w:rsid w:val="00AF5E2D"/>
    <w:rsid w:val="00AF6AE8"/>
    <w:rsid w:val="00AF7DB7"/>
    <w:rsid w:val="00B01B07"/>
    <w:rsid w:val="00B03340"/>
    <w:rsid w:val="00B06870"/>
    <w:rsid w:val="00B10005"/>
    <w:rsid w:val="00B10209"/>
    <w:rsid w:val="00B1068F"/>
    <w:rsid w:val="00B10D02"/>
    <w:rsid w:val="00B1214F"/>
    <w:rsid w:val="00B15A27"/>
    <w:rsid w:val="00B15FFC"/>
    <w:rsid w:val="00B201E2"/>
    <w:rsid w:val="00B20F20"/>
    <w:rsid w:val="00B25A7F"/>
    <w:rsid w:val="00B25C57"/>
    <w:rsid w:val="00B31040"/>
    <w:rsid w:val="00B33324"/>
    <w:rsid w:val="00B3670D"/>
    <w:rsid w:val="00B368DA"/>
    <w:rsid w:val="00B40BA3"/>
    <w:rsid w:val="00B40FDD"/>
    <w:rsid w:val="00B415FD"/>
    <w:rsid w:val="00B42A71"/>
    <w:rsid w:val="00B443E4"/>
    <w:rsid w:val="00B47349"/>
    <w:rsid w:val="00B52B01"/>
    <w:rsid w:val="00B53C47"/>
    <w:rsid w:val="00B53DD8"/>
    <w:rsid w:val="00B5484D"/>
    <w:rsid w:val="00B54FDB"/>
    <w:rsid w:val="00B5511C"/>
    <w:rsid w:val="00B555F1"/>
    <w:rsid w:val="00B563EA"/>
    <w:rsid w:val="00B56CDF"/>
    <w:rsid w:val="00B60E51"/>
    <w:rsid w:val="00B62C54"/>
    <w:rsid w:val="00B63A54"/>
    <w:rsid w:val="00B65E70"/>
    <w:rsid w:val="00B672FC"/>
    <w:rsid w:val="00B71B57"/>
    <w:rsid w:val="00B7522D"/>
    <w:rsid w:val="00B754FF"/>
    <w:rsid w:val="00B75CD6"/>
    <w:rsid w:val="00B772F5"/>
    <w:rsid w:val="00B77324"/>
    <w:rsid w:val="00B77570"/>
    <w:rsid w:val="00B77D18"/>
    <w:rsid w:val="00B81C2B"/>
    <w:rsid w:val="00B82ABC"/>
    <w:rsid w:val="00B8313A"/>
    <w:rsid w:val="00B84D2A"/>
    <w:rsid w:val="00B8590B"/>
    <w:rsid w:val="00B93503"/>
    <w:rsid w:val="00B941AD"/>
    <w:rsid w:val="00B94FF1"/>
    <w:rsid w:val="00BA2445"/>
    <w:rsid w:val="00BA31E8"/>
    <w:rsid w:val="00BA55E0"/>
    <w:rsid w:val="00BA5A3F"/>
    <w:rsid w:val="00BA6BD4"/>
    <w:rsid w:val="00BA6C7A"/>
    <w:rsid w:val="00BA72A9"/>
    <w:rsid w:val="00BA7CD8"/>
    <w:rsid w:val="00BA7F6D"/>
    <w:rsid w:val="00BB0DDB"/>
    <w:rsid w:val="00BB17D1"/>
    <w:rsid w:val="00BB3752"/>
    <w:rsid w:val="00BB4648"/>
    <w:rsid w:val="00BB5E6C"/>
    <w:rsid w:val="00BB6258"/>
    <w:rsid w:val="00BB6688"/>
    <w:rsid w:val="00BB7154"/>
    <w:rsid w:val="00BC26D4"/>
    <w:rsid w:val="00BC567B"/>
    <w:rsid w:val="00BC6E59"/>
    <w:rsid w:val="00BD00F9"/>
    <w:rsid w:val="00BD1E5A"/>
    <w:rsid w:val="00BD4A78"/>
    <w:rsid w:val="00BD4AE7"/>
    <w:rsid w:val="00BD57B1"/>
    <w:rsid w:val="00BE0166"/>
    <w:rsid w:val="00BE0C80"/>
    <w:rsid w:val="00BE27F2"/>
    <w:rsid w:val="00BE3DD0"/>
    <w:rsid w:val="00BE6B6A"/>
    <w:rsid w:val="00BE7F23"/>
    <w:rsid w:val="00BF001C"/>
    <w:rsid w:val="00BF0A9C"/>
    <w:rsid w:val="00BF0FC7"/>
    <w:rsid w:val="00BF2A42"/>
    <w:rsid w:val="00BF62B4"/>
    <w:rsid w:val="00BF6BE7"/>
    <w:rsid w:val="00BF7A3A"/>
    <w:rsid w:val="00C00418"/>
    <w:rsid w:val="00C004D8"/>
    <w:rsid w:val="00C009BA"/>
    <w:rsid w:val="00C01C11"/>
    <w:rsid w:val="00C01FB3"/>
    <w:rsid w:val="00C03A8D"/>
    <w:rsid w:val="00C03D8C"/>
    <w:rsid w:val="00C0523E"/>
    <w:rsid w:val="00C055EC"/>
    <w:rsid w:val="00C06ADC"/>
    <w:rsid w:val="00C07E7A"/>
    <w:rsid w:val="00C10DC9"/>
    <w:rsid w:val="00C12FB3"/>
    <w:rsid w:val="00C1340C"/>
    <w:rsid w:val="00C13DBD"/>
    <w:rsid w:val="00C1705E"/>
    <w:rsid w:val="00C17341"/>
    <w:rsid w:val="00C173C2"/>
    <w:rsid w:val="00C22500"/>
    <w:rsid w:val="00C24EEF"/>
    <w:rsid w:val="00C25B7C"/>
    <w:rsid w:val="00C25CF6"/>
    <w:rsid w:val="00C26C36"/>
    <w:rsid w:val="00C27783"/>
    <w:rsid w:val="00C302A6"/>
    <w:rsid w:val="00C3038B"/>
    <w:rsid w:val="00C32768"/>
    <w:rsid w:val="00C35495"/>
    <w:rsid w:val="00C35790"/>
    <w:rsid w:val="00C3648B"/>
    <w:rsid w:val="00C368C3"/>
    <w:rsid w:val="00C37631"/>
    <w:rsid w:val="00C37BF3"/>
    <w:rsid w:val="00C400A6"/>
    <w:rsid w:val="00C431DF"/>
    <w:rsid w:val="00C43B59"/>
    <w:rsid w:val="00C44381"/>
    <w:rsid w:val="00C44C19"/>
    <w:rsid w:val="00C44F86"/>
    <w:rsid w:val="00C456BD"/>
    <w:rsid w:val="00C460B3"/>
    <w:rsid w:val="00C52437"/>
    <w:rsid w:val="00C530DC"/>
    <w:rsid w:val="00C5350D"/>
    <w:rsid w:val="00C53CC0"/>
    <w:rsid w:val="00C571D3"/>
    <w:rsid w:val="00C609C6"/>
    <w:rsid w:val="00C6123C"/>
    <w:rsid w:val="00C61A13"/>
    <w:rsid w:val="00C61F88"/>
    <w:rsid w:val="00C6311A"/>
    <w:rsid w:val="00C7084D"/>
    <w:rsid w:val="00C72C4D"/>
    <w:rsid w:val="00C7315E"/>
    <w:rsid w:val="00C7442B"/>
    <w:rsid w:val="00C74E83"/>
    <w:rsid w:val="00C75895"/>
    <w:rsid w:val="00C77F28"/>
    <w:rsid w:val="00C81741"/>
    <w:rsid w:val="00C83C9F"/>
    <w:rsid w:val="00C844BE"/>
    <w:rsid w:val="00C85DC1"/>
    <w:rsid w:val="00C90F77"/>
    <w:rsid w:val="00C923B3"/>
    <w:rsid w:val="00C94519"/>
    <w:rsid w:val="00C945C4"/>
    <w:rsid w:val="00C94840"/>
    <w:rsid w:val="00C96B6D"/>
    <w:rsid w:val="00C970BB"/>
    <w:rsid w:val="00C97805"/>
    <w:rsid w:val="00CA2B6D"/>
    <w:rsid w:val="00CA4A05"/>
    <w:rsid w:val="00CA4EE3"/>
    <w:rsid w:val="00CB027F"/>
    <w:rsid w:val="00CB0E97"/>
    <w:rsid w:val="00CB13D5"/>
    <w:rsid w:val="00CC0EBB"/>
    <w:rsid w:val="00CC1051"/>
    <w:rsid w:val="00CC33B1"/>
    <w:rsid w:val="00CC38BF"/>
    <w:rsid w:val="00CC601C"/>
    <w:rsid w:val="00CC6297"/>
    <w:rsid w:val="00CC7690"/>
    <w:rsid w:val="00CD067A"/>
    <w:rsid w:val="00CD1986"/>
    <w:rsid w:val="00CD54BF"/>
    <w:rsid w:val="00CD735D"/>
    <w:rsid w:val="00CD7F4E"/>
    <w:rsid w:val="00CE35A2"/>
    <w:rsid w:val="00CE4D5C"/>
    <w:rsid w:val="00CE7DB4"/>
    <w:rsid w:val="00CE7E3B"/>
    <w:rsid w:val="00CF05DA"/>
    <w:rsid w:val="00CF1106"/>
    <w:rsid w:val="00CF2650"/>
    <w:rsid w:val="00CF2EFD"/>
    <w:rsid w:val="00CF3289"/>
    <w:rsid w:val="00CF492A"/>
    <w:rsid w:val="00CF58EB"/>
    <w:rsid w:val="00CF6FEC"/>
    <w:rsid w:val="00CF7643"/>
    <w:rsid w:val="00D0106E"/>
    <w:rsid w:val="00D037E5"/>
    <w:rsid w:val="00D03BD0"/>
    <w:rsid w:val="00D043CC"/>
    <w:rsid w:val="00D052AE"/>
    <w:rsid w:val="00D06383"/>
    <w:rsid w:val="00D07622"/>
    <w:rsid w:val="00D0782F"/>
    <w:rsid w:val="00D11D1F"/>
    <w:rsid w:val="00D12086"/>
    <w:rsid w:val="00D1317E"/>
    <w:rsid w:val="00D16B3C"/>
    <w:rsid w:val="00D16B5E"/>
    <w:rsid w:val="00D16F05"/>
    <w:rsid w:val="00D17500"/>
    <w:rsid w:val="00D20D26"/>
    <w:rsid w:val="00D20E85"/>
    <w:rsid w:val="00D21982"/>
    <w:rsid w:val="00D24615"/>
    <w:rsid w:val="00D37842"/>
    <w:rsid w:val="00D4032B"/>
    <w:rsid w:val="00D413E0"/>
    <w:rsid w:val="00D42DC2"/>
    <w:rsid w:val="00D4302B"/>
    <w:rsid w:val="00D438BB"/>
    <w:rsid w:val="00D44AE1"/>
    <w:rsid w:val="00D465E0"/>
    <w:rsid w:val="00D47E71"/>
    <w:rsid w:val="00D50A80"/>
    <w:rsid w:val="00D537E1"/>
    <w:rsid w:val="00D55BB2"/>
    <w:rsid w:val="00D6091A"/>
    <w:rsid w:val="00D61685"/>
    <w:rsid w:val="00D617D3"/>
    <w:rsid w:val="00D61920"/>
    <w:rsid w:val="00D61E8A"/>
    <w:rsid w:val="00D6605A"/>
    <w:rsid w:val="00D6695F"/>
    <w:rsid w:val="00D709E2"/>
    <w:rsid w:val="00D75644"/>
    <w:rsid w:val="00D759F4"/>
    <w:rsid w:val="00D75C8B"/>
    <w:rsid w:val="00D77167"/>
    <w:rsid w:val="00D81656"/>
    <w:rsid w:val="00D81ACF"/>
    <w:rsid w:val="00D8316A"/>
    <w:rsid w:val="00D83D87"/>
    <w:rsid w:val="00D84A6D"/>
    <w:rsid w:val="00D84ADD"/>
    <w:rsid w:val="00D86A30"/>
    <w:rsid w:val="00D949BE"/>
    <w:rsid w:val="00D9626B"/>
    <w:rsid w:val="00D97CB4"/>
    <w:rsid w:val="00D97DD4"/>
    <w:rsid w:val="00DA4186"/>
    <w:rsid w:val="00DA4690"/>
    <w:rsid w:val="00DA5A8A"/>
    <w:rsid w:val="00DB1170"/>
    <w:rsid w:val="00DB26CD"/>
    <w:rsid w:val="00DB441C"/>
    <w:rsid w:val="00DB44AF"/>
    <w:rsid w:val="00DB4811"/>
    <w:rsid w:val="00DB6C6B"/>
    <w:rsid w:val="00DB7F09"/>
    <w:rsid w:val="00DC1F58"/>
    <w:rsid w:val="00DC1FD8"/>
    <w:rsid w:val="00DC339B"/>
    <w:rsid w:val="00DC5D40"/>
    <w:rsid w:val="00DC69A7"/>
    <w:rsid w:val="00DC7B23"/>
    <w:rsid w:val="00DC7C04"/>
    <w:rsid w:val="00DD0214"/>
    <w:rsid w:val="00DD093C"/>
    <w:rsid w:val="00DD30E9"/>
    <w:rsid w:val="00DD4F47"/>
    <w:rsid w:val="00DD6A37"/>
    <w:rsid w:val="00DD7FBB"/>
    <w:rsid w:val="00DE0B9F"/>
    <w:rsid w:val="00DE205A"/>
    <w:rsid w:val="00DE2A9E"/>
    <w:rsid w:val="00DE4238"/>
    <w:rsid w:val="00DE4744"/>
    <w:rsid w:val="00DE5BC2"/>
    <w:rsid w:val="00DE5E28"/>
    <w:rsid w:val="00DE657F"/>
    <w:rsid w:val="00DE65EC"/>
    <w:rsid w:val="00DE6B97"/>
    <w:rsid w:val="00DF1218"/>
    <w:rsid w:val="00DF13C2"/>
    <w:rsid w:val="00DF6462"/>
    <w:rsid w:val="00DF7AE5"/>
    <w:rsid w:val="00DF7BD5"/>
    <w:rsid w:val="00E02FA0"/>
    <w:rsid w:val="00E036DC"/>
    <w:rsid w:val="00E052AD"/>
    <w:rsid w:val="00E10454"/>
    <w:rsid w:val="00E1109A"/>
    <w:rsid w:val="00E112E5"/>
    <w:rsid w:val="00E122D8"/>
    <w:rsid w:val="00E12AE7"/>
    <w:rsid w:val="00E12CC8"/>
    <w:rsid w:val="00E15352"/>
    <w:rsid w:val="00E17F82"/>
    <w:rsid w:val="00E210A5"/>
    <w:rsid w:val="00E21CC7"/>
    <w:rsid w:val="00E223E9"/>
    <w:rsid w:val="00E22855"/>
    <w:rsid w:val="00E24C57"/>
    <w:rsid w:val="00E24D9E"/>
    <w:rsid w:val="00E2577F"/>
    <w:rsid w:val="00E25849"/>
    <w:rsid w:val="00E25878"/>
    <w:rsid w:val="00E26F6E"/>
    <w:rsid w:val="00E30687"/>
    <w:rsid w:val="00E318FA"/>
    <w:rsid w:val="00E3197E"/>
    <w:rsid w:val="00E31E13"/>
    <w:rsid w:val="00E34223"/>
    <w:rsid w:val="00E342F8"/>
    <w:rsid w:val="00E351ED"/>
    <w:rsid w:val="00E35FD7"/>
    <w:rsid w:val="00E40DE1"/>
    <w:rsid w:val="00E42B19"/>
    <w:rsid w:val="00E42CAA"/>
    <w:rsid w:val="00E441A4"/>
    <w:rsid w:val="00E4664A"/>
    <w:rsid w:val="00E46CEC"/>
    <w:rsid w:val="00E5182F"/>
    <w:rsid w:val="00E533D2"/>
    <w:rsid w:val="00E533EC"/>
    <w:rsid w:val="00E53993"/>
    <w:rsid w:val="00E54C24"/>
    <w:rsid w:val="00E56991"/>
    <w:rsid w:val="00E6034B"/>
    <w:rsid w:val="00E63B05"/>
    <w:rsid w:val="00E6549E"/>
    <w:rsid w:val="00E65EDE"/>
    <w:rsid w:val="00E67320"/>
    <w:rsid w:val="00E67846"/>
    <w:rsid w:val="00E67D05"/>
    <w:rsid w:val="00E70F81"/>
    <w:rsid w:val="00E73969"/>
    <w:rsid w:val="00E740D1"/>
    <w:rsid w:val="00E77055"/>
    <w:rsid w:val="00E77460"/>
    <w:rsid w:val="00E77B4E"/>
    <w:rsid w:val="00E814AF"/>
    <w:rsid w:val="00E82288"/>
    <w:rsid w:val="00E8239F"/>
    <w:rsid w:val="00E83ABC"/>
    <w:rsid w:val="00E8408A"/>
    <w:rsid w:val="00E844F2"/>
    <w:rsid w:val="00E904B1"/>
    <w:rsid w:val="00E90AD0"/>
    <w:rsid w:val="00E92FCB"/>
    <w:rsid w:val="00E931CC"/>
    <w:rsid w:val="00E9352F"/>
    <w:rsid w:val="00E94FA6"/>
    <w:rsid w:val="00E95ECE"/>
    <w:rsid w:val="00EA08E7"/>
    <w:rsid w:val="00EA147F"/>
    <w:rsid w:val="00EA4A27"/>
    <w:rsid w:val="00EA4EF0"/>
    <w:rsid w:val="00EA4FA6"/>
    <w:rsid w:val="00EA6B60"/>
    <w:rsid w:val="00EA6CF1"/>
    <w:rsid w:val="00EA703B"/>
    <w:rsid w:val="00EB07ED"/>
    <w:rsid w:val="00EB1A25"/>
    <w:rsid w:val="00EB2524"/>
    <w:rsid w:val="00EB3C30"/>
    <w:rsid w:val="00EB423C"/>
    <w:rsid w:val="00EB6E22"/>
    <w:rsid w:val="00EC0934"/>
    <w:rsid w:val="00EC1862"/>
    <w:rsid w:val="00EC6B98"/>
    <w:rsid w:val="00EC7363"/>
    <w:rsid w:val="00ED03AB"/>
    <w:rsid w:val="00ED088D"/>
    <w:rsid w:val="00ED1963"/>
    <w:rsid w:val="00ED1CD4"/>
    <w:rsid w:val="00ED1D2B"/>
    <w:rsid w:val="00ED5817"/>
    <w:rsid w:val="00ED64B5"/>
    <w:rsid w:val="00EE25FB"/>
    <w:rsid w:val="00EE33CD"/>
    <w:rsid w:val="00EE70E8"/>
    <w:rsid w:val="00EE7CCA"/>
    <w:rsid w:val="00EF07C6"/>
    <w:rsid w:val="00EF0E2B"/>
    <w:rsid w:val="00EF21F6"/>
    <w:rsid w:val="00EF416C"/>
    <w:rsid w:val="00EF4773"/>
    <w:rsid w:val="00EF70E5"/>
    <w:rsid w:val="00F003F1"/>
    <w:rsid w:val="00F00AC3"/>
    <w:rsid w:val="00F037C3"/>
    <w:rsid w:val="00F06E53"/>
    <w:rsid w:val="00F10402"/>
    <w:rsid w:val="00F12482"/>
    <w:rsid w:val="00F15BE5"/>
    <w:rsid w:val="00F16A14"/>
    <w:rsid w:val="00F20793"/>
    <w:rsid w:val="00F2661C"/>
    <w:rsid w:val="00F314FD"/>
    <w:rsid w:val="00F327F9"/>
    <w:rsid w:val="00F33234"/>
    <w:rsid w:val="00F362D7"/>
    <w:rsid w:val="00F37D7B"/>
    <w:rsid w:val="00F407DE"/>
    <w:rsid w:val="00F40B6E"/>
    <w:rsid w:val="00F41A9D"/>
    <w:rsid w:val="00F42534"/>
    <w:rsid w:val="00F42C87"/>
    <w:rsid w:val="00F437D4"/>
    <w:rsid w:val="00F44EEE"/>
    <w:rsid w:val="00F46B89"/>
    <w:rsid w:val="00F47BF6"/>
    <w:rsid w:val="00F5030A"/>
    <w:rsid w:val="00F5314C"/>
    <w:rsid w:val="00F53884"/>
    <w:rsid w:val="00F53F00"/>
    <w:rsid w:val="00F565DB"/>
    <w:rsid w:val="00F5688C"/>
    <w:rsid w:val="00F60048"/>
    <w:rsid w:val="00F60A96"/>
    <w:rsid w:val="00F613B1"/>
    <w:rsid w:val="00F61B23"/>
    <w:rsid w:val="00F62F1D"/>
    <w:rsid w:val="00F635DD"/>
    <w:rsid w:val="00F63D27"/>
    <w:rsid w:val="00F64D43"/>
    <w:rsid w:val="00F6627B"/>
    <w:rsid w:val="00F66CE7"/>
    <w:rsid w:val="00F705A9"/>
    <w:rsid w:val="00F71B05"/>
    <w:rsid w:val="00F7336E"/>
    <w:rsid w:val="00F734F2"/>
    <w:rsid w:val="00F74A28"/>
    <w:rsid w:val="00F74F49"/>
    <w:rsid w:val="00F75052"/>
    <w:rsid w:val="00F75620"/>
    <w:rsid w:val="00F75D57"/>
    <w:rsid w:val="00F777AD"/>
    <w:rsid w:val="00F804D3"/>
    <w:rsid w:val="00F80701"/>
    <w:rsid w:val="00F816CB"/>
    <w:rsid w:val="00F819D1"/>
    <w:rsid w:val="00F81CD2"/>
    <w:rsid w:val="00F82641"/>
    <w:rsid w:val="00F85E56"/>
    <w:rsid w:val="00F90F18"/>
    <w:rsid w:val="00F937E4"/>
    <w:rsid w:val="00F94E8E"/>
    <w:rsid w:val="00F95EE7"/>
    <w:rsid w:val="00F96DCC"/>
    <w:rsid w:val="00FA000E"/>
    <w:rsid w:val="00FA0077"/>
    <w:rsid w:val="00FA17CD"/>
    <w:rsid w:val="00FA39E6"/>
    <w:rsid w:val="00FA59FA"/>
    <w:rsid w:val="00FA7BC9"/>
    <w:rsid w:val="00FB218C"/>
    <w:rsid w:val="00FB2973"/>
    <w:rsid w:val="00FB378E"/>
    <w:rsid w:val="00FB37DB"/>
    <w:rsid w:val="00FB37F1"/>
    <w:rsid w:val="00FB47C0"/>
    <w:rsid w:val="00FB501B"/>
    <w:rsid w:val="00FB70DA"/>
    <w:rsid w:val="00FB719A"/>
    <w:rsid w:val="00FB7770"/>
    <w:rsid w:val="00FC0A7E"/>
    <w:rsid w:val="00FC1232"/>
    <w:rsid w:val="00FC1720"/>
    <w:rsid w:val="00FC334C"/>
    <w:rsid w:val="00FD23DD"/>
    <w:rsid w:val="00FD26F7"/>
    <w:rsid w:val="00FD3B91"/>
    <w:rsid w:val="00FD576B"/>
    <w:rsid w:val="00FD579E"/>
    <w:rsid w:val="00FD6845"/>
    <w:rsid w:val="00FE4091"/>
    <w:rsid w:val="00FE4516"/>
    <w:rsid w:val="00FE4938"/>
    <w:rsid w:val="00FE64C8"/>
    <w:rsid w:val="00FE6A8B"/>
    <w:rsid w:val="00FE78CE"/>
    <w:rsid w:val="00FF2D8A"/>
    <w:rsid w:val="00FF7D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B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FA0077"/>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5C024B"/>
    <w:pPr>
      <w:numPr>
        <w:ilvl w:val="1"/>
        <w:numId w:val="25"/>
      </w:numPr>
      <w:ind w:left="1008"/>
      <w:outlineLvl w:val="1"/>
    </w:pPr>
    <w:rPr>
      <w:rFonts w:hAnsi="標楷體"/>
      <w:bCs/>
      <w:kern w:val="32"/>
      <w:szCs w:val="48"/>
    </w:rPr>
  </w:style>
  <w:style w:type="paragraph" w:styleId="3">
    <w:name w:val="heading 3"/>
    <w:basedOn w:val="a6"/>
    <w:qFormat/>
    <w:rsid w:val="005C024B"/>
    <w:pPr>
      <w:numPr>
        <w:ilvl w:val="2"/>
        <w:numId w:val="25"/>
      </w:numPr>
      <w:ind w:left="1344"/>
      <w:outlineLvl w:val="2"/>
    </w:pPr>
    <w:rPr>
      <w:rFonts w:hAnsi="Arial"/>
      <w:bCs/>
      <w:kern w:val="32"/>
      <w:szCs w:val="36"/>
    </w:rPr>
  </w:style>
  <w:style w:type="paragraph" w:styleId="4">
    <w:name w:val="heading 4"/>
    <w:basedOn w:val="a6"/>
    <w:link w:val="40"/>
    <w:qFormat/>
    <w:rsid w:val="005C024B"/>
    <w:pPr>
      <w:numPr>
        <w:ilvl w:val="3"/>
        <w:numId w:val="25"/>
      </w:numPr>
      <w:ind w:left="1680"/>
      <w:outlineLvl w:val="3"/>
    </w:pPr>
    <w:rPr>
      <w:rFonts w:hAnsi="Arial"/>
      <w:kern w:val="32"/>
      <w:szCs w:val="36"/>
    </w:rPr>
  </w:style>
  <w:style w:type="paragraph" w:styleId="5">
    <w:name w:val="heading 5"/>
    <w:basedOn w:val="a6"/>
    <w:link w:val="50"/>
    <w:qFormat/>
    <w:rsid w:val="00590ADC"/>
    <w:pPr>
      <w:numPr>
        <w:ilvl w:val="4"/>
        <w:numId w:val="25"/>
      </w:numPr>
      <w:ind w:left="2030"/>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aliases w:val="陳斯瀚,PS 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5C024B"/>
    <w:rPr>
      <w:rFonts w:ascii="標楷體" w:eastAsia="標楷體" w:hAnsi="標楷體"/>
      <w:bCs/>
      <w:kern w:val="32"/>
      <w:sz w:val="32"/>
      <w:szCs w:val="48"/>
    </w:rPr>
  </w:style>
  <w:style w:type="paragraph" w:customStyle="1" w:styleId="Default">
    <w:name w:val="Default"/>
    <w:rsid w:val="0077410D"/>
    <w:pPr>
      <w:widowControl w:val="0"/>
      <w:autoSpaceDE w:val="0"/>
      <w:autoSpaceDN w:val="0"/>
      <w:adjustRightInd w:val="0"/>
    </w:pPr>
    <w:rPr>
      <w:rFonts w:ascii="標楷體" w:eastAsia="標楷體" w:cs="標楷體"/>
      <w:color w:val="000000"/>
      <w:sz w:val="24"/>
      <w:szCs w:val="24"/>
    </w:rPr>
  </w:style>
  <w:style w:type="paragraph" w:styleId="afd">
    <w:name w:val="footnote text"/>
    <w:basedOn w:val="a6"/>
    <w:link w:val="afe"/>
    <w:uiPriority w:val="99"/>
    <w:semiHidden/>
    <w:unhideWhenUsed/>
    <w:rsid w:val="007C3119"/>
    <w:pPr>
      <w:snapToGrid w:val="0"/>
      <w:jc w:val="left"/>
    </w:pPr>
    <w:rPr>
      <w:sz w:val="20"/>
    </w:rPr>
  </w:style>
  <w:style w:type="character" w:customStyle="1" w:styleId="afe">
    <w:name w:val="註腳文字 字元"/>
    <w:basedOn w:val="a7"/>
    <w:link w:val="afd"/>
    <w:uiPriority w:val="99"/>
    <w:semiHidden/>
    <w:rsid w:val="007C3119"/>
    <w:rPr>
      <w:rFonts w:ascii="標楷體" w:eastAsia="標楷體"/>
      <w:kern w:val="2"/>
    </w:rPr>
  </w:style>
  <w:style w:type="character" w:styleId="aff">
    <w:name w:val="footnote reference"/>
    <w:basedOn w:val="a7"/>
    <w:uiPriority w:val="99"/>
    <w:semiHidden/>
    <w:unhideWhenUsed/>
    <w:rsid w:val="007C3119"/>
    <w:rPr>
      <w:vertAlign w:val="superscript"/>
    </w:rPr>
  </w:style>
  <w:style w:type="paragraph" w:customStyle="1" w:styleId="aff0">
    <w:name w:val="分項段落"/>
    <w:basedOn w:val="a6"/>
    <w:rsid w:val="004C720C"/>
    <w:pPr>
      <w:overflowPunct/>
      <w:autoSpaceDE/>
      <w:autoSpaceDN/>
      <w:jc w:val="left"/>
    </w:pPr>
    <w:rPr>
      <w:rFonts w:ascii="Times New Roman" w:eastAsia="新細明體"/>
      <w:sz w:val="24"/>
    </w:rPr>
  </w:style>
  <w:style w:type="paragraph" w:customStyle="1" w:styleId="Standard">
    <w:name w:val="Standard"/>
    <w:rsid w:val="00CA2B6D"/>
    <w:pPr>
      <w:suppressAutoHyphens/>
      <w:wordWrap w:val="0"/>
      <w:overflowPunct w:val="0"/>
      <w:autoSpaceDE w:val="0"/>
      <w:autoSpaceDN w:val="0"/>
      <w:jc w:val="both"/>
      <w:textAlignment w:val="baseline"/>
    </w:pPr>
    <w:rPr>
      <w:rFonts w:eastAsia="標楷體" w:cs="Mangal"/>
      <w:kern w:val="3"/>
      <w:sz w:val="28"/>
      <w:szCs w:val="24"/>
      <w:lang w:bidi="hi-IN"/>
    </w:rPr>
  </w:style>
  <w:style w:type="numbering" w:customStyle="1" w:styleId="12PT--11AAa">
    <w:name w:val="編號12PT -- (一)  1、 (1)  A、 (A)  a、"/>
    <w:basedOn w:val="a9"/>
    <w:rsid w:val="00CA2B6D"/>
    <w:pPr>
      <w:numPr>
        <w:numId w:val="9"/>
      </w:numPr>
    </w:pPr>
  </w:style>
  <w:style w:type="numbering" w:customStyle="1" w:styleId="WWNum2">
    <w:name w:val="WWNum2"/>
    <w:basedOn w:val="a9"/>
    <w:rsid w:val="00CA2B6D"/>
    <w:pPr>
      <w:numPr>
        <w:numId w:val="10"/>
      </w:numPr>
    </w:pPr>
  </w:style>
  <w:style w:type="numbering" w:customStyle="1" w:styleId="WWNum3">
    <w:name w:val="WWNum3"/>
    <w:basedOn w:val="a9"/>
    <w:rsid w:val="00CA2B6D"/>
    <w:pPr>
      <w:numPr>
        <w:numId w:val="11"/>
      </w:numPr>
    </w:pPr>
  </w:style>
  <w:style w:type="numbering" w:customStyle="1" w:styleId="WWNum4">
    <w:name w:val="WWNum4"/>
    <w:basedOn w:val="a9"/>
    <w:rsid w:val="00CA2B6D"/>
    <w:pPr>
      <w:numPr>
        <w:numId w:val="12"/>
      </w:numPr>
    </w:pPr>
  </w:style>
  <w:style w:type="numbering" w:customStyle="1" w:styleId="WWNum8">
    <w:name w:val="WWNum8"/>
    <w:basedOn w:val="a9"/>
    <w:rsid w:val="00CA2B6D"/>
    <w:pPr>
      <w:numPr>
        <w:numId w:val="13"/>
      </w:numPr>
    </w:pPr>
  </w:style>
  <w:style w:type="numbering" w:customStyle="1" w:styleId="WWNum9">
    <w:name w:val="WWNum9"/>
    <w:basedOn w:val="a9"/>
    <w:rsid w:val="00CA2B6D"/>
    <w:pPr>
      <w:numPr>
        <w:numId w:val="14"/>
      </w:numPr>
    </w:pPr>
  </w:style>
  <w:style w:type="numbering" w:customStyle="1" w:styleId="WWNum10">
    <w:name w:val="WWNum10"/>
    <w:basedOn w:val="a9"/>
    <w:rsid w:val="00CA2B6D"/>
    <w:pPr>
      <w:numPr>
        <w:numId w:val="15"/>
      </w:numPr>
    </w:pPr>
  </w:style>
  <w:style w:type="numbering" w:customStyle="1" w:styleId="WWNum11">
    <w:name w:val="WWNum11"/>
    <w:basedOn w:val="a9"/>
    <w:rsid w:val="00CA2B6D"/>
    <w:pPr>
      <w:numPr>
        <w:numId w:val="16"/>
      </w:numPr>
    </w:pPr>
  </w:style>
  <w:style w:type="numbering" w:customStyle="1" w:styleId="WWNum12">
    <w:name w:val="WWNum12"/>
    <w:basedOn w:val="a9"/>
    <w:rsid w:val="00CA2B6D"/>
    <w:pPr>
      <w:numPr>
        <w:numId w:val="17"/>
      </w:numPr>
    </w:pPr>
  </w:style>
  <w:style w:type="numbering" w:customStyle="1" w:styleId="WWNum13">
    <w:name w:val="WWNum13"/>
    <w:basedOn w:val="a9"/>
    <w:rsid w:val="00CA2B6D"/>
    <w:pPr>
      <w:numPr>
        <w:numId w:val="18"/>
      </w:numPr>
    </w:pPr>
  </w:style>
  <w:style w:type="numbering" w:customStyle="1" w:styleId="WWNum14">
    <w:name w:val="WWNum14"/>
    <w:basedOn w:val="a9"/>
    <w:rsid w:val="00CA2B6D"/>
    <w:pPr>
      <w:numPr>
        <w:numId w:val="19"/>
      </w:numPr>
    </w:pPr>
  </w:style>
  <w:style w:type="numbering" w:customStyle="1" w:styleId="WWNum15">
    <w:name w:val="WWNum15"/>
    <w:basedOn w:val="a9"/>
    <w:rsid w:val="00CA2B6D"/>
    <w:pPr>
      <w:numPr>
        <w:numId w:val="20"/>
      </w:numPr>
    </w:pPr>
  </w:style>
  <w:style w:type="numbering" w:customStyle="1" w:styleId="WWNum16">
    <w:name w:val="WWNum16"/>
    <w:basedOn w:val="a9"/>
    <w:rsid w:val="00CA2B6D"/>
    <w:pPr>
      <w:numPr>
        <w:numId w:val="21"/>
      </w:numPr>
    </w:pPr>
  </w:style>
  <w:style w:type="numbering" w:customStyle="1" w:styleId="WWNum27">
    <w:name w:val="WWNum27"/>
    <w:basedOn w:val="a9"/>
    <w:rsid w:val="00CA2B6D"/>
    <w:pPr>
      <w:numPr>
        <w:numId w:val="22"/>
      </w:numPr>
    </w:pPr>
  </w:style>
  <w:style w:type="numbering" w:customStyle="1" w:styleId="WWNum28">
    <w:name w:val="WWNum28"/>
    <w:basedOn w:val="a9"/>
    <w:rsid w:val="00CA2B6D"/>
    <w:pPr>
      <w:numPr>
        <w:numId w:val="23"/>
      </w:numPr>
    </w:pPr>
  </w:style>
  <w:style w:type="numbering" w:customStyle="1" w:styleId="WWNum29">
    <w:name w:val="WWNum29"/>
    <w:basedOn w:val="a9"/>
    <w:rsid w:val="00CA2B6D"/>
    <w:pPr>
      <w:numPr>
        <w:numId w:val="24"/>
      </w:numPr>
    </w:pPr>
  </w:style>
  <w:style w:type="character" w:customStyle="1" w:styleId="40">
    <w:name w:val="標題 4 字元"/>
    <w:basedOn w:val="a7"/>
    <w:link w:val="4"/>
    <w:rsid w:val="00AF1369"/>
    <w:rPr>
      <w:rFonts w:ascii="標楷體" w:eastAsia="標楷體" w:hAnsi="Arial"/>
      <w:kern w:val="32"/>
      <w:sz w:val="32"/>
      <w:szCs w:val="36"/>
    </w:rPr>
  </w:style>
  <w:style w:type="character" w:customStyle="1" w:styleId="50">
    <w:name w:val="標題 5 字元"/>
    <w:basedOn w:val="a7"/>
    <w:link w:val="5"/>
    <w:rsid w:val="00AF1369"/>
    <w:rPr>
      <w:rFonts w:ascii="標楷體" w:eastAsia="標楷體" w:hAnsi="Arial"/>
      <w:bCs/>
      <w:kern w:val="32"/>
      <w:sz w:val="32"/>
      <w:szCs w:val="36"/>
    </w:rPr>
  </w:style>
  <w:style w:type="character" w:customStyle="1" w:styleId="af4">
    <w:name w:val="頁尾 字元"/>
    <w:basedOn w:val="a7"/>
    <w:link w:val="af3"/>
    <w:uiPriority w:val="99"/>
    <w:rsid w:val="001479A2"/>
    <w:rPr>
      <w:rFonts w:ascii="標楷體" w:eastAsia="標楷體"/>
      <w:kern w:val="2"/>
    </w:rPr>
  </w:style>
  <w:style w:type="character" w:styleId="aff1">
    <w:name w:val="Unresolved Mention"/>
    <w:basedOn w:val="a7"/>
    <w:uiPriority w:val="99"/>
    <w:semiHidden/>
    <w:unhideWhenUsed/>
    <w:rsid w:val="00A81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22215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79620941">
      <w:bodyDiv w:val="1"/>
      <w:marLeft w:val="0"/>
      <w:marRight w:val="0"/>
      <w:marTop w:val="0"/>
      <w:marBottom w:val="0"/>
      <w:divBdr>
        <w:top w:val="none" w:sz="0" w:space="0" w:color="auto"/>
        <w:left w:val="none" w:sz="0" w:space="0" w:color="auto"/>
        <w:bottom w:val="none" w:sz="0" w:space="0" w:color="auto"/>
        <w:right w:val="none" w:sz="0" w:space="0" w:color="auto"/>
      </w:divBdr>
    </w:div>
    <w:div w:id="75420673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0253592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D0117-A368-4E34-80BD-3B437DFE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3137</Words>
  <Characters>17884</Characters>
  <Application>Microsoft Office Word</Application>
  <DocSecurity>0</DocSecurity>
  <Lines>149</Lines>
  <Paragraphs>41</Paragraphs>
  <ScaleCrop>false</ScaleCrop>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2023-09-23T08:40:00Z</dcterms:created>
  <dcterms:modified xsi:type="dcterms:W3CDTF">2023-09-23T08:41:00Z</dcterms:modified>
  <cp:contentStatus/>
</cp:coreProperties>
</file>