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E1208" w:rsidRDefault="009D26EF" w:rsidP="009D26EF">
      <w:pPr>
        <w:pStyle w:val="af3"/>
        <w:rPr>
          <w:rFonts w:hAnsi="標楷體"/>
        </w:rPr>
      </w:pPr>
      <w:r w:rsidRPr="004E1208">
        <w:rPr>
          <w:rFonts w:hAnsi="標楷體" w:hint="eastAsia"/>
        </w:rPr>
        <w:t>監察院</w:t>
      </w:r>
      <w:proofErr w:type="gramStart"/>
      <w:r w:rsidR="00EA5782" w:rsidRPr="004E1208">
        <w:rPr>
          <w:rFonts w:hAnsi="標楷體" w:hint="eastAsia"/>
        </w:rPr>
        <w:t>111</w:t>
      </w:r>
      <w:proofErr w:type="gramEnd"/>
      <w:r w:rsidRPr="004E1208">
        <w:rPr>
          <w:rFonts w:hAnsi="標楷體" w:hint="eastAsia"/>
        </w:rPr>
        <w:t>年度通案性案件調查研究報告</w:t>
      </w:r>
    </w:p>
    <w:p w:rsidR="00E25849" w:rsidRPr="004E1208" w:rsidRDefault="009D26EF" w:rsidP="00EA48A6">
      <w:pPr>
        <w:pStyle w:val="1"/>
        <w:rPr>
          <w:rFonts w:hAnsi="標楷體"/>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139546588"/>
      <w:r w:rsidRPr="004E1208">
        <w:rPr>
          <w:rFonts w:hAnsi="標楷體" w:hint="eastAsia"/>
        </w:rPr>
        <w:t>題目</w:t>
      </w:r>
      <w:bookmarkEnd w:id="0"/>
      <w:bookmarkEnd w:id="1"/>
      <w:bookmarkEnd w:id="2"/>
      <w:bookmarkEnd w:id="3"/>
      <w:bookmarkEnd w:id="4"/>
      <w:bookmarkEnd w:id="5"/>
      <w:bookmarkEnd w:id="6"/>
      <w:bookmarkEnd w:id="7"/>
      <w:bookmarkEnd w:id="8"/>
      <w:r w:rsidR="00E25849" w:rsidRPr="004E1208">
        <w:rPr>
          <w:rFonts w:hAnsi="標楷體"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EA5782" w:rsidRPr="004E1208">
        <w:rPr>
          <w:rFonts w:hAnsi="標楷體" w:hint="eastAsia"/>
        </w:rPr>
        <w:t>「國有土地</w:t>
      </w:r>
      <w:r w:rsidR="004D5687">
        <w:rPr>
          <w:rFonts w:hAnsi="標楷體" w:hint="eastAsia"/>
        </w:rPr>
        <w:t>使用管理</w:t>
      </w:r>
      <w:r w:rsidR="00EA5782" w:rsidRPr="004E1208">
        <w:rPr>
          <w:rFonts w:hAnsi="標楷體" w:hint="eastAsia"/>
        </w:rPr>
        <w:t>之檢討」通案性案件調查研究</w:t>
      </w:r>
      <w:bookmarkEnd w:id="22"/>
      <w:bookmarkEnd w:id="23"/>
    </w:p>
    <w:p w:rsidR="00E25849" w:rsidRPr="004E1208" w:rsidRDefault="00907B9B" w:rsidP="004E05A1">
      <w:pPr>
        <w:pStyle w:val="1"/>
        <w:ind w:left="2380" w:hanging="2380"/>
        <w:rPr>
          <w:rFonts w:hAnsi="標楷體"/>
        </w:rPr>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421794872"/>
      <w:bookmarkStart w:id="47" w:name="_Toc139546643"/>
      <w:r w:rsidRPr="004E1208">
        <w:rPr>
          <w:rFonts w:hAnsi="標楷體" w:hint="eastAsia"/>
        </w:rPr>
        <w:t>結論與建議：</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DF5134" w:rsidRPr="004E1208" w:rsidRDefault="00427F10" w:rsidP="009E32B5">
      <w:pPr>
        <w:pStyle w:val="2"/>
        <w:rPr>
          <w:b/>
        </w:rPr>
      </w:pPr>
      <w:bookmarkStart w:id="48" w:name="_Toc139546644"/>
      <w:bookmarkStart w:id="49" w:name="_Toc524902730"/>
      <w:r w:rsidRPr="004E1208">
        <w:rPr>
          <w:rFonts w:hint="eastAsia"/>
          <w:b/>
        </w:rPr>
        <w:t>國有土地乃重要的全民資產，具有促進社會與全民福祉之使命，社會大眾對其管理運用抱有高度期許，然實務</w:t>
      </w:r>
      <w:proofErr w:type="gramStart"/>
      <w:r w:rsidRPr="004E1208">
        <w:rPr>
          <w:rFonts w:hint="eastAsia"/>
          <w:b/>
        </w:rPr>
        <w:t>上每因缺乏</w:t>
      </w:r>
      <w:proofErr w:type="gramEnd"/>
      <w:r w:rsidRPr="004E1208">
        <w:rPr>
          <w:rFonts w:hint="eastAsia"/>
          <w:b/>
        </w:rPr>
        <w:t>上位引導與整體規劃，不僅遭占用、閒置、低度利用情形層出不窮，亦常淪為單純配合提供土地之被動角色，顯與人民期待有所落差。國產管理機關除須確實檢核、有效控管、積極處理遭占用、閒置、低度利用之國有土地外，更應評估</w:t>
      </w:r>
      <w:proofErr w:type="gramStart"/>
      <w:r w:rsidRPr="004E1208">
        <w:rPr>
          <w:rFonts w:hint="eastAsia"/>
          <w:b/>
        </w:rPr>
        <w:t>研</w:t>
      </w:r>
      <w:proofErr w:type="gramEnd"/>
      <w:r w:rsidRPr="004E1208">
        <w:rPr>
          <w:rFonts w:hint="eastAsia"/>
          <w:b/>
        </w:rPr>
        <w:t>擬政策性的上位指導規範，發揮「引導」與「示範」功能，使其切合社會發展趨勢</w:t>
      </w:r>
      <w:r w:rsidR="00E72D5C" w:rsidRPr="004E1208">
        <w:rPr>
          <w:rFonts w:hint="eastAsia"/>
          <w:b/>
        </w:rPr>
        <w:t>（</w:t>
      </w:r>
      <w:r w:rsidRPr="004E1208">
        <w:rPr>
          <w:rFonts w:hint="eastAsia"/>
          <w:b/>
        </w:rPr>
        <w:t>如少子化、高齡化等</w:t>
      </w:r>
      <w:r w:rsidR="00E72D5C" w:rsidRPr="004E1208">
        <w:rPr>
          <w:rFonts w:hint="eastAsia"/>
          <w:b/>
        </w:rPr>
        <w:t>）</w:t>
      </w:r>
      <w:r w:rsidRPr="004E1208">
        <w:rPr>
          <w:rFonts w:hint="eastAsia"/>
          <w:b/>
        </w:rPr>
        <w:t>及迫切需要</w:t>
      </w:r>
      <w:r w:rsidR="00E72D5C" w:rsidRPr="004E1208">
        <w:rPr>
          <w:rFonts w:hint="eastAsia"/>
          <w:b/>
        </w:rPr>
        <w:t>（</w:t>
      </w:r>
      <w:r w:rsidRPr="004E1208">
        <w:rPr>
          <w:rFonts w:hint="eastAsia"/>
          <w:b/>
        </w:rPr>
        <w:t>如長期照顧、社會住宅等</w:t>
      </w:r>
      <w:r w:rsidR="00E72D5C" w:rsidRPr="004E1208">
        <w:rPr>
          <w:rFonts w:hint="eastAsia"/>
          <w:b/>
        </w:rPr>
        <w:t>）</w:t>
      </w:r>
      <w:r w:rsidRPr="004E1208">
        <w:rPr>
          <w:rFonts w:hint="eastAsia"/>
          <w:b/>
        </w:rPr>
        <w:t>，盤點整合、統籌調配國有土地，進行前瞻規劃與</w:t>
      </w:r>
      <w:proofErr w:type="gramStart"/>
      <w:r w:rsidRPr="004E1208">
        <w:rPr>
          <w:rFonts w:hint="eastAsia"/>
          <w:b/>
        </w:rPr>
        <w:t>最</w:t>
      </w:r>
      <w:proofErr w:type="gramEnd"/>
      <w:r w:rsidRPr="004E1208">
        <w:rPr>
          <w:rFonts w:hint="eastAsia"/>
          <w:b/>
        </w:rPr>
        <w:t>適運用，並建立成本績效量化指標，</w:t>
      </w:r>
      <w:proofErr w:type="gramStart"/>
      <w:r w:rsidRPr="004E1208">
        <w:rPr>
          <w:rFonts w:hint="eastAsia"/>
          <w:b/>
        </w:rPr>
        <w:t>俾</w:t>
      </w:r>
      <w:proofErr w:type="gramEnd"/>
      <w:r w:rsidRPr="004E1208">
        <w:rPr>
          <w:rFonts w:hint="eastAsia"/>
          <w:b/>
        </w:rPr>
        <w:t>創造國家資產最大效益，促進國土有序及健全發展，進一步增加社會與全民福祉。</w:t>
      </w:r>
      <w:bookmarkEnd w:id="48"/>
    </w:p>
    <w:p w:rsidR="00427F10" w:rsidRPr="004E1208" w:rsidRDefault="00ED3A18" w:rsidP="009E32B5">
      <w:pPr>
        <w:pStyle w:val="3"/>
      </w:pPr>
      <w:r w:rsidRPr="004E1208">
        <w:rPr>
          <w:rFonts w:hint="eastAsia"/>
        </w:rPr>
        <w:t>我國國有土地數量龐大，占臺灣</w:t>
      </w:r>
      <w:r w:rsidR="000D4E1C">
        <w:rPr>
          <w:rFonts w:hint="eastAsia"/>
        </w:rPr>
        <w:t>已登記</w:t>
      </w:r>
      <w:r w:rsidRPr="004E1208">
        <w:rPr>
          <w:rFonts w:hint="eastAsia"/>
        </w:rPr>
        <w:t>土地總面積6</w:t>
      </w:r>
      <w:r w:rsidR="00450C43">
        <w:rPr>
          <w:rFonts w:hint="eastAsia"/>
        </w:rPr>
        <w:t>4.19</w:t>
      </w:r>
      <w:r w:rsidRPr="004E1208">
        <w:rPr>
          <w:rFonts w:hint="eastAsia"/>
        </w:rPr>
        <w:t>%</w:t>
      </w:r>
      <w:r w:rsidR="00450C43">
        <w:rPr>
          <w:rStyle w:val="afd"/>
        </w:rPr>
        <w:footnoteReference w:id="1"/>
      </w:r>
      <w:r w:rsidRPr="004E1208">
        <w:rPr>
          <w:rFonts w:hint="eastAsia"/>
        </w:rPr>
        <w:t>，加上許多坐落於都會區，潛在價值與開發效益難以估量。經統計，截至</w:t>
      </w:r>
      <w:r w:rsidR="00A65E08" w:rsidRPr="004E1208">
        <w:rPr>
          <w:rFonts w:hint="eastAsia"/>
        </w:rPr>
        <w:t>民國（下同）</w:t>
      </w:r>
      <w:r w:rsidRPr="004E1208">
        <w:rPr>
          <w:rFonts w:hint="eastAsia"/>
        </w:rPr>
        <w:t>110年12月底止，我國國有土地總面積共計225萬7,282.62公頃，如以109年申報地價計算，土地總價值達</w:t>
      </w:r>
      <w:r w:rsidR="00A65E08" w:rsidRPr="004E1208">
        <w:rPr>
          <w:rFonts w:hint="eastAsia"/>
        </w:rPr>
        <w:t>新臺幣（下同）</w:t>
      </w:r>
      <w:r w:rsidRPr="004E1208">
        <w:rPr>
          <w:rFonts w:hint="eastAsia"/>
        </w:rPr>
        <w:t>5兆4,896億8,921萬8,696元，其中公用土地</w:t>
      </w:r>
      <w:r w:rsidRPr="004E1208">
        <w:rPr>
          <w:rStyle w:val="afd"/>
          <w:rFonts w:hAnsi="標楷體"/>
          <w:szCs w:val="32"/>
        </w:rPr>
        <w:footnoteReference w:id="2"/>
      </w:r>
      <w:r w:rsidRPr="004E1208">
        <w:rPr>
          <w:rFonts w:hint="eastAsia"/>
        </w:rPr>
        <w:t>165萬4,272筆，土地面積203萬9,293公頃，土地價值4兆6,259億5,347萬9,915元；非公用土地</w:t>
      </w:r>
      <w:r w:rsidRPr="004E1208">
        <w:rPr>
          <w:rStyle w:val="afd"/>
          <w:rFonts w:hAnsi="標楷體"/>
          <w:szCs w:val="32"/>
        </w:rPr>
        <w:lastRenderedPageBreak/>
        <w:footnoteReference w:id="3"/>
      </w:r>
      <w:r w:rsidRPr="004E1208">
        <w:rPr>
          <w:rFonts w:hint="eastAsia"/>
        </w:rPr>
        <w:t>180萬7,543筆，土地面積21萬7,989.29公頃，土地價值8,637億3,573萬8,781元</w:t>
      </w:r>
      <w:r w:rsidR="00583D6C" w:rsidRPr="004E1208">
        <w:rPr>
          <w:rFonts w:hint="eastAsia"/>
        </w:rPr>
        <w:t>（詳表1）</w:t>
      </w:r>
      <w:r w:rsidRPr="004E1208">
        <w:rPr>
          <w:rFonts w:hint="eastAsia"/>
        </w:rPr>
        <w:t>。</w:t>
      </w:r>
    </w:p>
    <w:p w:rsidR="00ED3A18" w:rsidRPr="004E1208" w:rsidRDefault="00ED3A18" w:rsidP="00C7639D">
      <w:pPr>
        <w:pStyle w:val="a4"/>
        <w:numPr>
          <w:ilvl w:val="0"/>
          <w:numId w:val="44"/>
        </w:numPr>
        <w:ind w:firstLine="513"/>
        <w:jc w:val="center"/>
        <w:rPr>
          <w:rFonts w:hAnsi="標楷體"/>
          <w:b/>
          <w:spacing w:val="0"/>
        </w:rPr>
      </w:pPr>
      <w:bookmarkStart w:id="50" w:name="_Toc139547164"/>
      <w:r w:rsidRPr="004E1208">
        <w:rPr>
          <w:rFonts w:hAnsi="標楷體" w:hint="eastAsia"/>
          <w:b/>
          <w:spacing w:val="0"/>
        </w:rPr>
        <w:t>國有土地數量及價值統計表</w:t>
      </w:r>
      <w:bookmarkEnd w:id="50"/>
    </w:p>
    <w:p w:rsidR="00ED3A18" w:rsidRPr="004E1208" w:rsidRDefault="00ED3A18" w:rsidP="00ED3A18">
      <w:pPr>
        <w:jc w:val="right"/>
        <w:rPr>
          <w:rFonts w:hAnsi="標楷體"/>
          <w:sz w:val="24"/>
          <w:szCs w:val="24"/>
        </w:rPr>
      </w:pPr>
      <w:r w:rsidRPr="004E1208">
        <w:rPr>
          <w:rFonts w:hAnsi="標楷體" w:hint="eastAsia"/>
          <w:sz w:val="24"/>
          <w:szCs w:val="24"/>
        </w:rPr>
        <w:t>單位：筆；公頃；元</w:t>
      </w:r>
    </w:p>
    <w:tbl>
      <w:tblPr>
        <w:tblStyle w:val="af7"/>
        <w:tblW w:w="7937" w:type="dxa"/>
        <w:tblInd w:w="1101" w:type="dxa"/>
        <w:tblLook w:val="04A0" w:firstRow="1" w:lastRow="0" w:firstColumn="1" w:lastColumn="0" w:noHBand="0" w:noVBand="1"/>
      </w:tblPr>
      <w:tblGrid>
        <w:gridCol w:w="1418"/>
        <w:gridCol w:w="1134"/>
        <w:gridCol w:w="1417"/>
        <w:gridCol w:w="1559"/>
        <w:gridCol w:w="2409"/>
      </w:tblGrid>
      <w:tr w:rsidR="00ED3A18" w:rsidRPr="004E1208" w:rsidTr="005471F2">
        <w:trPr>
          <w:trHeight w:val="454"/>
        </w:trPr>
        <w:tc>
          <w:tcPr>
            <w:tcW w:w="2552" w:type="dxa"/>
            <w:gridSpan w:val="2"/>
            <w:shd w:val="clear" w:color="auto" w:fill="FDE9D9" w:themeFill="accent6" w:themeFillTint="33"/>
            <w:vAlign w:val="center"/>
          </w:tcPr>
          <w:p w:rsidR="00ED3A18" w:rsidRPr="004E1208" w:rsidRDefault="00ED3A18" w:rsidP="00ED3A18">
            <w:pPr>
              <w:pStyle w:val="4"/>
              <w:numPr>
                <w:ilvl w:val="0"/>
                <w:numId w:val="0"/>
              </w:numPr>
              <w:jc w:val="center"/>
              <w:rPr>
                <w:rFonts w:hAnsi="標楷體"/>
                <w:b/>
                <w:spacing w:val="-10"/>
                <w:sz w:val="24"/>
                <w:szCs w:val="24"/>
              </w:rPr>
            </w:pPr>
            <w:r w:rsidRPr="004E1208">
              <w:rPr>
                <w:rFonts w:hAnsi="標楷體" w:hint="eastAsia"/>
                <w:b/>
                <w:spacing w:val="-10"/>
                <w:sz w:val="24"/>
                <w:szCs w:val="24"/>
              </w:rPr>
              <w:t>分類項目</w:t>
            </w:r>
          </w:p>
        </w:tc>
        <w:tc>
          <w:tcPr>
            <w:tcW w:w="1417" w:type="dxa"/>
            <w:shd w:val="clear" w:color="auto" w:fill="FDE9D9" w:themeFill="accent6" w:themeFillTint="33"/>
            <w:vAlign w:val="center"/>
          </w:tcPr>
          <w:p w:rsidR="00ED3A18" w:rsidRPr="004E1208" w:rsidRDefault="00ED3A18" w:rsidP="00ED3A18">
            <w:pPr>
              <w:pStyle w:val="4"/>
              <w:numPr>
                <w:ilvl w:val="0"/>
                <w:numId w:val="0"/>
              </w:numPr>
              <w:jc w:val="center"/>
              <w:rPr>
                <w:rFonts w:hAnsi="標楷體"/>
                <w:b/>
                <w:spacing w:val="-10"/>
                <w:sz w:val="24"/>
                <w:szCs w:val="24"/>
              </w:rPr>
            </w:pPr>
            <w:r w:rsidRPr="004E1208">
              <w:rPr>
                <w:rFonts w:hAnsi="標楷體" w:hint="eastAsia"/>
                <w:b/>
                <w:spacing w:val="-10"/>
                <w:sz w:val="24"/>
                <w:szCs w:val="24"/>
              </w:rPr>
              <w:t>筆數</w:t>
            </w:r>
          </w:p>
        </w:tc>
        <w:tc>
          <w:tcPr>
            <w:tcW w:w="1559" w:type="dxa"/>
            <w:shd w:val="clear" w:color="auto" w:fill="FDE9D9" w:themeFill="accent6" w:themeFillTint="33"/>
            <w:vAlign w:val="center"/>
          </w:tcPr>
          <w:p w:rsidR="00ED3A18" w:rsidRPr="004E1208" w:rsidRDefault="00ED3A18" w:rsidP="00ED3A18">
            <w:pPr>
              <w:pStyle w:val="4"/>
              <w:numPr>
                <w:ilvl w:val="0"/>
                <w:numId w:val="0"/>
              </w:numPr>
              <w:jc w:val="center"/>
              <w:rPr>
                <w:rFonts w:hAnsi="標楷體"/>
                <w:b/>
                <w:spacing w:val="-10"/>
                <w:sz w:val="24"/>
                <w:szCs w:val="24"/>
              </w:rPr>
            </w:pPr>
            <w:r w:rsidRPr="004E1208">
              <w:rPr>
                <w:rFonts w:hAnsi="標楷體" w:hint="eastAsia"/>
                <w:b/>
                <w:spacing w:val="-10"/>
                <w:sz w:val="24"/>
                <w:szCs w:val="24"/>
              </w:rPr>
              <w:t>面積</w:t>
            </w:r>
          </w:p>
        </w:tc>
        <w:tc>
          <w:tcPr>
            <w:tcW w:w="2409" w:type="dxa"/>
            <w:shd w:val="clear" w:color="auto" w:fill="FDE9D9" w:themeFill="accent6" w:themeFillTint="33"/>
            <w:vAlign w:val="center"/>
          </w:tcPr>
          <w:p w:rsidR="00ED3A18" w:rsidRPr="004E1208" w:rsidRDefault="00ED3A18" w:rsidP="00ED3A18">
            <w:pPr>
              <w:pStyle w:val="4"/>
              <w:numPr>
                <w:ilvl w:val="0"/>
                <w:numId w:val="0"/>
              </w:numPr>
              <w:jc w:val="center"/>
              <w:rPr>
                <w:rFonts w:hAnsi="標楷體"/>
                <w:b/>
                <w:spacing w:val="-10"/>
                <w:sz w:val="24"/>
                <w:szCs w:val="24"/>
              </w:rPr>
            </w:pPr>
            <w:r w:rsidRPr="004E1208">
              <w:rPr>
                <w:rFonts w:hAnsi="標楷體" w:hint="eastAsia"/>
                <w:b/>
                <w:spacing w:val="-10"/>
                <w:sz w:val="24"/>
                <w:szCs w:val="24"/>
              </w:rPr>
              <w:t>價值（申報地價）</w:t>
            </w:r>
          </w:p>
        </w:tc>
      </w:tr>
      <w:tr w:rsidR="00ED3A18" w:rsidRPr="004E1208" w:rsidTr="005471F2">
        <w:trPr>
          <w:trHeight w:val="454"/>
        </w:trPr>
        <w:tc>
          <w:tcPr>
            <w:tcW w:w="1418" w:type="dxa"/>
            <w:vMerge w:val="restart"/>
            <w:vAlign w:val="center"/>
          </w:tcPr>
          <w:p w:rsidR="00ED3A18" w:rsidRPr="004E1208" w:rsidRDefault="00ED3A18" w:rsidP="00ED3A18">
            <w:pPr>
              <w:pStyle w:val="4"/>
              <w:numPr>
                <w:ilvl w:val="0"/>
                <w:numId w:val="0"/>
              </w:numPr>
              <w:jc w:val="center"/>
              <w:rPr>
                <w:rFonts w:hAnsi="標楷體"/>
                <w:b/>
                <w:spacing w:val="-10"/>
                <w:sz w:val="24"/>
                <w:szCs w:val="24"/>
              </w:rPr>
            </w:pPr>
            <w:r w:rsidRPr="004E1208">
              <w:rPr>
                <w:rFonts w:hAnsi="標楷體" w:hint="eastAsia"/>
                <w:b/>
                <w:spacing w:val="-10"/>
                <w:sz w:val="24"/>
                <w:szCs w:val="24"/>
              </w:rPr>
              <w:t>公用土地</w:t>
            </w:r>
          </w:p>
        </w:tc>
        <w:tc>
          <w:tcPr>
            <w:tcW w:w="1134" w:type="dxa"/>
            <w:vAlign w:val="center"/>
          </w:tcPr>
          <w:p w:rsidR="00ED3A18" w:rsidRPr="004E1208" w:rsidRDefault="00ED3A18" w:rsidP="00ED3A18">
            <w:pPr>
              <w:pStyle w:val="4"/>
              <w:numPr>
                <w:ilvl w:val="0"/>
                <w:numId w:val="0"/>
              </w:numPr>
              <w:jc w:val="center"/>
              <w:rPr>
                <w:rFonts w:hAnsi="標楷體"/>
                <w:spacing w:val="-10"/>
                <w:sz w:val="24"/>
                <w:szCs w:val="24"/>
              </w:rPr>
            </w:pPr>
            <w:r w:rsidRPr="004E1208">
              <w:rPr>
                <w:rFonts w:hAnsi="標楷體" w:hint="eastAsia"/>
                <w:spacing w:val="-10"/>
                <w:sz w:val="24"/>
                <w:szCs w:val="24"/>
              </w:rPr>
              <w:t>公務用</w:t>
            </w:r>
          </w:p>
        </w:tc>
        <w:tc>
          <w:tcPr>
            <w:tcW w:w="1417" w:type="dxa"/>
            <w:vAlign w:val="center"/>
          </w:tcPr>
          <w:p w:rsidR="00ED3A18" w:rsidRDefault="00ED3A18" w:rsidP="00ED3A18">
            <w:pPr>
              <w:pStyle w:val="4"/>
              <w:numPr>
                <w:ilvl w:val="0"/>
                <w:numId w:val="0"/>
              </w:numPr>
              <w:jc w:val="right"/>
              <w:rPr>
                <w:rFonts w:hAnsi="標楷體"/>
                <w:spacing w:val="-10"/>
                <w:sz w:val="24"/>
                <w:szCs w:val="24"/>
              </w:rPr>
            </w:pPr>
            <w:r w:rsidRPr="004E1208">
              <w:rPr>
                <w:rFonts w:hAnsi="標楷體" w:hint="eastAsia"/>
                <w:spacing w:val="-10"/>
                <w:sz w:val="24"/>
                <w:szCs w:val="24"/>
              </w:rPr>
              <w:t>7</w:t>
            </w:r>
            <w:r w:rsidRPr="004E1208">
              <w:rPr>
                <w:rFonts w:hAnsi="標楷體"/>
                <w:spacing w:val="-10"/>
                <w:sz w:val="24"/>
                <w:szCs w:val="24"/>
              </w:rPr>
              <w:t>52,520</w:t>
            </w:r>
          </w:p>
          <w:p w:rsidR="006E2F07" w:rsidRPr="004E1208" w:rsidRDefault="006E2F07" w:rsidP="00ED3A18">
            <w:pPr>
              <w:pStyle w:val="4"/>
              <w:numPr>
                <w:ilvl w:val="0"/>
                <w:numId w:val="0"/>
              </w:numPr>
              <w:jc w:val="right"/>
              <w:rPr>
                <w:rFonts w:hAnsi="標楷體"/>
                <w:spacing w:val="-10"/>
                <w:sz w:val="24"/>
                <w:szCs w:val="24"/>
              </w:rPr>
            </w:pPr>
            <w:r w:rsidRPr="002D482C">
              <w:rPr>
                <w:rFonts w:hAnsi="標楷體" w:hint="eastAsia"/>
                <w:color w:val="C0504D" w:themeColor="accent2"/>
                <w:spacing w:val="-10"/>
                <w:sz w:val="20"/>
                <w:szCs w:val="20"/>
              </w:rPr>
              <w:t>(</w:t>
            </w:r>
            <w:r w:rsidRPr="002D482C">
              <w:rPr>
                <w:rFonts w:hAnsi="標楷體"/>
                <w:color w:val="C0504D" w:themeColor="accent2"/>
                <w:spacing w:val="-10"/>
                <w:sz w:val="20"/>
                <w:szCs w:val="20"/>
              </w:rPr>
              <w:t>21.74%)</w:t>
            </w:r>
          </w:p>
        </w:tc>
        <w:tc>
          <w:tcPr>
            <w:tcW w:w="1559" w:type="dxa"/>
            <w:vAlign w:val="center"/>
          </w:tcPr>
          <w:p w:rsidR="00ED3A18" w:rsidRDefault="00ED3A18" w:rsidP="00ED3A18">
            <w:pPr>
              <w:pStyle w:val="4"/>
              <w:numPr>
                <w:ilvl w:val="0"/>
                <w:numId w:val="0"/>
              </w:numPr>
              <w:jc w:val="right"/>
              <w:rPr>
                <w:rFonts w:hAnsi="標楷體"/>
                <w:spacing w:val="-10"/>
                <w:sz w:val="24"/>
                <w:szCs w:val="24"/>
              </w:rPr>
            </w:pPr>
            <w:r w:rsidRPr="004E1208">
              <w:rPr>
                <w:rFonts w:hAnsi="標楷體" w:hint="eastAsia"/>
                <w:spacing w:val="-10"/>
                <w:sz w:val="24"/>
                <w:szCs w:val="24"/>
              </w:rPr>
              <w:t>3</w:t>
            </w:r>
            <w:r w:rsidRPr="004E1208">
              <w:rPr>
                <w:rFonts w:hAnsi="標楷體"/>
                <w:spacing w:val="-10"/>
                <w:sz w:val="24"/>
                <w:szCs w:val="24"/>
              </w:rPr>
              <w:t>01,890</w:t>
            </w:r>
          </w:p>
          <w:p w:rsidR="006E2F07" w:rsidRPr="004E1208" w:rsidRDefault="006E2F07" w:rsidP="00ED3A18">
            <w:pPr>
              <w:pStyle w:val="4"/>
              <w:numPr>
                <w:ilvl w:val="0"/>
                <w:numId w:val="0"/>
              </w:numPr>
              <w:jc w:val="right"/>
              <w:rPr>
                <w:rFonts w:hAnsi="標楷體"/>
                <w:spacing w:val="-10"/>
                <w:sz w:val="24"/>
                <w:szCs w:val="24"/>
              </w:rPr>
            </w:pPr>
            <w:r w:rsidRPr="002D482C">
              <w:rPr>
                <w:rFonts w:hAnsi="標楷體" w:hint="eastAsia"/>
                <w:color w:val="C0504D" w:themeColor="accent2"/>
                <w:spacing w:val="-10"/>
                <w:sz w:val="20"/>
                <w:szCs w:val="20"/>
              </w:rPr>
              <w:t>(</w:t>
            </w:r>
            <w:r>
              <w:rPr>
                <w:rFonts w:hAnsi="標楷體"/>
                <w:color w:val="C0504D" w:themeColor="accent2"/>
                <w:spacing w:val="-10"/>
                <w:sz w:val="20"/>
                <w:szCs w:val="20"/>
              </w:rPr>
              <w:t>13</w:t>
            </w:r>
            <w:r w:rsidRPr="002D482C">
              <w:rPr>
                <w:rFonts w:hAnsi="標楷體"/>
                <w:color w:val="C0504D" w:themeColor="accent2"/>
                <w:spacing w:val="-10"/>
                <w:sz w:val="20"/>
                <w:szCs w:val="20"/>
              </w:rPr>
              <w:t>.</w:t>
            </w:r>
            <w:r>
              <w:rPr>
                <w:rFonts w:hAnsi="標楷體"/>
                <w:color w:val="C0504D" w:themeColor="accent2"/>
                <w:spacing w:val="-10"/>
                <w:sz w:val="20"/>
                <w:szCs w:val="20"/>
              </w:rPr>
              <w:t>37</w:t>
            </w:r>
            <w:r w:rsidRPr="002D482C">
              <w:rPr>
                <w:rFonts w:hAnsi="標楷體"/>
                <w:color w:val="C0504D" w:themeColor="accent2"/>
                <w:spacing w:val="-10"/>
                <w:sz w:val="20"/>
                <w:szCs w:val="20"/>
              </w:rPr>
              <w:t>%)</w:t>
            </w:r>
          </w:p>
        </w:tc>
        <w:tc>
          <w:tcPr>
            <w:tcW w:w="2409" w:type="dxa"/>
            <w:vAlign w:val="center"/>
          </w:tcPr>
          <w:p w:rsidR="00ED3A18" w:rsidRDefault="00ED3A18" w:rsidP="00ED3A18">
            <w:pPr>
              <w:pStyle w:val="4"/>
              <w:numPr>
                <w:ilvl w:val="0"/>
                <w:numId w:val="0"/>
              </w:numPr>
              <w:jc w:val="right"/>
              <w:rPr>
                <w:rFonts w:hAnsi="標楷體"/>
                <w:spacing w:val="-10"/>
                <w:sz w:val="24"/>
                <w:szCs w:val="24"/>
              </w:rPr>
            </w:pPr>
            <w:r w:rsidRPr="004E1208">
              <w:rPr>
                <w:rFonts w:hAnsi="標楷體" w:hint="eastAsia"/>
                <w:spacing w:val="-10"/>
                <w:sz w:val="24"/>
                <w:szCs w:val="24"/>
              </w:rPr>
              <w:t>2</w:t>
            </w:r>
            <w:r w:rsidRPr="004E1208">
              <w:rPr>
                <w:rFonts w:hAnsi="標楷體"/>
                <w:spacing w:val="-10"/>
                <w:sz w:val="24"/>
                <w:szCs w:val="24"/>
              </w:rPr>
              <w:t>,483,473,403,889</w:t>
            </w:r>
          </w:p>
          <w:p w:rsidR="006E2F07" w:rsidRPr="004E1208" w:rsidRDefault="006E2F07" w:rsidP="00ED3A18">
            <w:pPr>
              <w:pStyle w:val="4"/>
              <w:numPr>
                <w:ilvl w:val="0"/>
                <w:numId w:val="0"/>
              </w:numPr>
              <w:jc w:val="right"/>
              <w:rPr>
                <w:rFonts w:hAnsi="標楷體"/>
                <w:spacing w:val="-10"/>
                <w:sz w:val="24"/>
                <w:szCs w:val="24"/>
              </w:rPr>
            </w:pPr>
            <w:r w:rsidRPr="002D482C">
              <w:rPr>
                <w:rFonts w:hAnsi="標楷體" w:hint="eastAsia"/>
                <w:color w:val="C0504D" w:themeColor="accent2"/>
                <w:spacing w:val="-10"/>
                <w:sz w:val="20"/>
                <w:szCs w:val="20"/>
              </w:rPr>
              <w:t>(</w:t>
            </w:r>
            <w:r>
              <w:rPr>
                <w:rFonts w:hAnsi="標楷體"/>
                <w:color w:val="C0504D" w:themeColor="accent2"/>
                <w:spacing w:val="-10"/>
                <w:sz w:val="20"/>
                <w:szCs w:val="20"/>
              </w:rPr>
              <w:t>45</w:t>
            </w:r>
            <w:r w:rsidRPr="002D482C">
              <w:rPr>
                <w:rFonts w:hAnsi="標楷體"/>
                <w:color w:val="C0504D" w:themeColor="accent2"/>
                <w:spacing w:val="-10"/>
                <w:sz w:val="20"/>
                <w:szCs w:val="20"/>
              </w:rPr>
              <w:t>.</w:t>
            </w:r>
            <w:r>
              <w:rPr>
                <w:rFonts w:hAnsi="標楷體"/>
                <w:color w:val="C0504D" w:themeColor="accent2"/>
                <w:spacing w:val="-10"/>
                <w:sz w:val="20"/>
                <w:szCs w:val="20"/>
              </w:rPr>
              <w:t>24</w:t>
            </w:r>
            <w:r w:rsidRPr="002D482C">
              <w:rPr>
                <w:rFonts w:hAnsi="標楷體"/>
                <w:color w:val="C0504D" w:themeColor="accent2"/>
                <w:spacing w:val="-10"/>
                <w:sz w:val="20"/>
                <w:szCs w:val="20"/>
              </w:rPr>
              <w:t>%)</w:t>
            </w:r>
          </w:p>
        </w:tc>
      </w:tr>
      <w:tr w:rsidR="00ED3A18" w:rsidRPr="004E1208" w:rsidTr="005471F2">
        <w:trPr>
          <w:trHeight w:val="454"/>
        </w:trPr>
        <w:tc>
          <w:tcPr>
            <w:tcW w:w="1418" w:type="dxa"/>
            <w:vMerge/>
            <w:vAlign w:val="center"/>
          </w:tcPr>
          <w:p w:rsidR="00ED3A18" w:rsidRPr="004E1208" w:rsidRDefault="00ED3A18" w:rsidP="00ED3A18">
            <w:pPr>
              <w:pStyle w:val="4"/>
              <w:numPr>
                <w:ilvl w:val="0"/>
                <w:numId w:val="0"/>
              </w:numPr>
              <w:jc w:val="center"/>
              <w:rPr>
                <w:rFonts w:hAnsi="標楷體"/>
                <w:spacing w:val="-10"/>
                <w:sz w:val="24"/>
                <w:szCs w:val="24"/>
              </w:rPr>
            </w:pPr>
          </w:p>
        </w:tc>
        <w:tc>
          <w:tcPr>
            <w:tcW w:w="1134" w:type="dxa"/>
            <w:vAlign w:val="center"/>
          </w:tcPr>
          <w:p w:rsidR="00ED3A18" w:rsidRPr="004E1208" w:rsidRDefault="00ED3A18" w:rsidP="00ED3A18">
            <w:pPr>
              <w:pStyle w:val="4"/>
              <w:numPr>
                <w:ilvl w:val="0"/>
                <w:numId w:val="0"/>
              </w:numPr>
              <w:jc w:val="center"/>
              <w:rPr>
                <w:rFonts w:hAnsi="標楷體"/>
                <w:spacing w:val="-10"/>
                <w:sz w:val="24"/>
                <w:szCs w:val="24"/>
              </w:rPr>
            </w:pPr>
            <w:r w:rsidRPr="004E1208">
              <w:rPr>
                <w:rFonts w:hAnsi="標楷體" w:hint="eastAsia"/>
                <w:spacing w:val="-10"/>
                <w:sz w:val="24"/>
                <w:szCs w:val="24"/>
              </w:rPr>
              <w:t>公共用</w:t>
            </w:r>
          </w:p>
        </w:tc>
        <w:tc>
          <w:tcPr>
            <w:tcW w:w="1417" w:type="dxa"/>
            <w:vAlign w:val="center"/>
          </w:tcPr>
          <w:p w:rsidR="00ED3A18" w:rsidRDefault="00ED3A18" w:rsidP="00ED3A18">
            <w:pPr>
              <w:pStyle w:val="4"/>
              <w:numPr>
                <w:ilvl w:val="0"/>
                <w:numId w:val="0"/>
              </w:numPr>
              <w:jc w:val="right"/>
              <w:rPr>
                <w:rFonts w:hAnsi="標楷體"/>
                <w:spacing w:val="-10"/>
                <w:sz w:val="24"/>
                <w:szCs w:val="24"/>
              </w:rPr>
            </w:pPr>
            <w:r w:rsidRPr="004E1208">
              <w:rPr>
                <w:rFonts w:hAnsi="標楷體" w:hint="eastAsia"/>
                <w:spacing w:val="-10"/>
                <w:sz w:val="24"/>
                <w:szCs w:val="24"/>
              </w:rPr>
              <w:t>8</w:t>
            </w:r>
            <w:r w:rsidRPr="004E1208">
              <w:rPr>
                <w:rFonts w:hAnsi="標楷體"/>
                <w:spacing w:val="-10"/>
                <w:sz w:val="24"/>
                <w:szCs w:val="24"/>
              </w:rPr>
              <w:t>52,787</w:t>
            </w:r>
          </w:p>
          <w:p w:rsidR="006E2F07" w:rsidRPr="004E1208" w:rsidRDefault="006E2F07" w:rsidP="00ED3A18">
            <w:pPr>
              <w:pStyle w:val="4"/>
              <w:numPr>
                <w:ilvl w:val="0"/>
                <w:numId w:val="0"/>
              </w:numPr>
              <w:jc w:val="right"/>
              <w:rPr>
                <w:rFonts w:hAnsi="標楷體"/>
                <w:spacing w:val="-10"/>
                <w:sz w:val="24"/>
                <w:szCs w:val="24"/>
              </w:rPr>
            </w:pPr>
            <w:r w:rsidRPr="002D482C">
              <w:rPr>
                <w:rFonts w:hAnsi="標楷體" w:hint="eastAsia"/>
                <w:color w:val="C0504D" w:themeColor="accent2"/>
                <w:spacing w:val="-10"/>
                <w:sz w:val="20"/>
                <w:szCs w:val="20"/>
              </w:rPr>
              <w:t>(</w:t>
            </w:r>
            <w:r w:rsidRPr="002D482C">
              <w:rPr>
                <w:rFonts w:hAnsi="標楷體"/>
                <w:color w:val="C0504D" w:themeColor="accent2"/>
                <w:spacing w:val="-10"/>
                <w:sz w:val="20"/>
                <w:szCs w:val="20"/>
              </w:rPr>
              <w:t>2</w:t>
            </w:r>
            <w:r>
              <w:rPr>
                <w:rFonts w:hAnsi="標楷體"/>
                <w:color w:val="C0504D" w:themeColor="accent2"/>
                <w:spacing w:val="-10"/>
                <w:sz w:val="20"/>
                <w:szCs w:val="20"/>
              </w:rPr>
              <w:t>4</w:t>
            </w:r>
            <w:r w:rsidRPr="002D482C">
              <w:rPr>
                <w:rFonts w:hAnsi="標楷體"/>
                <w:color w:val="C0504D" w:themeColor="accent2"/>
                <w:spacing w:val="-10"/>
                <w:sz w:val="20"/>
                <w:szCs w:val="20"/>
              </w:rPr>
              <w:t>.</w:t>
            </w:r>
            <w:r>
              <w:rPr>
                <w:rFonts w:hAnsi="標楷體"/>
                <w:color w:val="C0504D" w:themeColor="accent2"/>
                <w:spacing w:val="-10"/>
                <w:sz w:val="20"/>
                <w:szCs w:val="20"/>
              </w:rPr>
              <w:t>63</w:t>
            </w:r>
            <w:r w:rsidRPr="002D482C">
              <w:rPr>
                <w:rFonts w:hAnsi="標楷體"/>
                <w:color w:val="C0504D" w:themeColor="accent2"/>
                <w:spacing w:val="-10"/>
                <w:sz w:val="20"/>
                <w:szCs w:val="20"/>
              </w:rPr>
              <w:t>%)</w:t>
            </w:r>
          </w:p>
        </w:tc>
        <w:tc>
          <w:tcPr>
            <w:tcW w:w="1559" w:type="dxa"/>
            <w:vAlign w:val="center"/>
          </w:tcPr>
          <w:p w:rsidR="00ED3A18" w:rsidRDefault="00ED3A18" w:rsidP="00ED3A18">
            <w:pPr>
              <w:pStyle w:val="4"/>
              <w:numPr>
                <w:ilvl w:val="0"/>
                <w:numId w:val="0"/>
              </w:numPr>
              <w:jc w:val="right"/>
              <w:rPr>
                <w:rFonts w:hAnsi="標楷體"/>
                <w:spacing w:val="-10"/>
                <w:sz w:val="24"/>
                <w:szCs w:val="24"/>
              </w:rPr>
            </w:pPr>
            <w:r w:rsidRPr="004E1208">
              <w:rPr>
                <w:rFonts w:hAnsi="標楷體" w:hint="eastAsia"/>
                <w:spacing w:val="-10"/>
                <w:sz w:val="24"/>
                <w:szCs w:val="24"/>
              </w:rPr>
              <w:t>1</w:t>
            </w:r>
            <w:r w:rsidRPr="004E1208">
              <w:rPr>
                <w:rFonts w:hAnsi="標楷體"/>
                <w:spacing w:val="-10"/>
                <w:sz w:val="24"/>
                <w:szCs w:val="24"/>
              </w:rPr>
              <w:t>,732,115</w:t>
            </w:r>
          </w:p>
          <w:p w:rsidR="006E2F07" w:rsidRPr="004E1208" w:rsidRDefault="006E2F07" w:rsidP="00ED3A18">
            <w:pPr>
              <w:pStyle w:val="4"/>
              <w:numPr>
                <w:ilvl w:val="0"/>
                <w:numId w:val="0"/>
              </w:numPr>
              <w:jc w:val="right"/>
              <w:rPr>
                <w:rFonts w:hAnsi="標楷體"/>
                <w:spacing w:val="-10"/>
                <w:sz w:val="24"/>
                <w:szCs w:val="24"/>
              </w:rPr>
            </w:pPr>
            <w:r w:rsidRPr="002D482C">
              <w:rPr>
                <w:rFonts w:hAnsi="標楷體" w:hint="eastAsia"/>
                <w:color w:val="C0504D" w:themeColor="accent2"/>
                <w:spacing w:val="-10"/>
                <w:sz w:val="20"/>
                <w:szCs w:val="20"/>
              </w:rPr>
              <w:t>(</w:t>
            </w:r>
            <w:r>
              <w:rPr>
                <w:rFonts w:hAnsi="標楷體"/>
                <w:color w:val="C0504D" w:themeColor="accent2"/>
                <w:spacing w:val="-10"/>
                <w:sz w:val="20"/>
                <w:szCs w:val="20"/>
              </w:rPr>
              <w:t>76</w:t>
            </w:r>
            <w:r w:rsidRPr="002D482C">
              <w:rPr>
                <w:rFonts w:hAnsi="標楷體"/>
                <w:color w:val="C0504D" w:themeColor="accent2"/>
                <w:spacing w:val="-10"/>
                <w:sz w:val="20"/>
                <w:szCs w:val="20"/>
              </w:rPr>
              <w:t>.</w:t>
            </w:r>
            <w:r>
              <w:rPr>
                <w:rFonts w:hAnsi="標楷體"/>
                <w:color w:val="C0504D" w:themeColor="accent2"/>
                <w:spacing w:val="-10"/>
                <w:sz w:val="20"/>
                <w:szCs w:val="20"/>
              </w:rPr>
              <w:t>73</w:t>
            </w:r>
            <w:r w:rsidRPr="002D482C">
              <w:rPr>
                <w:rFonts w:hAnsi="標楷體"/>
                <w:color w:val="C0504D" w:themeColor="accent2"/>
                <w:spacing w:val="-10"/>
                <w:sz w:val="20"/>
                <w:szCs w:val="20"/>
              </w:rPr>
              <w:t>%)</w:t>
            </w:r>
          </w:p>
        </w:tc>
        <w:tc>
          <w:tcPr>
            <w:tcW w:w="2409" w:type="dxa"/>
            <w:vAlign w:val="center"/>
          </w:tcPr>
          <w:p w:rsidR="00ED3A18" w:rsidRDefault="00ED3A18" w:rsidP="00ED3A18">
            <w:pPr>
              <w:pStyle w:val="4"/>
              <w:numPr>
                <w:ilvl w:val="0"/>
                <w:numId w:val="0"/>
              </w:numPr>
              <w:jc w:val="right"/>
              <w:rPr>
                <w:rFonts w:hAnsi="標楷體"/>
                <w:spacing w:val="-10"/>
                <w:sz w:val="24"/>
                <w:szCs w:val="24"/>
              </w:rPr>
            </w:pPr>
            <w:r w:rsidRPr="004E1208">
              <w:rPr>
                <w:rFonts w:hAnsi="標楷體" w:hint="eastAsia"/>
                <w:spacing w:val="-10"/>
                <w:sz w:val="24"/>
                <w:szCs w:val="24"/>
              </w:rPr>
              <w:t>1</w:t>
            </w:r>
            <w:r w:rsidRPr="004E1208">
              <w:rPr>
                <w:rFonts w:hAnsi="標楷體"/>
                <w:spacing w:val="-10"/>
                <w:sz w:val="24"/>
                <w:szCs w:val="24"/>
              </w:rPr>
              <w:t>,704,240,559,862</w:t>
            </w:r>
          </w:p>
          <w:p w:rsidR="006E2F07" w:rsidRPr="004E1208" w:rsidRDefault="006E2F07" w:rsidP="00ED3A18">
            <w:pPr>
              <w:pStyle w:val="4"/>
              <w:numPr>
                <w:ilvl w:val="0"/>
                <w:numId w:val="0"/>
              </w:numPr>
              <w:jc w:val="right"/>
              <w:rPr>
                <w:rFonts w:hAnsi="標楷體"/>
                <w:spacing w:val="-10"/>
                <w:sz w:val="24"/>
                <w:szCs w:val="24"/>
              </w:rPr>
            </w:pPr>
            <w:r w:rsidRPr="002D482C">
              <w:rPr>
                <w:rFonts w:hAnsi="標楷體" w:hint="eastAsia"/>
                <w:color w:val="C0504D" w:themeColor="accent2"/>
                <w:spacing w:val="-10"/>
                <w:sz w:val="20"/>
                <w:szCs w:val="20"/>
              </w:rPr>
              <w:t>(</w:t>
            </w:r>
            <w:r>
              <w:rPr>
                <w:rFonts w:hAnsi="標楷體"/>
                <w:color w:val="C0504D" w:themeColor="accent2"/>
                <w:spacing w:val="-10"/>
                <w:sz w:val="20"/>
                <w:szCs w:val="20"/>
              </w:rPr>
              <w:t>3</w:t>
            </w:r>
            <w:r w:rsidRPr="002D482C">
              <w:rPr>
                <w:rFonts w:hAnsi="標楷體"/>
                <w:color w:val="C0504D" w:themeColor="accent2"/>
                <w:spacing w:val="-10"/>
                <w:sz w:val="20"/>
                <w:szCs w:val="20"/>
              </w:rPr>
              <w:t>1.</w:t>
            </w:r>
            <w:r>
              <w:rPr>
                <w:rFonts w:hAnsi="標楷體"/>
                <w:color w:val="C0504D" w:themeColor="accent2"/>
                <w:spacing w:val="-10"/>
                <w:sz w:val="20"/>
                <w:szCs w:val="20"/>
              </w:rPr>
              <w:t>0</w:t>
            </w:r>
            <w:r w:rsidRPr="002D482C">
              <w:rPr>
                <w:rFonts w:hAnsi="標楷體"/>
                <w:color w:val="C0504D" w:themeColor="accent2"/>
                <w:spacing w:val="-10"/>
                <w:sz w:val="20"/>
                <w:szCs w:val="20"/>
              </w:rPr>
              <w:t>4%)</w:t>
            </w:r>
          </w:p>
        </w:tc>
      </w:tr>
      <w:tr w:rsidR="00ED3A18" w:rsidRPr="004E1208" w:rsidTr="005471F2">
        <w:trPr>
          <w:trHeight w:val="454"/>
        </w:trPr>
        <w:tc>
          <w:tcPr>
            <w:tcW w:w="1418" w:type="dxa"/>
            <w:vMerge/>
            <w:vAlign w:val="center"/>
          </w:tcPr>
          <w:p w:rsidR="00ED3A18" w:rsidRPr="004E1208" w:rsidRDefault="00ED3A18" w:rsidP="00ED3A18">
            <w:pPr>
              <w:pStyle w:val="4"/>
              <w:numPr>
                <w:ilvl w:val="0"/>
                <w:numId w:val="0"/>
              </w:numPr>
              <w:jc w:val="center"/>
              <w:rPr>
                <w:rFonts w:hAnsi="標楷體"/>
                <w:spacing w:val="-10"/>
                <w:sz w:val="24"/>
                <w:szCs w:val="24"/>
              </w:rPr>
            </w:pPr>
          </w:p>
        </w:tc>
        <w:tc>
          <w:tcPr>
            <w:tcW w:w="1134" w:type="dxa"/>
            <w:vAlign w:val="center"/>
          </w:tcPr>
          <w:p w:rsidR="00ED3A18" w:rsidRPr="004E1208" w:rsidRDefault="00ED3A18" w:rsidP="00ED3A18">
            <w:pPr>
              <w:pStyle w:val="4"/>
              <w:numPr>
                <w:ilvl w:val="0"/>
                <w:numId w:val="0"/>
              </w:numPr>
              <w:jc w:val="center"/>
              <w:rPr>
                <w:rFonts w:hAnsi="標楷體"/>
                <w:spacing w:val="-10"/>
                <w:sz w:val="24"/>
                <w:szCs w:val="24"/>
              </w:rPr>
            </w:pPr>
            <w:r w:rsidRPr="004E1208">
              <w:rPr>
                <w:rFonts w:hAnsi="標楷體" w:hint="eastAsia"/>
                <w:spacing w:val="-10"/>
                <w:sz w:val="24"/>
                <w:szCs w:val="24"/>
              </w:rPr>
              <w:t>事業用</w:t>
            </w:r>
          </w:p>
        </w:tc>
        <w:tc>
          <w:tcPr>
            <w:tcW w:w="1417" w:type="dxa"/>
            <w:vAlign w:val="center"/>
          </w:tcPr>
          <w:p w:rsidR="00ED3A18" w:rsidRDefault="00ED3A18" w:rsidP="00ED3A18">
            <w:pPr>
              <w:pStyle w:val="4"/>
              <w:numPr>
                <w:ilvl w:val="0"/>
                <w:numId w:val="0"/>
              </w:numPr>
              <w:jc w:val="right"/>
              <w:rPr>
                <w:rFonts w:hAnsi="標楷體"/>
                <w:spacing w:val="-10"/>
                <w:sz w:val="24"/>
                <w:szCs w:val="24"/>
              </w:rPr>
            </w:pPr>
            <w:r w:rsidRPr="004E1208">
              <w:rPr>
                <w:rFonts w:hAnsi="標楷體" w:hint="eastAsia"/>
                <w:spacing w:val="-10"/>
                <w:sz w:val="24"/>
                <w:szCs w:val="24"/>
              </w:rPr>
              <w:t>4</w:t>
            </w:r>
            <w:r w:rsidRPr="004E1208">
              <w:rPr>
                <w:rFonts w:hAnsi="標楷體"/>
                <w:spacing w:val="-10"/>
                <w:sz w:val="24"/>
                <w:szCs w:val="24"/>
              </w:rPr>
              <w:t>8,965</w:t>
            </w:r>
          </w:p>
          <w:p w:rsidR="006E2F07" w:rsidRPr="004E1208" w:rsidRDefault="006E2F07" w:rsidP="00ED3A18">
            <w:pPr>
              <w:pStyle w:val="4"/>
              <w:numPr>
                <w:ilvl w:val="0"/>
                <w:numId w:val="0"/>
              </w:numPr>
              <w:jc w:val="right"/>
              <w:rPr>
                <w:rFonts w:hAnsi="標楷體"/>
                <w:spacing w:val="-10"/>
                <w:sz w:val="24"/>
                <w:szCs w:val="24"/>
              </w:rPr>
            </w:pPr>
            <w:r w:rsidRPr="002D482C">
              <w:rPr>
                <w:rFonts w:hAnsi="標楷體" w:hint="eastAsia"/>
                <w:color w:val="C0504D" w:themeColor="accent2"/>
                <w:spacing w:val="-10"/>
                <w:sz w:val="20"/>
                <w:szCs w:val="20"/>
              </w:rPr>
              <w:t>(</w:t>
            </w:r>
            <w:r w:rsidRPr="002D482C">
              <w:rPr>
                <w:rFonts w:hAnsi="標楷體"/>
                <w:color w:val="C0504D" w:themeColor="accent2"/>
                <w:spacing w:val="-10"/>
                <w:sz w:val="20"/>
                <w:szCs w:val="20"/>
              </w:rPr>
              <w:t>1.</w:t>
            </w:r>
            <w:r>
              <w:rPr>
                <w:rFonts w:hAnsi="標楷體"/>
                <w:color w:val="C0504D" w:themeColor="accent2"/>
                <w:spacing w:val="-10"/>
                <w:sz w:val="20"/>
                <w:szCs w:val="20"/>
              </w:rPr>
              <w:t>41</w:t>
            </w:r>
            <w:r w:rsidRPr="002D482C">
              <w:rPr>
                <w:rFonts w:hAnsi="標楷體"/>
                <w:color w:val="C0504D" w:themeColor="accent2"/>
                <w:spacing w:val="-10"/>
                <w:sz w:val="20"/>
                <w:szCs w:val="20"/>
              </w:rPr>
              <w:t>%)</w:t>
            </w:r>
          </w:p>
        </w:tc>
        <w:tc>
          <w:tcPr>
            <w:tcW w:w="1559" w:type="dxa"/>
            <w:vAlign w:val="center"/>
          </w:tcPr>
          <w:p w:rsidR="00ED3A18" w:rsidRDefault="00ED3A18" w:rsidP="00ED3A18">
            <w:pPr>
              <w:pStyle w:val="4"/>
              <w:numPr>
                <w:ilvl w:val="0"/>
                <w:numId w:val="0"/>
              </w:numPr>
              <w:jc w:val="right"/>
              <w:rPr>
                <w:rFonts w:hAnsi="標楷體"/>
                <w:spacing w:val="-10"/>
                <w:sz w:val="24"/>
                <w:szCs w:val="24"/>
              </w:rPr>
            </w:pPr>
            <w:r w:rsidRPr="004E1208">
              <w:rPr>
                <w:rFonts w:hAnsi="標楷體" w:hint="eastAsia"/>
                <w:spacing w:val="-10"/>
                <w:sz w:val="24"/>
                <w:szCs w:val="24"/>
              </w:rPr>
              <w:t>5</w:t>
            </w:r>
            <w:r w:rsidRPr="004E1208">
              <w:rPr>
                <w:rFonts w:hAnsi="標楷體"/>
                <w:spacing w:val="-10"/>
                <w:sz w:val="24"/>
                <w:szCs w:val="24"/>
              </w:rPr>
              <w:t>,288</w:t>
            </w:r>
          </w:p>
          <w:p w:rsidR="006E2F07" w:rsidRPr="004E1208" w:rsidRDefault="006E2F07" w:rsidP="00ED3A18">
            <w:pPr>
              <w:pStyle w:val="4"/>
              <w:numPr>
                <w:ilvl w:val="0"/>
                <w:numId w:val="0"/>
              </w:numPr>
              <w:jc w:val="right"/>
              <w:rPr>
                <w:rFonts w:hAnsi="標楷體"/>
                <w:spacing w:val="-10"/>
                <w:sz w:val="24"/>
                <w:szCs w:val="24"/>
              </w:rPr>
            </w:pPr>
            <w:r w:rsidRPr="002D482C">
              <w:rPr>
                <w:rFonts w:hAnsi="標楷體" w:hint="eastAsia"/>
                <w:color w:val="C0504D" w:themeColor="accent2"/>
                <w:spacing w:val="-10"/>
                <w:sz w:val="20"/>
                <w:szCs w:val="20"/>
              </w:rPr>
              <w:t>(</w:t>
            </w:r>
            <w:r>
              <w:rPr>
                <w:rFonts w:hAnsi="標楷體"/>
                <w:color w:val="C0504D" w:themeColor="accent2"/>
                <w:spacing w:val="-10"/>
                <w:sz w:val="20"/>
                <w:szCs w:val="20"/>
              </w:rPr>
              <w:t>0</w:t>
            </w:r>
            <w:r w:rsidRPr="002D482C">
              <w:rPr>
                <w:rFonts w:hAnsi="標楷體"/>
                <w:color w:val="C0504D" w:themeColor="accent2"/>
                <w:spacing w:val="-10"/>
                <w:sz w:val="20"/>
                <w:szCs w:val="20"/>
              </w:rPr>
              <w:t>.</w:t>
            </w:r>
            <w:r>
              <w:rPr>
                <w:rFonts w:hAnsi="標楷體"/>
                <w:color w:val="C0504D" w:themeColor="accent2"/>
                <w:spacing w:val="-10"/>
                <w:sz w:val="20"/>
                <w:szCs w:val="20"/>
              </w:rPr>
              <w:t>23</w:t>
            </w:r>
            <w:r w:rsidRPr="002D482C">
              <w:rPr>
                <w:rFonts w:hAnsi="標楷體"/>
                <w:color w:val="C0504D" w:themeColor="accent2"/>
                <w:spacing w:val="-10"/>
                <w:sz w:val="20"/>
                <w:szCs w:val="20"/>
              </w:rPr>
              <w:t>%)</w:t>
            </w:r>
          </w:p>
        </w:tc>
        <w:tc>
          <w:tcPr>
            <w:tcW w:w="2409" w:type="dxa"/>
            <w:vAlign w:val="center"/>
          </w:tcPr>
          <w:p w:rsidR="00ED3A18" w:rsidRDefault="00ED3A18" w:rsidP="00ED3A18">
            <w:pPr>
              <w:pStyle w:val="4"/>
              <w:numPr>
                <w:ilvl w:val="0"/>
                <w:numId w:val="0"/>
              </w:numPr>
              <w:jc w:val="right"/>
              <w:rPr>
                <w:rFonts w:hAnsi="標楷體"/>
                <w:spacing w:val="-10"/>
                <w:sz w:val="24"/>
                <w:szCs w:val="24"/>
              </w:rPr>
            </w:pPr>
            <w:r w:rsidRPr="004E1208">
              <w:rPr>
                <w:rFonts w:hAnsi="標楷體" w:hint="eastAsia"/>
                <w:spacing w:val="-10"/>
                <w:sz w:val="24"/>
                <w:szCs w:val="24"/>
              </w:rPr>
              <w:t>4</w:t>
            </w:r>
            <w:r w:rsidRPr="004E1208">
              <w:rPr>
                <w:rFonts w:hAnsi="標楷體"/>
                <w:spacing w:val="-10"/>
                <w:sz w:val="24"/>
                <w:szCs w:val="24"/>
              </w:rPr>
              <w:t>38,239,516,164</w:t>
            </w:r>
          </w:p>
          <w:p w:rsidR="006E2F07" w:rsidRPr="004E1208" w:rsidRDefault="006E2F07" w:rsidP="00ED3A18">
            <w:pPr>
              <w:pStyle w:val="4"/>
              <w:numPr>
                <w:ilvl w:val="0"/>
                <w:numId w:val="0"/>
              </w:numPr>
              <w:jc w:val="right"/>
              <w:rPr>
                <w:rFonts w:hAnsi="標楷體"/>
                <w:spacing w:val="-10"/>
                <w:sz w:val="24"/>
                <w:szCs w:val="24"/>
              </w:rPr>
            </w:pPr>
            <w:r w:rsidRPr="002D482C">
              <w:rPr>
                <w:rFonts w:hAnsi="標楷體" w:hint="eastAsia"/>
                <w:color w:val="C0504D" w:themeColor="accent2"/>
                <w:spacing w:val="-10"/>
                <w:sz w:val="20"/>
                <w:szCs w:val="20"/>
              </w:rPr>
              <w:t>(</w:t>
            </w:r>
            <w:r>
              <w:rPr>
                <w:rFonts w:hAnsi="標楷體"/>
                <w:color w:val="C0504D" w:themeColor="accent2"/>
                <w:spacing w:val="-10"/>
                <w:sz w:val="20"/>
                <w:szCs w:val="20"/>
              </w:rPr>
              <w:t>7</w:t>
            </w:r>
            <w:r w:rsidRPr="002D482C">
              <w:rPr>
                <w:rFonts w:hAnsi="標楷體"/>
                <w:color w:val="C0504D" w:themeColor="accent2"/>
                <w:spacing w:val="-10"/>
                <w:sz w:val="20"/>
                <w:szCs w:val="20"/>
              </w:rPr>
              <w:t>.</w:t>
            </w:r>
            <w:r>
              <w:rPr>
                <w:rFonts w:hAnsi="標楷體"/>
                <w:color w:val="C0504D" w:themeColor="accent2"/>
                <w:spacing w:val="-10"/>
                <w:sz w:val="20"/>
                <w:szCs w:val="20"/>
              </w:rPr>
              <w:t>98</w:t>
            </w:r>
            <w:r w:rsidRPr="002D482C">
              <w:rPr>
                <w:rFonts w:hAnsi="標楷體"/>
                <w:color w:val="C0504D" w:themeColor="accent2"/>
                <w:spacing w:val="-10"/>
                <w:sz w:val="20"/>
                <w:szCs w:val="20"/>
              </w:rPr>
              <w:t>%)</w:t>
            </w:r>
          </w:p>
        </w:tc>
      </w:tr>
      <w:tr w:rsidR="00ED3A18" w:rsidRPr="004E1208" w:rsidTr="005471F2">
        <w:trPr>
          <w:trHeight w:val="454"/>
        </w:trPr>
        <w:tc>
          <w:tcPr>
            <w:tcW w:w="1418" w:type="dxa"/>
            <w:vMerge/>
            <w:vAlign w:val="center"/>
          </w:tcPr>
          <w:p w:rsidR="00ED3A18" w:rsidRPr="004E1208" w:rsidRDefault="00ED3A18" w:rsidP="00ED3A18">
            <w:pPr>
              <w:pStyle w:val="4"/>
              <w:numPr>
                <w:ilvl w:val="0"/>
                <w:numId w:val="0"/>
              </w:numPr>
              <w:jc w:val="center"/>
              <w:rPr>
                <w:rFonts w:hAnsi="標楷體"/>
                <w:spacing w:val="-10"/>
                <w:sz w:val="24"/>
                <w:szCs w:val="24"/>
              </w:rPr>
            </w:pPr>
          </w:p>
        </w:tc>
        <w:tc>
          <w:tcPr>
            <w:tcW w:w="1134" w:type="dxa"/>
            <w:vAlign w:val="center"/>
          </w:tcPr>
          <w:p w:rsidR="00ED3A18" w:rsidRPr="004E1208" w:rsidRDefault="00ED3A18" w:rsidP="00ED3A18">
            <w:pPr>
              <w:pStyle w:val="4"/>
              <w:numPr>
                <w:ilvl w:val="0"/>
                <w:numId w:val="0"/>
              </w:numPr>
              <w:jc w:val="center"/>
              <w:rPr>
                <w:rFonts w:hAnsi="標楷體"/>
                <w:b/>
                <w:spacing w:val="-10"/>
                <w:sz w:val="24"/>
                <w:szCs w:val="24"/>
              </w:rPr>
            </w:pPr>
            <w:r w:rsidRPr="004E1208">
              <w:rPr>
                <w:rFonts w:hAnsi="標楷體" w:hint="eastAsia"/>
                <w:b/>
                <w:spacing w:val="-10"/>
                <w:sz w:val="24"/>
                <w:szCs w:val="24"/>
              </w:rPr>
              <w:t>小計</w:t>
            </w:r>
          </w:p>
        </w:tc>
        <w:tc>
          <w:tcPr>
            <w:tcW w:w="1417" w:type="dxa"/>
            <w:vAlign w:val="center"/>
          </w:tcPr>
          <w:p w:rsidR="00ED3A18" w:rsidRDefault="00ED3A18" w:rsidP="00ED3A18">
            <w:pPr>
              <w:pStyle w:val="4"/>
              <w:numPr>
                <w:ilvl w:val="0"/>
                <w:numId w:val="0"/>
              </w:numPr>
              <w:jc w:val="right"/>
              <w:rPr>
                <w:rFonts w:hAnsi="標楷體"/>
                <w:b/>
                <w:spacing w:val="-10"/>
                <w:sz w:val="24"/>
                <w:szCs w:val="24"/>
              </w:rPr>
            </w:pPr>
            <w:r w:rsidRPr="004E1208">
              <w:rPr>
                <w:rFonts w:hAnsi="標楷體" w:hint="eastAsia"/>
                <w:b/>
                <w:spacing w:val="-10"/>
                <w:sz w:val="24"/>
                <w:szCs w:val="24"/>
              </w:rPr>
              <w:t>1</w:t>
            </w:r>
            <w:r w:rsidRPr="004E1208">
              <w:rPr>
                <w:rFonts w:hAnsi="標楷體"/>
                <w:b/>
                <w:spacing w:val="-10"/>
                <w:sz w:val="24"/>
                <w:szCs w:val="24"/>
              </w:rPr>
              <w:t>,654,272</w:t>
            </w:r>
          </w:p>
          <w:p w:rsidR="006E2F07" w:rsidRPr="004E1208" w:rsidRDefault="006E2F07" w:rsidP="00ED3A18">
            <w:pPr>
              <w:pStyle w:val="4"/>
              <w:numPr>
                <w:ilvl w:val="0"/>
                <w:numId w:val="0"/>
              </w:numPr>
              <w:jc w:val="right"/>
              <w:rPr>
                <w:rFonts w:hAnsi="標楷體"/>
                <w:b/>
                <w:spacing w:val="-10"/>
                <w:sz w:val="24"/>
                <w:szCs w:val="24"/>
              </w:rPr>
            </w:pPr>
            <w:r w:rsidRPr="002D482C">
              <w:rPr>
                <w:rFonts w:hAnsi="標楷體" w:hint="eastAsia"/>
                <w:color w:val="C0504D" w:themeColor="accent2"/>
                <w:spacing w:val="-10"/>
                <w:sz w:val="20"/>
                <w:szCs w:val="20"/>
              </w:rPr>
              <w:t>(</w:t>
            </w:r>
            <w:r>
              <w:rPr>
                <w:rFonts w:hAnsi="標楷體"/>
                <w:color w:val="C0504D" w:themeColor="accent2"/>
                <w:spacing w:val="-10"/>
                <w:sz w:val="20"/>
                <w:szCs w:val="20"/>
              </w:rPr>
              <w:t>47</w:t>
            </w:r>
            <w:r w:rsidRPr="002D482C">
              <w:rPr>
                <w:rFonts w:hAnsi="標楷體"/>
                <w:color w:val="C0504D" w:themeColor="accent2"/>
                <w:spacing w:val="-10"/>
                <w:sz w:val="20"/>
                <w:szCs w:val="20"/>
              </w:rPr>
              <w:t>.</w:t>
            </w:r>
            <w:r>
              <w:rPr>
                <w:rFonts w:hAnsi="標楷體"/>
                <w:color w:val="C0504D" w:themeColor="accent2"/>
                <w:spacing w:val="-10"/>
                <w:sz w:val="20"/>
                <w:szCs w:val="20"/>
              </w:rPr>
              <w:t>79</w:t>
            </w:r>
            <w:r w:rsidRPr="002D482C">
              <w:rPr>
                <w:rFonts w:hAnsi="標楷體"/>
                <w:color w:val="C0504D" w:themeColor="accent2"/>
                <w:spacing w:val="-10"/>
                <w:sz w:val="20"/>
                <w:szCs w:val="20"/>
              </w:rPr>
              <w:t>%)</w:t>
            </w:r>
          </w:p>
        </w:tc>
        <w:tc>
          <w:tcPr>
            <w:tcW w:w="1559" w:type="dxa"/>
            <w:vAlign w:val="center"/>
          </w:tcPr>
          <w:p w:rsidR="00ED3A18" w:rsidRDefault="00ED3A18" w:rsidP="00ED3A18">
            <w:pPr>
              <w:pStyle w:val="4"/>
              <w:numPr>
                <w:ilvl w:val="0"/>
                <w:numId w:val="0"/>
              </w:numPr>
              <w:jc w:val="right"/>
              <w:rPr>
                <w:rFonts w:hAnsi="標楷體"/>
                <w:b/>
                <w:spacing w:val="-10"/>
                <w:sz w:val="24"/>
                <w:szCs w:val="24"/>
              </w:rPr>
            </w:pPr>
            <w:r w:rsidRPr="004E1208">
              <w:rPr>
                <w:rFonts w:hAnsi="標楷體" w:hint="eastAsia"/>
                <w:b/>
                <w:spacing w:val="-10"/>
                <w:sz w:val="24"/>
                <w:szCs w:val="24"/>
              </w:rPr>
              <w:t>2</w:t>
            </w:r>
            <w:r w:rsidRPr="004E1208">
              <w:rPr>
                <w:rFonts w:hAnsi="標楷體"/>
                <w:b/>
                <w:spacing w:val="-10"/>
                <w:sz w:val="24"/>
                <w:szCs w:val="24"/>
              </w:rPr>
              <w:t>,039,293</w:t>
            </w:r>
          </w:p>
          <w:p w:rsidR="006E2F07" w:rsidRPr="004E1208" w:rsidRDefault="006E2F07" w:rsidP="00ED3A18">
            <w:pPr>
              <w:pStyle w:val="4"/>
              <w:numPr>
                <w:ilvl w:val="0"/>
                <w:numId w:val="0"/>
              </w:numPr>
              <w:jc w:val="right"/>
              <w:rPr>
                <w:rFonts w:hAnsi="標楷體"/>
                <w:b/>
                <w:spacing w:val="-10"/>
                <w:sz w:val="24"/>
                <w:szCs w:val="24"/>
              </w:rPr>
            </w:pPr>
            <w:r w:rsidRPr="002D482C">
              <w:rPr>
                <w:rFonts w:hAnsi="標楷體" w:hint="eastAsia"/>
                <w:color w:val="C0504D" w:themeColor="accent2"/>
                <w:spacing w:val="-10"/>
                <w:sz w:val="20"/>
                <w:szCs w:val="20"/>
              </w:rPr>
              <w:t>(</w:t>
            </w:r>
            <w:r>
              <w:rPr>
                <w:rFonts w:hAnsi="標楷體"/>
                <w:color w:val="C0504D" w:themeColor="accent2"/>
                <w:spacing w:val="-10"/>
                <w:sz w:val="20"/>
                <w:szCs w:val="20"/>
              </w:rPr>
              <w:t>90</w:t>
            </w:r>
            <w:r w:rsidRPr="002D482C">
              <w:rPr>
                <w:rFonts w:hAnsi="標楷體"/>
                <w:color w:val="C0504D" w:themeColor="accent2"/>
                <w:spacing w:val="-10"/>
                <w:sz w:val="20"/>
                <w:szCs w:val="20"/>
              </w:rPr>
              <w:t>.</w:t>
            </w:r>
            <w:r>
              <w:rPr>
                <w:rFonts w:hAnsi="標楷體"/>
                <w:color w:val="C0504D" w:themeColor="accent2"/>
                <w:spacing w:val="-10"/>
                <w:sz w:val="20"/>
                <w:szCs w:val="20"/>
              </w:rPr>
              <w:t>34</w:t>
            </w:r>
            <w:r w:rsidRPr="002D482C">
              <w:rPr>
                <w:rFonts w:hAnsi="標楷體"/>
                <w:color w:val="C0504D" w:themeColor="accent2"/>
                <w:spacing w:val="-10"/>
                <w:sz w:val="20"/>
                <w:szCs w:val="20"/>
              </w:rPr>
              <w:t>%)</w:t>
            </w:r>
          </w:p>
        </w:tc>
        <w:tc>
          <w:tcPr>
            <w:tcW w:w="2409" w:type="dxa"/>
            <w:vAlign w:val="center"/>
          </w:tcPr>
          <w:p w:rsidR="00ED3A18" w:rsidRDefault="00ED3A18" w:rsidP="00ED3A18">
            <w:pPr>
              <w:pStyle w:val="4"/>
              <w:numPr>
                <w:ilvl w:val="0"/>
                <w:numId w:val="0"/>
              </w:numPr>
              <w:jc w:val="right"/>
              <w:rPr>
                <w:rFonts w:hAnsi="標楷體"/>
                <w:b/>
                <w:spacing w:val="-10"/>
                <w:sz w:val="24"/>
                <w:szCs w:val="24"/>
              </w:rPr>
            </w:pPr>
            <w:r w:rsidRPr="004E1208">
              <w:rPr>
                <w:rFonts w:hAnsi="標楷體" w:hint="eastAsia"/>
                <w:b/>
                <w:spacing w:val="-10"/>
                <w:sz w:val="24"/>
                <w:szCs w:val="24"/>
              </w:rPr>
              <w:t>4</w:t>
            </w:r>
            <w:r w:rsidRPr="004E1208">
              <w:rPr>
                <w:rFonts w:hAnsi="標楷體"/>
                <w:b/>
                <w:spacing w:val="-10"/>
                <w:sz w:val="24"/>
                <w:szCs w:val="24"/>
              </w:rPr>
              <w:t>,625,953,479,915</w:t>
            </w:r>
          </w:p>
          <w:p w:rsidR="006E2F07" w:rsidRPr="004E1208" w:rsidRDefault="006E2F07" w:rsidP="00ED3A18">
            <w:pPr>
              <w:pStyle w:val="4"/>
              <w:numPr>
                <w:ilvl w:val="0"/>
                <w:numId w:val="0"/>
              </w:numPr>
              <w:jc w:val="right"/>
              <w:rPr>
                <w:rFonts w:hAnsi="標楷體"/>
                <w:b/>
                <w:spacing w:val="-10"/>
                <w:sz w:val="24"/>
                <w:szCs w:val="24"/>
              </w:rPr>
            </w:pPr>
            <w:r w:rsidRPr="002D482C">
              <w:rPr>
                <w:rFonts w:hAnsi="標楷體" w:hint="eastAsia"/>
                <w:color w:val="C0504D" w:themeColor="accent2"/>
                <w:spacing w:val="-10"/>
                <w:sz w:val="20"/>
                <w:szCs w:val="20"/>
              </w:rPr>
              <w:t>(</w:t>
            </w:r>
            <w:r>
              <w:rPr>
                <w:rFonts w:hAnsi="標楷體"/>
                <w:color w:val="C0504D" w:themeColor="accent2"/>
                <w:spacing w:val="-10"/>
                <w:sz w:val="20"/>
                <w:szCs w:val="20"/>
              </w:rPr>
              <w:t>84</w:t>
            </w:r>
            <w:r w:rsidRPr="002D482C">
              <w:rPr>
                <w:rFonts w:hAnsi="標楷體"/>
                <w:color w:val="C0504D" w:themeColor="accent2"/>
                <w:spacing w:val="-10"/>
                <w:sz w:val="20"/>
                <w:szCs w:val="20"/>
              </w:rPr>
              <w:t>.</w:t>
            </w:r>
            <w:r>
              <w:rPr>
                <w:rFonts w:hAnsi="標楷體"/>
                <w:color w:val="C0504D" w:themeColor="accent2"/>
                <w:spacing w:val="-10"/>
                <w:sz w:val="20"/>
                <w:szCs w:val="20"/>
              </w:rPr>
              <w:t>27</w:t>
            </w:r>
            <w:r w:rsidRPr="002D482C">
              <w:rPr>
                <w:rFonts w:hAnsi="標楷體"/>
                <w:color w:val="C0504D" w:themeColor="accent2"/>
                <w:spacing w:val="-10"/>
                <w:sz w:val="20"/>
                <w:szCs w:val="20"/>
              </w:rPr>
              <w:t>%)</w:t>
            </w:r>
          </w:p>
        </w:tc>
      </w:tr>
      <w:tr w:rsidR="00ED3A18" w:rsidRPr="004E1208" w:rsidTr="005471F2">
        <w:trPr>
          <w:trHeight w:val="454"/>
        </w:trPr>
        <w:tc>
          <w:tcPr>
            <w:tcW w:w="2552" w:type="dxa"/>
            <w:gridSpan w:val="2"/>
            <w:vAlign w:val="center"/>
          </w:tcPr>
          <w:p w:rsidR="00ED3A18" w:rsidRPr="004E1208" w:rsidRDefault="00ED3A18" w:rsidP="00ED3A18">
            <w:pPr>
              <w:pStyle w:val="4"/>
              <w:numPr>
                <w:ilvl w:val="0"/>
                <w:numId w:val="0"/>
              </w:numPr>
              <w:jc w:val="center"/>
              <w:rPr>
                <w:rFonts w:hAnsi="標楷體"/>
                <w:b/>
                <w:spacing w:val="-10"/>
                <w:sz w:val="24"/>
                <w:szCs w:val="24"/>
              </w:rPr>
            </w:pPr>
            <w:r w:rsidRPr="004E1208">
              <w:rPr>
                <w:rFonts w:hAnsi="標楷體" w:hint="eastAsia"/>
                <w:b/>
                <w:spacing w:val="-10"/>
                <w:sz w:val="24"/>
                <w:szCs w:val="24"/>
              </w:rPr>
              <w:t>非公用土地</w:t>
            </w:r>
          </w:p>
        </w:tc>
        <w:tc>
          <w:tcPr>
            <w:tcW w:w="1417" w:type="dxa"/>
            <w:vAlign w:val="center"/>
          </w:tcPr>
          <w:p w:rsidR="00ED3A18" w:rsidRDefault="00ED3A18" w:rsidP="00ED3A18">
            <w:pPr>
              <w:pStyle w:val="4"/>
              <w:numPr>
                <w:ilvl w:val="0"/>
                <w:numId w:val="0"/>
              </w:numPr>
              <w:jc w:val="right"/>
              <w:rPr>
                <w:rFonts w:hAnsi="標楷體"/>
                <w:b/>
                <w:spacing w:val="-10"/>
                <w:sz w:val="24"/>
                <w:szCs w:val="24"/>
              </w:rPr>
            </w:pPr>
            <w:r w:rsidRPr="004E1208">
              <w:rPr>
                <w:rFonts w:hAnsi="標楷體" w:hint="eastAsia"/>
                <w:b/>
                <w:spacing w:val="-10"/>
                <w:sz w:val="24"/>
                <w:szCs w:val="24"/>
              </w:rPr>
              <w:t>1</w:t>
            </w:r>
            <w:r w:rsidRPr="004E1208">
              <w:rPr>
                <w:rFonts w:hAnsi="標楷體"/>
                <w:b/>
                <w:spacing w:val="-10"/>
                <w:sz w:val="24"/>
                <w:szCs w:val="24"/>
              </w:rPr>
              <w:t>,807,543</w:t>
            </w:r>
          </w:p>
          <w:p w:rsidR="006E2F07" w:rsidRPr="004E1208" w:rsidRDefault="006E2F07" w:rsidP="00ED3A18">
            <w:pPr>
              <w:pStyle w:val="4"/>
              <w:numPr>
                <w:ilvl w:val="0"/>
                <w:numId w:val="0"/>
              </w:numPr>
              <w:jc w:val="right"/>
              <w:rPr>
                <w:rFonts w:hAnsi="標楷體"/>
                <w:b/>
                <w:spacing w:val="-10"/>
                <w:sz w:val="24"/>
                <w:szCs w:val="24"/>
              </w:rPr>
            </w:pPr>
            <w:r w:rsidRPr="002D482C">
              <w:rPr>
                <w:rFonts w:hAnsi="標楷體" w:hint="eastAsia"/>
                <w:color w:val="C0504D" w:themeColor="accent2"/>
                <w:spacing w:val="-10"/>
                <w:sz w:val="20"/>
                <w:szCs w:val="20"/>
              </w:rPr>
              <w:t>(</w:t>
            </w:r>
            <w:r>
              <w:rPr>
                <w:rFonts w:hAnsi="標楷體"/>
                <w:color w:val="C0504D" w:themeColor="accent2"/>
                <w:spacing w:val="-10"/>
                <w:sz w:val="20"/>
                <w:szCs w:val="20"/>
              </w:rPr>
              <w:t>52</w:t>
            </w:r>
            <w:r w:rsidRPr="002D482C">
              <w:rPr>
                <w:rFonts w:hAnsi="標楷體"/>
                <w:color w:val="C0504D" w:themeColor="accent2"/>
                <w:spacing w:val="-10"/>
                <w:sz w:val="20"/>
                <w:szCs w:val="20"/>
              </w:rPr>
              <w:t>.</w:t>
            </w:r>
            <w:r>
              <w:rPr>
                <w:rFonts w:hAnsi="標楷體"/>
                <w:color w:val="C0504D" w:themeColor="accent2"/>
                <w:spacing w:val="-10"/>
                <w:sz w:val="20"/>
                <w:szCs w:val="20"/>
              </w:rPr>
              <w:t>21</w:t>
            </w:r>
            <w:r w:rsidRPr="002D482C">
              <w:rPr>
                <w:rFonts w:hAnsi="標楷體"/>
                <w:color w:val="C0504D" w:themeColor="accent2"/>
                <w:spacing w:val="-10"/>
                <w:sz w:val="20"/>
                <w:szCs w:val="20"/>
              </w:rPr>
              <w:t>%)</w:t>
            </w:r>
          </w:p>
        </w:tc>
        <w:tc>
          <w:tcPr>
            <w:tcW w:w="1559" w:type="dxa"/>
            <w:vAlign w:val="center"/>
          </w:tcPr>
          <w:p w:rsidR="00ED3A18" w:rsidRDefault="00ED3A18" w:rsidP="00ED3A18">
            <w:pPr>
              <w:pStyle w:val="4"/>
              <w:numPr>
                <w:ilvl w:val="0"/>
                <w:numId w:val="0"/>
              </w:numPr>
              <w:jc w:val="right"/>
              <w:rPr>
                <w:rFonts w:hAnsi="標楷體"/>
                <w:b/>
                <w:spacing w:val="-10"/>
                <w:sz w:val="24"/>
                <w:szCs w:val="24"/>
              </w:rPr>
            </w:pPr>
            <w:r w:rsidRPr="004E1208">
              <w:rPr>
                <w:rFonts w:hAnsi="標楷體" w:hint="eastAsia"/>
                <w:b/>
                <w:spacing w:val="-10"/>
                <w:sz w:val="24"/>
                <w:szCs w:val="24"/>
              </w:rPr>
              <w:t>2</w:t>
            </w:r>
            <w:r w:rsidRPr="004E1208">
              <w:rPr>
                <w:rFonts w:hAnsi="標楷體"/>
                <w:b/>
                <w:spacing w:val="-10"/>
                <w:sz w:val="24"/>
                <w:szCs w:val="24"/>
              </w:rPr>
              <w:t>17,989</w:t>
            </w:r>
          </w:p>
          <w:p w:rsidR="006E2F07" w:rsidRPr="004E1208" w:rsidRDefault="006E2F07" w:rsidP="00ED3A18">
            <w:pPr>
              <w:pStyle w:val="4"/>
              <w:numPr>
                <w:ilvl w:val="0"/>
                <w:numId w:val="0"/>
              </w:numPr>
              <w:jc w:val="right"/>
              <w:rPr>
                <w:rFonts w:hAnsi="標楷體"/>
                <w:b/>
                <w:spacing w:val="-10"/>
                <w:sz w:val="24"/>
                <w:szCs w:val="24"/>
              </w:rPr>
            </w:pPr>
            <w:r w:rsidRPr="002D482C">
              <w:rPr>
                <w:rFonts w:hAnsi="標楷體" w:hint="eastAsia"/>
                <w:color w:val="C0504D" w:themeColor="accent2"/>
                <w:spacing w:val="-10"/>
                <w:sz w:val="20"/>
                <w:szCs w:val="20"/>
              </w:rPr>
              <w:t>(</w:t>
            </w:r>
            <w:r>
              <w:rPr>
                <w:rFonts w:hAnsi="標楷體"/>
                <w:color w:val="C0504D" w:themeColor="accent2"/>
                <w:spacing w:val="-10"/>
                <w:sz w:val="20"/>
                <w:szCs w:val="20"/>
              </w:rPr>
              <w:t>9</w:t>
            </w:r>
            <w:r w:rsidRPr="002D482C">
              <w:rPr>
                <w:rFonts w:hAnsi="標楷體"/>
                <w:color w:val="C0504D" w:themeColor="accent2"/>
                <w:spacing w:val="-10"/>
                <w:sz w:val="20"/>
                <w:szCs w:val="20"/>
              </w:rPr>
              <w:t>.</w:t>
            </w:r>
            <w:r>
              <w:rPr>
                <w:rFonts w:hAnsi="標楷體"/>
                <w:color w:val="C0504D" w:themeColor="accent2"/>
                <w:spacing w:val="-10"/>
                <w:sz w:val="20"/>
                <w:szCs w:val="20"/>
              </w:rPr>
              <w:t>66</w:t>
            </w:r>
            <w:r w:rsidRPr="002D482C">
              <w:rPr>
                <w:rFonts w:hAnsi="標楷體"/>
                <w:color w:val="C0504D" w:themeColor="accent2"/>
                <w:spacing w:val="-10"/>
                <w:sz w:val="20"/>
                <w:szCs w:val="20"/>
              </w:rPr>
              <w:t>%)</w:t>
            </w:r>
          </w:p>
        </w:tc>
        <w:tc>
          <w:tcPr>
            <w:tcW w:w="2409" w:type="dxa"/>
            <w:vAlign w:val="center"/>
          </w:tcPr>
          <w:p w:rsidR="00ED3A18" w:rsidRDefault="00ED3A18" w:rsidP="00ED3A18">
            <w:pPr>
              <w:pStyle w:val="4"/>
              <w:numPr>
                <w:ilvl w:val="0"/>
                <w:numId w:val="0"/>
              </w:numPr>
              <w:jc w:val="right"/>
              <w:rPr>
                <w:rFonts w:hAnsi="標楷體"/>
                <w:b/>
                <w:spacing w:val="-10"/>
                <w:sz w:val="24"/>
                <w:szCs w:val="24"/>
              </w:rPr>
            </w:pPr>
            <w:r w:rsidRPr="004E1208">
              <w:rPr>
                <w:rFonts w:hAnsi="標楷體" w:hint="eastAsia"/>
                <w:b/>
                <w:spacing w:val="-10"/>
                <w:sz w:val="24"/>
                <w:szCs w:val="24"/>
              </w:rPr>
              <w:t>8</w:t>
            </w:r>
            <w:r w:rsidRPr="004E1208">
              <w:rPr>
                <w:rFonts w:hAnsi="標楷體"/>
                <w:b/>
                <w:spacing w:val="-10"/>
                <w:sz w:val="24"/>
                <w:szCs w:val="24"/>
              </w:rPr>
              <w:t>63,735,738,781</w:t>
            </w:r>
          </w:p>
          <w:p w:rsidR="006E2F07" w:rsidRPr="004E1208" w:rsidRDefault="006E2F07" w:rsidP="00ED3A18">
            <w:pPr>
              <w:pStyle w:val="4"/>
              <w:numPr>
                <w:ilvl w:val="0"/>
                <w:numId w:val="0"/>
              </w:numPr>
              <w:jc w:val="right"/>
              <w:rPr>
                <w:rFonts w:hAnsi="標楷體"/>
                <w:b/>
                <w:spacing w:val="-10"/>
                <w:sz w:val="24"/>
                <w:szCs w:val="24"/>
              </w:rPr>
            </w:pPr>
            <w:r w:rsidRPr="002D482C">
              <w:rPr>
                <w:rFonts w:hAnsi="標楷體" w:hint="eastAsia"/>
                <w:color w:val="C0504D" w:themeColor="accent2"/>
                <w:spacing w:val="-10"/>
                <w:sz w:val="20"/>
                <w:szCs w:val="20"/>
              </w:rPr>
              <w:t>(</w:t>
            </w:r>
            <w:r>
              <w:rPr>
                <w:rFonts w:hAnsi="標楷體"/>
                <w:color w:val="C0504D" w:themeColor="accent2"/>
                <w:spacing w:val="-10"/>
                <w:sz w:val="20"/>
                <w:szCs w:val="20"/>
              </w:rPr>
              <w:t>15</w:t>
            </w:r>
            <w:r w:rsidRPr="002D482C">
              <w:rPr>
                <w:rFonts w:hAnsi="標楷體"/>
                <w:color w:val="C0504D" w:themeColor="accent2"/>
                <w:spacing w:val="-10"/>
                <w:sz w:val="20"/>
                <w:szCs w:val="20"/>
              </w:rPr>
              <w:t>.7</w:t>
            </w:r>
            <w:r>
              <w:rPr>
                <w:rFonts w:hAnsi="標楷體"/>
                <w:color w:val="C0504D" w:themeColor="accent2"/>
                <w:spacing w:val="-10"/>
                <w:sz w:val="20"/>
                <w:szCs w:val="20"/>
              </w:rPr>
              <w:t>3</w:t>
            </w:r>
            <w:r w:rsidRPr="002D482C">
              <w:rPr>
                <w:rFonts w:hAnsi="標楷體"/>
                <w:color w:val="C0504D" w:themeColor="accent2"/>
                <w:spacing w:val="-10"/>
                <w:sz w:val="20"/>
                <w:szCs w:val="20"/>
              </w:rPr>
              <w:t>%)</w:t>
            </w:r>
          </w:p>
        </w:tc>
      </w:tr>
      <w:tr w:rsidR="00ED3A18" w:rsidRPr="004E1208" w:rsidTr="005471F2">
        <w:trPr>
          <w:trHeight w:val="454"/>
        </w:trPr>
        <w:tc>
          <w:tcPr>
            <w:tcW w:w="2552" w:type="dxa"/>
            <w:gridSpan w:val="2"/>
            <w:shd w:val="clear" w:color="auto" w:fill="FDE9D9" w:themeFill="accent6" w:themeFillTint="33"/>
            <w:vAlign w:val="center"/>
          </w:tcPr>
          <w:p w:rsidR="00ED3A18" w:rsidRPr="004E1208" w:rsidRDefault="00ED3A18" w:rsidP="00ED3A18">
            <w:pPr>
              <w:pStyle w:val="4"/>
              <w:numPr>
                <w:ilvl w:val="0"/>
                <w:numId w:val="0"/>
              </w:numPr>
              <w:jc w:val="center"/>
              <w:rPr>
                <w:rFonts w:hAnsi="標楷體"/>
                <w:b/>
                <w:spacing w:val="-10"/>
                <w:sz w:val="24"/>
                <w:szCs w:val="24"/>
              </w:rPr>
            </w:pPr>
            <w:r w:rsidRPr="004E1208">
              <w:rPr>
                <w:rFonts w:hAnsi="標楷體" w:hint="eastAsia"/>
                <w:b/>
                <w:spacing w:val="-10"/>
                <w:sz w:val="24"/>
                <w:szCs w:val="24"/>
              </w:rPr>
              <w:t>合計</w:t>
            </w:r>
          </w:p>
        </w:tc>
        <w:tc>
          <w:tcPr>
            <w:tcW w:w="1417" w:type="dxa"/>
            <w:shd w:val="clear" w:color="auto" w:fill="FDE9D9" w:themeFill="accent6" w:themeFillTint="33"/>
            <w:vAlign w:val="center"/>
          </w:tcPr>
          <w:p w:rsidR="00ED3A18" w:rsidRDefault="00ED3A18" w:rsidP="00ED3A18">
            <w:pPr>
              <w:pStyle w:val="4"/>
              <w:numPr>
                <w:ilvl w:val="0"/>
                <w:numId w:val="0"/>
              </w:numPr>
              <w:jc w:val="right"/>
              <w:rPr>
                <w:rFonts w:hAnsi="標楷體"/>
                <w:b/>
                <w:spacing w:val="-10"/>
                <w:sz w:val="24"/>
                <w:szCs w:val="24"/>
              </w:rPr>
            </w:pPr>
            <w:r w:rsidRPr="004E1208">
              <w:rPr>
                <w:rFonts w:hAnsi="標楷體" w:hint="eastAsia"/>
                <w:b/>
                <w:spacing w:val="-10"/>
                <w:sz w:val="24"/>
                <w:szCs w:val="24"/>
              </w:rPr>
              <w:t>3</w:t>
            </w:r>
            <w:r w:rsidRPr="004E1208">
              <w:rPr>
                <w:rFonts w:hAnsi="標楷體"/>
                <w:b/>
                <w:spacing w:val="-10"/>
                <w:sz w:val="24"/>
                <w:szCs w:val="24"/>
              </w:rPr>
              <w:t>,461,815</w:t>
            </w:r>
          </w:p>
          <w:p w:rsidR="006E2F07" w:rsidRPr="004E1208" w:rsidRDefault="006E2F07" w:rsidP="00ED3A18">
            <w:pPr>
              <w:pStyle w:val="4"/>
              <w:numPr>
                <w:ilvl w:val="0"/>
                <w:numId w:val="0"/>
              </w:numPr>
              <w:jc w:val="right"/>
              <w:rPr>
                <w:rFonts w:hAnsi="標楷體"/>
                <w:b/>
                <w:spacing w:val="-10"/>
                <w:sz w:val="24"/>
                <w:szCs w:val="24"/>
              </w:rPr>
            </w:pPr>
            <w:r w:rsidRPr="002D482C">
              <w:rPr>
                <w:rFonts w:hAnsi="標楷體" w:hint="eastAsia"/>
                <w:color w:val="C0504D" w:themeColor="accent2"/>
                <w:spacing w:val="-10"/>
                <w:sz w:val="20"/>
                <w:szCs w:val="20"/>
              </w:rPr>
              <w:t>(</w:t>
            </w:r>
            <w:r>
              <w:rPr>
                <w:rFonts w:hAnsi="標楷體"/>
                <w:color w:val="C0504D" w:themeColor="accent2"/>
                <w:spacing w:val="-10"/>
                <w:sz w:val="20"/>
                <w:szCs w:val="20"/>
              </w:rPr>
              <w:t>100</w:t>
            </w:r>
            <w:r w:rsidRPr="002D482C">
              <w:rPr>
                <w:rFonts w:hAnsi="標楷體"/>
                <w:color w:val="C0504D" w:themeColor="accent2"/>
                <w:spacing w:val="-10"/>
                <w:sz w:val="20"/>
                <w:szCs w:val="20"/>
              </w:rPr>
              <w:t>.</w:t>
            </w:r>
            <w:r>
              <w:rPr>
                <w:rFonts w:hAnsi="標楷體"/>
                <w:color w:val="C0504D" w:themeColor="accent2"/>
                <w:spacing w:val="-10"/>
                <w:sz w:val="20"/>
                <w:szCs w:val="20"/>
              </w:rPr>
              <w:t>00</w:t>
            </w:r>
            <w:r w:rsidRPr="002D482C">
              <w:rPr>
                <w:rFonts w:hAnsi="標楷體"/>
                <w:color w:val="C0504D" w:themeColor="accent2"/>
                <w:spacing w:val="-10"/>
                <w:sz w:val="20"/>
                <w:szCs w:val="20"/>
              </w:rPr>
              <w:t>%)</w:t>
            </w:r>
          </w:p>
        </w:tc>
        <w:tc>
          <w:tcPr>
            <w:tcW w:w="1559" w:type="dxa"/>
            <w:shd w:val="clear" w:color="auto" w:fill="FDE9D9" w:themeFill="accent6" w:themeFillTint="33"/>
            <w:vAlign w:val="center"/>
          </w:tcPr>
          <w:p w:rsidR="00ED3A18" w:rsidRDefault="00ED3A18" w:rsidP="00ED3A18">
            <w:pPr>
              <w:pStyle w:val="4"/>
              <w:numPr>
                <w:ilvl w:val="0"/>
                <w:numId w:val="0"/>
              </w:numPr>
              <w:jc w:val="right"/>
              <w:rPr>
                <w:rFonts w:hAnsi="標楷體"/>
                <w:b/>
                <w:spacing w:val="-10"/>
                <w:sz w:val="24"/>
                <w:szCs w:val="24"/>
              </w:rPr>
            </w:pPr>
            <w:r w:rsidRPr="004E1208">
              <w:rPr>
                <w:rFonts w:hAnsi="標楷體" w:hint="eastAsia"/>
                <w:b/>
                <w:spacing w:val="-10"/>
                <w:sz w:val="24"/>
                <w:szCs w:val="24"/>
              </w:rPr>
              <w:t>2</w:t>
            </w:r>
            <w:r w:rsidRPr="004E1208">
              <w:rPr>
                <w:rFonts w:hAnsi="標楷體"/>
                <w:b/>
                <w:spacing w:val="-10"/>
                <w:sz w:val="24"/>
                <w:szCs w:val="24"/>
              </w:rPr>
              <w:t>,257,282</w:t>
            </w:r>
          </w:p>
          <w:p w:rsidR="006E2F07" w:rsidRPr="004E1208" w:rsidRDefault="006E2F07" w:rsidP="00ED3A18">
            <w:pPr>
              <w:pStyle w:val="4"/>
              <w:numPr>
                <w:ilvl w:val="0"/>
                <w:numId w:val="0"/>
              </w:numPr>
              <w:jc w:val="right"/>
              <w:rPr>
                <w:rFonts w:hAnsi="標楷體"/>
                <w:b/>
                <w:spacing w:val="-10"/>
                <w:sz w:val="24"/>
                <w:szCs w:val="24"/>
              </w:rPr>
            </w:pPr>
            <w:r w:rsidRPr="002D482C">
              <w:rPr>
                <w:rFonts w:hAnsi="標楷體" w:hint="eastAsia"/>
                <w:color w:val="C0504D" w:themeColor="accent2"/>
                <w:spacing w:val="-10"/>
                <w:sz w:val="20"/>
                <w:szCs w:val="20"/>
              </w:rPr>
              <w:t>(</w:t>
            </w:r>
            <w:r>
              <w:rPr>
                <w:rFonts w:hAnsi="標楷體"/>
                <w:color w:val="C0504D" w:themeColor="accent2"/>
                <w:spacing w:val="-10"/>
                <w:sz w:val="20"/>
                <w:szCs w:val="20"/>
              </w:rPr>
              <w:t>100</w:t>
            </w:r>
            <w:r w:rsidRPr="002D482C">
              <w:rPr>
                <w:rFonts w:hAnsi="標楷體"/>
                <w:color w:val="C0504D" w:themeColor="accent2"/>
                <w:spacing w:val="-10"/>
                <w:sz w:val="20"/>
                <w:szCs w:val="20"/>
              </w:rPr>
              <w:t>.</w:t>
            </w:r>
            <w:r>
              <w:rPr>
                <w:rFonts w:hAnsi="標楷體"/>
                <w:color w:val="C0504D" w:themeColor="accent2"/>
                <w:spacing w:val="-10"/>
                <w:sz w:val="20"/>
                <w:szCs w:val="20"/>
              </w:rPr>
              <w:t>00</w:t>
            </w:r>
            <w:r w:rsidRPr="002D482C">
              <w:rPr>
                <w:rFonts w:hAnsi="標楷體"/>
                <w:color w:val="C0504D" w:themeColor="accent2"/>
                <w:spacing w:val="-10"/>
                <w:sz w:val="20"/>
                <w:szCs w:val="20"/>
              </w:rPr>
              <w:t>%)</w:t>
            </w:r>
          </w:p>
        </w:tc>
        <w:tc>
          <w:tcPr>
            <w:tcW w:w="2409" w:type="dxa"/>
            <w:shd w:val="clear" w:color="auto" w:fill="FDE9D9" w:themeFill="accent6" w:themeFillTint="33"/>
            <w:vAlign w:val="center"/>
          </w:tcPr>
          <w:p w:rsidR="00ED3A18" w:rsidRDefault="00ED3A18" w:rsidP="00ED3A18">
            <w:pPr>
              <w:pStyle w:val="4"/>
              <w:numPr>
                <w:ilvl w:val="0"/>
                <w:numId w:val="0"/>
              </w:numPr>
              <w:jc w:val="right"/>
              <w:rPr>
                <w:rFonts w:hAnsi="標楷體"/>
                <w:b/>
                <w:spacing w:val="-10"/>
                <w:sz w:val="24"/>
                <w:szCs w:val="24"/>
              </w:rPr>
            </w:pPr>
            <w:r w:rsidRPr="004E1208">
              <w:rPr>
                <w:rFonts w:hAnsi="標楷體" w:hint="eastAsia"/>
                <w:b/>
                <w:spacing w:val="-10"/>
                <w:sz w:val="24"/>
                <w:szCs w:val="24"/>
              </w:rPr>
              <w:t>5</w:t>
            </w:r>
            <w:r w:rsidRPr="004E1208">
              <w:rPr>
                <w:rFonts w:hAnsi="標楷體"/>
                <w:b/>
                <w:spacing w:val="-10"/>
                <w:sz w:val="24"/>
                <w:szCs w:val="24"/>
              </w:rPr>
              <w:t>,489,689,218,696</w:t>
            </w:r>
          </w:p>
          <w:p w:rsidR="006E2F07" w:rsidRPr="004E1208" w:rsidRDefault="006E2F07" w:rsidP="00ED3A18">
            <w:pPr>
              <w:pStyle w:val="4"/>
              <w:numPr>
                <w:ilvl w:val="0"/>
                <w:numId w:val="0"/>
              </w:numPr>
              <w:jc w:val="right"/>
              <w:rPr>
                <w:rFonts w:hAnsi="標楷體"/>
                <w:b/>
                <w:spacing w:val="-10"/>
                <w:sz w:val="24"/>
                <w:szCs w:val="24"/>
              </w:rPr>
            </w:pPr>
            <w:r w:rsidRPr="002D482C">
              <w:rPr>
                <w:rFonts w:hAnsi="標楷體" w:hint="eastAsia"/>
                <w:color w:val="C0504D" w:themeColor="accent2"/>
                <w:spacing w:val="-10"/>
                <w:sz w:val="20"/>
                <w:szCs w:val="20"/>
              </w:rPr>
              <w:t>(</w:t>
            </w:r>
            <w:r>
              <w:rPr>
                <w:rFonts w:hAnsi="標楷體"/>
                <w:color w:val="C0504D" w:themeColor="accent2"/>
                <w:spacing w:val="-10"/>
                <w:sz w:val="20"/>
                <w:szCs w:val="20"/>
              </w:rPr>
              <w:t>100</w:t>
            </w:r>
            <w:r w:rsidRPr="002D482C">
              <w:rPr>
                <w:rFonts w:hAnsi="標楷體"/>
                <w:color w:val="C0504D" w:themeColor="accent2"/>
                <w:spacing w:val="-10"/>
                <w:sz w:val="20"/>
                <w:szCs w:val="20"/>
              </w:rPr>
              <w:t>.</w:t>
            </w:r>
            <w:r>
              <w:rPr>
                <w:rFonts w:hAnsi="標楷體"/>
                <w:color w:val="C0504D" w:themeColor="accent2"/>
                <w:spacing w:val="-10"/>
                <w:sz w:val="20"/>
                <w:szCs w:val="20"/>
              </w:rPr>
              <w:t>00</w:t>
            </w:r>
            <w:r w:rsidRPr="002D482C">
              <w:rPr>
                <w:rFonts w:hAnsi="標楷體"/>
                <w:color w:val="C0504D" w:themeColor="accent2"/>
                <w:spacing w:val="-10"/>
                <w:sz w:val="20"/>
                <w:szCs w:val="20"/>
              </w:rPr>
              <w:t>%)</w:t>
            </w:r>
          </w:p>
        </w:tc>
      </w:tr>
    </w:tbl>
    <w:p w:rsidR="0030570F" w:rsidRDefault="008C477D" w:rsidP="008926E6">
      <w:pPr>
        <w:pStyle w:val="4"/>
        <w:numPr>
          <w:ilvl w:val="0"/>
          <w:numId w:val="0"/>
        </w:numPr>
        <w:snapToGrid w:val="0"/>
        <w:ind w:left="992"/>
        <w:rPr>
          <w:rFonts w:hAnsi="標楷體"/>
          <w:sz w:val="24"/>
          <w:szCs w:val="24"/>
        </w:rPr>
      </w:pPr>
      <w:r>
        <w:rPr>
          <w:rFonts w:hAnsi="標楷體" w:hint="eastAsia"/>
          <w:sz w:val="24"/>
          <w:szCs w:val="24"/>
        </w:rPr>
        <w:t>資料時間：110年12月底</w:t>
      </w:r>
      <w:r w:rsidR="006E2F07">
        <w:rPr>
          <w:rFonts w:hAnsi="標楷體" w:hint="eastAsia"/>
          <w:sz w:val="24"/>
          <w:szCs w:val="24"/>
        </w:rPr>
        <w:t>。</w:t>
      </w:r>
    </w:p>
    <w:p w:rsidR="00ED3A18" w:rsidRPr="004E1208" w:rsidRDefault="00ED3A18" w:rsidP="008926E6">
      <w:pPr>
        <w:pStyle w:val="4"/>
        <w:numPr>
          <w:ilvl w:val="0"/>
          <w:numId w:val="0"/>
        </w:numPr>
        <w:snapToGrid w:val="0"/>
        <w:spacing w:afterLines="50" w:after="228"/>
        <w:ind w:left="992"/>
      </w:pPr>
      <w:r w:rsidRPr="004E1208">
        <w:rPr>
          <w:rFonts w:hAnsi="標楷體" w:hint="eastAsia"/>
          <w:sz w:val="24"/>
          <w:szCs w:val="24"/>
        </w:rPr>
        <w:t>資料來源：</w:t>
      </w:r>
      <w:r w:rsidR="005471F2" w:rsidRPr="004E1208">
        <w:rPr>
          <w:rFonts w:hAnsi="標楷體" w:hint="eastAsia"/>
          <w:sz w:val="24"/>
          <w:szCs w:val="24"/>
        </w:rPr>
        <w:t>財政部</w:t>
      </w:r>
      <w:r w:rsidRPr="004E1208">
        <w:rPr>
          <w:rFonts w:hAnsi="標楷體" w:hint="eastAsia"/>
          <w:sz w:val="24"/>
          <w:szCs w:val="24"/>
        </w:rPr>
        <w:t>依</w:t>
      </w:r>
      <w:proofErr w:type="gramStart"/>
      <w:r w:rsidRPr="004E1208">
        <w:rPr>
          <w:rFonts w:hAnsi="標楷體" w:hint="eastAsia"/>
          <w:sz w:val="24"/>
          <w:szCs w:val="24"/>
        </w:rPr>
        <w:t>110</w:t>
      </w:r>
      <w:proofErr w:type="gramEnd"/>
      <w:r w:rsidRPr="004E1208">
        <w:rPr>
          <w:rFonts w:hAnsi="標楷體" w:hint="eastAsia"/>
          <w:sz w:val="24"/>
          <w:szCs w:val="24"/>
        </w:rPr>
        <w:t>年度國有財產總目錄整理製作。</w:t>
      </w:r>
    </w:p>
    <w:p w:rsidR="000E6DDB" w:rsidRPr="0049667C" w:rsidRDefault="00ED3A18" w:rsidP="0049667C">
      <w:pPr>
        <w:pStyle w:val="3"/>
      </w:pPr>
      <w:r w:rsidRPr="004E1208">
        <w:rPr>
          <w:rFonts w:hint="eastAsia"/>
        </w:rPr>
        <w:t>按國有土地係國家重要資產，屬全體國民共有，政府機關對其經管之國有土地，應依法進行清理、保管、使用、收益、處分、排他、檢核、稅賦等工作，以維護國產權益並進行有效運用，故在靜態管理方面，應避免其遭受閒置、占用或不當使用。</w:t>
      </w:r>
      <w:proofErr w:type="gramStart"/>
      <w:r w:rsidRPr="004E1208">
        <w:rPr>
          <w:rFonts w:hint="eastAsia"/>
        </w:rPr>
        <w:t>惟</w:t>
      </w:r>
      <w:proofErr w:type="gramEnd"/>
      <w:r w:rsidRPr="004E1208">
        <w:rPr>
          <w:rFonts w:hint="eastAsia"/>
        </w:rPr>
        <w:t>實務發現，我國國有土地閒置或低度利用情形屢見不鮮，違規使用或被占用等情事更時有所聞。以本院100年起至111年9月底</w:t>
      </w:r>
      <w:proofErr w:type="gramStart"/>
      <w:r w:rsidRPr="004E1208">
        <w:rPr>
          <w:rFonts w:hint="eastAsia"/>
        </w:rPr>
        <w:t>止</w:t>
      </w:r>
      <w:proofErr w:type="gramEnd"/>
      <w:r w:rsidRPr="004E1208">
        <w:rPr>
          <w:rFonts w:hint="eastAsia"/>
        </w:rPr>
        <w:t>提出之調查案件為例，</w:t>
      </w:r>
      <w:r w:rsidR="005E3734" w:rsidRPr="004E1208">
        <w:rPr>
          <w:rFonts w:hAnsi="標楷體" w:hint="eastAsia"/>
        </w:rPr>
        <w:t>針對國有土地涉有違失之調查報告合計61案，其中以占用2</w:t>
      </w:r>
      <w:r w:rsidR="005E3734" w:rsidRPr="004E1208">
        <w:rPr>
          <w:rFonts w:hAnsi="標楷體"/>
        </w:rPr>
        <w:t>4</w:t>
      </w:r>
      <w:r w:rsidR="005E3734" w:rsidRPr="004E1208">
        <w:rPr>
          <w:rFonts w:hAnsi="標楷體" w:hint="eastAsia"/>
        </w:rPr>
        <w:t>案、租售問題10案、效益</w:t>
      </w:r>
      <w:proofErr w:type="gramStart"/>
      <w:r w:rsidR="005E3734" w:rsidRPr="004E1208">
        <w:rPr>
          <w:rFonts w:hAnsi="標楷體" w:hint="eastAsia"/>
        </w:rPr>
        <w:t>不</w:t>
      </w:r>
      <w:proofErr w:type="gramEnd"/>
      <w:r w:rsidR="005E3734" w:rsidRPr="004E1208">
        <w:rPr>
          <w:rFonts w:hAnsi="標楷體" w:hint="eastAsia"/>
        </w:rPr>
        <w:t>彰9案等三大類型為</w:t>
      </w:r>
      <w:proofErr w:type="gramStart"/>
      <w:r w:rsidR="005E3734" w:rsidRPr="004E1208">
        <w:rPr>
          <w:rFonts w:hAnsi="標楷體" w:hint="eastAsia"/>
        </w:rPr>
        <w:t>大宗</w:t>
      </w:r>
      <w:r w:rsidR="00362D75" w:rsidRPr="004E1208">
        <w:rPr>
          <w:rFonts w:hAnsi="標楷體" w:hint="eastAsia"/>
        </w:rPr>
        <w:t>（詳表</w:t>
      </w:r>
      <w:proofErr w:type="gramEnd"/>
      <w:r w:rsidR="00362D75" w:rsidRPr="004E1208">
        <w:rPr>
          <w:rFonts w:hAnsi="標楷體" w:hint="eastAsia"/>
        </w:rPr>
        <w:t>2）</w:t>
      </w:r>
      <w:r w:rsidRPr="004E1208">
        <w:rPr>
          <w:rFonts w:hint="eastAsia"/>
        </w:rPr>
        <w:t>，顯示我國國有土地在靜態管理上確實存在嚴重問題，且未能建立成本績效量化指標，亟待</w:t>
      </w:r>
      <w:proofErr w:type="gramStart"/>
      <w:r w:rsidRPr="004E1208">
        <w:rPr>
          <w:rFonts w:hint="eastAsia"/>
        </w:rPr>
        <w:t>研</w:t>
      </w:r>
      <w:proofErr w:type="gramEnd"/>
      <w:r w:rsidRPr="004E1208">
        <w:rPr>
          <w:rFonts w:hint="eastAsia"/>
        </w:rPr>
        <w:t>謀改善。</w:t>
      </w:r>
    </w:p>
    <w:p w:rsidR="00276522" w:rsidRPr="004E1208" w:rsidRDefault="00276522" w:rsidP="000E6DDB">
      <w:pPr>
        <w:pStyle w:val="a4"/>
        <w:ind w:left="1276" w:firstLine="0"/>
        <w:jc w:val="center"/>
        <w:rPr>
          <w:rFonts w:hAnsi="標楷體"/>
          <w:b/>
          <w:spacing w:val="0"/>
        </w:rPr>
      </w:pPr>
      <w:bookmarkStart w:id="51" w:name="_Toc139547165"/>
      <w:r w:rsidRPr="004E1208">
        <w:rPr>
          <w:rFonts w:hAnsi="標楷體" w:hint="eastAsia"/>
          <w:b/>
          <w:spacing w:val="0"/>
        </w:rPr>
        <w:lastRenderedPageBreak/>
        <w:t>本院調查報告涉及國有土地違失類型一覽表</w:t>
      </w:r>
      <w:bookmarkEnd w:id="51"/>
    </w:p>
    <w:p w:rsidR="00276522" w:rsidRPr="004E1208" w:rsidRDefault="00276522" w:rsidP="000E6DDB">
      <w:pPr>
        <w:ind w:rightChars="16" w:right="54"/>
        <w:jc w:val="right"/>
        <w:rPr>
          <w:rFonts w:hAnsi="標楷體"/>
          <w:sz w:val="24"/>
          <w:szCs w:val="24"/>
        </w:rPr>
      </w:pPr>
      <w:r w:rsidRPr="004E1208">
        <w:rPr>
          <w:rFonts w:hAnsi="標楷體" w:hint="eastAsia"/>
          <w:sz w:val="24"/>
          <w:szCs w:val="24"/>
        </w:rPr>
        <w:t>單位：案</w:t>
      </w:r>
    </w:p>
    <w:tbl>
      <w:tblPr>
        <w:tblStyle w:val="af7"/>
        <w:tblW w:w="7492" w:type="dxa"/>
        <w:tblInd w:w="1413" w:type="dxa"/>
        <w:tblLook w:val="04A0" w:firstRow="1" w:lastRow="0" w:firstColumn="1" w:lastColumn="0" w:noHBand="0" w:noVBand="1"/>
      </w:tblPr>
      <w:tblGrid>
        <w:gridCol w:w="1835"/>
        <w:gridCol w:w="2247"/>
        <w:gridCol w:w="1760"/>
        <w:gridCol w:w="8"/>
        <w:gridCol w:w="1634"/>
        <w:gridCol w:w="8"/>
      </w:tblGrid>
      <w:tr w:rsidR="000E6DDB" w:rsidRPr="004E1208" w:rsidTr="000E6DDB">
        <w:trPr>
          <w:gridAfter w:val="1"/>
          <w:wAfter w:w="8" w:type="dxa"/>
          <w:trHeight w:val="454"/>
        </w:trPr>
        <w:tc>
          <w:tcPr>
            <w:tcW w:w="1835" w:type="dxa"/>
            <w:shd w:val="clear" w:color="auto" w:fill="FDE9D9" w:themeFill="accent6" w:themeFillTint="33"/>
            <w:vAlign w:val="center"/>
          </w:tcPr>
          <w:p w:rsidR="000E6DDB" w:rsidRPr="004E1208" w:rsidRDefault="000E6DDB" w:rsidP="009E32B5">
            <w:pPr>
              <w:pStyle w:val="4"/>
              <w:numPr>
                <w:ilvl w:val="0"/>
                <w:numId w:val="0"/>
              </w:numPr>
              <w:jc w:val="center"/>
              <w:rPr>
                <w:rFonts w:hAnsi="標楷體"/>
                <w:sz w:val="28"/>
                <w:szCs w:val="28"/>
              </w:rPr>
            </w:pPr>
            <w:r w:rsidRPr="004E1208">
              <w:rPr>
                <w:rFonts w:hAnsi="標楷體" w:hint="eastAsia"/>
                <w:sz w:val="28"/>
                <w:szCs w:val="28"/>
              </w:rPr>
              <w:t>國有土地</w:t>
            </w:r>
          </w:p>
        </w:tc>
        <w:tc>
          <w:tcPr>
            <w:tcW w:w="2247" w:type="dxa"/>
            <w:shd w:val="clear" w:color="auto" w:fill="FDE9D9" w:themeFill="accent6" w:themeFillTint="33"/>
            <w:vAlign w:val="center"/>
          </w:tcPr>
          <w:p w:rsidR="000E6DDB" w:rsidRPr="004E1208" w:rsidRDefault="000E6DDB" w:rsidP="009E32B5">
            <w:pPr>
              <w:pStyle w:val="4"/>
              <w:numPr>
                <w:ilvl w:val="0"/>
                <w:numId w:val="0"/>
              </w:numPr>
              <w:jc w:val="center"/>
              <w:rPr>
                <w:rFonts w:hAnsi="標楷體"/>
                <w:sz w:val="28"/>
                <w:szCs w:val="28"/>
              </w:rPr>
            </w:pPr>
            <w:r w:rsidRPr="004E1208">
              <w:rPr>
                <w:rFonts w:hAnsi="標楷體" w:hint="eastAsia"/>
                <w:sz w:val="28"/>
                <w:szCs w:val="28"/>
              </w:rPr>
              <w:t>違失類型</w:t>
            </w:r>
          </w:p>
        </w:tc>
        <w:tc>
          <w:tcPr>
            <w:tcW w:w="1760" w:type="dxa"/>
            <w:shd w:val="clear" w:color="auto" w:fill="FDE9D9" w:themeFill="accent6" w:themeFillTint="33"/>
            <w:vAlign w:val="center"/>
          </w:tcPr>
          <w:p w:rsidR="000E6DDB" w:rsidRPr="004E1208" w:rsidRDefault="000E6DDB" w:rsidP="009E32B5">
            <w:pPr>
              <w:pStyle w:val="4"/>
              <w:numPr>
                <w:ilvl w:val="0"/>
                <w:numId w:val="0"/>
              </w:numPr>
              <w:jc w:val="center"/>
              <w:rPr>
                <w:rFonts w:hAnsi="標楷體"/>
                <w:sz w:val="28"/>
                <w:szCs w:val="28"/>
              </w:rPr>
            </w:pPr>
            <w:r w:rsidRPr="004E1208">
              <w:rPr>
                <w:rFonts w:hAnsi="標楷體" w:hint="eastAsia"/>
                <w:sz w:val="28"/>
                <w:szCs w:val="28"/>
              </w:rPr>
              <w:t>案件數</w:t>
            </w:r>
          </w:p>
        </w:tc>
        <w:tc>
          <w:tcPr>
            <w:tcW w:w="1642" w:type="dxa"/>
            <w:gridSpan w:val="2"/>
            <w:shd w:val="clear" w:color="auto" w:fill="FDE9D9" w:themeFill="accent6" w:themeFillTint="33"/>
            <w:vAlign w:val="center"/>
          </w:tcPr>
          <w:p w:rsidR="000E6DDB" w:rsidRPr="004E1208" w:rsidRDefault="000E6DDB" w:rsidP="000E6DDB">
            <w:pPr>
              <w:pStyle w:val="4"/>
              <w:numPr>
                <w:ilvl w:val="0"/>
                <w:numId w:val="0"/>
              </w:numPr>
              <w:jc w:val="center"/>
              <w:rPr>
                <w:rFonts w:hAnsi="標楷體"/>
                <w:sz w:val="28"/>
                <w:szCs w:val="28"/>
              </w:rPr>
            </w:pPr>
            <w:r w:rsidRPr="004E1208">
              <w:rPr>
                <w:rFonts w:hAnsi="標楷體" w:hint="eastAsia"/>
                <w:sz w:val="28"/>
                <w:szCs w:val="28"/>
              </w:rPr>
              <w:t>小計</w:t>
            </w:r>
          </w:p>
        </w:tc>
      </w:tr>
      <w:tr w:rsidR="000E6DDB" w:rsidRPr="004E1208" w:rsidTr="000E6DDB">
        <w:trPr>
          <w:gridAfter w:val="1"/>
          <w:wAfter w:w="8" w:type="dxa"/>
          <w:trHeight w:val="454"/>
        </w:trPr>
        <w:tc>
          <w:tcPr>
            <w:tcW w:w="1835" w:type="dxa"/>
            <w:vMerge w:val="restart"/>
            <w:vAlign w:val="center"/>
          </w:tcPr>
          <w:p w:rsidR="000E6DDB" w:rsidRPr="004E1208" w:rsidRDefault="000E6DDB" w:rsidP="009E32B5">
            <w:pPr>
              <w:pStyle w:val="4"/>
              <w:numPr>
                <w:ilvl w:val="0"/>
                <w:numId w:val="0"/>
              </w:numPr>
              <w:jc w:val="center"/>
              <w:rPr>
                <w:rFonts w:hAnsi="標楷體"/>
                <w:sz w:val="28"/>
                <w:szCs w:val="28"/>
              </w:rPr>
            </w:pPr>
            <w:r w:rsidRPr="004E1208">
              <w:rPr>
                <w:rFonts w:hAnsi="標楷體" w:hint="eastAsia"/>
                <w:sz w:val="28"/>
                <w:szCs w:val="28"/>
              </w:rPr>
              <w:t>國有公用</w:t>
            </w:r>
          </w:p>
        </w:tc>
        <w:tc>
          <w:tcPr>
            <w:tcW w:w="2247" w:type="dxa"/>
            <w:vAlign w:val="center"/>
          </w:tcPr>
          <w:p w:rsidR="000E6DDB" w:rsidRPr="004E1208" w:rsidRDefault="000E6DDB" w:rsidP="009E32B5">
            <w:pPr>
              <w:pStyle w:val="4"/>
              <w:numPr>
                <w:ilvl w:val="0"/>
                <w:numId w:val="0"/>
              </w:numPr>
              <w:jc w:val="center"/>
              <w:rPr>
                <w:rFonts w:hAnsi="標楷體"/>
                <w:sz w:val="28"/>
                <w:szCs w:val="28"/>
              </w:rPr>
            </w:pPr>
            <w:r w:rsidRPr="004E1208">
              <w:rPr>
                <w:rFonts w:hAnsi="標楷體" w:hint="eastAsia"/>
                <w:sz w:val="28"/>
                <w:szCs w:val="28"/>
              </w:rPr>
              <w:t>占用</w:t>
            </w:r>
          </w:p>
        </w:tc>
        <w:tc>
          <w:tcPr>
            <w:tcW w:w="1760" w:type="dxa"/>
            <w:vAlign w:val="center"/>
          </w:tcPr>
          <w:p w:rsidR="000E6DDB" w:rsidRPr="004E1208" w:rsidRDefault="000E6DDB" w:rsidP="000E6DDB">
            <w:pPr>
              <w:pStyle w:val="4"/>
              <w:numPr>
                <w:ilvl w:val="0"/>
                <w:numId w:val="0"/>
              </w:numPr>
              <w:jc w:val="right"/>
              <w:rPr>
                <w:rFonts w:hAnsi="標楷體"/>
                <w:sz w:val="28"/>
                <w:szCs w:val="28"/>
              </w:rPr>
            </w:pPr>
            <w:r w:rsidRPr="004E1208">
              <w:rPr>
                <w:rFonts w:hAnsi="標楷體" w:hint="eastAsia"/>
                <w:sz w:val="28"/>
                <w:szCs w:val="28"/>
              </w:rPr>
              <w:t>12</w:t>
            </w:r>
          </w:p>
        </w:tc>
        <w:tc>
          <w:tcPr>
            <w:tcW w:w="1642" w:type="dxa"/>
            <w:gridSpan w:val="2"/>
            <w:vMerge w:val="restart"/>
            <w:vAlign w:val="center"/>
          </w:tcPr>
          <w:p w:rsidR="000E6DDB" w:rsidRPr="004E1208" w:rsidRDefault="000E6DDB" w:rsidP="000E6DDB">
            <w:pPr>
              <w:pStyle w:val="4"/>
              <w:numPr>
                <w:ilvl w:val="0"/>
                <w:numId w:val="0"/>
              </w:numPr>
              <w:jc w:val="right"/>
              <w:rPr>
                <w:rFonts w:hAnsi="標楷體"/>
                <w:sz w:val="28"/>
                <w:szCs w:val="28"/>
              </w:rPr>
            </w:pPr>
            <w:r w:rsidRPr="004E1208">
              <w:rPr>
                <w:rFonts w:hAnsi="標楷體" w:hint="eastAsia"/>
                <w:sz w:val="28"/>
                <w:szCs w:val="28"/>
              </w:rPr>
              <w:t>3</w:t>
            </w:r>
            <w:r w:rsidRPr="004E1208">
              <w:rPr>
                <w:rFonts w:hAnsi="標楷體"/>
                <w:sz w:val="28"/>
                <w:szCs w:val="28"/>
              </w:rPr>
              <w:t>5</w:t>
            </w:r>
          </w:p>
        </w:tc>
      </w:tr>
      <w:tr w:rsidR="000E6DDB" w:rsidRPr="004E1208" w:rsidTr="000E6DDB">
        <w:trPr>
          <w:gridAfter w:val="1"/>
          <w:wAfter w:w="8" w:type="dxa"/>
          <w:trHeight w:val="454"/>
        </w:trPr>
        <w:tc>
          <w:tcPr>
            <w:tcW w:w="1835" w:type="dxa"/>
            <w:vMerge/>
            <w:vAlign w:val="center"/>
          </w:tcPr>
          <w:p w:rsidR="000E6DDB" w:rsidRPr="004E1208" w:rsidRDefault="000E6DDB" w:rsidP="009E32B5">
            <w:pPr>
              <w:pStyle w:val="4"/>
              <w:numPr>
                <w:ilvl w:val="0"/>
                <w:numId w:val="0"/>
              </w:numPr>
              <w:jc w:val="center"/>
              <w:rPr>
                <w:rFonts w:hAnsi="標楷體"/>
                <w:sz w:val="28"/>
                <w:szCs w:val="28"/>
              </w:rPr>
            </w:pPr>
          </w:p>
        </w:tc>
        <w:tc>
          <w:tcPr>
            <w:tcW w:w="2247" w:type="dxa"/>
            <w:vAlign w:val="center"/>
          </w:tcPr>
          <w:p w:rsidR="000E6DDB" w:rsidRPr="004E1208" w:rsidRDefault="000E6DDB" w:rsidP="009E32B5">
            <w:pPr>
              <w:pStyle w:val="4"/>
              <w:numPr>
                <w:ilvl w:val="0"/>
                <w:numId w:val="0"/>
              </w:numPr>
              <w:jc w:val="center"/>
              <w:rPr>
                <w:rFonts w:hAnsi="標楷體"/>
                <w:sz w:val="28"/>
                <w:szCs w:val="28"/>
              </w:rPr>
            </w:pPr>
            <w:r w:rsidRPr="004E1208">
              <w:rPr>
                <w:rFonts w:hAnsi="標楷體" w:hint="eastAsia"/>
                <w:sz w:val="28"/>
                <w:szCs w:val="28"/>
              </w:rPr>
              <w:t>效益</w:t>
            </w:r>
            <w:proofErr w:type="gramStart"/>
            <w:r w:rsidRPr="004E1208">
              <w:rPr>
                <w:rFonts w:hAnsi="標楷體" w:hint="eastAsia"/>
                <w:sz w:val="28"/>
                <w:szCs w:val="28"/>
              </w:rPr>
              <w:t>不</w:t>
            </w:r>
            <w:proofErr w:type="gramEnd"/>
            <w:r w:rsidRPr="004E1208">
              <w:rPr>
                <w:rFonts w:hAnsi="標楷體" w:hint="eastAsia"/>
                <w:sz w:val="28"/>
                <w:szCs w:val="28"/>
              </w:rPr>
              <w:t>彰</w:t>
            </w:r>
          </w:p>
        </w:tc>
        <w:tc>
          <w:tcPr>
            <w:tcW w:w="1760" w:type="dxa"/>
            <w:vAlign w:val="center"/>
          </w:tcPr>
          <w:p w:rsidR="000E6DDB" w:rsidRPr="004E1208" w:rsidRDefault="000E6DDB" w:rsidP="000E6DDB">
            <w:pPr>
              <w:pStyle w:val="4"/>
              <w:numPr>
                <w:ilvl w:val="0"/>
                <w:numId w:val="0"/>
              </w:numPr>
              <w:jc w:val="right"/>
              <w:rPr>
                <w:rFonts w:hAnsi="標楷體"/>
                <w:sz w:val="28"/>
                <w:szCs w:val="28"/>
              </w:rPr>
            </w:pPr>
            <w:r w:rsidRPr="004E1208">
              <w:rPr>
                <w:rFonts w:hAnsi="標楷體" w:hint="eastAsia"/>
                <w:sz w:val="28"/>
                <w:szCs w:val="28"/>
              </w:rPr>
              <w:t>8</w:t>
            </w:r>
          </w:p>
        </w:tc>
        <w:tc>
          <w:tcPr>
            <w:tcW w:w="1642" w:type="dxa"/>
            <w:gridSpan w:val="2"/>
            <w:vMerge/>
            <w:vAlign w:val="center"/>
          </w:tcPr>
          <w:p w:rsidR="000E6DDB" w:rsidRPr="004E1208" w:rsidRDefault="000E6DDB" w:rsidP="000E6DDB">
            <w:pPr>
              <w:pStyle w:val="4"/>
              <w:numPr>
                <w:ilvl w:val="0"/>
                <w:numId w:val="0"/>
              </w:numPr>
              <w:jc w:val="right"/>
              <w:rPr>
                <w:rFonts w:hAnsi="標楷體"/>
                <w:sz w:val="28"/>
                <w:szCs w:val="28"/>
              </w:rPr>
            </w:pPr>
          </w:p>
        </w:tc>
      </w:tr>
      <w:tr w:rsidR="000E6DDB" w:rsidRPr="004E1208" w:rsidTr="000E6DDB">
        <w:trPr>
          <w:gridAfter w:val="1"/>
          <w:wAfter w:w="8" w:type="dxa"/>
          <w:trHeight w:val="454"/>
        </w:trPr>
        <w:tc>
          <w:tcPr>
            <w:tcW w:w="1835" w:type="dxa"/>
            <w:vMerge/>
            <w:vAlign w:val="center"/>
          </w:tcPr>
          <w:p w:rsidR="000E6DDB" w:rsidRPr="004E1208" w:rsidRDefault="000E6DDB" w:rsidP="009E32B5">
            <w:pPr>
              <w:pStyle w:val="4"/>
              <w:numPr>
                <w:ilvl w:val="0"/>
                <w:numId w:val="0"/>
              </w:numPr>
              <w:jc w:val="center"/>
              <w:rPr>
                <w:rFonts w:hAnsi="標楷體"/>
                <w:sz w:val="28"/>
                <w:szCs w:val="28"/>
              </w:rPr>
            </w:pPr>
          </w:p>
        </w:tc>
        <w:tc>
          <w:tcPr>
            <w:tcW w:w="2247" w:type="dxa"/>
            <w:vAlign w:val="center"/>
          </w:tcPr>
          <w:p w:rsidR="000E6DDB" w:rsidRPr="004E1208" w:rsidRDefault="000E6DDB" w:rsidP="009E32B5">
            <w:pPr>
              <w:pStyle w:val="4"/>
              <w:numPr>
                <w:ilvl w:val="0"/>
                <w:numId w:val="0"/>
              </w:numPr>
              <w:jc w:val="center"/>
              <w:rPr>
                <w:rFonts w:hAnsi="標楷體"/>
                <w:sz w:val="28"/>
                <w:szCs w:val="28"/>
              </w:rPr>
            </w:pPr>
            <w:r w:rsidRPr="004E1208">
              <w:rPr>
                <w:rFonts w:hAnsi="標楷體" w:hint="eastAsia"/>
                <w:sz w:val="28"/>
                <w:szCs w:val="28"/>
              </w:rPr>
              <w:t>租售問題</w:t>
            </w:r>
          </w:p>
        </w:tc>
        <w:tc>
          <w:tcPr>
            <w:tcW w:w="1760" w:type="dxa"/>
            <w:vAlign w:val="center"/>
          </w:tcPr>
          <w:p w:rsidR="000E6DDB" w:rsidRPr="004E1208" w:rsidRDefault="000E6DDB" w:rsidP="000E6DDB">
            <w:pPr>
              <w:pStyle w:val="4"/>
              <w:numPr>
                <w:ilvl w:val="0"/>
                <w:numId w:val="0"/>
              </w:numPr>
              <w:jc w:val="right"/>
              <w:rPr>
                <w:rFonts w:hAnsi="標楷體"/>
                <w:sz w:val="28"/>
                <w:szCs w:val="28"/>
              </w:rPr>
            </w:pPr>
            <w:r w:rsidRPr="004E1208">
              <w:rPr>
                <w:rFonts w:hAnsi="標楷體" w:hint="eastAsia"/>
                <w:sz w:val="28"/>
                <w:szCs w:val="28"/>
              </w:rPr>
              <w:t>2</w:t>
            </w:r>
          </w:p>
        </w:tc>
        <w:tc>
          <w:tcPr>
            <w:tcW w:w="1642" w:type="dxa"/>
            <w:gridSpan w:val="2"/>
            <w:vMerge/>
            <w:vAlign w:val="center"/>
          </w:tcPr>
          <w:p w:rsidR="000E6DDB" w:rsidRPr="004E1208" w:rsidRDefault="000E6DDB" w:rsidP="000E6DDB">
            <w:pPr>
              <w:pStyle w:val="4"/>
              <w:numPr>
                <w:ilvl w:val="0"/>
                <w:numId w:val="0"/>
              </w:numPr>
              <w:jc w:val="right"/>
              <w:rPr>
                <w:rFonts w:hAnsi="標楷體"/>
                <w:sz w:val="28"/>
                <w:szCs w:val="28"/>
              </w:rPr>
            </w:pPr>
          </w:p>
        </w:tc>
      </w:tr>
      <w:tr w:rsidR="000E6DDB" w:rsidRPr="004E1208" w:rsidTr="000E6DDB">
        <w:trPr>
          <w:gridAfter w:val="1"/>
          <w:wAfter w:w="8" w:type="dxa"/>
          <w:trHeight w:val="454"/>
        </w:trPr>
        <w:tc>
          <w:tcPr>
            <w:tcW w:w="1835" w:type="dxa"/>
            <w:vMerge/>
            <w:vAlign w:val="center"/>
          </w:tcPr>
          <w:p w:rsidR="000E6DDB" w:rsidRPr="004E1208" w:rsidRDefault="000E6DDB" w:rsidP="009E32B5">
            <w:pPr>
              <w:pStyle w:val="4"/>
              <w:numPr>
                <w:ilvl w:val="0"/>
                <w:numId w:val="0"/>
              </w:numPr>
              <w:jc w:val="center"/>
              <w:rPr>
                <w:rFonts w:hAnsi="標楷體"/>
                <w:sz w:val="28"/>
                <w:szCs w:val="28"/>
              </w:rPr>
            </w:pPr>
          </w:p>
        </w:tc>
        <w:tc>
          <w:tcPr>
            <w:tcW w:w="2247" w:type="dxa"/>
            <w:vAlign w:val="center"/>
          </w:tcPr>
          <w:p w:rsidR="000E6DDB" w:rsidRPr="004E1208" w:rsidRDefault="000E6DDB" w:rsidP="009E32B5">
            <w:pPr>
              <w:pStyle w:val="4"/>
              <w:numPr>
                <w:ilvl w:val="0"/>
                <w:numId w:val="0"/>
              </w:numPr>
              <w:jc w:val="center"/>
              <w:rPr>
                <w:rFonts w:hAnsi="標楷體"/>
                <w:sz w:val="28"/>
                <w:szCs w:val="28"/>
              </w:rPr>
            </w:pPr>
            <w:r w:rsidRPr="004E1208">
              <w:rPr>
                <w:rFonts w:hAnsi="標楷體" w:hint="eastAsia"/>
                <w:sz w:val="28"/>
                <w:szCs w:val="28"/>
              </w:rPr>
              <w:t>眷村改建</w:t>
            </w:r>
          </w:p>
        </w:tc>
        <w:tc>
          <w:tcPr>
            <w:tcW w:w="1760" w:type="dxa"/>
            <w:vAlign w:val="center"/>
          </w:tcPr>
          <w:p w:rsidR="000E6DDB" w:rsidRPr="004E1208" w:rsidRDefault="000E6DDB" w:rsidP="000E6DDB">
            <w:pPr>
              <w:pStyle w:val="4"/>
              <w:numPr>
                <w:ilvl w:val="0"/>
                <w:numId w:val="0"/>
              </w:numPr>
              <w:jc w:val="right"/>
              <w:rPr>
                <w:rFonts w:hAnsi="標楷體"/>
                <w:sz w:val="28"/>
                <w:szCs w:val="28"/>
              </w:rPr>
            </w:pPr>
            <w:r w:rsidRPr="004E1208">
              <w:rPr>
                <w:rFonts w:hAnsi="標楷體" w:hint="eastAsia"/>
                <w:sz w:val="28"/>
                <w:szCs w:val="28"/>
              </w:rPr>
              <w:t>3</w:t>
            </w:r>
          </w:p>
        </w:tc>
        <w:tc>
          <w:tcPr>
            <w:tcW w:w="1642" w:type="dxa"/>
            <w:gridSpan w:val="2"/>
            <w:vMerge/>
            <w:vAlign w:val="center"/>
          </w:tcPr>
          <w:p w:rsidR="000E6DDB" w:rsidRPr="004E1208" w:rsidRDefault="000E6DDB" w:rsidP="000E6DDB">
            <w:pPr>
              <w:pStyle w:val="4"/>
              <w:numPr>
                <w:ilvl w:val="0"/>
                <w:numId w:val="0"/>
              </w:numPr>
              <w:jc w:val="right"/>
              <w:rPr>
                <w:rFonts w:hAnsi="標楷體"/>
                <w:sz w:val="28"/>
                <w:szCs w:val="28"/>
              </w:rPr>
            </w:pPr>
          </w:p>
        </w:tc>
      </w:tr>
      <w:tr w:rsidR="000E6DDB" w:rsidRPr="004E1208" w:rsidTr="000E6DDB">
        <w:trPr>
          <w:gridAfter w:val="1"/>
          <w:wAfter w:w="8" w:type="dxa"/>
          <w:trHeight w:val="454"/>
        </w:trPr>
        <w:tc>
          <w:tcPr>
            <w:tcW w:w="1835" w:type="dxa"/>
            <w:vMerge/>
            <w:vAlign w:val="center"/>
          </w:tcPr>
          <w:p w:rsidR="000E6DDB" w:rsidRPr="004E1208" w:rsidRDefault="000E6DDB" w:rsidP="009E32B5">
            <w:pPr>
              <w:pStyle w:val="4"/>
              <w:numPr>
                <w:ilvl w:val="0"/>
                <w:numId w:val="0"/>
              </w:numPr>
              <w:jc w:val="center"/>
              <w:rPr>
                <w:rFonts w:hAnsi="標楷體"/>
                <w:sz w:val="28"/>
                <w:szCs w:val="28"/>
              </w:rPr>
            </w:pPr>
          </w:p>
        </w:tc>
        <w:tc>
          <w:tcPr>
            <w:tcW w:w="2247" w:type="dxa"/>
            <w:vAlign w:val="center"/>
          </w:tcPr>
          <w:p w:rsidR="000E6DDB" w:rsidRPr="004E1208" w:rsidRDefault="000E6DDB" w:rsidP="009E32B5">
            <w:pPr>
              <w:pStyle w:val="4"/>
              <w:numPr>
                <w:ilvl w:val="0"/>
                <w:numId w:val="0"/>
              </w:numPr>
              <w:jc w:val="center"/>
              <w:rPr>
                <w:rFonts w:hAnsi="標楷體"/>
                <w:sz w:val="28"/>
                <w:szCs w:val="28"/>
              </w:rPr>
            </w:pPr>
            <w:r w:rsidRPr="004E1208">
              <w:rPr>
                <w:rFonts w:hAnsi="標楷體" w:hint="eastAsia"/>
                <w:sz w:val="28"/>
                <w:szCs w:val="28"/>
              </w:rPr>
              <w:t>都市更新</w:t>
            </w:r>
          </w:p>
        </w:tc>
        <w:tc>
          <w:tcPr>
            <w:tcW w:w="1760" w:type="dxa"/>
            <w:vAlign w:val="center"/>
          </w:tcPr>
          <w:p w:rsidR="000E6DDB" w:rsidRPr="004E1208" w:rsidRDefault="000E6DDB" w:rsidP="000E6DDB">
            <w:pPr>
              <w:pStyle w:val="4"/>
              <w:numPr>
                <w:ilvl w:val="0"/>
                <w:numId w:val="0"/>
              </w:numPr>
              <w:jc w:val="right"/>
              <w:rPr>
                <w:rFonts w:hAnsi="標楷體"/>
                <w:sz w:val="28"/>
                <w:szCs w:val="28"/>
              </w:rPr>
            </w:pPr>
            <w:r w:rsidRPr="004E1208">
              <w:rPr>
                <w:rFonts w:hAnsi="標楷體" w:hint="eastAsia"/>
                <w:sz w:val="28"/>
                <w:szCs w:val="28"/>
              </w:rPr>
              <w:t>1</w:t>
            </w:r>
          </w:p>
        </w:tc>
        <w:tc>
          <w:tcPr>
            <w:tcW w:w="1642" w:type="dxa"/>
            <w:gridSpan w:val="2"/>
            <w:vMerge/>
            <w:vAlign w:val="center"/>
          </w:tcPr>
          <w:p w:rsidR="000E6DDB" w:rsidRPr="004E1208" w:rsidRDefault="000E6DDB" w:rsidP="000E6DDB">
            <w:pPr>
              <w:pStyle w:val="4"/>
              <w:numPr>
                <w:ilvl w:val="0"/>
                <w:numId w:val="0"/>
              </w:numPr>
              <w:jc w:val="right"/>
              <w:rPr>
                <w:rFonts w:hAnsi="標楷體"/>
                <w:sz w:val="28"/>
                <w:szCs w:val="28"/>
              </w:rPr>
            </w:pPr>
          </w:p>
        </w:tc>
      </w:tr>
      <w:tr w:rsidR="000E6DDB" w:rsidRPr="004E1208" w:rsidTr="000E6DDB">
        <w:trPr>
          <w:gridAfter w:val="1"/>
          <w:wAfter w:w="8" w:type="dxa"/>
          <w:trHeight w:val="454"/>
        </w:trPr>
        <w:tc>
          <w:tcPr>
            <w:tcW w:w="1835" w:type="dxa"/>
            <w:vMerge/>
            <w:vAlign w:val="center"/>
          </w:tcPr>
          <w:p w:rsidR="000E6DDB" w:rsidRPr="004E1208" w:rsidRDefault="000E6DDB" w:rsidP="009E32B5">
            <w:pPr>
              <w:pStyle w:val="4"/>
              <w:numPr>
                <w:ilvl w:val="0"/>
                <w:numId w:val="0"/>
              </w:numPr>
              <w:jc w:val="center"/>
              <w:rPr>
                <w:rFonts w:hAnsi="標楷體"/>
                <w:sz w:val="28"/>
                <w:szCs w:val="28"/>
              </w:rPr>
            </w:pPr>
          </w:p>
        </w:tc>
        <w:tc>
          <w:tcPr>
            <w:tcW w:w="2247" w:type="dxa"/>
            <w:vAlign w:val="center"/>
          </w:tcPr>
          <w:p w:rsidR="000E6DDB" w:rsidRPr="004E1208" w:rsidRDefault="000E6DDB" w:rsidP="009E32B5">
            <w:pPr>
              <w:pStyle w:val="4"/>
              <w:numPr>
                <w:ilvl w:val="0"/>
                <w:numId w:val="0"/>
              </w:numPr>
              <w:jc w:val="center"/>
              <w:rPr>
                <w:rFonts w:hAnsi="標楷體"/>
                <w:sz w:val="28"/>
                <w:szCs w:val="28"/>
              </w:rPr>
            </w:pPr>
            <w:r w:rsidRPr="004E1208">
              <w:rPr>
                <w:rFonts w:hAnsi="標楷體" w:hint="eastAsia"/>
                <w:sz w:val="28"/>
                <w:szCs w:val="28"/>
              </w:rPr>
              <w:t>其他</w:t>
            </w:r>
          </w:p>
        </w:tc>
        <w:tc>
          <w:tcPr>
            <w:tcW w:w="1760" w:type="dxa"/>
            <w:vAlign w:val="center"/>
          </w:tcPr>
          <w:p w:rsidR="000E6DDB" w:rsidRPr="004E1208" w:rsidRDefault="000E6DDB" w:rsidP="000E6DDB">
            <w:pPr>
              <w:pStyle w:val="4"/>
              <w:numPr>
                <w:ilvl w:val="0"/>
                <w:numId w:val="0"/>
              </w:numPr>
              <w:jc w:val="right"/>
              <w:rPr>
                <w:rFonts w:hAnsi="標楷體"/>
                <w:sz w:val="28"/>
                <w:szCs w:val="28"/>
              </w:rPr>
            </w:pPr>
            <w:r w:rsidRPr="004E1208">
              <w:rPr>
                <w:rFonts w:hAnsi="標楷體" w:hint="eastAsia"/>
                <w:sz w:val="28"/>
                <w:szCs w:val="28"/>
              </w:rPr>
              <w:t>9</w:t>
            </w:r>
          </w:p>
        </w:tc>
        <w:tc>
          <w:tcPr>
            <w:tcW w:w="1642" w:type="dxa"/>
            <w:gridSpan w:val="2"/>
            <w:vMerge/>
            <w:vAlign w:val="center"/>
          </w:tcPr>
          <w:p w:rsidR="000E6DDB" w:rsidRPr="004E1208" w:rsidRDefault="000E6DDB" w:rsidP="000E6DDB">
            <w:pPr>
              <w:pStyle w:val="4"/>
              <w:numPr>
                <w:ilvl w:val="0"/>
                <w:numId w:val="0"/>
              </w:numPr>
              <w:jc w:val="right"/>
              <w:rPr>
                <w:rFonts w:hAnsi="標楷體"/>
                <w:sz w:val="28"/>
                <w:szCs w:val="28"/>
              </w:rPr>
            </w:pPr>
          </w:p>
        </w:tc>
      </w:tr>
      <w:tr w:rsidR="000E6DDB" w:rsidRPr="004E1208" w:rsidTr="000E6DDB">
        <w:trPr>
          <w:gridAfter w:val="1"/>
          <w:wAfter w:w="8" w:type="dxa"/>
          <w:trHeight w:val="454"/>
        </w:trPr>
        <w:tc>
          <w:tcPr>
            <w:tcW w:w="1835" w:type="dxa"/>
            <w:vMerge w:val="restart"/>
            <w:vAlign w:val="center"/>
          </w:tcPr>
          <w:p w:rsidR="000E6DDB" w:rsidRPr="004E1208" w:rsidRDefault="000E6DDB" w:rsidP="009E32B5">
            <w:pPr>
              <w:pStyle w:val="4"/>
              <w:numPr>
                <w:ilvl w:val="0"/>
                <w:numId w:val="0"/>
              </w:numPr>
              <w:jc w:val="center"/>
              <w:rPr>
                <w:rFonts w:hAnsi="標楷體"/>
                <w:sz w:val="28"/>
                <w:szCs w:val="28"/>
              </w:rPr>
            </w:pPr>
            <w:r w:rsidRPr="004E1208">
              <w:rPr>
                <w:rFonts w:hAnsi="標楷體" w:hint="eastAsia"/>
                <w:sz w:val="28"/>
                <w:szCs w:val="28"/>
              </w:rPr>
              <w:t>國有非公用</w:t>
            </w:r>
          </w:p>
        </w:tc>
        <w:tc>
          <w:tcPr>
            <w:tcW w:w="2247" w:type="dxa"/>
            <w:vAlign w:val="center"/>
          </w:tcPr>
          <w:p w:rsidR="000E6DDB" w:rsidRPr="004E1208" w:rsidRDefault="000E6DDB" w:rsidP="009E32B5">
            <w:pPr>
              <w:pStyle w:val="4"/>
              <w:numPr>
                <w:ilvl w:val="0"/>
                <w:numId w:val="0"/>
              </w:numPr>
              <w:jc w:val="center"/>
              <w:rPr>
                <w:rFonts w:hAnsi="標楷體"/>
                <w:sz w:val="28"/>
                <w:szCs w:val="28"/>
              </w:rPr>
            </w:pPr>
            <w:r w:rsidRPr="004E1208">
              <w:rPr>
                <w:rFonts w:hAnsi="標楷體" w:hint="eastAsia"/>
                <w:sz w:val="28"/>
                <w:szCs w:val="28"/>
              </w:rPr>
              <w:t>占用</w:t>
            </w:r>
          </w:p>
        </w:tc>
        <w:tc>
          <w:tcPr>
            <w:tcW w:w="1760" w:type="dxa"/>
            <w:vAlign w:val="center"/>
          </w:tcPr>
          <w:p w:rsidR="000E6DDB" w:rsidRPr="004E1208" w:rsidRDefault="000E6DDB" w:rsidP="000E6DDB">
            <w:pPr>
              <w:pStyle w:val="4"/>
              <w:numPr>
                <w:ilvl w:val="0"/>
                <w:numId w:val="0"/>
              </w:numPr>
              <w:jc w:val="right"/>
              <w:rPr>
                <w:rFonts w:hAnsi="標楷體"/>
                <w:sz w:val="28"/>
                <w:szCs w:val="28"/>
              </w:rPr>
            </w:pPr>
            <w:r w:rsidRPr="004E1208">
              <w:rPr>
                <w:rFonts w:hAnsi="標楷體" w:hint="eastAsia"/>
                <w:sz w:val="28"/>
                <w:szCs w:val="28"/>
              </w:rPr>
              <w:t>12</w:t>
            </w:r>
          </w:p>
        </w:tc>
        <w:tc>
          <w:tcPr>
            <w:tcW w:w="1642" w:type="dxa"/>
            <w:gridSpan w:val="2"/>
            <w:vMerge w:val="restart"/>
            <w:vAlign w:val="center"/>
          </w:tcPr>
          <w:p w:rsidR="000E6DDB" w:rsidRPr="004E1208" w:rsidRDefault="000E6DDB" w:rsidP="000E6DDB">
            <w:pPr>
              <w:pStyle w:val="4"/>
              <w:numPr>
                <w:ilvl w:val="0"/>
                <w:numId w:val="0"/>
              </w:numPr>
              <w:jc w:val="right"/>
              <w:rPr>
                <w:rFonts w:hAnsi="標楷體"/>
                <w:sz w:val="28"/>
                <w:szCs w:val="28"/>
              </w:rPr>
            </w:pPr>
            <w:r w:rsidRPr="004E1208">
              <w:rPr>
                <w:rFonts w:hAnsi="標楷體" w:hint="eastAsia"/>
                <w:sz w:val="28"/>
                <w:szCs w:val="28"/>
              </w:rPr>
              <w:t>2</w:t>
            </w:r>
            <w:r w:rsidRPr="004E1208">
              <w:rPr>
                <w:rFonts w:hAnsi="標楷體"/>
                <w:sz w:val="28"/>
                <w:szCs w:val="28"/>
              </w:rPr>
              <w:t>6</w:t>
            </w:r>
          </w:p>
        </w:tc>
      </w:tr>
      <w:tr w:rsidR="000E6DDB" w:rsidRPr="004E1208" w:rsidTr="000E6DDB">
        <w:trPr>
          <w:gridAfter w:val="1"/>
          <w:wAfter w:w="8" w:type="dxa"/>
          <w:trHeight w:val="454"/>
        </w:trPr>
        <w:tc>
          <w:tcPr>
            <w:tcW w:w="1835" w:type="dxa"/>
            <w:vMerge/>
            <w:vAlign w:val="center"/>
          </w:tcPr>
          <w:p w:rsidR="000E6DDB" w:rsidRPr="004E1208" w:rsidRDefault="000E6DDB" w:rsidP="009E32B5">
            <w:pPr>
              <w:pStyle w:val="4"/>
              <w:numPr>
                <w:ilvl w:val="0"/>
                <w:numId w:val="0"/>
              </w:numPr>
              <w:jc w:val="center"/>
              <w:rPr>
                <w:rFonts w:hAnsi="標楷體"/>
                <w:sz w:val="28"/>
                <w:szCs w:val="28"/>
              </w:rPr>
            </w:pPr>
          </w:p>
        </w:tc>
        <w:tc>
          <w:tcPr>
            <w:tcW w:w="2247" w:type="dxa"/>
            <w:vAlign w:val="center"/>
          </w:tcPr>
          <w:p w:rsidR="000E6DDB" w:rsidRPr="004E1208" w:rsidRDefault="000E6DDB" w:rsidP="009E32B5">
            <w:pPr>
              <w:pStyle w:val="4"/>
              <w:numPr>
                <w:ilvl w:val="0"/>
                <w:numId w:val="0"/>
              </w:numPr>
              <w:jc w:val="center"/>
              <w:rPr>
                <w:rFonts w:hAnsi="標楷體"/>
                <w:sz w:val="28"/>
                <w:szCs w:val="28"/>
              </w:rPr>
            </w:pPr>
            <w:r w:rsidRPr="004E1208">
              <w:rPr>
                <w:rFonts w:hAnsi="標楷體" w:hint="eastAsia"/>
                <w:sz w:val="28"/>
                <w:szCs w:val="28"/>
              </w:rPr>
              <w:t>效益</w:t>
            </w:r>
            <w:proofErr w:type="gramStart"/>
            <w:r w:rsidRPr="004E1208">
              <w:rPr>
                <w:rFonts w:hAnsi="標楷體" w:hint="eastAsia"/>
                <w:sz w:val="28"/>
                <w:szCs w:val="28"/>
              </w:rPr>
              <w:t>不</w:t>
            </w:r>
            <w:proofErr w:type="gramEnd"/>
            <w:r w:rsidRPr="004E1208">
              <w:rPr>
                <w:rFonts w:hAnsi="標楷體" w:hint="eastAsia"/>
                <w:sz w:val="28"/>
                <w:szCs w:val="28"/>
              </w:rPr>
              <w:t>彰</w:t>
            </w:r>
          </w:p>
        </w:tc>
        <w:tc>
          <w:tcPr>
            <w:tcW w:w="1760" w:type="dxa"/>
            <w:vAlign w:val="center"/>
          </w:tcPr>
          <w:p w:rsidR="000E6DDB" w:rsidRPr="004E1208" w:rsidRDefault="000E6DDB" w:rsidP="000E6DDB">
            <w:pPr>
              <w:pStyle w:val="4"/>
              <w:numPr>
                <w:ilvl w:val="0"/>
                <w:numId w:val="0"/>
              </w:numPr>
              <w:jc w:val="right"/>
              <w:rPr>
                <w:rFonts w:hAnsi="標楷體"/>
                <w:sz w:val="28"/>
                <w:szCs w:val="28"/>
              </w:rPr>
            </w:pPr>
            <w:r w:rsidRPr="004E1208">
              <w:rPr>
                <w:rFonts w:hAnsi="標楷體" w:hint="eastAsia"/>
                <w:sz w:val="28"/>
                <w:szCs w:val="28"/>
              </w:rPr>
              <w:t>1</w:t>
            </w:r>
          </w:p>
        </w:tc>
        <w:tc>
          <w:tcPr>
            <w:tcW w:w="1642" w:type="dxa"/>
            <w:gridSpan w:val="2"/>
            <w:vMerge/>
          </w:tcPr>
          <w:p w:rsidR="000E6DDB" w:rsidRPr="004E1208" w:rsidRDefault="000E6DDB" w:rsidP="009E32B5">
            <w:pPr>
              <w:pStyle w:val="4"/>
              <w:numPr>
                <w:ilvl w:val="0"/>
                <w:numId w:val="0"/>
              </w:numPr>
              <w:jc w:val="center"/>
              <w:rPr>
                <w:rFonts w:hAnsi="標楷體"/>
                <w:sz w:val="28"/>
                <w:szCs w:val="28"/>
              </w:rPr>
            </w:pPr>
          </w:p>
        </w:tc>
      </w:tr>
      <w:tr w:rsidR="000E6DDB" w:rsidRPr="004E1208" w:rsidTr="000E6DDB">
        <w:trPr>
          <w:gridAfter w:val="1"/>
          <w:wAfter w:w="8" w:type="dxa"/>
          <w:trHeight w:val="454"/>
        </w:trPr>
        <w:tc>
          <w:tcPr>
            <w:tcW w:w="1835" w:type="dxa"/>
            <w:vMerge/>
            <w:vAlign w:val="center"/>
          </w:tcPr>
          <w:p w:rsidR="000E6DDB" w:rsidRPr="004E1208" w:rsidRDefault="000E6DDB" w:rsidP="009E32B5">
            <w:pPr>
              <w:pStyle w:val="4"/>
              <w:numPr>
                <w:ilvl w:val="0"/>
                <w:numId w:val="0"/>
              </w:numPr>
              <w:jc w:val="center"/>
              <w:rPr>
                <w:rFonts w:hAnsi="標楷體"/>
                <w:sz w:val="28"/>
                <w:szCs w:val="28"/>
              </w:rPr>
            </w:pPr>
          </w:p>
        </w:tc>
        <w:tc>
          <w:tcPr>
            <w:tcW w:w="2247" w:type="dxa"/>
            <w:vAlign w:val="center"/>
          </w:tcPr>
          <w:p w:rsidR="000E6DDB" w:rsidRPr="004E1208" w:rsidRDefault="000E6DDB" w:rsidP="009E32B5">
            <w:pPr>
              <w:pStyle w:val="4"/>
              <w:numPr>
                <w:ilvl w:val="0"/>
                <w:numId w:val="0"/>
              </w:numPr>
              <w:jc w:val="center"/>
              <w:rPr>
                <w:rFonts w:hAnsi="標楷體"/>
                <w:sz w:val="28"/>
                <w:szCs w:val="28"/>
              </w:rPr>
            </w:pPr>
            <w:r w:rsidRPr="004E1208">
              <w:rPr>
                <w:rFonts w:hAnsi="標楷體" w:hint="eastAsia"/>
                <w:sz w:val="28"/>
                <w:szCs w:val="28"/>
              </w:rPr>
              <w:t>租售問題</w:t>
            </w:r>
          </w:p>
        </w:tc>
        <w:tc>
          <w:tcPr>
            <w:tcW w:w="1760" w:type="dxa"/>
            <w:vAlign w:val="center"/>
          </w:tcPr>
          <w:p w:rsidR="000E6DDB" w:rsidRPr="004E1208" w:rsidRDefault="000E6DDB" w:rsidP="000E6DDB">
            <w:pPr>
              <w:pStyle w:val="4"/>
              <w:numPr>
                <w:ilvl w:val="0"/>
                <w:numId w:val="0"/>
              </w:numPr>
              <w:jc w:val="right"/>
              <w:rPr>
                <w:rFonts w:hAnsi="標楷體"/>
                <w:sz w:val="28"/>
                <w:szCs w:val="28"/>
              </w:rPr>
            </w:pPr>
            <w:r w:rsidRPr="004E1208">
              <w:rPr>
                <w:rFonts w:hAnsi="標楷體" w:hint="eastAsia"/>
                <w:sz w:val="28"/>
                <w:szCs w:val="28"/>
              </w:rPr>
              <w:t>8</w:t>
            </w:r>
          </w:p>
        </w:tc>
        <w:tc>
          <w:tcPr>
            <w:tcW w:w="1642" w:type="dxa"/>
            <w:gridSpan w:val="2"/>
            <w:vMerge/>
          </w:tcPr>
          <w:p w:rsidR="000E6DDB" w:rsidRPr="004E1208" w:rsidRDefault="000E6DDB" w:rsidP="009E32B5">
            <w:pPr>
              <w:pStyle w:val="4"/>
              <w:numPr>
                <w:ilvl w:val="0"/>
                <w:numId w:val="0"/>
              </w:numPr>
              <w:jc w:val="center"/>
              <w:rPr>
                <w:rFonts w:hAnsi="標楷體"/>
                <w:sz w:val="28"/>
                <w:szCs w:val="28"/>
              </w:rPr>
            </w:pPr>
          </w:p>
        </w:tc>
      </w:tr>
      <w:tr w:rsidR="000E6DDB" w:rsidRPr="004E1208" w:rsidTr="000E6DDB">
        <w:trPr>
          <w:gridAfter w:val="1"/>
          <w:wAfter w:w="8" w:type="dxa"/>
          <w:trHeight w:val="454"/>
        </w:trPr>
        <w:tc>
          <w:tcPr>
            <w:tcW w:w="1835" w:type="dxa"/>
            <w:vMerge/>
            <w:vAlign w:val="center"/>
          </w:tcPr>
          <w:p w:rsidR="000E6DDB" w:rsidRPr="004E1208" w:rsidRDefault="000E6DDB" w:rsidP="009E32B5">
            <w:pPr>
              <w:pStyle w:val="4"/>
              <w:numPr>
                <w:ilvl w:val="0"/>
                <w:numId w:val="0"/>
              </w:numPr>
              <w:jc w:val="center"/>
              <w:rPr>
                <w:rFonts w:hAnsi="標楷體"/>
                <w:sz w:val="28"/>
                <w:szCs w:val="28"/>
              </w:rPr>
            </w:pPr>
          </w:p>
        </w:tc>
        <w:tc>
          <w:tcPr>
            <w:tcW w:w="2247" w:type="dxa"/>
            <w:vAlign w:val="center"/>
          </w:tcPr>
          <w:p w:rsidR="000E6DDB" w:rsidRPr="004E1208" w:rsidRDefault="000E6DDB" w:rsidP="009E32B5">
            <w:pPr>
              <w:pStyle w:val="4"/>
              <w:numPr>
                <w:ilvl w:val="0"/>
                <w:numId w:val="0"/>
              </w:numPr>
              <w:jc w:val="center"/>
              <w:rPr>
                <w:rFonts w:hAnsi="標楷體"/>
                <w:sz w:val="28"/>
                <w:szCs w:val="28"/>
              </w:rPr>
            </w:pPr>
            <w:r w:rsidRPr="004E1208">
              <w:rPr>
                <w:rFonts w:hAnsi="標楷體" w:hint="eastAsia"/>
                <w:sz w:val="28"/>
                <w:szCs w:val="28"/>
              </w:rPr>
              <w:t>都市更新</w:t>
            </w:r>
          </w:p>
        </w:tc>
        <w:tc>
          <w:tcPr>
            <w:tcW w:w="1760" w:type="dxa"/>
            <w:vAlign w:val="center"/>
          </w:tcPr>
          <w:p w:rsidR="000E6DDB" w:rsidRPr="004E1208" w:rsidRDefault="000E6DDB" w:rsidP="000E6DDB">
            <w:pPr>
              <w:pStyle w:val="4"/>
              <w:numPr>
                <w:ilvl w:val="0"/>
                <w:numId w:val="0"/>
              </w:numPr>
              <w:jc w:val="right"/>
              <w:rPr>
                <w:rFonts w:hAnsi="標楷體"/>
                <w:sz w:val="28"/>
                <w:szCs w:val="28"/>
              </w:rPr>
            </w:pPr>
            <w:r w:rsidRPr="004E1208">
              <w:rPr>
                <w:rFonts w:hAnsi="標楷體" w:hint="eastAsia"/>
                <w:sz w:val="28"/>
                <w:szCs w:val="28"/>
              </w:rPr>
              <w:t>1</w:t>
            </w:r>
          </w:p>
        </w:tc>
        <w:tc>
          <w:tcPr>
            <w:tcW w:w="1642" w:type="dxa"/>
            <w:gridSpan w:val="2"/>
            <w:vMerge/>
          </w:tcPr>
          <w:p w:rsidR="000E6DDB" w:rsidRPr="004E1208" w:rsidRDefault="000E6DDB" w:rsidP="009E32B5">
            <w:pPr>
              <w:pStyle w:val="4"/>
              <w:numPr>
                <w:ilvl w:val="0"/>
                <w:numId w:val="0"/>
              </w:numPr>
              <w:jc w:val="center"/>
              <w:rPr>
                <w:rFonts w:hAnsi="標楷體"/>
                <w:sz w:val="28"/>
                <w:szCs w:val="28"/>
              </w:rPr>
            </w:pPr>
          </w:p>
        </w:tc>
      </w:tr>
      <w:tr w:rsidR="000E6DDB" w:rsidRPr="004E1208" w:rsidTr="000E6DDB">
        <w:trPr>
          <w:gridAfter w:val="1"/>
          <w:wAfter w:w="8" w:type="dxa"/>
          <w:trHeight w:val="454"/>
        </w:trPr>
        <w:tc>
          <w:tcPr>
            <w:tcW w:w="1835" w:type="dxa"/>
            <w:vMerge/>
            <w:vAlign w:val="center"/>
          </w:tcPr>
          <w:p w:rsidR="000E6DDB" w:rsidRPr="004E1208" w:rsidRDefault="000E6DDB" w:rsidP="009E32B5">
            <w:pPr>
              <w:pStyle w:val="4"/>
              <w:numPr>
                <w:ilvl w:val="0"/>
                <w:numId w:val="0"/>
              </w:numPr>
              <w:jc w:val="center"/>
              <w:rPr>
                <w:rFonts w:hAnsi="標楷體"/>
                <w:sz w:val="28"/>
                <w:szCs w:val="28"/>
              </w:rPr>
            </w:pPr>
          </w:p>
        </w:tc>
        <w:tc>
          <w:tcPr>
            <w:tcW w:w="2247" w:type="dxa"/>
            <w:vAlign w:val="center"/>
          </w:tcPr>
          <w:p w:rsidR="000E6DDB" w:rsidRPr="004E1208" w:rsidRDefault="000E6DDB" w:rsidP="009E32B5">
            <w:pPr>
              <w:pStyle w:val="4"/>
              <w:numPr>
                <w:ilvl w:val="0"/>
                <w:numId w:val="0"/>
              </w:numPr>
              <w:jc w:val="center"/>
              <w:rPr>
                <w:rFonts w:hAnsi="標楷體"/>
                <w:sz w:val="28"/>
                <w:szCs w:val="28"/>
              </w:rPr>
            </w:pPr>
            <w:r w:rsidRPr="004E1208">
              <w:rPr>
                <w:rFonts w:hAnsi="標楷體" w:hint="eastAsia"/>
                <w:sz w:val="28"/>
                <w:szCs w:val="28"/>
              </w:rPr>
              <w:t>其他</w:t>
            </w:r>
          </w:p>
        </w:tc>
        <w:tc>
          <w:tcPr>
            <w:tcW w:w="1760" w:type="dxa"/>
            <w:vAlign w:val="center"/>
          </w:tcPr>
          <w:p w:rsidR="000E6DDB" w:rsidRPr="004E1208" w:rsidRDefault="000E6DDB" w:rsidP="000E6DDB">
            <w:pPr>
              <w:pStyle w:val="4"/>
              <w:numPr>
                <w:ilvl w:val="0"/>
                <w:numId w:val="0"/>
              </w:numPr>
              <w:jc w:val="right"/>
              <w:rPr>
                <w:rFonts w:hAnsi="標楷體"/>
                <w:sz w:val="28"/>
                <w:szCs w:val="28"/>
              </w:rPr>
            </w:pPr>
            <w:r w:rsidRPr="004E1208">
              <w:rPr>
                <w:rFonts w:hAnsi="標楷體" w:hint="eastAsia"/>
                <w:sz w:val="28"/>
                <w:szCs w:val="28"/>
              </w:rPr>
              <w:t>4</w:t>
            </w:r>
          </w:p>
        </w:tc>
        <w:tc>
          <w:tcPr>
            <w:tcW w:w="1642" w:type="dxa"/>
            <w:gridSpan w:val="2"/>
            <w:vMerge/>
          </w:tcPr>
          <w:p w:rsidR="000E6DDB" w:rsidRPr="004E1208" w:rsidRDefault="000E6DDB" w:rsidP="009E32B5">
            <w:pPr>
              <w:pStyle w:val="4"/>
              <w:numPr>
                <w:ilvl w:val="0"/>
                <w:numId w:val="0"/>
              </w:numPr>
              <w:jc w:val="center"/>
              <w:rPr>
                <w:rFonts w:hAnsi="標楷體"/>
                <w:sz w:val="28"/>
                <w:szCs w:val="28"/>
              </w:rPr>
            </w:pPr>
          </w:p>
        </w:tc>
      </w:tr>
      <w:tr w:rsidR="000E6DDB" w:rsidRPr="004E1208" w:rsidTr="000E6DDB">
        <w:trPr>
          <w:trHeight w:val="454"/>
        </w:trPr>
        <w:tc>
          <w:tcPr>
            <w:tcW w:w="5850" w:type="dxa"/>
            <w:gridSpan w:val="4"/>
            <w:shd w:val="clear" w:color="auto" w:fill="FDE9D9" w:themeFill="accent6" w:themeFillTint="33"/>
            <w:vAlign w:val="center"/>
          </w:tcPr>
          <w:p w:rsidR="000E6DDB" w:rsidRPr="004E1208" w:rsidRDefault="000E6DDB" w:rsidP="009E32B5">
            <w:pPr>
              <w:pStyle w:val="4"/>
              <w:numPr>
                <w:ilvl w:val="0"/>
                <w:numId w:val="0"/>
              </w:numPr>
              <w:jc w:val="center"/>
              <w:rPr>
                <w:rFonts w:hAnsi="標楷體"/>
                <w:b/>
                <w:sz w:val="28"/>
                <w:szCs w:val="28"/>
              </w:rPr>
            </w:pPr>
            <w:r w:rsidRPr="004E1208">
              <w:rPr>
                <w:rFonts w:hAnsi="標楷體" w:hint="eastAsia"/>
                <w:b/>
                <w:sz w:val="28"/>
                <w:szCs w:val="28"/>
              </w:rPr>
              <w:t>合計</w:t>
            </w:r>
          </w:p>
        </w:tc>
        <w:tc>
          <w:tcPr>
            <w:tcW w:w="1642" w:type="dxa"/>
            <w:gridSpan w:val="2"/>
            <w:shd w:val="clear" w:color="auto" w:fill="FDE9D9" w:themeFill="accent6" w:themeFillTint="33"/>
            <w:vAlign w:val="center"/>
          </w:tcPr>
          <w:p w:rsidR="000E6DDB" w:rsidRPr="004E1208" w:rsidRDefault="000E6DDB" w:rsidP="000E6DDB">
            <w:pPr>
              <w:pStyle w:val="4"/>
              <w:numPr>
                <w:ilvl w:val="0"/>
                <w:numId w:val="0"/>
              </w:numPr>
              <w:jc w:val="right"/>
              <w:rPr>
                <w:rFonts w:hAnsi="標楷體"/>
                <w:b/>
                <w:sz w:val="28"/>
                <w:szCs w:val="28"/>
              </w:rPr>
            </w:pPr>
            <w:r w:rsidRPr="004E1208">
              <w:rPr>
                <w:rFonts w:hAnsi="標楷體" w:hint="eastAsia"/>
                <w:b/>
                <w:sz w:val="28"/>
                <w:szCs w:val="28"/>
              </w:rPr>
              <w:t>6</w:t>
            </w:r>
            <w:r w:rsidRPr="004E1208">
              <w:rPr>
                <w:rFonts w:hAnsi="標楷體"/>
                <w:b/>
                <w:sz w:val="28"/>
                <w:szCs w:val="28"/>
              </w:rPr>
              <w:t>1</w:t>
            </w:r>
          </w:p>
        </w:tc>
      </w:tr>
    </w:tbl>
    <w:p w:rsidR="00F020D3" w:rsidRDefault="00F020D3" w:rsidP="00276522">
      <w:pPr>
        <w:snapToGrid w:val="0"/>
        <w:ind w:leftChars="434" w:left="2126" w:hangingChars="250" w:hanging="650"/>
        <w:rPr>
          <w:rFonts w:hAnsi="標楷體"/>
          <w:sz w:val="24"/>
          <w:szCs w:val="24"/>
        </w:rPr>
      </w:pPr>
      <w:r>
        <w:rPr>
          <w:rFonts w:hAnsi="標楷體" w:hint="eastAsia"/>
          <w:sz w:val="24"/>
          <w:szCs w:val="24"/>
        </w:rPr>
        <w:t>資料時間：100年至111年9月。</w:t>
      </w:r>
    </w:p>
    <w:p w:rsidR="00276522" w:rsidRPr="004E1208" w:rsidRDefault="00276522" w:rsidP="00276522">
      <w:pPr>
        <w:snapToGrid w:val="0"/>
        <w:ind w:leftChars="434" w:left="2126" w:hangingChars="250" w:hanging="650"/>
        <w:rPr>
          <w:rFonts w:hAnsi="標楷體"/>
          <w:sz w:val="24"/>
          <w:szCs w:val="24"/>
        </w:rPr>
      </w:pPr>
      <w:proofErr w:type="gramStart"/>
      <w:r w:rsidRPr="004E1208">
        <w:rPr>
          <w:rFonts w:hAnsi="標楷體" w:hint="eastAsia"/>
          <w:sz w:val="24"/>
          <w:szCs w:val="24"/>
        </w:rPr>
        <w:t>註</w:t>
      </w:r>
      <w:proofErr w:type="gramEnd"/>
      <w:r w:rsidRPr="004E1208">
        <w:rPr>
          <w:rFonts w:hAnsi="標楷體" w:hint="eastAsia"/>
          <w:sz w:val="24"/>
          <w:szCs w:val="24"/>
        </w:rPr>
        <w:t>1：租售問題包括：</w:t>
      </w:r>
      <w:proofErr w:type="gramStart"/>
      <w:r w:rsidRPr="004E1208">
        <w:rPr>
          <w:rFonts w:hAnsi="標楷體" w:hint="eastAsia"/>
          <w:sz w:val="24"/>
          <w:szCs w:val="24"/>
        </w:rPr>
        <w:t>得否租售</w:t>
      </w:r>
      <w:proofErr w:type="gramEnd"/>
      <w:r w:rsidRPr="004E1208">
        <w:rPr>
          <w:rFonts w:hAnsi="標楷體" w:hint="eastAsia"/>
          <w:sz w:val="24"/>
          <w:szCs w:val="24"/>
        </w:rPr>
        <w:t>、片面調整租約、租金及權利金之計算、差別待遇、讓售政策等。</w:t>
      </w:r>
    </w:p>
    <w:p w:rsidR="00276522" w:rsidRPr="004E1208" w:rsidRDefault="00276522" w:rsidP="00276522">
      <w:pPr>
        <w:snapToGrid w:val="0"/>
        <w:ind w:leftChars="434" w:left="2126" w:hangingChars="250" w:hanging="650"/>
        <w:rPr>
          <w:rFonts w:hAnsi="標楷體"/>
          <w:sz w:val="28"/>
          <w:szCs w:val="28"/>
        </w:rPr>
      </w:pPr>
      <w:proofErr w:type="gramStart"/>
      <w:r w:rsidRPr="004E1208">
        <w:rPr>
          <w:rFonts w:hAnsi="標楷體" w:hint="eastAsia"/>
          <w:sz w:val="24"/>
          <w:szCs w:val="24"/>
        </w:rPr>
        <w:t>註</w:t>
      </w:r>
      <w:proofErr w:type="gramEnd"/>
      <w:r w:rsidRPr="004E1208">
        <w:rPr>
          <w:rFonts w:hAnsi="標楷體" w:hint="eastAsia"/>
          <w:sz w:val="24"/>
          <w:szCs w:val="24"/>
        </w:rPr>
        <w:t>2：其他部分多為個別性問題，包括：地上物補償費、墓政管理、土地撥用、地上權區分所有建物使用權、公用地役權、原住民保留地、都市計畫、河川浮覆地、原住民保留地、國有林、重測、土地總登記等。</w:t>
      </w:r>
    </w:p>
    <w:p w:rsidR="00276522" w:rsidRPr="004E1208" w:rsidRDefault="00276522" w:rsidP="00276522">
      <w:pPr>
        <w:pStyle w:val="4"/>
        <w:numPr>
          <w:ilvl w:val="0"/>
          <w:numId w:val="0"/>
        </w:numPr>
        <w:spacing w:afterLines="50" w:after="228"/>
        <w:ind w:left="1418"/>
      </w:pPr>
      <w:r w:rsidRPr="004E1208">
        <w:rPr>
          <w:rFonts w:hAnsi="標楷體" w:hint="eastAsia"/>
          <w:sz w:val="24"/>
          <w:szCs w:val="24"/>
        </w:rPr>
        <w:t>資料來源：本調查研究報告整理製作。</w:t>
      </w:r>
    </w:p>
    <w:p w:rsidR="004B3610" w:rsidRPr="004E1208" w:rsidRDefault="004B3610" w:rsidP="001E28D7">
      <w:pPr>
        <w:pStyle w:val="3"/>
        <w:ind w:leftChars="200"/>
      </w:pPr>
      <w:r w:rsidRPr="004E1208">
        <w:rPr>
          <w:rFonts w:hint="eastAsia"/>
        </w:rPr>
        <w:t>再以</w:t>
      </w:r>
      <w:r w:rsidR="008700DC" w:rsidRPr="004E1208">
        <w:rPr>
          <w:rFonts w:hint="eastAsia"/>
        </w:rPr>
        <w:t>國有非公用土地招標設定地上權為例，據</w:t>
      </w:r>
      <w:r w:rsidR="000B4614" w:rsidRPr="004E1208">
        <w:rPr>
          <w:rFonts w:hint="eastAsia"/>
        </w:rPr>
        <w:t>財政部國有財產署（下稱</w:t>
      </w:r>
      <w:r w:rsidR="008700DC" w:rsidRPr="004E1208">
        <w:rPr>
          <w:rFonts w:hint="eastAsia"/>
        </w:rPr>
        <w:t>國產署</w:t>
      </w:r>
      <w:r w:rsidR="000B4614" w:rsidRPr="004E1208">
        <w:rPr>
          <w:rFonts w:hint="eastAsia"/>
        </w:rPr>
        <w:t>）</w:t>
      </w:r>
      <w:r w:rsidR="008700DC" w:rsidRPr="004E1208">
        <w:rPr>
          <w:rFonts w:hint="eastAsia"/>
        </w:rPr>
        <w:t>統計，自99年起至112年5月止，公告招標設定地上權土地495宗，面積182.08公頃，標脫181宗，面積約60.9公頃，決標</w:t>
      </w:r>
      <w:proofErr w:type="gramStart"/>
      <w:r w:rsidR="008700DC" w:rsidRPr="004E1208">
        <w:rPr>
          <w:rFonts w:hint="eastAsia"/>
        </w:rPr>
        <w:t>權利金總金額</w:t>
      </w:r>
      <w:proofErr w:type="gramEnd"/>
      <w:r w:rsidR="008700DC" w:rsidRPr="004E1208">
        <w:rPr>
          <w:rFonts w:hint="eastAsia"/>
        </w:rPr>
        <w:t>達1,194億2,029萬餘元</w:t>
      </w:r>
      <w:r w:rsidR="008700DC" w:rsidRPr="004E1208">
        <w:rPr>
          <w:rStyle w:val="afd"/>
        </w:rPr>
        <w:footnoteReference w:id="4"/>
      </w:r>
      <w:r w:rsidR="008700DC" w:rsidRPr="004E1208">
        <w:rPr>
          <w:rFonts w:hint="eastAsia"/>
        </w:rPr>
        <w:t>。然而</w:t>
      </w:r>
      <w:proofErr w:type="gramStart"/>
      <w:r w:rsidR="008700DC" w:rsidRPr="004E1208">
        <w:rPr>
          <w:rFonts w:hint="eastAsia"/>
        </w:rPr>
        <w:t>立法委員及論者</w:t>
      </w:r>
      <w:proofErr w:type="gramEnd"/>
      <w:r w:rsidR="008700DC" w:rsidRPr="004E1208">
        <w:rPr>
          <w:rFonts w:hint="eastAsia"/>
        </w:rPr>
        <w:t>則</w:t>
      </w:r>
      <w:r w:rsidR="001E28D7" w:rsidRPr="004E1208">
        <w:rPr>
          <w:rFonts w:hint="eastAsia"/>
        </w:rPr>
        <w:t>指出</w:t>
      </w:r>
      <w:r w:rsidR="008700DC" w:rsidRPr="004E1208">
        <w:rPr>
          <w:rFonts w:hint="eastAsia"/>
        </w:rPr>
        <w:t>，政府輕易設定地上權，美其名是活</w:t>
      </w:r>
      <w:r w:rsidR="008700DC" w:rsidRPr="004E1208">
        <w:rPr>
          <w:rFonts w:hint="eastAsia"/>
        </w:rPr>
        <w:lastRenderedPageBreak/>
        <w:t>化資產，實際上是出脫地上權的短期利益，</w:t>
      </w:r>
      <w:r w:rsidR="001E28D7" w:rsidRPr="004E1208">
        <w:rPr>
          <w:rFonts w:hint="eastAsia"/>
        </w:rPr>
        <w:t>甚至認為政府把整體開發地區公有土地透過標售模式進行處分，導致推升地價、疊高房價，因而呼籲</w:t>
      </w:r>
      <w:r w:rsidR="008700DC" w:rsidRPr="004E1208">
        <w:rPr>
          <w:rFonts w:hint="eastAsia"/>
        </w:rPr>
        <w:t>政府應該將國有土地優先用於社會住宅等具有公益性的政策</w:t>
      </w:r>
      <w:r w:rsidR="001E28D7" w:rsidRPr="004E1208">
        <w:rPr>
          <w:rFonts w:hint="eastAsia"/>
        </w:rPr>
        <w:t>，並且應該基於居住政策與居住正義的角度，重新思考國、公有土地的處分或使用方式</w:t>
      </w:r>
      <w:r w:rsidR="008700DC" w:rsidRPr="004E1208">
        <w:rPr>
          <w:rFonts w:hint="eastAsia"/>
        </w:rPr>
        <w:t>。</w:t>
      </w:r>
      <w:r w:rsidR="001E28D7" w:rsidRPr="004E1208">
        <w:rPr>
          <w:rStyle w:val="afd"/>
        </w:rPr>
        <w:footnoteReference w:id="5"/>
      </w:r>
    </w:p>
    <w:p w:rsidR="00276522" w:rsidRPr="004E1208" w:rsidRDefault="00276522" w:rsidP="009E32B5">
      <w:pPr>
        <w:pStyle w:val="3"/>
      </w:pPr>
      <w:r w:rsidRPr="004E1208">
        <w:rPr>
          <w:rFonts w:hint="eastAsia"/>
        </w:rPr>
        <w:t>隨著臺灣都市化與經濟發展進程，都會區土地供不應求、寸土寸金、取得不易，不動產價格節節攀升，導致民眾生活壓力與產業經營成本與日俱增，不僅引發民怨，更為國家長期發展埋下不穩定的負面因子。鑒於國有土地具有調控土地供需、協助政策推動之功能，消極靜態的管理顯已不符大眾期待，無法因應社會經濟變化步調，故如何強化國有土地動態管理，主動扮演「引導」與「示範」角色，進一步整合國家資產、創造多元價值，以促進國土有序及健全發展，增加社會與全民福祉，實乃國產管理機關如今所須面對的重要課題與當務之急。</w:t>
      </w:r>
    </w:p>
    <w:p w:rsidR="00276522" w:rsidRPr="004E1208" w:rsidRDefault="00276522" w:rsidP="009E32B5">
      <w:pPr>
        <w:pStyle w:val="3"/>
      </w:pPr>
      <w:r w:rsidRPr="004E1208">
        <w:rPr>
          <w:rFonts w:hint="eastAsia"/>
        </w:rPr>
        <w:t>經查，行政院於106年1月將「積極推動活化國有土地與閒置公共設施」列為重要政策</w:t>
      </w:r>
      <w:r w:rsidRPr="004E1208">
        <w:rPr>
          <w:rStyle w:val="afd"/>
          <w:rFonts w:hAnsi="標楷體"/>
          <w:szCs w:val="32"/>
        </w:rPr>
        <w:footnoteReference w:id="6"/>
      </w:r>
      <w:r w:rsidRPr="004E1208">
        <w:rPr>
          <w:rFonts w:hint="eastAsia"/>
        </w:rPr>
        <w:t>。該政策以「多元活化國有土地，創造資產效益」作為國有土地運用之政策方向，並分別就國有公用土地及國有非公用土地制定執行策略，情形如下：</w:t>
      </w:r>
    </w:p>
    <w:p w:rsidR="00276522" w:rsidRPr="004E1208" w:rsidRDefault="00276522" w:rsidP="009E32B5">
      <w:pPr>
        <w:pStyle w:val="4"/>
      </w:pPr>
      <w:r w:rsidRPr="004E1208">
        <w:rPr>
          <w:rFonts w:hint="eastAsia"/>
        </w:rPr>
        <w:t>國有公用土地：</w:t>
      </w:r>
    </w:p>
    <w:p w:rsidR="00276522" w:rsidRPr="004E1208" w:rsidRDefault="00276522" w:rsidP="009E32B5">
      <w:pPr>
        <w:pStyle w:val="5"/>
      </w:pPr>
      <w:r w:rsidRPr="004E1208">
        <w:rPr>
          <w:rFonts w:hint="eastAsia"/>
        </w:rPr>
        <w:t>推動「加強國有不動產活化運用計畫」：督促各部會對管有國有不動產積極活化運用，提升收益。</w:t>
      </w:r>
    </w:p>
    <w:p w:rsidR="00276522" w:rsidRPr="004E1208" w:rsidRDefault="00276522" w:rsidP="009E32B5">
      <w:pPr>
        <w:pStyle w:val="5"/>
      </w:pPr>
      <w:r w:rsidRPr="004E1208">
        <w:rPr>
          <w:rFonts w:hint="eastAsia"/>
        </w:rPr>
        <w:lastRenderedPageBreak/>
        <w:t>督促閒置公用土地儘速移交接管：檢討大面積國有公用建築用地辦理活化運用，由財政部選列各機關經管閒置、低度利用國有建築用地，協調管理機關釋出，變更為非公用財產，由國產署辦理招標設定地上權、標租、參與都市更新等予以活化。</w:t>
      </w:r>
    </w:p>
    <w:p w:rsidR="00276522" w:rsidRPr="004E1208" w:rsidRDefault="00276522" w:rsidP="009E32B5">
      <w:pPr>
        <w:pStyle w:val="5"/>
      </w:pPr>
      <w:r w:rsidRPr="004E1208">
        <w:rPr>
          <w:rFonts w:hint="eastAsia"/>
        </w:rPr>
        <w:t>引進民間資金，參與公共建設：依促進民間參與公共建設法等特別法規定辦理BOT</w:t>
      </w:r>
      <w:r w:rsidRPr="004E1208">
        <w:rPr>
          <w:rStyle w:val="afd"/>
          <w:rFonts w:hAnsi="標楷體"/>
        </w:rPr>
        <w:footnoteReference w:id="7"/>
      </w:r>
      <w:r w:rsidRPr="004E1208">
        <w:rPr>
          <w:rFonts w:hint="eastAsia"/>
        </w:rPr>
        <w:t>、BTO</w:t>
      </w:r>
      <w:r w:rsidRPr="004E1208">
        <w:rPr>
          <w:rStyle w:val="afd"/>
          <w:rFonts w:hAnsi="標楷體"/>
        </w:rPr>
        <w:footnoteReference w:id="8"/>
      </w:r>
      <w:r w:rsidRPr="004E1208">
        <w:rPr>
          <w:rFonts w:hint="eastAsia"/>
        </w:rPr>
        <w:t>、ROT</w:t>
      </w:r>
      <w:r w:rsidRPr="004E1208">
        <w:rPr>
          <w:rStyle w:val="afd"/>
          <w:rFonts w:hAnsi="標楷體"/>
        </w:rPr>
        <w:footnoteReference w:id="9"/>
      </w:r>
      <w:r w:rsidRPr="004E1208">
        <w:rPr>
          <w:rFonts w:hint="eastAsia"/>
        </w:rPr>
        <w:t>、OT</w:t>
      </w:r>
      <w:r w:rsidRPr="004E1208">
        <w:rPr>
          <w:rStyle w:val="afd"/>
          <w:rFonts w:hAnsi="標楷體"/>
        </w:rPr>
        <w:footnoteReference w:id="10"/>
      </w:r>
      <w:r w:rsidRPr="004E1208">
        <w:rPr>
          <w:rFonts w:hint="eastAsia"/>
        </w:rPr>
        <w:t>等活化土地價值。</w:t>
      </w:r>
    </w:p>
    <w:p w:rsidR="00276522" w:rsidRPr="004E1208" w:rsidRDefault="00276522" w:rsidP="009E32B5">
      <w:pPr>
        <w:pStyle w:val="5"/>
      </w:pPr>
      <w:r w:rsidRPr="004E1208">
        <w:rPr>
          <w:rFonts w:hint="eastAsia"/>
        </w:rPr>
        <w:t>依國有財產法第28條</w:t>
      </w:r>
      <w:r w:rsidR="003D4592" w:rsidRPr="004E1208">
        <w:rPr>
          <w:rStyle w:val="afd"/>
        </w:rPr>
        <w:footnoteReference w:id="11"/>
      </w:r>
      <w:r w:rsidRPr="004E1208">
        <w:rPr>
          <w:rFonts w:hint="eastAsia"/>
        </w:rPr>
        <w:t>但書等法律規定活化利用，促進資產運用效益。</w:t>
      </w:r>
    </w:p>
    <w:p w:rsidR="00276522" w:rsidRPr="004E1208" w:rsidRDefault="00276522" w:rsidP="009E32B5">
      <w:pPr>
        <w:pStyle w:val="5"/>
      </w:pPr>
      <w:r w:rsidRPr="004E1208">
        <w:rPr>
          <w:rFonts w:hint="eastAsia"/>
        </w:rPr>
        <w:t>調配中央機關辦公廳舍。</w:t>
      </w:r>
    </w:p>
    <w:p w:rsidR="00276522" w:rsidRPr="004E1208" w:rsidRDefault="00276522" w:rsidP="009E32B5">
      <w:pPr>
        <w:pStyle w:val="4"/>
      </w:pPr>
      <w:r w:rsidRPr="004E1208">
        <w:rPr>
          <w:rFonts w:hint="eastAsia"/>
        </w:rPr>
        <w:t>國有非公用土地：以「賣小留大重點開發、以地易屋互利共享、長期開發與短期留用</w:t>
      </w:r>
      <w:r w:rsidRPr="004E1208">
        <w:t>」</w:t>
      </w:r>
      <w:r w:rsidRPr="004E1208">
        <w:rPr>
          <w:rFonts w:hint="eastAsia"/>
        </w:rPr>
        <w:t>為活化策略：</w:t>
      </w:r>
    </w:p>
    <w:p w:rsidR="00276522" w:rsidRPr="004E1208" w:rsidRDefault="00276522" w:rsidP="009E32B5">
      <w:pPr>
        <w:pStyle w:val="5"/>
      </w:pPr>
      <w:r w:rsidRPr="004E1208">
        <w:rPr>
          <w:rFonts w:hint="eastAsia"/>
        </w:rPr>
        <w:t>維持大面積500坪（1,650平方公尺）以上國有土地不出售政策。</w:t>
      </w:r>
    </w:p>
    <w:p w:rsidR="00276522" w:rsidRPr="004E1208" w:rsidRDefault="00276522" w:rsidP="009E32B5">
      <w:pPr>
        <w:pStyle w:val="5"/>
      </w:pPr>
      <w:r w:rsidRPr="004E1208">
        <w:rPr>
          <w:rFonts w:hint="eastAsia"/>
        </w:rPr>
        <w:t>配合行政院施政方針活化土地。</w:t>
      </w:r>
    </w:p>
    <w:p w:rsidR="00506141" w:rsidRPr="004E1208" w:rsidRDefault="00276522" w:rsidP="009E32B5">
      <w:pPr>
        <w:pStyle w:val="3"/>
      </w:pPr>
      <w:r w:rsidRPr="004E1208">
        <w:rPr>
          <w:rFonts w:hint="eastAsia"/>
        </w:rPr>
        <w:t>然而，「多元活化國有土地，創造資產效益」政策提出迄今已逾6年，期間財政部固然針對「國有土地運用」相繼提出若干措施</w:t>
      </w:r>
      <w:r w:rsidR="00D0382F" w:rsidRPr="004E1208">
        <w:rPr>
          <w:rStyle w:val="afd"/>
        </w:rPr>
        <w:footnoteReference w:id="12"/>
      </w:r>
      <w:r w:rsidRPr="004E1208">
        <w:rPr>
          <w:rFonts w:hint="eastAsia"/>
        </w:rPr>
        <w:t>，但是卻將「國有土地運用」</w:t>
      </w:r>
      <w:r w:rsidRPr="004E1208">
        <w:rPr>
          <w:rFonts w:hint="eastAsia"/>
        </w:rPr>
        <w:lastRenderedPageBreak/>
        <w:t>歸類為「健全房市相關措施」之一環，且從財政部相關新聞稿顯示，國有土地似乎變為配合性的業務，變成只是站在被動的角色配合國家政策，提供政府機關運作所需實體建設之用，未能積極主動扮演「引導」與「示範」的角色。</w:t>
      </w:r>
      <w:bookmarkStart w:id="52" w:name="_Hlk137907256"/>
    </w:p>
    <w:p w:rsidR="00276522" w:rsidRPr="004E1208" w:rsidRDefault="00276522" w:rsidP="009E32B5">
      <w:pPr>
        <w:pStyle w:val="3"/>
      </w:pPr>
      <w:r w:rsidRPr="004E1208">
        <w:rPr>
          <w:rFonts w:hint="eastAsia"/>
        </w:rPr>
        <w:t>本</w:t>
      </w:r>
      <w:bookmarkEnd w:id="52"/>
      <w:r w:rsidR="005471F2" w:rsidRPr="004E1208">
        <w:rPr>
          <w:rFonts w:hint="eastAsia"/>
        </w:rPr>
        <w:t>院</w:t>
      </w:r>
      <w:r w:rsidRPr="004E1208">
        <w:rPr>
          <w:rFonts w:hint="eastAsia"/>
        </w:rPr>
        <w:t>諮詢</w:t>
      </w:r>
      <w:r w:rsidR="005471F2" w:rsidRPr="004E1208">
        <w:rPr>
          <w:rFonts w:hint="eastAsia"/>
        </w:rPr>
        <w:t>之專家學者即</w:t>
      </w:r>
      <w:r w:rsidRPr="004E1208">
        <w:rPr>
          <w:rFonts w:hint="eastAsia"/>
        </w:rPr>
        <w:t>表示：「我認為目前國有土地沒有上位政策，加上所有的公地管理機關超過3千多</w:t>
      </w:r>
      <w:proofErr w:type="gramStart"/>
      <w:r w:rsidRPr="004E1208">
        <w:rPr>
          <w:rFonts w:hint="eastAsia"/>
        </w:rPr>
        <w:t>個</w:t>
      </w:r>
      <w:proofErr w:type="gramEnd"/>
      <w:r w:rsidRPr="004E1208">
        <w:rPr>
          <w:rFonts w:hint="eastAsia"/>
        </w:rPr>
        <w:t>，一律類比適用相關法規</w:t>
      </w:r>
      <w:r w:rsidR="00C64192" w:rsidRPr="004E1208">
        <w:rPr>
          <w:rFonts w:hint="eastAsia"/>
        </w:rPr>
        <w:t>（</w:t>
      </w:r>
      <w:r w:rsidRPr="004E1208">
        <w:rPr>
          <w:rFonts w:hint="eastAsia"/>
        </w:rPr>
        <w:t>如土地法25條僅針對公地原則訓示、國有財產法則偏向財產管理處分操作規範</w:t>
      </w:r>
      <w:r w:rsidR="00C64192" w:rsidRPr="004E1208">
        <w:rPr>
          <w:rFonts w:hint="eastAsia"/>
        </w:rPr>
        <w:t>）</w:t>
      </w:r>
      <w:r w:rsidRPr="004E1208">
        <w:rPr>
          <w:rFonts w:hint="eastAsia"/>
        </w:rPr>
        <w:t>，忽略層級化的法律保留原則，顯非妥適。…</w:t>
      </w:r>
      <w:proofErr w:type="gramStart"/>
      <w:r w:rsidRPr="004E1208">
        <w:rPr>
          <w:rFonts w:hint="eastAsia"/>
        </w:rPr>
        <w:t>…</w:t>
      </w:r>
      <w:proofErr w:type="gramEnd"/>
      <w:r w:rsidRPr="004E1208">
        <w:rPr>
          <w:rFonts w:hint="eastAsia"/>
        </w:rPr>
        <w:t>有關多元活化政策方向與內容，似宜考量專法，以增進實施成效，更充實施政內容</w:t>
      </w:r>
      <w:r w:rsidRPr="004E1208">
        <w:t>」</w:t>
      </w:r>
      <w:r w:rsidR="00506141" w:rsidRPr="004E1208">
        <w:rPr>
          <w:rFonts w:hint="eastAsia"/>
        </w:rPr>
        <w:t>；「</w:t>
      </w:r>
      <w:proofErr w:type="gramStart"/>
      <w:r w:rsidR="00506141" w:rsidRPr="004E1208">
        <w:rPr>
          <w:rFonts w:hint="eastAsia"/>
        </w:rPr>
        <w:t>少子化為</w:t>
      </w:r>
      <w:proofErr w:type="gramEnd"/>
      <w:r w:rsidR="00506141" w:rsidRPr="004E1208">
        <w:rPr>
          <w:rFonts w:hint="eastAsia"/>
        </w:rPr>
        <w:t>趨勢所在，如何因應於國有土地之管理？須對此發展趨勢及早因應，尤其是對學生數銳減之學校，如何加強監管其對國有土地及校舍之運用」；「朝建立指標之方向努力，以了解國有土地使用效益之情形」；「</w:t>
      </w:r>
      <w:r w:rsidR="00506141" w:rsidRPr="004E1208">
        <w:rPr>
          <w:rFonts w:hint="eastAsia"/>
        </w:rPr>
        <w:tab/>
        <w:t>有關國有土地『管理機關』應建立成本效益觀念，此以『如實管用』為本，其檢視評估，似需要完備規範與專業，始克有成」；「公有土地活化問題應配合政策（如</w:t>
      </w:r>
      <w:r w:rsidR="003305B6" w:rsidRPr="004E1208">
        <w:rPr>
          <w:rFonts w:hint="eastAsia"/>
        </w:rPr>
        <w:t>長期照顧</w:t>
      </w:r>
      <w:r w:rsidR="00506141" w:rsidRPr="004E1208">
        <w:rPr>
          <w:rFonts w:hint="eastAsia"/>
        </w:rPr>
        <w:t>、光電、社</w:t>
      </w:r>
      <w:r w:rsidR="003305B6" w:rsidRPr="004E1208">
        <w:rPr>
          <w:rFonts w:hint="eastAsia"/>
        </w:rPr>
        <w:t>會住宅</w:t>
      </w:r>
      <w:r w:rsidR="00506141" w:rsidRPr="004E1208">
        <w:rPr>
          <w:rFonts w:hint="eastAsia"/>
        </w:rPr>
        <w:t>或產業發展），不會一味追求利益最大化。但過程中如涉及都更、產業園區開發，宜注意以小吃大問題」。</w:t>
      </w:r>
    </w:p>
    <w:p w:rsidR="00276522" w:rsidRPr="004E1208" w:rsidRDefault="00276522" w:rsidP="009E32B5">
      <w:pPr>
        <w:pStyle w:val="3"/>
      </w:pPr>
      <w:r w:rsidRPr="004E1208">
        <w:rPr>
          <w:rFonts w:hint="eastAsia"/>
        </w:rPr>
        <w:t>綜上，國有土地乃重要的全民資產，具有促進社會與全民福祉之使命，社會大眾對其管理運用抱有高度期許，然實務</w:t>
      </w:r>
      <w:proofErr w:type="gramStart"/>
      <w:r w:rsidRPr="004E1208">
        <w:rPr>
          <w:rFonts w:hint="eastAsia"/>
        </w:rPr>
        <w:t>上每因缺乏</w:t>
      </w:r>
      <w:proofErr w:type="gramEnd"/>
      <w:r w:rsidRPr="004E1208">
        <w:rPr>
          <w:rFonts w:hint="eastAsia"/>
        </w:rPr>
        <w:t>上位引導與整體規劃，</w:t>
      </w:r>
      <w:r w:rsidRPr="004E1208">
        <w:rPr>
          <w:rFonts w:hint="eastAsia"/>
        </w:rPr>
        <w:lastRenderedPageBreak/>
        <w:t>不僅遭占用、閒置、低度利用情形層出不窮，亦常淪為單純配合提供土地之被動角色，顯與人民期待有所落差。國產管理機關除須確實檢核、有效控管、積極處理遭占用、閒置、低度利用之國有土地外，更應評估</w:t>
      </w:r>
      <w:proofErr w:type="gramStart"/>
      <w:r w:rsidRPr="004E1208">
        <w:rPr>
          <w:rFonts w:hint="eastAsia"/>
        </w:rPr>
        <w:t>研</w:t>
      </w:r>
      <w:proofErr w:type="gramEnd"/>
      <w:r w:rsidRPr="004E1208">
        <w:rPr>
          <w:rFonts w:hint="eastAsia"/>
        </w:rPr>
        <w:t>擬政策性的上位指導規範，發揮「引導」與「示範」功能，使其切合社會發展趨勢</w:t>
      </w:r>
      <w:r w:rsidR="00C64192" w:rsidRPr="004E1208">
        <w:rPr>
          <w:rFonts w:hint="eastAsia"/>
        </w:rPr>
        <w:t>（</w:t>
      </w:r>
      <w:r w:rsidRPr="004E1208">
        <w:rPr>
          <w:rFonts w:hint="eastAsia"/>
        </w:rPr>
        <w:t>如少子化、高齡化…</w:t>
      </w:r>
      <w:proofErr w:type="gramStart"/>
      <w:r w:rsidRPr="004E1208">
        <w:rPr>
          <w:rFonts w:hint="eastAsia"/>
        </w:rPr>
        <w:t>…</w:t>
      </w:r>
      <w:proofErr w:type="gramEnd"/>
      <w:r w:rsidRPr="004E1208">
        <w:rPr>
          <w:rFonts w:hint="eastAsia"/>
        </w:rPr>
        <w:t>等</w:t>
      </w:r>
      <w:r w:rsidR="00C64192" w:rsidRPr="004E1208">
        <w:rPr>
          <w:rFonts w:hint="eastAsia"/>
        </w:rPr>
        <w:t>）</w:t>
      </w:r>
      <w:r w:rsidRPr="004E1208">
        <w:rPr>
          <w:rFonts w:hint="eastAsia"/>
        </w:rPr>
        <w:t>及迫切需要</w:t>
      </w:r>
      <w:r w:rsidR="00C64192" w:rsidRPr="004E1208">
        <w:rPr>
          <w:rFonts w:hint="eastAsia"/>
        </w:rPr>
        <w:t>（</w:t>
      </w:r>
      <w:r w:rsidRPr="004E1208">
        <w:rPr>
          <w:rFonts w:hint="eastAsia"/>
        </w:rPr>
        <w:t>如長期照顧、社會住宅…</w:t>
      </w:r>
      <w:proofErr w:type="gramStart"/>
      <w:r w:rsidRPr="004E1208">
        <w:rPr>
          <w:rFonts w:hint="eastAsia"/>
        </w:rPr>
        <w:t>…</w:t>
      </w:r>
      <w:proofErr w:type="gramEnd"/>
      <w:r w:rsidRPr="004E1208">
        <w:rPr>
          <w:rFonts w:hint="eastAsia"/>
        </w:rPr>
        <w:t>等</w:t>
      </w:r>
      <w:r w:rsidR="00C64192" w:rsidRPr="004E1208">
        <w:rPr>
          <w:rFonts w:hint="eastAsia"/>
        </w:rPr>
        <w:t>）</w:t>
      </w:r>
      <w:r w:rsidRPr="004E1208">
        <w:rPr>
          <w:rFonts w:hint="eastAsia"/>
        </w:rPr>
        <w:t>，盤點整合、統籌調配國有土地，進行前瞻規劃與</w:t>
      </w:r>
      <w:proofErr w:type="gramStart"/>
      <w:r w:rsidRPr="004E1208">
        <w:rPr>
          <w:rFonts w:hint="eastAsia"/>
        </w:rPr>
        <w:t>最</w:t>
      </w:r>
      <w:proofErr w:type="gramEnd"/>
      <w:r w:rsidRPr="004E1208">
        <w:rPr>
          <w:rFonts w:hint="eastAsia"/>
        </w:rPr>
        <w:t>適運用，並建立成本績效量化指標，</w:t>
      </w:r>
      <w:proofErr w:type="gramStart"/>
      <w:r w:rsidRPr="004E1208">
        <w:rPr>
          <w:rFonts w:hint="eastAsia"/>
        </w:rPr>
        <w:t>俾</w:t>
      </w:r>
      <w:proofErr w:type="gramEnd"/>
      <w:r w:rsidRPr="004E1208">
        <w:rPr>
          <w:rFonts w:hint="eastAsia"/>
        </w:rPr>
        <w:t>創造國家資產最大效益，促進國土有序及健全發展，進一步增加社會與全民福祉。</w:t>
      </w:r>
    </w:p>
    <w:p w:rsidR="00276522" w:rsidRPr="004E1208" w:rsidRDefault="00276522" w:rsidP="005E3734">
      <w:pPr>
        <w:pStyle w:val="2"/>
        <w:spacing w:beforeLines="50" w:before="228"/>
        <w:ind w:left="1020" w:hanging="680"/>
        <w:rPr>
          <w:b/>
        </w:rPr>
      </w:pPr>
      <w:bookmarkStart w:id="53" w:name="_Toc139546645"/>
      <w:r w:rsidRPr="004E1208">
        <w:rPr>
          <w:rFonts w:hint="eastAsia"/>
          <w:b/>
        </w:rPr>
        <w:t>國有非公用土地雖然</w:t>
      </w:r>
      <w:proofErr w:type="gramStart"/>
      <w:r w:rsidRPr="004E1208">
        <w:rPr>
          <w:rFonts w:hint="eastAsia"/>
          <w:b/>
        </w:rPr>
        <w:t>眾多，</w:t>
      </w:r>
      <w:proofErr w:type="gramEnd"/>
      <w:r w:rsidRPr="004E1208">
        <w:rPr>
          <w:rFonts w:hint="eastAsia"/>
          <w:b/>
        </w:rPr>
        <w:t>惟建築用地僅占3.76%，故其運用應以永續經營、促進最大公益為目標。然實際發現，民間透過都市更新、產業創新園區等開發方式，以小吃大，蠶食鯨吞國有建地之情形時有所聞，導致國有建地持續流失，嚴重影響國土儲備與永續經營，甚至造成外界產生政府配合財團建商炒作不動產之質疑。鑒於國有土地乃全民之重要資產，國產管理機關允應深自檢討並儘量保持其公有，逐步降低所有權出售比例，配合國家重大政策，進行循環活化，</w:t>
      </w:r>
      <w:proofErr w:type="gramStart"/>
      <w:r w:rsidRPr="004E1208">
        <w:rPr>
          <w:rFonts w:hint="eastAsia"/>
          <w:b/>
        </w:rPr>
        <w:t>俾</w:t>
      </w:r>
      <w:proofErr w:type="gramEnd"/>
      <w:r w:rsidRPr="004E1208">
        <w:rPr>
          <w:rFonts w:hint="eastAsia"/>
          <w:b/>
        </w:rPr>
        <w:t>進一步落實國土儲備與永續經營。</w:t>
      </w:r>
      <w:bookmarkEnd w:id="53"/>
    </w:p>
    <w:p w:rsidR="00276522" w:rsidRPr="004E1208" w:rsidRDefault="00276522" w:rsidP="009E32B5">
      <w:pPr>
        <w:pStyle w:val="3"/>
      </w:pPr>
      <w:r w:rsidRPr="004E1208">
        <w:rPr>
          <w:rFonts w:hint="eastAsia"/>
        </w:rPr>
        <w:t>我國國有非公用土地數量龐大，惟建築用地僅占其中3.76</w:t>
      </w:r>
      <w:r w:rsidR="00362D75" w:rsidRPr="004E1208">
        <w:t>%</w:t>
      </w:r>
      <w:r w:rsidR="00362D75" w:rsidRPr="004E1208">
        <w:rPr>
          <w:rFonts w:hint="eastAsia"/>
        </w:rPr>
        <w:t>（如圖1）</w:t>
      </w:r>
      <w:r w:rsidRPr="004E1208">
        <w:rPr>
          <w:rFonts w:hint="eastAsia"/>
        </w:rPr>
        <w:t>，且許多坐落於寸土寸金的都會區，潛在價值與開發效益難以估量，故其管理策略與運用方式之良</w:t>
      </w:r>
      <w:proofErr w:type="gramStart"/>
      <w:r w:rsidRPr="004E1208">
        <w:rPr>
          <w:rFonts w:hint="eastAsia"/>
        </w:rPr>
        <w:t>窳</w:t>
      </w:r>
      <w:proofErr w:type="gramEnd"/>
      <w:r w:rsidRPr="004E1208">
        <w:rPr>
          <w:rFonts w:hint="eastAsia"/>
        </w:rPr>
        <w:t>對國家、社會、經濟之永續發展至關重要。</w:t>
      </w:r>
    </w:p>
    <w:p w:rsidR="00276522" w:rsidRPr="004E1208" w:rsidRDefault="00276522" w:rsidP="00276522">
      <w:pPr>
        <w:pStyle w:val="4"/>
        <w:numPr>
          <w:ilvl w:val="0"/>
          <w:numId w:val="0"/>
        </w:numPr>
        <w:ind w:left="1701"/>
      </w:pPr>
      <w:r w:rsidRPr="004E1208">
        <w:rPr>
          <w:rFonts w:hAnsi="標楷體"/>
          <w:noProof/>
          <w:szCs w:val="32"/>
        </w:rPr>
        <w:lastRenderedPageBreak/>
        <w:drawing>
          <wp:inline distT="0" distB="0" distL="0" distR="0" wp14:anchorId="4B1AA0E3" wp14:editId="579AFC0E">
            <wp:extent cx="4459857" cy="2970740"/>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2178" cy="2998930"/>
                    </a:xfrm>
                    <a:prstGeom prst="rect">
                      <a:avLst/>
                    </a:prstGeom>
                    <a:noFill/>
                  </pic:spPr>
                </pic:pic>
              </a:graphicData>
            </a:graphic>
          </wp:inline>
        </w:drawing>
      </w:r>
    </w:p>
    <w:p w:rsidR="00276522" w:rsidRPr="004E1208" w:rsidRDefault="00276522" w:rsidP="00C7639D">
      <w:pPr>
        <w:pStyle w:val="a2"/>
        <w:numPr>
          <w:ilvl w:val="0"/>
          <w:numId w:val="45"/>
        </w:numPr>
        <w:ind w:firstLine="1080"/>
        <w:rPr>
          <w:b/>
          <w:spacing w:val="0"/>
        </w:rPr>
      </w:pPr>
      <w:r w:rsidRPr="004E1208">
        <w:rPr>
          <w:rFonts w:hint="eastAsia"/>
          <w:b/>
          <w:spacing w:val="0"/>
        </w:rPr>
        <w:t>國有非公用土地各類用地面積與占比</w:t>
      </w:r>
    </w:p>
    <w:p w:rsidR="00276522" w:rsidRPr="004E1208" w:rsidRDefault="00276522" w:rsidP="008926E6">
      <w:pPr>
        <w:snapToGrid w:val="0"/>
        <w:spacing w:line="500" w:lineRule="exact"/>
        <w:ind w:leftChars="500" w:left="1701"/>
        <w:rPr>
          <w:rFonts w:hAnsi="標楷體"/>
          <w:sz w:val="24"/>
          <w:szCs w:val="24"/>
        </w:rPr>
      </w:pPr>
      <w:proofErr w:type="gramStart"/>
      <w:r w:rsidRPr="004E1208">
        <w:rPr>
          <w:rFonts w:hAnsi="標楷體" w:hint="eastAsia"/>
          <w:sz w:val="24"/>
          <w:szCs w:val="24"/>
        </w:rPr>
        <w:t>註</w:t>
      </w:r>
      <w:proofErr w:type="gramEnd"/>
      <w:r w:rsidRPr="004E1208">
        <w:rPr>
          <w:rFonts w:hAnsi="標楷體" w:hint="eastAsia"/>
          <w:sz w:val="24"/>
          <w:szCs w:val="24"/>
        </w:rPr>
        <w:t>：面積統計至111年9月30日。</w:t>
      </w:r>
    </w:p>
    <w:p w:rsidR="00276522" w:rsidRPr="004E1208" w:rsidRDefault="00276522" w:rsidP="008926E6">
      <w:pPr>
        <w:pStyle w:val="4"/>
        <w:numPr>
          <w:ilvl w:val="0"/>
          <w:numId w:val="0"/>
        </w:numPr>
        <w:snapToGrid w:val="0"/>
        <w:spacing w:afterLines="50" w:after="228"/>
        <w:ind w:leftChars="500" w:left="1701"/>
      </w:pPr>
      <w:r w:rsidRPr="004E1208">
        <w:rPr>
          <w:rFonts w:hAnsi="標楷體" w:hint="eastAsia"/>
          <w:sz w:val="24"/>
          <w:szCs w:val="24"/>
        </w:rPr>
        <w:t>資料來源：</w:t>
      </w:r>
      <w:r w:rsidR="00BC3ABA" w:rsidRPr="004E1208">
        <w:rPr>
          <w:rFonts w:hAnsi="標楷體" w:hint="eastAsia"/>
          <w:sz w:val="24"/>
          <w:szCs w:val="24"/>
        </w:rPr>
        <w:t>國產署簡報資料</w:t>
      </w:r>
      <w:r w:rsidRPr="004E1208">
        <w:rPr>
          <w:rFonts w:hAnsi="標楷體" w:hint="eastAsia"/>
          <w:sz w:val="24"/>
          <w:szCs w:val="24"/>
        </w:rPr>
        <w:t>。</w:t>
      </w:r>
    </w:p>
    <w:p w:rsidR="00276522" w:rsidRPr="004E1208" w:rsidRDefault="00276522" w:rsidP="009E32B5">
      <w:pPr>
        <w:pStyle w:val="3"/>
      </w:pPr>
      <w:r w:rsidRPr="004E1208">
        <w:rPr>
          <w:rFonts w:hint="eastAsia"/>
        </w:rPr>
        <w:t>依據國有財產法第53條規定，目前國有非公用土地雖以「賣小留大」為活化策略，維持大面積500坪（1,650平方公尺）以上國有土地</w:t>
      </w:r>
      <w:proofErr w:type="gramStart"/>
      <w:r w:rsidRPr="004E1208">
        <w:rPr>
          <w:rFonts w:hint="eastAsia"/>
        </w:rPr>
        <w:t>不</w:t>
      </w:r>
      <w:proofErr w:type="gramEnd"/>
      <w:r w:rsidRPr="004E1208">
        <w:rPr>
          <w:rFonts w:hint="eastAsia"/>
        </w:rPr>
        <w:t>得標售，然實際執行發現，特定有心人士鑽營法律漏洞，以小吃大，蠶食鯨吞國有建地，屢屢引發政府圖利財團、忽略弱勢照護等疑慮。社會住宅推動聯盟即提出質疑：「在『活化國有土地』口號下，政府成了賣祖產的敗家子，大量公有土地被標售、被BOT、被都更，淪為財團建商房產炒作之禁臠，更是房價不斷推高的重要原</w:t>
      </w:r>
      <w:proofErr w:type="gramStart"/>
      <w:r w:rsidRPr="004E1208">
        <w:rPr>
          <w:rFonts w:hint="eastAsia"/>
        </w:rPr>
        <w:t>兇</w:t>
      </w:r>
      <w:proofErr w:type="gramEnd"/>
      <w:r w:rsidRPr="004E1208">
        <w:rPr>
          <w:rFonts w:hint="eastAsia"/>
        </w:rPr>
        <w:t>之</w:t>
      </w:r>
      <w:proofErr w:type="gramStart"/>
      <w:r w:rsidRPr="004E1208">
        <w:rPr>
          <w:rFonts w:hint="eastAsia"/>
        </w:rPr>
        <w:t>一</w:t>
      </w:r>
      <w:proofErr w:type="gramEnd"/>
      <w:r w:rsidRPr="004E1208">
        <w:rPr>
          <w:rFonts w:hint="eastAsia"/>
        </w:rPr>
        <w:t>。」</w:t>
      </w:r>
      <w:r w:rsidR="003D4592" w:rsidRPr="004E1208">
        <w:rPr>
          <w:rStyle w:val="afd"/>
        </w:rPr>
        <w:footnoteReference w:id="13"/>
      </w:r>
    </w:p>
    <w:p w:rsidR="00276522" w:rsidRPr="004E1208" w:rsidRDefault="00276522" w:rsidP="00C64192">
      <w:pPr>
        <w:pStyle w:val="3"/>
      </w:pPr>
      <w:r w:rsidRPr="004E1208">
        <w:rPr>
          <w:rFonts w:hint="eastAsia"/>
        </w:rPr>
        <w:t>按國有非公用建地數量有限且為全民重要資產，其管理運用應以促進國家發展與公共利益為首要考量。然以「都市更新」為例，都市更新條例第46條</w:t>
      </w:r>
      <w:r w:rsidRPr="004E1208">
        <w:rPr>
          <w:rFonts w:hint="eastAsia"/>
        </w:rPr>
        <w:lastRenderedPageBreak/>
        <w:t>規定，都市更新事業計畫範圍內公有土地及建築物，應「一律」參加都市更新，惟主管機關卻未針對是否具備必要性、公益性，公共利益有無明確化、最大化，訂定審認標準，致特定有心人士藉此將精華區國有建地劃入都市更新事業計畫範圍，以致</w:t>
      </w:r>
      <w:r w:rsidR="00612690" w:rsidRPr="004E1208">
        <w:rPr>
          <w:rFonts w:hint="eastAsia"/>
        </w:rPr>
        <w:t>國有財產</w:t>
      </w:r>
      <w:r w:rsidRPr="004E1208">
        <w:rPr>
          <w:rFonts w:hint="eastAsia"/>
        </w:rPr>
        <w:t>無法發揮公共利益之用途，反成為私人開發</w:t>
      </w:r>
      <w:proofErr w:type="gramStart"/>
      <w:r w:rsidRPr="004E1208">
        <w:rPr>
          <w:rFonts w:hint="eastAsia"/>
        </w:rPr>
        <w:t>房地產尋租之</w:t>
      </w:r>
      <w:proofErr w:type="gramEnd"/>
      <w:r w:rsidRPr="004E1208">
        <w:rPr>
          <w:rFonts w:hint="eastAsia"/>
        </w:rPr>
        <w:t>手段；再以「產業園區開發」為例，依產業創新條例第42條第2項</w:t>
      </w:r>
      <w:r w:rsidR="00801184" w:rsidRPr="004E1208">
        <w:rPr>
          <w:rFonts w:hint="eastAsia"/>
        </w:rPr>
        <w:t>規定</w:t>
      </w:r>
      <w:r w:rsidRPr="004E1208">
        <w:rPr>
          <w:rFonts w:hint="eastAsia"/>
        </w:rPr>
        <w:t>：「中央主管機關或直轄市、縣（市）主管機關為開發產業園區需用公有土地時，由各該出售公地機關逕行辦理讓售，不受土地法第25條及地方政府公產管理法令規定之限制。」第43條第3項</w:t>
      </w:r>
      <w:r w:rsidR="00801184" w:rsidRPr="004E1208">
        <w:rPr>
          <w:rFonts w:hint="eastAsia"/>
        </w:rPr>
        <w:t>規定</w:t>
      </w:r>
      <w:r w:rsidRPr="004E1208">
        <w:rPr>
          <w:rFonts w:hint="eastAsia"/>
        </w:rPr>
        <w:t>：「公民營事業或興辦產業人為開發產業園區需用公有土地時，應由出售公地機關辦理讓售，其公有土地面積不超過設置總面積十分之一或總面積不超過5公頃者，不受土地法第25條及地方政府公產管理法令規定之限制。」明定開發產業園區需用公有土地時，由各該出售機關逕行辦理讓售，以促進土地有效利用，並加速開發時程，然實際發現，興辦產業人得以直接選定國有土地劃設產業創新園區，形同政府大開國產之門，任令私人進行圈地運動。上</w:t>
      </w:r>
      <w:r w:rsidR="00D0382F" w:rsidRPr="004E1208">
        <w:rPr>
          <w:rFonts w:hint="eastAsia"/>
        </w:rPr>
        <w:t>述</w:t>
      </w:r>
      <w:r w:rsidRPr="004E1208">
        <w:rPr>
          <w:rFonts w:hint="eastAsia"/>
        </w:rPr>
        <w:t>情形長此以往，皆將侵蝕國產資源，加速地方土地投機炒作之風氣。</w:t>
      </w:r>
    </w:p>
    <w:p w:rsidR="00D10174" w:rsidRPr="004E1208" w:rsidRDefault="00D10174" w:rsidP="00801184">
      <w:pPr>
        <w:pStyle w:val="3"/>
      </w:pPr>
      <w:r w:rsidRPr="004E1208">
        <w:rPr>
          <w:rFonts w:hint="eastAsia"/>
        </w:rPr>
        <w:t>據國產署統計，</w:t>
      </w:r>
      <w:r w:rsidR="00F020D3">
        <w:rPr>
          <w:rFonts w:hAnsi="標楷體" w:hint="eastAsia"/>
        </w:rPr>
        <w:t>截至112年5月底止，</w:t>
      </w:r>
      <w:r w:rsidRPr="004E1208">
        <w:rPr>
          <w:rFonts w:hint="eastAsia"/>
        </w:rPr>
        <w:t>國有土地參與都市更新案件中，國有土地占都市更新範圍面積過半者計19案</w:t>
      </w:r>
      <w:r w:rsidR="000B4614" w:rsidRPr="004E1208">
        <w:rPr>
          <w:rFonts w:hint="eastAsia"/>
        </w:rPr>
        <w:t>，</w:t>
      </w:r>
      <w:r w:rsidR="00C64192" w:rsidRPr="004E1208">
        <w:rPr>
          <w:rFonts w:hint="eastAsia"/>
        </w:rPr>
        <w:t>其中1</w:t>
      </w:r>
      <w:r w:rsidR="00C64192" w:rsidRPr="004E1208">
        <w:t>4</w:t>
      </w:r>
      <w:r w:rsidR="00C64192" w:rsidRPr="004E1208">
        <w:rPr>
          <w:rFonts w:hint="eastAsia"/>
        </w:rPr>
        <w:t>案係由私人公司擔任實施者</w:t>
      </w:r>
      <w:r w:rsidR="00D0382F" w:rsidRPr="004E1208">
        <w:rPr>
          <w:rFonts w:hint="eastAsia"/>
        </w:rPr>
        <w:t>，5案由國家住宅及都市更新中心</w:t>
      </w:r>
      <w:r w:rsidR="000B4614" w:rsidRPr="004E1208">
        <w:rPr>
          <w:rFonts w:hint="eastAsia"/>
        </w:rPr>
        <w:t>（下稱住都中心</w:t>
      </w:r>
      <w:r w:rsidR="00C64192" w:rsidRPr="004E1208">
        <w:rPr>
          <w:rFonts w:hint="eastAsia"/>
        </w:rPr>
        <w:t>）</w:t>
      </w:r>
      <w:r w:rsidR="000B4614" w:rsidRPr="004E1208">
        <w:rPr>
          <w:rFonts w:hint="eastAsia"/>
        </w:rPr>
        <w:t>擔任實施者</w:t>
      </w:r>
      <w:r w:rsidRPr="004E1208">
        <w:rPr>
          <w:rFonts w:hint="eastAsia"/>
        </w:rPr>
        <w:t>，</w:t>
      </w:r>
      <w:r w:rsidR="00C64192" w:rsidRPr="004E1208">
        <w:rPr>
          <w:rFonts w:hint="eastAsia"/>
        </w:rPr>
        <w:t>又</w:t>
      </w:r>
      <w:r w:rsidRPr="004E1208">
        <w:rPr>
          <w:rFonts w:hint="eastAsia"/>
        </w:rPr>
        <w:t>國有土地比例超過</w:t>
      </w:r>
      <w:proofErr w:type="gramStart"/>
      <w:r w:rsidRPr="004E1208">
        <w:rPr>
          <w:rFonts w:hint="eastAsia"/>
        </w:rPr>
        <w:t>8成</w:t>
      </w:r>
      <w:proofErr w:type="gramEnd"/>
      <w:r w:rsidRPr="004E1208">
        <w:rPr>
          <w:rFonts w:hint="eastAsia"/>
        </w:rPr>
        <w:t>者有8案</w:t>
      </w:r>
      <w:r w:rsidR="00C64192" w:rsidRPr="004E1208">
        <w:rPr>
          <w:rFonts w:hint="eastAsia"/>
        </w:rPr>
        <w:t>（其中4案係由私人公司擔任實施者）</w:t>
      </w:r>
      <w:r w:rsidRPr="004E1208">
        <w:rPr>
          <w:rFonts w:hint="eastAsia"/>
        </w:rPr>
        <w:t>，</w:t>
      </w:r>
      <w:proofErr w:type="gramStart"/>
      <w:r w:rsidRPr="004E1208">
        <w:rPr>
          <w:rFonts w:hint="eastAsia"/>
        </w:rPr>
        <w:t>詳表</w:t>
      </w:r>
      <w:proofErr w:type="gramEnd"/>
      <w:r w:rsidR="00801184" w:rsidRPr="004E1208">
        <w:rPr>
          <w:rFonts w:hint="eastAsia"/>
        </w:rPr>
        <w:t>3</w:t>
      </w:r>
      <w:r w:rsidRPr="004E1208">
        <w:rPr>
          <w:rFonts w:hint="eastAsia"/>
        </w:rPr>
        <w:t>。</w:t>
      </w:r>
    </w:p>
    <w:p w:rsidR="00D10174" w:rsidRPr="004E1208" w:rsidRDefault="00D10174" w:rsidP="00D10174">
      <w:pPr>
        <w:pStyle w:val="a4"/>
        <w:jc w:val="center"/>
        <w:rPr>
          <w:rFonts w:hAnsi="標楷體"/>
          <w:b/>
          <w:spacing w:val="0"/>
        </w:rPr>
      </w:pPr>
      <w:bookmarkStart w:id="54" w:name="_Toc139547166"/>
      <w:r w:rsidRPr="004E1208">
        <w:rPr>
          <w:rFonts w:hAnsi="標楷體" w:hint="eastAsia"/>
          <w:b/>
          <w:spacing w:val="0"/>
        </w:rPr>
        <w:lastRenderedPageBreak/>
        <w:t>國有土地參與都市更新案件中占更新面積過半案件一覽表</w:t>
      </w:r>
      <w:bookmarkEnd w:id="54"/>
    </w:p>
    <w:p w:rsidR="00D10174" w:rsidRPr="004E1208" w:rsidRDefault="00D10174" w:rsidP="00D10174">
      <w:pPr>
        <w:jc w:val="right"/>
        <w:rPr>
          <w:rFonts w:hAnsi="標楷體"/>
          <w:sz w:val="24"/>
          <w:szCs w:val="24"/>
        </w:rPr>
      </w:pPr>
      <w:r w:rsidRPr="004E1208">
        <w:rPr>
          <w:rFonts w:hAnsi="標楷體" w:hint="eastAsia"/>
          <w:sz w:val="24"/>
          <w:szCs w:val="24"/>
        </w:rPr>
        <w:t>單位：</w:t>
      </w:r>
      <w:proofErr w:type="gramStart"/>
      <w:r w:rsidRPr="004E1208">
        <w:rPr>
          <w:rFonts w:hAnsi="標楷體" w:hint="eastAsia"/>
          <w:sz w:val="24"/>
          <w:szCs w:val="24"/>
        </w:rPr>
        <w:t>㎡</w:t>
      </w:r>
      <w:proofErr w:type="gramEnd"/>
      <w:r w:rsidRPr="004E1208">
        <w:rPr>
          <w:rFonts w:hAnsi="標楷體" w:hint="eastAsia"/>
          <w:sz w:val="24"/>
          <w:szCs w:val="24"/>
        </w:rPr>
        <w:t>；%</w:t>
      </w:r>
    </w:p>
    <w:tbl>
      <w:tblPr>
        <w:tblW w:w="8868" w:type="dxa"/>
        <w:jc w:val="center"/>
        <w:tblCellMar>
          <w:left w:w="28" w:type="dxa"/>
          <w:right w:w="28" w:type="dxa"/>
        </w:tblCellMar>
        <w:tblLook w:val="04A0" w:firstRow="1" w:lastRow="0" w:firstColumn="1" w:lastColumn="0" w:noHBand="0" w:noVBand="1"/>
      </w:tblPr>
      <w:tblGrid>
        <w:gridCol w:w="567"/>
        <w:gridCol w:w="1271"/>
        <w:gridCol w:w="1134"/>
        <w:gridCol w:w="1136"/>
        <w:gridCol w:w="1132"/>
        <w:gridCol w:w="1136"/>
        <w:gridCol w:w="1132"/>
        <w:gridCol w:w="1360"/>
      </w:tblGrid>
      <w:tr w:rsidR="00D10174" w:rsidRPr="004E1208" w:rsidTr="008926E6">
        <w:trPr>
          <w:trHeight w:val="737"/>
          <w:tblHeade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rsidR="00D10174" w:rsidRPr="004E1208" w:rsidRDefault="00D10174" w:rsidP="00C64192">
            <w:pPr>
              <w:jc w:val="center"/>
              <w:rPr>
                <w:rFonts w:hAnsi="標楷體"/>
                <w:spacing w:val="-20"/>
                <w:sz w:val="22"/>
                <w:szCs w:val="22"/>
              </w:rPr>
            </w:pPr>
            <w:r w:rsidRPr="004E1208">
              <w:rPr>
                <w:rFonts w:hAnsi="標楷體" w:hint="eastAsia"/>
                <w:spacing w:val="-20"/>
                <w:sz w:val="22"/>
                <w:szCs w:val="22"/>
              </w:rPr>
              <w:t>編號</w:t>
            </w:r>
          </w:p>
        </w:tc>
        <w:tc>
          <w:tcPr>
            <w:tcW w:w="1271" w:type="dxa"/>
            <w:tcBorders>
              <w:top w:val="single" w:sz="4" w:space="0" w:color="000000"/>
              <w:left w:val="nil"/>
              <w:bottom w:val="single" w:sz="4" w:space="0" w:color="000000"/>
              <w:right w:val="single" w:sz="4" w:space="0" w:color="000000"/>
            </w:tcBorders>
            <w:shd w:val="clear" w:color="auto" w:fill="FDE9D9" w:themeFill="accent6" w:themeFillTint="33"/>
            <w:vAlign w:val="center"/>
            <w:hideMark/>
          </w:tcPr>
          <w:p w:rsidR="00D10174" w:rsidRPr="004E1208" w:rsidRDefault="00D10174" w:rsidP="00C64192">
            <w:pPr>
              <w:jc w:val="center"/>
              <w:rPr>
                <w:rFonts w:hAnsi="標楷體"/>
                <w:spacing w:val="-20"/>
                <w:sz w:val="22"/>
                <w:szCs w:val="22"/>
              </w:rPr>
            </w:pPr>
            <w:r w:rsidRPr="004E1208">
              <w:rPr>
                <w:rFonts w:hAnsi="標楷體" w:hint="eastAsia"/>
                <w:spacing w:val="-20"/>
                <w:sz w:val="22"/>
                <w:szCs w:val="22"/>
              </w:rPr>
              <w:t>地區</w:t>
            </w:r>
          </w:p>
        </w:tc>
        <w:tc>
          <w:tcPr>
            <w:tcW w:w="1134" w:type="dxa"/>
            <w:tcBorders>
              <w:top w:val="single" w:sz="4" w:space="0" w:color="000000"/>
              <w:left w:val="nil"/>
              <w:bottom w:val="single" w:sz="4" w:space="0" w:color="000000"/>
              <w:right w:val="single" w:sz="4" w:space="0" w:color="000000"/>
            </w:tcBorders>
            <w:shd w:val="clear" w:color="auto" w:fill="FDE9D9" w:themeFill="accent6" w:themeFillTint="33"/>
            <w:vAlign w:val="center"/>
            <w:hideMark/>
          </w:tcPr>
          <w:p w:rsidR="00D10174" w:rsidRPr="004E1208" w:rsidRDefault="00D10174" w:rsidP="00C64192">
            <w:pPr>
              <w:jc w:val="center"/>
              <w:rPr>
                <w:rFonts w:hAnsi="標楷體"/>
                <w:spacing w:val="-20"/>
                <w:sz w:val="22"/>
                <w:szCs w:val="22"/>
              </w:rPr>
            </w:pPr>
            <w:r w:rsidRPr="004E1208">
              <w:rPr>
                <w:rFonts w:hAnsi="標楷體" w:hint="eastAsia"/>
                <w:spacing w:val="-20"/>
                <w:sz w:val="22"/>
                <w:szCs w:val="22"/>
              </w:rPr>
              <w:t>實施者</w:t>
            </w:r>
          </w:p>
        </w:tc>
        <w:tc>
          <w:tcPr>
            <w:tcW w:w="1136" w:type="dxa"/>
            <w:tcBorders>
              <w:top w:val="single" w:sz="4" w:space="0" w:color="000000"/>
              <w:left w:val="nil"/>
              <w:bottom w:val="single" w:sz="4" w:space="0" w:color="000000"/>
              <w:right w:val="single" w:sz="4" w:space="0" w:color="000000"/>
            </w:tcBorders>
            <w:shd w:val="clear" w:color="auto" w:fill="FDE9D9" w:themeFill="accent6" w:themeFillTint="33"/>
            <w:vAlign w:val="center"/>
            <w:hideMark/>
          </w:tcPr>
          <w:p w:rsidR="00D10174" w:rsidRPr="004E1208" w:rsidRDefault="00D10174" w:rsidP="00C64192">
            <w:pPr>
              <w:jc w:val="center"/>
              <w:rPr>
                <w:rFonts w:hAnsi="標楷體"/>
                <w:spacing w:val="-20"/>
                <w:sz w:val="22"/>
                <w:szCs w:val="22"/>
              </w:rPr>
            </w:pPr>
            <w:r w:rsidRPr="004E1208">
              <w:rPr>
                <w:rFonts w:hAnsi="標楷體" w:hint="eastAsia"/>
                <w:spacing w:val="-20"/>
                <w:sz w:val="22"/>
                <w:szCs w:val="22"/>
              </w:rPr>
              <w:t>都更範圍</w:t>
            </w:r>
          </w:p>
          <w:p w:rsidR="00D10174" w:rsidRPr="004E1208" w:rsidRDefault="00D10174" w:rsidP="00C64192">
            <w:pPr>
              <w:jc w:val="center"/>
              <w:rPr>
                <w:rFonts w:hAnsi="標楷體"/>
                <w:spacing w:val="-20"/>
                <w:sz w:val="22"/>
                <w:szCs w:val="22"/>
              </w:rPr>
            </w:pPr>
            <w:r w:rsidRPr="004E1208">
              <w:rPr>
                <w:rFonts w:hAnsi="標楷體" w:hint="eastAsia"/>
                <w:spacing w:val="-20"/>
                <w:sz w:val="22"/>
                <w:szCs w:val="22"/>
              </w:rPr>
              <w:t>面積</w:t>
            </w:r>
          </w:p>
        </w:tc>
        <w:tc>
          <w:tcPr>
            <w:tcW w:w="1132" w:type="dxa"/>
            <w:tcBorders>
              <w:top w:val="single" w:sz="4" w:space="0" w:color="000000"/>
              <w:left w:val="nil"/>
              <w:bottom w:val="single" w:sz="4" w:space="0" w:color="000000"/>
              <w:right w:val="single" w:sz="4" w:space="0" w:color="000000"/>
            </w:tcBorders>
            <w:shd w:val="clear" w:color="auto" w:fill="FDE9D9" w:themeFill="accent6" w:themeFillTint="33"/>
            <w:vAlign w:val="center"/>
            <w:hideMark/>
          </w:tcPr>
          <w:p w:rsidR="00D10174" w:rsidRPr="004E1208" w:rsidRDefault="00D10174" w:rsidP="00C64192">
            <w:pPr>
              <w:jc w:val="center"/>
              <w:rPr>
                <w:rFonts w:hAnsi="標楷體"/>
                <w:spacing w:val="-20"/>
                <w:sz w:val="22"/>
                <w:szCs w:val="22"/>
              </w:rPr>
            </w:pPr>
            <w:r w:rsidRPr="004E1208">
              <w:rPr>
                <w:rFonts w:hAnsi="標楷體" w:hint="eastAsia"/>
                <w:spacing w:val="-20"/>
                <w:sz w:val="22"/>
                <w:szCs w:val="22"/>
              </w:rPr>
              <w:t>國有非公用</w:t>
            </w:r>
          </w:p>
          <w:p w:rsidR="00D10174" w:rsidRPr="004E1208" w:rsidRDefault="00D10174" w:rsidP="00C64192">
            <w:pPr>
              <w:jc w:val="center"/>
              <w:rPr>
                <w:rFonts w:hAnsi="標楷體"/>
                <w:spacing w:val="-20"/>
                <w:sz w:val="22"/>
                <w:szCs w:val="22"/>
              </w:rPr>
            </w:pPr>
            <w:r w:rsidRPr="004E1208">
              <w:rPr>
                <w:rFonts w:hAnsi="標楷體" w:hint="eastAsia"/>
                <w:spacing w:val="-20"/>
                <w:sz w:val="22"/>
                <w:szCs w:val="22"/>
              </w:rPr>
              <w:t>土地面積</w:t>
            </w:r>
          </w:p>
        </w:tc>
        <w:tc>
          <w:tcPr>
            <w:tcW w:w="1136" w:type="dxa"/>
            <w:tcBorders>
              <w:top w:val="single" w:sz="4" w:space="0" w:color="000000"/>
              <w:left w:val="nil"/>
              <w:bottom w:val="single" w:sz="4" w:space="0" w:color="000000"/>
              <w:right w:val="single" w:sz="4" w:space="0" w:color="000000"/>
            </w:tcBorders>
            <w:shd w:val="clear" w:color="auto" w:fill="FDE9D9" w:themeFill="accent6" w:themeFillTint="33"/>
            <w:vAlign w:val="center"/>
            <w:hideMark/>
          </w:tcPr>
          <w:p w:rsidR="00D10174" w:rsidRPr="004E1208" w:rsidRDefault="00D10174" w:rsidP="00C64192">
            <w:pPr>
              <w:jc w:val="center"/>
              <w:rPr>
                <w:rFonts w:hAnsi="標楷體"/>
                <w:spacing w:val="-20"/>
                <w:sz w:val="22"/>
                <w:szCs w:val="22"/>
              </w:rPr>
            </w:pPr>
            <w:r w:rsidRPr="004E1208">
              <w:rPr>
                <w:rFonts w:hAnsi="標楷體" w:hint="eastAsia"/>
                <w:spacing w:val="-20"/>
                <w:sz w:val="22"/>
                <w:szCs w:val="22"/>
              </w:rPr>
              <w:t>國有公用</w:t>
            </w:r>
          </w:p>
          <w:p w:rsidR="00D10174" w:rsidRPr="004E1208" w:rsidRDefault="00D10174" w:rsidP="00C64192">
            <w:pPr>
              <w:jc w:val="center"/>
              <w:rPr>
                <w:rFonts w:hAnsi="標楷體"/>
                <w:spacing w:val="-20"/>
                <w:sz w:val="22"/>
                <w:szCs w:val="22"/>
              </w:rPr>
            </w:pPr>
            <w:r w:rsidRPr="004E1208">
              <w:rPr>
                <w:rFonts w:hAnsi="標楷體" w:hint="eastAsia"/>
                <w:spacing w:val="-20"/>
                <w:sz w:val="22"/>
                <w:szCs w:val="22"/>
              </w:rPr>
              <w:t>土地面積</w:t>
            </w:r>
          </w:p>
        </w:tc>
        <w:tc>
          <w:tcPr>
            <w:tcW w:w="1132" w:type="dxa"/>
            <w:tcBorders>
              <w:top w:val="single" w:sz="4" w:space="0" w:color="000000"/>
              <w:left w:val="nil"/>
              <w:bottom w:val="single" w:sz="4" w:space="0" w:color="000000"/>
              <w:right w:val="single" w:sz="4" w:space="0" w:color="000000"/>
            </w:tcBorders>
            <w:shd w:val="clear" w:color="auto" w:fill="FDE9D9" w:themeFill="accent6" w:themeFillTint="33"/>
            <w:vAlign w:val="center"/>
            <w:hideMark/>
          </w:tcPr>
          <w:p w:rsidR="00D10174" w:rsidRPr="004E1208" w:rsidRDefault="00D10174" w:rsidP="00C64192">
            <w:pPr>
              <w:jc w:val="center"/>
              <w:rPr>
                <w:rFonts w:hAnsi="標楷體"/>
                <w:spacing w:val="-20"/>
                <w:sz w:val="22"/>
                <w:szCs w:val="22"/>
              </w:rPr>
            </w:pPr>
            <w:r w:rsidRPr="004E1208">
              <w:rPr>
                <w:rFonts w:hAnsi="標楷體" w:hint="eastAsia"/>
                <w:spacing w:val="-20"/>
                <w:sz w:val="22"/>
                <w:szCs w:val="22"/>
              </w:rPr>
              <w:t>國有土地</w:t>
            </w:r>
          </w:p>
          <w:p w:rsidR="00D10174" w:rsidRPr="004E1208" w:rsidRDefault="00D10174" w:rsidP="00C64192">
            <w:pPr>
              <w:jc w:val="center"/>
              <w:rPr>
                <w:rFonts w:hAnsi="標楷體"/>
                <w:spacing w:val="-20"/>
                <w:sz w:val="22"/>
                <w:szCs w:val="22"/>
              </w:rPr>
            </w:pPr>
            <w:r w:rsidRPr="004E1208">
              <w:rPr>
                <w:rFonts w:hAnsi="標楷體" w:hint="eastAsia"/>
                <w:spacing w:val="-20"/>
                <w:sz w:val="22"/>
                <w:szCs w:val="22"/>
              </w:rPr>
              <w:t>比例</w:t>
            </w:r>
          </w:p>
        </w:tc>
        <w:tc>
          <w:tcPr>
            <w:tcW w:w="1360" w:type="dxa"/>
            <w:tcBorders>
              <w:top w:val="single" w:sz="4" w:space="0" w:color="000000"/>
              <w:left w:val="nil"/>
              <w:bottom w:val="single" w:sz="4" w:space="0" w:color="000000"/>
              <w:right w:val="single" w:sz="4" w:space="0" w:color="000000"/>
            </w:tcBorders>
            <w:shd w:val="clear" w:color="auto" w:fill="FDE9D9" w:themeFill="accent6" w:themeFillTint="33"/>
            <w:vAlign w:val="center"/>
            <w:hideMark/>
          </w:tcPr>
          <w:p w:rsidR="00D10174" w:rsidRPr="004E1208" w:rsidRDefault="00D10174" w:rsidP="00C64192">
            <w:pPr>
              <w:jc w:val="center"/>
              <w:rPr>
                <w:rFonts w:hAnsi="標楷體"/>
                <w:spacing w:val="-20"/>
                <w:sz w:val="22"/>
                <w:szCs w:val="22"/>
              </w:rPr>
            </w:pPr>
            <w:r w:rsidRPr="004E1208">
              <w:rPr>
                <w:rFonts w:hAnsi="標楷體" w:hint="eastAsia"/>
                <w:spacing w:val="-20"/>
                <w:sz w:val="22"/>
                <w:szCs w:val="22"/>
              </w:rPr>
              <w:t>都更事業計畫</w:t>
            </w:r>
          </w:p>
          <w:p w:rsidR="00D10174" w:rsidRPr="004E1208" w:rsidRDefault="00D10174" w:rsidP="00C64192">
            <w:pPr>
              <w:jc w:val="center"/>
              <w:rPr>
                <w:rFonts w:hAnsi="標楷體"/>
                <w:spacing w:val="-20"/>
                <w:sz w:val="22"/>
                <w:szCs w:val="22"/>
              </w:rPr>
            </w:pPr>
            <w:r w:rsidRPr="004E1208">
              <w:rPr>
                <w:rFonts w:hAnsi="標楷體" w:hint="eastAsia"/>
                <w:spacing w:val="-20"/>
                <w:sz w:val="22"/>
                <w:szCs w:val="22"/>
              </w:rPr>
              <w:t>申請報核日期</w:t>
            </w:r>
          </w:p>
        </w:tc>
      </w:tr>
      <w:tr w:rsidR="00D10174" w:rsidRPr="004E1208" w:rsidTr="008926E6">
        <w:trPr>
          <w:trHeight w:val="567"/>
          <w:jc w:val="center"/>
        </w:trPr>
        <w:tc>
          <w:tcPr>
            <w:tcW w:w="567" w:type="dxa"/>
            <w:tcBorders>
              <w:top w:val="nil"/>
              <w:left w:val="single" w:sz="4" w:space="0" w:color="000000"/>
              <w:bottom w:val="single" w:sz="4" w:space="0" w:color="000000"/>
              <w:right w:val="single" w:sz="4" w:space="0" w:color="000000"/>
            </w:tcBorders>
            <w:shd w:val="clear" w:color="FFFFFF" w:fill="FFFFFF"/>
            <w:vAlign w:val="center"/>
            <w:hideMark/>
          </w:tcPr>
          <w:p w:rsidR="00D10174" w:rsidRPr="004E1208" w:rsidRDefault="00D10174" w:rsidP="00C64192">
            <w:pPr>
              <w:jc w:val="center"/>
              <w:rPr>
                <w:rFonts w:hAnsi="標楷體"/>
                <w:spacing w:val="-20"/>
                <w:sz w:val="22"/>
                <w:szCs w:val="22"/>
              </w:rPr>
            </w:pPr>
            <w:r w:rsidRPr="004E1208">
              <w:rPr>
                <w:rFonts w:hAnsi="標楷體" w:hint="eastAsia"/>
                <w:spacing w:val="-20"/>
                <w:sz w:val="22"/>
                <w:szCs w:val="22"/>
              </w:rPr>
              <w:t>1</w:t>
            </w:r>
          </w:p>
        </w:tc>
        <w:tc>
          <w:tcPr>
            <w:tcW w:w="1271" w:type="dxa"/>
            <w:tcBorders>
              <w:top w:val="nil"/>
              <w:left w:val="nil"/>
              <w:bottom w:val="single" w:sz="4" w:space="0" w:color="000000"/>
              <w:right w:val="single" w:sz="4" w:space="0" w:color="000000"/>
            </w:tcBorders>
            <w:shd w:val="clear" w:color="FFFFFF" w:fill="FFFFFF"/>
            <w:vAlign w:val="center"/>
            <w:hideMark/>
          </w:tcPr>
          <w:p w:rsidR="00D10174" w:rsidRPr="004E1208" w:rsidRDefault="00D10174" w:rsidP="00C64192">
            <w:pPr>
              <w:rPr>
                <w:rFonts w:hAnsi="標楷體"/>
                <w:spacing w:val="-20"/>
                <w:sz w:val="22"/>
                <w:szCs w:val="22"/>
              </w:rPr>
            </w:pPr>
            <w:r w:rsidRPr="004E1208">
              <w:rPr>
                <w:rFonts w:hAnsi="標楷體" w:hint="eastAsia"/>
                <w:spacing w:val="-20"/>
                <w:sz w:val="22"/>
                <w:szCs w:val="22"/>
              </w:rPr>
              <w:t>臺北市中正區</w:t>
            </w:r>
          </w:p>
        </w:tc>
        <w:tc>
          <w:tcPr>
            <w:tcW w:w="1134" w:type="dxa"/>
            <w:tcBorders>
              <w:top w:val="nil"/>
              <w:left w:val="nil"/>
              <w:bottom w:val="single" w:sz="4" w:space="0" w:color="000000"/>
              <w:right w:val="single" w:sz="4" w:space="0" w:color="000000"/>
            </w:tcBorders>
            <w:shd w:val="clear" w:color="FFFFFF" w:fill="FFFFFF"/>
            <w:vAlign w:val="center"/>
            <w:hideMark/>
          </w:tcPr>
          <w:p w:rsidR="00D10174" w:rsidRPr="004E1208" w:rsidRDefault="00263732" w:rsidP="00263732">
            <w:pPr>
              <w:jc w:val="center"/>
              <w:rPr>
                <w:rFonts w:hAnsi="標楷體"/>
                <w:spacing w:val="-20"/>
                <w:sz w:val="22"/>
                <w:szCs w:val="22"/>
              </w:rPr>
            </w:pPr>
            <w:r w:rsidRPr="004E1208">
              <w:rPr>
                <w:rFonts w:hAnsi="標楷體" w:hint="eastAsia"/>
                <w:spacing w:val="-20"/>
                <w:sz w:val="22"/>
                <w:szCs w:val="22"/>
              </w:rPr>
              <w:t>私人</w:t>
            </w:r>
            <w:r w:rsidR="00D10174" w:rsidRPr="004E1208">
              <w:rPr>
                <w:rFonts w:hAnsi="標楷體" w:hint="eastAsia"/>
                <w:spacing w:val="-20"/>
                <w:sz w:val="22"/>
                <w:szCs w:val="22"/>
              </w:rPr>
              <w:t>公司</w:t>
            </w:r>
          </w:p>
        </w:tc>
        <w:tc>
          <w:tcPr>
            <w:tcW w:w="1136" w:type="dxa"/>
            <w:tcBorders>
              <w:top w:val="nil"/>
              <w:left w:val="nil"/>
              <w:bottom w:val="single" w:sz="4" w:space="0" w:color="000000"/>
              <w:right w:val="single" w:sz="4" w:space="0" w:color="000000"/>
            </w:tcBorders>
            <w:shd w:val="clear" w:color="FFFFFF" w:fill="FFFFFF"/>
            <w:noWrap/>
            <w:vAlign w:val="center"/>
            <w:hideMark/>
          </w:tcPr>
          <w:p w:rsidR="00D10174" w:rsidRPr="004E1208" w:rsidRDefault="00D10174" w:rsidP="00C64192">
            <w:pPr>
              <w:jc w:val="right"/>
              <w:rPr>
                <w:rFonts w:hAnsi="標楷體"/>
                <w:spacing w:val="-20"/>
                <w:sz w:val="22"/>
                <w:szCs w:val="22"/>
              </w:rPr>
            </w:pPr>
            <w:r w:rsidRPr="004E1208">
              <w:rPr>
                <w:rFonts w:hAnsi="標楷體" w:hint="eastAsia"/>
                <w:spacing w:val="-20"/>
                <w:sz w:val="22"/>
                <w:szCs w:val="22"/>
              </w:rPr>
              <w:t>5,299.00</w:t>
            </w:r>
          </w:p>
        </w:tc>
        <w:tc>
          <w:tcPr>
            <w:tcW w:w="1132" w:type="dxa"/>
            <w:tcBorders>
              <w:top w:val="nil"/>
              <w:left w:val="nil"/>
              <w:bottom w:val="single" w:sz="4" w:space="0" w:color="000000"/>
              <w:right w:val="single" w:sz="4" w:space="0" w:color="000000"/>
            </w:tcBorders>
            <w:shd w:val="clear" w:color="FFFFFF" w:fill="FFFFFF"/>
            <w:noWrap/>
            <w:vAlign w:val="center"/>
            <w:hideMark/>
          </w:tcPr>
          <w:p w:rsidR="00D10174" w:rsidRPr="004E1208" w:rsidRDefault="00D10174" w:rsidP="00C64192">
            <w:pPr>
              <w:jc w:val="right"/>
              <w:rPr>
                <w:rFonts w:hAnsi="標楷體"/>
                <w:spacing w:val="-20"/>
                <w:sz w:val="22"/>
                <w:szCs w:val="22"/>
              </w:rPr>
            </w:pPr>
            <w:r w:rsidRPr="004E1208">
              <w:rPr>
                <w:rFonts w:hAnsi="標楷體" w:hint="eastAsia"/>
                <w:spacing w:val="-20"/>
                <w:sz w:val="22"/>
                <w:szCs w:val="22"/>
              </w:rPr>
              <w:t>4,819.00</w:t>
            </w:r>
          </w:p>
        </w:tc>
        <w:tc>
          <w:tcPr>
            <w:tcW w:w="1136" w:type="dxa"/>
            <w:tcBorders>
              <w:top w:val="nil"/>
              <w:left w:val="nil"/>
              <w:bottom w:val="single" w:sz="4" w:space="0" w:color="000000"/>
              <w:right w:val="single" w:sz="4" w:space="0" w:color="000000"/>
            </w:tcBorders>
            <w:shd w:val="clear" w:color="FFFFFF" w:fill="FFFFFF"/>
            <w:noWrap/>
            <w:vAlign w:val="center"/>
            <w:hideMark/>
          </w:tcPr>
          <w:p w:rsidR="00D10174" w:rsidRPr="004E1208" w:rsidRDefault="00D10174" w:rsidP="00C64192">
            <w:pPr>
              <w:jc w:val="right"/>
              <w:rPr>
                <w:rFonts w:hAnsi="標楷體"/>
                <w:spacing w:val="-20"/>
                <w:sz w:val="22"/>
                <w:szCs w:val="22"/>
              </w:rPr>
            </w:pPr>
            <w:r w:rsidRPr="004E1208">
              <w:rPr>
                <w:rFonts w:hAnsi="標楷體" w:hint="eastAsia"/>
                <w:spacing w:val="-20"/>
                <w:sz w:val="22"/>
                <w:szCs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D10174" w:rsidRPr="004E1208" w:rsidRDefault="00D10174" w:rsidP="00C64192">
            <w:pPr>
              <w:jc w:val="right"/>
              <w:rPr>
                <w:rFonts w:hAnsi="標楷體"/>
                <w:b/>
                <w:spacing w:val="-20"/>
                <w:sz w:val="28"/>
                <w:szCs w:val="28"/>
              </w:rPr>
            </w:pPr>
            <w:r w:rsidRPr="004E1208">
              <w:rPr>
                <w:rFonts w:hAnsi="標楷體" w:hint="eastAsia"/>
                <w:b/>
                <w:spacing w:val="-20"/>
                <w:sz w:val="28"/>
                <w:szCs w:val="28"/>
              </w:rPr>
              <w:t>90.94</w:t>
            </w:r>
          </w:p>
        </w:tc>
        <w:tc>
          <w:tcPr>
            <w:tcW w:w="1360" w:type="dxa"/>
            <w:tcBorders>
              <w:top w:val="nil"/>
              <w:left w:val="nil"/>
              <w:bottom w:val="single" w:sz="4" w:space="0" w:color="000000"/>
              <w:right w:val="single" w:sz="4" w:space="0" w:color="000000"/>
            </w:tcBorders>
            <w:shd w:val="clear" w:color="auto" w:fill="auto"/>
            <w:vAlign w:val="center"/>
            <w:hideMark/>
          </w:tcPr>
          <w:p w:rsidR="00D10174" w:rsidRPr="004E1208" w:rsidRDefault="00D10174" w:rsidP="00C64192">
            <w:pPr>
              <w:jc w:val="center"/>
              <w:rPr>
                <w:rFonts w:hAnsi="標楷體"/>
                <w:spacing w:val="-20"/>
                <w:sz w:val="22"/>
                <w:szCs w:val="22"/>
              </w:rPr>
            </w:pPr>
            <w:r w:rsidRPr="004E1208">
              <w:rPr>
                <w:rFonts w:hAnsi="標楷體" w:hint="eastAsia"/>
                <w:spacing w:val="-20"/>
                <w:sz w:val="22"/>
                <w:szCs w:val="22"/>
              </w:rPr>
              <w:t>94.6.1</w:t>
            </w:r>
          </w:p>
        </w:tc>
      </w:tr>
      <w:tr w:rsidR="00263732" w:rsidRPr="004E1208" w:rsidTr="008926E6">
        <w:trPr>
          <w:trHeight w:val="567"/>
          <w:jc w:val="center"/>
        </w:trPr>
        <w:tc>
          <w:tcPr>
            <w:tcW w:w="567" w:type="dxa"/>
            <w:tcBorders>
              <w:top w:val="nil"/>
              <w:left w:val="single" w:sz="4" w:space="0" w:color="000000"/>
              <w:bottom w:val="single" w:sz="4" w:space="0" w:color="000000"/>
              <w:right w:val="single" w:sz="4" w:space="0" w:color="000000"/>
            </w:tcBorders>
            <w:shd w:val="clear" w:color="FFFFFF" w:fill="FFFFFF"/>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2</w:t>
            </w:r>
          </w:p>
        </w:tc>
        <w:tc>
          <w:tcPr>
            <w:tcW w:w="1271"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rPr>
                <w:rFonts w:hAnsi="標楷體"/>
                <w:spacing w:val="-20"/>
                <w:sz w:val="22"/>
                <w:szCs w:val="22"/>
              </w:rPr>
            </w:pPr>
            <w:r w:rsidRPr="004E1208">
              <w:rPr>
                <w:rFonts w:hAnsi="標楷體" w:hint="eastAsia"/>
                <w:spacing w:val="-20"/>
                <w:sz w:val="22"/>
                <w:szCs w:val="22"/>
              </w:rPr>
              <w:t>臺北市大同區</w:t>
            </w:r>
          </w:p>
        </w:tc>
        <w:tc>
          <w:tcPr>
            <w:tcW w:w="1134"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私人公司</w:t>
            </w:r>
          </w:p>
        </w:tc>
        <w:tc>
          <w:tcPr>
            <w:tcW w:w="1136"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1,672.00</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1,140.00</w:t>
            </w:r>
          </w:p>
        </w:tc>
        <w:tc>
          <w:tcPr>
            <w:tcW w:w="1136" w:type="dxa"/>
            <w:tcBorders>
              <w:top w:val="nil"/>
              <w:left w:val="nil"/>
              <w:bottom w:val="single" w:sz="4" w:space="0" w:color="000000"/>
              <w:right w:val="single" w:sz="4" w:space="0" w:color="000000"/>
            </w:tcBorders>
            <w:shd w:val="clear" w:color="FFFFFF" w:fill="FFFFFF"/>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68.18</w:t>
            </w:r>
          </w:p>
        </w:tc>
        <w:tc>
          <w:tcPr>
            <w:tcW w:w="1360"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100.12.9</w:t>
            </w:r>
          </w:p>
        </w:tc>
      </w:tr>
      <w:tr w:rsidR="00263732" w:rsidRPr="004E1208" w:rsidTr="008926E6">
        <w:trPr>
          <w:trHeight w:val="567"/>
          <w:jc w:val="center"/>
        </w:trPr>
        <w:tc>
          <w:tcPr>
            <w:tcW w:w="567" w:type="dxa"/>
            <w:tcBorders>
              <w:top w:val="nil"/>
              <w:left w:val="single" w:sz="4" w:space="0" w:color="000000"/>
              <w:bottom w:val="single" w:sz="4" w:space="0" w:color="000000"/>
              <w:right w:val="single" w:sz="4" w:space="0" w:color="000000"/>
            </w:tcBorders>
            <w:shd w:val="clear" w:color="FFFFFF" w:fill="FFFFFF"/>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3</w:t>
            </w:r>
          </w:p>
        </w:tc>
        <w:tc>
          <w:tcPr>
            <w:tcW w:w="1271" w:type="dxa"/>
            <w:tcBorders>
              <w:top w:val="nil"/>
              <w:left w:val="nil"/>
              <w:bottom w:val="single" w:sz="4" w:space="0" w:color="000000"/>
              <w:right w:val="single" w:sz="4" w:space="0" w:color="000000"/>
            </w:tcBorders>
            <w:shd w:val="clear" w:color="FFFFFF" w:fill="FFFFFF"/>
            <w:vAlign w:val="center"/>
            <w:hideMark/>
          </w:tcPr>
          <w:p w:rsidR="00263732" w:rsidRPr="004E1208" w:rsidRDefault="00263732" w:rsidP="00263732">
            <w:pPr>
              <w:rPr>
                <w:rFonts w:hAnsi="標楷體"/>
                <w:spacing w:val="-20"/>
                <w:sz w:val="22"/>
                <w:szCs w:val="22"/>
              </w:rPr>
            </w:pPr>
            <w:r w:rsidRPr="004E1208">
              <w:rPr>
                <w:rFonts w:hAnsi="標楷體" w:hint="eastAsia"/>
                <w:spacing w:val="-20"/>
                <w:sz w:val="22"/>
                <w:szCs w:val="22"/>
              </w:rPr>
              <w:t>臺北市松山區</w:t>
            </w:r>
          </w:p>
        </w:tc>
        <w:tc>
          <w:tcPr>
            <w:tcW w:w="1134" w:type="dxa"/>
            <w:tcBorders>
              <w:top w:val="nil"/>
              <w:left w:val="nil"/>
              <w:bottom w:val="single" w:sz="4" w:space="0" w:color="000000"/>
              <w:right w:val="single" w:sz="4" w:space="0" w:color="000000"/>
            </w:tcBorders>
            <w:shd w:val="clear" w:color="FFFFFF" w:fill="FFFFFF"/>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私人公司</w:t>
            </w:r>
          </w:p>
        </w:tc>
        <w:tc>
          <w:tcPr>
            <w:tcW w:w="1136" w:type="dxa"/>
            <w:tcBorders>
              <w:top w:val="nil"/>
              <w:left w:val="nil"/>
              <w:bottom w:val="single" w:sz="4" w:space="0" w:color="000000"/>
              <w:right w:val="single" w:sz="4" w:space="0" w:color="000000"/>
            </w:tcBorders>
            <w:shd w:val="clear" w:color="FFFFFF" w:fill="FFFFFF"/>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11,114.00</w:t>
            </w:r>
          </w:p>
        </w:tc>
        <w:tc>
          <w:tcPr>
            <w:tcW w:w="1132" w:type="dxa"/>
            <w:tcBorders>
              <w:top w:val="nil"/>
              <w:left w:val="nil"/>
              <w:bottom w:val="single" w:sz="4" w:space="0" w:color="000000"/>
              <w:right w:val="single" w:sz="4" w:space="0" w:color="000000"/>
            </w:tcBorders>
            <w:shd w:val="clear" w:color="FFFFFF" w:fill="FFFFFF"/>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7,677.50</w:t>
            </w:r>
          </w:p>
        </w:tc>
        <w:tc>
          <w:tcPr>
            <w:tcW w:w="1136" w:type="dxa"/>
            <w:tcBorders>
              <w:top w:val="nil"/>
              <w:left w:val="nil"/>
              <w:bottom w:val="single" w:sz="4" w:space="0" w:color="000000"/>
              <w:right w:val="single" w:sz="4" w:space="0" w:color="000000"/>
            </w:tcBorders>
            <w:shd w:val="clear" w:color="FFFFFF" w:fill="FFFFFF"/>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69.08</w:t>
            </w:r>
          </w:p>
        </w:tc>
        <w:tc>
          <w:tcPr>
            <w:tcW w:w="1360"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95.1.12</w:t>
            </w:r>
          </w:p>
        </w:tc>
      </w:tr>
      <w:tr w:rsidR="00263732" w:rsidRPr="004E1208" w:rsidTr="008926E6">
        <w:trPr>
          <w:trHeight w:val="567"/>
          <w:jc w:val="center"/>
        </w:trPr>
        <w:tc>
          <w:tcPr>
            <w:tcW w:w="567" w:type="dxa"/>
            <w:tcBorders>
              <w:top w:val="nil"/>
              <w:left w:val="single" w:sz="4" w:space="0" w:color="000000"/>
              <w:bottom w:val="single" w:sz="4" w:space="0" w:color="000000"/>
              <w:right w:val="single" w:sz="4" w:space="0" w:color="000000"/>
            </w:tcBorders>
            <w:shd w:val="clear" w:color="FFFFFF" w:fill="FFFFFF"/>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4</w:t>
            </w:r>
          </w:p>
        </w:tc>
        <w:tc>
          <w:tcPr>
            <w:tcW w:w="1271"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rPr>
                <w:rFonts w:hAnsi="標楷體"/>
                <w:spacing w:val="-20"/>
                <w:sz w:val="22"/>
                <w:szCs w:val="22"/>
              </w:rPr>
            </w:pPr>
            <w:r w:rsidRPr="004E1208">
              <w:rPr>
                <w:rFonts w:hAnsi="標楷體" w:hint="eastAsia"/>
                <w:spacing w:val="-20"/>
                <w:sz w:val="22"/>
                <w:szCs w:val="22"/>
              </w:rPr>
              <w:t>臺北市松山區</w:t>
            </w:r>
          </w:p>
        </w:tc>
        <w:tc>
          <w:tcPr>
            <w:tcW w:w="1134"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私人公司</w:t>
            </w:r>
          </w:p>
        </w:tc>
        <w:tc>
          <w:tcPr>
            <w:tcW w:w="1136"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5,227.87</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3,794.87</w:t>
            </w:r>
          </w:p>
        </w:tc>
        <w:tc>
          <w:tcPr>
            <w:tcW w:w="1136" w:type="dxa"/>
            <w:tcBorders>
              <w:top w:val="nil"/>
              <w:left w:val="nil"/>
              <w:bottom w:val="single" w:sz="4" w:space="0" w:color="000000"/>
              <w:right w:val="single" w:sz="4" w:space="0" w:color="000000"/>
            </w:tcBorders>
            <w:shd w:val="clear" w:color="FFFFFF" w:fill="FFFFFF"/>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896.00</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b/>
                <w:spacing w:val="-20"/>
                <w:sz w:val="28"/>
                <w:szCs w:val="28"/>
              </w:rPr>
            </w:pPr>
            <w:r w:rsidRPr="004E1208">
              <w:rPr>
                <w:rFonts w:hAnsi="標楷體" w:hint="eastAsia"/>
                <w:b/>
                <w:spacing w:val="-20"/>
                <w:sz w:val="28"/>
                <w:szCs w:val="28"/>
              </w:rPr>
              <w:t>89.73</w:t>
            </w:r>
          </w:p>
        </w:tc>
        <w:tc>
          <w:tcPr>
            <w:tcW w:w="1360"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96.8.15</w:t>
            </w:r>
          </w:p>
        </w:tc>
      </w:tr>
      <w:tr w:rsidR="00263732" w:rsidRPr="004E1208" w:rsidTr="008926E6">
        <w:trPr>
          <w:trHeight w:val="567"/>
          <w:jc w:val="center"/>
        </w:trPr>
        <w:tc>
          <w:tcPr>
            <w:tcW w:w="567" w:type="dxa"/>
            <w:tcBorders>
              <w:top w:val="nil"/>
              <w:left w:val="single" w:sz="4" w:space="0" w:color="000000"/>
              <w:bottom w:val="single" w:sz="4" w:space="0" w:color="000000"/>
              <w:right w:val="single" w:sz="4" w:space="0" w:color="000000"/>
            </w:tcBorders>
            <w:shd w:val="clear" w:color="FFFFFF" w:fill="FFFFFF"/>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5</w:t>
            </w:r>
          </w:p>
        </w:tc>
        <w:tc>
          <w:tcPr>
            <w:tcW w:w="1271"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rPr>
                <w:rFonts w:hAnsi="標楷體"/>
                <w:spacing w:val="-20"/>
                <w:sz w:val="22"/>
                <w:szCs w:val="22"/>
              </w:rPr>
            </w:pPr>
            <w:r w:rsidRPr="004E1208">
              <w:rPr>
                <w:rFonts w:hAnsi="標楷體" w:hint="eastAsia"/>
                <w:spacing w:val="-20"/>
                <w:sz w:val="22"/>
                <w:szCs w:val="22"/>
              </w:rPr>
              <w:t>臺北市中山區</w:t>
            </w:r>
          </w:p>
        </w:tc>
        <w:tc>
          <w:tcPr>
            <w:tcW w:w="1134"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私人公司</w:t>
            </w:r>
          </w:p>
        </w:tc>
        <w:tc>
          <w:tcPr>
            <w:tcW w:w="1136"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1,353.00</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761.00</w:t>
            </w:r>
          </w:p>
        </w:tc>
        <w:tc>
          <w:tcPr>
            <w:tcW w:w="1136" w:type="dxa"/>
            <w:tcBorders>
              <w:top w:val="nil"/>
              <w:left w:val="nil"/>
              <w:bottom w:val="single" w:sz="4" w:space="0" w:color="000000"/>
              <w:right w:val="single" w:sz="4" w:space="0" w:color="000000"/>
            </w:tcBorders>
            <w:shd w:val="clear" w:color="FFFFFF" w:fill="FFFFFF"/>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56.25</w:t>
            </w:r>
          </w:p>
        </w:tc>
        <w:tc>
          <w:tcPr>
            <w:tcW w:w="1360"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103.4.22</w:t>
            </w:r>
          </w:p>
        </w:tc>
      </w:tr>
      <w:tr w:rsidR="00263732" w:rsidRPr="004E1208" w:rsidTr="008926E6">
        <w:trPr>
          <w:trHeight w:val="567"/>
          <w:jc w:val="center"/>
        </w:trPr>
        <w:tc>
          <w:tcPr>
            <w:tcW w:w="567" w:type="dxa"/>
            <w:tcBorders>
              <w:top w:val="nil"/>
              <w:left w:val="single" w:sz="4" w:space="0" w:color="000000"/>
              <w:bottom w:val="single" w:sz="4" w:space="0" w:color="000000"/>
              <w:right w:val="single" w:sz="4" w:space="0" w:color="000000"/>
            </w:tcBorders>
            <w:shd w:val="clear" w:color="FFFFFF" w:fill="FFFFFF"/>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6</w:t>
            </w:r>
          </w:p>
        </w:tc>
        <w:tc>
          <w:tcPr>
            <w:tcW w:w="1271" w:type="dxa"/>
            <w:tcBorders>
              <w:top w:val="nil"/>
              <w:left w:val="nil"/>
              <w:bottom w:val="single" w:sz="4" w:space="0" w:color="000000"/>
              <w:right w:val="single" w:sz="4" w:space="0" w:color="000000"/>
            </w:tcBorders>
            <w:shd w:val="clear" w:color="FFFFFF" w:fill="FFFFFF"/>
            <w:vAlign w:val="center"/>
            <w:hideMark/>
          </w:tcPr>
          <w:p w:rsidR="00263732" w:rsidRPr="004E1208" w:rsidRDefault="00263732" w:rsidP="00263732">
            <w:pPr>
              <w:rPr>
                <w:rFonts w:hAnsi="標楷體"/>
                <w:spacing w:val="-20"/>
                <w:sz w:val="22"/>
                <w:szCs w:val="22"/>
              </w:rPr>
            </w:pPr>
            <w:r w:rsidRPr="004E1208">
              <w:rPr>
                <w:rFonts w:hAnsi="標楷體" w:hint="eastAsia"/>
                <w:spacing w:val="-20"/>
                <w:sz w:val="22"/>
                <w:szCs w:val="22"/>
              </w:rPr>
              <w:t>臺北市大安區</w:t>
            </w:r>
          </w:p>
        </w:tc>
        <w:tc>
          <w:tcPr>
            <w:tcW w:w="1134" w:type="dxa"/>
            <w:tcBorders>
              <w:top w:val="nil"/>
              <w:left w:val="nil"/>
              <w:bottom w:val="single" w:sz="4" w:space="0" w:color="000000"/>
              <w:right w:val="single" w:sz="4" w:space="0" w:color="000000"/>
            </w:tcBorders>
            <w:shd w:val="clear" w:color="FFFFFF" w:fill="FFFFFF"/>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私人公司</w:t>
            </w:r>
          </w:p>
        </w:tc>
        <w:tc>
          <w:tcPr>
            <w:tcW w:w="1136" w:type="dxa"/>
            <w:tcBorders>
              <w:top w:val="nil"/>
              <w:left w:val="nil"/>
              <w:bottom w:val="single" w:sz="4" w:space="0" w:color="000000"/>
              <w:right w:val="single" w:sz="4" w:space="0" w:color="000000"/>
            </w:tcBorders>
            <w:shd w:val="clear" w:color="FFFFFF" w:fill="FFFFFF"/>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1,704.00</w:t>
            </w:r>
          </w:p>
        </w:tc>
        <w:tc>
          <w:tcPr>
            <w:tcW w:w="1132" w:type="dxa"/>
            <w:tcBorders>
              <w:top w:val="nil"/>
              <w:left w:val="nil"/>
              <w:bottom w:val="single" w:sz="4" w:space="0" w:color="000000"/>
              <w:right w:val="single" w:sz="4" w:space="0" w:color="000000"/>
            </w:tcBorders>
            <w:shd w:val="clear" w:color="FFFFFF" w:fill="FFFFFF"/>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1,311.00</w:t>
            </w:r>
          </w:p>
        </w:tc>
        <w:tc>
          <w:tcPr>
            <w:tcW w:w="1136" w:type="dxa"/>
            <w:tcBorders>
              <w:top w:val="nil"/>
              <w:left w:val="nil"/>
              <w:bottom w:val="single" w:sz="4" w:space="0" w:color="000000"/>
              <w:right w:val="single" w:sz="4" w:space="0" w:color="000000"/>
            </w:tcBorders>
            <w:shd w:val="clear" w:color="FFFFFF" w:fill="FFFFFF"/>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203.00</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b/>
                <w:spacing w:val="-20"/>
                <w:sz w:val="28"/>
                <w:szCs w:val="28"/>
              </w:rPr>
            </w:pPr>
            <w:r w:rsidRPr="004E1208">
              <w:rPr>
                <w:rFonts w:hAnsi="標楷體" w:hint="eastAsia"/>
                <w:b/>
                <w:spacing w:val="-20"/>
                <w:sz w:val="28"/>
                <w:szCs w:val="28"/>
              </w:rPr>
              <w:t>88.85</w:t>
            </w:r>
          </w:p>
        </w:tc>
        <w:tc>
          <w:tcPr>
            <w:tcW w:w="1360"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101.3.3</w:t>
            </w:r>
          </w:p>
        </w:tc>
      </w:tr>
      <w:tr w:rsidR="00263732" w:rsidRPr="004E1208" w:rsidTr="008926E6">
        <w:trPr>
          <w:trHeight w:val="567"/>
          <w:jc w:val="center"/>
        </w:trPr>
        <w:tc>
          <w:tcPr>
            <w:tcW w:w="567" w:type="dxa"/>
            <w:tcBorders>
              <w:top w:val="nil"/>
              <w:left w:val="single" w:sz="4" w:space="0" w:color="000000"/>
              <w:bottom w:val="single" w:sz="4" w:space="0" w:color="000000"/>
              <w:right w:val="single" w:sz="4" w:space="0" w:color="000000"/>
            </w:tcBorders>
            <w:shd w:val="clear" w:color="FFFFFF" w:fill="FFFFFF"/>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7</w:t>
            </w:r>
          </w:p>
        </w:tc>
        <w:tc>
          <w:tcPr>
            <w:tcW w:w="1271"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rPr>
                <w:rFonts w:hAnsi="標楷體"/>
                <w:spacing w:val="-20"/>
                <w:sz w:val="22"/>
                <w:szCs w:val="22"/>
              </w:rPr>
            </w:pPr>
            <w:r w:rsidRPr="004E1208">
              <w:rPr>
                <w:rFonts w:hAnsi="標楷體" w:hint="eastAsia"/>
                <w:spacing w:val="-20"/>
                <w:sz w:val="22"/>
                <w:szCs w:val="22"/>
              </w:rPr>
              <w:t>臺北市中正區</w:t>
            </w:r>
          </w:p>
        </w:tc>
        <w:tc>
          <w:tcPr>
            <w:tcW w:w="1134"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私人公司</w:t>
            </w:r>
          </w:p>
        </w:tc>
        <w:tc>
          <w:tcPr>
            <w:tcW w:w="1136"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4,159.00</w:t>
            </w:r>
          </w:p>
        </w:tc>
        <w:tc>
          <w:tcPr>
            <w:tcW w:w="1132"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2,395.98</w:t>
            </w:r>
          </w:p>
        </w:tc>
        <w:tc>
          <w:tcPr>
            <w:tcW w:w="1136" w:type="dxa"/>
            <w:tcBorders>
              <w:top w:val="nil"/>
              <w:left w:val="nil"/>
              <w:bottom w:val="single" w:sz="4" w:space="0" w:color="000000"/>
              <w:right w:val="single" w:sz="4" w:space="0" w:color="000000"/>
            </w:tcBorders>
            <w:shd w:val="clear" w:color="FFFFFF" w:fill="FFFFFF"/>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282.02</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64.39</w:t>
            </w:r>
          </w:p>
        </w:tc>
        <w:tc>
          <w:tcPr>
            <w:tcW w:w="1360"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100.4.25</w:t>
            </w:r>
          </w:p>
        </w:tc>
      </w:tr>
      <w:tr w:rsidR="00263732" w:rsidRPr="004E1208" w:rsidTr="008926E6">
        <w:trPr>
          <w:trHeight w:val="567"/>
          <w:jc w:val="center"/>
        </w:trPr>
        <w:tc>
          <w:tcPr>
            <w:tcW w:w="567" w:type="dxa"/>
            <w:tcBorders>
              <w:top w:val="nil"/>
              <w:left w:val="single" w:sz="4" w:space="0" w:color="000000"/>
              <w:bottom w:val="single" w:sz="4" w:space="0" w:color="000000"/>
              <w:right w:val="single" w:sz="4" w:space="0" w:color="000000"/>
            </w:tcBorders>
            <w:shd w:val="clear" w:color="FFFFFF" w:fill="FFFFFF"/>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8</w:t>
            </w:r>
          </w:p>
        </w:tc>
        <w:tc>
          <w:tcPr>
            <w:tcW w:w="1271"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rPr>
                <w:rFonts w:hAnsi="標楷體"/>
                <w:spacing w:val="-20"/>
                <w:sz w:val="22"/>
                <w:szCs w:val="22"/>
              </w:rPr>
            </w:pPr>
            <w:r w:rsidRPr="004E1208">
              <w:rPr>
                <w:rFonts w:hAnsi="標楷體" w:hint="eastAsia"/>
                <w:spacing w:val="-20"/>
                <w:sz w:val="22"/>
                <w:szCs w:val="22"/>
              </w:rPr>
              <w:t>新北市板橋區</w:t>
            </w:r>
          </w:p>
        </w:tc>
        <w:tc>
          <w:tcPr>
            <w:tcW w:w="1134"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私人公司</w:t>
            </w:r>
          </w:p>
        </w:tc>
        <w:tc>
          <w:tcPr>
            <w:tcW w:w="1136"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3,056.43</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1,740.43</w:t>
            </w:r>
          </w:p>
        </w:tc>
        <w:tc>
          <w:tcPr>
            <w:tcW w:w="1136" w:type="dxa"/>
            <w:tcBorders>
              <w:top w:val="nil"/>
              <w:left w:val="nil"/>
              <w:bottom w:val="single" w:sz="4" w:space="0" w:color="000000"/>
              <w:right w:val="single" w:sz="4" w:space="0" w:color="000000"/>
            </w:tcBorders>
            <w:shd w:val="clear" w:color="FFFFFF" w:fill="FFFFFF"/>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56.94</w:t>
            </w:r>
          </w:p>
        </w:tc>
        <w:tc>
          <w:tcPr>
            <w:tcW w:w="1360"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102.1.16</w:t>
            </w:r>
          </w:p>
        </w:tc>
      </w:tr>
      <w:tr w:rsidR="00263732" w:rsidRPr="004E1208" w:rsidTr="008926E6">
        <w:trPr>
          <w:trHeight w:val="567"/>
          <w:jc w:val="center"/>
        </w:trPr>
        <w:tc>
          <w:tcPr>
            <w:tcW w:w="567" w:type="dxa"/>
            <w:tcBorders>
              <w:top w:val="nil"/>
              <w:left w:val="single" w:sz="4" w:space="0" w:color="000000"/>
              <w:bottom w:val="single" w:sz="4" w:space="0" w:color="000000"/>
              <w:right w:val="single" w:sz="4" w:space="0" w:color="000000"/>
            </w:tcBorders>
            <w:shd w:val="clear" w:color="FFFFFF" w:fill="FFFFFF"/>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9</w:t>
            </w:r>
          </w:p>
        </w:tc>
        <w:tc>
          <w:tcPr>
            <w:tcW w:w="1271"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rPr>
                <w:rFonts w:hAnsi="標楷體"/>
                <w:spacing w:val="-20"/>
                <w:sz w:val="22"/>
                <w:szCs w:val="22"/>
              </w:rPr>
            </w:pPr>
            <w:r w:rsidRPr="004E1208">
              <w:rPr>
                <w:rFonts w:hAnsi="標楷體" w:hint="eastAsia"/>
                <w:spacing w:val="-20"/>
                <w:sz w:val="22"/>
                <w:szCs w:val="22"/>
              </w:rPr>
              <w:t>臺北市文山區</w:t>
            </w:r>
          </w:p>
        </w:tc>
        <w:tc>
          <w:tcPr>
            <w:tcW w:w="1134"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私人公司</w:t>
            </w:r>
          </w:p>
        </w:tc>
        <w:tc>
          <w:tcPr>
            <w:tcW w:w="1136"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2,193.36</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1,160.00</w:t>
            </w:r>
          </w:p>
        </w:tc>
        <w:tc>
          <w:tcPr>
            <w:tcW w:w="1136"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30.43</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54.27</w:t>
            </w:r>
          </w:p>
        </w:tc>
        <w:tc>
          <w:tcPr>
            <w:tcW w:w="1360"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106.1.25</w:t>
            </w:r>
          </w:p>
        </w:tc>
      </w:tr>
      <w:tr w:rsidR="00263732" w:rsidRPr="004E1208" w:rsidTr="008926E6">
        <w:trPr>
          <w:trHeight w:val="567"/>
          <w:jc w:val="center"/>
        </w:trPr>
        <w:tc>
          <w:tcPr>
            <w:tcW w:w="567" w:type="dxa"/>
            <w:tcBorders>
              <w:top w:val="nil"/>
              <w:left w:val="single" w:sz="4" w:space="0" w:color="000000"/>
              <w:bottom w:val="single" w:sz="4" w:space="0" w:color="000000"/>
              <w:right w:val="single" w:sz="4" w:space="0" w:color="000000"/>
            </w:tcBorders>
            <w:shd w:val="clear" w:color="FFFFFF" w:fill="FFFFFF"/>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10</w:t>
            </w:r>
          </w:p>
        </w:tc>
        <w:tc>
          <w:tcPr>
            <w:tcW w:w="1271"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rPr>
                <w:rFonts w:hAnsi="標楷體"/>
                <w:spacing w:val="-20"/>
                <w:sz w:val="22"/>
                <w:szCs w:val="22"/>
              </w:rPr>
            </w:pPr>
            <w:r w:rsidRPr="004E1208">
              <w:rPr>
                <w:rFonts w:hAnsi="標楷體" w:hint="eastAsia"/>
                <w:spacing w:val="-20"/>
                <w:sz w:val="22"/>
                <w:szCs w:val="22"/>
              </w:rPr>
              <w:t>臺北市松山區</w:t>
            </w:r>
          </w:p>
        </w:tc>
        <w:tc>
          <w:tcPr>
            <w:tcW w:w="1134"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私人公司</w:t>
            </w:r>
          </w:p>
        </w:tc>
        <w:tc>
          <w:tcPr>
            <w:tcW w:w="1136"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4,174.00</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1,677.40</w:t>
            </w:r>
          </w:p>
        </w:tc>
        <w:tc>
          <w:tcPr>
            <w:tcW w:w="1136" w:type="dxa"/>
            <w:tcBorders>
              <w:top w:val="nil"/>
              <w:left w:val="nil"/>
              <w:bottom w:val="single" w:sz="4" w:space="0" w:color="000000"/>
              <w:right w:val="single" w:sz="4" w:space="0" w:color="000000"/>
            </w:tcBorders>
            <w:shd w:val="clear" w:color="FFFFFF" w:fill="FFFFFF"/>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2,030.00</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b/>
                <w:spacing w:val="-20"/>
                <w:sz w:val="28"/>
                <w:szCs w:val="28"/>
              </w:rPr>
            </w:pPr>
            <w:r w:rsidRPr="004E1208">
              <w:rPr>
                <w:rFonts w:hAnsi="標楷體" w:hint="eastAsia"/>
                <w:b/>
                <w:spacing w:val="-20"/>
                <w:sz w:val="28"/>
                <w:szCs w:val="28"/>
              </w:rPr>
              <w:t>88.82</w:t>
            </w:r>
          </w:p>
        </w:tc>
        <w:tc>
          <w:tcPr>
            <w:tcW w:w="1360"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108.7.5</w:t>
            </w:r>
          </w:p>
        </w:tc>
      </w:tr>
      <w:tr w:rsidR="00263732" w:rsidRPr="004E1208" w:rsidTr="008926E6">
        <w:trPr>
          <w:trHeight w:val="567"/>
          <w:jc w:val="center"/>
        </w:trPr>
        <w:tc>
          <w:tcPr>
            <w:tcW w:w="567" w:type="dxa"/>
            <w:tcBorders>
              <w:top w:val="nil"/>
              <w:left w:val="single" w:sz="4" w:space="0" w:color="000000"/>
              <w:bottom w:val="single" w:sz="4" w:space="0" w:color="000000"/>
              <w:right w:val="single" w:sz="4" w:space="0" w:color="000000"/>
            </w:tcBorders>
            <w:shd w:val="clear" w:color="FFFFFF" w:fill="FFFFFF"/>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11</w:t>
            </w:r>
          </w:p>
        </w:tc>
        <w:tc>
          <w:tcPr>
            <w:tcW w:w="1271"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rPr>
                <w:rFonts w:hAnsi="標楷體"/>
                <w:spacing w:val="-20"/>
                <w:sz w:val="22"/>
                <w:szCs w:val="22"/>
              </w:rPr>
            </w:pPr>
            <w:r w:rsidRPr="004E1208">
              <w:rPr>
                <w:rFonts w:hAnsi="標楷體" w:hint="eastAsia"/>
                <w:spacing w:val="-20"/>
                <w:sz w:val="22"/>
                <w:szCs w:val="22"/>
              </w:rPr>
              <w:t>臺北市中正區</w:t>
            </w:r>
          </w:p>
        </w:tc>
        <w:tc>
          <w:tcPr>
            <w:tcW w:w="1134"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私人公司</w:t>
            </w:r>
          </w:p>
        </w:tc>
        <w:tc>
          <w:tcPr>
            <w:tcW w:w="1136"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4,346.54</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2,931.00</w:t>
            </w:r>
          </w:p>
        </w:tc>
        <w:tc>
          <w:tcPr>
            <w:tcW w:w="1136" w:type="dxa"/>
            <w:tcBorders>
              <w:top w:val="nil"/>
              <w:left w:val="nil"/>
              <w:bottom w:val="single" w:sz="4" w:space="0" w:color="000000"/>
              <w:right w:val="single" w:sz="4" w:space="0" w:color="000000"/>
            </w:tcBorders>
            <w:shd w:val="clear" w:color="FFFFFF" w:fill="FFFFFF"/>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67.43</w:t>
            </w:r>
          </w:p>
        </w:tc>
        <w:tc>
          <w:tcPr>
            <w:tcW w:w="1360"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尚未報核</w:t>
            </w:r>
          </w:p>
        </w:tc>
      </w:tr>
      <w:tr w:rsidR="00263732" w:rsidRPr="004E1208" w:rsidTr="008926E6">
        <w:trPr>
          <w:trHeight w:val="567"/>
          <w:jc w:val="center"/>
        </w:trPr>
        <w:tc>
          <w:tcPr>
            <w:tcW w:w="567" w:type="dxa"/>
            <w:tcBorders>
              <w:top w:val="nil"/>
              <w:left w:val="single" w:sz="4" w:space="0" w:color="000000"/>
              <w:bottom w:val="single" w:sz="4" w:space="0" w:color="000000"/>
              <w:right w:val="single" w:sz="4" w:space="0" w:color="000000"/>
            </w:tcBorders>
            <w:shd w:val="clear" w:color="FFFFFF" w:fill="FFFFFF"/>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12</w:t>
            </w:r>
          </w:p>
        </w:tc>
        <w:tc>
          <w:tcPr>
            <w:tcW w:w="1271"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rPr>
                <w:rFonts w:hAnsi="標楷體"/>
                <w:spacing w:val="-20"/>
                <w:sz w:val="22"/>
                <w:szCs w:val="22"/>
              </w:rPr>
            </w:pPr>
            <w:r w:rsidRPr="004E1208">
              <w:rPr>
                <w:rFonts w:hAnsi="標楷體" w:hint="eastAsia"/>
                <w:spacing w:val="-20"/>
                <w:sz w:val="22"/>
                <w:szCs w:val="22"/>
              </w:rPr>
              <w:t>臺北市中山區</w:t>
            </w:r>
          </w:p>
        </w:tc>
        <w:tc>
          <w:tcPr>
            <w:tcW w:w="1134"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私人公司</w:t>
            </w:r>
          </w:p>
        </w:tc>
        <w:tc>
          <w:tcPr>
            <w:tcW w:w="1136"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517.16</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342.16</w:t>
            </w:r>
          </w:p>
        </w:tc>
        <w:tc>
          <w:tcPr>
            <w:tcW w:w="1136" w:type="dxa"/>
            <w:tcBorders>
              <w:top w:val="nil"/>
              <w:left w:val="nil"/>
              <w:bottom w:val="single" w:sz="4" w:space="0" w:color="000000"/>
              <w:right w:val="single" w:sz="4" w:space="0" w:color="000000"/>
            </w:tcBorders>
            <w:shd w:val="clear" w:color="FFFFFF" w:fill="FFFFFF"/>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66.16</w:t>
            </w:r>
          </w:p>
        </w:tc>
        <w:tc>
          <w:tcPr>
            <w:tcW w:w="1360"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110.10.25</w:t>
            </w:r>
          </w:p>
        </w:tc>
      </w:tr>
      <w:tr w:rsidR="00263732" w:rsidRPr="004E1208" w:rsidTr="008926E6">
        <w:trPr>
          <w:trHeight w:val="567"/>
          <w:jc w:val="center"/>
        </w:trPr>
        <w:tc>
          <w:tcPr>
            <w:tcW w:w="567" w:type="dxa"/>
            <w:tcBorders>
              <w:top w:val="nil"/>
              <w:left w:val="single" w:sz="4" w:space="0" w:color="000000"/>
              <w:bottom w:val="single" w:sz="4" w:space="0" w:color="000000"/>
              <w:right w:val="single" w:sz="4" w:space="0" w:color="000000"/>
            </w:tcBorders>
            <w:shd w:val="clear" w:color="FFFFFF" w:fill="FFFFFF"/>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13</w:t>
            </w:r>
          </w:p>
        </w:tc>
        <w:tc>
          <w:tcPr>
            <w:tcW w:w="1271"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rPr>
                <w:rFonts w:hAnsi="標楷體"/>
                <w:spacing w:val="-20"/>
                <w:sz w:val="22"/>
                <w:szCs w:val="22"/>
              </w:rPr>
            </w:pPr>
            <w:r w:rsidRPr="004E1208">
              <w:rPr>
                <w:rFonts w:hAnsi="標楷體" w:hint="eastAsia"/>
                <w:spacing w:val="-20"/>
                <w:sz w:val="22"/>
                <w:szCs w:val="22"/>
              </w:rPr>
              <w:t>臺北市大安區</w:t>
            </w:r>
          </w:p>
        </w:tc>
        <w:tc>
          <w:tcPr>
            <w:tcW w:w="1134"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私人公司</w:t>
            </w:r>
          </w:p>
        </w:tc>
        <w:tc>
          <w:tcPr>
            <w:tcW w:w="1136"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661.00</w:t>
            </w:r>
          </w:p>
        </w:tc>
        <w:tc>
          <w:tcPr>
            <w:tcW w:w="1132"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424.00</w:t>
            </w:r>
          </w:p>
        </w:tc>
        <w:tc>
          <w:tcPr>
            <w:tcW w:w="1136" w:type="dxa"/>
            <w:tcBorders>
              <w:top w:val="nil"/>
              <w:left w:val="nil"/>
              <w:bottom w:val="single" w:sz="4" w:space="0" w:color="000000"/>
              <w:right w:val="single" w:sz="4" w:space="0" w:color="000000"/>
            </w:tcBorders>
            <w:shd w:val="clear" w:color="FFFFFF" w:fill="FFFFFF"/>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64.15</w:t>
            </w:r>
          </w:p>
        </w:tc>
        <w:tc>
          <w:tcPr>
            <w:tcW w:w="1360"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尚未報核</w:t>
            </w:r>
          </w:p>
        </w:tc>
      </w:tr>
      <w:tr w:rsidR="00263732" w:rsidRPr="004E1208" w:rsidTr="008926E6">
        <w:trPr>
          <w:trHeight w:val="567"/>
          <w:jc w:val="center"/>
        </w:trPr>
        <w:tc>
          <w:tcPr>
            <w:tcW w:w="567" w:type="dxa"/>
            <w:tcBorders>
              <w:top w:val="nil"/>
              <w:left w:val="single" w:sz="4" w:space="0" w:color="000000"/>
              <w:bottom w:val="single" w:sz="4" w:space="0" w:color="000000"/>
              <w:right w:val="single" w:sz="4" w:space="0" w:color="000000"/>
            </w:tcBorders>
            <w:shd w:val="clear" w:color="FFFFFF" w:fill="FFFFFF"/>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14</w:t>
            </w:r>
          </w:p>
        </w:tc>
        <w:tc>
          <w:tcPr>
            <w:tcW w:w="1271"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rPr>
                <w:rFonts w:hAnsi="標楷體"/>
                <w:spacing w:val="-20"/>
                <w:sz w:val="22"/>
                <w:szCs w:val="22"/>
              </w:rPr>
            </w:pPr>
            <w:r w:rsidRPr="004E1208">
              <w:rPr>
                <w:rFonts w:hAnsi="標楷體" w:hint="eastAsia"/>
                <w:spacing w:val="-20"/>
                <w:sz w:val="22"/>
                <w:szCs w:val="22"/>
              </w:rPr>
              <w:t>臺北市中正區</w:t>
            </w:r>
          </w:p>
        </w:tc>
        <w:tc>
          <w:tcPr>
            <w:tcW w:w="1134"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私人公司</w:t>
            </w:r>
          </w:p>
        </w:tc>
        <w:tc>
          <w:tcPr>
            <w:tcW w:w="1136"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1,870.00</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1,044.00</w:t>
            </w:r>
          </w:p>
        </w:tc>
        <w:tc>
          <w:tcPr>
            <w:tcW w:w="1136" w:type="dxa"/>
            <w:tcBorders>
              <w:top w:val="nil"/>
              <w:left w:val="nil"/>
              <w:bottom w:val="single" w:sz="4" w:space="0" w:color="000000"/>
              <w:right w:val="single" w:sz="4" w:space="0" w:color="000000"/>
            </w:tcBorders>
            <w:shd w:val="clear" w:color="FFFFFF" w:fill="FFFFFF"/>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55.83</w:t>
            </w:r>
          </w:p>
        </w:tc>
        <w:tc>
          <w:tcPr>
            <w:tcW w:w="1360"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尚未報核</w:t>
            </w:r>
          </w:p>
        </w:tc>
      </w:tr>
      <w:tr w:rsidR="00D10174" w:rsidRPr="004E1208" w:rsidTr="008926E6">
        <w:trPr>
          <w:trHeight w:val="567"/>
          <w:jc w:val="center"/>
        </w:trPr>
        <w:tc>
          <w:tcPr>
            <w:tcW w:w="567" w:type="dxa"/>
            <w:tcBorders>
              <w:top w:val="nil"/>
              <w:left w:val="single" w:sz="4" w:space="0" w:color="000000"/>
              <w:bottom w:val="single" w:sz="4" w:space="0" w:color="000000"/>
              <w:right w:val="single" w:sz="4" w:space="0" w:color="000000"/>
            </w:tcBorders>
            <w:shd w:val="clear" w:color="FFFFFF" w:fill="FFFFFF"/>
            <w:vAlign w:val="center"/>
            <w:hideMark/>
          </w:tcPr>
          <w:p w:rsidR="00D10174" w:rsidRPr="004E1208" w:rsidRDefault="00D10174" w:rsidP="00C64192">
            <w:pPr>
              <w:jc w:val="center"/>
              <w:rPr>
                <w:rFonts w:hAnsi="標楷體"/>
                <w:spacing w:val="-20"/>
                <w:sz w:val="22"/>
                <w:szCs w:val="22"/>
              </w:rPr>
            </w:pPr>
            <w:r w:rsidRPr="004E1208">
              <w:rPr>
                <w:rFonts w:hAnsi="標楷體" w:hint="eastAsia"/>
                <w:spacing w:val="-20"/>
                <w:sz w:val="22"/>
                <w:szCs w:val="22"/>
              </w:rPr>
              <w:t>15</w:t>
            </w:r>
          </w:p>
        </w:tc>
        <w:tc>
          <w:tcPr>
            <w:tcW w:w="1271" w:type="dxa"/>
            <w:tcBorders>
              <w:top w:val="nil"/>
              <w:left w:val="nil"/>
              <w:bottom w:val="single" w:sz="4" w:space="0" w:color="000000"/>
              <w:right w:val="single" w:sz="4" w:space="0" w:color="000000"/>
            </w:tcBorders>
            <w:shd w:val="clear" w:color="auto" w:fill="auto"/>
            <w:vAlign w:val="center"/>
            <w:hideMark/>
          </w:tcPr>
          <w:p w:rsidR="00D10174" w:rsidRPr="004E1208" w:rsidRDefault="00D10174" w:rsidP="00C64192">
            <w:pPr>
              <w:rPr>
                <w:rFonts w:hAnsi="標楷體"/>
                <w:spacing w:val="-20"/>
                <w:sz w:val="22"/>
                <w:szCs w:val="22"/>
              </w:rPr>
            </w:pPr>
            <w:r w:rsidRPr="004E1208">
              <w:rPr>
                <w:rFonts w:hAnsi="標楷體" w:hint="eastAsia"/>
                <w:spacing w:val="-20"/>
                <w:sz w:val="22"/>
                <w:szCs w:val="22"/>
              </w:rPr>
              <w:t>臺北市中山區</w:t>
            </w:r>
          </w:p>
        </w:tc>
        <w:tc>
          <w:tcPr>
            <w:tcW w:w="1134" w:type="dxa"/>
            <w:tcBorders>
              <w:top w:val="nil"/>
              <w:left w:val="nil"/>
              <w:bottom w:val="single" w:sz="4" w:space="0" w:color="000000"/>
              <w:right w:val="single" w:sz="4" w:space="0" w:color="000000"/>
            </w:tcBorders>
            <w:shd w:val="clear" w:color="auto" w:fill="auto"/>
            <w:vAlign w:val="center"/>
            <w:hideMark/>
          </w:tcPr>
          <w:p w:rsidR="00D10174" w:rsidRPr="004E1208" w:rsidRDefault="00D10174" w:rsidP="00263732">
            <w:pPr>
              <w:jc w:val="center"/>
              <w:rPr>
                <w:rFonts w:hAnsi="標楷體"/>
                <w:spacing w:val="-20"/>
                <w:sz w:val="22"/>
                <w:szCs w:val="22"/>
              </w:rPr>
            </w:pPr>
            <w:r w:rsidRPr="004E1208">
              <w:rPr>
                <w:rFonts w:hAnsi="標楷體" w:hint="eastAsia"/>
                <w:spacing w:val="-20"/>
                <w:sz w:val="22"/>
                <w:szCs w:val="22"/>
              </w:rPr>
              <w:t>住都</w:t>
            </w:r>
            <w:r w:rsidR="00263732" w:rsidRPr="004E1208">
              <w:rPr>
                <w:rFonts w:hAnsi="標楷體" w:hint="eastAsia"/>
                <w:spacing w:val="-20"/>
                <w:sz w:val="22"/>
                <w:szCs w:val="22"/>
              </w:rPr>
              <w:t>中心</w:t>
            </w:r>
          </w:p>
        </w:tc>
        <w:tc>
          <w:tcPr>
            <w:tcW w:w="1136" w:type="dxa"/>
            <w:tcBorders>
              <w:top w:val="nil"/>
              <w:left w:val="nil"/>
              <w:bottom w:val="single" w:sz="4" w:space="0" w:color="000000"/>
              <w:right w:val="single" w:sz="4" w:space="0" w:color="000000"/>
            </w:tcBorders>
            <w:shd w:val="clear" w:color="auto" w:fill="auto"/>
            <w:noWrap/>
            <w:vAlign w:val="center"/>
            <w:hideMark/>
          </w:tcPr>
          <w:p w:rsidR="00D10174" w:rsidRPr="004E1208" w:rsidRDefault="00D10174" w:rsidP="00C64192">
            <w:pPr>
              <w:jc w:val="right"/>
              <w:rPr>
                <w:rFonts w:hAnsi="標楷體"/>
                <w:spacing w:val="-20"/>
                <w:sz w:val="22"/>
                <w:szCs w:val="22"/>
              </w:rPr>
            </w:pPr>
            <w:r w:rsidRPr="004E1208">
              <w:rPr>
                <w:rFonts w:hAnsi="標楷體" w:hint="eastAsia"/>
                <w:spacing w:val="-20"/>
                <w:sz w:val="22"/>
                <w:szCs w:val="22"/>
              </w:rPr>
              <w:t>34,400.00</w:t>
            </w:r>
          </w:p>
        </w:tc>
        <w:tc>
          <w:tcPr>
            <w:tcW w:w="1132" w:type="dxa"/>
            <w:tcBorders>
              <w:top w:val="nil"/>
              <w:left w:val="nil"/>
              <w:bottom w:val="single" w:sz="4" w:space="0" w:color="000000"/>
              <w:right w:val="single" w:sz="4" w:space="0" w:color="000000"/>
            </w:tcBorders>
            <w:shd w:val="clear" w:color="auto" w:fill="auto"/>
            <w:noWrap/>
            <w:vAlign w:val="center"/>
            <w:hideMark/>
          </w:tcPr>
          <w:p w:rsidR="00D10174" w:rsidRPr="004E1208" w:rsidRDefault="00D10174" w:rsidP="00C64192">
            <w:pPr>
              <w:jc w:val="right"/>
              <w:rPr>
                <w:rFonts w:hAnsi="標楷體"/>
                <w:spacing w:val="-20"/>
                <w:sz w:val="22"/>
                <w:szCs w:val="22"/>
              </w:rPr>
            </w:pPr>
            <w:r w:rsidRPr="004E1208">
              <w:rPr>
                <w:rFonts w:hAnsi="標楷體" w:hint="eastAsia"/>
                <w:spacing w:val="-20"/>
                <w:sz w:val="22"/>
                <w:szCs w:val="22"/>
              </w:rPr>
              <w:t>9.00</w:t>
            </w:r>
          </w:p>
        </w:tc>
        <w:tc>
          <w:tcPr>
            <w:tcW w:w="1136" w:type="dxa"/>
            <w:tcBorders>
              <w:top w:val="nil"/>
              <w:left w:val="nil"/>
              <w:bottom w:val="single" w:sz="4" w:space="0" w:color="000000"/>
              <w:right w:val="single" w:sz="4" w:space="0" w:color="000000"/>
            </w:tcBorders>
            <w:shd w:val="clear" w:color="FFFFFF" w:fill="FFFFFF"/>
            <w:noWrap/>
            <w:vAlign w:val="center"/>
            <w:hideMark/>
          </w:tcPr>
          <w:p w:rsidR="00D10174" w:rsidRPr="004E1208" w:rsidRDefault="00D10174" w:rsidP="00C64192">
            <w:pPr>
              <w:jc w:val="right"/>
              <w:rPr>
                <w:rFonts w:hAnsi="標楷體"/>
                <w:spacing w:val="-20"/>
                <w:sz w:val="22"/>
                <w:szCs w:val="22"/>
              </w:rPr>
            </w:pPr>
            <w:r w:rsidRPr="004E1208">
              <w:rPr>
                <w:rFonts w:hAnsi="標楷體" w:hint="eastAsia"/>
                <w:spacing w:val="-20"/>
                <w:sz w:val="22"/>
                <w:szCs w:val="22"/>
              </w:rPr>
              <w:t>21,503.81</w:t>
            </w:r>
          </w:p>
        </w:tc>
        <w:tc>
          <w:tcPr>
            <w:tcW w:w="1132" w:type="dxa"/>
            <w:tcBorders>
              <w:top w:val="nil"/>
              <w:left w:val="nil"/>
              <w:bottom w:val="single" w:sz="4" w:space="0" w:color="000000"/>
              <w:right w:val="single" w:sz="4" w:space="0" w:color="000000"/>
            </w:tcBorders>
            <w:shd w:val="clear" w:color="auto" w:fill="auto"/>
            <w:noWrap/>
            <w:vAlign w:val="center"/>
            <w:hideMark/>
          </w:tcPr>
          <w:p w:rsidR="00D10174" w:rsidRPr="004E1208" w:rsidRDefault="00D10174" w:rsidP="00C64192">
            <w:pPr>
              <w:jc w:val="right"/>
              <w:rPr>
                <w:rFonts w:hAnsi="標楷體"/>
                <w:spacing w:val="-20"/>
                <w:sz w:val="22"/>
                <w:szCs w:val="22"/>
              </w:rPr>
            </w:pPr>
            <w:r w:rsidRPr="004E1208">
              <w:rPr>
                <w:rFonts w:hAnsi="標楷體" w:hint="eastAsia"/>
                <w:spacing w:val="-20"/>
                <w:sz w:val="22"/>
                <w:szCs w:val="22"/>
              </w:rPr>
              <w:t>62.54</w:t>
            </w:r>
          </w:p>
        </w:tc>
        <w:tc>
          <w:tcPr>
            <w:tcW w:w="1360" w:type="dxa"/>
            <w:tcBorders>
              <w:top w:val="nil"/>
              <w:left w:val="nil"/>
              <w:bottom w:val="single" w:sz="4" w:space="0" w:color="000000"/>
              <w:right w:val="single" w:sz="4" w:space="0" w:color="000000"/>
            </w:tcBorders>
            <w:shd w:val="clear" w:color="auto" w:fill="auto"/>
            <w:vAlign w:val="center"/>
            <w:hideMark/>
          </w:tcPr>
          <w:p w:rsidR="00D10174" w:rsidRPr="004E1208" w:rsidRDefault="00D10174" w:rsidP="00C64192">
            <w:pPr>
              <w:jc w:val="center"/>
              <w:rPr>
                <w:rFonts w:hAnsi="標楷體"/>
                <w:spacing w:val="-20"/>
                <w:sz w:val="22"/>
                <w:szCs w:val="22"/>
              </w:rPr>
            </w:pPr>
            <w:r w:rsidRPr="004E1208">
              <w:rPr>
                <w:rFonts w:hAnsi="標楷體" w:hint="eastAsia"/>
                <w:spacing w:val="-20"/>
                <w:sz w:val="22"/>
                <w:szCs w:val="22"/>
              </w:rPr>
              <w:t>尚未報核</w:t>
            </w:r>
          </w:p>
        </w:tc>
      </w:tr>
      <w:tr w:rsidR="00263732" w:rsidRPr="004E1208" w:rsidTr="008926E6">
        <w:trPr>
          <w:trHeight w:val="567"/>
          <w:jc w:val="center"/>
        </w:trPr>
        <w:tc>
          <w:tcPr>
            <w:tcW w:w="567" w:type="dxa"/>
            <w:tcBorders>
              <w:top w:val="nil"/>
              <w:left w:val="single" w:sz="4" w:space="0" w:color="000000"/>
              <w:bottom w:val="single" w:sz="4" w:space="0" w:color="000000"/>
              <w:right w:val="single" w:sz="4" w:space="0" w:color="000000"/>
            </w:tcBorders>
            <w:shd w:val="clear" w:color="FFFFFF" w:fill="FFFFFF"/>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16</w:t>
            </w:r>
          </w:p>
        </w:tc>
        <w:tc>
          <w:tcPr>
            <w:tcW w:w="1271"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rPr>
                <w:rFonts w:hAnsi="標楷體"/>
                <w:spacing w:val="-20"/>
                <w:sz w:val="22"/>
                <w:szCs w:val="22"/>
              </w:rPr>
            </w:pPr>
            <w:r w:rsidRPr="004E1208">
              <w:rPr>
                <w:rFonts w:hAnsi="標楷體" w:hint="eastAsia"/>
                <w:spacing w:val="-20"/>
                <w:sz w:val="22"/>
                <w:szCs w:val="22"/>
              </w:rPr>
              <w:t>臺北市南港區</w:t>
            </w:r>
          </w:p>
        </w:tc>
        <w:tc>
          <w:tcPr>
            <w:tcW w:w="1134"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住都中心</w:t>
            </w:r>
          </w:p>
        </w:tc>
        <w:tc>
          <w:tcPr>
            <w:tcW w:w="1136"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3,728.00</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3,518.00</w:t>
            </w:r>
          </w:p>
        </w:tc>
        <w:tc>
          <w:tcPr>
            <w:tcW w:w="1136" w:type="dxa"/>
            <w:tcBorders>
              <w:top w:val="nil"/>
              <w:left w:val="nil"/>
              <w:bottom w:val="single" w:sz="4" w:space="0" w:color="000000"/>
              <w:right w:val="single" w:sz="4" w:space="0" w:color="000000"/>
            </w:tcBorders>
            <w:shd w:val="clear" w:color="FFFFFF" w:fill="FFFFFF"/>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0.00</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b/>
                <w:spacing w:val="-20"/>
                <w:sz w:val="28"/>
                <w:szCs w:val="28"/>
              </w:rPr>
            </w:pPr>
            <w:r w:rsidRPr="004E1208">
              <w:rPr>
                <w:rFonts w:hAnsi="標楷體" w:hint="eastAsia"/>
                <w:b/>
                <w:spacing w:val="-20"/>
                <w:sz w:val="28"/>
                <w:szCs w:val="28"/>
              </w:rPr>
              <w:t>94.37</w:t>
            </w:r>
          </w:p>
        </w:tc>
        <w:tc>
          <w:tcPr>
            <w:tcW w:w="1360"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111.6.15</w:t>
            </w:r>
          </w:p>
        </w:tc>
      </w:tr>
      <w:tr w:rsidR="00263732" w:rsidRPr="004E1208" w:rsidTr="008926E6">
        <w:trPr>
          <w:trHeight w:val="567"/>
          <w:jc w:val="center"/>
        </w:trPr>
        <w:tc>
          <w:tcPr>
            <w:tcW w:w="567" w:type="dxa"/>
            <w:tcBorders>
              <w:top w:val="nil"/>
              <w:left w:val="single" w:sz="4" w:space="0" w:color="000000"/>
              <w:bottom w:val="single" w:sz="4" w:space="0" w:color="000000"/>
              <w:right w:val="single" w:sz="4" w:space="0" w:color="000000"/>
            </w:tcBorders>
            <w:shd w:val="clear" w:color="FFFFFF" w:fill="FFFFFF"/>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17</w:t>
            </w:r>
          </w:p>
        </w:tc>
        <w:tc>
          <w:tcPr>
            <w:tcW w:w="1271"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rPr>
                <w:rFonts w:hAnsi="標楷體"/>
                <w:spacing w:val="-20"/>
                <w:sz w:val="22"/>
                <w:szCs w:val="22"/>
              </w:rPr>
            </w:pPr>
            <w:r w:rsidRPr="004E1208">
              <w:rPr>
                <w:rFonts w:hAnsi="標楷體" w:hint="eastAsia"/>
                <w:spacing w:val="-20"/>
                <w:sz w:val="22"/>
                <w:szCs w:val="22"/>
              </w:rPr>
              <w:t>新北市中和區</w:t>
            </w:r>
          </w:p>
        </w:tc>
        <w:tc>
          <w:tcPr>
            <w:tcW w:w="1134"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住都中心</w:t>
            </w:r>
          </w:p>
        </w:tc>
        <w:tc>
          <w:tcPr>
            <w:tcW w:w="1136"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10,099.53</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9.84</w:t>
            </w:r>
          </w:p>
        </w:tc>
        <w:tc>
          <w:tcPr>
            <w:tcW w:w="1136" w:type="dxa"/>
            <w:tcBorders>
              <w:top w:val="nil"/>
              <w:left w:val="nil"/>
              <w:bottom w:val="single" w:sz="4" w:space="0" w:color="000000"/>
              <w:right w:val="single" w:sz="4" w:space="0" w:color="000000"/>
            </w:tcBorders>
            <w:shd w:val="clear" w:color="FFFFFF" w:fill="FFFFFF"/>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10,087.44</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b/>
                <w:spacing w:val="-20"/>
                <w:sz w:val="28"/>
                <w:szCs w:val="28"/>
              </w:rPr>
            </w:pPr>
            <w:r w:rsidRPr="004E1208">
              <w:rPr>
                <w:rFonts w:hAnsi="標楷體" w:hint="eastAsia"/>
                <w:b/>
                <w:spacing w:val="-20"/>
                <w:sz w:val="28"/>
                <w:szCs w:val="28"/>
              </w:rPr>
              <w:t>99.98</w:t>
            </w:r>
          </w:p>
        </w:tc>
        <w:tc>
          <w:tcPr>
            <w:tcW w:w="1360"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110.12.10</w:t>
            </w:r>
          </w:p>
        </w:tc>
      </w:tr>
      <w:tr w:rsidR="00263732" w:rsidRPr="004E1208" w:rsidTr="008926E6">
        <w:trPr>
          <w:trHeight w:val="567"/>
          <w:jc w:val="center"/>
        </w:trPr>
        <w:tc>
          <w:tcPr>
            <w:tcW w:w="567" w:type="dxa"/>
            <w:tcBorders>
              <w:top w:val="nil"/>
              <w:left w:val="single" w:sz="4" w:space="0" w:color="000000"/>
              <w:bottom w:val="single" w:sz="4" w:space="0" w:color="000000"/>
              <w:right w:val="single" w:sz="4" w:space="0" w:color="000000"/>
            </w:tcBorders>
            <w:shd w:val="clear" w:color="FFFFFF" w:fill="FFFFFF"/>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18</w:t>
            </w:r>
          </w:p>
        </w:tc>
        <w:tc>
          <w:tcPr>
            <w:tcW w:w="1271"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rPr>
                <w:rFonts w:hAnsi="標楷體"/>
                <w:spacing w:val="-20"/>
                <w:sz w:val="22"/>
                <w:szCs w:val="22"/>
              </w:rPr>
            </w:pPr>
            <w:r w:rsidRPr="004E1208">
              <w:rPr>
                <w:rFonts w:hAnsi="標楷體" w:hint="eastAsia"/>
                <w:spacing w:val="-20"/>
                <w:sz w:val="22"/>
                <w:szCs w:val="22"/>
              </w:rPr>
              <w:t>新北市板橋區</w:t>
            </w:r>
          </w:p>
        </w:tc>
        <w:tc>
          <w:tcPr>
            <w:tcW w:w="1134"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住都中心</w:t>
            </w:r>
          </w:p>
        </w:tc>
        <w:tc>
          <w:tcPr>
            <w:tcW w:w="1136"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2,867.00</w:t>
            </w:r>
          </w:p>
        </w:tc>
        <w:tc>
          <w:tcPr>
            <w:tcW w:w="1132"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14.00</w:t>
            </w:r>
          </w:p>
        </w:tc>
        <w:tc>
          <w:tcPr>
            <w:tcW w:w="1136" w:type="dxa"/>
            <w:tcBorders>
              <w:top w:val="nil"/>
              <w:left w:val="nil"/>
              <w:bottom w:val="single" w:sz="4" w:space="0" w:color="000000"/>
              <w:right w:val="single" w:sz="4" w:space="0" w:color="000000"/>
            </w:tcBorders>
            <w:shd w:val="clear" w:color="FFFFFF" w:fill="FFFFFF"/>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2,585.00</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b/>
                <w:spacing w:val="-20"/>
                <w:sz w:val="28"/>
                <w:szCs w:val="28"/>
              </w:rPr>
            </w:pPr>
            <w:r w:rsidRPr="004E1208">
              <w:rPr>
                <w:rFonts w:hAnsi="標楷體" w:hint="eastAsia"/>
                <w:b/>
                <w:spacing w:val="-20"/>
                <w:sz w:val="28"/>
                <w:szCs w:val="28"/>
              </w:rPr>
              <w:t>90.65</w:t>
            </w:r>
          </w:p>
        </w:tc>
        <w:tc>
          <w:tcPr>
            <w:tcW w:w="1360"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尚未報核</w:t>
            </w:r>
          </w:p>
        </w:tc>
      </w:tr>
      <w:tr w:rsidR="00263732" w:rsidRPr="004E1208" w:rsidTr="008926E6">
        <w:trPr>
          <w:trHeight w:val="567"/>
          <w:jc w:val="center"/>
        </w:trPr>
        <w:tc>
          <w:tcPr>
            <w:tcW w:w="567" w:type="dxa"/>
            <w:tcBorders>
              <w:top w:val="nil"/>
              <w:left w:val="single" w:sz="4" w:space="0" w:color="000000"/>
              <w:bottom w:val="single" w:sz="4" w:space="0" w:color="000000"/>
              <w:right w:val="single" w:sz="4" w:space="0" w:color="000000"/>
            </w:tcBorders>
            <w:shd w:val="clear" w:color="FFFFFF" w:fill="FFFFFF"/>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19</w:t>
            </w:r>
          </w:p>
        </w:tc>
        <w:tc>
          <w:tcPr>
            <w:tcW w:w="1271"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rPr>
                <w:rFonts w:hAnsi="標楷體"/>
                <w:spacing w:val="-20"/>
                <w:sz w:val="22"/>
                <w:szCs w:val="22"/>
              </w:rPr>
            </w:pPr>
            <w:r w:rsidRPr="004E1208">
              <w:rPr>
                <w:rFonts w:hAnsi="標楷體" w:hint="eastAsia"/>
                <w:spacing w:val="-20"/>
                <w:sz w:val="22"/>
                <w:szCs w:val="22"/>
              </w:rPr>
              <w:t>臺北市大安區</w:t>
            </w:r>
          </w:p>
        </w:tc>
        <w:tc>
          <w:tcPr>
            <w:tcW w:w="1134"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住都中心</w:t>
            </w:r>
          </w:p>
        </w:tc>
        <w:tc>
          <w:tcPr>
            <w:tcW w:w="1136"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7,179.00</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34.50</w:t>
            </w:r>
          </w:p>
        </w:tc>
        <w:tc>
          <w:tcPr>
            <w:tcW w:w="1136" w:type="dxa"/>
            <w:tcBorders>
              <w:top w:val="nil"/>
              <w:left w:val="nil"/>
              <w:bottom w:val="single" w:sz="4" w:space="0" w:color="000000"/>
              <w:right w:val="single" w:sz="4" w:space="0" w:color="000000"/>
            </w:tcBorders>
            <w:shd w:val="clear" w:color="FFFFFF" w:fill="FFFFFF"/>
            <w:noWrap/>
            <w:vAlign w:val="center"/>
            <w:hideMark/>
          </w:tcPr>
          <w:p w:rsidR="00263732" w:rsidRPr="004E1208" w:rsidRDefault="00263732" w:rsidP="00263732">
            <w:pPr>
              <w:jc w:val="right"/>
              <w:rPr>
                <w:rFonts w:hAnsi="標楷體"/>
                <w:spacing w:val="-20"/>
                <w:sz w:val="22"/>
                <w:szCs w:val="22"/>
              </w:rPr>
            </w:pPr>
            <w:r w:rsidRPr="004E1208">
              <w:rPr>
                <w:rFonts w:hAnsi="標楷體" w:hint="eastAsia"/>
                <w:spacing w:val="-20"/>
                <w:sz w:val="22"/>
                <w:szCs w:val="22"/>
              </w:rPr>
              <w:t>6,327.00</w:t>
            </w:r>
          </w:p>
        </w:tc>
        <w:tc>
          <w:tcPr>
            <w:tcW w:w="1132" w:type="dxa"/>
            <w:tcBorders>
              <w:top w:val="nil"/>
              <w:left w:val="nil"/>
              <w:bottom w:val="single" w:sz="4" w:space="0" w:color="000000"/>
              <w:right w:val="single" w:sz="4" w:space="0" w:color="000000"/>
            </w:tcBorders>
            <w:shd w:val="clear" w:color="auto" w:fill="auto"/>
            <w:noWrap/>
            <w:vAlign w:val="center"/>
            <w:hideMark/>
          </w:tcPr>
          <w:p w:rsidR="00263732" w:rsidRPr="004E1208" w:rsidRDefault="00263732" w:rsidP="00263732">
            <w:pPr>
              <w:jc w:val="right"/>
              <w:rPr>
                <w:rFonts w:hAnsi="標楷體"/>
                <w:b/>
                <w:spacing w:val="-20"/>
                <w:sz w:val="28"/>
                <w:szCs w:val="28"/>
              </w:rPr>
            </w:pPr>
            <w:r w:rsidRPr="004E1208">
              <w:rPr>
                <w:rFonts w:hAnsi="標楷體" w:hint="eastAsia"/>
                <w:b/>
                <w:spacing w:val="-20"/>
                <w:sz w:val="28"/>
                <w:szCs w:val="28"/>
              </w:rPr>
              <w:t>88.61</w:t>
            </w:r>
          </w:p>
        </w:tc>
        <w:tc>
          <w:tcPr>
            <w:tcW w:w="1360" w:type="dxa"/>
            <w:tcBorders>
              <w:top w:val="nil"/>
              <w:left w:val="nil"/>
              <w:bottom w:val="single" w:sz="4" w:space="0" w:color="000000"/>
              <w:right w:val="single" w:sz="4" w:space="0" w:color="000000"/>
            </w:tcBorders>
            <w:shd w:val="clear" w:color="auto" w:fill="auto"/>
            <w:vAlign w:val="center"/>
            <w:hideMark/>
          </w:tcPr>
          <w:p w:rsidR="00263732" w:rsidRPr="004E1208" w:rsidRDefault="00263732" w:rsidP="00263732">
            <w:pPr>
              <w:jc w:val="center"/>
              <w:rPr>
                <w:rFonts w:hAnsi="標楷體"/>
                <w:spacing w:val="-20"/>
                <w:sz w:val="22"/>
                <w:szCs w:val="22"/>
              </w:rPr>
            </w:pPr>
            <w:r w:rsidRPr="004E1208">
              <w:rPr>
                <w:rFonts w:hAnsi="標楷體" w:hint="eastAsia"/>
                <w:spacing w:val="-20"/>
                <w:sz w:val="22"/>
                <w:szCs w:val="22"/>
              </w:rPr>
              <w:t>尚未報核</w:t>
            </w:r>
          </w:p>
        </w:tc>
      </w:tr>
    </w:tbl>
    <w:p w:rsidR="00F020D3" w:rsidRDefault="00F020D3" w:rsidP="008926E6">
      <w:pPr>
        <w:pStyle w:val="3"/>
        <w:numPr>
          <w:ilvl w:val="0"/>
          <w:numId w:val="0"/>
        </w:numPr>
        <w:snapToGrid w:val="0"/>
        <w:rPr>
          <w:rFonts w:hAnsi="標楷體"/>
          <w:sz w:val="24"/>
          <w:szCs w:val="24"/>
        </w:rPr>
      </w:pPr>
      <w:r>
        <w:rPr>
          <w:rFonts w:hAnsi="標楷體" w:hint="eastAsia"/>
          <w:sz w:val="24"/>
          <w:szCs w:val="24"/>
        </w:rPr>
        <w:t>資料時間：112年5月。</w:t>
      </w:r>
    </w:p>
    <w:p w:rsidR="00D10174" w:rsidRPr="004E1208" w:rsidRDefault="00D10174" w:rsidP="008926E6">
      <w:pPr>
        <w:pStyle w:val="3"/>
        <w:numPr>
          <w:ilvl w:val="0"/>
          <w:numId w:val="0"/>
        </w:numPr>
        <w:snapToGrid w:val="0"/>
        <w:spacing w:afterLines="50" w:after="228"/>
        <w:rPr>
          <w:rFonts w:hAnsi="標楷體"/>
          <w:sz w:val="24"/>
          <w:szCs w:val="24"/>
        </w:rPr>
      </w:pPr>
      <w:r w:rsidRPr="004E1208">
        <w:rPr>
          <w:rFonts w:hAnsi="標楷體" w:hint="eastAsia"/>
          <w:sz w:val="24"/>
          <w:szCs w:val="24"/>
        </w:rPr>
        <w:t>資料來源：本調查研究報告依國產署提供資料整理製作。</w:t>
      </w:r>
    </w:p>
    <w:p w:rsidR="00801184" w:rsidRPr="004E1208" w:rsidRDefault="00801184" w:rsidP="00801184">
      <w:pPr>
        <w:pStyle w:val="3"/>
      </w:pPr>
      <w:r w:rsidRPr="004E1208">
        <w:rPr>
          <w:rFonts w:hint="eastAsia"/>
        </w:rPr>
        <w:lastRenderedPageBreak/>
        <w:t>另據國產署統計，</w:t>
      </w:r>
      <w:r w:rsidR="00F020D3">
        <w:rPr>
          <w:rFonts w:hAnsi="標楷體" w:hint="eastAsia"/>
        </w:rPr>
        <w:t>截至112年5月底止，</w:t>
      </w:r>
      <w:r w:rsidRPr="004E1208">
        <w:rPr>
          <w:rFonts w:hint="eastAsia"/>
        </w:rPr>
        <w:t>興辦產業人依產業創新條例第33條規定申請設置產業園區尚未核定之案件中，國有土地達開發總面積50%以上者計3案；另外，國有土地占園區總面積比例未達50%，但國有土地面積超過1</w:t>
      </w:r>
      <w:r w:rsidRPr="004E1208">
        <w:t>,</w:t>
      </w:r>
      <w:r w:rsidRPr="004E1208">
        <w:rPr>
          <w:rFonts w:hint="eastAsia"/>
        </w:rPr>
        <w:t>650平方公尺者，則有17案，詳見表4、表5。</w:t>
      </w:r>
    </w:p>
    <w:p w:rsidR="00801184" w:rsidRPr="004E1208" w:rsidRDefault="00801184" w:rsidP="00263732">
      <w:pPr>
        <w:pStyle w:val="a4"/>
        <w:ind w:firstLine="87"/>
        <w:jc w:val="center"/>
        <w:rPr>
          <w:rFonts w:hAnsi="標楷體"/>
          <w:b/>
          <w:spacing w:val="0"/>
        </w:rPr>
      </w:pPr>
      <w:bookmarkStart w:id="55" w:name="_Toc139547167"/>
      <w:r w:rsidRPr="004E1208">
        <w:rPr>
          <w:rFonts w:hAnsi="標楷體" w:hint="eastAsia"/>
          <w:b/>
          <w:spacing w:val="0"/>
        </w:rPr>
        <w:t>國有土地占產業園區申請開發面積50%以上案件</w:t>
      </w:r>
      <w:r w:rsidR="00263732" w:rsidRPr="004E1208">
        <w:rPr>
          <w:rFonts w:hAnsi="標楷體" w:hint="eastAsia"/>
          <w:b/>
          <w:spacing w:val="0"/>
        </w:rPr>
        <w:t>一覽</w:t>
      </w:r>
      <w:r w:rsidRPr="004E1208">
        <w:rPr>
          <w:rFonts w:hAnsi="標楷體" w:hint="eastAsia"/>
          <w:b/>
          <w:spacing w:val="0"/>
        </w:rPr>
        <w:t>表</w:t>
      </w:r>
      <w:bookmarkEnd w:id="55"/>
    </w:p>
    <w:p w:rsidR="00801184" w:rsidRPr="004E1208" w:rsidRDefault="00801184" w:rsidP="00801184">
      <w:pPr>
        <w:jc w:val="right"/>
        <w:rPr>
          <w:rFonts w:hAnsi="標楷體"/>
          <w:sz w:val="24"/>
          <w:szCs w:val="24"/>
        </w:rPr>
      </w:pPr>
      <w:r w:rsidRPr="004E1208">
        <w:rPr>
          <w:rFonts w:hAnsi="標楷體" w:hint="eastAsia"/>
          <w:sz w:val="24"/>
          <w:szCs w:val="24"/>
        </w:rPr>
        <w:t>單位：</w:t>
      </w:r>
      <w:proofErr w:type="gramStart"/>
      <w:r w:rsidRPr="004E1208">
        <w:rPr>
          <w:rFonts w:hAnsi="標楷體" w:hint="eastAsia"/>
          <w:sz w:val="24"/>
          <w:szCs w:val="24"/>
        </w:rPr>
        <w:t>㎡</w:t>
      </w:r>
      <w:proofErr w:type="gramEnd"/>
      <w:r w:rsidRPr="004E1208">
        <w:rPr>
          <w:rFonts w:hAnsi="標楷體" w:hint="eastAsia"/>
          <w:sz w:val="24"/>
          <w:szCs w:val="24"/>
        </w:rPr>
        <w:t>；%</w:t>
      </w:r>
    </w:p>
    <w:tbl>
      <w:tblPr>
        <w:tblW w:w="4726" w:type="pct"/>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6"/>
        <w:gridCol w:w="1232"/>
        <w:gridCol w:w="1541"/>
        <w:gridCol w:w="1728"/>
        <w:gridCol w:w="1797"/>
        <w:gridCol w:w="1346"/>
      </w:tblGrid>
      <w:tr w:rsidR="00263732" w:rsidRPr="004E1208" w:rsidTr="00263732">
        <w:trPr>
          <w:trHeight w:val="567"/>
          <w:tblHeader/>
        </w:trPr>
        <w:tc>
          <w:tcPr>
            <w:tcW w:w="422" w:type="pct"/>
            <w:shd w:val="clear" w:color="auto" w:fill="FDE9D9" w:themeFill="accent6" w:themeFillTint="33"/>
            <w:vAlign w:val="center"/>
            <w:hideMark/>
          </w:tcPr>
          <w:p w:rsidR="00263732" w:rsidRPr="004E1208" w:rsidRDefault="00263732" w:rsidP="00C6419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編號</w:t>
            </w:r>
          </w:p>
        </w:tc>
        <w:tc>
          <w:tcPr>
            <w:tcW w:w="738" w:type="pct"/>
            <w:shd w:val="clear" w:color="auto" w:fill="FDE9D9" w:themeFill="accent6" w:themeFillTint="33"/>
            <w:vAlign w:val="center"/>
            <w:hideMark/>
          </w:tcPr>
          <w:p w:rsidR="00263732" w:rsidRPr="004E1208" w:rsidRDefault="00263732" w:rsidP="00C64192">
            <w:pPr>
              <w:widowControl/>
              <w:spacing w:line="0" w:lineRule="atLeast"/>
              <w:jc w:val="center"/>
              <w:rPr>
                <w:rFonts w:hAnsi="標楷體" w:cs="新細明體"/>
                <w:spacing w:val="-10"/>
                <w:kern w:val="0"/>
                <w:sz w:val="24"/>
                <w:szCs w:val="24"/>
              </w:rPr>
            </w:pPr>
            <w:proofErr w:type="gramStart"/>
            <w:r w:rsidRPr="004E1208">
              <w:rPr>
                <w:rFonts w:hAnsi="標楷體" w:cs="新細明體" w:hint="eastAsia"/>
                <w:spacing w:val="-10"/>
                <w:kern w:val="0"/>
                <w:sz w:val="24"/>
                <w:szCs w:val="24"/>
              </w:rPr>
              <w:t>案名</w:t>
            </w:r>
            <w:proofErr w:type="gramEnd"/>
          </w:p>
        </w:tc>
        <w:tc>
          <w:tcPr>
            <w:tcW w:w="923" w:type="pct"/>
            <w:shd w:val="clear" w:color="auto" w:fill="FDE9D9" w:themeFill="accent6" w:themeFillTint="33"/>
            <w:vAlign w:val="center"/>
            <w:hideMark/>
          </w:tcPr>
          <w:p w:rsidR="00263732" w:rsidRPr="004E1208" w:rsidRDefault="00263732" w:rsidP="00C6419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地區</w:t>
            </w:r>
          </w:p>
        </w:tc>
        <w:tc>
          <w:tcPr>
            <w:tcW w:w="1035" w:type="pct"/>
            <w:shd w:val="clear" w:color="auto" w:fill="FDE9D9" w:themeFill="accent6" w:themeFillTint="33"/>
            <w:vAlign w:val="center"/>
            <w:hideMark/>
          </w:tcPr>
          <w:p w:rsidR="00263732" w:rsidRPr="004E1208" w:rsidRDefault="00263732" w:rsidP="00C6419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產業園區面積</w:t>
            </w:r>
          </w:p>
        </w:tc>
        <w:tc>
          <w:tcPr>
            <w:tcW w:w="1076" w:type="pct"/>
            <w:shd w:val="clear" w:color="auto" w:fill="FDE9D9" w:themeFill="accent6" w:themeFillTint="33"/>
            <w:vAlign w:val="center"/>
            <w:hideMark/>
          </w:tcPr>
          <w:p w:rsidR="00263732" w:rsidRPr="004E1208" w:rsidRDefault="00263732" w:rsidP="00C6419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國有土地面積</w:t>
            </w:r>
          </w:p>
          <w:p w:rsidR="00263732" w:rsidRPr="004E1208" w:rsidRDefault="00263732" w:rsidP="00C64192">
            <w:pPr>
              <w:widowControl/>
              <w:spacing w:line="0" w:lineRule="atLeast"/>
              <w:jc w:val="center"/>
              <w:rPr>
                <w:rFonts w:hAnsi="標楷體" w:cs="新細明體"/>
                <w:spacing w:val="-20"/>
                <w:kern w:val="0"/>
                <w:sz w:val="22"/>
                <w:szCs w:val="22"/>
              </w:rPr>
            </w:pPr>
            <w:r w:rsidRPr="004E1208">
              <w:rPr>
                <w:rFonts w:hAnsi="標楷體" w:cs="新細明體" w:hint="eastAsia"/>
                <w:spacing w:val="-20"/>
                <w:kern w:val="0"/>
                <w:sz w:val="22"/>
                <w:szCs w:val="22"/>
              </w:rPr>
              <w:t>（含公用及非公用）</w:t>
            </w:r>
          </w:p>
        </w:tc>
        <w:tc>
          <w:tcPr>
            <w:tcW w:w="806" w:type="pct"/>
            <w:shd w:val="clear" w:color="auto" w:fill="FDE9D9" w:themeFill="accent6" w:themeFillTint="33"/>
            <w:vAlign w:val="center"/>
            <w:hideMark/>
          </w:tcPr>
          <w:p w:rsidR="00263732" w:rsidRPr="004E1208" w:rsidRDefault="00263732" w:rsidP="00C6419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國有土地</w:t>
            </w:r>
          </w:p>
          <w:p w:rsidR="00263732" w:rsidRPr="004E1208" w:rsidRDefault="00263732" w:rsidP="00C6419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面積比例</w:t>
            </w:r>
          </w:p>
        </w:tc>
      </w:tr>
      <w:tr w:rsidR="00263732" w:rsidRPr="004E1208" w:rsidTr="00263732">
        <w:trPr>
          <w:trHeight w:val="567"/>
        </w:trPr>
        <w:tc>
          <w:tcPr>
            <w:tcW w:w="422" w:type="pct"/>
            <w:shd w:val="clear" w:color="auto" w:fill="auto"/>
            <w:vAlign w:val="center"/>
            <w:hideMark/>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1</w:t>
            </w:r>
          </w:p>
        </w:tc>
        <w:tc>
          <w:tcPr>
            <w:tcW w:w="738" w:type="pct"/>
            <w:shd w:val="clear" w:color="auto" w:fill="auto"/>
            <w:vAlign w:val="center"/>
            <w:hideMark/>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鎧全</w:t>
            </w:r>
          </w:p>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產業園區</w:t>
            </w:r>
          </w:p>
        </w:tc>
        <w:tc>
          <w:tcPr>
            <w:tcW w:w="923" w:type="pct"/>
            <w:shd w:val="clear" w:color="auto" w:fill="auto"/>
            <w:vAlign w:val="center"/>
            <w:hideMark/>
          </w:tcPr>
          <w:p w:rsidR="00263732" w:rsidRPr="004E1208" w:rsidRDefault="00263732" w:rsidP="00263732">
            <w:pPr>
              <w:widowControl/>
              <w:spacing w:line="0" w:lineRule="atLeast"/>
              <w:jc w:val="center"/>
              <w:rPr>
                <w:rFonts w:hAnsi="標楷體" w:cs="新細明體"/>
                <w:spacing w:val="-10"/>
                <w:kern w:val="0"/>
                <w:sz w:val="24"/>
                <w:szCs w:val="24"/>
              </w:rPr>
            </w:pPr>
            <w:proofErr w:type="gramStart"/>
            <w:r w:rsidRPr="004E1208">
              <w:rPr>
                <w:rFonts w:hAnsi="標楷體" w:cs="新細明體" w:hint="eastAsia"/>
                <w:spacing w:val="-10"/>
                <w:kern w:val="0"/>
                <w:sz w:val="24"/>
                <w:szCs w:val="24"/>
              </w:rPr>
              <w:t>臺</w:t>
            </w:r>
            <w:proofErr w:type="gramEnd"/>
            <w:r w:rsidRPr="004E1208">
              <w:rPr>
                <w:rFonts w:hAnsi="標楷體" w:cs="新細明體" w:hint="eastAsia"/>
                <w:spacing w:val="-10"/>
                <w:kern w:val="0"/>
                <w:sz w:val="24"/>
                <w:szCs w:val="24"/>
              </w:rPr>
              <w:t>中市清水區</w:t>
            </w:r>
          </w:p>
        </w:tc>
        <w:tc>
          <w:tcPr>
            <w:tcW w:w="1035" w:type="pct"/>
            <w:shd w:val="clear" w:color="auto" w:fill="auto"/>
            <w:vAlign w:val="center"/>
            <w:hideMark/>
          </w:tcPr>
          <w:p w:rsidR="00263732" w:rsidRPr="004E1208" w:rsidRDefault="00263732" w:rsidP="00263732">
            <w:pPr>
              <w:widowControl/>
              <w:spacing w:line="0" w:lineRule="atLeast"/>
              <w:jc w:val="right"/>
              <w:rPr>
                <w:rFonts w:hAnsi="標楷體" w:cs="新細明體"/>
                <w:spacing w:val="-10"/>
                <w:kern w:val="0"/>
                <w:sz w:val="24"/>
                <w:szCs w:val="24"/>
              </w:rPr>
            </w:pPr>
            <w:r w:rsidRPr="004E1208">
              <w:rPr>
                <w:rFonts w:hAnsi="標楷體" w:cs="新細明體" w:hint="eastAsia"/>
                <w:spacing w:val="-10"/>
                <w:kern w:val="0"/>
                <w:sz w:val="24"/>
                <w:szCs w:val="24"/>
              </w:rPr>
              <w:t>265,577</w:t>
            </w:r>
          </w:p>
        </w:tc>
        <w:tc>
          <w:tcPr>
            <w:tcW w:w="1076" w:type="pct"/>
            <w:shd w:val="clear" w:color="auto" w:fill="auto"/>
            <w:vAlign w:val="center"/>
            <w:hideMark/>
          </w:tcPr>
          <w:p w:rsidR="00263732" w:rsidRPr="004E1208" w:rsidRDefault="00263732" w:rsidP="00263732">
            <w:pPr>
              <w:widowControl/>
              <w:spacing w:line="0" w:lineRule="atLeast"/>
              <w:jc w:val="right"/>
              <w:rPr>
                <w:rFonts w:hAnsi="標楷體" w:cs="新細明體"/>
                <w:spacing w:val="-10"/>
                <w:kern w:val="0"/>
                <w:sz w:val="24"/>
                <w:szCs w:val="24"/>
              </w:rPr>
            </w:pPr>
            <w:r w:rsidRPr="004E1208">
              <w:rPr>
                <w:rFonts w:hAnsi="標楷體" w:cs="新細明體" w:hint="eastAsia"/>
                <w:spacing w:val="-10"/>
                <w:kern w:val="0"/>
                <w:sz w:val="24"/>
                <w:szCs w:val="24"/>
              </w:rPr>
              <w:t>265,577</w:t>
            </w:r>
          </w:p>
        </w:tc>
        <w:tc>
          <w:tcPr>
            <w:tcW w:w="806" w:type="pct"/>
            <w:shd w:val="clear" w:color="auto" w:fill="auto"/>
            <w:vAlign w:val="center"/>
            <w:hideMark/>
          </w:tcPr>
          <w:p w:rsidR="00263732" w:rsidRPr="004E1208" w:rsidRDefault="00263732" w:rsidP="00263732">
            <w:pPr>
              <w:widowControl/>
              <w:spacing w:line="0" w:lineRule="atLeast"/>
              <w:jc w:val="right"/>
              <w:rPr>
                <w:rFonts w:hAnsi="標楷體" w:cs="新細明體"/>
                <w:spacing w:val="-10"/>
                <w:kern w:val="0"/>
                <w:sz w:val="24"/>
                <w:szCs w:val="24"/>
              </w:rPr>
            </w:pPr>
            <w:r w:rsidRPr="004E1208">
              <w:rPr>
                <w:rFonts w:hAnsi="標楷體" w:cs="新細明體" w:hint="eastAsia"/>
                <w:spacing w:val="-10"/>
                <w:kern w:val="0"/>
                <w:sz w:val="24"/>
                <w:szCs w:val="24"/>
              </w:rPr>
              <w:t>100.00</w:t>
            </w:r>
          </w:p>
        </w:tc>
      </w:tr>
      <w:tr w:rsidR="00263732" w:rsidRPr="004E1208" w:rsidTr="00263732">
        <w:trPr>
          <w:trHeight w:val="567"/>
        </w:trPr>
        <w:tc>
          <w:tcPr>
            <w:tcW w:w="422" w:type="pct"/>
            <w:shd w:val="clear" w:color="auto" w:fill="auto"/>
            <w:vAlign w:val="center"/>
            <w:hideMark/>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2</w:t>
            </w:r>
          </w:p>
        </w:tc>
        <w:tc>
          <w:tcPr>
            <w:tcW w:w="738" w:type="pct"/>
            <w:shd w:val="clear" w:color="auto" w:fill="auto"/>
            <w:vAlign w:val="center"/>
            <w:hideMark/>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清水科技</w:t>
            </w:r>
          </w:p>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產業園區</w:t>
            </w:r>
          </w:p>
        </w:tc>
        <w:tc>
          <w:tcPr>
            <w:tcW w:w="923" w:type="pct"/>
            <w:shd w:val="clear" w:color="auto" w:fill="auto"/>
            <w:vAlign w:val="center"/>
            <w:hideMark/>
          </w:tcPr>
          <w:p w:rsidR="00263732" w:rsidRPr="004E1208" w:rsidRDefault="00263732" w:rsidP="00263732">
            <w:pPr>
              <w:widowControl/>
              <w:spacing w:line="0" w:lineRule="atLeast"/>
              <w:jc w:val="center"/>
              <w:rPr>
                <w:rFonts w:hAnsi="標楷體" w:cs="新細明體"/>
                <w:spacing w:val="-10"/>
                <w:kern w:val="0"/>
                <w:sz w:val="24"/>
                <w:szCs w:val="24"/>
              </w:rPr>
            </w:pPr>
            <w:proofErr w:type="gramStart"/>
            <w:r w:rsidRPr="004E1208">
              <w:rPr>
                <w:rFonts w:hAnsi="標楷體" w:cs="新細明體" w:hint="eastAsia"/>
                <w:spacing w:val="-10"/>
                <w:kern w:val="0"/>
                <w:sz w:val="24"/>
                <w:szCs w:val="24"/>
              </w:rPr>
              <w:t>臺</w:t>
            </w:r>
            <w:proofErr w:type="gramEnd"/>
            <w:r w:rsidRPr="004E1208">
              <w:rPr>
                <w:rFonts w:hAnsi="標楷體" w:cs="新細明體" w:hint="eastAsia"/>
                <w:spacing w:val="-10"/>
                <w:kern w:val="0"/>
                <w:sz w:val="24"/>
                <w:szCs w:val="24"/>
              </w:rPr>
              <w:t>中市清水區</w:t>
            </w:r>
          </w:p>
        </w:tc>
        <w:tc>
          <w:tcPr>
            <w:tcW w:w="1035" w:type="pct"/>
            <w:shd w:val="clear" w:color="auto" w:fill="auto"/>
            <w:vAlign w:val="center"/>
            <w:hideMark/>
          </w:tcPr>
          <w:p w:rsidR="00263732" w:rsidRPr="004E1208" w:rsidRDefault="00263732" w:rsidP="00263732">
            <w:pPr>
              <w:widowControl/>
              <w:spacing w:line="0" w:lineRule="atLeast"/>
              <w:jc w:val="right"/>
              <w:rPr>
                <w:rFonts w:hAnsi="標楷體" w:cs="新細明體"/>
                <w:spacing w:val="-10"/>
                <w:kern w:val="0"/>
                <w:sz w:val="24"/>
                <w:szCs w:val="24"/>
              </w:rPr>
            </w:pPr>
            <w:r w:rsidRPr="004E1208">
              <w:rPr>
                <w:rFonts w:hAnsi="標楷體" w:cs="新細明體" w:hint="eastAsia"/>
                <w:spacing w:val="-10"/>
                <w:kern w:val="0"/>
                <w:sz w:val="24"/>
                <w:szCs w:val="24"/>
              </w:rPr>
              <w:t>279,439</w:t>
            </w:r>
          </w:p>
        </w:tc>
        <w:tc>
          <w:tcPr>
            <w:tcW w:w="1076" w:type="pct"/>
            <w:shd w:val="clear" w:color="auto" w:fill="auto"/>
            <w:vAlign w:val="center"/>
            <w:hideMark/>
          </w:tcPr>
          <w:p w:rsidR="00263732" w:rsidRPr="004E1208" w:rsidRDefault="00263732" w:rsidP="00263732">
            <w:pPr>
              <w:widowControl/>
              <w:spacing w:line="0" w:lineRule="atLeast"/>
              <w:jc w:val="right"/>
              <w:rPr>
                <w:rFonts w:hAnsi="標楷體" w:cs="新細明體"/>
                <w:spacing w:val="-10"/>
                <w:kern w:val="0"/>
                <w:sz w:val="24"/>
                <w:szCs w:val="24"/>
              </w:rPr>
            </w:pPr>
            <w:r w:rsidRPr="004E1208">
              <w:rPr>
                <w:rFonts w:hAnsi="標楷體" w:cs="新細明體" w:hint="eastAsia"/>
                <w:spacing w:val="-10"/>
                <w:kern w:val="0"/>
                <w:sz w:val="24"/>
                <w:szCs w:val="24"/>
              </w:rPr>
              <w:t>274,623</w:t>
            </w:r>
          </w:p>
        </w:tc>
        <w:tc>
          <w:tcPr>
            <w:tcW w:w="806" w:type="pct"/>
            <w:shd w:val="clear" w:color="auto" w:fill="auto"/>
            <w:vAlign w:val="center"/>
            <w:hideMark/>
          </w:tcPr>
          <w:p w:rsidR="00263732" w:rsidRPr="004E1208" w:rsidRDefault="00263732" w:rsidP="00263732">
            <w:pPr>
              <w:widowControl/>
              <w:spacing w:line="0" w:lineRule="atLeast"/>
              <w:jc w:val="right"/>
              <w:rPr>
                <w:rFonts w:hAnsi="標楷體" w:cs="新細明體"/>
                <w:spacing w:val="-10"/>
                <w:kern w:val="0"/>
                <w:sz w:val="24"/>
                <w:szCs w:val="24"/>
              </w:rPr>
            </w:pPr>
            <w:r w:rsidRPr="004E1208">
              <w:rPr>
                <w:rFonts w:hAnsi="標楷體" w:cs="新細明體" w:hint="eastAsia"/>
                <w:spacing w:val="-10"/>
                <w:kern w:val="0"/>
                <w:sz w:val="24"/>
                <w:szCs w:val="24"/>
              </w:rPr>
              <w:t>98.28</w:t>
            </w:r>
          </w:p>
        </w:tc>
      </w:tr>
      <w:tr w:rsidR="00263732" w:rsidRPr="004E1208" w:rsidTr="00263732">
        <w:trPr>
          <w:trHeight w:val="567"/>
        </w:trPr>
        <w:tc>
          <w:tcPr>
            <w:tcW w:w="422" w:type="pct"/>
            <w:shd w:val="clear" w:color="auto" w:fill="auto"/>
            <w:vAlign w:val="center"/>
            <w:hideMark/>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3</w:t>
            </w:r>
          </w:p>
        </w:tc>
        <w:tc>
          <w:tcPr>
            <w:tcW w:w="738" w:type="pct"/>
            <w:shd w:val="clear" w:color="auto" w:fill="auto"/>
            <w:vAlign w:val="center"/>
            <w:hideMark/>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福豐</w:t>
            </w:r>
          </w:p>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產業園區</w:t>
            </w:r>
          </w:p>
        </w:tc>
        <w:tc>
          <w:tcPr>
            <w:tcW w:w="923" w:type="pct"/>
            <w:shd w:val="clear" w:color="auto" w:fill="auto"/>
            <w:vAlign w:val="center"/>
            <w:hideMark/>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苗栗縣竹南鄉</w:t>
            </w:r>
          </w:p>
        </w:tc>
        <w:tc>
          <w:tcPr>
            <w:tcW w:w="1035" w:type="pct"/>
            <w:shd w:val="clear" w:color="auto" w:fill="auto"/>
            <w:vAlign w:val="center"/>
            <w:hideMark/>
          </w:tcPr>
          <w:p w:rsidR="00263732" w:rsidRPr="004E1208" w:rsidRDefault="00263732" w:rsidP="00263732">
            <w:pPr>
              <w:widowControl/>
              <w:spacing w:line="0" w:lineRule="atLeast"/>
              <w:jc w:val="right"/>
              <w:rPr>
                <w:rFonts w:hAnsi="標楷體" w:cs="新細明體"/>
                <w:spacing w:val="-10"/>
                <w:kern w:val="0"/>
                <w:sz w:val="24"/>
                <w:szCs w:val="24"/>
              </w:rPr>
            </w:pPr>
            <w:r w:rsidRPr="004E1208">
              <w:rPr>
                <w:rFonts w:hAnsi="標楷體" w:cs="新細明體" w:hint="eastAsia"/>
                <w:spacing w:val="-10"/>
                <w:kern w:val="0"/>
                <w:sz w:val="24"/>
                <w:szCs w:val="24"/>
              </w:rPr>
              <w:t>98,347</w:t>
            </w:r>
          </w:p>
        </w:tc>
        <w:tc>
          <w:tcPr>
            <w:tcW w:w="1076" w:type="pct"/>
            <w:shd w:val="clear" w:color="auto" w:fill="auto"/>
            <w:vAlign w:val="center"/>
            <w:hideMark/>
          </w:tcPr>
          <w:p w:rsidR="00263732" w:rsidRPr="004E1208" w:rsidRDefault="00263732" w:rsidP="00263732">
            <w:pPr>
              <w:widowControl/>
              <w:spacing w:line="0" w:lineRule="atLeast"/>
              <w:jc w:val="right"/>
              <w:rPr>
                <w:rFonts w:hAnsi="標楷體" w:cs="新細明體"/>
                <w:spacing w:val="-10"/>
                <w:kern w:val="0"/>
                <w:sz w:val="24"/>
                <w:szCs w:val="24"/>
              </w:rPr>
            </w:pPr>
            <w:r w:rsidRPr="004E1208">
              <w:rPr>
                <w:rFonts w:hAnsi="標楷體" w:cs="新細明體" w:hint="eastAsia"/>
                <w:spacing w:val="-10"/>
                <w:kern w:val="0"/>
                <w:sz w:val="24"/>
                <w:szCs w:val="24"/>
              </w:rPr>
              <w:t>95,679</w:t>
            </w:r>
          </w:p>
        </w:tc>
        <w:tc>
          <w:tcPr>
            <w:tcW w:w="806" w:type="pct"/>
            <w:shd w:val="clear" w:color="auto" w:fill="auto"/>
            <w:vAlign w:val="center"/>
            <w:hideMark/>
          </w:tcPr>
          <w:p w:rsidR="00263732" w:rsidRPr="004E1208" w:rsidRDefault="00263732" w:rsidP="00263732">
            <w:pPr>
              <w:widowControl/>
              <w:spacing w:line="0" w:lineRule="atLeast"/>
              <w:jc w:val="right"/>
              <w:rPr>
                <w:rFonts w:hAnsi="標楷體" w:cs="新細明體"/>
                <w:spacing w:val="-10"/>
                <w:kern w:val="0"/>
                <w:sz w:val="24"/>
                <w:szCs w:val="24"/>
              </w:rPr>
            </w:pPr>
            <w:r w:rsidRPr="004E1208">
              <w:rPr>
                <w:rFonts w:hAnsi="標楷體" w:cs="新細明體" w:hint="eastAsia"/>
                <w:spacing w:val="-10"/>
                <w:kern w:val="0"/>
                <w:sz w:val="24"/>
                <w:szCs w:val="24"/>
              </w:rPr>
              <w:t>97.29</w:t>
            </w:r>
          </w:p>
        </w:tc>
      </w:tr>
    </w:tbl>
    <w:p w:rsidR="00F020D3" w:rsidRDefault="00F020D3" w:rsidP="008926E6">
      <w:pPr>
        <w:pStyle w:val="5"/>
        <w:numPr>
          <w:ilvl w:val="0"/>
          <w:numId w:val="0"/>
        </w:numPr>
        <w:snapToGrid w:val="0"/>
        <w:ind w:leftChars="166" w:left="565"/>
        <w:rPr>
          <w:rFonts w:hAnsi="標楷體"/>
          <w:sz w:val="24"/>
          <w:szCs w:val="24"/>
        </w:rPr>
      </w:pPr>
      <w:r>
        <w:rPr>
          <w:rFonts w:hAnsi="標楷體" w:hint="eastAsia"/>
          <w:sz w:val="24"/>
          <w:szCs w:val="24"/>
        </w:rPr>
        <w:t>資料時間：112年5月。</w:t>
      </w:r>
    </w:p>
    <w:p w:rsidR="00801184" w:rsidRPr="004E1208" w:rsidRDefault="00801184" w:rsidP="008926E6">
      <w:pPr>
        <w:pStyle w:val="5"/>
        <w:numPr>
          <w:ilvl w:val="0"/>
          <w:numId w:val="0"/>
        </w:numPr>
        <w:snapToGrid w:val="0"/>
        <w:spacing w:afterLines="50" w:after="228"/>
        <w:ind w:leftChars="166" w:left="565"/>
        <w:rPr>
          <w:rFonts w:hAnsi="標楷體"/>
          <w:sz w:val="24"/>
          <w:szCs w:val="24"/>
        </w:rPr>
      </w:pPr>
      <w:r w:rsidRPr="004E1208">
        <w:rPr>
          <w:rFonts w:hAnsi="標楷體" w:hint="eastAsia"/>
          <w:sz w:val="24"/>
          <w:szCs w:val="24"/>
        </w:rPr>
        <w:t>資料來源：本調查研究報告依國產署提供資料整理製作。</w:t>
      </w:r>
    </w:p>
    <w:p w:rsidR="00801184" w:rsidRPr="004E1208" w:rsidRDefault="00801184" w:rsidP="00263732">
      <w:pPr>
        <w:pStyle w:val="a4"/>
        <w:ind w:left="1418" w:hanging="709"/>
        <w:rPr>
          <w:rFonts w:hAnsi="標楷體"/>
          <w:b/>
        </w:rPr>
      </w:pPr>
      <w:bookmarkStart w:id="56" w:name="_Toc139547168"/>
      <w:r w:rsidRPr="004E1208">
        <w:rPr>
          <w:rFonts w:hAnsi="標楷體" w:hint="eastAsia"/>
          <w:b/>
        </w:rPr>
        <w:t>國有土地面積超過1</w:t>
      </w:r>
      <w:r w:rsidRPr="004E1208">
        <w:rPr>
          <w:rFonts w:hAnsi="標楷體"/>
          <w:b/>
        </w:rPr>
        <w:t>,</w:t>
      </w:r>
      <w:r w:rsidRPr="004E1208">
        <w:rPr>
          <w:rFonts w:hAnsi="標楷體" w:hint="eastAsia"/>
          <w:b/>
        </w:rPr>
        <w:t>650平方公尺且占產業園區總面積50%以下案件一覽表</w:t>
      </w:r>
      <w:bookmarkEnd w:id="56"/>
    </w:p>
    <w:p w:rsidR="00801184" w:rsidRPr="004E1208" w:rsidRDefault="00801184" w:rsidP="00801184">
      <w:pPr>
        <w:jc w:val="right"/>
        <w:rPr>
          <w:rFonts w:hAnsi="標楷體"/>
          <w:sz w:val="24"/>
          <w:szCs w:val="24"/>
        </w:rPr>
      </w:pPr>
      <w:r w:rsidRPr="004E1208">
        <w:rPr>
          <w:rFonts w:hAnsi="標楷體" w:hint="eastAsia"/>
          <w:sz w:val="24"/>
          <w:szCs w:val="24"/>
        </w:rPr>
        <w:t>單位：</w:t>
      </w:r>
      <w:proofErr w:type="gramStart"/>
      <w:r w:rsidRPr="004E1208">
        <w:rPr>
          <w:rFonts w:hAnsi="標楷體" w:hint="eastAsia"/>
          <w:sz w:val="24"/>
          <w:szCs w:val="24"/>
        </w:rPr>
        <w:t>㎡</w:t>
      </w:r>
      <w:proofErr w:type="gramEnd"/>
      <w:r w:rsidRPr="004E1208">
        <w:rPr>
          <w:rFonts w:hAnsi="標楷體" w:hint="eastAsia"/>
          <w:sz w:val="24"/>
          <w:szCs w:val="24"/>
        </w:rPr>
        <w:t>；%</w:t>
      </w:r>
    </w:p>
    <w:tbl>
      <w:tblPr>
        <w:tblW w:w="4722" w:type="pct"/>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67"/>
        <w:gridCol w:w="1195"/>
        <w:gridCol w:w="1657"/>
        <w:gridCol w:w="1548"/>
        <w:gridCol w:w="1969"/>
        <w:gridCol w:w="1307"/>
      </w:tblGrid>
      <w:tr w:rsidR="00263732" w:rsidRPr="004E1208" w:rsidTr="00F020D3">
        <w:trPr>
          <w:trHeight w:val="567"/>
          <w:tblHeader/>
        </w:trPr>
        <w:tc>
          <w:tcPr>
            <w:tcW w:w="400" w:type="pct"/>
            <w:shd w:val="clear" w:color="auto" w:fill="FDE9D9" w:themeFill="accent6" w:themeFillTint="33"/>
            <w:vAlign w:val="center"/>
            <w:hideMark/>
          </w:tcPr>
          <w:p w:rsidR="00263732" w:rsidRPr="004E1208" w:rsidRDefault="00263732" w:rsidP="00C6419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編號</w:t>
            </w:r>
          </w:p>
        </w:tc>
        <w:tc>
          <w:tcPr>
            <w:tcW w:w="716" w:type="pct"/>
            <w:shd w:val="clear" w:color="auto" w:fill="FDE9D9" w:themeFill="accent6" w:themeFillTint="33"/>
            <w:vAlign w:val="center"/>
            <w:hideMark/>
          </w:tcPr>
          <w:p w:rsidR="00263732" w:rsidRPr="004E1208" w:rsidRDefault="00263732" w:rsidP="00C64192">
            <w:pPr>
              <w:widowControl/>
              <w:spacing w:line="0" w:lineRule="atLeast"/>
              <w:jc w:val="center"/>
              <w:rPr>
                <w:rFonts w:hAnsi="標楷體" w:cs="新細明體"/>
                <w:spacing w:val="-10"/>
                <w:kern w:val="0"/>
                <w:sz w:val="24"/>
                <w:szCs w:val="24"/>
              </w:rPr>
            </w:pPr>
            <w:proofErr w:type="gramStart"/>
            <w:r w:rsidRPr="004E1208">
              <w:rPr>
                <w:rFonts w:hAnsi="標楷體" w:cs="新細明體" w:hint="eastAsia"/>
                <w:spacing w:val="-10"/>
                <w:kern w:val="0"/>
                <w:sz w:val="24"/>
                <w:szCs w:val="24"/>
              </w:rPr>
              <w:t>案名</w:t>
            </w:r>
            <w:proofErr w:type="gramEnd"/>
          </w:p>
        </w:tc>
        <w:tc>
          <w:tcPr>
            <w:tcW w:w="993" w:type="pct"/>
            <w:shd w:val="clear" w:color="auto" w:fill="FDE9D9" w:themeFill="accent6" w:themeFillTint="33"/>
            <w:vAlign w:val="center"/>
            <w:hideMark/>
          </w:tcPr>
          <w:p w:rsidR="00263732" w:rsidRPr="004E1208" w:rsidRDefault="00263732" w:rsidP="00C6419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地區</w:t>
            </w:r>
          </w:p>
        </w:tc>
        <w:tc>
          <w:tcPr>
            <w:tcW w:w="928" w:type="pct"/>
            <w:shd w:val="clear" w:color="auto" w:fill="FDE9D9" w:themeFill="accent6" w:themeFillTint="33"/>
            <w:vAlign w:val="center"/>
            <w:hideMark/>
          </w:tcPr>
          <w:p w:rsidR="00263732" w:rsidRPr="004E1208" w:rsidRDefault="00263732" w:rsidP="00C6419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產業園區面積</w:t>
            </w:r>
          </w:p>
        </w:tc>
        <w:tc>
          <w:tcPr>
            <w:tcW w:w="1180" w:type="pct"/>
            <w:shd w:val="clear" w:color="auto" w:fill="FDE9D9" w:themeFill="accent6" w:themeFillTint="33"/>
            <w:vAlign w:val="center"/>
            <w:hideMark/>
          </w:tcPr>
          <w:p w:rsidR="00263732" w:rsidRPr="004E1208" w:rsidRDefault="00263732" w:rsidP="00C6419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國有土地面積</w:t>
            </w:r>
          </w:p>
          <w:p w:rsidR="00263732" w:rsidRPr="004E1208" w:rsidRDefault="00263732" w:rsidP="00C64192">
            <w:pPr>
              <w:widowControl/>
              <w:spacing w:line="0" w:lineRule="atLeast"/>
              <w:jc w:val="center"/>
              <w:rPr>
                <w:rFonts w:hAnsi="標楷體" w:cs="新細明體"/>
                <w:spacing w:val="-20"/>
                <w:kern w:val="0"/>
                <w:sz w:val="22"/>
                <w:szCs w:val="22"/>
              </w:rPr>
            </w:pPr>
            <w:r w:rsidRPr="004E1208">
              <w:rPr>
                <w:rFonts w:hAnsi="標楷體" w:cs="新細明體" w:hint="eastAsia"/>
                <w:spacing w:val="-20"/>
                <w:kern w:val="0"/>
                <w:sz w:val="22"/>
                <w:szCs w:val="22"/>
              </w:rPr>
              <w:t>（含公用及非公用）</w:t>
            </w:r>
          </w:p>
        </w:tc>
        <w:tc>
          <w:tcPr>
            <w:tcW w:w="783" w:type="pct"/>
            <w:shd w:val="clear" w:color="auto" w:fill="FDE9D9" w:themeFill="accent6" w:themeFillTint="33"/>
            <w:vAlign w:val="center"/>
            <w:hideMark/>
          </w:tcPr>
          <w:p w:rsidR="00263732" w:rsidRPr="004E1208" w:rsidRDefault="00263732" w:rsidP="00C6419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國有土地</w:t>
            </w:r>
          </w:p>
          <w:p w:rsidR="00263732" w:rsidRPr="004E1208" w:rsidRDefault="00263732" w:rsidP="00C6419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面積比例</w:t>
            </w:r>
          </w:p>
        </w:tc>
      </w:tr>
      <w:tr w:rsidR="00263732" w:rsidRPr="004E1208" w:rsidTr="00F020D3">
        <w:trPr>
          <w:trHeight w:val="567"/>
        </w:trPr>
        <w:tc>
          <w:tcPr>
            <w:tcW w:w="400" w:type="pct"/>
            <w:shd w:val="clear" w:color="auto" w:fill="auto"/>
            <w:vAlign w:val="center"/>
            <w:hideMark/>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1</w:t>
            </w:r>
          </w:p>
        </w:tc>
        <w:tc>
          <w:tcPr>
            <w:tcW w:w="716"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東大科技</w:t>
            </w:r>
          </w:p>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產業園區</w:t>
            </w:r>
          </w:p>
        </w:tc>
        <w:tc>
          <w:tcPr>
            <w:tcW w:w="993" w:type="pct"/>
            <w:shd w:val="clear" w:color="auto" w:fill="auto"/>
            <w:vAlign w:val="center"/>
          </w:tcPr>
          <w:p w:rsidR="00263732" w:rsidRPr="004E1208" w:rsidRDefault="00263732" w:rsidP="00263732">
            <w:pPr>
              <w:spacing w:line="0" w:lineRule="atLeast"/>
              <w:jc w:val="center"/>
              <w:rPr>
                <w:rFonts w:hAnsi="標楷體"/>
                <w:sz w:val="24"/>
                <w:szCs w:val="24"/>
              </w:rPr>
            </w:pPr>
            <w:proofErr w:type="gramStart"/>
            <w:r w:rsidRPr="004E1208">
              <w:rPr>
                <w:rFonts w:hAnsi="標楷體" w:hint="eastAsia"/>
                <w:sz w:val="24"/>
                <w:szCs w:val="24"/>
              </w:rPr>
              <w:t>臺</w:t>
            </w:r>
            <w:proofErr w:type="gramEnd"/>
            <w:r w:rsidRPr="004E1208">
              <w:rPr>
                <w:rFonts w:hAnsi="標楷體" w:hint="eastAsia"/>
                <w:sz w:val="24"/>
                <w:szCs w:val="24"/>
              </w:rPr>
              <w:t>中市西屯區</w:t>
            </w:r>
          </w:p>
        </w:tc>
        <w:tc>
          <w:tcPr>
            <w:tcW w:w="928"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296,252</w:t>
            </w:r>
          </w:p>
        </w:tc>
        <w:tc>
          <w:tcPr>
            <w:tcW w:w="1180"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61,435</w:t>
            </w:r>
          </w:p>
        </w:tc>
        <w:tc>
          <w:tcPr>
            <w:tcW w:w="783" w:type="pct"/>
            <w:shd w:val="clear" w:color="auto" w:fill="auto"/>
            <w:vAlign w:val="center"/>
          </w:tcPr>
          <w:p w:rsidR="00263732" w:rsidRPr="004E1208" w:rsidRDefault="00263732" w:rsidP="00263732">
            <w:pPr>
              <w:jc w:val="right"/>
              <w:rPr>
                <w:rFonts w:hAnsi="標楷體"/>
                <w:sz w:val="24"/>
                <w:szCs w:val="24"/>
              </w:rPr>
            </w:pPr>
            <w:r w:rsidRPr="004E1208">
              <w:rPr>
                <w:rFonts w:hAnsi="標楷體"/>
                <w:sz w:val="24"/>
                <w:szCs w:val="24"/>
              </w:rPr>
              <w:t>20.74</w:t>
            </w:r>
          </w:p>
        </w:tc>
      </w:tr>
      <w:tr w:rsidR="00263732" w:rsidRPr="004E1208" w:rsidTr="00F020D3">
        <w:trPr>
          <w:trHeight w:val="567"/>
        </w:trPr>
        <w:tc>
          <w:tcPr>
            <w:tcW w:w="400" w:type="pct"/>
            <w:shd w:val="clear" w:color="auto" w:fill="auto"/>
            <w:vAlign w:val="center"/>
            <w:hideMark/>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2</w:t>
            </w:r>
          </w:p>
        </w:tc>
        <w:tc>
          <w:tcPr>
            <w:tcW w:w="716"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創</w:t>
            </w:r>
            <w:proofErr w:type="gramStart"/>
            <w:r w:rsidRPr="004E1208">
              <w:rPr>
                <w:rFonts w:hAnsi="標楷體" w:hint="eastAsia"/>
                <w:sz w:val="24"/>
                <w:szCs w:val="24"/>
              </w:rPr>
              <w:t>奕</w:t>
            </w:r>
            <w:proofErr w:type="gramEnd"/>
            <w:r w:rsidRPr="004E1208">
              <w:rPr>
                <w:rFonts w:hAnsi="標楷體" w:hint="eastAsia"/>
                <w:sz w:val="24"/>
                <w:szCs w:val="24"/>
              </w:rPr>
              <w:t>智能科技產業園區</w:t>
            </w:r>
          </w:p>
        </w:tc>
        <w:tc>
          <w:tcPr>
            <w:tcW w:w="993"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新竹縣新埔鎮</w:t>
            </w:r>
          </w:p>
        </w:tc>
        <w:tc>
          <w:tcPr>
            <w:tcW w:w="928"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269,800</w:t>
            </w:r>
          </w:p>
        </w:tc>
        <w:tc>
          <w:tcPr>
            <w:tcW w:w="1180"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4,729</w:t>
            </w:r>
          </w:p>
        </w:tc>
        <w:tc>
          <w:tcPr>
            <w:tcW w:w="783" w:type="pct"/>
            <w:shd w:val="clear" w:color="auto" w:fill="auto"/>
            <w:vAlign w:val="center"/>
          </w:tcPr>
          <w:p w:rsidR="00263732" w:rsidRPr="004E1208" w:rsidRDefault="00263732" w:rsidP="00263732">
            <w:pPr>
              <w:jc w:val="right"/>
              <w:rPr>
                <w:rFonts w:hAnsi="標楷體"/>
                <w:sz w:val="24"/>
                <w:szCs w:val="24"/>
              </w:rPr>
            </w:pPr>
            <w:r w:rsidRPr="004E1208">
              <w:rPr>
                <w:rFonts w:hAnsi="標楷體"/>
                <w:sz w:val="24"/>
                <w:szCs w:val="24"/>
              </w:rPr>
              <w:t>1.75</w:t>
            </w:r>
          </w:p>
        </w:tc>
      </w:tr>
      <w:tr w:rsidR="00263732" w:rsidRPr="004E1208" w:rsidTr="00F020D3">
        <w:trPr>
          <w:trHeight w:val="567"/>
        </w:trPr>
        <w:tc>
          <w:tcPr>
            <w:tcW w:w="400" w:type="pct"/>
            <w:shd w:val="clear" w:color="auto" w:fill="auto"/>
            <w:vAlign w:val="center"/>
            <w:hideMark/>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3</w:t>
            </w:r>
          </w:p>
        </w:tc>
        <w:tc>
          <w:tcPr>
            <w:tcW w:w="716"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冠軍</w:t>
            </w:r>
          </w:p>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產業園區</w:t>
            </w:r>
          </w:p>
        </w:tc>
        <w:tc>
          <w:tcPr>
            <w:tcW w:w="993"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苗栗縣造橋鄉</w:t>
            </w:r>
          </w:p>
        </w:tc>
        <w:tc>
          <w:tcPr>
            <w:tcW w:w="928"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248,512</w:t>
            </w:r>
          </w:p>
        </w:tc>
        <w:tc>
          <w:tcPr>
            <w:tcW w:w="1180"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20,964</w:t>
            </w:r>
          </w:p>
        </w:tc>
        <w:tc>
          <w:tcPr>
            <w:tcW w:w="783" w:type="pct"/>
            <w:shd w:val="clear" w:color="auto" w:fill="auto"/>
            <w:vAlign w:val="center"/>
          </w:tcPr>
          <w:p w:rsidR="00263732" w:rsidRPr="004E1208" w:rsidRDefault="00263732" w:rsidP="00263732">
            <w:pPr>
              <w:jc w:val="right"/>
              <w:rPr>
                <w:rFonts w:hAnsi="標楷體"/>
                <w:sz w:val="24"/>
                <w:szCs w:val="24"/>
              </w:rPr>
            </w:pPr>
            <w:r w:rsidRPr="004E1208">
              <w:rPr>
                <w:rFonts w:hAnsi="標楷體"/>
                <w:sz w:val="24"/>
                <w:szCs w:val="24"/>
              </w:rPr>
              <w:t>8.44</w:t>
            </w:r>
          </w:p>
        </w:tc>
      </w:tr>
      <w:tr w:rsidR="00263732" w:rsidRPr="004E1208" w:rsidTr="00F020D3">
        <w:trPr>
          <w:trHeight w:val="567"/>
        </w:trPr>
        <w:tc>
          <w:tcPr>
            <w:tcW w:w="400" w:type="pct"/>
            <w:shd w:val="clear" w:color="auto" w:fill="auto"/>
            <w:vAlign w:val="center"/>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4</w:t>
            </w:r>
          </w:p>
        </w:tc>
        <w:tc>
          <w:tcPr>
            <w:tcW w:w="716"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勝暉</w:t>
            </w:r>
          </w:p>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產業園區</w:t>
            </w:r>
          </w:p>
        </w:tc>
        <w:tc>
          <w:tcPr>
            <w:tcW w:w="993"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苗栗縣銅鑼鄉</w:t>
            </w:r>
          </w:p>
        </w:tc>
        <w:tc>
          <w:tcPr>
            <w:tcW w:w="928"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145,576</w:t>
            </w:r>
          </w:p>
        </w:tc>
        <w:tc>
          <w:tcPr>
            <w:tcW w:w="1180"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54,840</w:t>
            </w:r>
          </w:p>
        </w:tc>
        <w:tc>
          <w:tcPr>
            <w:tcW w:w="783" w:type="pct"/>
            <w:shd w:val="clear" w:color="auto" w:fill="auto"/>
            <w:vAlign w:val="center"/>
          </w:tcPr>
          <w:p w:rsidR="00263732" w:rsidRPr="004E1208" w:rsidRDefault="00263732" w:rsidP="00263732">
            <w:pPr>
              <w:jc w:val="right"/>
              <w:rPr>
                <w:rFonts w:hAnsi="標楷體"/>
                <w:sz w:val="24"/>
                <w:szCs w:val="24"/>
              </w:rPr>
            </w:pPr>
            <w:r w:rsidRPr="004E1208">
              <w:rPr>
                <w:rFonts w:hAnsi="標楷體"/>
                <w:sz w:val="24"/>
                <w:szCs w:val="24"/>
              </w:rPr>
              <w:t>37.67</w:t>
            </w:r>
          </w:p>
        </w:tc>
      </w:tr>
      <w:tr w:rsidR="00263732" w:rsidRPr="004E1208" w:rsidTr="00F020D3">
        <w:trPr>
          <w:trHeight w:val="567"/>
        </w:trPr>
        <w:tc>
          <w:tcPr>
            <w:tcW w:w="400" w:type="pct"/>
            <w:shd w:val="clear" w:color="auto" w:fill="auto"/>
            <w:vAlign w:val="center"/>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5</w:t>
            </w:r>
          </w:p>
        </w:tc>
        <w:tc>
          <w:tcPr>
            <w:tcW w:w="716"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龍盟</w:t>
            </w:r>
          </w:p>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產業園區</w:t>
            </w:r>
          </w:p>
        </w:tc>
        <w:tc>
          <w:tcPr>
            <w:tcW w:w="993" w:type="pct"/>
            <w:shd w:val="clear" w:color="auto" w:fill="auto"/>
            <w:vAlign w:val="center"/>
          </w:tcPr>
          <w:p w:rsidR="00263732" w:rsidRPr="004E1208" w:rsidRDefault="00263732" w:rsidP="00263732">
            <w:pPr>
              <w:spacing w:line="0" w:lineRule="atLeast"/>
              <w:jc w:val="center"/>
              <w:rPr>
                <w:rFonts w:hAnsi="標楷體"/>
                <w:sz w:val="24"/>
                <w:szCs w:val="24"/>
              </w:rPr>
            </w:pPr>
            <w:proofErr w:type="gramStart"/>
            <w:r w:rsidRPr="004E1208">
              <w:rPr>
                <w:rFonts w:hAnsi="標楷體" w:hint="eastAsia"/>
                <w:sz w:val="24"/>
                <w:szCs w:val="24"/>
              </w:rPr>
              <w:t>臺</w:t>
            </w:r>
            <w:proofErr w:type="gramEnd"/>
            <w:r w:rsidRPr="004E1208">
              <w:rPr>
                <w:rFonts w:hAnsi="標楷體" w:hint="eastAsia"/>
                <w:sz w:val="24"/>
                <w:szCs w:val="24"/>
              </w:rPr>
              <w:t>南市關廟區</w:t>
            </w:r>
          </w:p>
        </w:tc>
        <w:tc>
          <w:tcPr>
            <w:tcW w:w="928"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284,100</w:t>
            </w:r>
          </w:p>
        </w:tc>
        <w:tc>
          <w:tcPr>
            <w:tcW w:w="1180"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10,200</w:t>
            </w:r>
          </w:p>
        </w:tc>
        <w:tc>
          <w:tcPr>
            <w:tcW w:w="783" w:type="pct"/>
            <w:shd w:val="clear" w:color="auto" w:fill="auto"/>
            <w:vAlign w:val="center"/>
          </w:tcPr>
          <w:p w:rsidR="00263732" w:rsidRPr="004E1208" w:rsidRDefault="00263732" w:rsidP="00263732">
            <w:pPr>
              <w:jc w:val="right"/>
              <w:rPr>
                <w:rFonts w:hAnsi="標楷體"/>
                <w:sz w:val="24"/>
                <w:szCs w:val="24"/>
              </w:rPr>
            </w:pPr>
            <w:r w:rsidRPr="004E1208">
              <w:rPr>
                <w:rFonts w:hAnsi="標楷體"/>
                <w:sz w:val="24"/>
                <w:szCs w:val="24"/>
              </w:rPr>
              <w:t>3.59</w:t>
            </w:r>
          </w:p>
        </w:tc>
      </w:tr>
      <w:tr w:rsidR="00263732" w:rsidRPr="004E1208" w:rsidTr="00F020D3">
        <w:trPr>
          <w:trHeight w:val="567"/>
        </w:trPr>
        <w:tc>
          <w:tcPr>
            <w:tcW w:w="400" w:type="pct"/>
            <w:shd w:val="clear" w:color="auto" w:fill="auto"/>
            <w:vAlign w:val="center"/>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6</w:t>
            </w:r>
          </w:p>
        </w:tc>
        <w:tc>
          <w:tcPr>
            <w:tcW w:w="716" w:type="pct"/>
            <w:shd w:val="clear" w:color="auto" w:fill="auto"/>
            <w:vAlign w:val="center"/>
          </w:tcPr>
          <w:p w:rsidR="00263732" w:rsidRPr="004E1208" w:rsidRDefault="00263732" w:rsidP="00263732">
            <w:pPr>
              <w:widowControl/>
              <w:spacing w:line="0" w:lineRule="atLeast"/>
              <w:jc w:val="center"/>
              <w:rPr>
                <w:rFonts w:hAnsi="標楷體"/>
                <w:spacing w:val="-20"/>
                <w:sz w:val="24"/>
                <w:szCs w:val="24"/>
              </w:rPr>
            </w:pPr>
            <w:r w:rsidRPr="004E1208">
              <w:rPr>
                <w:rFonts w:hAnsi="標楷體" w:hint="eastAsia"/>
                <w:spacing w:val="-20"/>
                <w:sz w:val="24"/>
                <w:szCs w:val="24"/>
              </w:rPr>
              <w:t>新竹縣湖口鄉八德段</w:t>
            </w:r>
          </w:p>
          <w:p w:rsidR="00263732" w:rsidRPr="004E1208" w:rsidRDefault="00263732" w:rsidP="00263732">
            <w:pPr>
              <w:widowControl/>
              <w:spacing w:line="0" w:lineRule="atLeast"/>
              <w:jc w:val="center"/>
              <w:rPr>
                <w:rFonts w:hAnsi="標楷體"/>
                <w:sz w:val="24"/>
                <w:szCs w:val="24"/>
              </w:rPr>
            </w:pPr>
            <w:proofErr w:type="gramStart"/>
            <w:r w:rsidRPr="004E1208">
              <w:rPr>
                <w:rFonts w:hAnsi="標楷體" w:hint="eastAsia"/>
                <w:sz w:val="24"/>
                <w:szCs w:val="24"/>
              </w:rPr>
              <w:lastRenderedPageBreak/>
              <w:t>產創園區</w:t>
            </w:r>
            <w:proofErr w:type="gramEnd"/>
          </w:p>
        </w:tc>
        <w:tc>
          <w:tcPr>
            <w:tcW w:w="993"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lastRenderedPageBreak/>
              <w:t>新竹縣湖口鄉</w:t>
            </w:r>
          </w:p>
        </w:tc>
        <w:tc>
          <w:tcPr>
            <w:tcW w:w="928"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105,868</w:t>
            </w:r>
          </w:p>
        </w:tc>
        <w:tc>
          <w:tcPr>
            <w:tcW w:w="1180"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6,482</w:t>
            </w:r>
          </w:p>
        </w:tc>
        <w:tc>
          <w:tcPr>
            <w:tcW w:w="783" w:type="pct"/>
            <w:shd w:val="clear" w:color="auto" w:fill="auto"/>
            <w:vAlign w:val="center"/>
          </w:tcPr>
          <w:p w:rsidR="00263732" w:rsidRPr="004E1208" w:rsidRDefault="00263732" w:rsidP="00263732">
            <w:pPr>
              <w:jc w:val="right"/>
              <w:rPr>
                <w:rFonts w:hAnsi="標楷體"/>
                <w:sz w:val="24"/>
                <w:szCs w:val="24"/>
              </w:rPr>
            </w:pPr>
            <w:r w:rsidRPr="004E1208">
              <w:rPr>
                <w:rFonts w:hAnsi="標楷體"/>
                <w:sz w:val="24"/>
                <w:szCs w:val="24"/>
              </w:rPr>
              <w:t>6.12</w:t>
            </w:r>
          </w:p>
        </w:tc>
      </w:tr>
      <w:tr w:rsidR="00263732" w:rsidRPr="004E1208" w:rsidTr="00F020D3">
        <w:trPr>
          <w:trHeight w:val="567"/>
        </w:trPr>
        <w:tc>
          <w:tcPr>
            <w:tcW w:w="400" w:type="pct"/>
            <w:shd w:val="clear" w:color="auto" w:fill="auto"/>
            <w:vAlign w:val="center"/>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7</w:t>
            </w:r>
          </w:p>
        </w:tc>
        <w:tc>
          <w:tcPr>
            <w:tcW w:w="716" w:type="pct"/>
            <w:shd w:val="clear" w:color="auto" w:fill="auto"/>
            <w:vAlign w:val="center"/>
          </w:tcPr>
          <w:p w:rsidR="00263732" w:rsidRPr="004E1208" w:rsidRDefault="00263732" w:rsidP="00263732">
            <w:pPr>
              <w:spacing w:line="0" w:lineRule="atLeast"/>
              <w:jc w:val="center"/>
              <w:rPr>
                <w:rFonts w:hAnsi="標楷體"/>
                <w:spacing w:val="-20"/>
                <w:sz w:val="24"/>
                <w:szCs w:val="24"/>
              </w:rPr>
            </w:pPr>
            <w:r w:rsidRPr="004E1208">
              <w:rPr>
                <w:rFonts w:hAnsi="標楷體" w:hint="eastAsia"/>
                <w:spacing w:val="-20"/>
                <w:sz w:val="24"/>
                <w:szCs w:val="24"/>
              </w:rPr>
              <w:t>新竹縣竹東鎮明星段</w:t>
            </w:r>
          </w:p>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產業園區</w:t>
            </w:r>
          </w:p>
        </w:tc>
        <w:tc>
          <w:tcPr>
            <w:tcW w:w="993"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新竹縣竹東鎮</w:t>
            </w:r>
          </w:p>
        </w:tc>
        <w:tc>
          <w:tcPr>
            <w:tcW w:w="928"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60,900</w:t>
            </w:r>
          </w:p>
        </w:tc>
        <w:tc>
          <w:tcPr>
            <w:tcW w:w="1180"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2,393</w:t>
            </w:r>
          </w:p>
        </w:tc>
        <w:tc>
          <w:tcPr>
            <w:tcW w:w="783" w:type="pct"/>
            <w:shd w:val="clear" w:color="auto" w:fill="auto"/>
            <w:vAlign w:val="center"/>
          </w:tcPr>
          <w:p w:rsidR="00263732" w:rsidRPr="004E1208" w:rsidRDefault="00263732" w:rsidP="00263732">
            <w:pPr>
              <w:jc w:val="right"/>
              <w:rPr>
                <w:rFonts w:hAnsi="標楷體"/>
                <w:sz w:val="24"/>
                <w:szCs w:val="24"/>
              </w:rPr>
            </w:pPr>
            <w:r w:rsidRPr="004E1208">
              <w:rPr>
                <w:rFonts w:hAnsi="標楷體"/>
                <w:sz w:val="24"/>
                <w:szCs w:val="24"/>
              </w:rPr>
              <w:t>3.93</w:t>
            </w:r>
          </w:p>
        </w:tc>
      </w:tr>
      <w:tr w:rsidR="00263732" w:rsidRPr="004E1208" w:rsidTr="00F020D3">
        <w:trPr>
          <w:trHeight w:val="567"/>
        </w:trPr>
        <w:tc>
          <w:tcPr>
            <w:tcW w:w="400" w:type="pct"/>
            <w:shd w:val="clear" w:color="auto" w:fill="auto"/>
            <w:vAlign w:val="center"/>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8</w:t>
            </w:r>
          </w:p>
        </w:tc>
        <w:tc>
          <w:tcPr>
            <w:tcW w:w="716"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智慧</w:t>
            </w:r>
          </w:p>
          <w:p w:rsidR="00263732" w:rsidRPr="004E1208" w:rsidRDefault="00263732" w:rsidP="00263732">
            <w:pPr>
              <w:spacing w:line="0" w:lineRule="atLeast"/>
              <w:jc w:val="center"/>
              <w:rPr>
                <w:rFonts w:hAnsi="標楷體"/>
                <w:sz w:val="24"/>
                <w:szCs w:val="24"/>
              </w:rPr>
            </w:pPr>
            <w:proofErr w:type="gramStart"/>
            <w:r w:rsidRPr="004E1208">
              <w:rPr>
                <w:rFonts w:hAnsi="標楷體" w:hint="eastAsia"/>
                <w:sz w:val="24"/>
                <w:szCs w:val="24"/>
              </w:rPr>
              <w:t>產創園區</w:t>
            </w:r>
            <w:proofErr w:type="gramEnd"/>
          </w:p>
        </w:tc>
        <w:tc>
          <w:tcPr>
            <w:tcW w:w="993"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桃園市新屋區</w:t>
            </w:r>
          </w:p>
        </w:tc>
        <w:tc>
          <w:tcPr>
            <w:tcW w:w="928"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96,310</w:t>
            </w:r>
          </w:p>
        </w:tc>
        <w:tc>
          <w:tcPr>
            <w:tcW w:w="1180"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3,189</w:t>
            </w:r>
          </w:p>
        </w:tc>
        <w:tc>
          <w:tcPr>
            <w:tcW w:w="783" w:type="pct"/>
            <w:shd w:val="clear" w:color="auto" w:fill="auto"/>
            <w:vAlign w:val="center"/>
          </w:tcPr>
          <w:p w:rsidR="00263732" w:rsidRPr="004E1208" w:rsidRDefault="00263732" w:rsidP="00263732">
            <w:pPr>
              <w:jc w:val="right"/>
              <w:rPr>
                <w:rFonts w:hAnsi="標楷體"/>
                <w:sz w:val="24"/>
                <w:szCs w:val="24"/>
              </w:rPr>
            </w:pPr>
            <w:r w:rsidRPr="004E1208">
              <w:rPr>
                <w:rFonts w:hAnsi="標楷體"/>
                <w:sz w:val="24"/>
                <w:szCs w:val="24"/>
              </w:rPr>
              <w:t>3.31</w:t>
            </w:r>
          </w:p>
        </w:tc>
      </w:tr>
      <w:tr w:rsidR="00263732" w:rsidRPr="004E1208" w:rsidTr="00F020D3">
        <w:trPr>
          <w:trHeight w:val="567"/>
        </w:trPr>
        <w:tc>
          <w:tcPr>
            <w:tcW w:w="400" w:type="pct"/>
            <w:shd w:val="clear" w:color="auto" w:fill="auto"/>
            <w:vAlign w:val="center"/>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9</w:t>
            </w:r>
          </w:p>
        </w:tc>
        <w:tc>
          <w:tcPr>
            <w:tcW w:w="716"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華新麗華</w:t>
            </w:r>
          </w:p>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產業園區</w:t>
            </w:r>
          </w:p>
        </w:tc>
        <w:tc>
          <w:tcPr>
            <w:tcW w:w="993" w:type="pct"/>
            <w:shd w:val="clear" w:color="auto" w:fill="auto"/>
            <w:vAlign w:val="center"/>
          </w:tcPr>
          <w:p w:rsidR="00263732" w:rsidRPr="004E1208" w:rsidRDefault="00263732" w:rsidP="00263732">
            <w:pPr>
              <w:spacing w:line="0" w:lineRule="atLeast"/>
              <w:jc w:val="center"/>
              <w:rPr>
                <w:rFonts w:hAnsi="標楷體"/>
                <w:sz w:val="24"/>
                <w:szCs w:val="24"/>
              </w:rPr>
            </w:pPr>
            <w:proofErr w:type="gramStart"/>
            <w:r w:rsidRPr="004E1208">
              <w:rPr>
                <w:rFonts w:hAnsi="標楷體" w:hint="eastAsia"/>
                <w:sz w:val="24"/>
                <w:szCs w:val="24"/>
              </w:rPr>
              <w:t>臺</w:t>
            </w:r>
            <w:proofErr w:type="gramEnd"/>
            <w:r w:rsidRPr="004E1208">
              <w:rPr>
                <w:rFonts w:hAnsi="標楷體" w:hint="eastAsia"/>
                <w:sz w:val="24"/>
                <w:szCs w:val="24"/>
              </w:rPr>
              <w:t>南市鹽水區</w:t>
            </w:r>
          </w:p>
        </w:tc>
        <w:tc>
          <w:tcPr>
            <w:tcW w:w="928"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341,315</w:t>
            </w:r>
          </w:p>
        </w:tc>
        <w:tc>
          <w:tcPr>
            <w:tcW w:w="1180"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15,682</w:t>
            </w:r>
          </w:p>
        </w:tc>
        <w:tc>
          <w:tcPr>
            <w:tcW w:w="783" w:type="pct"/>
            <w:shd w:val="clear" w:color="auto" w:fill="auto"/>
            <w:vAlign w:val="center"/>
          </w:tcPr>
          <w:p w:rsidR="00263732" w:rsidRPr="004E1208" w:rsidRDefault="00263732" w:rsidP="00263732">
            <w:pPr>
              <w:jc w:val="right"/>
              <w:rPr>
                <w:rFonts w:hAnsi="標楷體"/>
                <w:sz w:val="24"/>
                <w:szCs w:val="24"/>
              </w:rPr>
            </w:pPr>
            <w:r w:rsidRPr="004E1208">
              <w:rPr>
                <w:rFonts w:hAnsi="標楷體"/>
                <w:sz w:val="24"/>
                <w:szCs w:val="24"/>
              </w:rPr>
              <w:t>4.59</w:t>
            </w:r>
          </w:p>
        </w:tc>
      </w:tr>
      <w:tr w:rsidR="00263732" w:rsidRPr="004E1208" w:rsidTr="00F020D3">
        <w:trPr>
          <w:trHeight w:val="567"/>
        </w:trPr>
        <w:tc>
          <w:tcPr>
            <w:tcW w:w="400" w:type="pct"/>
            <w:shd w:val="clear" w:color="auto" w:fill="auto"/>
            <w:vAlign w:val="center"/>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1</w:t>
            </w:r>
            <w:r w:rsidRPr="004E1208">
              <w:rPr>
                <w:rFonts w:hAnsi="標楷體" w:cs="新細明體"/>
                <w:spacing w:val="-10"/>
                <w:kern w:val="0"/>
                <w:sz w:val="24"/>
                <w:szCs w:val="24"/>
              </w:rPr>
              <w:t>0</w:t>
            </w:r>
          </w:p>
        </w:tc>
        <w:tc>
          <w:tcPr>
            <w:tcW w:w="716" w:type="pct"/>
            <w:shd w:val="clear" w:color="auto" w:fill="auto"/>
            <w:vAlign w:val="center"/>
          </w:tcPr>
          <w:p w:rsidR="00263732" w:rsidRPr="004E1208" w:rsidRDefault="00263732" w:rsidP="00263732">
            <w:pPr>
              <w:spacing w:line="0" w:lineRule="atLeast"/>
              <w:jc w:val="center"/>
              <w:rPr>
                <w:rFonts w:hAnsi="標楷體"/>
                <w:spacing w:val="-20"/>
                <w:sz w:val="24"/>
                <w:szCs w:val="24"/>
              </w:rPr>
            </w:pPr>
            <w:proofErr w:type="gramStart"/>
            <w:r w:rsidRPr="004E1208">
              <w:rPr>
                <w:rFonts w:hAnsi="標楷體" w:hint="eastAsia"/>
                <w:spacing w:val="-20"/>
                <w:sz w:val="24"/>
                <w:szCs w:val="24"/>
              </w:rPr>
              <w:t>泉葉高科技</w:t>
            </w:r>
            <w:proofErr w:type="gramEnd"/>
          </w:p>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產業園區</w:t>
            </w:r>
          </w:p>
        </w:tc>
        <w:tc>
          <w:tcPr>
            <w:tcW w:w="993" w:type="pct"/>
            <w:shd w:val="clear" w:color="auto" w:fill="auto"/>
            <w:vAlign w:val="center"/>
          </w:tcPr>
          <w:p w:rsidR="00263732" w:rsidRPr="004E1208" w:rsidRDefault="00263732" w:rsidP="00263732">
            <w:pPr>
              <w:spacing w:line="0" w:lineRule="atLeast"/>
              <w:jc w:val="center"/>
              <w:rPr>
                <w:rFonts w:hAnsi="標楷體"/>
                <w:sz w:val="24"/>
                <w:szCs w:val="24"/>
              </w:rPr>
            </w:pPr>
            <w:proofErr w:type="gramStart"/>
            <w:r w:rsidRPr="004E1208">
              <w:rPr>
                <w:rFonts w:hAnsi="標楷體" w:hint="eastAsia"/>
                <w:sz w:val="24"/>
                <w:szCs w:val="24"/>
              </w:rPr>
              <w:t>臺</w:t>
            </w:r>
            <w:proofErr w:type="gramEnd"/>
            <w:r w:rsidRPr="004E1208">
              <w:rPr>
                <w:rFonts w:hAnsi="標楷體" w:hint="eastAsia"/>
                <w:sz w:val="24"/>
                <w:szCs w:val="24"/>
              </w:rPr>
              <w:t>南市七股區</w:t>
            </w:r>
          </w:p>
        </w:tc>
        <w:tc>
          <w:tcPr>
            <w:tcW w:w="928"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96,848</w:t>
            </w:r>
          </w:p>
        </w:tc>
        <w:tc>
          <w:tcPr>
            <w:tcW w:w="1180"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1,916</w:t>
            </w:r>
          </w:p>
        </w:tc>
        <w:tc>
          <w:tcPr>
            <w:tcW w:w="783" w:type="pct"/>
            <w:shd w:val="clear" w:color="auto" w:fill="auto"/>
            <w:vAlign w:val="center"/>
          </w:tcPr>
          <w:p w:rsidR="00263732" w:rsidRPr="004E1208" w:rsidRDefault="00263732" w:rsidP="00263732">
            <w:pPr>
              <w:jc w:val="right"/>
              <w:rPr>
                <w:rFonts w:hAnsi="標楷體"/>
                <w:sz w:val="24"/>
                <w:szCs w:val="24"/>
              </w:rPr>
            </w:pPr>
            <w:r w:rsidRPr="004E1208">
              <w:rPr>
                <w:rFonts w:hAnsi="標楷體"/>
                <w:sz w:val="24"/>
                <w:szCs w:val="24"/>
              </w:rPr>
              <w:t>1.98</w:t>
            </w:r>
          </w:p>
        </w:tc>
      </w:tr>
      <w:tr w:rsidR="00263732" w:rsidRPr="004E1208" w:rsidTr="00F020D3">
        <w:trPr>
          <w:trHeight w:val="567"/>
        </w:trPr>
        <w:tc>
          <w:tcPr>
            <w:tcW w:w="400" w:type="pct"/>
            <w:shd w:val="clear" w:color="auto" w:fill="auto"/>
            <w:vAlign w:val="center"/>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1</w:t>
            </w:r>
            <w:r w:rsidRPr="004E1208">
              <w:rPr>
                <w:rFonts w:hAnsi="標楷體" w:cs="新細明體"/>
                <w:spacing w:val="-10"/>
                <w:kern w:val="0"/>
                <w:sz w:val="24"/>
                <w:szCs w:val="24"/>
              </w:rPr>
              <w:t>1</w:t>
            </w:r>
          </w:p>
        </w:tc>
        <w:tc>
          <w:tcPr>
            <w:tcW w:w="716" w:type="pct"/>
            <w:shd w:val="clear" w:color="auto" w:fill="auto"/>
            <w:vAlign w:val="center"/>
          </w:tcPr>
          <w:p w:rsidR="00263732" w:rsidRPr="004E1208" w:rsidRDefault="00263732" w:rsidP="00263732">
            <w:pPr>
              <w:spacing w:line="0" w:lineRule="atLeast"/>
              <w:jc w:val="center"/>
              <w:rPr>
                <w:rFonts w:hAnsi="標楷體"/>
                <w:spacing w:val="-20"/>
                <w:sz w:val="24"/>
                <w:szCs w:val="24"/>
              </w:rPr>
            </w:pPr>
            <w:r w:rsidRPr="004E1208">
              <w:rPr>
                <w:rFonts w:hAnsi="標楷體" w:hint="eastAsia"/>
                <w:spacing w:val="-20"/>
                <w:sz w:val="24"/>
                <w:szCs w:val="24"/>
              </w:rPr>
              <w:t>大江AI智造</w:t>
            </w:r>
          </w:p>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產業園區</w:t>
            </w:r>
          </w:p>
        </w:tc>
        <w:tc>
          <w:tcPr>
            <w:tcW w:w="993" w:type="pct"/>
            <w:shd w:val="clear" w:color="auto" w:fill="auto"/>
            <w:vAlign w:val="center"/>
          </w:tcPr>
          <w:p w:rsidR="00263732" w:rsidRPr="004E1208" w:rsidRDefault="00263732" w:rsidP="00263732">
            <w:pPr>
              <w:spacing w:line="0" w:lineRule="atLeast"/>
              <w:jc w:val="center"/>
              <w:rPr>
                <w:rFonts w:hAnsi="標楷體"/>
                <w:sz w:val="24"/>
                <w:szCs w:val="24"/>
              </w:rPr>
            </w:pPr>
            <w:proofErr w:type="gramStart"/>
            <w:r w:rsidRPr="004E1208">
              <w:rPr>
                <w:rFonts w:hAnsi="標楷體" w:hint="eastAsia"/>
                <w:sz w:val="24"/>
                <w:szCs w:val="24"/>
              </w:rPr>
              <w:t>臺</w:t>
            </w:r>
            <w:proofErr w:type="gramEnd"/>
            <w:r w:rsidRPr="004E1208">
              <w:rPr>
                <w:rFonts w:hAnsi="標楷體" w:hint="eastAsia"/>
                <w:sz w:val="24"/>
                <w:szCs w:val="24"/>
              </w:rPr>
              <w:t>南市官田區</w:t>
            </w:r>
          </w:p>
        </w:tc>
        <w:tc>
          <w:tcPr>
            <w:tcW w:w="928"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95,758</w:t>
            </w:r>
          </w:p>
        </w:tc>
        <w:tc>
          <w:tcPr>
            <w:tcW w:w="1180"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5,556</w:t>
            </w:r>
          </w:p>
        </w:tc>
        <w:tc>
          <w:tcPr>
            <w:tcW w:w="783" w:type="pct"/>
            <w:shd w:val="clear" w:color="auto" w:fill="auto"/>
            <w:vAlign w:val="center"/>
          </w:tcPr>
          <w:p w:rsidR="00263732" w:rsidRPr="004E1208" w:rsidRDefault="00263732" w:rsidP="00263732">
            <w:pPr>
              <w:jc w:val="right"/>
              <w:rPr>
                <w:rFonts w:hAnsi="標楷體"/>
                <w:sz w:val="24"/>
                <w:szCs w:val="24"/>
              </w:rPr>
            </w:pPr>
            <w:r w:rsidRPr="004E1208">
              <w:rPr>
                <w:rFonts w:hAnsi="標楷體"/>
                <w:sz w:val="24"/>
                <w:szCs w:val="24"/>
              </w:rPr>
              <w:t>5.80</w:t>
            </w:r>
          </w:p>
        </w:tc>
      </w:tr>
      <w:tr w:rsidR="00263732" w:rsidRPr="004E1208" w:rsidTr="00F020D3">
        <w:trPr>
          <w:trHeight w:val="567"/>
        </w:trPr>
        <w:tc>
          <w:tcPr>
            <w:tcW w:w="400" w:type="pct"/>
            <w:shd w:val="clear" w:color="auto" w:fill="auto"/>
            <w:vAlign w:val="center"/>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1</w:t>
            </w:r>
            <w:r w:rsidRPr="004E1208">
              <w:rPr>
                <w:rFonts w:hAnsi="標楷體" w:cs="新細明體"/>
                <w:spacing w:val="-10"/>
                <w:kern w:val="0"/>
                <w:sz w:val="24"/>
                <w:szCs w:val="24"/>
              </w:rPr>
              <w:t>2</w:t>
            </w:r>
          </w:p>
        </w:tc>
        <w:tc>
          <w:tcPr>
            <w:tcW w:w="716"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烏日區高學田段</w:t>
            </w:r>
          </w:p>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產業園區</w:t>
            </w:r>
          </w:p>
        </w:tc>
        <w:tc>
          <w:tcPr>
            <w:tcW w:w="993" w:type="pct"/>
            <w:shd w:val="clear" w:color="auto" w:fill="auto"/>
            <w:vAlign w:val="center"/>
          </w:tcPr>
          <w:p w:rsidR="00263732" w:rsidRPr="004E1208" w:rsidRDefault="00263732" w:rsidP="00263732">
            <w:pPr>
              <w:spacing w:line="0" w:lineRule="atLeast"/>
              <w:jc w:val="center"/>
              <w:rPr>
                <w:rFonts w:hAnsi="標楷體"/>
                <w:sz w:val="24"/>
                <w:szCs w:val="24"/>
              </w:rPr>
            </w:pPr>
            <w:proofErr w:type="gramStart"/>
            <w:r w:rsidRPr="004E1208">
              <w:rPr>
                <w:rFonts w:hAnsi="標楷體" w:hint="eastAsia"/>
                <w:sz w:val="24"/>
                <w:szCs w:val="24"/>
              </w:rPr>
              <w:t>臺</w:t>
            </w:r>
            <w:proofErr w:type="gramEnd"/>
            <w:r w:rsidRPr="004E1208">
              <w:rPr>
                <w:rFonts w:hAnsi="標楷體" w:hint="eastAsia"/>
                <w:sz w:val="24"/>
                <w:szCs w:val="24"/>
              </w:rPr>
              <w:t>中市烏日區</w:t>
            </w:r>
          </w:p>
        </w:tc>
        <w:tc>
          <w:tcPr>
            <w:tcW w:w="928"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110,689</w:t>
            </w:r>
          </w:p>
        </w:tc>
        <w:tc>
          <w:tcPr>
            <w:tcW w:w="1180"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hint="eastAsia"/>
                <w:spacing w:val="-10"/>
                <w:sz w:val="24"/>
                <w:szCs w:val="24"/>
              </w:rPr>
              <w:t>8,901</w:t>
            </w:r>
          </w:p>
        </w:tc>
        <w:tc>
          <w:tcPr>
            <w:tcW w:w="783" w:type="pct"/>
            <w:shd w:val="clear" w:color="auto" w:fill="auto"/>
            <w:vAlign w:val="center"/>
          </w:tcPr>
          <w:p w:rsidR="00263732" w:rsidRPr="004E1208" w:rsidRDefault="00263732" w:rsidP="00263732">
            <w:pPr>
              <w:jc w:val="right"/>
              <w:rPr>
                <w:rFonts w:hAnsi="標楷體"/>
                <w:sz w:val="24"/>
                <w:szCs w:val="24"/>
              </w:rPr>
            </w:pPr>
            <w:r w:rsidRPr="004E1208">
              <w:rPr>
                <w:rFonts w:hAnsi="標楷體"/>
                <w:sz w:val="24"/>
                <w:szCs w:val="24"/>
              </w:rPr>
              <w:t>8.04</w:t>
            </w:r>
          </w:p>
        </w:tc>
      </w:tr>
      <w:tr w:rsidR="00263732" w:rsidRPr="004E1208" w:rsidTr="00F020D3">
        <w:trPr>
          <w:trHeight w:val="567"/>
        </w:trPr>
        <w:tc>
          <w:tcPr>
            <w:tcW w:w="400" w:type="pct"/>
            <w:shd w:val="clear" w:color="auto" w:fill="auto"/>
            <w:vAlign w:val="center"/>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1</w:t>
            </w:r>
            <w:r w:rsidRPr="004E1208">
              <w:rPr>
                <w:rFonts w:hAnsi="標楷體" w:cs="新細明體"/>
                <w:spacing w:val="-10"/>
                <w:kern w:val="0"/>
                <w:sz w:val="24"/>
                <w:szCs w:val="24"/>
              </w:rPr>
              <w:t>3</w:t>
            </w:r>
          </w:p>
        </w:tc>
        <w:tc>
          <w:tcPr>
            <w:tcW w:w="716"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sz w:val="24"/>
                <w:szCs w:val="24"/>
              </w:rPr>
              <w:t>大豐原</w:t>
            </w:r>
          </w:p>
          <w:p w:rsidR="00263732" w:rsidRPr="004E1208" w:rsidRDefault="00263732" w:rsidP="00263732">
            <w:pPr>
              <w:spacing w:line="0" w:lineRule="atLeast"/>
              <w:jc w:val="center"/>
              <w:rPr>
                <w:rFonts w:hAnsi="標楷體"/>
                <w:sz w:val="24"/>
                <w:szCs w:val="24"/>
              </w:rPr>
            </w:pPr>
            <w:r w:rsidRPr="004E1208">
              <w:rPr>
                <w:rFonts w:hAnsi="標楷體"/>
                <w:sz w:val="24"/>
                <w:szCs w:val="24"/>
              </w:rPr>
              <w:t>產業園區</w:t>
            </w:r>
          </w:p>
        </w:tc>
        <w:tc>
          <w:tcPr>
            <w:tcW w:w="993" w:type="pct"/>
            <w:shd w:val="clear" w:color="auto" w:fill="auto"/>
            <w:vAlign w:val="center"/>
          </w:tcPr>
          <w:p w:rsidR="00263732" w:rsidRPr="004E1208" w:rsidRDefault="00263732" w:rsidP="00263732">
            <w:pPr>
              <w:spacing w:line="0" w:lineRule="atLeast"/>
              <w:jc w:val="center"/>
              <w:rPr>
                <w:rFonts w:hAnsi="標楷體"/>
                <w:spacing w:val="-20"/>
                <w:sz w:val="24"/>
                <w:szCs w:val="24"/>
              </w:rPr>
            </w:pPr>
            <w:proofErr w:type="gramStart"/>
            <w:r w:rsidRPr="004E1208">
              <w:rPr>
                <w:rFonts w:hAnsi="標楷體"/>
                <w:spacing w:val="-20"/>
                <w:sz w:val="24"/>
                <w:szCs w:val="24"/>
              </w:rPr>
              <w:t>臺</w:t>
            </w:r>
            <w:proofErr w:type="gramEnd"/>
            <w:r w:rsidRPr="004E1208">
              <w:rPr>
                <w:rFonts w:hAnsi="標楷體"/>
                <w:spacing w:val="-20"/>
                <w:sz w:val="24"/>
                <w:szCs w:val="24"/>
              </w:rPr>
              <w:t>中市豐原區</w:t>
            </w:r>
            <w:r w:rsidRPr="004E1208">
              <w:rPr>
                <w:rFonts w:hAnsi="標楷體" w:hint="eastAsia"/>
                <w:spacing w:val="-20"/>
                <w:sz w:val="24"/>
                <w:szCs w:val="24"/>
              </w:rPr>
              <w:t>、</w:t>
            </w:r>
            <w:proofErr w:type="gramStart"/>
            <w:r w:rsidRPr="004E1208">
              <w:rPr>
                <w:rFonts w:hAnsi="標楷體"/>
                <w:spacing w:val="-20"/>
                <w:sz w:val="24"/>
                <w:szCs w:val="24"/>
              </w:rPr>
              <w:t>神岡區</w:t>
            </w:r>
            <w:proofErr w:type="gramEnd"/>
          </w:p>
        </w:tc>
        <w:tc>
          <w:tcPr>
            <w:tcW w:w="928"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spacing w:val="-10"/>
                <w:sz w:val="24"/>
                <w:szCs w:val="24"/>
              </w:rPr>
              <w:t>293,913.37</w:t>
            </w:r>
          </w:p>
        </w:tc>
        <w:tc>
          <w:tcPr>
            <w:tcW w:w="1180"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spacing w:val="-10"/>
                <w:sz w:val="24"/>
                <w:szCs w:val="24"/>
              </w:rPr>
              <w:t>22,023.09</w:t>
            </w:r>
          </w:p>
        </w:tc>
        <w:tc>
          <w:tcPr>
            <w:tcW w:w="783" w:type="pct"/>
            <w:shd w:val="clear" w:color="auto" w:fill="auto"/>
            <w:vAlign w:val="center"/>
          </w:tcPr>
          <w:p w:rsidR="00263732" w:rsidRPr="004E1208" w:rsidRDefault="00263732" w:rsidP="00263732">
            <w:pPr>
              <w:jc w:val="right"/>
              <w:rPr>
                <w:rFonts w:hAnsi="標楷體"/>
                <w:sz w:val="24"/>
                <w:szCs w:val="24"/>
              </w:rPr>
            </w:pPr>
            <w:r w:rsidRPr="004E1208">
              <w:rPr>
                <w:rFonts w:hAnsi="標楷體"/>
                <w:sz w:val="24"/>
                <w:szCs w:val="24"/>
              </w:rPr>
              <w:t>7.49</w:t>
            </w:r>
          </w:p>
        </w:tc>
      </w:tr>
      <w:tr w:rsidR="00263732" w:rsidRPr="004E1208" w:rsidTr="00F020D3">
        <w:trPr>
          <w:trHeight w:val="567"/>
        </w:trPr>
        <w:tc>
          <w:tcPr>
            <w:tcW w:w="400" w:type="pct"/>
            <w:shd w:val="clear" w:color="auto" w:fill="auto"/>
            <w:vAlign w:val="center"/>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1</w:t>
            </w:r>
            <w:r w:rsidRPr="004E1208">
              <w:rPr>
                <w:rFonts w:hAnsi="標楷體" w:cs="新細明體"/>
                <w:spacing w:val="-10"/>
                <w:kern w:val="0"/>
                <w:sz w:val="24"/>
                <w:szCs w:val="24"/>
              </w:rPr>
              <w:t>4</w:t>
            </w:r>
          </w:p>
        </w:tc>
        <w:tc>
          <w:tcPr>
            <w:tcW w:w="716" w:type="pct"/>
            <w:shd w:val="clear" w:color="auto" w:fill="auto"/>
            <w:vAlign w:val="center"/>
          </w:tcPr>
          <w:p w:rsidR="00263732" w:rsidRPr="004E1208" w:rsidRDefault="00263732" w:rsidP="00263732">
            <w:pPr>
              <w:spacing w:line="0" w:lineRule="atLeast"/>
              <w:jc w:val="center"/>
              <w:rPr>
                <w:rFonts w:hAnsi="標楷體"/>
                <w:spacing w:val="-20"/>
                <w:sz w:val="24"/>
                <w:szCs w:val="24"/>
              </w:rPr>
            </w:pPr>
            <w:proofErr w:type="gramStart"/>
            <w:r w:rsidRPr="004E1208">
              <w:rPr>
                <w:rFonts w:hAnsi="標楷體"/>
                <w:spacing w:val="-20"/>
                <w:sz w:val="24"/>
                <w:szCs w:val="24"/>
              </w:rPr>
              <w:t>東茂新經濟</w:t>
            </w:r>
            <w:proofErr w:type="gramEnd"/>
          </w:p>
          <w:p w:rsidR="00263732" w:rsidRPr="004E1208" w:rsidRDefault="00263732" w:rsidP="00263732">
            <w:pPr>
              <w:spacing w:line="0" w:lineRule="atLeast"/>
              <w:jc w:val="center"/>
              <w:rPr>
                <w:rFonts w:hAnsi="標楷體"/>
                <w:sz w:val="24"/>
                <w:szCs w:val="24"/>
              </w:rPr>
            </w:pPr>
            <w:r w:rsidRPr="004E1208">
              <w:rPr>
                <w:rFonts w:hAnsi="標楷體"/>
                <w:sz w:val="24"/>
                <w:szCs w:val="24"/>
              </w:rPr>
              <w:t>產業園區</w:t>
            </w:r>
          </w:p>
        </w:tc>
        <w:tc>
          <w:tcPr>
            <w:tcW w:w="993"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sz w:val="24"/>
                <w:szCs w:val="24"/>
              </w:rPr>
              <w:t>新竹縣峨眉鄉</w:t>
            </w:r>
          </w:p>
        </w:tc>
        <w:tc>
          <w:tcPr>
            <w:tcW w:w="928"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spacing w:val="-10"/>
                <w:sz w:val="24"/>
                <w:szCs w:val="24"/>
              </w:rPr>
              <w:t>135</w:t>
            </w:r>
            <w:r w:rsidRPr="004E1208">
              <w:rPr>
                <w:rFonts w:hAnsi="標楷體" w:hint="eastAsia"/>
                <w:spacing w:val="-10"/>
                <w:sz w:val="24"/>
                <w:szCs w:val="24"/>
              </w:rPr>
              <w:t>,</w:t>
            </w:r>
            <w:r w:rsidRPr="004E1208">
              <w:rPr>
                <w:rFonts w:hAnsi="標楷體"/>
                <w:spacing w:val="-10"/>
                <w:sz w:val="24"/>
                <w:szCs w:val="24"/>
              </w:rPr>
              <w:t>220.84</w:t>
            </w:r>
          </w:p>
        </w:tc>
        <w:tc>
          <w:tcPr>
            <w:tcW w:w="1180"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spacing w:val="-10"/>
                <w:sz w:val="24"/>
                <w:szCs w:val="24"/>
              </w:rPr>
              <w:t>13,</w:t>
            </w:r>
            <w:r w:rsidRPr="004E1208">
              <w:rPr>
                <w:rFonts w:hAnsi="標楷體" w:hint="eastAsia"/>
                <w:spacing w:val="-10"/>
                <w:sz w:val="24"/>
                <w:szCs w:val="24"/>
              </w:rPr>
              <w:t>067</w:t>
            </w:r>
            <w:r w:rsidRPr="004E1208">
              <w:rPr>
                <w:rFonts w:hAnsi="標楷體"/>
                <w:spacing w:val="-10"/>
                <w:sz w:val="24"/>
                <w:szCs w:val="24"/>
              </w:rPr>
              <w:t>.</w:t>
            </w:r>
            <w:r w:rsidRPr="004E1208">
              <w:rPr>
                <w:rFonts w:hAnsi="標楷體" w:hint="eastAsia"/>
                <w:spacing w:val="-10"/>
                <w:sz w:val="24"/>
                <w:szCs w:val="24"/>
              </w:rPr>
              <w:t>07</w:t>
            </w:r>
          </w:p>
        </w:tc>
        <w:tc>
          <w:tcPr>
            <w:tcW w:w="783" w:type="pct"/>
            <w:shd w:val="clear" w:color="auto" w:fill="auto"/>
            <w:vAlign w:val="center"/>
          </w:tcPr>
          <w:p w:rsidR="00263732" w:rsidRPr="004E1208" w:rsidRDefault="00263732" w:rsidP="00263732">
            <w:pPr>
              <w:jc w:val="right"/>
              <w:rPr>
                <w:rFonts w:hAnsi="標楷體"/>
                <w:sz w:val="24"/>
                <w:szCs w:val="24"/>
              </w:rPr>
            </w:pPr>
            <w:r w:rsidRPr="004E1208">
              <w:rPr>
                <w:rFonts w:hAnsi="標楷體"/>
                <w:sz w:val="24"/>
                <w:szCs w:val="24"/>
              </w:rPr>
              <w:t>9.66</w:t>
            </w:r>
          </w:p>
        </w:tc>
      </w:tr>
      <w:tr w:rsidR="00263732" w:rsidRPr="004E1208" w:rsidTr="00F020D3">
        <w:trPr>
          <w:trHeight w:val="567"/>
        </w:trPr>
        <w:tc>
          <w:tcPr>
            <w:tcW w:w="400" w:type="pct"/>
            <w:shd w:val="clear" w:color="auto" w:fill="auto"/>
            <w:vAlign w:val="center"/>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1</w:t>
            </w:r>
            <w:r w:rsidRPr="004E1208">
              <w:rPr>
                <w:rFonts w:hAnsi="標楷體" w:cs="新細明體"/>
                <w:spacing w:val="-10"/>
                <w:kern w:val="0"/>
                <w:sz w:val="24"/>
                <w:szCs w:val="24"/>
              </w:rPr>
              <w:t>5</w:t>
            </w:r>
          </w:p>
        </w:tc>
        <w:tc>
          <w:tcPr>
            <w:tcW w:w="716"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草</w:t>
            </w:r>
            <w:proofErr w:type="gramStart"/>
            <w:r w:rsidRPr="004E1208">
              <w:rPr>
                <w:rFonts w:hAnsi="標楷體" w:hint="eastAsia"/>
                <w:sz w:val="24"/>
                <w:szCs w:val="24"/>
              </w:rPr>
              <w:t>漯</w:t>
            </w:r>
            <w:proofErr w:type="gramEnd"/>
          </w:p>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工業園區</w:t>
            </w:r>
          </w:p>
        </w:tc>
        <w:tc>
          <w:tcPr>
            <w:tcW w:w="993"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hint="eastAsia"/>
                <w:sz w:val="24"/>
                <w:szCs w:val="24"/>
              </w:rPr>
              <w:t>桃園市觀音區</w:t>
            </w:r>
          </w:p>
        </w:tc>
        <w:tc>
          <w:tcPr>
            <w:tcW w:w="928"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spacing w:val="-10"/>
                <w:sz w:val="24"/>
                <w:szCs w:val="24"/>
              </w:rPr>
              <w:t>51,643.1</w:t>
            </w:r>
          </w:p>
        </w:tc>
        <w:tc>
          <w:tcPr>
            <w:tcW w:w="1180"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spacing w:val="-10"/>
                <w:sz w:val="24"/>
                <w:szCs w:val="24"/>
              </w:rPr>
              <w:t>9,070.5</w:t>
            </w:r>
          </w:p>
        </w:tc>
        <w:tc>
          <w:tcPr>
            <w:tcW w:w="783" w:type="pct"/>
            <w:shd w:val="clear" w:color="auto" w:fill="auto"/>
            <w:vAlign w:val="center"/>
          </w:tcPr>
          <w:p w:rsidR="00263732" w:rsidRPr="004E1208" w:rsidRDefault="00263732" w:rsidP="00263732">
            <w:pPr>
              <w:jc w:val="right"/>
              <w:rPr>
                <w:rFonts w:hAnsi="標楷體"/>
                <w:sz w:val="24"/>
                <w:szCs w:val="24"/>
              </w:rPr>
            </w:pPr>
            <w:r w:rsidRPr="004E1208">
              <w:rPr>
                <w:rFonts w:hAnsi="標楷體"/>
                <w:sz w:val="24"/>
                <w:szCs w:val="24"/>
              </w:rPr>
              <w:t>17.56</w:t>
            </w:r>
          </w:p>
        </w:tc>
      </w:tr>
      <w:tr w:rsidR="00263732" w:rsidRPr="004E1208" w:rsidTr="00F020D3">
        <w:trPr>
          <w:trHeight w:val="567"/>
        </w:trPr>
        <w:tc>
          <w:tcPr>
            <w:tcW w:w="400" w:type="pct"/>
            <w:shd w:val="clear" w:color="auto" w:fill="auto"/>
            <w:vAlign w:val="center"/>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1</w:t>
            </w:r>
            <w:r w:rsidRPr="004E1208">
              <w:rPr>
                <w:rFonts w:hAnsi="標楷體" w:cs="新細明體"/>
                <w:spacing w:val="-10"/>
                <w:kern w:val="0"/>
                <w:sz w:val="24"/>
                <w:szCs w:val="24"/>
              </w:rPr>
              <w:t>6</w:t>
            </w:r>
          </w:p>
        </w:tc>
        <w:tc>
          <w:tcPr>
            <w:tcW w:w="716"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sz w:val="24"/>
                <w:szCs w:val="24"/>
              </w:rPr>
              <w:t>蓮花</w:t>
            </w:r>
          </w:p>
          <w:p w:rsidR="00263732" w:rsidRPr="004E1208" w:rsidRDefault="00263732" w:rsidP="00263732">
            <w:pPr>
              <w:spacing w:line="0" w:lineRule="atLeast"/>
              <w:jc w:val="center"/>
              <w:rPr>
                <w:rFonts w:hAnsi="標楷體"/>
                <w:sz w:val="24"/>
                <w:szCs w:val="24"/>
              </w:rPr>
            </w:pPr>
            <w:r w:rsidRPr="004E1208">
              <w:rPr>
                <w:rFonts w:hAnsi="標楷體"/>
                <w:sz w:val="24"/>
                <w:szCs w:val="24"/>
              </w:rPr>
              <w:t>產業園區</w:t>
            </w:r>
          </w:p>
        </w:tc>
        <w:tc>
          <w:tcPr>
            <w:tcW w:w="993"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sz w:val="24"/>
                <w:szCs w:val="24"/>
              </w:rPr>
              <w:t>新竹縣新豐鄉</w:t>
            </w:r>
          </w:p>
        </w:tc>
        <w:tc>
          <w:tcPr>
            <w:tcW w:w="928"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spacing w:val="-10"/>
                <w:sz w:val="24"/>
                <w:szCs w:val="24"/>
              </w:rPr>
              <w:t>158,262</w:t>
            </w:r>
          </w:p>
        </w:tc>
        <w:tc>
          <w:tcPr>
            <w:tcW w:w="1180"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spacing w:val="-10"/>
                <w:sz w:val="24"/>
                <w:szCs w:val="24"/>
              </w:rPr>
              <w:t>12,034.51</w:t>
            </w:r>
          </w:p>
        </w:tc>
        <w:tc>
          <w:tcPr>
            <w:tcW w:w="783" w:type="pct"/>
            <w:shd w:val="clear" w:color="auto" w:fill="auto"/>
            <w:vAlign w:val="center"/>
          </w:tcPr>
          <w:p w:rsidR="00263732" w:rsidRPr="004E1208" w:rsidRDefault="00263732" w:rsidP="00263732">
            <w:pPr>
              <w:jc w:val="right"/>
              <w:rPr>
                <w:rFonts w:hAnsi="標楷體"/>
                <w:sz w:val="24"/>
                <w:szCs w:val="24"/>
              </w:rPr>
            </w:pPr>
            <w:r w:rsidRPr="004E1208">
              <w:rPr>
                <w:rFonts w:hAnsi="標楷體"/>
                <w:sz w:val="24"/>
                <w:szCs w:val="24"/>
              </w:rPr>
              <w:t>7.60</w:t>
            </w:r>
          </w:p>
        </w:tc>
      </w:tr>
      <w:tr w:rsidR="00263732" w:rsidRPr="004E1208" w:rsidTr="00F020D3">
        <w:trPr>
          <w:trHeight w:val="567"/>
        </w:trPr>
        <w:tc>
          <w:tcPr>
            <w:tcW w:w="400" w:type="pct"/>
            <w:shd w:val="clear" w:color="auto" w:fill="auto"/>
            <w:vAlign w:val="center"/>
          </w:tcPr>
          <w:p w:rsidR="00263732" w:rsidRPr="004E1208" w:rsidRDefault="00263732" w:rsidP="00263732">
            <w:pPr>
              <w:widowControl/>
              <w:spacing w:line="0" w:lineRule="atLeast"/>
              <w:jc w:val="center"/>
              <w:rPr>
                <w:rFonts w:hAnsi="標楷體" w:cs="新細明體"/>
                <w:spacing w:val="-10"/>
                <w:kern w:val="0"/>
                <w:sz w:val="24"/>
                <w:szCs w:val="24"/>
              </w:rPr>
            </w:pPr>
            <w:r w:rsidRPr="004E1208">
              <w:rPr>
                <w:rFonts w:hAnsi="標楷體" w:cs="新細明體" w:hint="eastAsia"/>
                <w:spacing w:val="-10"/>
                <w:kern w:val="0"/>
                <w:sz w:val="24"/>
                <w:szCs w:val="24"/>
              </w:rPr>
              <w:t>1</w:t>
            </w:r>
            <w:r w:rsidRPr="004E1208">
              <w:rPr>
                <w:rFonts w:hAnsi="標楷體" w:cs="新細明體"/>
                <w:spacing w:val="-10"/>
                <w:kern w:val="0"/>
                <w:sz w:val="24"/>
                <w:szCs w:val="24"/>
              </w:rPr>
              <w:t>7</w:t>
            </w:r>
          </w:p>
        </w:tc>
        <w:tc>
          <w:tcPr>
            <w:tcW w:w="716" w:type="pct"/>
            <w:shd w:val="clear" w:color="auto" w:fill="auto"/>
            <w:vAlign w:val="center"/>
          </w:tcPr>
          <w:p w:rsidR="00263732" w:rsidRPr="004E1208" w:rsidRDefault="00263732" w:rsidP="00263732">
            <w:pPr>
              <w:spacing w:line="0" w:lineRule="atLeast"/>
              <w:jc w:val="center"/>
              <w:rPr>
                <w:rFonts w:hAnsi="標楷體"/>
                <w:sz w:val="24"/>
                <w:szCs w:val="24"/>
              </w:rPr>
            </w:pPr>
            <w:r w:rsidRPr="004E1208">
              <w:rPr>
                <w:rFonts w:hAnsi="標楷體"/>
                <w:sz w:val="24"/>
                <w:szCs w:val="24"/>
              </w:rPr>
              <w:t>通</w:t>
            </w:r>
            <w:proofErr w:type="gramStart"/>
            <w:r w:rsidRPr="004E1208">
              <w:rPr>
                <w:rFonts w:hAnsi="標楷體"/>
                <w:sz w:val="24"/>
                <w:szCs w:val="24"/>
              </w:rPr>
              <w:t>和</w:t>
            </w:r>
            <w:proofErr w:type="gramEnd"/>
          </w:p>
          <w:p w:rsidR="00263732" w:rsidRPr="004E1208" w:rsidRDefault="00263732" w:rsidP="00263732">
            <w:pPr>
              <w:spacing w:line="0" w:lineRule="atLeast"/>
              <w:jc w:val="center"/>
              <w:rPr>
                <w:rFonts w:hAnsi="標楷體"/>
                <w:sz w:val="24"/>
                <w:szCs w:val="24"/>
              </w:rPr>
            </w:pPr>
            <w:r w:rsidRPr="004E1208">
              <w:rPr>
                <w:rFonts w:hAnsi="標楷體"/>
                <w:sz w:val="24"/>
                <w:szCs w:val="24"/>
              </w:rPr>
              <w:t>產業園區</w:t>
            </w:r>
          </w:p>
        </w:tc>
        <w:tc>
          <w:tcPr>
            <w:tcW w:w="993" w:type="pct"/>
            <w:shd w:val="clear" w:color="auto" w:fill="auto"/>
            <w:vAlign w:val="center"/>
          </w:tcPr>
          <w:p w:rsidR="00263732" w:rsidRPr="004E1208" w:rsidRDefault="00263732" w:rsidP="00263732">
            <w:pPr>
              <w:spacing w:line="0" w:lineRule="atLeast"/>
              <w:jc w:val="center"/>
              <w:rPr>
                <w:rFonts w:hAnsi="標楷體"/>
                <w:sz w:val="24"/>
                <w:szCs w:val="24"/>
              </w:rPr>
            </w:pPr>
            <w:proofErr w:type="gramStart"/>
            <w:r w:rsidRPr="004E1208">
              <w:rPr>
                <w:rFonts w:hAnsi="標楷體"/>
                <w:sz w:val="24"/>
                <w:szCs w:val="24"/>
              </w:rPr>
              <w:t>臺</w:t>
            </w:r>
            <w:proofErr w:type="gramEnd"/>
            <w:r w:rsidRPr="004E1208">
              <w:rPr>
                <w:rFonts w:hAnsi="標楷體"/>
                <w:sz w:val="24"/>
                <w:szCs w:val="24"/>
              </w:rPr>
              <w:t>中市清水區</w:t>
            </w:r>
          </w:p>
        </w:tc>
        <w:tc>
          <w:tcPr>
            <w:tcW w:w="928"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spacing w:val="-10"/>
                <w:sz w:val="24"/>
                <w:szCs w:val="24"/>
              </w:rPr>
              <w:t>221,771.47</w:t>
            </w:r>
          </w:p>
        </w:tc>
        <w:tc>
          <w:tcPr>
            <w:tcW w:w="1180" w:type="pct"/>
            <w:shd w:val="clear" w:color="auto" w:fill="auto"/>
            <w:vAlign w:val="center"/>
          </w:tcPr>
          <w:p w:rsidR="00263732" w:rsidRPr="004E1208" w:rsidRDefault="00263732" w:rsidP="00263732">
            <w:pPr>
              <w:spacing w:line="0" w:lineRule="atLeast"/>
              <w:jc w:val="right"/>
              <w:rPr>
                <w:rFonts w:hAnsi="標楷體"/>
                <w:spacing w:val="-10"/>
                <w:sz w:val="24"/>
                <w:szCs w:val="24"/>
              </w:rPr>
            </w:pPr>
            <w:r w:rsidRPr="004E1208">
              <w:rPr>
                <w:rFonts w:hAnsi="標楷體"/>
                <w:spacing w:val="-10"/>
                <w:sz w:val="24"/>
                <w:szCs w:val="24"/>
              </w:rPr>
              <w:t>1,945.21</w:t>
            </w:r>
          </w:p>
        </w:tc>
        <w:tc>
          <w:tcPr>
            <w:tcW w:w="783" w:type="pct"/>
            <w:shd w:val="clear" w:color="auto" w:fill="auto"/>
            <w:vAlign w:val="center"/>
          </w:tcPr>
          <w:p w:rsidR="00263732" w:rsidRPr="004E1208" w:rsidRDefault="00263732" w:rsidP="00263732">
            <w:pPr>
              <w:jc w:val="right"/>
              <w:rPr>
                <w:rFonts w:hAnsi="標楷體"/>
                <w:sz w:val="24"/>
                <w:szCs w:val="24"/>
              </w:rPr>
            </w:pPr>
            <w:r w:rsidRPr="004E1208">
              <w:rPr>
                <w:rFonts w:hAnsi="標楷體"/>
                <w:sz w:val="24"/>
                <w:szCs w:val="24"/>
              </w:rPr>
              <w:t>0.88</w:t>
            </w:r>
          </w:p>
        </w:tc>
      </w:tr>
    </w:tbl>
    <w:p w:rsidR="00F020D3" w:rsidRDefault="00F020D3" w:rsidP="008926E6">
      <w:pPr>
        <w:pStyle w:val="3"/>
        <w:numPr>
          <w:ilvl w:val="0"/>
          <w:numId w:val="0"/>
        </w:numPr>
        <w:snapToGrid w:val="0"/>
        <w:ind w:leftChars="166" w:left="565"/>
        <w:rPr>
          <w:rFonts w:hAnsi="標楷體"/>
          <w:sz w:val="24"/>
          <w:szCs w:val="24"/>
        </w:rPr>
      </w:pPr>
      <w:r>
        <w:rPr>
          <w:rFonts w:hAnsi="標楷體" w:hint="eastAsia"/>
          <w:sz w:val="24"/>
          <w:szCs w:val="24"/>
        </w:rPr>
        <w:t>資料時間：112年5月。</w:t>
      </w:r>
    </w:p>
    <w:p w:rsidR="00801184" w:rsidRPr="004E1208" w:rsidRDefault="00801184" w:rsidP="008926E6">
      <w:pPr>
        <w:pStyle w:val="3"/>
        <w:numPr>
          <w:ilvl w:val="0"/>
          <w:numId w:val="0"/>
        </w:numPr>
        <w:snapToGrid w:val="0"/>
        <w:spacing w:afterLines="50" w:after="228"/>
        <w:ind w:leftChars="166" w:left="565"/>
      </w:pPr>
      <w:r w:rsidRPr="004E1208">
        <w:rPr>
          <w:rFonts w:hAnsi="標楷體" w:hint="eastAsia"/>
          <w:sz w:val="24"/>
          <w:szCs w:val="24"/>
        </w:rPr>
        <w:t>資料來源：</w:t>
      </w:r>
      <w:r w:rsidR="00263732" w:rsidRPr="004E1208">
        <w:rPr>
          <w:rFonts w:hAnsi="標楷體" w:hint="eastAsia"/>
          <w:sz w:val="24"/>
          <w:szCs w:val="24"/>
        </w:rPr>
        <w:t>本調查研究報告依國產署提供資料整理製作</w:t>
      </w:r>
      <w:r w:rsidRPr="004E1208">
        <w:rPr>
          <w:rFonts w:hAnsi="標楷體" w:hint="eastAsia"/>
          <w:sz w:val="24"/>
          <w:szCs w:val="24"/>
        </w:rPr>
        <w:t>。</w:t>
      </w:r>
    </w:p>
    <w:p w:rsidR="005E3734" w:rsidRPr="004E1208" w:rsidRDefault="00276522" w:rsidP="00B457B2">
      <w:pPr>
        <w:pStyle w:val="3"/>
        <w:overflowPunct/>
        <w:ind w:left="1360" w:hanging="680"/>
      </w:pPr>
      <w:r w:rsidRPr="004E1208">
        <w:rPr>
          <w:rFonts w:hint="eastAsia"/>
        </w:rPr>
        <w:t>有鑑於此，本</w:t>
      </w:r>
      <w:r w:rsidR="00F70099" w:rsidRPr="004E1208">
        <w:rPr>
          <w:rFonts w:hint="eastAsia"/>
        </w:rPr>
        <w:t>院諮詢之專家學者即表示：「</w:t>
      </w:r>
      <w:r w:rsidR="00F70099" w:rsidRPr="004E1208">
        <w:tab/>
      </w:r>
      <w:r w:rsidR="00F70099" w:rsidRPr="004E1208">
        <w:rPr>
          <w:rFonts w:hint="eastAsia"/>
        </w:rPr>
        <w:t>有關都更條例等法規，在其範圍內公有土地『一律參加開發』，其衍生問題，涉及較多屬開發範圍內，都市計畫變更與公共設施用地配置，以及『可抵充』事項，應於各該法規中，再檢視其合理性」；「</w:t>
      </w:r>
      <w:r w:rsidR="00F70099" w:rsidRPr="004E1208">
        <w:rPr>
          <w:rFonts w:hint="eastAsia"/>
        </w:rPr>
        <w:tab/>
      </w:r>
      <w:r w:rsidR="00B457B2" w:rsidRPr="00B457B2">
        <w:rPr>
          <w:rFonts w:hint="eastAsia"/>
        </w:rPr>
        <w:t>國有土地目前的都更個案，常由土地較小的建設公司主導，政府可以考慮主動提供住宅，滿足目前年輕世代對住宅的需求，並透過市場機制讓住宅價格調整</w:t>
      </w:r>
      <w:r w:rsidR="00F70099" w:rsidRPr="004E1208">
        <w:rPr>
          <w:rFonts w:hint="eastAsia"/>
        </w:rPr>
        <w:t>」；「</w:t>
      </w:r>
      <w:r w:rsidR="00F70099" w:rsidRPr="004E1208">
        <w:rPr>
          <w:rFonts w:hint="eastAsia"/>
        </w:rPr>
        <w:tab/>
        <w:t>公</w:t>
      </w:r>
      <w:r w:rsidR="00F70099" w:rsidRPr="004E1208">
        <w:rPr>
          <w:rFonts w:hint="eastAsia"/>
        </w:rPr>
        <w:lastRenderedPageBreak/>
        <w:t>有土地必須參與開發的規定，是在官方主導的條件下，在開放民間主動開發之後，法規有必要考慮再修正。建議在有關國有土地活化的部分，與社會住宅有關應以都會區優先</w:t>
      </w:r>
      <w:r w:rsidR="00C64192" w:rsidRPr="004E1208">
        <w:rPr>
          <w:rFonts w:hint="eastAsia"/>
        </w:rPr>
        <w:t>（</w:t>
      </w:r>
      <w:r w:rsidR="00F70099" w:rsidRPr="004E1208">
        <w:rPr>
          <w:rFonts w:hint="eastAsia"/>
        </w:rPr>
        <w:t>特別是在雙北地區</w:t>
      </w:r>
      <w:r w:rsidR="00C64192" w:rsidRPr="004E1208">
        <w:rPr>
          <w:rFonts w:hint="eastAsia"/>
        </w:rPr>
        <w:t>）</w:t>
      </w:r>
      <w:r w:rsidR="00F70099" w:rsidRPr="004E1208">
        <w:rPr>
          <w:rFonts w:hint="eastAsia"/>
        </w:rPr>
        <w:t>，並由國家主導開發，才不會發生私部門鑽法律漏洞謀取不當利益，或外行領導內行的問題」；「</w:t>
      </w:r>
      <w:r w:rsidR="00F70099" w:rsidRPr="004E1208">
        <w:rPr>
          <w:rFonts w:hint="eastAsia"/>
        </w:rPr>
        <w:tab/>
        <w:t>公有土地活化問題應配合政策</w:t>
      </w:r>
      <w:r w:rsidR="00C64192" w:rsidRPr="004E1208">
        <w:rPr>
          <w:rFonts w:hint="eastAsia"/>
        </w:rPr>
        <w:t>（</w:t>
      </w:r>
      <w:r w:rsidR="00F70099" w:rsidRPr="004E1208">
        <w:rPr>
          <w:rFonts w:hint="eastAsia"/>
        </w:rPr>
        <w:t>如</w:t>
      </w:r>
      <w:r w:rsidR="003305B6" w:rsidRPr="004E1208">
        <w:rPr>
          <w:rFonts w:hint="eastAsia"/>
        </w:rPr>
        <w:t>長期照顧</w:t>
      </w:r>
      <w:r w:rsidR="00F70099" w:rsidRPr="004E1208">
        <w:rPr>
          <w:rFonts w:hint="eastAsia"/>
        </w:rPr>
        <w:t>、光電、</w:t>
      </w:r>
      <w:r w:rsidR="003305B6" w:rsidRPr="004E1208">
        <w:rPr>
          <w:rFonts w:hint="eastAsia"/>
        </w:rPr>
        <w:t>社會住宅</w:t>
      </w:r>
      <w:r w:rsidR="00F70099" w:rsidRPr="004E1208">
        <w:rPr>
          <w:rFonts w:hint="eastAsia"/>
        </w:rPr>
        <w:t>或產業發展</w:t>
      </w:r>
      <w:r w:rsidR="00C64192" w:rsidRPr="004E1208">
        <w:rPr>
          <w:rFonts w:hint="eastAsia"/>
        </w:rPr>
        <w:t>）</w:t>
      </w:r>
      <w:r w:rsidR="00F70099" w:rsidRPr="004E1208">
        <w:rPr>
          <w:rFonts w:hint="eastAsia"/>
        </w:rPr>
        <w:t>，不會一味追求利益最大化。但過程中如涉及都更、產業園區開發，宜注意以小吃大問題」。專家學者並進一步提出</w:t>
      </w:r>
      <w:r w:rsidRPr="004E1208">
        <w:rPr>
          <w:rFonts w:hint="eastAsia"/>
        </w:rPr>
        <w:t>：「我國國有土地很多，但處分管理缺少地上權的運用</w:t>
      </w:r>
      <w:r w:rsidR="00C64192" w:rsidRPr="004E1208">
        <w:rPr>
          <w:rFonts w:hint="eastAsia"/>
        </w:rPr>
        <w:t>（</w:t>
      </w:r>
      <w:r w:rsidRPr="004E1208">
        <w:rPr>
          <w:rFonts w:hint="eastAsia"/>
        </w:rPr>
        <w:t>如</w:t>
      </w:r>
      <w:proofErr w:type="gramStart"/>
      <w:r w:rsidRPr="004E1208">
        <w:rPr>
          <w:rFonts w:hint="eastAsia"/>
        </w:rPr>
        <w:t>眷</w:t>
      </w:r>
      <w:proofErr w:type="gramEnd"/>
      <w:r w:rsidRPr="004E1208">
        <w:rPr>
          <w:rFonts w:hint="eastAsia"/>
        </w:rPr>
        <w:t>改土地</w:t>
      </w:r>
      <w:r w:rsidR="00C64192" w:rsidRPr="004E1208">
        <w:rPr>
          <w:rFonts w:hint="eastAsia"/>
        </w:rPr>
        <w:t>）</w:t>
      </w:r>
      <w:r w:rsidRPr="004E1208">
        <w:rPr>
          <w:rFonts w:hint="eastAsia"/>
        </w:rPr>
        <w:t>，非常可惜；相對地，新加坡很有意識的去徵收土地收歸國有，再興建組屋進行地上權買賣，以此方式進行國產管理，不僅可以維持國土儲備，也可增加不動產稅收</w:t>
      </w:r>
      <w:r w:rsidR="00C64192" w:rsidRPr="004E1208">
        <w:rPr>
          <w:rFonts w:hint="eastAsia"/>
        </w:rPr>
        <w:t>（</w:t>
      </w:r>
      <w:r w:rsidRPr="004E1208">
        <w:rPr>
          <w:rFonts w:hint="eastAsia"/>
        </w:rPr>
        <w:t>新加坡約27%，臺灣僅10%</w:t>
      </w:r>
      <w:r w:rsidR="00C64192" w:rsidRPr="004E1208">
        <w:rPr>
          <w:rFonts w:hint="eastAsia"/>
        </w:rPr>
        <w:t>）</w:t>
      </w:r>
      <w:r w:rsidRPr="004E1208">
        <w:rPr>
          <w:rFonts w:hint="eastAsia"/>
        </w:rPr>
        <w:t>。建議進一步探究新加坡好的國產管理制度，並</w:t>
      </w:r>
      <w:proofErr w:type="gramStart"/>
      <w:r w:rsidRPr="004E1208">
        <w:rPr>
          <w:rFonts w:hint="eastAsia"/>
        </w:rPr>
        <w:t>釐</w:t>
      </w:r>
      <w:proofErr w:type="gramEnd"/>
      <w:r w:rsidRPr="004E1208">
        <w:rPr>
          <w:rFonts w:hint="eastAsia"/>
        </w:rPr>
        <w:t>清為何在臺灣無法推行的癥結點，以為學習借鏡的他山之石」等意見，</w:t>
      </w:r>
      <w:proofErr w:type="gramStart"/>
      <w:r w:rsidRPr="004E1208">
        <w:rPr>
          <w:rFonts w:hint="eastAsia"/>
        </w:rPr>
        <w:t>殊值審酌</w:t>
      </w:r>
      <w:proofErr w:type="gramEnd"/>
      <w:r w:rsidRPr="004E1208">
        <w:rPr>
          <w:rFonts w:hint="eastAsia"/>
        </w:rPr>
        <w:t>。</w:t>
      </w:r>
    </w:p>
    <w:p w:rsidR="00276522" w:rsidRPr="004E1208" w:rsidRDefault="00276522" w:rsidP="009E32B5">
      <w:pPr>
        <w:pStyle w:val="3"/>
      </w:pPr>
      <w:r w:rsidRPr="004E1208">
        <w:rPr>
          <w:rFonts w:hint="eastAsia"/>
        </w:rPr>
        <w:t>又</w:t>
      </w:r>
      <w:r w:rsidR="00697A8F" w:rsidRPr="004E1208">
        <w:rPr>
          <w:rFonts w:hAnsi="標楷體" w:hint="eastAsia"/>
          <w:szCs w:val="32"/>
        </w:rPr>
        <w:t>參照陳麟隴</w:t>
      </w:r>
      <w:r w:rsidR="00697A8F" w:rsidRPr="004E1208">
        <w:rPr>
          <w:rStyle w:val="afd"/>
          <w:rFonts w:hAnsi="標楷體"/>
          <w:szCs w:val="32"/>
        </w:rPr>
        <w:footnoteReference w:id="14"/>
      </w:r>
      <w:r w:rsidR="00697A8F" w:rsidRPr="004E1208">
        <w:rPr>
          <w:rFonts w:hAnsi="標楷體" w:hint="eastAsia"/>
          <w:szCs w:val="32"/>
        </w:rPr>
        <w:t>之考察研究指出：「新加坡現有國土逾</w:t>
      </w:r>
      <w:r w:rsidR="00697A8F" w:rsidRPr="004E1208">
        <w:rPr>
          <w:rFonts w:hAnsi="標楷體"/>
          <w:szCs w:val="32"/>
        </w:rPr>
        <w:t>80%</w:t>
      </w:r>
      <w:r w:rsidR="00697A8F" w:rsidRPr="004E1208">
        <w:rPr>
          <w:rFonts w:hAnsi="標楷體" w:hint="eastAsia"/>
          <w:szCs w:val="32"/>
        </w:rPr>
        <w:t>歸國家所有，然而其獨立之初，政府並未從英國手中接收如此高比例的土地。從獲得自治地位起，新加坡就</w:t>
      </w:r>
      <w:proofErr w:type="gramStart"/>
      <w:r w:rsidR="00697A8F" w:rsidRPr="004E1208">
        <w:rPr>
          <w:rFonts w:hAnsi="標楷體" w:hint="eastAsia"/>
          <w:szCs w:val="32"/>
        </w:rPr>
        <w:t>不</w:t>
      </w:r>
      <w:proofErr w:type="gramEnd"/>
      <w:r w:rsidR="00697A8F" w:rsidRPr="004E1208">
        <w:rPr>
          <w:rFonts w:hAnsi="標楷體" w:hint="eastAsia"/>
          <w:szCs w:val="32"/>
        </w:rPr>
        <w:t>師法多數發展中國家培植本土民間產業的老套，反而創造獨特的『兩腳走路</w:t>
      </w:r>
      <w:r w:rsidR="00697A8F" w:rsidRPr="004E1208">
        <w:rPr>
          <w:rFonts w:hAnsi="標楷體"/>
          <w:szCs w:val="32"/>
        </w:rPr>
        <w:t>』</w:t>
      </w:r>
      <w:r w:rsidR="00697A8F" w:rsidRPr="004E1208">
        <w:rPr>
          <w:rFonts w:hAnsi="標楷體" w:hint="eastAsia"/>
          <w:szCs w:val="32"/>
        </w:rPr>
        <w:t>模式：一腳是外資，另一腳則是國家機關，各自擔負重要角色。人民行動黨政府在西元</w:t>
      </w:r>
      <w:r w:rsidR="00C64192" w:rsidRPr="004E1208">
        <w:rPr>
          <w:rFonts w:hAnsi="標楷體" w:hint="eastAsia"/>
          <w:szCs w:val="32"/>
        </w:rPr>
        <w:t>（</w:t>
      </w:r>
      <w:r w:rsidR="00697A8F" w:rsidRPr="004E1208">
        <w:rPr>
          <w:rFonts w:hAnsi="標楷體" w:hint="eastAsia"/>
          <w:szCs w:val="32"/>
        </w:rPr>
        <w:t>下同</w:t>
      </w:r>
      <w:r w:rsidR="00C64192" w:rsidRPr="004E1208">
        <w:rPr>
          <w:rFonts w:hAnsi="標楷體" w:hint="eastAsia"/>
          <w:szCs w:val="32"/>
        </w:rPr>
        <w:t>）</w:t>
      </w:r>
      <w:r w:rsidR="00697A8F" w:rsidRPr="004E1208">
        <w:rPr>
          <w:rFonts w:hAnsi="標楷體"/>
          <w:szCs w:val="32"/>
        </w:rPr>
        <w:t>1966</w:t>
      </w:r>
      <w:r w:rsidR="00697A8F" w:rsidRPr="004E1208">
        <w:rPr>
          <w:rFonts w:hAnsi="標楷體" w:hint="eastAsia"/>
          <w:szCs w:val="32"/>
        </w:rPr>
        <w:t>年通過『土地取得法</w:t>
      </w:r>
      <w:r w:rsidR="00697A8F" w:rsidRPr="004E1208">
        <w:rPr>
          <w:rFonts w:hAnsi="標楷體"/>
          <w:szCs w:val="32"/>
        </w:rPr>
        <w:t>』</w:t>
      </w:r>
      <w:r w:rsidR="00697A8F" w:rsidRPr="004E1208">
        <w:rPr>
          <w:rFonts w:hAnsi="標楷體" w:hint="eastAsia"/>
          <w:szCs w:val="32"/>
        </w:rPr>
        <w:t>（</w:t>
      </w:r>
      <w:r w:rsidR="00697A8F" w:rsidRPr="004E1208">
        <w:rPr>
          <w:rFonts w:hAnsi="標楷體"/>
          <w:szCs w:val="32"/>
        </w:rPr>
        <w:t>Land Acquisition Act</w:t>
      </w:r>
      <w:r w:rsidR="00697A8F" w:rsidRPr="004E1208">
        <w:rPr>
          <w:rFonts w:hAnsi="標楷體" w:hint="eastAsia"/>
          <w:szCs w:val="32"/>
        </w:rPr>
        <w:t>），規定凡為興建工商及公共設施或住宅，政府有權以低於市</w:t>
      </w:r>
      <w:r w:rsidR="00697A8F" w:rsidRPr="004E1208">
        <w:rPr>
          <w:rFonts w:hAnsi="標楷體" w:hint="eastAsia"/>
          <w:szCs w:val="32"/>
        </w:rPr>
        <w:lastRenderedPageBreak/>
        <w:t>價的價格徵收私人土地。其後陸續實施配合興建組屋和都市計畫等政策之土地取得制度，政府擁有的土地遂逐年增加，</w:t>
      </w:r>
      <w:r w:rsidR="00697A8F" w:rsidRPr="004E1208">
        <w:rPr>
          <w:rFonts w:hAnsi="標楷體"/>
          <w:szCs w:val="32"/>
        </w:rPr>
        <w:t>1968</w:t>
      </w:r>
      <w:r w:rsidR="00697A8F" w:rsidRPr="004E1208">
        <w:rPr>
          <w:rFonts w:hAnsi="標楷體" w:hint="eastAsia"/>
          <w:szCs w:val="32"/>
        </w:rPr>
        <w:t>年時還只擁有全國</w:t>
      </w:r>
      <w:r w:rsidR="00697A8F" w:rsidRPr="004E1208">
        <w:rPr>
          <w:rFonts w:hAnsi="標楷體"/>
          <w:szCs w:val="32"/>
        </w:rPr>
        <w:t>26.1%</w:t>
      </w:r>
      <w:r w:rsidR="00697A8F" w:rsidRPr="004E1208">
        <w:rPr>
          <w:rFonts w:hAnsi="標楷體" w:hint="eastAsia"/>
          <w:szCs w:val="32"/>
        </w:rPr>
        <w:t>的土地，到</w:t>
      </w:r>
      <w:r w:rsidR="00697A8F" w:rsidRPr="004E1208">
        <w:rPr>
          <w:rFonts w:hAnsi="標楷體"/>
          <w:szCs w:val="32"/>
        </w:rPr>
        <w:t>1980</w:t>
      </w:r>
      <w:r w:rsidR="00697A8F" w:rsidRPr="004E1208">
        <w:rPr>
          <w:rFonts w:hAnsi="標楷體" w:hint="eastAsia"/>
          <w:szCs w:val="32"/>
        </w:rPr>
        <w:t>年上升到</w:t>
      </w:r>
      <w:r w:rsidR="00697A8F" w:rsidRPr="004E1208">
        <w:rPr>
          <w:rFonts w:hAnsi="標楷體"/>
          <w:szCs w:val="32"/>
        </w:rPr>
        <w:t>67%</w:t>
      </w:r>
      <w:r w:rsidR="00697A8F" w:rsidRPr="004E1208">
        <w:rPr>
          <w:rFonts w:hAnsi="標楷體" w:hint="eastAsia"/>
          <w:szCs w:val="32"/>
        </w:rPr>
        <w:t>，</w:t>
      </w:r>
      <w:r w:rsidR="00697A8F" w:rsidRPr="004E1208">
        <w:rPr>
          <w:rFonts w:hAnsi="標楷體"/>
          <w:szCs w:val="32"/>
        </w:rPr>
        <w:t>2005</w:t>
      </w:r>
      <w:r w:rsidR="00697A8F" w:rsidRPr="004E1208">
        <w:rPr>
          <w:rFonts w:hAnsi="標楷體" w:hint="eastAsia"/>
          <w:szCs w:val="32"/>
        </w:rPr>
        <w:t>年則高達</w:t>
      </w:r>
      <w:r w:rsidR="00697A8F" w:rsidRPr="004E1208">
        <w:rPr>
          <w:rFonts w:hAnsi="標楷體"/>
          <w:szCs w:val="32"/>
        </w:rPr>
        <w:t>87%</w:t>
      </w:r>
      <w:r w:rsidR="00697A8F" w:rsidRPr="004E1208">
        <w:rPr>
          <w:rFonts w:hAnsi="標楷體" w:hint="eastAsia"/>
          <w:szCs w:val="32"/>
        </w:rPr>
        <w:t>！稀有的土地資源大部分為政府直接掌控，土地取得制度</w:t>
      </w:r>
      <w:proofErr w:type="gramStart"/>
      <w:r w:rsidR="00697A8F" w:rsidRPr="004E1208">
        <w:rPr>
          <w:rFonts w:hAnsi="標楷體" w:hint="eastAsia"/>
          <w:szCs w:val="32"/>
        </w:rPr>
        <w:t>併</w:t>
      </w:r>
      <w:proofErr w:type="gramEnd"/>
      <w:r w:rsidR="00697A8F" w:rsidRPr="004E1208">
        <w:rPr>
          <w:rFonts w:hAnsi="標楷體" w:hint="eastAsia"/>
          <w:szCs w:val="32"/>
        </w:rPr>
        <w:t>與政府興建公共住宅和擴展公積金制度兩項政策搭配，結合成舉世罕見的社會穩定機制。…</w:t>
      </w:r>
      <w:proofErr w:type="gramStart"/>
      <w:r w:rsidR="00697A8F" w:rsidRPr="004E1208">
        <w:rPr>
          <w:rFonts w:hAnsi="標楷體" w:hint="eastAsia"/>
          <w:szCs w:val="32"/>
        </w:rPr>
        <w:t>…</w:t>
      </w:r>
      <w:proofErr w:type="gramEnd"/>
      <w:r w:rsidR="00697A8F" w:rsidRPr="004E1208">
        <w:rPr>
          <w:rFonts w:hAnsi="標楷體" w:hint="eastAsia"/>
          <w:szCs w:val="32"/>
        </w:rPr>
        <w:t>自1967年起，新加坡政府即不再出售永久持有（freehold）的地契，而改以出售土地定期租賃權（leasehold），即有期限持有之地契。土地租賃權的使用期限，依各類用途分別訂定：住宅、商業及飯店使用為99年、工業使用為60年（或30+30）、休閒、娛樂、遊憩、教育及社會福利使用之土地為30年、農業及停車場等短期使用則為10~20年。…</w:t>
      </w:r>
      <w:proofErr w:type="gramStart"/>
      <w:r w:rsidR="00697A8F" w:rsidRPr="004E1208">
        <w:rPr>
          <w:rFonts w:hAnsi="標楷體" w:hint="eastAsia"/>
          <w:szCs w:val="32"/>
        </w:rPr>
        <w:t>…</w:t>
      </w:r>
      <w:proofErr w:type="gramEnd"/>
      <w:r w:rsidR="00697A8F" w:rsidRPr="004E1208">
        <w:rPr>
          <w:rFonts w:hAnsi="標楷體" w:hint="eastAsia"/>
          <w:szCs w:val="32"/>
        </w:rPr>
        <w:t>國有土地所有權、定期租賃權與拍賣制度對於新加坡經濟社會發展之穩定具有重大成效。第一，土地國有可以避免大型</w:t>
      </w:r>
      <w:proofErr w:type="gramStart"/>
      <w:r w:rsidR="00697A8F" w:rsidRPr="004E1208">
        <w:rPr>
          <w:rFonts w:hAnsi="標楷體" w:hint="eastAsia"/>
          <w:szCs w:val="32"/>
        </w:rPr>
        <w:t>財團囤地與</w:t>
      </w:r>
      <w:proofErr w:type="gramEnd"/>
      <w:r w:rsidR="00697A8F" w:rsidRPr="004E1208">
        <w:rPr>
          <w:rFonts w:hAnsi="標楷體" w:hint="eastAsia"/>
          <w:szCs w:val="32"/>
        </w:rPr>
        <w:t>壟斷；第二，透過租賃契約之約束，土地必須依照約定用途開發使用，減少投機買賣之可能；第三、土地拍賣制度使私人發展商互相競標，國家可獲取最大利潤，長期可收回土地再出讓，為政府穩定之財源。</w:t>
      </w:r>
      <w:r w:rsidR="00697A8F" w:rsidRPr="004E1208">
        <w:rPr>
          <w:rFonts w:hAnsi="標楷體"/>
          <w:szCs w:val="32"/>
        </w:rPr>
        <w:t>」</w:t>
      </w:r>
    </w:p>
    <w:p w:rsidR="00276522" w:rsidRPr="004E1208" w:rsidRDefault="00276522" w:rsidP="009E32B5">
      <w:pPr>
        <w:pStyle w:val="3"/>
      </w:pPr>
      <w:r w:rsidRPr="004E1208">
        <w:rPr>
          <w:rFonts w:hint="eastAsia"/>
        </w:rPr>
        <w:t>綜上，國有非公用土地雖然</w:t>
      </w:r>
      <w:proofErr w:type="gramStart"/>
      <w:r w:rsidRPr="004E1208">
        <w:rPr>
          <w:rFonts w:hint="eastAsia"/>
        </w:rPr>
        <w:t>眾多，</w:t>
      </w:r>
      <w:proofErr w:type="gramEnd"/>
      <w:r w:rsidRPr="004E1208">
        <w:rPr>
          <w:rFonts w:hint="eastAsia"/>
        </w:rPr>
        <w:t>惟建築用地僅占3.76%，故其運用應以永續經營、促進最大公益為目標。然實際發現，民間透過都市更新、產業創新園區等開發方式，以小吃大，蠶食鯨吞國有建地之情形時有所聞，導致國有建地持續流失，嚴重影響國土儲備與永續經營，甚至造成外界產生政府配合財團建商炒作不動產之質疑。鑒於國有土地乃全民之重要資產，國產管理機關允應深自檢討並儘量保持其公有，逐步降低所有權出售比例，配合國家重大</w:t>
      </w:r>
      <w:r w:rsidRPr="004E1208">
        <w:rPr>
          <w:rFonts w:hint="eastAsia"/>
        </w:rPr>
        <w:lastRenderedPageBreak/>
        <w:t>政策，進行循環活化，</w:t>
      </w:r>
      <w:proofErr w:type="gramStart"/>
      <w:r w:rsidRPr="004E1208">
        <w:rPr>
          <w:rFonts w:hint="eastAsia"/>
        </w:rPr>
        <w:t>俾</w:t>
      </w:r>
      <w:proofErr w:type="gramEnd"/>
      <w:r w:rsidRPr="004E1208">
        <w:rPr>
          <w:rFonts w:hint="eastAsia"/>
        </w:rPr>
        <w:t>進一步落實國土儲備與永續經營。</w:t>
      </w:r>
    </w:p>
    <w:p w:rsidR="008B32A5" w:rsidRPr="004E1208" w:rsidRDefault="008B32A5" w:rsidP="008B32A5">
      <w:pPr>
        <w:pStyle w:val="2"/>
        <w:spacing w:beforeLines="50" w:before="228"/>
        <w:ind w:left="1020" w:hanging="680"/>
        <w:rPr>
          <w:b/>
        </w:rPr>
      </w:pPr>
      <w:bookmarkStart w:id="57" w:name="_Toc139546646"/>
      <w:r w:rsidRPr="004E1208">
        <w:rPr>
          <w:rFonts w:hint="eastAsia"/>
          <w:b/>
        </w:rPr>
        <w:t>國有財產之檢核及統籌調配為國產署法定職掌事項，惟國有公用土地管理機關多達3,673個，且經管土地筆數</w:t>
      </w:r>
      <w:proofErr w:type="gramStart"/>
      <w:r w:rsidRPr="004E1208">
        <w:rPr>
          <w:rFonts w:hint="eastAsia"/>
          <w:b/>
        </w:rPr>
        <w:t>眾多、</w:t>
      </w:r>
      <w:proofErr w:type="gramEnd"/>
      <w:r w:rsidRPr="004E1208">
        <w:rPr>
          <w:rFonts w:hint="eastAsia"/>
          <w:b/>
        </w:rPr>
        <w:t>面積龐大，分散各地，而國產署協助各機關處理國有公用財產管理、使用、活化運用等業務之編制人力僅有5人，因此如何落實國有公用土地檢核、有效發揮國有財產統籌調配功能，避免相關機制流於形式，為國產署公用土地管理業務所需面對之重要課題。</w:t>
      </w:r>
      <w:bookmarkEnd w:id="57"/>
    </w:p>
    <w:p w:rsidR="008B32A5" w:rsidRPr="004E1208" w:rsidRDefault="008B32A5" w:rsidP="008B32A5">
      <w:pPr>
        <w:pStyle w:val="3"/>
      </w:pPr>
      <w:r w:rsidRPr="004E1208">
        <w:rPr>
          <w:rFonts w:hint="eastAsia"/>
        </w:rPr>
        <w:t>按財政部國有財產署組織法第1條、第2條明定：「財政部為辦理國有財產業務，特設國有財產署（以下簡稱本署）。」、「</w:t>
      </w:r>
      <w:proofErr w:type="gramStart"/>
      <w:r w:rsidRPr="004E1208">
        <w:rPr>
          <w:rFonts w:hint="eastAsia"/>
        </w:rPr>
        <w:t>本署掌</w:t>
      </w:r>
      <w:proofErr w:type="gramEnd"/>
      <w:r w:rsidRPr="004E1208">
        <w:rPr>
          <w:rFonts w:hint="eastAsia"/>
        </w:rPr>
        <w:t>理下列事項：一、國有財產之清查。二、國有財產之管理。三、國有財產之處分。四、國有財產之改良利用。五、國有財產之資訊業務。六、國有財產之檢核及統籌調配。七、國有財產之估價。八、國有財產法令與法務案件之</w:t>
      </w:r>
      <w:proofErr w:type="gramStart"/>
      <w:r w:rsidRPr="004E1208">
        <w:rPr>
          <w:rFonts w:hint="eastAsia"/>
        </w:rPr>
        <w:t>研</w:t>
      </w:r>
      <w:proofErr w:type="gramEnd"/>
      <w:r w:rsidRPr="004E1208">
        <w:rPr>
          <w:rFonts w:hint="eastAsia"/>
        </w:rPr>
        <w:t>議及處理。九、其他有關國有財產事項。」</w:t>
      </w:r>
    </w:p>
    <w:p w:rsidR="008B32A5" w:rsidRPr="004E1208" w:rsidRDefault="008B32A5" w:rsidP="008B32A5">
      <w:pPr>
        <w:pStyle w:val="3"/>
      </w:pPr>
      <w:r w:rsidRPr="004E1208">
        <w:rPr>
          <w:rFonts w:hint="eastAsia"/>
        </w:rPr>
        <w:t>為利國有土地循環使用，國有公用土地以各直接使用機關為管理機關，依預定計畫及規定用途或事業目的使用；各級政府為公務或公共所需，得申請撥用非公用土地；而當公用土地用途廢止時，除法律另有規定外，依國有財產法相關規定，申請變更為非公用財產或廢止撥用，移交國產署接管，進一步發揮國有財產統籌調配之功能（</w:t>
      </w:r>
      <w:r w:rsidR="000B4614" w:rsidRPr="004E1208">
        <w:rPr>
          <w:rFonts w:hint="eastAsia"/>
        </w:rPr>
        <w:t>國有財產之循環</w:t>
      </w:r>
      <w:r w:rsidRPr="004E1208">
        <w:rPr>
          <w:rFonts w:hint="eastAsia"/>
        </w:rPr>
        <w:t>如圖2）。</w:t>
      </w:r>
    </w:p>
    <w:p w:rsidR="008B32A5" w:rsidRPr="004E1208" w:rsidRDefault="008B32A5" w:rsidP="008B32A5">
      <w:pPr>
        <w:pStyle w:val="4"/>
        <w:numPr>
          <w:ilvl w:val="0"/>
          <w:numId w:val="0"/>
        </w:numPr>
        <w:ind w:left="1701"/>
      </w:pPr>
      <w:r w:rsidRPr="004E1208">
        <w:rPr>
          <w:rFonts w:hAnsi="標楷體"/>
          <w:noProof/>
        </w:rPr>
        <w:lastRenderedPageBreak/>
        <w:drawing>
          <wp:inline distT="0" distB="0" distL="0" distR="0" wp14:anchorId="32F88C35" wp14:editId="0427A48D">
            <wp:extent cx="4339230" cy="3044428"/>
            <wp:effectExtent l="0" t="0" r="4445"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031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47781" cy="3050427"/>
                    </a:xfrm>
                    <a:prstGeom prst="rect">
                      <a:avLst/>
                    </a:prstGeom>
                  </pic:spPr>
                </pic:pic>
              </a:graphicData>
            </a:graphic>
          </wp:inline>
        </w:drawing>
      </w:r>
    </w:p>
    <w:p w:rsidR="008B32A5" w:rsidRPr="004E1208" w:rsidRDefault="008B32A5" w:rsidP="008B32A5">
      <w:pPr>
        <w:pStyle w:val="a2"/>
        <w:ind w:firstLine="1221"/>
        <w:rPr>
          <w:rFonts w:hAnsi="標楷體"/>
          <w:b/>
          <w:spacing w:val="0"/>
        </w:rPr>
      </w:pPr>
      <w:r w:rsidRPr="004E1208">
        <w:rPr>
          <w:rFonts w:hAnsi="標楷體" w:hint="eastAsia"/>
          <w:b/>
          <w:spacing w:val="0"/>
        </w:rPr>
        <w:t>國有財產循環圖</w:t>
      </w:r>
    </w:p>
    <w:p w:rsidR="008B32A5" w:rsidRPr="004E1208" w:rsidRDefault="008B32A5" w:rsidP="00B457B2">
      <w:pPr>
        <w:pStyle w:val="4"/>
        <w:numPr>
          <w:ilvl w:val="0"/>
          <w:numId w:val="0"/>
        </w:numPr>
        <w:snapToGrid w:val="0"/>
        <w:spacing w:afterLines="50" w:after="228"/>
        <w:ind w:left="1701"/>
      </w:pPr>
      <w:r w:rsidRPr="004E1208">
        <w:rPr>
          <w:rFonts w:hAnsi="標楷體" w:hint="eastAsia"/>
          <w:sz w:val="24"/>
          <w:szCs w:val="24"/>
        </w:rPr>
        <w:t>資料來源：國產署簡報資料。</w:t>
      </w:r>
    </w:p>
    <w:p w:rsidR="008B32A5" w:rsidRPr="004E1208" w:rsidRDefault="008B32A5" w:rsidP="008B32A5">
      <w:pPr>
        <w:pStyle w:val="3"/>
      </w:pPr>
      <w:r w:rsidRPr="004E1208">
        <w:rPr>
          <w:rFonts w:hint="eastAsia"/>
        </w:rPr>
        <w:t>經查，</w:t>
      </w:r>
      <w:r w:rsidRPr="004E1208">
        <w:rPr>
          <w:rFonts w:hAnsi="標楷體" w:hint="eastAsia"/>
        </w:rPr>
        <w:t>自106年起至111年9月止，各級政府機關撥用國有土地合計5萬</w:t>
      </w:r>
      <w:r w:rsidRPr="004E1208">
        <w:rPr>
          <w:rFonts w:hAnsi="標楷體"/>
        </w:rPr>
        <w:t>8,003</w:t>
      </w:r>
      <w:r w:rsidRPr="004E1208">
        <w:rPr>
          <w:rFonts w:hAnsi="標楷體" w:hint="eastAsia"/>
        </w:rPr>
        <w:t>筆，土地面積7</w:t>
      </w:r>
      <w:r w:rsidRPr="004E1208">
        <w:rPr>
          <w:rFonts w:hAnsi="標楷體"/>
        </w:rPr>
        <w:t>,</w:t>
      </w:r>
      <w:r w:rsidRPr="004E1208">
        <w:rPr>
          <w:rFonts w:hAnsi="標楷體" w:hint="eastAsia"/>
        </w:rPr>
        <w:t>276公頃；平均每年撥用約9</w:t>
      </w:r>
      <w:r w:rsidRPr="004E1208">
        <w:rPr>
          <w:rFonts w:hAnsi="標楷體"/>
        </w:rPr>
        <w:t>,</w:t>
      </w:r>
      <w:r w:rsidRPr="004E1208">
        <w:rPr>
          <w:rFonts w:hAnsi="標楷體" w:hint="eastAsia"/>
        </w:rPr>
        <w:t>667筆，1</w:t>
      </w:r>
      <w:r w:rsidRPr="004E1208">
        <w:rPr>
          <w:rFonts w:hAnsi="標楷體"/>
        </w:rPr>
        <w:t>,</w:t>
      </w:r>
      <w:r w:rsidRPr="004E1208">
        <w:rPr>
          <w:rFonts w:hAnsi="標楷體" w:hint="eastAsia"/>
        </w:rPr>
        <w:t>213公頃（各年度撥用筆數、面積，詳圖3）。</w:t>
      </w:r>
      <w:r w:rsidRPr="004E1208">
        <w:rPr>
          <w:rFonts w:hint="eastAsia"/>
        </w:rPr>
        <w:t>國產署對於國有不動產撥用後依計畫使用情形之管控，係依國有不動產撥用作業注意事項，</w:t>
      </w:r>
      <w:proofErr w:type="gramStart"/>
      <w:r w:rsidRPr="004E1208">
        <w:rPr>
          <w:rFonts w:hint="eastAsia"/>
        </w:rPr>
        <w:t>採</w:t>
      </w:r>
      <w:proofErr w:type="gramEnd"/>
      <w:r w:rsidRPr="004E1208">
        <w:rPr>
          <w:rFonts w:hint="eastAsia"/>
        </w:rPr>
        <w:t>書面複查方式辦理。除每年篩選前1年奉准撥用及歷年撥用不動產進行查核外，各分署並組成專案小組，定期盤點撥用逾3年之查核不合格案件，</w:t>
      </w:r>
      <w:r w:rsidRPr="004E1208">
        <w:rPr>
          <w:rFonts w:hAnsi="標楷體" w:hint="eastAsia"/>
        </w:rPr>
        <w:t>邀機關與會說明未依計畫使用原因，輔導儘速依計畫使用，確無法依計畫使用者，要求依國有財產法及相關規定變更為非公用土地，移交國產署接管。經國產署查核結果，截至110年止，機關撥用國有土地後，未依計畫使用之</w:t>
      </w:r>
      <w:r w:rsidRPr="004E1208">
        <w:rPr>
          <w:rFonts w:hint="eastAsia"/>
        </w:rPr>
        <w:t>不合格案件，共列管327件，其中撥用逾3年仍為不合格案件者計109件（如表6）。</w:t>
      </w:r>
    </w:p>
    <w:p w:rsidR="008B32A5" w:rsidRPr="004E1208" w:rsidRDefault="00B457B2" w:rsidP="00B457B2">
      <w:pPr>
        <w:pStyle w:val="3"/>
        <w:numPr>
          <w:ilvl w:val="0"/>
          <w:numId w:val="0"/>
        </w:numPr>
      </w:pPr>
      <w:r w:rsidRPr="004E1208">
        <w:rPr>
          <w:rFonts w:hAnsi="標楷體"/>
          <w:noProof/>
        </w:rPr>
        <w:lastRenderedPageBreak/>
        <w:drawing>
          <wp:inline distT="0" distB="0" distL="0" distR="0" wp14:anchorId="7313633F" wp14:editId="49D35069">
            <wp:extent cx="5614586" cy="2870200"/>
            <wp:effectExtent l="0" t="0" r="5715" b="6350"/>
            <wp:docPr id="59" name="圖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國有土地撥用.png"/>
                    <pic:cNvPicPr/>
                  </pic:nvPicPr>
                  <pic:blipFill rotWithShape="1">
                    <a:blip r:embed="rId11" cstate="print">
                      <a:extLst>
                        <a:ext uri="{28A0092B-C50C-407E-A947-70E740481C1C}">
                          <a14:useLocalDpi xmlns:a14="http://schemas.microsoft.com/office/drawing/2010/main" val="0"/>
                        </a:ext>
                      </a:extLst>
                    </a:blip>
                    <a:srcRect t="2368" b="10046"/>
                    <a:stretch/>
                  </pic:blipFill>
                  <pic:spPr bwMode="auto">
                    <a:xfrm>
                      <a:off x="0" y="0"/>
                      <a:ext cx="5615940" cy="2870892"/>
                    </a:xfrm>
                    <a:prstGeom prst="rect">
                      <a:avLst/>
                    </a:prstGeom>
                    <a:ln>
                      <a:noFill/>
                    </a:ln>
                    <a:extLst>
                      <a:ext uri="{53640926-AAD7-44D8-BBD7-CCE9431645EC}">
                        <a14:shadowObscured xmlns:a14="http://schemas.microsoft.com/office/drawing/2010/main"/>
                      </a:ext>
                    </a:extLst>
                  </pic:spPr>
                </pic:pic>
              </a:graphicData>
            </a:graphic>
          </wp:inline>
        </w:drawing>
      </w:r>
    </w:p>
    <w:p w:rsidR="00B457B2" w:rsidRDefault="00B457B2" w:rsidP="00B457B2">
      <w:pPr>
        <w:snapToGrid w:val="0"/>
      </w:pPr>
      <w:proofErr w:type="gramStart"/>
      <w:r w:rsidRPr="00AE7FB4">
        <w:rPr>
          <w:rFonts w:hint="eastAsia"/>
          <w:sz w:val="24"/>
          <w:szCs w:val="24"/>
        </w:rPr>
        <w:t>註</w:t>
      </w:r>
      <w:proofErr w:type="gramEnd"/>
      <w:r w:rsidRPr="00AE7FB4">
        <w:rPr>
          <w:rFonts w:hint="eastAsia"/>
          <w:sz w:val="24"/>
          <w:szCs w:val="24"/>
        </w:rPr>
        <w:t>：「價值」欄107年（含）以及按申報地價計列，108年起按公告現值計列</w:t>
      </w:r>
    </w:p>
    <w:p w:rsidR="008B32A5" w:rsidRPr="004E1208" w:rsidRDefault="009D3507" w:rsidP="008B32A5">
      <w:pPr>
        <w:pStyle w:val="a2"/>
        <w:ind w:firstLine="796"/>
        <w:rPr>
          <w:b/>
          <w:spacing w:val="0"/>
        </w:rPr>
      </w:pPr>
      <w:r>
        <w:rPr>
          <w:rFonts w:hint="eastAsia"/>
          <w:b/>
          <w:spacing w:val="0"/>
        </w:rPr>
        <w:t>近6年（1</w:t>
      </w:r>
      <w:r>
        <w:rPr>
          <w:b/>
          <w:spacing w:val="0"/>
        </w:rPr>
        <w:t>06</w:t>
      </w:r>
      <w:r>
        <w:rPr>
          <w:rFonts w:hint="eastAsia"/>
          <w:b/>
          <w:spacing w:val="0"/>
        </w:rPr>
        <w:t>年至1</w:t>
      </w:r>
      <w:r>
        <w:rPr>
          <w:b/>
          <w:spacing w:val="0"/>
        </w:rPr>
        <w:t>11</w:t>
      </w:r>
      <w:r>
        <w:rPr>
          <w:rFonts w:hint="eastAsia"/>
          <w:b/>
          <w:spacing w:val="0"/>
        </w:rPr>
        <w:t>年9月）</w:t>
      </w:r>
      <w:r w:rsidR="008B32A5" w:rsidRPr="004E1208">
        <w:rPr>
          <w:rFonts w:hint="eastAsia"/>
          <w:b/>
          <w:spacing w:val="0"/>
        </w:rPr>
        <w:t>國有土地撥用情形</w:t>
      </w:r>
    </w:p>
    <w:p w:rsidR="008B32A5" w:rsidRPr="004E1208" w:rsidRDefault="008B32A5" w:rsidP="00B457B2">
      <w:pPr>
        <w:pStyle w:val="3"/>
        <w:numPr>
          <w:ilvl w:val="0"/>
          <w:numId w:val="0"/>
        </w:numPr>
        <w:snapToGrid w:val="0"/>
        <w:spacing w:afterLines="50" w:after="228"/>
        <w:rPr>
          <w:sz w:val="24"/>
          <w:szCs w:val="24"/>
        </w:rPr>
      </w:pPr>
      <w:r w:rsidRPr="004E1208">
        <w:rPr>
          <w:sz w:val="24"/>
          <w:szCs w:val="24"/>
        </w:rPr>
        <w:t>資料來源</w:t>
      </w:r>
      <w:r w:rsidRPr="004E1208">
        <w:rPr>
          <w:rFonts w:hint="eastAsia"/>
          <w:sz w:val="24"/>
          <w:szCs w:val="24"/>
        </w:rPr>
        <w:t>：國產署簡報資料。</w:t>
      </w:r>
    </w:p>
    <w:p w:rsidR="008B32A5" w:rsidRPr="009D3507" w:rsidRDefault="008B32A5" w:rsidP="008B32A5">
      <w:pPr>
        <w:pStyle w:val="a4"/>
        <w:ind w:firstLine="654"/>
        <w:jc w:val="center"/>
        <w:rPr>
          <w:b/>
          <w:spacing w:val="-20"/>
        </w:rPr>
      </w:pPr>
      <w:bookmarkStart w:id="58" w:name="_Toc139547169"/>
      <w:r w:rsidRPr="009D3507">
        <w:rPr>
          <w:rFonts w:hint="eastAsia"/>
          <w:b/>
          <w:spacing w:val="-20"/>
        </w:rPr>
        <w:t>國產署</w:t>
      </w:r>
      <w:r w:rsidR="009D3507" w:rsidRPr="009D3507">
        <w:rPr>
          <w:rFonts w:hint="eastAsia"/>
          <w:b/>
          <w:spacing w:val="-20"/>
        </w:rPr>
        <w:t>1</w:t>
      </w:r>
      <w:r w:rsidR="009D3507" w:rsidRPr="009D3507">
        <w:rPr>
          <w:b/>
          <w:spacing w:val="-20"/>
        </w:rPr>
        <w:t>10</w:t>
      </w:r>
      <w:r w:rsidR="009D3507" w:rsidRPr="009D3507">
        <w:rPr>
          <w:rFonts w:hint="eastAsia"/>
          <w:b/>
          <w:spacing w:val="-20"/>
        </w:rPr>
        <w:t>年</w:t>
      </w:r>
      <w:r w:rsidRPr="009D3507">
        <w:rPr>
          <w:rFonts w:hint="eastAsia"/>
          <w:b/>
          <w:spacing w:val="-20"/>
        </w:rPr>
        <w:t>列管撥用國有土地查核不合格案件數一覽表</w:t>
      </w:r>
      <w:bookmarkEnd w:id="58"/>
    </w:p>
    <w:tbl>
      <w:tblPr>
        <w:tblStyle w:val="af7"/>
        <w:tblW w:w="7370" w:type="dxa"/>
        <w:tblInd w:w="1413" w:type="dxa"/>
        <w:tblLook w:val="04A0" w:firstRow="1" w:lastRow="0" w:firstColumn="1" w:lastColumn="0" w:noHBand="0" w:noVBand="1"/>
      </w:tblPr>
      <w:tblGrid>
        <w:gridCol w:w="1672"/>
        <w:gridCol w:w="1588"/>
        <w:gridCol w:w="992"/>
        <w:gridCol w:w="992"/>
        <w:gridCol w:w="993"/>
        <w:gridCol w:w="1133"/>
      </w:tblGrid>
      <w:tr w:rsidR="008B32A5" w:rsidRPr="004E1208" w:rsidTr="00931B2E">
        <w:trPr>
          <w:trHeight w:val="397"/>
          <w:tblHeader/>
        </w:trPr>
        <w:tc>
          <w:tcPr>
            <w:tcW w:w="1672" w:type="dxa"/>
            <w:vMerge w:val="restart"/>
            <w:shd w:val="clear" w:color="auto" w:fill="FDE9D9" w:themeFill="accent6" w:themeFillTint="33"/>
            <w:vAlign w:val="center"/>
          </w:tcPr>
          <w:p w:rsidR="008B32A5" w:rsidRPr="004E1208" w:rsidRDefault="008B32A5" w:rsidP="00931B2E">
            <w:pPr>
              <w:pStyle w:val="6"/>
              <w:numPr>
                <w:ilvl w:val="0"/>
                <w:numId w:val="0"/>
              </w:numPr>
              <w:jc w:val="center"/>
              <w:rPr>
                <w:rFonts w:hAnsi="標楷體"/>
                <w:b/>
                <w:sz w:val="28"/>
                <w:szCs w:val="28"/>
              </w:rPr>
            </w:pPr>
            <w:r w:rsidRPr="004E1208">
              <w:rPr>
                <w:rFonts w:hAnsi="標楷體" w:hint="eastAsia"/>
                <w:b/>
                <w:sz w:val="28"/>
                <w:szCs w:val="28"/>
              </w:rPr>
              <w:t>撥用件數</w:t>
            </w:r>
          </w:p>
        </w:tc>
        <w:tc>
          <w:tcPr>
            <w:tcW w:w="4565" w:type="dxa"/>
            <w:gridSpan w:val="4"/>
            <w:shd w:val="clear" w:color="auto" w:fill="FDE9D9" w:themeFill="accent6" w:themeFillTint="33"/>
            <w:vAlign w:val="center"/>
          </w:tcPr>
          <w:p w:rsidR="008B32A5" w:rsidRPr="004E1208" w:rsidRDefault="008B32A5" w:rsidP="00931B2E">
            <w:pPr>
              <w:pStyle w:val="6"/>
              <w:numPr>
                <w:ilvl w:val="0"/>
                <w:numId w:val="0"/>
              </w:numPr>
              <w:jc w:val="center"/>
              <w:rPr>
                <w:rFonts w:hAnsi="標楷體"/>
                <w:b/>
                <w:sz w:val="28"/>
                <w:szCs w:val="28"/>
              </w:rPr>
            </w:pPr>
            <w:r w:rsidRPr="004E1208">
              <w:rPr>
                <w:rFonts w:hAnsi="標楷體" w:hint="eastAsia"/>
                <w:b/>
                <w:sz w:val="28"/>
                <w:szCs w:val="28"/>
              </w:rPr>
              <w:t>行政院核准撥用年度</w:t>
            </w:r>
          </w:p>
        </w:tc>
        <w:tc>
          <w:tcPr>
            <w:tcW w:w="1133" w:type="dxa"/>
            <w:vMerge w:val="restart"/>
            <w:shd w:val="clear" w:color="auto" w:fill="FDE9D9" w:themeFill="accent6" w:themeFillTint="33"/>
            <w:vAlign w:val="center"/>
          </w:tcPr>
          <w:p w:rsidR="008B32A5" w:rsidRPr="004E1208" w:rsidRDefault="008B32A5" w:rsidP="00931B2E">
            <w:pPr>
              <w:jc w:val="center"/>
              <w:rPr>
                <w:rFonts w:hAnsi="標楷體"/>
                <w:b/>
                <w:sz w:val="28"/>
                <w:szCs w:val="28"/>
              </w:rPr>
            </w:pPr>
            <w:r w:rsidRPr="004E1208">
              <w:rPr>
                <w:rFonts w:hAnsi="標楷體" w:hint="eastAsia"/>
                <w:b/>
                <w:sz w:val="28"/>
                <w:szCs w:val="28"/>
              </w:rPr>
              <w:t>合計</w:t>
            </w:r>
          </w:p>
        </w:tc>
      </w:tr>
      <w:tr w:rsidR="008B32A5" w:rsidRPr="004E1208" w:rsidTr="00931B2E">
        <w:trPr>
          <w:trHeight w:val="397"/>
          <w:tblHeader/>
        </w:trPr>
        <w:tc>
          <w:tcPr>
            <w:tcW w:w="1672" w:type="dxa"/>
            <w:vMerge/>
            <w:shd w:val="clear" w:color="auto" w:fill="FDE9D9" w:themeFill="accent6" w:themeFillTint="33"/>
            <w:vAlign w:val="center"/>
          </w:tcPr>
          <w:p w:rsidR="008B32A5" w:rsidRPr="004E1208" w:rsidRDefault="008B32A5" w:rsidP="00931B2E">
            <w:pPr>
              <w:pStyle w:val="6"/>
              <w:numPr>
                <w:ilvl w:val="0"/>
                <w:numId w:val="0"/>
              </w:numPr>
              <w:jc w:val="center"/>
              <w:rPr>
                <w:rFonts w:hAnsi="標楷體"/>
                <w:b/>
                <w:sz w:val="28"/>
                <w:szCs w:val="28"/>
              </w:rPr>
            </w:pPr>
          </w:p>
        </w:tc>
        <w:tc>
          <w:tcPr>
            <w:tcW w:w="1588" w:type="dxa"/>
            <w:shd w:val="clear" w:color="auto" w:fill="FDE9D9" w:themeFill="accent6" w:themeFillTint="33"/>
            <w:vAlign w:val="center"/>
          </w:tcPr>
          <w:p w:rsidR="008B32A5" w:rsidRPr="004E1208" w:rsidRDefault="008B32A5" w:rsidP="00931B2E">
            <w:pPr>
              <w:pStyle w:val="6"/>
              <w:numPr>
                <w:ilvl w:val="0"/>
                <w:numId w:val="0"/>
              </w:numPr>
              <w:jc w:val="center"/>
              <w:rPr>
                <w:rFonts w:hAnsi="標楷體"/>
                <w:b/>
                <w:spacing w:val="-20"/>
                <w:sz w:val="28"/>
                <w:szCs w:val="28"/>
              </w:rPr>
            </w:pPr>
            <w:r w:rsidRPr="004E1208">
              <w:rPr>
                <w:rFonts w:hAnsi="標楷體" w:hint="eastAsia"/>
                <w:b/>
                <w:spacing w:val="-20"/>
                <w:sz w:val="28"/>
                <w:szCs w:val="28"/>
              </w:rPr>
              <w:t>106年以前</w:t>
            </w:r>
          </w:p>
        </w:tc>
        <w:tc>
          <w:tcPr>
            <w:tcW w:w="992" w:type="dxa"/>
            <w:shd w:val="clear" w:color="auto" w:fill="FDE9D9" w:themeFill="accent6" w:themeFillTint="33"/>
            <w:vAlign w:val="center"/>
          </w:tcPr>
          <w:p w:rsidR="008B32A5" w:rsidRPr="004E1208" w:rsidRDefault="008B32A5" w:rsidP="00931B2E">
            <w:pPr>
              <w:pStyle w:val="6"/>
              <w:numPr>
                <w:ilvl w:val="0"/>
                <w:numId w:val="0"/>
              </w:numPr>
              <w:jc w:val="center"/>
              <w:rPr>
                <w:rFonts w:hAnsi="標楷體"/>
                <w:b/>
                <w:sz w:val="28"/>
                <w:szCs w:val="28"/>
              </w:rPr>
            </w:pPr>
            <w:r w:rsidRPr="004E1208">
              <w:rPr>
                <w:rFonts w:hAnsi="標楷體" w:hint="eastAsia"/>
                <w:b/>
                <w:sz w:val="28"/>
                <w:szCs w:val="28"/>
              </w:rPr>
              <w:t>107年</w:t>
            </w:r>
          </w:p>
        </w:tc>
        <w:tc>
          <w:tcPr>
            <w:tcW w:w="992" w:type="dxa"/>
            <w:shd w:val="clear" w:color="auto" w:fill="FDE9D9" w:themeFill="accent6" w:themeFillTint="33"/>
            <w:vAlign w:val="center"/>
          </w:tcPr>
          <w:p w:rsidR="008B32A5" w:rsidRPr="004E1208" w:rsidRDefault="008B32A5" w:rsidP="00931B2E">
            <w:pPr>
              <w:pStyle w:val="6"/>
              <w:numPr>
                <w:ilvl w:val="0"/>
                <w:numId w:val="0"/>
              </w:numPr>
              <w:jc w:val="center"/>
              <w:rPr>
                <w:rFonts w:hAnsi="標楷體"/>
                <w:b/>
                <w:sz w:val="28"/>
                <w:szCs w:val="28"/>
              </w:rPr>
            </w:pPr>
            <w:r w:rsidRPr="004E1208">
              <w:rPr>
                <w:rFonts w:hAnsi="標楷體" w:hint="eastAsia"/>
                <w:b/>
                <w:sz w:val="28"/>
                <w:szCs w:val="28"/>
              </w:rPr>
              <w:t>108年</w:t>
            </w:r>
          </w:p>
        </w:tc>
        <w:tc>
          <w:tcPr>
            <w:tcW w:w="993" w:type="dxa"/>
            <w:shd w:val="clear" w:color="auto" w:fill="FDE9D9" w:themeFill="accent6" w:themeFillTint="33"/>
            <w:vAlign w:val="center"/>
          </w:tcPr>
          <w:p w:rsidR="008B32A5" w:rsidRPr="004E1208" w:rsidRDefault="008B32A5" w:rsidP="00931B2E">
            <w:pPr>
              <w:pStyle w:val="6"/>
              <w:numPr>
                <w:ilvl w:val="0"/>
                <w:numId w:val="0"/>
              </w:numPr>
              <w:jc w:val="center"/>
              <w:rPr>
                <w:rFonts w:hAnsi="標楷體"/>
                <w:b/>
                <w:sz w:val="28"/>
                <w:szCs w:val="28"/>
              </w:rPr>
            </w:pPr>
            <w:r w:rsidRPr="004E1208">
              <w:rPr>
                <w:rFonts w:hAnsi="標楷體" w:hint="eastAsia"/>
                <w:b/>
                <w:sz w:val="28"/>
                <w:szCs w:val="28"/>
              </w:rPr>
              <w:t>109年</w:t>
            </w:r>
          </w:p>
        </w:tc>
        <w:tc>
          <w:tcPr>
            <w:tcW w:w="1133" w:type="dxa"/>
            <w:vMerge/>
            <w:shd w:val="clear" w:color="auto" w:fill="FDE9D9" w:themeFill="accent6" w:themeFillTint="33"/>
            <w:vAlign w:val="center"/>
          </w:tcPr>
          <w:p w:rsidR="008B32A5" w:rsidRPr="004E1208" w:rsidRDefault="008B32A5" w:rsidP="00931B2E">
            <w:pPr>
              <w:pStyle w:val="6"/>
              <w:numPr>
                <w:ilvl w:val="0"/>
                <w:numId w:val="0"/>
              </w:numPr>
              <w:jc w:val="center"/>
              <w:rPr>
                <w:rFonts w:hAnsi="標楷體"/>
                <w:b/>
                <w:sz w:val="28"/>
                <w:szCs w:val="28"/>
              </w:rPr>
            </w:pPr>
          </w:p>
        </w:tc>
      </w:tr>
      <w:tr w:rsidR="008B32A5" w:rsidRPr="004E1208" w:rsidTr="00931B2E">
        <w:trPr>
          <w:trHeight w:val="397"/>
        </w:trPr>
        <w:tc>
          <w:tcPr>
            <w:tcW w:w="1672" w:type="dxa"/>
            <w:vAlign w:val="center"/>
          </w:tcPr>
          <w:p w:rsidR="008B32A5" w:rsidRPr="004E1208" w:rsidRDefault="008B32A5" w:rsidP="00931B2E">
            <w:pPr>
              <w:pStyle w:val="6"/>
              <w:numPr>
                <w:ilvl w:val="0"/>
                <w:numId w:val="0"/>
              </w:numPr>
              <w:jc w:val="center"/>
              <w:rPr>
                <w:rFonts w:hAnsi="標楷體"/>
                <w:sz w:val="28"/>
                <w:szCs w:val="28"/>
              </w:rPr>
            </w:pPr>
            <w:r w:rsidRPr="004E1208">
              <w:rPr>
                <w:rFonts w:hAnsi="標楷體" w:hint="eastAsia"/>
                <w:sz w:val="28"/>
                <w:szCs w:val="28"/>
              </w:rPr>
              <w:t>總計</w:t>
            </w:r>
          </w:p>
        </w:tc>
        <w:tc>
          <w:tcPr>
            <w:tcW w:w="1588" w:type="dxa"/>
            <w:vAlign w:val="center"/>
          </w:tcPr>
          <w:p w:rsidR="008B32A5" w:rsidRPr="004E1208" w:rsidRDefault="008B32A5" w:rsidP="00931B2E">
            <w:pPr>
              <w:pStyle w:val="6"/>
              <w:numPr>
                <w:ilvl w:val="0"/>
                <w:numId w:val="0"/>
              </w:numPr>
              <w:jc w:val="right"/>
              <w:rPr>
                <w:rFonts w:hAnsi="標楷體"/>
                <w:sz w:val="28"/>
                <w:szCs w:val="28"/>
              </w:rPr>
            </w:pPr>
            <w:r w:rsidRPr="004E1208">
              <w:rPr>
                <w:rFonts w:hAnsi="標楷體" w:hint="eastAsia"/>
                <w:sz w:val="28"/>
                <w:szCs w:val="28"/>
              </w:rPr>
              <w:t>69</w:t>
            </w:r>
          </w:p>
        </w:tc>
        <w:tc>
          <w:tcPr>
            <w:tcW w:w="992" w:type="dxa"/>
            <w:vAlign w:val="center"/>
          </w:tcPr>
          <w:p w:rsidR="008B32A5" w:rsidRPr="004E1208" w:rsidRDefault="008B32A5" w:rsidP="00931B2E">
            <w:pPr>
              <w:pStyle w:val="6"/>
              <w:numPr>
                <w:ilvl w:val="0"/>
                <w:numId w:val="0"/>
              </w:numPr>
              <w:jc w:val="right"/>
              <w:rPr>
                <w:rFonts w:hAnsi="標楷體"/>
                <w:sz w:val="28"/>
                <w:szCs w:val="28"/>
              </w:rPr>
            </w:pPr>
            <w:r w:rsidRPr="004E1208">
              <w:rPr>
                <w:rFonts w:hAnsi="標楷體" w:hint="eastAsia"/>
                <w:sz w:val="28"/>
                <w:szCs w:val="28"/>
              </w:rPr>
              <w:t>40</w:t>
            </w:r>
          </w:p>
        </w:tc>
        <w:tc>
          <w:tcPr>
            <w:tcW w:w="992" w:type="dxa"/>
            <w:vAlign w:val="center"/>
          </w:tcPr>
          <w:p w:rsidR="008B32A5" w:rsidRPr="004E1208" w:rsidRDefault="008B32A5" w:rsidP="00931B2E">
            <w:pPr>
              <w:pStyle w:val="6"/>
              <w:numPr>
                <w:ilvl w:val="0"/>
                <w:numId w:val="0"/>
              </w:numPr>
              <w:jc w:val="right"/>
              <w:rPr>
                <w:rFonts w:hAnsi="標楷體"/>
                <w:sz w:val="28"/>
                <w:szCs w:val="28"/>
              </w:rPr>
            </w:pPr>
            <w:r w:rsidRPr="004E1208">
              <w:rPr>
                <w:rFonts w:hAnsi="標楷體" w:hint="eastAsia"/>
                <w:sz w:val="28"/>
                <w:szCs w:val="28"/>
              </w:rPr>
              <w:t>64</w:t>
            </w:r>
          </w:p>
        </w:tc>
        <w:tc>
          <w:tcPr>
            <w:tcW w:w="993" w:type="dxa"/>
            <w:vAlign w:val="center"/>
          </w:tcPr>
          <w:p w:rsidR="008B32A5" w:rsidRPr="004E1208" w:rsidRDefault="008B32A5" w:rsidP="00931B2E">
            <w:pPr>
              <w:pStyle w:val="6"/>
              <w:numPr>
                <w:ilvl w:val="0"/>
                <w:numId w:val="0"/>
              </w:numPr>
              <w:jc w:val="right"/>
              <w:rPr>
                <w:rFonts w:hAnsi="標楷體"/>
                <w:sz w:val="28"/>
                <w:szCs w:val="28"/>
              </w:rPr>
            </w:pPr>
            <w:r w:rsidRPr="004E1208">
              <w:rPr>
                <w:rFonts w:hAnsi="標楷體" w:hint="eastAsia"/>
                <w:sz w:val="28"/>
                <w:szCs w:val="28"/>
              </w:rPr>
              <w:t>154</w:t>
            </w:r>
          </w:p>
        </w:tc>
        <w:tc>
          <w:tcPr>
            <w:tcW w:w="1133" w:type="dxa"/>
            <w:vAlign w:val="center"/>
          </w:tcPr>
          <w:p w:rsidR="008B32A5" w:rsidRPr="004E1208" w:rsidRDefault="008B32A5" w:rsidP="00931B2E">
            <w:pPr>
              <w:pStyle w:val="6"/>
              <w:numPr>
                <w:ilvl w:val="0"/>
                <w:numId w:val="0"/>
              </w:numPr>
              <w:jc w:val="right"/>
              <w:rPr>
                <w:rFonts w:hAnsi="標楷體"/>
                <w:sz w:val="28"/>
                <w:szCs w:val="28"/>
              </w:rPr>
            </w:pPr>
            <w:r w:rsidRPr="004E1208">
              <w:rPr>
                <w:rFonts w:hAnsi="標楷體" w:hint="eastAsia"/>
                <w:sz w:val="28"/>
                <w:szCs w:val="28"/>
              </w:rPr>
              <w:t>327</w:t>
            </w:r>
          </w:p>
        </w:tc>
      </w:tr>
    </w:tbl>
    <w:p w:rsidR="008B32A5" w:rsidRPr="004E1208" w:rsidRDefault="008B32A5" w:rsidP="00B457B2">
      <w:pPr>
        <w:pStyle w:val="3"/>
        <w:numPr>
          <w:ilvl w:val="0"/>
          <w:numId w:val="0"/>
        </w:numPr>
        <w:snapToGrid w:val="0"/>
        <w:spacing w:afterLines="50" w:after="228"/>
        <w:ind w:left="1361"/>
        <w:rPr>
          <w:sz w:val="24"/>
          <w:szCs w:val="24"/>
        </w:rPr>
      </w:pPr>
      <w:r w:rsidRPr="004E1208">
        <w:rPr>
          <w:rFonts w:hAnsi="標楷體" w:hint="eastAsia"/>
          <w:sz w:val="24"/>
          <w:szCs w:val="24"/>
        </w:rPr>
        <w:t>資料來源：財政部提供。</w:t>
      </w:r>
    </w:p>
    <w:p w:rsidR="008B32A5" w:rsidRPr="004E1208" w:rsidRDefault="008B32A5" w:rsidP="008B32A5">
      <w:pPr>
        <w:pStyle w:val="3"/>
      </w:pPr>
      <w:r w:rsidRPr="004E1208">
        <w:rPr>
          <w:rFonts w:hint="eastAsia"/>
        </w:rPr>
        <w:t>財政部亦篩選適宜變更為非公用土地交由國產署活化開發之建築用地（以都市計畫商業區、住宅區，大面積土地為主）合計107處，</w:t>
      </w:r>
      <w:proofErr w:type="gramStart"/>
      <w:r w:rsidRPr="004E1208">
        <w:rPr>
          <w:rFonts w:hint="eastAsia"/>
        </w:rPr>
        <w:t>經邀主管機關</w:t>
      </w:r>
      <w:proofErr w:type="gramEnd"/>
      <w:r w:rsidRPr="004E1208">
        <w:rPr>
          <w:rFonts w:hint="eastAsia"/>
        </w:rPr>
        <w:t>與管理機關現</w:t>
      </w:r>
      <w:proofErr w:type="gramStart"/>
      <w:r w:rsidRPr="004E1208">
        <w:rPr>
          <w:rFonts w:hint="eastAsia"/>
        </w:rPr>
        <w:t>勘</w:t>
      </w:r>
      <w:proofErr w:type="gramEnd"/>
      <w:r w:rsidRPr="004E1208">
        <w:rPr>
          <w:rFonts w:hint="eastAsia"/>
        </w:rPr>
        <w:t>及協調處理方式，截至111年</w:t>
      </w:r>
      <w:r w:rsidR="009D3507">
        <w:rPr>
          <w:rFonts w:hint="eastAsia"/>
        </w:rPr>
        <w:t>10月</w:t>
      </w:r>
      <w:r w:rsidRPr="004E1208">
        <w:rPr>
          <w:rFonts w:hint="eastAsia"/>
        </w:rPr>
        <w:t>止，扣除已完成收回活化、解除列管者，尚待協商相關機關循序辦理者計11處（如表7）。</w:t>
      </w:r>
    </w:p>
    <w:p w:rsidR="009D3507" w:rsidRDefault="009D3507">
      <w:pPr>
        <w:widowControl/>
        <w:overflowPunct/>
        <w:autoSpaceDE/>
        <w:autoSpaceDN/>
        <w:jc w:val="left"/>
        <w:rPr>
          <w:rFonts w:hAnsi="華康楷書體W5(P)"/>
          <w:b/>
          <w:bCs/>
          <w:kern w:val="28"/>
          <w:sz w:val="28"/>
          <w:szCs w:val="28"/>
        </w:rPr>
      </w:pPr>
      <w:bookmarkStart w:id="59" w:name="_Toc139547170"/>
      <w:r>
        <w:rPr>
          <w:b/>
        </w:rPr>
        <w:br w:type="page"/>
      </w:r>
    </w:p>
    <w:p w:rsidR="008B32A5" w:rsidRPr="004E1208" w:rsidRDefault="008B32A5" w:rsidP="008B32A5">
      <w:pPr>
        <w:pStyle w:val="a4"/>
        <w:ind w:rightChars="99" w:right="337" w:firstLine="1221"/>
        <w:jc w:val="center"/>
        <w:rPr>
          <w:b/>
          <w:spacing w:val="0"/>
        </w:rPr>
      </w:pPr>
      <w:r w:rsidRPr="004E1208">
        <w:rPr>
          <w:rFonts w:hint="eastAsia"/>
          <w:b/>
          <w:spacing w:val="0"/>
        </w:rPr>
        <w:lastRenderedPageBreak/>
        <w:t>財政部列管適宜變更為非公用土地之處理情形</w:t>
      </w:r>
      <w:bookmarkEnd w:id="59"/>
    </w:p>
    <w:tbl>
      <w:tblPr>
        <w:tblStyle w:val="af7"/>
        <w:tblW w:w="0" w:type="auto"/>
        <w:tblInd w:w="1809" w:type="dxa"/>
        <w:tblLook w:val="04A0" w:firstRow="1" w:lastRow="0" w:firstColumn="1" w:lastColumn="0" w:noHBand="0" w:noVBand="1"/>
      </w:tblPr>
      <w:tblGrid>
        <w:gridCol w:w="5245"/>
        <w:gridCol w:w="1559"/>
      </w:tblGrid>
      <w:tr w:rsidR="008B32A5" w:rsidRPr="004E1208" w:rsidTr="00931B2E">
        <w:trPr>
          <w:trHeight w:val="454"/>
        </w:trPr>
        <w:tc>
          <w:tcPr>
            <w:tcW w:w="5245" w:type="dxa"/>
            <w:tcBorders>
              <w:tl2br w:val="nil"/>
            </w:tcBorders>
            <w:shd w:val="clear" w:color="auto" w:fill="FDE9D9" w:themeFill="accent6" w:themeFillTint="33"/>
            <w:vAlign w:val="center"/>
          </w:tcPr>
          <w:p w:rsidR="008B32A5" w:rsidRPr="004E1208" w:rsidRDefault="008B32A5" w:rsidP="00931B2E">
            <w:pPr>
              <w:pStyle w:val="6"/>
              <w:numPr>
                <w:ilvl w:val="0"/>
                <w:numId w:val="0"/>
              </w:numPr>
              <w:jc w:val="center"/>
              <w:rPr>
                <w:rFonts w:hAnsi="標楷體"/>
                <w:sz w:val="28"/>
                <w:szCs w:val="28"/>
              </w:rPr>
            </w:pPr>
            <w:r w:rsidRPr="004E1208">
              <w:rPr>
                <w:rFonts w:hAnsi="標楷體" w:hint="eastAsia"/>
                <w:sz w:val="28"/>
                <w:szCs w:val="28"/>
              </w:rPr>
              <w:t>辦理情形</w:t>
            </w:r>
          </w:p>
        </w:tc>
        <w:tc>
          <w:tcPr>
            <w:tcW w:w="1559" w:type="dxa"/>
            <w:shd w:val="clear" w:color="auto" w:fill="FDE9D9" w:themeFill="accent6" w:themeFillTint="33"/>
            <w:vAlign w:val="center"/>
          </w:tcPr>
          <w:p w:rsidR="008B32A5" w:rsidRPr="004E1208" w:rsidRDefault="008B32A5" w:rsidP="00931B2E">
            <w:pPr>
              <w:pStyle w:val="6"/>
              <w:numPr>
                <w:ilvl w:val="0"/>
                <w:numId w:val="0"/>
              </w:numPr>
              <w:jc w:val="center"/>
              <w:rPr>
                <w:rFonts w:hAnsi="標楷體"/>
                <w:sz w:val="28"/>
                <w:szCs w:val="28"/>
              </w:rPr>
            </w:pPr>
            <w:r w:rsidRPr="004E1208">
              <w:rPr>
                <w:rFonts w:hAnsi="標楷體"/>
                <w:sz w:val="28"/>
                <w:szCs w:val="28"/>
              </w:rPr>
              <w:t>處數</w:t>
            </w:r>
          </w:p>
        </w:tc>
      </w:tr>
      <w:tr w:rsidR="008B32A5" w:rsidRPr="004E1208" w:rsidTr="00931B2E">
        <w:trPr>
          <w:trHeight w:val="454"/>
        </w:trPr>
        <w:tc>
          <w:tcPr>
            <w:tcW w:w="5245" w:type="dxa"/>
            <w:vAlign w:val="center"/>
          </w:tcPr>
          <w:p w:rsidR="008B32A5" w:rsidRPr="004E1208" w:rsidRDefault="008B32A5" w:rsidP="00931B2E">
            <w:pPr>
              <w:pStyle w:val="6"/>
              <w:numPr>
                <w:ilvl w:val="0"/>
                <w:numId w:val="0"/>
              </w:numPr>
              <w:jc w:val="center"/>
              <w:rPr>
                <w:rFonts w:hAnsi="標楷體"/>
                <w:sz w:val="28"/>
                <w:szCs w:val="28"/>
              </w:rPr>
            </w:pPr>
            <w:r w:rsidRPr="004E1208">
              <w:rPr>
                <w:rFonts w:hAnsi="標楷體" w:hint="eastAsia"/>
                <w:sz w:val="28"/>
                <w:szCs w:val="28"/>
              </w:rPr>
              <w:t>移交國產署</w:t>
            </w:r>
            <w:proofErr w:type="gramStart"/>
            <w:r w:rsidRPr="004E1208">
              <w:rPr>
                <w:rFonts w:hAnsi="標楷體" w:hint="eastAsia"/>
                <w:sz w:val="28"/>
                <w:szCs w:val="28"/>
              </w:rPr>
              <w:t>或奉准撥</w:t>
            </w:r>
            <w:proofErr w:type="gramEnd"/>
            <w:r w:rsidRPr="004E1208">
              <w:rPr>
                <w:rFonts w:hAnsi="標楷體" w:hint="eastAsia"/>
                <w:sz w:val="28"/>
                <w:szCs w:val="28"/>
              </w:rPr>
              <w:t>予他機關</w:t>
            </w:r>
          </w:p>
        </w:tc>
        <w:tc>
          <w:tcPr>
            <w:tcW w:w="1559" w:type="dxa"/>
            <w:vAlign w:val="center"/>
          </w:tcPr>
          <w:p w:rsidR="008B32A5" w:rsidRPr="004E1208" w:rsidRDefault="008B32A5" w:rsidP="00931B2E">
            <w:pPr>
              <w:pStyle w:val="6"/>
              <w:numPr>
                <w:ilvl w:val="0"/>
                <w:numId w:val="0"/>
              </w:numPr>
              <w:jc w:val="center"/>
              <w:rPr>
                <w:rFonts w:hAnsi="標楷體"/>
                <w:sz w:val="28"/>
                <w:szCs w:val="28"/>
              </w:rPr>
            </w:pPr>
            <w:r w:rsidRPr="004E1208">
              <w:rPr>
                <w:rFonts w:hAnsi="標楷體" w:hint="eastAsia"/>
                <w:sz w:val="28"/>
                <w:szCs w:val="28"/>
              </w:rPr>
              <w:t>4</w:t>
            </w:r>
            <w:r w:rsidRPr="004E1208">
              <w:rPr>
                <w:rFonts w:hAnsi="標楷體"/>
                <w:sz w:val="28"/>
                <w:szCs w:val="28"/>
              </w:rPr>
              <w:t>5</w:t>
            </w:r>
          </w:p>
        </w:tc>
      </w:tr>
      <w:tr w:rsidR="008B32A5" w:rsidRPr="004E1208" w:rsidTr="00931B2E">
        <w:trPr>
          <w:trHeight w:val="454"/>
        </w:trPr>
        <w:tc>
          <w:tcPr>
            <w:tcW w:w="5245" w:type="dxa"/>
            <w:vAlign w:val="center"/>
          </w:tcPr>
          <w:p w:rsidR="008B32A5" w:rsidRPr="004E1208" w:rsidRDefault="008B32A5" w:rsidP="00931B2E">
            <w:pPr>
              <w:pStyle w:val="6"/>
              <w:numPr>
                <w:ilvl w:val="0"/>
                <w:numId w:val="0"/>
              </w:numPr>
              <w:jc w:val="center"/>
              <w:rPr>
                <w:rFonts w:hAnsi="標楷體"/>
                <w:sz w:val="28"/>
                <w:szCs w:val="28"/>
              </w:rPr>
            </w:pPr>
            <w:r w:rsidRPr="004E1208">
              <w:rPr>
                <w:rFonts w:hAnsi="標楷體" w:hint="eastAsia"/>
                <w:sz w:val="28"/>
                <w:szCs w:val="28"/>
              </w:rPr>
              <w:t>同意機關留用</w:t>
            </w:r>
          </w:p>
        </w:tc>
        <w:tc>
          <w:tcPr>
            <w:tcW w:w="1559" w:type="dxa"/>
            <w:vAlign w:val="center"/>
          </w:tcPr>
          <w:p w:rsidR="008B32A5" w:rsidRPr="004E1208" w:rsidRDefault="008B32A5" w:rsidP="00931B2E">
            <w:pPr>
              <w:pStyle w:val="6"/>
              <w:numPr>
                <w:ilvl w:val="0"/>
                <w:numId w:val="0"/>
              </w:numPr>
              <w:jc w:val="center"/>
              <w:rPr>
                <w:rFonts w:hAnsi="標楷體"/>
                <w:sz w:val="28"/>
                <w:szCs w:val="28"/>
              </w:rPr>
            </w:pPr>
            <w:r w:rsidRPr="004E1208">
              <w:rPr>
                <w:rFonts w:hAnsi="標楷體" w:hint="eastAsia"/>
                <w:sz w:val="28"/>
                <w:szCs w:val="28"/>
              </w:rPr>
              <w:t>4</w:t>
            </w:r>
            <w:r w:rsidRPr="004E1208">
              <w:rPr>
                <w:rFonts w:hAnsi="標楷體"/>
                <w:sz w:val="28"/>
                <w:szCs w:val="28"/>
              </w:rPr>
              <w:t>1</w:t>
            </w:r>
          </w:p>
        </w:tc>
      </w:tr>
      <w:tr w:rsidR="008B32A5" w:rsidRPr="004E1208" w:rsidTr="00931B2E">
        <w:trPr>
          <w:trHeight w:val="454"/>
        </w:trPr>
        <w:tc>
          <w:tcPr>
            <w:tcW w:w="5245" w:type="dxa"/>
            <w:vAlign w:val="center"/>
          </w:tcPr>
          <w:p w:rsidR="008B32A5" w:rsidRPr="004E1208" w:rsidRDefault="008B32A5" w:rsidP="00931B2E">
            <w:pPr>
              <w:pStyle w:val="6"/>
              <w:numPr>
                <w:ilvl w:val="0"/>
                <w:numId w:val="0"/>
              </w:numPr>
              <w:jc w:val="center"/>
              <w:rPr>
                <w:rFonts w:hAnsi="標楷體"/>
                <w:sz w:val="28"/>
                <w:szCs w:val="28"/>
              </w:rPr>
            </w:pPr>
            <w:r w:rsidRPr="004E1208">
              <w:rPr>
                <w:rFonts w:hAnsi="標楷體" w:hint="eastAsia"/>
                <w:sz w:val="28"/>
                <w:szCs w:val="28"/>
              </w:rPr>
              <w:t>解除列管</w:t>
            </w:r>
          </w:p>
        </w:tc>
        <w:tc>
          <w:tcPr>
            <w:tcW w:w="1559" w:type="dxa"/>
            <w:vAlign w:val="center"/>
          </w:tcPr>
          <w:p w:rsidR="008B32A5" w:rsidRPr="004E1208" w:rsidRDefault="008B32A5" w:rsidP="00931B2E">
            <w:pPr>
              <w:pStyle w:val="6"/>
              <w:numPr>
                <w:ilvl w:val="0"/>
                <w:numId w:val="0"/>
              </w:numPr>
              <w:jc w:val="center"/>
              <w:rPr>
                <w:rFonts w:hAnsi="標楷體"/>
                <w:sz w:val="28"/>
                <w:szCs w:val="28"/>
              </w:rPr>
            </w:pPr>
            <w:r w:rsidRPr="004E1208">
              <w:rPr>
                <w:rFonts w:hAnsi="標楷體" w:hint="eastAsia"/>
                <w:sz w:val="28"/>
                <w:szCs w:val="28"/>
              </w:rPr>
              <w:t>7</w:t>
            </w:r>
          </w:p>
        </w:tc>
      </w:tr>
      <w:tr w:rsidR="008B32A5" w:rsidRPr="004E1208" w:rsidTr="00931B2E">
        <w:trPr>
          <w:trHeight w:val="454"/>
        </w:trPr>
        <w:tc>
          <w:tcPr>
            <w:tcW w:w="5245" w:type="dxa"/>
            <w:vAlign w:val="center"/>
          </w:tcPr>
          <w:p w:rsidR="008B32A5" w:rsidRPr="004E1208" w:rsidRDefault="008B32A5" w:rsidP="00931B2E">
            <w:pPr>
              <w:pStyle w:val="6"/>
              <w:numPr>
                <w:ilvl w:val="0"/>
                <w:numId w:val="0"/>
              </w:numPr>
              <w:jc w:val="center"/>
              <w:rPr>
                <w:rFonts w:hAnsi="標楷體"/>
                <w:sz w:val="28"/>
                <w:szCs w:val="28"/>
              </w:rPr>
            </w:pPr>
            <w:r w:rsidRPr="004E1208">
              <w:rPr>
                <w:rFonts w:hAnsi="標楷體" w:hint="eastAsia"/>
                <w:sz w:val="28"/>
                <w:szCs w:val="28"/>
              </w:rPr>
              <w:t>變更非公用中</w:t>
            </w:r>
          </w:p>
        </w:tc>
        <w:tc>
          <w:tcPr>
            <w:tcW w:w="1559" w:type="dxa"/>
            <w:vAlign w:val="center"/>
          </w:tcPr>
          <w:p w:rsidR="008B32A5" w:rsidRPr="004E1208" w:rsidRDefault="008B32A5" w:rsidP="00931B2E">
            <w:pPr>
              <w:pStyle w:val="6"/>
              <w:numPr>
                <w:ilvl w:val="0"/>
                <w:numId w:val="0"/>
              </w:numPr>
              <w:jc w:val="center"/>
              <w:rPr>
                <w:rFonts w:hAnsi="標楷體"/>
                <w:sz w:val="28"/>
                <w:szCs w:val="28"/>
              </w:rPr>
            </w:pPr>
            <w:r w:rsidRPr="004E1208">
              <w:rPr>
                <w:rFonts w:hAnsi="標楷體" w:hint="eastAsia"/>
                <w:sz w:val="28"/>
                <w:szCs w:val="28"/>
              </w:rPr>
              <w:t>3</w:t>
            </w:r>
          </w:p>
        </w:tc>
      </w:tr>
      <w:tr w:rsidR="008B32A5" w:rsidRPr="004E1208" w:rsidTr="00931B2E">
        <w:trPr>
          <w:trHeight w:val="454"/>
        </w:trPr>
        <w:tc>
          <w:tcPr>
            <w:tcW w:w="5245" w:type="dxa"/>
            <w:vAlign w:val="center"/>
          </w:tcPr>
          <w:p w:rsidR="008B32A5" w:rsidRPr="004E1208" w:rsidRDefault="008B32A5" w:rsidP="00931B2E">
            <w:pPr>
              <w:pStyle w:val="6"/>
              <w:numPr>
                <w:ilvl w:val="0"/>
                <w:numId w:val="0"/>
              </w:numPr>
              <w:jc w:val="center"/>
              <w:rPr>
                <w:rFonts w:hAnsi="標楷體"/>
                <w:sz w:val="28"/>
                <w:szCs w:val="28"/>
              </w:rPr>
            </w:pPr>
            <w:r w:rsidRPr="004E1208">
              <w:rPr>
                <w:rFonts w:hAnsi="標楷體" w:hint="eastAsia"/>
                <w:sz w:val="28"/>
                <w:szCs w:val="28"/>
              </w:rPr>
              <w:t>待協商期程</w:t>
            </w:r>
          </w:p>
        </w:tc>
        <w:tc>
          <w:tcPr>
            <w:tcW w:w="1559" w:type="dxa"/>
            <w:vAlign w:val="center"/>
          </w:tcPr>
          <w:p w:rsidR="008B32A5" w:rsidRPr="004E1208" w:rsidRDefault="008B32A5" w:rsidP="00931B2E">
            <w:pPr>
              <w:pStyle w:val="6"/>
              <w:numPr>
                <w:ilvl w:val="0"/>
                <w:numId w:val="0"/>
              </w:numPr>
              <w:jc w:val="center"/>
              <w:rPr>
                <w:rFonts w:hAnsi="標楷體"/>
                <w:sz w:val="28"/>
                <w:szCs w:val="28"/>
              </w:rPr>
            </w:pPr>
            <w:r w:rsidRPr="004E1208">
              <w:rPr>
                <w:rFonts w:hAnsi="標楷體" w:hint="eastAsia"/>
                <w:sz w:val="28"/>
                <w:szCs w:val="28"/>
              </w:rPr>
              <w:t>1</w:t>
            </w:r>
            <w:r w:rsidRPr="004E1208">
              <w:rPr>
                <w:rFonts w:hAnsi="標楷體"/>
                <w:sz w:val="28"/>
                <w:szCs w:val="28"/>
              </w:rPr>
              <w:t>1</w:t>
            </w:r>
          </w:p>
        </w:tc>
      </w:tr>
      <w:tr w:rsidR="008B32A5" w:rsidRPr="004E1208" w:rsidTr="00931B2E">
        <w:trPr>
          <w:trHeight w:val="454"/>
        </w:trPr>
        <w:tc>
          <w:tcPr>
            <w:tcW w:w="5245" w:type="dxa"/>
            <w:shd w:val="clear" w:color="auto" w:fill="FDE9D9" w:themeFill="accent6" w:themeFillTint="33"/>
            <w:vAlign w:val="center"/>
          </w:tcPr>
          <w:p w:rsidR="008B32A5" w:rsidRPr="004E1208" w:rsidRDefault="008B32A5" w:rsidP="00931B2E">
            <w:pPr>
              <w:pStyle w:val="6"/>
              <w:numPr>
                <w:ilvl w:val="0"/>
                <w:numId w:val="0"/>
              </w:numPr>
              <w:jc w:val="center"/>
              <w:rPr>
                <w:rFonts w:hAnsi="標楷體"/>
                <w:sz w:val="28"/>
                <w:szCs w:val="28"/>
              </w:rPr>
            </w:pPr>
            <w:r w:rsidRPr="004E1208">
              <w:rPr>
                <w:rFonts w:hAnsi="標楷體" w:hint="eastAsia"/>
                <w:sz w:val="28"/>
                <w:szCs w:val="28"/>
              </w:rPr>
              <w:t>合計</w:t>
            </w:r>
          </w:p>
        </w:tc>
        <w:tc>
          <w:tcPr>
            <w:tcW w:w="1559" w:type="dxa"/>
            <w:shd w:val="clear" w:color="auto" w:fill="FDE9D9" w:themeFill="accent6" w:themeFillTint="33"/>
            <w:vAlign w:val="center"/>
          </w:tcPr>
          <w:p w:rsidR="008B32A5" w:rsidRPr="004E1208" w:rsidRDefault="008B32A5" w:rsidP="00931B2E">
            <w:pPr>
              <w:pStyle w:val="6"/>
              <w:numPr>
                <w:ilvl w:val="0"/>
                <w:numId w:val="0"/>
              </w:numPr>
              <w:jc w:val="center"/>
              <w:rPr>
                <w:rFonts w:hAnsi="標楷體"/>
                <w:sz w:val="28"/>
                <w:szCs w:val="28"/>
              </w:rPr>
            </w:pPr>
            <w:r w:rsidRPr="004E1208">
              <w:rPr>
                <w:rFonts w:hAnsi="標楷體" w:hint="eastAsia"/>
                <w:sz w:val="28"/>
                <w:szCs w:val="28"/>
              </w:rPr>
              <w:t>1</w:t>
            </w:r>
            <w:r w:rsidRPr="004E1208">
              <w:rPr>
                <w:rFonts w:hAnsi="標楷體"/>
                <w:sz w:val="28"/>
                <w:szCs w:val="28"/>
              </w:rPr>
              <w:t>07</w:t>
            </w:r>
          </w:p>
        </w:tc>
      </w:tr>
    </w:tbl>
    <w:p w:rsidR="009D3507" w:rsidRDefault="009D3507" w:rsidP="00B457B2">
      <w:pPr>
        <w:pStyle w:val="3"/>
        <w:numPr>
          <w:ilvl w:val="0"/>
          <w:numId w:val="0"/>
        </w:numPr>
        <w:snapToGrid w:val="0"/>
        <w:ind w:left="1701"/>
        <w:rPr>
          <w:rFonts w:hAnsi="標楷體"/>
          <w:sz w:val="24"/>
          <w:szCs w:val="24"/>
        </w:rPr>
      </w:pPr>
      <w:r>
        <w:rPr>
          <w:rFonts w:hAnsi="標楷體" w:hint="eastAsia"/>
          <w:sz w:val="24"/>
          <w:szCs w:val="24"/>
        </w:rPr>
        <w:t>資料時間：111年10月。</w:t>
      </w:r>
    </w:p>
    <w:p w:rsidR="008B32A5" w:rsidRPr="004E1208" w:rsidRDefault="008B32A5" w:rsidP="00B457B2">
      <w:pPr>
        <w:pStyle w:val="3"/>
        <w:numPr>
          <w:ilvl w:val="0"/>
          <w:numId w:val="0"/>
        </w:numPr>
        <w:snapToGrid w:val="0"/>
        <w:spacing w:afterLines="50" w:after="228"/>
        <w:ind w:left="1701"/>
      </w:pPr>
      <w:r w:rsidRPr="004E1208">
        <w:rPr>
          <w:rFonts w:hAnsi="標楷體" w:hint="eastAsia"/>
          <w:sz w:val="24"/>
          <w:szCs w:val="24"/>
        </w:rPr>
        <w:t>資料來源：財政部提供。</w:t>
      </w:r>
    </w:p>
    <w:p w:rsidR="008B32A5" w:rsidRPr="004E1208" w:rsidRDefault="008B32A5" w:rsidP="008B32A5">
      <w:pPr>
        <w:pStyle w:val="3"/>
      </w:pPr>
      <w:r w:rsidRPr="004E1208">
        <w:rPr>
          <w:rFonts w:hint="eastAsia"/>
        </w:rPr>
        <w:t>經核，國有財產之檢核及統籌調配為國產署法定職掌事項，國產署為健全國有公用土地管理，每年訂定檢核及實地訪查計畫，然因國有公用不動產管理機關多達3,673個，且分散各地，加上經管土地數量龐大（165萬餘筆、近204萬公頃），如何督促國有公用土地管理機關落實土地健全管理，已</w:t>
      </w:r>
      <w:proofErr w:type="gramStart"/>
      <w:r w:rsidRPr="004E1208">
        <w:rPr>
          <w:rFonts w:hint="eastAsia"/>
        </w:rPr>
        <w:t>非易事</w:t>
      </w:r>
      <w:proofErr w:type="gramEnd"/>
      <w:r w:rsidRPr="004E1208">
        <w:rPr>
          <w:rFonts w:hint="eastAsia"/>
        </w:rPr>
        <w:t>。復因國產署為三級機關，與各管理</w:t>
      </w:r>
      <w:proofErr w:type="gramStart"/>
      <w:r w:rsidRPr="004E1208">
        <w:rPr>
          <w:rFonts w:hint="eastAsia"/>
        </w:rPr>
        <w:t>機關間無隸屬</w:t>
      </w:r>
      <w:proofErr w:type="gramEnd"/>
      <w:r w:rsidRPr="004E1208">
        <w:rPr>
          <w:rFonts w:hint="eastAsia"/>
        </w:rPr>
        <w:t>關係，加以該署協助各機關處理國有公用財產管理、使用、活化運用等業務之編制人力僅有5人（公用財產組公用科），故目前實際作業，係由管理機關自我書面檢核財產管理情形（包含有無閒置未利用等），並由主管機關複核及實地訪查所屬管理情形，如有缺失，督導依規定檢討改正；財政部並擇部分機關實地訪查，檢視及協助精進實務作業，透過分層負責督導機制，期國家資產有效管理。倘實務發現個案</w:t>
      </w:r>
      <w:proofErr w:type="gramStart"/>
      <w:r w:rsidRPr="004E1208">
        <w:rPr>
          <w:rFonts w:hint="eastAsia"/>
        </w:rPr>
        <w:t>疑</w:t>
      </w:r>
      <w:proofErr w:type="gramEnd"/>
      <w:r w:rsidRPr="004E1208">
        <w:rPr>
          <w:rFonts w:hint="eastAsia"/>
        </w:rPr>
        <w:t>有管理不善或不符規定情形，財政部或國產署以公函請機關說明或派員現</w:t>
      </w:r>
      <w:proofErr w:type="gramStart"/>
      <w:r w:rsidRPr="004E1208">
        <w:rPr>
          <w:rFonts w:hint="eastAsia"/>
        </w:rPr>
        <w:t>勘</w:t>
      </w:r>
      <w:proofErr w:type="gramEnd"/>
      <w:r w:rsidRPr="004E1208">
        <w:rPr>
          <w:rFonts w:hint="eastAsia"/>
        </w:rPr>
        <w:t>等方式，隨時查明實情，依</w:t>
      </w:r>
      <w:proofErr w:type="gramStart"/>
      <w:r w:rsidRPr="004E1208">
        <w:rPr>
          <w:rFonts w:hint="eastAsia"/>
        </w:rPr>
        <w:t>規定妥處</w:t>
      </w:r>
      <w:proofErr w:type="gramEnd"/>
      <w:r w:rsidRPr="004E1208">
        <w:rPr>
          <w:rFonts w:hint="eastAsia"/>
        </w:rPr>
        <w:t>。由此可知，目前國有公用土地之管理，實際上仍取決於各主管機關能否確實督導所屬依規定辦理。</w:t>
      </w:r>
    </w:p>
    <w:p w:rsidR="008B32A5" w:rsidRPr="004E1208" w:rsidRDefault="008B32A5" w:rsidP="008B32A5">
      <w:pPr>
        <w:pStyle w:val="3"/>
      </w:pPr>
      <w:r w:rsidRPr="004E1208">
        <w:rPr>
          <w:rFonts w:hint="eastAsia"/>
        </w:rPr>
        <w:lastRenderedPageBreak/>
        <w:t>綜上所述，國有公用土地管理機關多達3,673個，且經管土地筆數</w:t>
      </w:r>
      <w:proofErr w:type="gramStart"/>
      <w:r w:rsidRPr="004E1208">
        <w:rPr>
          <w:rFonts w:hint="eastAsia"/>
        </w:rPr>
        <w:t>眾多、</w:t>
      </w:r>
      <w:proofErr w:type="gramEnd"/>
      <w:r w:rsidRPr="004E1208">
        <w:rPr>
          <w:rFonts w:hint="eastAsia"/>
        </w:rPr>
        <w:t>面積龐大，分散各地，而國產署協助各機關處理國有公用財產管理、使用、活化運用等業務之編制人力僅有5人，人力相對不足，故如何落實國有公用土地檢核、有效發揮國有財產統籌調配功能，避免相關機制流於形式，為國產署公用土地管理業務所需面對之重要課題。</w:t>
      </w:r>
    </w:p>
    <w:p w:rsidR="008B32A5" w:rsidRPr="004E1208" w:rsidRDefault="008B32A5" w:rsidP="008B32A5">
      <w:pPr>
        <w:pStyle w:val="2"/>
        <w:spacing w:beforeLines="50" w:before="228"/>
        <w:ind w:left="1020" w:hanging="680"/>
        <w:rPr>
          <w:b/>
        </w:rPr>
      </w:pPr>
      <w:bookmarkStart w:id="60" w:name="_Toc139546647"/>
      <w:r w:rsidRPr="004E1208">
        <w:rPr>
          <w:rFonts w:hAnsi="標楷體" w:hint="eastAsia"/>
          <w:b/>
          <w:szCs w:val="32"/>
        </w:rPr>
        <w:t>國有土地數量龐大，使用情形複雜，且分散各地，各機關經管人力相對有限，</w:t>
      </w:r>
      <w:r w:rsidRPr="004E1208">
        <w:rPr>
          <w:rFonts w:hint="eastAsia"/>
          <w:b/>
        </w:rPr>
        <w:t>不僅影響國有土地管理成效，亦限制排除占用處理量能，</w:t>
      </w:r>
      <w:r w:rsidRPr="004E1208">
        <w:rPr>
          <w:rFonts w:hAnsi="標楷體" w:hint="eastAsia"/>
          <w:b/>
          <w:szCs w:val="32"/>
        </w:rPr>
        <w:t>在目前政府組織員額管控之原則下，如何有效因應，實為國有土地管理重要課題。國有土地管理機關</w:t>
      </w:r>
      <w:r w:rsidRPr="004E1208">
        <w:rPr>
          <w:rFonts w:hint="eastAsia"/>
          <w:b/>
        </w:rPr>
        <w:t>允應妥善利用相關資訊科技，輔助土地管理，以提升工作效率</w:t>
      </w:r>
      <w:r w:rsidRPr="004E1208">
        <w:rPr>
          <w:rFonts w:hAnsi="標楷體" w:hint="eastAsia"/>
          <w:b/>
          <w:szCs w:val="32"/>
        </w:rPr>
        <w:t>。</w:t>
      </w:r>
      <w:bookmarkEnd w:id="60"/>
    </w:p>
    <w:p w:rsidR="008B32A5" w:rsidRPr="004E1208" w:rsidRDefault="008B32A5" w:rsidP="008B32A5">
      <w:pPr>
        <w:pStyle w:val="3"/>
      </w:pPr>
      <w:r w:rsidRPr="004E1208">
        <w:rPr>
          <w:rFonts w:hint="eastAsia"/>
        </w:rPr>
        <w:t>國有土地係國家重要資產，屬全體國民共有，政府機關對其經管之國有土地，應依法進行清理、保管、使用、收益、處分、排他、檢核、稅賦等工作，以維護國產權益並進行有效運用，故在靜態管理方面，應避免其遭受閒置、占用或不當使用。</w:t>
      </w:r>
      <w:proofErr w:type="gramStart"/>
      <w:r w:rsidRPr="004E1208">
        <w:rPr>
          <w:rFonts w:hint="eastAsia"/>
        </w:rPr>
        <w:t>惟</w:t>
      </w:r>
      <w:proofErr w:type="gramEnd"/>
      <w:r w:rsidRPr="004E1208">
        <w:rPr>
          <w:rFonts w:hint="eastAsia"/>
        </w:rPr>
        <w:t>實務發現，我國國有土地閒置或低度利用情形屢見不鮮，違規使用或被占用等情事更是時有所聞。</w:t>
      </w:r>
    </w:p>
    <w:p w:rsidR="008B32A5" w:rsidRPr="004E1208" w:rsidRDefault="008B32A5" w:rsidP="008B32A5">
      <w:pPr>
        <w:pStyle w:val="3"/>
      </w:pPr>
      <w:r w:rsidRPr="004E1208">
        <w:rPr>
          <w:rFonts w:hint="eastAsia"/>
        </w:rPr>
        <w:t>以國有非公用土地為例，截至110年底止，國有非公用土地面積21萬7,989公頃，</w:t>
      </w:r>
      <w:proofErr w:type="gramStart"/>
      <w:r w:rsidRPr="004E1208">
        <w:rPr>
          <w:rFonts w:hint="eastAsia"/>
        </w:rPr>
        <w:t>國產署列管</w:t>
      </w:r>
      <w:proofErr w:type="gramEnd"/>
      <w:r w:rsidRPr="004E1208">
        <w:rPr>
          <w:rFonts w:hint="eastAsia"/>
        </w:rPr>
        <w:t>被占用土地面積1萬8,396公頃，占用比例為8.44%。再從國有公用土地來看，</w:t>
      </w:r>
      <w:r w:rsidR="000B4614" w:rsidRPr="004E1208">
        <w:rPr>
          <w:rFonts w:hint="eastAsia"/>
        </w:rPr>
        <w:t>國防部軍備局經管之</w:t>
      </w:r>
      <w:r w:rsidRPr="004E1208">
        <w:rPr>
          <w:rFonts w:hint="eastAsia"/>
        </w:rPr>
        <w:t>國軍營產土地列管被占用面積計133.94公頃，</w:t>
      </w:r>
      <w:r w:rsidR="000B4614" w:rsidRPr="004E1208">
        <w:rPr>
          <w:rFonts w:hint="eastAsia"/>
        </w:rPr>
        <w:t>教育部經管之</w:t>
      </w:r>
      <w:r w:rsidRPr="004E1208">
        <w:rPr>
          <w:rFonts w:hint="eastAsia"/>
        </w:rPr>
        <w:t>學產土地列管被占用面積53.94公頃，</w:t>
      </w:r>
      <w:r w:rsidR="000B4614" w:rsidRPr="004E1208">
        <w:rPr>
          <w:rFonts w:hint="eastAsia"/>
        </w:rPr>
        <w:t>行政院農業委員會農田水利署（下稱農水署）經管之</w:t>
      </w:r>
      <w:r w:rsidRPr="004E1208">
        <w:rPr>
          <w:rFonts w:hint="eastAsia"/>
        </w:rPr>
        <w:t>農田水利用地列管被占用面積88.55公頃。各管理機關</w:t>
      </w:r>
      <w:proofErr w:type="gramStart"/>
      <w:r w:rsidRPr="004E1208">
        <w:rPr>
          <w:rFonts w:hint="eastAsia"/>
        </w:rPr>
        <w:t>雖然均有訂</w:t>
      </w:r>
      <w:proofErr w:type="gramEnd"/>
      <w:r w:rsidRPr="004E1208">
        <w:rPr>
          <w:rFonts w:hint="eastAsia"/>
        </w:rPr>
        <w:t>定多項措施，分年、分期擬訂計畫清查及處理，</w:t>
      </w:r>
      <w:r w:rsidRPr="004E1208">
        <w:rPr>
          <w:rFonts w:hint="eastAsia"/>
        </w:rPr>
        <w:lastRenderedPageBreak/>
        <w:t>然而占用情況依然存在，占用情形難以消弭仍持續發生。</w:t>
      </w:r>
    </w:p>
    <w:p w:rsidR="008B32A5" w:rsidRPr="004E1208" w:rsidRDefault="008B32A5" w:rsidP="008B32A5">
      <w:pPr>
        <w:pStyle w:val="3"/>
      </w:pPr>
      <w:r w:rsidRPr="004E1208">
        <w:rPr>
          <w:rFonts w:hint="eastAsia"/>
        </w:rPr>
        <w:t>進一步探究國有土地被占用之原委，概可分為日產接收後早年私人占</w:t>
      </w:r>
      <w:proofErr w:type="gramStart"/>
      <w:r w:rsidRPr="004E1208">
        <w:rPr>
          <w:rFonts w:hint="eastAsia"/>
        </w:rPr>
        <w:t>建占耕</w:t>
      </w:r>
      <w:proofErr w:type="gramEnd"/>
      <w:r w:rsidRPr="004E1208">
        <w:rPr>
          <w:rFonts w:hint="eastAsia"/>
        </w:rPr>
        <w:t>；民眾不諳法令及不守法；國有土地未有效管理；管理機關人力不足；社會、經濟及政治結構轉變，土地</w:t>
      </w:r>
      <w:proofErr w:type="gramStart"/>
      <w:r w:rsidRPr="004E1208">
        <w:rPr>
          <w:rFonts w:hint="eastAsia"/>
        </w:rPr>
        <w:t>需求日切</w:t>
      </w:r>
      <w:proofErr w:type="gramEnd"/>
      <w:r w:rsidRPr="004E1208">
        <w:rPr>
          <w:rFonts w:hint="eastAsia"/>
        </w:rPr>
        <w:t>；違章建築查報後無法有效配合強制拆除等，以致國有土地長久以來形成被占用問題。其中管理機關人力有限，不僅影響國有土地管理成效，對於排除占用收回土地之處理量能，亦受限制。本</w:t>
      </w:r>
      <w:r w:rsidR="000B4614" w:rsidRPr="004E1208">
        <w:rPr>
          <w:rFonts w:hint="eastAsia"/>
        </w:rPr>
        <w:t>院進行</w:t>
      </w:r>
      <w:r w:rsidRPr="004E1208">
        <w:rPr>
          <w:rFonts w:hint="eastAsia"/>
        </w:rPr>
        <w:t>調查研究</w:t>
      </w:r>
      <w:proofErr w:type="gramStart"/>
      <w:r w:rsidRPr="004E1208">
        <w:rPr>
          <w:rFonts w:hint="eastAsia"/>
        </w:rPr>
        <w:t>期間，</w:t>
      </w:r>
      <w:proofErr w:type="gramEnd"/>
      <w:r w:rsidRPr="004E1208">
        <w:rPr>
          <w:rFonts w:hint="eastAsia"/>
        </w:rPr>
        <w:t>各管理機關即紛紛表示，其等人力有限，管理負擔繁重。</w:t>
      </w:r>
    </w:p>
    <w:p w:rsidR="008B32A5" w:rsidRPr="004E1208" w:rsidRDefault="008B32A5" w:rsidP="008B32A5">
      <w:pPr>
        <w:pStyle w:val="3"/>
      </w:pPr>
      <w:r w:rsidRPr="004E1208">
        <w:rPr>
          <w:rFonts w:hint="eastAsia"/>
        </w:rPr>
        <w:t>例如</w:t>
      </w:r>
      <w:r w:rsidRPr="004E1208">
        <w:t>國產署即表示：</w:t>
      </w:r>
      <w:r w:rsidRPr="004E1208">
        <w:rPr>
          <w:rFonts w:hint="eastAsia"/>
        </w:rPr>
        <w:t>國有非公用土地數量龐大，遍布全國，管理負擔繁重，各分署雖訂有</w:t>
      </w:r>
      <w:proofErr w:type="gramStart"/>
      <w:r w:rsidRPr="004E1208">
        <w:rPr>
          <w:rFonts w:hint="eastAsia"/>
        </w:rPr>
        <w:t>年度巡管計畫</w:t>
      </w:r>
      <w:proofErr w:type="gramEnd"/>
      <w:r w:rsidRPr="004E1208">
        <w:rPr>
          <w:rFonts w:hint="eastAsia"/>
        </w:rPr>
        <w:t>，仍無法即時掌握土地現況，落實實質管理。</w:t>
      </w:r>
      <w:proofErr w:type="gramStart"/>
      <w:r w:rsidRPr="004E1208">
        <w:rPr>
          <w:rFonts w:hint="eastAsia"/>
        </w:rPr>
        <w:t>農水署亦</w:t>
      </w:r>
      <w:proofErr w:type="gramEnd"/>
      <w:r w:rsidRPr="004E1208">
        <w:rPr>
          <w:rFonts w:hint="eastAsia"/>
        </w:rPr>
        <w:t>表示：</w:t>
      </w:r>
      <w:r w:rsidRPr="004E1208">
        <w:rPr>
          <w:rFonts w:hAnsi="標楷體" w:hint="eastAsia"/>
        </w:rPr>
        <w:t>該署成立之際，因籌備時程較為急迫，且因主要業務職掌為農田水利設施之興建、更新改善、灌溉管線管理等業務，</w:t>
      </w:r>
      <w:proofErr w:type="gramStart"/>
      <w:r w:rsidRPr="004E1208">
        <w:rPr>
          <w:rFonts w:hAnsi="標楷體" w:hint="eastAsia"/>
        </w:rPr>
        <w:t>爰</w:t>
      </w:r>
      <w:proofErr w:type="gramEnd"/>
      <w:r w:rsidRPr="004E1208">
        <w:rPr>
          <w:rFonts w:hAnsi="標楷體" w:hint="eastAsia"/>
        </w:rPr>
        <w:t>僅評估需較多水利土木工程、農業技術等職系之員額，未考量到改制後納入農田水利事業作業基金之土地、土地改良物、房屋建築及設備等數量龐大，不僅須辦理基金資產管理、排除占用等作業，亦需持續辦理活化收益事宜（包括自行開發、合建、設定地上權等開發作業），相關作業均有賴地政、都市計畫、公產管理等專業人力訂定政策據以執行。又該署辦理不動產相關業務，隸屬於綜合企劃組財務科，惟其辦理人力含科長僅有3人，每年數百筆土地處分、撥用案件，</w:t>
      </w:r>
      <w:proofErr w:type="gramStart"/>
      <w:r w:rsidRPr="004E1208">
        <w:rPr>
          <w:rFonts w:hAnsi="標楷體" w:hint="eastAsia"/>
        </w:rPr>
        <w:t>均需由</w:t>
      </w:r>
      <w:proofErr w:type="gramEnd"/>
      <w:r w:rsidRPr="004E1208">
        <w:rPr>
          <w:rFonts w:hAnsi="標楷體" w:hint="eastAsia"/>
        </w:rPr>
        <w:t>各管理處</w:t>
      </w:r>
      <w:proofErr w:type="gramStart"/>
      <w:r w:rsidRPr="004E1208">
        <w:rPr>
          <w:rFonts w:hAnsi="標楷體" w:hint="eastAsia"/>
        </w:rPr>
        <w:t>報署逐</w:t>
      </w:r>
      <w:proofErr w:type="gramEnd"/>
      <w:r w:rsidRPr="004E1208">
        <w:rPr>
          <w:rFonts w:hAnsi="標楷體" w:hint="eastAsia"/>
        </w:rPr>
        <w:t>案審核；各項管理、開發作業亦須制定標準作業流程，</w:t>
      </w:r>
      <w:proofErr w:type="gramStart"/>
      <w:r w:rsidRPr="004E1208">
        <w:rPr>
          <w:rFonts w:hAnsi="標楷體" w:hint="eastAsia"/>
        </w:rPr>
        <w:t>均須耗費</w:t>
      </w:r>
      <w:proofErr w:type="gramEnd"/>
      <w:r w:rsidRPr="004E1208">
        <w:rPr>
          <w:rFonts w:hAnsi="標楷體" w:hint="eastAsia"/>
        </w:rPr>
        <w:t>大量人力。</w:t>
      </w:r>
    </w:p>
    <w:p w:rsidR="008B32A5" w:rsidRPr="004E1208" w:rsidRDefault="008B32A5" w:rsidP="008B32A5">
      <w:pPr>
        <w:pStyle w:val="3"/>
      </w:pPr>
      <w:r w:rsidRPr="004E1208">
        <w:rPr>
          <w:rFonts w:hint="eastAsia"/>
        </w:rPr>
        <w:t>經以國軍營產土地、</w:t>
      </w:r>
      <w:r w:rsidR="000B4614" w:rsidRPr="004E1208">
        <w:rPr>
          <w:rFonts w:hAnsi="標楷體" w:hint="eastAsia"/>
        </w:rPr>
        <w:t>國軍老舊眷村改建土地（下稱</w:t>
      </w:r>
      <w:proofErr w:type="gramStart"/>
      <w:r w:rsidR="000B4614" w:rsidRPr="004E1208">
        <w:rPr>
          <w:rFonts w:hAnsi="標楷體" w:hint="eastAsia"/>
        </w:rPr>
        <w:lastRenderedPageBreak/>
        <w:t>眷</w:t>
      </w:r>
      <w:proofErr w:type="gramEnd"/>
      <w:r w:rsidR="000B4614" w:rsidRPr="004E1208">
        <w:rPr>
          <w:rFonts w:hAnsi="標楷體" w:hint="eastAsia"/>
        </w:rPr>
        <w:t>改土地）</w:t>
      </w:r>
      <w:r w:rsidRPr="004E1208">
        <w:rPr>
          <w:rFonts w:hint="eastAsia"/>
        </w:rPr>
        <w:t>、學產土地、農田水利用地，以及國有非公用土地為例，如按其等負責經辦土地管理之現有員額計算，平均每人經管土地筆數4,432筆（最少為248筆，最多為6,182筆），平均每人經管土地面積2,640公頃（最少為41公頃、最多為4</w:t>
      </w:r>
      <w:r w:rsidRPr="004E1208">
        <w:rPr>
          <w:rFonts w:hint="eastAsia"/>
        </w:rPr>
        <w:tab/>
        <w:t>,031公頃）。平均每人管轄土地筆數、面積，</w:t>
      </w:r>
      <w:proofErr w:type="gramStart"/>
      <w:r w:rsidRPr="004E1208">
        <w:rPr>
          <w:rFonts w:hint="eastAsia"/>
        </w:rPr>
        <w:t>詳表</w:t>
      </w:r>
      <w:proofErr w:type="gramEnd"/>
      <w:r w:rsidRPr="004E1208">
        <w:rPr>
          <w:rFonts w:hint="eastAsia"/>
        </w:rPr>
        <w:t>8。</w:t>
      </w:r>
    </w:p>
    <w:p w:rsidR="008B32A5" w:rsidRPr="004E1208" w:rsidRDefault="008B32A5" w:rsidP="008B32A5">
      <w:pPr>
        <w:pStyle w:val="a4"/>
        <w:ind w:firstLine="229"/>
        <w:jc w:val="center"/>
        <w:rPr>
          <w:b/>
          <w:spacing w:val="0"/>
        </w:rPr>
      </w:pPr>
      <w:bookmarkStart w:id="61" w:name="_Toc139547171"/>
      <w:r w:rsidRPr="004E1208">
        <w:rPr>
          <w:rFonts w:hint="eastAsia"/>
          <w:b/>
          <w:spacing w:val="0"/>
        </w:rPr>
        <w:t>各機關轄管國有土地數量與現有員額比較表</w:t>
      </w:r>
      <w:bookmarkEnd w:id="61"/>
    </w:p>
    <w:p w:rsidR="008B32A5" w:rsidRPr="004E1208" w:rsidRDefault="008B32A5" w:rsidP="008B32A5">
      <w:pPr>
        <w:jc w:val="right"/>
        <w:rPr>
          <w:sz w:val="24"/>
          <w:szCs w:val="24"/>
        </w:rPr>
      </w:pPr>
      <w:r w:rsidRPr="004E1208">
        <w:rPr>
          <w:rFonts w:hint="eastAsia"/>
          <w:sz w:val="24"/>
          <w:szCs w:val="24"/>
        </w:rPr>
        <w:t>單位：筆；公頃；人；筆/人；公頃/人</w:t>
      </w:r>
    </w:p>
    <w:tbl>
      <w:tblPr>
        <w:tblStyle w:val="af7"/>
        <w:tblW w:w="0" w:type="auto"/>
        <w:tblInd w:w="817" w:type="dxa"/>
        <w:tblLook w:val="04A0" w:firstRow="1" w:lastRow="0" w:firstColumn="1" w:lastColumn="0" w:noHBand="0" w:noVBand="1"/>
      </w:tblPr>
      <w:tblGrid>
        <w:gridCol w:w="1727"/>
        <w:gridCol w:w="1303"/>
        <w:gridCol w:w="1271"/>
        <w:gridCol w:w="1238"/>
        <w:gridCol w:w="1239"/>
        <w:gridCol w:w="1239"/>
      </w:tblGrid>
      <w:tr w:rsidR="008B32A5" w:rsidRPr="004E1208" w:rsidTr="00931B2E">
        <w:trPr>
          <w:trHeight w:val="397"/>
        </w:trPr>
        <w:tc>
          <w:tcPr>
            <w:tcW w:w="1809" w:type="dxa"/>
            <w:shd w:val="clear" w:color="auto" w:fill="FDE9D9" w:themeFill="accent6" w:themeFillTint="33"/>
            <w:vAlign w:val="center"/>
          </w:tcPr>
          <w:p w:rsidR="008B32A5" w:rsidRPr="004E1208" w:rsidRDefault="008B32A5" w:rsidP="00931B2E">
            <w:pPr>
              <w:pStyle w:val="4"/>
              <w:numPr>
                <w:ilvl w:val="0"/>
                <w:numId w:val="0"/>
              </w:numPr>
              <w:jc w:val="center"/>
              <w:rPr>
                <w:b/>
                <w:spacing w:val="-20"/>
                <w:sz w:val="24"/>
                <w:szCs w:val="24"/>
              </w:rPr>
            </w:pPr>
            <w:r w:rsidRPr="004E1208">
              <w:rPr>
                <w:rFonts w:hint="eastAsia"/>
                <w:b/>
                <w:spacing w:val="-20"/>
                <w:sz w:val="24"/>
                <w:szCs w:val="24"/>
              </w:rPr>
              <w:t>用地類別</w:t>
            </w:r>
          </w:p>
        </w:tc>
        <w:tc>
          <w:tcPr>
            <w:tcW w:w="1310" w:type="dxa"/>
            <w:shd w:val="clear" w:color="auto" w:fill="FDE9D9" w:themeFill="accent6" w:themeFillTint="33"/>
            <w:vAlign w:val="center"/>
          </w:tcPr>
          <w:p w:rsidR="008B32A5" w:rsidRPr="004E1208" w:rsidRDefault="008B32A5" w:rsidP="00931B2E">
            <w:pPr>
              <w:pStyle w:val="4"/>
              <w:numPr>
                <w:ilvl w:val="0"/>
                <w:numId w:val="0"/>
              </w:numPr>
              <w:jc w:val="center"/>
              <w:rPr>
                <w:b/>
                <w:spacing w:val="-20"/>
                <w:sz w:val="24"/>
                <w:szCs w:val="24"/>
              </w:rPr>
            </w:pPr>
            <w:r w:rsidRPr="004E1208">
              <w:rPr>
                <w:rFonts w:hint="eastAsia"/>
                <w:b/>
                <w:spacing w:val="-20"/>
                <w:sz w:val="24"/>
                <w:szCs w:val="24"/>
              </w:rPr>
              <w:t>土地筆數</w:t>
            </w:r>
          </w:p>
          <w:p w:rsidR="008B32A5" w:rsidRPr="004E1208" w:rsidRDefault="008B32A5" w:rsidP="00931B2E">
            <w:pPr>
              <w:pStyle w:val="4"/>
              <w:numPr>
                <w:ilvl w:val="0"/>
                <w:numId w:val="0"/>
              </w:numPr>
              <w:jc w:val="center"/>
              <w:rPr>
                <w:b/>
                <w:spacing w:val="-20"/>
                <w:sz w:val="24"/>
                <w:szCs w:val="24"/>
              </w:rPr>
            </w:pPr>
            <w:r w:rsidRPr="004E1208">
              <w:rPr>
                <w:rFonts w:hint="eastAsia"/>
                <w:b/>
                <w:spacing w:val="-20"/>
                <w:sz w:val="24"/>
                <w:szCs w:val="24"/>
              </w:rPr>
              <w:t>（</w:t>
            </w:r>
            <w:r w:rsidRPr="004E1208">
              <w:rPr>
                <w:b/>
                <w:spacing w:val="-20"/>
                <w:sz w:val="24"/>
                <w:szCs w:val="24"/>
              </w:rPr>
              <w:t>A）</w:t>
            </w:r>
          </w:p>
        </w:tc>
        <w:tc>
          <w:tcPr>
            <w:tcW w:w="1276" w:type="dxa"/>
            <w:shd w:val="clear" w:color="auto" w:fill="FDE9D9" w:themeFill="accent6" w:themeFillTint="33"/>
            <w:vAlign w:val="center"/>
          </w:tcPr>
          <w:p w:rsidR="008B32A5" w:rsidRPr="004E1208" w:rsidRDefault="008B32A5" w:rsidP="00931B2E">
            <w:pPr>
              <w:pStyle w:val="4"/>
              <w:numPr>
                <w:ilvl w:val="0"/>
                <w:numId w:val="0"/>
              </w:numPr>
              <w:jc w:val="center"/>
              <w:rPr>
                <w:b/>
                <w:spacing w:val="-20"/>
                <w:sz w:val="24"/>
                <w:szCs w:val="24"/>
              </w:rPr>
            </w:pPr>
            <w:r w:rsidRPr="004E1208">
              <w:rPr>
                <w:rFonts w:hint="eastAsia"/>
                <w:b/>
                <w:spacing w:val="-20"/>
                <w:sz w:val="24"/>
                <w:szCs w:val="24"/>
              </w:rPr>
              <w:t>土地面積</w:t>
            </w:r>
          </w:p>
          <w:p w:rsidR="008B32A5" w:rsidRPr="004E1208" w:rsidRDefault="008B32A5" w:rsidP="00931B2E">
            <w:pPr>
              <w:pStyle w:val="4"/>
              <w:numPr>
                <w:ilvl w:val="0"/>
                <w:numId w:val="0"/>
              </w:numPr>
              <w:jc w:val="center"/>
              <w:rPr>
                <w:b/>
                <w:spacing w:val="-20"/>
                <w:sz w:val="24"/>
                <w:szCs w:val="24"/>
              </w:rPr>
            </w:pPr>
            <w:r w:rsidRPr="004E1208">
              <w:rPr>
                <w:rFonts w:hint="eastAsia"/>
                <w:b/>
                <w:spacing w:val="-20"/>
                <w:sz w:val="24"/>
                <w:szCs w:val="24"/>
              </w:rPr>
              <w:t>（</w:t>
            </w:r>
            <w:r w:rsidRPr="004E1208">
              <w:rPr>
                <w:b/>
                <w:spacing w:val="-20"/>
                <w:sz w:val="24"/>
                <w:szCs w:val="24"/>
              </w:rPr>
              <w:t>B）</w:t>
            </w:r>
          </w:p>
        </w:tc>
        <w:tc>
          <w:tcPr>
            <w:tcW w:w="1275" w:type="dxa"/>
            <w:shd w:val="clear" w:color="auto" w:fill="FDE9D9" w:themeFill="accent6" w:themeFillTint="33"/>
            <w:vAlign w:val="center"/>
          </w:tcPr>
          <w:p w:rsidR="008B32A5" w:rsidRPr="004E1208" w:rsidRDefault="008B32A5" w:rsidP="00931B2E">
            <w:pPr>
              <w:pStyle w:val="4"/>
              <w:numPr>
                <w:ilvl w:val="0"/>
                <w:numId w:val="0"/>
              </w:numPr>
              <w:jc w:val="center"/>
              <w:rPr>
                <w:b/>
                <w:spacing w:val="-20"/>
                <w:sz w:val="24"/>
                <w:szCs w:val="24"/>
              </w:rPr>
            </w:pPr>
            <w:r w:rsidRPr="004E1208">
              <w:rPr>
                <w:rFonts w:hint="eastAsia"/>
                <w:b/>
                <w:spacing w:val="-20"/>
                <w:sz w:val="24"/>
                <w:szCs w:val="24"/>
              </w:rPr>
              <w:t>現有員額</w:t>
            </w:r>
          </w:p>
          <w:p w:rsidR="008B32A5" w:rsidRPr="004E1208" w:rsidRDefault="008B32A5" w:rsidP="00931B2E">
            <w:pPr>
              <w:pStyle w:val="4"/>
              <w:numPr>
                <w:ilvl w:val="0"/>
                <w:numId w:val="0"/>
              </w:numPr>
              <w:jc w:val="center"/>
              <w:rPr>
                <w:b/>
                <w:spacing w:val="-20"/>
                <w:sz w:val="24"/>
                <w:szCs w:val="24"/>
              </w:rPr>
            </w:pPr>
            <w:r w:rsidRPr="004E1208">
              <w:rPr>
                <w:rFonts w:hint="eastAsia"/>
                <w:b/>
                <w:spacing w:val="-20"/>
                <w:sz w:val="24"/>
                <w:szCs w:val="24"/>
              </w:rPr>
              <w:t>（</w:t>
            </w:r>
            <w:r w:rsidRPr="004E1208">
              <w:rPr>
                <w:b/>
                <w:spacing w:val="-20"/>
                <w:sz w:val="24"/>
                <w:szCs w:val="24"/>
              </w:rPr>
              <w:t>C）</w:t>
            </w:r>
          </w:p>
        </w:tc>
        <w:tc>
          <w:tcPr>
            <w:tcW w:w="1276" w:type="dxa"/>
            <w:shd w:val="clear" w:color="auto" w:fill="FDE9D9" w:themeFill="accent6" w:themeFillTint="33"/>
            <w:vAlign w:val="center"/>
          </w:tcPr>
          <w:p w:rsidR="008B32A5" w:rsidRPr="004E1208" w:rsidRDefault="008B32A5" w:rsidP="00931B2E">
            <w:pPr>
              <w:pStyle w:val="4"/>
              <w:numPr>
                <w:ilvl w:val="0"/>
                <w:numId w:val="0"/>
              </w:numPr>
              <w:jc w:val="center"/>
              <w:rPr>
                <w:b/>
                <w:spacing w:val="-20"/>
                <w:sz w:val="24"/>
                <w:szCs w:val="24"/>
              </w:rPr>
            </w:pPr>
            <w:proofErr w:type="gramStart"/>
            <w:r w:rsidRPr="004E1208">
              <w:rPr>
                <w:rFonts w:hint="eastAsia"/>
                <w:b/>
                <w:spacing w:val="-20"/>
                <w:sz w:val="24"/>
                <w:szCs w:val="24"/>
              </w:rPr>
              <w:t>人均筆數</w:t>
            </w:r>
            <w:proofErr w:type="gramEnd"/>
          </w:p>
          <w:p w:rsidR="008B32A5" w:rsidRPr="004E1208" w:rsidRDefault="008B32A5" w:rsidP="00931B2E">
            <w:pPr>
              <w:pStyle w:val="4"/>
              <w:numPr>
                <w:ilvl w:val="0"/>
                <w:numId w:val="0"/>
              </w:numPr>
              <w:jc w:val="center"/>
              <w:rPr>
                <w:b/>
                <w:spacing w:val="-20"/>
                <w:sz w:val="24"/>
                <w:szCs w:val="24"/>
              </w:rPr>
            </w:pPr>
            <w:r w:rsidRPr="004E1208">
              <w:rPr>
                <w:rFonts w:hint="eastAsia"/>
                <w:b/>
                <w:spacing w:val="-20"/>
                <w:sz w:val="24"/>
                <w:szCs w:val="24"/>
              </w:rPr>
              <w:t>（</w:t>
            </w:r>
            <w:r w:rsidRPr="004E1208">
              <w:rPr>
                <w:b/>
                <w:spacing w:val="-20"/>
                <w:sz w:val="24"/>
                <w:szCs w:val="24"/>
              </w:rPr>
              <w:t>A）/（C）</w:t>
            </w:r>
          </w:p>
        </w:tc>
        <w:tc>
          <w:tcPr>
            <w:tcW w:w="1276" w:type="dxa"/>
            <w:shd w:val="clear" w:color="auto" w:fill="FDE9D9" w:themeFill="accent6" w:themeFillTint="33"/>
            <w:vAlign w:val="center"/>
          </w:tcPr>
          <w:p w:rsidR="008B32A5" w:rsidRPr="004E1208" w:rsidRDefault="008B32A5" w:rsidP="00931B2E">
            <w:pPr>
              <w:pStyle w:val="4"/>
              <w:numPr>
                <w:ilvl w:val="0"/>
                <w:numId w:val="0"/>
              </w:numPr>
              <w:jc w:val="center"/>
              <w:rPr>
                <w:b/>
                <w:spacing w:val="-20"/>
                <w:sz w:val="24"/>
                <w:szCs w:val="24"/>
              </w:rPr>
            </w:pPr>
            <w:r w:rsidRPr="004E1208">
              <w:rPr>
                <w:rFonts w:hint="eastAsia"/>
                <w:b/>
                <w:spacing w:val="-20"/>
                <w:sz w:val="24"/>
                <w:szCs w:val="24"/>
              </w:rPr>
              <w:t>人均面積</w:t>
            </w:r>
          </w:p>
          <w:p w:rsidR="008B32A5" w:rsidRPr="004E1208" w:rsidRDefault="008B32A5" w:rsidP="00931B2E">
            <w:pPr>
              <w:pStyle w:val="4"/>
              <w:numPr>
                <w:ilvl w:val="0"/>
                <w:numId w:val="0"/>
              </w:numPr>
              <w:jc w:val="center"/>
              <w:rPr>
                <w:b/>
                <w:spacing w:val="-20"/>
                <w:sz w:val="24"/>
                <w:szCs w:val="24"/>
              </w:rPr>
            </w:pPr>
            <w:r w:rsidRPr="004E1208">
              <w:rPr>
                <w:rFonts w:hint="eastAsia"/>
                <w:b/>
                <w:spacing w:val="-20"/>
                <w:sz w:val="24"/>
                <w:szCs w:val="24"/>
              </w:rPr>
              <w:t>（</w:t>
            </w:r>
            <w:r w:rsidRPr="004E1208">
              <w:rPr>
                <w:b/>
                <w:spacing w:val="-20"/>
                <w:sz w:val="24"/>
                <w:szCs w:val="24"/>
              </w:rPr>
              <w:t>B）/（C）</w:t>
            </w:r>
          </w:p>
        </w:tc>
      </w:tr>
      <w:tr w:rsidR="008B32A5" w:rsidRPr="004E1208" w:rsidTr="00931B2E">
        <w:trPr>
          <w:trHeight w:val="397"/>
        </w:trPr>
        <w:tc>
          <w:tcPr>
            <w:tcW w:w="1809" w:type="dxa"/>
            <w:vAlign w:val="center"/>
          </w:tcPr>
          <w:p w:rsidR="008B32A5" w:rsidRPr="004E1208" w:rsidRDefault="008B32A5" w:rsidP="00931B2E">
            <w:pPr>
              <w:pStyle w:val="4"/>
              <w:numPr>
                <w:ilvl w:val="0"/>
                <w:numId w:val="0"/>
              </w:numPr>
              <w:jc w:val="center"/>
              <w:rPr>
                <w:spacing w:val="-20"/>
                <w:sz w:val="24"/>
                <w:szCs w:val="24"/>
              </w:rPr>
            </w:pPr>
            <w:r w:rsidRPr="004E1208">
              <w:rPr>
                <w:rFonts w:hint="eastAsia"/>
                <w:spacing w:val="-20"/>
                <w:sz w:val="24"/>
                <w:szCs w:val="24"/>
              </w:rPr>
              <w:t>國軍營產土地</w:t>
            </w:r>
          </w:p>
          <w:p w:rsidR="008B32A5" w:rsidRPr="004E1208" w:rsidRDefault="008B32A5" w:rsidP="00931B2E">
            <w:pPr>
              <w:pStyle w:val="4"/>
              <w:numPr>
                <w:ilvl w:val="0"/>
                <w:numId w:val="0"/>
              </w:numPr>
              <w:jc w:val="center"/>
              <w:rPr>
                <w:spacing w:val="-20"/>
                <w:sz w:val="24"/>
                <w:szCs w:val="24"/>
              </w:rPr>
            </w:pPr>
            <w:r w:rsidRPr="004E1208">
              <w:rPr>
                <w:rFonts w:hint="eastAsia"/>
                <w:spacing w:val="-20"/>
                <w:sz w:val="24"/>
                <w:szCs w:val="24"/>
              </w:rPr>
              <w:t>（軍備局）</w:t>
            </w:r>
          </w:p>
        </w:tc>
        <w:tc>
          <w:tcPr>
            <w:tcW w:w="1310" w:type="dxa"/>
            <w:vAlign w:val="center"/>
          </w:tcPr>
          <w:p w:rsidR="008B32A5" w:rsidRPr="004E1208" w:rsidRDefault="008B32A5" w:rsidP="00931B2E">
            <w:pPr>
              <w:pStyle w:val="4"/>
              <w:numPr>
                <w:ilvl w:val="0"/>
                <w:numId w:val="0"/>
              </w:numPr>
              <w:jc w:val="right"/>
              <w:rPr>
                <w:spacing w:val="-20"/>
                <w:sz w:val="24"/>
                <w:szCs w:val="24"/>
              </w:rPr>
            </w:pPr>
            <w:r w:rsidRPr="004E1208">
              <w:rPr>
                <w:rFonts w:hint="eastAsia"/>
                <w:spacing w:val="-20"/>
                <w:sz w:val="24"/>
                <w:szCs w:val="24"/>
              </w:rPr>
              <w:t>60</w:t>
            </w:r>
            <w:r w:rsidRPr="004E1208">
              <w:rPr>
                <w:spacing w:val="-20"/>
                <w:sz w:val="24"/>
                <w:szCs w:val="24"/>
              </w:rPr>
              <w:t>,</w:t>
            </w:r>
            <w:r w:rsidRPr="004E1208">
              <w:rPr>
                <w:rFonts w:hint="eastAsia"/>
                <w:spacing w:val="-20"/>
                <w:sz w:val="24"/>
                <w:szCs w:val="24"/>
              </w:rPr>
              <w:t>233</w:t>
            </w:r>
          </w:p>
        </w:tc>
        <w:tc>
          <w:tcPr>
            <w:tcW w:w="1276" w:type="dxa"/>
            <w:vAlign w:val="center"/>
          </w:tcPr>
          <w:p w:rsidR="008B32A5" w:rsidRPr="004E1208" w:rsidRDefault="008B32A5" w:rsidP="00931B2E">
            <w:pPr>
              <w:pStyle w:val="4"/>
              <w:numPr>
                <w:ilvl w:val="0"/>
                <w:numId w:val="0"/>
              </w:numPr>
              <w:jc w:val="right"/>
              <w:rPr>
                <w:spacing w:val="-20"/>
                <w:sz w:val="24"/>
                <w:szCs w:val="24"/>
              </w:rPr>
            </w:pPr>
            <w:r w:rsidRPr="004E1208">
              <w:rPr>
                <w:rFonts w:hint="eastAsia"/>
                <w:spacing w:val="-20"/>
                <w:sz w:val="24"/>
                <w:szCs w:val="24"/>
              </w:rPr>
              <w:t>25</w:t>
            </w:r>
            <w:r w:rsidRPr="004E1208">
              <w:rPr>
                <w:spacing w:val="-20"/>
                <w:sz w:val="24"/>
                <w:szCs w:val="24"/>
              </w:rPr>
              <w:t>,</w:t>
            </w:r>
            <w:r w:rsidRPr="004E1208">
              <w:rPr>
                <w:rFonts w:hint="eastAsia"/>
                <w:spacing w:val="-20"/>
                <w:sz w:val="24"/>
                <w:szCs w:val="24"/>
              </w:rPr>
              <w:t>221</w:t>
            </w:r>
          </w:p>
        </w:tc>
        <w:tc>
          <w:tcPr>
            <w:tcW w:w="1275" w:type="dxa"/>
            <w:vAlign w:val="center"/>
          </w:tcPr>
          <w:p w:rsidR="008B32A5" w:rsidRPr="004E1208" w:rsidRDefault="008B32A5" w:rsidP="00931B2E">
            <w:pPr>
              <w:pStyle w:val="4"/>
              <w:numPr>
                <w:ilvl w:val="0"/>
                <w:numId w:val="0"/>
              </w:numPr>
              <w:jc w:val="right"/>
              <w:rPr>
                <w:spacing w:val="-20"/>
                <w:sz w:val="24"/>
                <w:szCs w:val="24"/>
                <w:vertAlign w:val="superscript"/>
              </w:rPr>
            </w:pPr>
            <w:r w:rsidRPr="004E1208">
              <w:rPr>
                <w:rFonts w:hint="eastAsia"/>
                <w:spacing w:val="-20"/>
                <w:sz w:val="24"/>
                <w:szCs w:val="24"/>
              </w:rPr>
              <w:t>156</w:t>
            </w:r>
            <w:proofErr w:type="gramStart"/>
            <w:r w:rsidRPr="004E1208">
              <w:rPr>
                <w:rFonts w:hint="eastAsia"/>
                <w:spacing w:val="-20"/>
                <w:sz w:val="24"/>
                <w:szCs w:val="24"/>
                <w:vertAlign w:val="superscript"/>
              </w:rPr>
              <w:t>註</w:t>
            </w:r>
            <w:proofErr w:type="gramEnd"/>
            <w:r w:rsidRPr="004E1208">
              <w:rPr>
                <w:rFonts w:hint="eastAsia"/>
                <w:spacing w:val="-20"/>
                <w:sz w:val="24"/>
                <w:szCs w:val="24"/>
                <w:vertAlign w:val="superscript"/>
              </w:rPr>
              <w:t>1</w:t>
            </w:r>
          </w:p>
        </w:tc>
        <w:tc>
          <w:tcPr>
            <w:tcW w:w="1276" w:type="dxa"/>
            <w:vAlign w:val="center"/>
          </w:tcPr>
          <w:p w:rsidR="008B32A5" w:rsidRPr="004E1208" w:rsidRDefault="008B32A5" w:rsidP="00931B2E">
            <w:pPr>
              <w:pStyle w:val="4"/>
              <w:numPr>
                <w:ilvl w:val="0"/>
                <w:numId w:val="0"/>
              </w:numPr>
              <w:jc w:val="right"/>
              <w:rPr>
                <w:b/>
                <w:spacing w:val="-20"/>
                <w:sz w:val="24"/>
                <w:szCs w:val="24"/>
              </w:rPr>
            </w:pPr>
            <w:r w:rsidRPr="004E1208">
              <w:rPr>
                <w:rFonts w:hint="eastAsia"/>
                <w:b/>
                <w:spacing w:val="-20"/>
                <w:sz w:val="24"/>
                <w:szCs w:val="24"/>
              </w:rPr>
              <w:t>386</w:t>
            </w:r>
          </w:p>
        </w:tc>
        <w:tc>
          <w:tcPr>
            <w:tcW w:w="1276" w:type="dxa"/>
            <w:vAlign w:val="center"/>
          </w:tcPr>
          <w:p w:rsidR="008B32A5" w:rsidRPr="004E1208" w:rsidRDefault="008B32A5" w:rsidP="00931B2E">
            <w:pPr>
              <w:pStyle w:val="4"/>
              <w:numPr>
                <w:ilvl w:val="0"/>
                <w:numId w:val="0"/>
              </w:numPr>
              <w:jc w:val="right"/>
              <w:rPr>
                <w:b/>
                <w:spacing w:val="-20"/>
                <w:sz w:val="24"/>
                <w:szCs w:val="24"/>
              </w:rPr>
            </w:pPr>
            <w:r w:rsidRPr="004E1208">
              <w:rPr>
                <w:rFonts w:hint="eastAsia"/>
                <w:b/>
                <w:spacing w:val="-20"/>
                <w:sz w:val="24"/>
                <w:szCs w:val="24"/>
              </w:rPr>
              <w:t>162</w:t>
            </w:r>
          </w:p>
        </w:tc>
      </w:tr>
      <w:tr w:rsidR="008B32A5" w:rsidRPr="004E1208" w:rsidTr="00931B2E">
        <w:trPr>
          <w:trHeight w:val="397"/>
        </w:trPr>
        <w:tc>
          <w:tcPr>
            <w:tcW w:w="1809" w:type="dxa"/>
            <w:vAlign w:val="center"/>
          </w:tcPr>
          <w:p w:rsidR="008B32A5" w:rsidRPr="004E1208" w:rsidRDefault="008B32A5" w:rsidP="00931B2E">
            <w:pPr>
              <w:pStyle w:val="4"/>
              <w:numPr>
                <w:ilvl w:val="0"/>
                <w:numId w:val="0"/>
              </w:numPr>
              <w:jc w:val="center"/>
              <w:rPr>
                <w:spacing w:val="-20"/>
                <w:sz w:val="24"/>
                <w:szCs w:val="24"/>
              </w:rPr>
            </w:pPr>
            <w:proofErr w:type="gramStart"/>
            <w:r w:rsidRPr="004E1208">
              <w:rPr>
                <w:rFonts w:hint="eastAsia"/>
                <w:spacing w:val="-20"/>
                <w:sz w:val="24"/>
                <w:szCs w:val="24"/>
              </w:rPr>
              <w:t>眷</w:t>
            </w:r>
            <w:proofErr w:type="gramEnd"/>
            <w:r w:rsidRPr="004E1208">
              <w:rPr>
                <w:rFonts w:hint="eastAsia"/>
                <w:spacing w:val="-20"/>
                <w:sz w:val="24"/>
                <w:szCs w:val="24"/>
              </w:rPr>
              <w:t>改土地</w:t>
            </w:r>
          </w:p>
          <w:p w:rsidR="008B32A5" w:rsidRPr="004E1208" w:rsidRDefault="008B32A5" w:rsidP="00931B2E">
            <w:pPr>
              <w:pStyle w:val="4"/>
              <w:numPr>
                <w:ilvl w:val="0"/>
                <w:numId w:val="0"/>
              </w:numPr>
              <w:jc w:val="center"/>
              <w:rPr>
                <w:spacing w:val="-20"/>
                <w:sz w:val="24"/>
                <w:szCs w:val="24"/>
              </w:rPr>
            </w:pPr>
            <w:r w:rsidRPr="004E1208">
              <w:rPr>
                <w:rFonts w:hint="eastAsia"/>
                <w:spacing w:val="-20"/>
                <w:sz w:val="24"/>
                <w:szCs w:val="24"/>
              </w:rPr>
              <w:t>（政治作戰局）</w:t>
            </w:r>
          </w:p>
        </w:tc>
        <w:tc>
          <w:tcPr>
            <w:tcW w:w="1310" w:type="dxa"/>
            <w:vAlign w:val="center"/>
          </w:tcPr>
          <w:p w:rsidR="008B32A5" w:rsidRPr="004E1208" w:rsidRDefault="008B32A5" w:rsidP="00931B2E">
            <w:pPr>
              <w:pStyle w:val="4"/>
              <w:numPr>
                <w:ilvl w:val="0"/>
                <w:numId w:val="0"/>
              </w:numPr>
              <w:jc w:val="right"/>
              <w:rPr>
                <w:spacing w:val="-20"/>
                <w:sz w:val="24"/>
                <w:szCs w:val="24"/>
              </w:rPr>
            </w:pPr>
            <w:r w:rsidRPr="004E1208">
              <w:rPr>
                <w:rFonts w:hint="eastAsia"/>
                <w:spacing w:val="-20"/>
                <w:sz w:val="24"/>
                <w:szCs w:val="24"/>
              </w:rPr>
              <w:t>6</w:t>
            </w:r>
            <w:r w:rsidRPr="004E1208">
              <w:rPr>
                <w:spacing w:val="-20"/>
                <w:sz w:val="24"/>
                <w:szCs w:val="24"/>
              </w:rPr>
              <w:t>,</w:t>
            </w:r>
            <w:r w:rsidRPr="004E1208">
              <w:rPr>
                <w:rFonts w:hint="eastAsia"/>
                <w:spacing w:val="-20"/>
                <w:sz w:val="24"/>
                <w:szCs w:val="24"/>
              </w:rPr>
              <w:t>986</w:t>
            </w:r>
          </w:p>
        </w:tc>
        <w:tc>
          <w:tcPr>
            <w:tcW w:w="1276" w:type="dxa"/>
            <w:vAlign w:val="center"/>
          </w:tcPr>
          <w:p w:rsidR="008B32A5" w:rsidRPr="004E1208" w:rsidRDefault="008B32A5" w:rsidP="00931B2E">
            <w:pPr>
              <w:pStyle w:val="4"/>
              <w:numPr>
                <w:ilvl w:val="0"/>
                <w:numId w:val="0"/>
              </w:numPr>
              <w:jc w:val="right"/>
              <w:rPr>
                <w:spacing w:val="-20"/>
                <w:sz w:val="24"/>
                <w:szCs w:val="24"/>
              </w:rPr>
            </w:pPr>
            <w:r w:rsidRPr="004E1208">
              <w:rPr>
                <w:rFonts w:hint="eastAsia"/>
                <w:spacing w:val="-20"/>
                <w:sz w:val="24"/>
                <w:szCs w:val="24"/>
              </w:rPr>
              <w:t>898</w:t>
            </w:r>
          </w:p>
        </w:tc>
        <w:tc>
          <w:tcPr>
            <w:tcW w:w="1275" w:type="dxa"/>
            <w:vAlign w:val="center"/>
          </w:tcPr>
          <w:p w:rsidR="008B32A5" w:rsidRPr="004E1208" w:rsidRDefault="008B32A5" w:rsidP="00931B2E">
            <w:pPr>
              <w:pStyle w:val="4"/>
              <w:numPr>
                <w:ilvl w:val="0"/>
                <w:numId w:val="0"/>
              </w:numPr>
              <w:jc w:val="right"/>
              <w:rPr>
                <w:spacing w:val="-20"/>
                <w:sz w:val="24"/>
                <w:szCs w:val="24"/>
                <w:vertAlign w:val="superscript"/>
              </w:rPr>
            </w:pPr>
            <w:r w:rsidRPr="004E1208">
              <w:rPr>
                <w:rFonts w:hint="eastAsia"/>
                <w:spacing w:val="-20"/>
                <w:sz w:val="24"/>
                <w:szCs w:val="24"/>
              </w:rPr>
              <w:t>16</w:t>
            </w:r>
            <w:proofErr w:type="gramStart"/>
            <w:r w:rsidRPr="004E1208">
              <w:rPr>
                <w:rFonts w:hint="eastAsia"/>
                <w:spacing w:val="-20"/>
                <w:sz w:val="24"/>
                <w:szCs w:val="24"/>
                <w:vertAlign w:val="superscript"/>
              </w:rPr>
              <w:t>註</w:t>
            </w:r>
            <w:proofErr w:type="gramEnd"/>
            <w:r w:rsidRPr="004E1208">
              <w:rPr>
                <w:rFonts w:hint="eastAsia"/>
                <w:spacing w:val="-20"/>
                <w:sz w:val="24"/>
                <w:szCs w:val="24"/>
                <w:vertAlign w:val="superscript"/>
              </w:rPr>
              <w:t>2</w:t>
            </w:r>
          </w:p>
        </w:tc>
        <w:tc>
          <w:tcPr>
            <w:tcW w:w="1276" w:type="dxa"/>
            <w:vAlign w:val="center"/>
          </w:tcPr>
          <w:p w:rsidR="008B32A5" w:rsidRPr="004E1208" w:rsidRDefault="008B32A5" w:rsidP="00931B2E">
            <w:pPr>
              <w:pStyle w:val="4"/>
              <w:numPr>
                <w:ilvl w:val="0"/>
                <w:numId w:val="0"/>
              </w:numPr>
              <w:jc w:val="right"/>
              <w:rPr>
                <w:b/>
                <w:spacing w:val="-20"/>
                <w:sz w:val="24"/>
                <w:szCs w:val="24"/>
              </w:rPr>
            </w:pPr>
            <w:r w:rsidRPr="004E1208">
              <w:rPr>
                <w:rFonts w:hint="eastAsia"/>
                <w:b/>
                <w:spacing w:val="-20"/>
                <w:sz w:val="24"/>
                <w:szCs w:val="24"/>
              </w:rPr>
              <w:t>437</w:t>
            </w:r>
          </w:p>
        </w:tc>
        <w:tc>
          <w:tcPr>
            <w:tcW w:w="1276" w:type="dxa"/>
            <w:vAlign w:val="center"/>
          </w:tcPr>
          <w:p w:rsidR="008B32A5" w:rsidRPr="004E1208" w:rsidRDefault="008B32A5" w:rsidP="00931B2E">
            <w:pPr>
              <w:pStyle w:val="4"/>
              <w:numPr>
                <w:ilvl w:val="0"/>
                <w:numId w:val="0"/>
              </w:numPr>
              <w:jc w:val="right"/>
              <w:rPr>
                <w:b/>
                <w:spacing w:val="-20"/>
                <w:sz w:val="24"/>
                <w:szCs w:val="24"/>
              </w:rPr>
            </w:pPr>
            <w:r w:rsidRPr="004E1208">
              <w:rPr>
                <w:rFonts w:hint="eastAsia"/>
                <w:b/>
                <w:spacing w:val="-20"/>
                <w:sz w:val="24"/>
                <w:szCs w:val="24"/>
              </w:rPr>
              <w:t>56</w:t>
            </w:r>
          </w:p>
        </w:tc>
      </w:tr>
      <w:tr w:rsidR="008B32A5" w:rsidRPr="004E1208" w:rsidTr="00931B2E">
        <w:trPr>
          <w:trHeight w:val="397"/>
        </w:trPr>
        <w:tc>
          <w:tcPr>
            <w:tcW w:w="1809" w:type="dxa"/>
            <w:vAlign w:val="center"/>
          </w:tcPr>
          <w:p w:rsidR="008B32A5" w:rsidRPr="004E1208" w:rsidRDefault="008B32A5" w:rsidP="00931B2E">
            <w:pPr>
              <w:pStyle w:val="4"/>
              <w:numPr>
                <w:ilvl w:val="0"/>
                <w:numId w:val="0"/>
              </w:numPr>
              <w:jc w:val="center"/>
              <w:rPr>
                <w:spacing w:val="-20"/>
                <w:sz w:val="24"/>
                <w:szCs w:val="24"/>
              </w:rPr>
            </w:pPr>
            <w:r w:rsidRPr="004E1208">
              <w:rPr>
                <w:rFonts w:hint="eastAsia"/>
                <w:spacing w:val="-20"/>
                <w:sz w:val="24"/>
                <w:szCs w:val="24"/>
              </w:rPr>
              <w:t>學產土地</w:t>
            </w:r>
          </w:p>
          <w:p w:rsidR="008B32A5" w:rsidRPr="004E1208" w:rsidRDefault="008B32A5" w:rsidP="00931B2E">
            <w:pPr>
              <w:pStyle w:val="4"/>
              <w:numPr>
                <w:ilvl w:val="0"/>
                <w:numId w:val="0"/>
              </w:numPr>
              <w:jc w:val="center"/>
              <w:rPr>
                <w:spacing w:val="-20"/>
                <w:sz w:val="24"/>
                <w:szCs w:val="24"/>
              </w:rPr>
            </w:pPr>
            <w:r w:rsidRPr="004E1208">
              <w:rPr>
                <w:rFonts w:hint="eastAsia"/>
                <w:spacing w:val="-20"/>
                <w:sz w:val="24"/>
                <w:szCs w:val="24"/>
              </w:rPr>
              <w:t>（教育部）</w:t>
            </w:r>
          </w:p>
        </w:tc>
        <w:tc>
          <w:tcPr>
            <w:tcW w:w="1310" w:type="dxa"/>
            <w:vAlign w:val="center"/>
          </w:tcPr>
          <w:p w:rsidR="008B32A5" w:rsidRPr="004E1208" w:rsidRDefault="008B32A5" w:rsidP="00931B2E">
            <w:pPr>
              <w:pStyle w:val="4"/>
              <w:numPr>
                <w:ilvl w:val="0"/>
                <w:numId w:val="0"/>
              </w:numPr>
              <w:jc w:val="right"/>
              <w:rPr>
                <w:spacing w:val="-20"/>
                <w:sz w:val="24"/>
                <w:szCs w:val="24"/>
              </w:rPr>
            </w:pPr>
            <w:r w:rsidRPr="004E1208">
              <w:rPr>
                <w:rFonts w:hint="eastAsia"/>
                <w:spacing w:val="-20"/>
                <w:sz w:val="24"/>
                <w:szCs w:val="24"/>
              </w:rPr>
              <w:t>4</w:t>
            </w:r>
            <w:r w:rsidRPr="004E1208">
              <w:rPr>
                <w:spacing w:val="-20"/>
                <w:sz w:val="24"/>
                <w:szCs w:val="24"/>
              </w:rPr>
              <w:t>,</w:t>
            </w:r>
            <w:r w:rsidRPr="004E1208">
              <w:rPr>
                <w:rFonts w:hint="eastAsia"/>
                <w:spacing w:val="-20"/>
                <w:sz w:val="24"/>
                <w:szCs w:val="24"/>
              </w:rPr>
              <w:t>966</w:t>
            </w:r>
          </w:p>
        </w:tc>
        <w:tc>
          <w:tcPr>
            <w:tcW w:w="1276" w:type="dxa"/>
            <w:vAlign w:val="center"/>
          </w:tcPr>
          <w:p w:rsidR="008B32A5" w:rsidRPr="004E1208" w:rsidRDefault="008B32A5" w:rsidP="00931B2E">
            <w:pPr>
              <w:pStyle w:val="4"/>
              <w:numPr>
                <w:ilvl w:val="0"/>
                <w:numId w:val="0"/>
              </w:numPr>
              <w:jc w:val="right"/>
              <w:rPr>
                <w:spacing w:val="-20"/>
                <w:sz w:val="24"/>
                <w:szCs w:val="24"/>
              </w:rPr>
            </w:pPr>
            <w:r w:rsidRPr="004E1208">
              <w:rPr>
                <w:rFonts w:hint="eastAsia"/>
                <w:spacing w:val="-20"/>
                <w:sz w:val="24"/>
                <w:szCs w:val="24"/>
              </w:rPr>
              <w:t>811</w:t>
            </w:r>
          </w:p>
        </w:tc>
        <w:tc>
          <w:tcPr>
            <w:tcW w:w="1275" w:type="dxa"/>
            <w:vAlign w:val="center"/>
          </w:tcPr>
          <w:p w:rsidR="008B32A5" w:rsidRPr="004E1208" w:rsidRDefault="008B32A5" w:rsidP="00931B2E">
            <w:pPr>
              <w:pStyle w:val="4"/>
              <w:numPr>
                <w:ilvl w:val="0"/>
                <w:numId w:val="0"/>
              </w:numPr>
              <w:jc w:val="right"/>
              <w:rPr>
                <w:spacing w:val="-20"/>
                <w:sz w:val="24"/>
                <w:szCs w:val="24"/>
                <w:vertAlign w:val="superscript"/>
              </w:rPr>
            </w:pPr>
            <w:r w:rsidRPr="004E1208">
              <w:rPr>
                <w:rFonts w:hint="eastAsia"/>
                <w:spacing w:val="-20"/>
                <w:sz w:val="24"/>
                <w:szCs w:val="24"/>
              </w:rPr>
              <w:t>20</w:t>
            </w:r>
            <w:proofErr w:type="gramStart"/>
            <w:r w:rsidRPr="004E1208">
              <w:rPr>
                <w:rFonts w:hint="eastAsia"/>
                <w:spacing w:val="-20"/>
                <w:sz w:val="24"/>
                <w:szCs w:val="24"/>
                <w:vertAlign w:val="superscript"/>
              </w:rPr>
              <w:t>註</w:t>
            </w:r>
            <w:proofErr w:type="gramEnd"/>
            <w:r w:rsidRPr="004E1208">
              <w:rPr>
                <w:rFonts w:hint="eastAsia"/>
                <w:spacing w:val="-20"/>
                <w:sz w:val="24"/>
                <w:szCs w:val="24"/>
                <w:vertAlign w:val="superscript"/>
              </w:rPr>
              <w:t>3</w:t>
            </w:r>
          </w:p>
        </w:tc>
        <w:tc>
          <w:tcPr>
            <w:tcW w:w="1276" w:type="dxa"/>
            <w:vAlign w:val="center"/>
          </w:tcPr>
          <w:p w:rsidR="008B32A5" w:rsidRPr="004E1208" w:rsidRDefault="008B32A5" w:rsidP="00931B2E">
            <w:pPr>
              <w:pStyle w:val="4"/>
              <w:numPr>
                <w:ilvl w:val="0"/>
                <w:numId w:val="0"/>
              </w:numPr>
              <w:jc w:val="right"/>
              <w:rPr>
                <w:b/>
                <w:spacing w:val="-20"/>
                <w:sz w:val="24"/>
                <w:szCs w:val="24"/>
              </w:rPr>
            </w:pPr>
            <w:r w:rsidRPr="004E1208">
              <w:rPr>
                <w:rFonts w:hint="eastAsia"/>
                <w:b/>
                <w:spacing w:val="-20"/>
                <w:sz w:val="24"/>
                <w:szCs w:val="24"/>
              </w:rPr>
              <w:t>248</w:t>
            </w:r>
          </w:p>
        </w:tc>
        <w:tc>
          <w:tcPr>
            <w:tcW w:w="1276" w:type="dxa"/>
            <w:vAlign w:val="center"/>
          </w:tcPr>
          <w:p w:rsidR="008B32A5" w:rsidRPr="004E1208" w:rsidRDefault="008B32A5" w:rsidP="00931B2E">
            <w:pPr>
              <w:pStyle w:val="4"/>
              <w:numPr>
                <w:ilvl w:val="0"/>
                <w:numId w:val="0"/>
              </w:numPr>
              <w:jc w:val="right"/>
              <w:rPr>
                <w:b/>
                <w:spacing w:val="-20"/>
                <w:sz w:val="24"/>
                <w:szCs w:val="24"/>
              </w:rPr>
            </w:pPr>
            <w:r w:rsidRPr="004E1208">
              <w:rPr>
                <w:rFonts w:hint="eastAsia"/>
                <w:b/>
                <w:spacing w:val="-20"/>
                <w:sz w:val="24"/>
                <w:szCs w:val="24"/>
              </w:rPr>
              <w:t>41</w:t>
            </w:r>
          </w:p>
        </w:tc>
      </w:tr>
      <w:tr w:rsidR="008B32A5" w:rsidRPr="004E1208" w:rsidTr="00931B2E">
        <w:trPr>
          <w:trHeight w:val="397"/>
        </w:trPr>
        <w:tc>
          <w:tcPr>
            <w:tcW w:w="1809" w:type="dxa"/>
            <w:vAlign w:val="center"/>
          </w:tcPr>
          <w:p w:rsidR="008B32A5" w:rsidRPr="004E1208" w:rsidRDefault="008B32A5" w:rsidP="00931B2E">
            <w:pPr>
              <w:pStyle w:val="4"/>
              <w:numPr>
                <w:ilvl w:val="0"/>
                <w:numId w:val="0"/>
              </w:numPr>
              <w:jc w:val="center"/>
              <w:rPr>
                <w:spacing w:val="-20"/>
                <w:sz w:val="24"/>
                <w:szCs w:val="24"/>
              </w:rPr>
            </w:pPr>
            <w:r w:rsidRPr="004E1208">
              <w:rPr>
                <w:rFonts w:hint="eastAsia"/>
                <w:spacing w:val="-20"/>
                <w:sz w:val="24"/>
                <w:szCs w:val="24"/>
              </w:rPr>
              <w:t>農田水利用地</w:t>
            </w:r>
          </w:p>
          <w:p w:rsidR="008B32A5" w:rsidRPr="004E1208" w:rsidRDefault="008B32A5" w:rsidP="00931B2E">
            <w:pPr>
              <w:pStyle w:val="4"/>
              <w:numPr>
                <w:ilvl w:val="0"/>
                <w:numId w:val="0"/>
              </w:numPr>
              <w:jc w:val="center"/>
              <w:rPr>
                <w:spacing w:val="-20"/>
                <w:sz w:val="24"/>
                <w:szCs w:val="24"/>
              </w:rPr>
            </w:pPr>
            <w:r w:rsidRPr="004E1208">
              <w:rPr>
                <w:rFonts w:hint="eastAsia"/>
                <w:spacing w:val="-20"/>
                <w:sz w:val="24"/>
                <w:szCs w:val="24"/>
              </w:rPr>
              <w:t>（農水署）</w:t>
            </w:r>
          </w:p>
        </w:tc>
        <w:tc>
          <w:tcPr>
            <w:tcW w:w="1310" w:type="dxa"/>
            <w:vAlign w:val="center"/>
          </w:tcPr>
          <w:p w:rsidR="008B32A5" w:rsidRPr="004E1208" w:rsidRDefault="008B32A5" w:rsidP="00931B2E">
            <w:pPr>
              <w:pStyle w:val="4"/>
              <w:numPr>
                <w:ilvl w:val="0"/>
                <w:numId w:val="0"/>
              </w:numPr>
              <w:jc w:val="right"/>
              <w:rPr>
                <w:spacing w:val="-20"/>
                <w:sz w:val="24"/>
                <w:szCs w:val="24"/>
              </w:rPr>
            </w:pPr>
            <w:r w:rsidRPr="004E1208">
              <w:rPr>
                <w:rFonts w:hint="eastAsia"/>
                <w:spacing w:val="-20"/>
                <w:sz w:val="24"/>
                <w:szCs w:val="24"/>
              </w:rPr>
              <w:t>343</w:t>
            </w:r>
            <w:r w:rsidRPr="004E1208">
              <w:rPr>
                <w:spacing w:val="-20"/>
                <w:sz w:val="24"/>
                <w:szCs w:val="24"/>
              </w:rPr>
              <w:t>,</w:t>
            </w:r>
            <w:r w:rsidRPr="004E1208">
              <w:rPr>
                <w:rFonts w:hint="eastAsia"/>
                <w:spacing w:val="-20"/>
                <w:sz w:val="24"/>
                <w:szCs w:val="24"/>
              </w:rPr>
              <w:t>641</w:t>
            </w:r>
          </w:p>
        </w:tc>
        <w:tc>
          <w:tcPr>
            <w:tcW w:w="1276" w:type="dxa"/>
            <w:vAlign w:val="center"/>
          </w:tcPr>
          <w:p w:rsidR="008B32A5" w:rsidRPr="004E1208" w:rsidRDefault="008B32A5" w:rsidP="00931B2E">
            <w:pPr>
              <w:pStyle w:val="4"/>
              <w:numPr>
                <w:ilvl w:val="0"/>
                <w:numId w:val="0"/>
              </w:numPr>
              <w:jc w:val="right"/>
              <w:rPr>
                <w:spacing w:val="-20"/>
                <w:sz w:val="24"/>
                <w:szCs w:val="24"/>
              </w:rPr>
            </w:pPr>
            <w:r w:rsidRPr="004E1208">
              <w:rPr>
                <w:rFonts w:hint="eastAsia"/>
                <w:spacing w:val="-20"/>
                <w:sz w:val="24"/>
                <w:szCs w:val="24"/>
              </w:rPr>
              <w:t>25</w:t>
            </w:r>
            <w:r w:rsidRPr="004E1208">
              <w:rPr>
                <w:spacing w:val="-20"/>
                <w:sz w:val="24"/>
                <w:szCs w:val="24"/>
              </w:rPr>
              <w:t>,</w:t>
            </w:r>
            <w:r w:rsidRPr="004E1208">
              <w:rPr>
                <w:rFonts w:hint="eastAsia"/>
                <w:spacing w:val="-20"/>
                <w:sz w:val="24"/>
                <w:szCs w:val="24"/>
              </w:rPr>
              <w:t>823</w:t>
            </w:r>
          </w:p>
        </w:tc>
        <w:tc>
          <w:tcPr>
            <w:tcW w:w="1275" w:type="dxa"/>
            <w:vAlign w:val="center"/>
          </w:tcPr>
          <w:p w:rsidR="008B32A5" w:rsidRPr="004E1208" w:rsidRDefault="008B32A5" w:rsidP="00931B2E">
            <w:pPr>
              <w:pStyle w:val="4"/>
              <w:numPr>
                <w:ilvl w:val="0"/>
                <w:numId w:val="0"/>
              </w:numPr>
              <w:jc w:val="right"/>
              <w:rPr>
                <w:spacing w:val="-20"/>
                <w:sz w:val="24"/>
                <w:szCs w:val="24"/>
                <w:vertAlign w:val="superscript"/>
              </w:rPr>
            </w:pPr>
            <w:r w:rsidRPr="004E1208">
              <w:rPr>
                <w:rFonts w:hint="eastAsia"/>
                <w:spacing w:val="-20"/>
                <w:sz w:val="24"/>
                <w:szCs w:val="24"/>
              </w:rPr>
              <w:t>123</w:t>
            </w:r>
            <w:proofErr w:type="gramStart"/>
            <w:r w:rsidRPr="004E1208">
              <w:rPr>
                <w:rFonts w:hint="eastAsia"/>
                <w:spacing w:val="-20"/>
                <w:sz w:val="24"/>
                <w:szCs w:val="24"/>
                <w:vertAlign w:val="superscript"/>
              </w:rPr>
              <w:t>註</w:t>
            </w:r>
            <w:proofErr w:type="gramEnd"/>
            <w:r w:rsidRPr="004E1208">
              <w:rPr>
                <w:rFonts w:hint="eastAsia"/>
                <w:spacing w:val="-20"/>
                <w:sz w:val="24"/>
                <w:szCs w:val="24"/>
                <w:vertAlign w:val="superscript"/>
              </w:rPr>
              <w:t>4</w:t>
            </w:r>
          </w:p>
        </w:tc>
        <w:tc>
          <w:tcPr>
            <w:tcW w:w="1276" w:type="dxa"/>
            <w:vAlign w:val="center"/>
          </w:tcPr>
          <w:p w:rsidR="008B32A5" w:rsidRPr="004E1208" w:rsidRDefault="008B32A5" w:rsidP="00931B2E">
            <w:pPr>
              <w:pStyle w:val="4"/>
              <w:numPr>
                <w:ilvl w:val="0"/>
                <w:numId w:val="0"/>
              </w:numPr>
              <w:jc w:val="right"/>
              <w:rPr>
                <w:b/>
                <w:spacing w:val="-20"/>
                <w:sz w:val="24"/>
                <w:szCs w:val="24"/>
              </w:rPr>
            </w:pPr>
            <w:r w:rsidRPr="004E1208">
              <w:rPr>
                <w:rFonts w:hint="eastAsia"/>
                <w:b/>
                <w:spacing w:val="-20"/>
                <w:sz w:val="24"/>
                <w:szCs w:val="24"/>
              </w:rPr>
              <w:t>2</w:t>
            </w:r>
            <w:r w:rsidRPr="004E1208">
              <w:rPr>
                <w:b/>
                <w:spacing w:val="-20"/>
                <w:sz w:val="24"/>
                <w:szCs w:val="24"/>
              </w:rPr>
              <w:t>,</w:t>
            </w:r>
            <w:r w:rsidRPr="004E1208">
              <w:rPr>
                <w:rFonts w:hint="eastAsia"/>
                <w:b/>
                <w:spacing w:val="-20"/>
                <w:sz w:val="24"/>
                <w:szCs w:val="24"/>
              </w:rPr>
              <w:t>794</w:t>
            </w:r>
          </w:p>
        </w:tc>
        <w:tc>
          <w:tcPr>
            <w:tcW w:w="1276" w:type="dxa"/>
            <w:vAlign w:val="center"/>
          </w:tcPr>
          <w:p w:rsidR="008B32A5" w:rsidRPr="004E1208" w:rsidRDefault="008B32A5" w:rsidP="00931B2E">
            <w:pPr>
              <w:pStyle w:val="4"/>
              <w:numPr>
                <w:ilvl w:val="0"/>
                <w:numId w:val="0"/>
              </w:numPr>
              <w:jc w:val="right"/>
              <w:rPr>
                <w:b/>
                <w:spacing w:val="-20"/>
                <w:sz w:val="24"/>
                <w:szCs w:val="24"/>
              </w:rPr>
            </w:pPr>
            <w:r w:rsidRPr="004E1208">
              <w:rPr>
                <w:rFonts w:hint="eastAsia"/>
                <w:b/>
                <w:spacing w:val="-20"/>
                <w:sz w:val="24"/>
                <w:szCs w:val="24"/>
              </w:rPr>
              <w:t>210</w:t>
            </w:r>
          </w:p>
        </w:tc>
      </w:tr>
      <w:tr w:rsidR="008B32A5" w:rsidRPr="004E1208" w:rsidTr="00931B2E">
        <w:trPr>
          <w:trHeight w:val="397"/>
        </w:trPr>
        <w:tc>
          <w:tcPr>
            <w:tcW w:w="1809" w:type="dxa"/>
            <w:vAlign w:val="center"/>
          </w:tcPr>
          <w:p w:rsidR="008B32A5" w:rsidRPr="004E1208" w:rsidRDefault="008B32A5" w:rsidP="00931B2E">
            <w:pPr>
              <w:pStyle w:val="4"/>
              <w:numPr>
                <w:ilvl w:val="0"/>
                <w:numId w:val="0"/>
              </w:numPr>
              <w:jc w:val="center"/>
              <w:rPr>
                <w:spacing w:val="-20"/>
                <w:sz w:val="24"/>
                <w:szCs w:val="24"/>
              </w:rPr>
            </w:pPr>
            <w:r w:rsidRPr="004E1208">
              <w:rPr>
                <w:rFonts w:hint="eastAsia"/>
                <w:spacing w:val="-20"/>
                <w:sz w:val="24"/>
                <w:szCs w:val="24"/>
              </w:rPr>
              <w:t>國有非公用土地</w:t>
            </w:r>
          </w:p>
          <w:p w:rsidR="008B32A5" w:rsidRPr="004E1208" w:rsidRDefault="008B32A5" w:rsidP="00931B2E">
            <w:pPr>
              <w:pStyle w:val="4"/>
              <w:numPr>
                <w:ilvl w:val="0"/>
                <w:numId w:val="0"/>
              </w:numPr>
              <w:jc w:val="center"/>
              <w:rPr>
                <w:spacing w:val="-20"/>
                <w:sz w:val="24"/>
                <w:szCs w:val="24"/>
              </w:rPr>
            </w:pPr>
            <w:r w:rsidRPr="004E1208">
              <w:rPr>
                <w:rFonts w:hint="eastAsia"/>
                <w:spacing w:val="-20"/>
                <w:sz w:val="24"/>
                <w:szCs w:val="24"/>
              </w:rPr>
              <w:t>（國產署）</w:t>
            </w:r>
          </w:p>
        </w:tc>
        <w:tc>
          <w:tcPr>
            <w:tcW w:w="1310" w:type="dxa"/>
            <w:vAlign w:val="center"/>
          </w:tcPr>
          <w:p w:rsidR="008B32A5" w:rsidRPr="004E1208" w:rsidRDefault="008B32A5" w:rsidP="00931B2E">
            <w:pPr>
              <w:pStyle w:val="4"/>
              <w:numPr>
                <w:ilvl w:val="0"/>
                <w:numId w:val="0"/>
              </w:numPr>
              <w:jc w:val="right"/>
              <w:rPr>
                <w:spacing w:val="-20"/>
                <w:sz w:val="24"/>
                <w:szCs w:val="24"/>
              </w:rPr>
            </w:pPr>
            <w:r w:rsidRPr="004E1208">
              <w:rPr>
                <w:rFonts w:hint="eastAsia"/>
                <w:spacing w:val="-20"/>
                <w:sz w:val="24"/>
                <w:szCs w:val="24"/>
              </w:rPr>
              <w:t>3</w:t>
            </w:r>
            <w:r w:rsidRPr="004E1208">
              <w:rPr>
                <w:spacing w:val="-20"/>
                <w:sz w:val="24"/>
                <w:szCs w:val="24"/>
              </w:rPr>
              <w:t>,</w:t>
            </w:r>
            <w:r w:rsidRPr="004E1208">
              <w:rPr>
                <w:rFonts w:hint="eastAsia"/>
                <w:spacing w:val="-20"/>
                <w:sz w:val="24"/>
                <w:szCs w:val="24"/>
              </w:rPr>
              <w:t>461</w:t>
            </w:r>
            <w:r w:rsidRPr="004E1208">
              <w:rPr>
                <w:spacing w:val="-20"/>
                <w:sz w:val="24"/>
                <w:szCs w:val="24"/>
              </w:rPr>
              <w:t>,</w:t>
            </w:r>
            <w:r w:rsidRPr="004E1208">
              <w:rPr>
                <w:rFonts w:hint="eastAsia"/>
                <w:spacing w:val="-20"/>
                <w:sz w:val="24"/>
                <w:szCs w:val="24"/>
              </w:rPr>
              <w:t>815</w:t>
            </w:r>
          </w:p>
        </w:tc>
        <w:tc>
          <w:tcPr>
            <w:tcW w:w="1276" w:type="dxa"/>
            <w:vAlign w:val="center"/>
          </w:tcPr>
          <w:p w:rsidR="008B32A5" w:rsidRPr="004E1208" w:rsidRDefault="008B32A5" w:rsidP="00931B2E">
            <w:pPr>
              <w:pStyle w:val="4"/>
              <w:numPr>
                <w:ilvl w:val="0"/>
                <w:numId w:val="0"/>
              </w:numPr>
              <w:jc w:val="right"/>
              <w:rPr>
                <w:spacing w:val="-20"/>
                <w:sz w:val="24"/>
                <w:szCs w:val="24"/>
              </w:rPr>
            </w:pPr>
            <w:r w:rsidRPr="004E1208">
              <w:rPr>
                <w:rFonts w:hint="eastAsia"/>
                <w:spacing w:val="-20"/>
                <w:sz w:val="24"/>
                <w:szCs w:val="24"/>
              </w:rPr>
              <w:t>2</w:t>
            </w:r>
            <w:r w:rsidRPr="004E1208">
              <w:rPr>
                <w:spacing w:val="-20"/>
                <w:sz w:val="24"/>
                <w:szCs w:val="24"/>
              </w:rPr>
              <w:t>,</w:t>
            </w:r>
            <w:r w:rsidRPr="004E1208">
              <w:rPr>
                <w:rFonts w:hint="eastAsia"/>
                <w:spacing w:val="-20"/>
                <w:sz w:val="24"/>
                <w:szCs w:val="24"/>
              </w:rPr>
              <w:t>257</w:t>
            </w:r>
            <w:r w:rsidRPr="004E1208">
              <w:rPr>
                <w:spacing w:val="-20"/>
                <w:sz w:val="24"/>
                <w:szCs w:val="24"/>
              </w:rPr>
              <w:t>,</w:t>
            </w:r>
            <w:r w:rsidRPr="004E1208">
              <w:rPr>
                <w:rFonts w:hint="eastAsia"/>
                <w:spacing w:val="-20"/>
                <w:sz w:val="24"/>
                <w:szCs w:val="24"/>
              </w:rPr>
              <w:t>282</w:t>
            </w:r>
          </w:p>
        </w:tc>
        <w:tc>
          <w:tcPr>
            <w:tcW w:w="1275" w:type="dxa"/>
            <w:vAlign w:val="center"/>
          </w:tcPr>
          <w:p w:rsidR="008B32A5" w:rsidRPr="004E1208" w:rsidRDefault="008B32A5" w:rsidP="00931B2E">
            <w:pPr>
              <w:pStyle w:val="4"/>
              <w:numPr>
                <w:ilvl w:val="0"/>
                <w:numId w:val="0"/>
              </w:numPr>
              <w:jc w:val="right"/>
              <w:rPr>
                <w:spacing w:val="-20"/>
                <w:sz w:val="24"/>
                <w:szCs w:val="24"/>
                <w:vertAlign w:val="superscript"/>
              </w:rPr>
            </w:pPr>
            <w:r w:rsidRPr="004E1208">
              <w:rPr>
                <w:rFonts w:hint="eastAsia"/>
                <w:spacing w:val="-20"/>
                <w:sz w:val="24"/>
                <w:szCs w:val="24"/>
              </w:rPr>
              <w:t>560</w:t>
            </w:r>
            <w:proofErr w:type="gramStart"/>
            <w:r w:rsidRPr="004E1208">
              <w:rPr>
                <w:rFonts w:hint="eastAsia"/>
                <w:spacing w:val="-20"/>
                <w:sz w:val="24"/>
                <w:szCs w:val="24"/>
                <w:vertAlign w:val="superscript"/>
              </w:rPr>
              <w:t>註</w:t>
            </w:r>
            <w:proofErr w:type="gramEnd"/>
            <w:r w:rsidRPr="004E1208">
              <w:rPr>
                <w:rFonts w:hint="eastAsia"/>
                <w:spacing w:val="-20"/>
                <w:sz w:val="24"/>
                <w:szCs w:val="24"/>
                <w:vertAlign w:val="superscript"/>
              </w:rPr>
              <w:t>5</w:t>
            </w:r>
          </w:p>
        </w:tc>
        <w:tc>
          <w:tcPr>
            <w:tcW w:w="1276" w:type="dxa"/>
            <w:vAlign w:val="center"/>
          </w:tcPr>
          <w:p w:rsidR="008B32A5" w:rsidRPr="004E1208" w:rsidRDefault="008B32A5" w:rsidP="00931B2E">
            <w:pPr>
              <w:pStyle w:val="4"/>
              <w:numPr>
                <w:ilvl w:val="0"/>
                <w:numId w:val="0"/>
              </w:numPr>
              <w:jc w:val="right"/>
              <w:rPr>
                <w:b/>
                <w:spacing w:val="-20"/>
                <w:sz w:val="24"/>
                <w:szCs w:val="24"/>
              </w:rPr>
            </w:pPr>
            <w:r w:rsidRPr="004E1208">
              <w:rPr>
                <w:b/>
                <w:spacing w:val="-20"/>
                <w:sz w:val="24"/>
                <w:szCs w:val="24"/>
              </w:rPr>
              <w:t>6</w:t>
            </w:r>
            <w:r w:rsidRPr="004E1208">
              <w:rPr>
                <w:rFonts w:hint="eastAsia"/>
                <w:b/>
                <w:spacing w:val="-20"/>
                <w:sz w:val="24"/>
                <w:szCs w:val="24"/>
              </w:rPr>
              <w:t>,</w:t>
            </w:r>
            <w:r w:rsidRPr="004E1208">
              <w:rPr>
                <w:b/>
                <w:spacing w:val="-20"/>
                <w:sz w:val="24"/>
                <w:szCs w:val="24"/>
              </w:rPr>
              <w:t>182</w:t>
            </w:r>
          </w:p>
        </w:tc>
        <w:tc>
          <w:tcPr>
            <w:tcW w:w="1276" w:type="dxa"/>
            <w:vAlign w:val="center"/>
          </w:tcPr>
          <w:p w:rsidR="008B32A5" w:rsidRPr="004E1208" w:rsidRDefault="008B32A5" w:rsidP="00931B2E">
            <w:pPr>
              <w:pStyle w:val="4"/>
              <w:numPr>
                <w:ilvl w:val="0"/>
                <w:numId w:val="0"/>
              </w:numPr>
              <w:jc w:val="right"/>
              <w:rPr>
                <w:b/>
                <w:spacing w:val="-20"/>
                <w:sz w:val="24"/>
                <w:szCs w:val="24"/>
              </w:rPr>
            </w:pPr>
            <w:r w:rsidRPr="004E1208">
              <w:rPr>
                <w:rFonts w:hint="eastAsia"/>
                <w:b/>
                <w:spacing w:val="-20"/>
                <w:sz w:val="24"/>
                <w:szCs w:val="24"/>
              </w:rPr>
              <w:t>4,031</w:t>
            </w:r>
          </w:p>
        </w:tc>
      </w:tr>
      <w:tr w:rsidR="008B32A5" w:rsidRPr="004E1208" w:rsidTr="00931B2E">
        <w:trPr>
          <w:trHeight w:val="397"/>
        </w:trPr>
        <w:tc>
          <w:tcPr>
            <w:tcW w:w="5670" w:type="dxa"/>
            <w:gridSpan w:val="4"/>
            <w:shd w:val="clear" w:color="auto" w:fill="FDE9D9" w:themeFill="accent6" w:themeFillTint="33"/>
            <w:vAlign w:val="center"/>
          </w:tcPr>
          <w:p w:rsidR="008B32A5" w:rsidRPr="004E1208" w:rsidRDefault="008B32A5" w:rsidP="00931B2E">
            <w:pPr>
              <w:pStyle w:val="4"/>
              <w:numPr>
                <w:ilvl w:val="0"/>
                <w:numId w:val="0"/>
              </w:numPr>
              <w:jc w:val="right"/>
              <w:rPr>
                <w:spacing w:val="-20"/>
                <w:sz w:val="24"/>
                <w:szCs w:val="24"/>
              </w:rPr>
            </w:pPr>
            <w:r w:rsidRPr="004E1208">
              <w:rPr>
                <w:rFonts w:hint="eastAsia"/>
                <w:spacing w:val="-20"/>
                <w:sz w:val="24"/>
                <w:szCs w:val="24"/>
              </w:rPr>
              <w:t>總平均</w:t>
            </w:r>
          </w:p>
        </w:tc>
        <w:tc>
          <w:tcPr>
            <w:tcW w:w="1276" w:type="dxa"/>
            <w:shd w:val="clear" w:color="auto" w:fill="FDE9D9" w:themeFill="accent6" w:themeFillTint="33"/>
            <w:vAlign w:val="center"/>
          </w:tcPr>
          <w:p w:rsidR="008B32A5" w:rsidRPr="004E1208" w:rsidRDefault="008B32A5" w:rsidP="00931B2E">
            <w:pPr>
              <w:pStyle w:val="4"/>
              <w:numPr>
                <w:ilvl w:val="0"/>
                <w:numId w:val="0"/>
              </w:numPr>
              <w:jc w:val="right"/>
              <w:rPr>
                <w:b/>
                <w:spacing w:val="-20"/>
                <w:sz w:val="24"/>
                <w:szCs w:val="24"/>
              </w:rPr>
            </w:pPr>
            <w:r w:rsidRPr="004E1208">
              <w:rPr>
                <w:rFonts w:hint="eastAsia"/>
                <w:b/>
                <w:spacing w:val="-20"/>
                <w:sz w:val="24"/>
                <w:szCs w:val="24"/>
              </w:rPr>
              <w:t>4</w:t>
            </w:r>
            <w:r w:rsidRPr="004E1208">
              <w:rPr>
                <w:b/>
                <w:spacing w:val="-20"/>
                <w:sz w:val="24"/>
                <w:szCs w:val="24"/>
              </w:rPr>
              <w:t>,</w:t>
            </w:r>
            <w:r w:rsidRPr="004E1208">
              <w:rPr>
                <w:rFonts w:hint="eastAsia"/>
                <w:b/>
                <w:spacing w:val="-20"/>
                <w:sz w:val="24"/>
                <w:szCs w:val="24"/>
              </w:rPr>
              <w:t>432</w:t>
            </w:r>
          </w:p>
        </w:tc>
        <w:tc>
          <w:tcPr>
            <w:tcW w:w="1276" w:type="dxa"/>
            <w:shd w:val="clear" w:color="auto" w:fill="FDE9D9" w:themeFill="accent6" w:themeFillTint="33"/>
            <w:vAlign w:val="center"/>
          </w:tcPr>
          <w:p w:rsidR="008B32A5" w:rsidRPr="004E1208" w:rsidRDefault="008B32A5" w:rsidP="00931B2E">
            <w:pPr>
              <w:pStyle w:val="4"/>
              <w:numPr>
                <w:ilvl w:val="0"/>
                <w:numId w:val="0"/>
              </w:numPr>
              <w:jc w:val="right"/>
              <w:rPr>
                <w:b/>
                <w:spacing w:val="-20"/>
                <w:sz w:val="24"/>
                <w:szCs w:val="24"/>
              </w:rPr>
            </w:pPr>
            <w:r w:rsidRPr="004E1208">
              <w:rPr>
                <w:rFonts w:hint="eastAsia"/>
                <w:b/>
                <w:spacing w:val="-20"/>
                <w:sz w:val="24"/>
                <w:szCs w:val="24"/>
              </w:rPr>
              <w:t>2</w:t>
            </w:r>
            <w:r w:rsidRPr="004E1208">
              <w:rPr>
                <w:b/>
                <w:spacing w:val="-20"/>
                <w:sz w:val="24"/>
                <w:szCs w:val="24"/>
              </w:rPr>
              <w:t>,6</w:t>
            </w:r>
            <w:r w:rsidRPr="004E1208">
              <w:rPr>
                <w:rFonts w:hint="eastAsia"/>
                <w:b/>
                <w:spacing w:val="-20"/>
                <w:sz w:val="24"/>
                <w:szCs w:val="24"/>
              </w:rPr>
              <w:t>40</w:t>
            </w:r>
          </w:p>
        </w:tc>
      </w:tr>
    </w:tbl>
    <w:p w:rsidR="008B32A5" w:rsidRPr="004E1208" w:rsidRDefault="008B32A5" w:rsidP="008B32A5">
      <w:pPr>
        <w:pStyle w:val="4"/>
        <w:numPr>
          <w:ilvl w:val="0"/>
          <w:numId w:val="0"/>
        </w:numPr>
        <w:snapToGrid w:val="0"/>
        <w:ind w:leftChars="208" w:left="708"/>
        <w:rPr>
          <w:sz w:val="24"/>
          <w:szCs w:val="24"/>
        </w:rPr>
      </w:pPr>
      <w:proofErr w:type="gramStart"/>
      <w:r w:rsidRPr="004E1208">
        <w:rPr>
          <w:rFonts w:hint="eastAsia"/>
          <w:sz w:val="24"/>
          <w:szCs w:val="24"/>
        </w:rPr>
        <w:t>註</w:t>
      </w:r>
      <w:proofErr w:type="gramEnd"/>
      <w:r w:rsidRPr="004E1208">
        <w:rPr>
          <w:rFonts w:hint="eastAsia"/>
          <w:sz w:val="24"/>
          <w:szCs w:val="24"/>
        </w:rPr>
        <w:t>1：含軍備局工程營產中心下設北、中、南地區工程營產處。</w:t>
      </w:r>
    </w:p>
    <w:p w:rsidR="008B32A5" w:rsidRPr="004E1208" w:rsidRDefault="008B32A5" w:rsidP="008B32A5">
      <w:pPr>
        <w:pStyle w:val="4"/>
        <w:numPr>
          <w:ilvl w:val="0"/>
          <w:numId w:val="0"/>
        </w:numPr>
        <w:snapToGrid w:val="0"/>
        <w:ind w:leftChars="208" w:left="708"/>
        <w:rPr>
          <w:sz w:val="24"/>
          <w:szCs w:val="24"/>
        </w:rPr>
      </w:pPr>
      <w:proofErr w:type="gramStart"/>
      <w:r w:rsidRPr="004E1208">
        <w:rPr>
          <w:rFonts w:hint="eastAsia"/>
          <w:sz w:val="24"/>
          <w:szCs w:val="24"/>
        </w:rPr>
        <w:t>註</w:t>
      </w:r>
      <w:proofErr w:type="gramEnd"/>
      <w:r w:rsidRPr="004E1208">
        <w:rPr>
          <w:rFonts w:hint="eastAsia"/>
          <w:sz w:val="24"/>
          <w:szCs w:val="24"/>
        </w:rPr>
        <w:t>2：政治作戰局軍眷服務處承辦</w:t>
      </w:r>
      <w:proofErr w:type="gramStart"/>
      <w:r w:rsidRPr="004E1208">
        <w:rPr>
          <w:rFonts w:hint="eastAsia"/>
          <w:sz w:val="24"/>
          <w:szCs w:val="24"/>
        </w:rPr>
        <w:t>眷</w:t>
      </w:r>
      <w:proofErr w:type="gramEnd"/>
      <w:r w:rsidRPr="004E1208">
        <w:rPr>
          <w:rFonts w:hint="eastAsia"/>
          <w:sz w:val="24"/>
          <w:szCs w:val="24"/>
        </w:rPr>
        <w:t>改土地業務</w:t>
      </w:r>
      <w:proofErr w:type="gramStart"/>
      <w:r w:rsidRPr="004E1208">
        <w:rPr>
          <w:rFonts w:hint="eastAsia"/>
          <w:sz w:val="24"/>
          <w:szCs w:val="24"/>
        </w:rPr>
        <w:t>之現員人數</w:t>
      </w:r>
      <w:proofErr w:type="gramEnd"/>
      <w:r w:rsidRPr="004E1208">
        <w:rPr>
          <w:rFonts w:hint="eastAsia"/>
          <w:sz w:val="24"/>
          <w:szCs w:val="24"/>
        </w:rPr>
        <w:t>。</w:t>
      </w:r>
    </w:p>
    <w:p w:rsidR="008B32A5" w:rsidRPr="004E1208" w:rsidRDefault="008B32A5" w:rsidP="008B32A5">
      <w:pPr>
        <w:pStyle w:val="4"/>
        <w:numPr>
          <w:ilvl w:val="0"/>
          <w:numId w:val="0"/>
        </w:numPr>
        <w:snapToGrid w:val="0"/>
        <w:ind w:leftChars="208" w:left="1358" w:hangingChars="250" w:hanging="650"/>
        <w:rPr>
          <w:sz w:val="24"/>
          <w:szCs w:val="24"/>
        </w:rPr>
      </w:pPr>
      <w:proofErr w:type="gramStart"/>
      <w:r w:rsidRPr="004E1208">
        <w:rPr>
          <w:rFonts w:hint="eastAsia"/>
          <w:sz w:val="24"/>
          <w:szCs w:val="24"/>
        </w:rPr>
        <w:t>註</w:t>
      </w:r>
      <w:proofErr w:type="gramEnd"/>
      <w:r w:rsidRPr="004E1208">
        <w:rPr>
          <w:rFonts w:hint="eastAsia"/>
          <w:sz w:val="24"/>
          <w:szCs w:val="24"/>
        </w:rPr>
        <w:t>3：教育部秘書處學產管理科負責學產土地管理業務之現有人數（含科長）。</w:t>
      </w:r>
    </w:p>
    <w:p w:rsidR="008B32A5" w:rsidRPr="004E1208" w:rsidRDefault="008B32A5" w:rsidP="008B32A5">
      <w:pPr>
        <w:pStyle w:val="4"/>
        <w:numPr>
          <w:ilvl w:val="0"/>
          <w:numId w:val="0"/>
        </w:numPr>
        <w:snapToGrid w:val="0"/>
        <w:ind w:leftChars="208" w:left="1358" w:hangingChars="250" w:hanging="650"/>
        <w:rPr>
          <w:sz w:val="24"/>
          <w:szCs w:val="24"/>
        </w:rPr>
      </w:pPr>
      <w:proofErr w:type="gramStart"/>
      <w:r w:rsidRPr="004E1208">
        <w:rPr>
          <w:rFonts w:hint="eastAsia"/>
          <w:sz w:val="24"/>
          <w:szCs w:val="24"/>
        </w:rPr>
        <w:t>註</w:t>
      </w:r>
      <w:proofErr w:type="gramEnd"/>
      <w:r w:rsidRPr="004E1208">
        <w:rPr>
          <w:rFonts w:hint="eastAsia"/>
          <w:sz w:val="24"/>
          <w:szCs w:val="24"/>
        </w:rPr>
        <w:t>4：</w:t>
      </w:r>
      <w:proofErr w:type="gramStart"/>
      <w:r w:rsidRPr="004E1208">
        <w:rPr>
          <w:rFonts w:hint="eastAsia"/>
          <w:sz w:val="24"/>
          <w:szCs w:val="24"/>
        </w:rPr>
        <w:t>含農水署</w:t>
      </w:r>
      <w:proofErr w:type="gramEnd"/>
      <w:r w:rsidRPr="004E1208">
        <w:rPr>
          <w:rFonts w:hint="eastAsia"/>
          <w:sz w:val="24"/>
          <w:szCs w:val="24"/>
        </w:rPr>
        <w:t>綜合企劃組財務科（3人），以及所屬各管理處負責管理土地業務（1</w:t>
      </w:r>
      <w:r w:rsidRPr="004E1208">
        <w:rPr>
          <w:sz w:val="24"/>
          <w:szCs w:val="24"/>
        </w:rPr>
        <w:t>20</w:t>
      </w:r>
      <w:r w:rsidRPr="004E1208">
        <w:rPr>
          <w:rFonts w:hint="eastAsia"/>
          <w:sz w:val="24"/>
          <w:szCs w:val="24"/>
        </w:rPr>
        <w:t>人）之現有人數。</w:t>
      </w:r>
    </w:p>
    <w:p w:rsidR="008B32A5" w:rsidRPr="004E1208" w:rsidRDefault="008B32A5" w:rsidP="008B32A5">
      <w:pPr>
        <w:pStyle w:val="4"/>
        <w:numPr>
          <w:ilvl w:val="0"/>
          <w:numId w:val="0"/>
        </w:numPr>
        <w:snapToGrid w:val="0"/>
        <w:ind w:leftChars="208" w:left="1358" w:hangingChars="250" w:hanging="650"/>
        <w:rPr>
          <w:sz w:val="24"/>
          <w:szCs w:val="24"/>
        </w:rPr>
      </w:pPr>
      <w:proofErr w:type="gramStart"/>
      <w:r w:rsidRPr="004E1208">
        <w:rPr>
          <w:rFonts w:hint="eastAsia"/>
          <w:sz w:val="24"/>
          <w:szCs w:val="24"/>
        </w:rPr>
        <w:t>註</w:t>
      </w:r>
      <w:proofErr w:type="gramEnd"/>
      <w:r w:rsidRPr="004E1208">
        <w:rPr>
          <w:rFonts w:hint="eastAsia"/>
          <w:sz w:val="24"/>
          <w:szCs w:val="24"/>
        </w:rPr>
        <w:t>5：指</w:t>
      </w:r>
      <w:proofErr w:type="gramStart"/>
      <w:r w:rsidRPr="004E1208">
        <w:rPr>
          <w:rFonts w:hint="eastAsia"/>
          <w:sz w:val="24"/>
          <w:szCs w:val="24"/>
        </w:rPr>
        <w:t>國產署暨所屬</w:t>
      </w:r>
      <w:proofErr w:type="gramEnd"/>
      <w:r w:rsidRPr="004E1208">
        <w:rPr>
          <w:rFonts w:hint="eastAsia"/>
          <w:sz w:val="24"/>
          <w:szCs w:val="24"/>
        </w:rPr>
        <w:t>北、中、南區分署之現有員額，但不含聘僱人員、工友、臨時人員等</w:t>
      </w:r>
      <w:r w:rsidRPr="004E1208">
        <w:rPr>
          <w:rStyle w:val="afd"/>
          <w:sz w:val="24"/>
          <w:szCs w:val="24"/>
        </w:rPr>
        <w:footnoteReference w:id="15"/>
      </w:r>
      <w:r w:rsidRPr="004E1208">
        <w:rPr>
          <w:rFonts w:hint="eastAsia"/>
          <w:sz w:val="24"/>
          <w:szCs w:val="24"/>
        </w:rPr>
        <w:t>。</w:t>
      </w:r>
    </w:p>
    <w:p w:rsidR="008B32A5" w:rsidRPr="004E1208" w:rsidRDefault="008B32A5" w:rsidP="00646048">
      <w:pPr>
        <w:pStyle w:val="4"/>
        <w:numPr>
          <w:ilvl w:val="0"/>
          <w:numId w:val="0"/>
        </w:numPr>
        <w:snapToGrid w:val="0"/>
        <w:spacing w:afterLines="50" w:after="228"/>
        <w:ind w:leftChars="208" w:left="1985" w:hangingChars="491" w:hanging="1277"/>
        <w:rPr>
          <w:sz w:val="24"/>
          <w:szCs w:val="24"/>
        </w:rPr>
      </w:pPr>
      <w:r w:rsidRPr="004E1208">
        <w:rPr>
          <w:rFonts w:hint="eastAsia"/>
          <w:sz w:val="24"/>
          <w:szCs w:val="24"/>
        </w:rPr>
        <w:t>資料來源：本調查研究報告依機關提供資料整理製作</w:t>
      </w:r>
      <w:r w:rsidR="00646048">
        <w:rPr>
          <w:rFonts w:hint="eastAsia"/>
          <w:sz w:val="24"/>
          <w:szCs w:val="24"/>
        </w:rPr>
        <w:t>；資料時間為111年底112年初</w:t>
      </w:r>
      <w:r w:rsidRPr="004E1208">
        <w:rPr>
          <w:rFonts w:hint="eastAsia"/>
          <w:sz w:val="24"/>
          <w:szCs w:val="24"/>
        </w:rPr>
        <w:t>。</w:t>
      </w:r>
    </w:p>
    <w:p w:rsidR="008B32A5" w:rsidRPr="004E1208" w:rsidRDefault="008B32A5" w:rsidP="008B32A5">
      <w:pPr>
        <w:pStyle w:val="3"/>
      </w:pPr>
      <w:r w:rsidRPr="004E1208">
        <w:rPr>
          <w:rFonts w:hint="eastAsia"/>
        </w:rPr>
        <w:lastRenderedPageBreak/>
        <w:t>國有土地數量龐大，使用情形複雜，然而管理機關人力有限，管理負擔繁重，加上部分國有土地尚有位於深山及偏遠地區等情形，</w:t>
      </w:r>
      <w:proofErr w:type="gramStart"/>
      <w:r w:rsidRPr="004E1208">
        <w:rPr>
          <w:rFonts w:hint="eastAsia"/>
        </w:rPr>
        <w:t>囿</w:t>
      </w:r>
      <w:proofErr w:type="gramEnd"/>
      <w:r w:rsidRPr="004E1208">
        <w:rPr>
          <w:rFonts w:hint="eastAsia"/>
        </w:rPr>
        <w:t>於</w:t>
      </w:r>
      <w:proofErr w:type="gramStart"/>
      <w:r w:rsidRPr="004E1208">
        <w:rPr>
          <w:rFonts w:hint="eastAsia"/>
        </w:rPr>
        <w:t>人力巡管範圍</w:t>
      </w:r>
      <w:proofErr w:type="gramEnd"/>
      <w:r w:rsidRPr="004E1208">
        <w:rPr>
          <w:rFonts w:hint="eastAsia"/>
        </w:rPr>
        <w:t>有限，因此傳統的人工巡查、圍籬施設等方式，已不足因應國有土地</w:t>
      </w:r>
      <w:proofErr w:type="gramStart"/>
      <w:r w:rsidRPr="004E1208">
        <w:rPr>
          <w:rFonts w:hint="eastAsia"/>
        </w:rPr>
        <w:t>日常巡管需求</w:t>
      </w:r>
      <w:proofErr w:type="gramEnd"/>
      <w:r w:rsidRPr="004E1208">
        <w:rPr>
          <w:rFonts w:hint="eastAsia"/>
        </w:rPr>
        <w:t>，亟需妥善利用相關資訊科技，輔助土地管理，以提升工作效率。據悉，國產署已加入國土利用監測整合作業，透過衛星影像監測，即時發現國有土地異常狀況，</w:t>
      </w:r>
      <w:proofErr w:type="gramStart"/>
      <w:r w:rsidRPr="004E1208">
        <w:rPr>
          <w:rFonts w:hint="eastAsia"/>
        </w:rPr>
        <w:t>俾</w:t>
      </w:r>
      <w:proofErr w:type="gramEnd"/>
      <w:r w:rsidRPr="004E1208">
        <w:rPr>
          <w:rFonts w:hint="eastAsia"/>
        </w:rPr>
        <w:t>即時制止並採取行動，避免違失情事擴張後，需耗費更多成本排除或補救。另為解決勘查人力不足問題及無法勘查困境，該署近年已開始運用無人飛行載具（UAV）</w:t>
      </w:r>
      <w:proofErr w:type="gramStart"/>
      <w:r w:rsidRPr="004E1208">
        <w:rPr>
          <w:rFonts w:hint="eastAsia"/>
        </w:rPr>
        <w:t>輔助巡管國有</w:t>
      </w:r>
      <w:proofErr w:type="gramEnd"/>
      <w:r w:rsidRPr="004E1208">
        <w:rPr>
          <w:rFonts w:hint="eastAsia"/>
        </w:rPr>
        <w:t>非公用土地作業，利用無人機正射影像，</w:t>
      </w:r>
      <w:proofErr w:type="gramStart"/>
      <w:r w:rsidRPr="004E1208">
        <w:rPr>
          <w:rFonts w:hint="eastAsia"/>
        </w:rPr>
        <w:t>套疊地</w:t>
      </w:r>
      <w:proofErr w:type="gramEnd"/>
      <w:r w:rsidRPr="004E1208">
        <w:rPr>
          <w:rFonts w:hint="eastAsia"/>
        </w:rPr>
        <w:t>籍圖，</w:t>
      </w:r>
      <w:proofErr w:type="gramStart"/>
      <w:r w:rsidRPr="004E1208">
        <w:rPr>
          <w:rFonts w:hint="eastAsia"/>
        </w:rPr>
        <w:t>並判識及</w:t>
      </w:r>
      <w:proofErr w:type="gramEnd"/>
      <w:r w:rsidRPr="004E1208">
        <w:rPr>
          <w:rFonts w:hint="eastAsia"/>
        </w:rPr>
        <w:t>繪製建物外框、材質，藉以推估建物面積、高度與樓層數，</w:t>
      </w:r>
      <w:proofErr w:type="gramStart"/>
      <w:r w:rsidRPr="004E1208">
        <w:rPr>
          <w:rFonts w:hint="eastAsia"/>
        </w:rPr>
        <w:t>俾</w:t>
      </w:r>
      <w:proofErr w:type="gramEnd"/>
      <w:r w:rsidRPr="004E1208">
        <w:rPr>
          <w:rFonts w:hint="eastAsia"/>
        </w:rPr>
        <w:t>全方位查察及管控國有土地使用情形，掌握處理先機</w:t>
      </w:r>
      <w:r w:rsidRPr="004E1208">
        <w:rPr>
          <w:rStyle w:val="afd"/>
        </w:rPr>
        <w:footnoteReference w:id="16"/>
      </w:r>
      <w:r w:rsidRPr="004E1208">
        <w:rPr>
          <w:rFonts w:hint="eastAsia"/>
        </w:rPr>
        <w:t>。</w:t>
      </w:r>
    </w:p>
    <w:p w:rsidR="008B32A5" w:rsidRPr="004E1208" w:rsidRDefault="008B32A5" w:rsidP="008B32A5">
      <w:pPr>
        <w:pStyle w:val="3"/>
      </w:pPr>
      <w:r w:rsidRPr="004E1208">
        <w:rPr>
          <w:rFonts w:hAnsi="標楷體" w:hint="eastAsia"/>
          <w:szCs w:val="32"/>
        </w:rPr>
        <w:t>綜上所述，國有土地數量龐大，使用情形複雜，且分散各地，經管人力相對不足，</w:t>
      </w:r>
      <w:r w:rsidRPr="004E1208">
        <w:rPr>
          <w:rFonts w:hint="eastAsia"/>
        </w:rPr>
        <w:t>不僅影響國有土地管理成效，亦限制排除占用處理量能，</w:t>
      </w:r>
      <w:r w:rsidRPr="004E1208">
        <w:rPr>
          <w:rFonts w:hAnsi="標楷體" w:hint="eastAsia"/>
          <w:szCs w:val="32"/>
        </w:rPr>
        <w:t>在目前政府組織員額控管之原則下，如何有效因應，實為國有土地管理重要課題。國有土地管理機關</w:t>
      </w:r>
      <w:r w:rsidRPr="004E1208">
        <w:rPr>
          <w:rFonts w:hint="eastAsia"/>
        </w:rPr>
        <w:t>允應借鏡相關成功案例，妥善利用資訊科技，輔助土地管理，以提升工作效率。</w:t>
      </w:r>
    </w:p>
    <w:p w:rsidR="008B32A5" w:rsidRPr="004E1208" w:rsidRDefault="008B32A5" w:rsidP="008B32A5">
      <w:pPr>
        <w:pStyle w:val="2"/>
        <w:spacing w:beforeLines="50" w:before="228"/>
        <w:ind w:left="1020" w:hanging="680"/>
        <w:rPr>
          <w:b/>
        </w:rPr>
      </w:pPr>
      <w:bookmarkStart w:id="62" w:name="_Toc139546648"/>
      <w:r w:rsidRPr="004E1208">
        <w:rPr>
          <w:rFonts w:hint="eastAsia"/>
          <w:b/>
        </w:rPr>
        <w:t>為利國有土地統籌調配，有賴透過資訊化的方式，讓國土資源公開透明。國產署雖已建置「國有公用財產管理系統網路版」，期藉由系統操作，建立正確之財產管理觀念，提升財產管理人員專業知能，降低維運人</w:t>
      </w:r>
      <w:r w:rsidRPr="004E1208">
        <w:rPr>
          <w:rFonts w:hint="eastAsia"/>
          <w:b/>
        </w:rPr>
        <w:lastRenderedPageBreak/>
        <w:t>力成本，簡化資訊管理流程，然而截止111年底止，該系統使用率僅14.05%，不僅使用比率不高，且該系統無法協助國產署統籌各機關公用不動產使用及管理之資料，國有土地管理資料庫系統之建立，有待積極改善。</w:t>
      </w:r>
      <w:bookmarkEnd w:id="62"/>
    </w:p>
    <w:p w:rsidR="008B32A5" w:rsidRPr="004E1208" w:rsidRDefault="008B32A5" w:rsidP="008B32A5">
      <w:pPr>
        <w:pStyle w:val="3"/>
      </w:pPr>
      <w:r w:rsidRPr="004E1208">
        <w:rPr>
          <w:rFonts w:hint="eastAsia"/>
        </w:rPr>
        <w:t>按國有財產之管理，</w:t>
      </w:r>
      <w:proofErr w:type="gramStart"/>
      <w:r w:rsidRPr="004E1208">
        <w:rPr>
          <w:rFonts w:hint="eastAsia"/>
        </w:rPr>
        <w:t>首重產籍</w:t>
      </w:r>
      <w:proofErr w:type="gramEnd"/>
      <w:r w:rsidRPr="004E1208">
        <w:rPr>
          <w:rFonts w:hint="eastAsia"/>
        </w:rPr>
        <w:t>管理之</w:t>
      </w:r>
      <w:proofErr w:type="gramStart"/>
      <w:r w:rsidRPr="004E1208">
        <w:rPr>
          <w:rFonts w:hint="eastAsia"/>
        </w:rPr>
        <w:t>健全，</w:t>
      </w:r>
      <w:proofErr w:type="gramEnd"/>
      <w:r w:rsidRPr="004E1208">
        <w:rPr>
          <w:rFonts w:hint="eastAsia"/>
        </w:rPr>
        <w:t>因此產籍管理工作繁雜瑣碎，且須隨時更新財產帳籍資料，</w:t>
      </w:r>
      <w:proofErr w:type="gramStart"/>
      <w:r w:rsidRPr="004E1208">
        <w:rPr>
          <w:rFonts w:hint="eastAsia"/>
        </w:rPr>
        <w:t>俾</w:t>
      </w:r>
      <w:proofErr w:type="gramEnd"/>
      <w:r w:rsidRPr="004E1208">
        <w:rPr>
          <w:rFonts w:hint="eastAsia"/>
        </w:rPr>
        <w:t>供財產管理運用決策參考。</w:t>
      </w:r>
    </w:p>
    <w:p w:rsidR="008B32A5" w:rsidRPr="004E1208" w:rsidRDefault="008B32A5" w:rsidP="008B32A5">
      <w:pPr>
        <w:pStyle w:val="3"/>
      </w:pPr>
      <w:r w:rsidRPr="004E1208">
        <w:rPr>
          <w:rFonts w:hint="eastAsia"/>
        </w:rPr>
        <w:t>國產署鑒於許多機關以人工或套裝系統管理國有財產，作業負擔沉重，且缺乏遠端連線功能，不僅耗時費工亦難符合規定，因此運用雲端科技概念，並依國有財產管理相關法規設計開發「國有公用財產管理系統網路版」（下稱財網系統），</w:t>
      </w:r>
      <w:r w:rsidRPr="004E1208">
        <w:rPr>
          <w:rFonts w:hAnsi="標楷體" w:hint="eastAsia"/>
        </w:rPr>
        <w:t>提供國有公用財產管理機關透過網際網路直接連線到國產署遠端資料庫，在無須安裝應用軟體及支付維護費用下，於網頁輸入財產資料後，即可產製財產管理工作所需之相關財產帳、卡、表冊，進行財產資料建置、統計、帳</w:t>
      </w:r>
      <w:proofErr w:type="gramStart"/>
      <w:r w:rsidRPr="004E1208">
        <w:rPr>
          <w:rFonts w:hAnsi="標楷體" w:hint="eastAsia"/>
        </w:rPr>
        <w:t>務</w:t>
      </w:r>
      <w:proofErr w:type="gramEnd"/>
      <w:r w:rsidRPr="004E1208">
        <w:rPr>
          <w:rFonts w:hAnsi="標楷體" w:hint="eastAsia"/>
        </w:rPr>
        <w:t>處理等管理工作，</w:t>
      </w:r>
      <w:r w:rsidRPr="004E1208">
        <w:rPr>
          <w:rFonts w:hint="eastAsia"/>
        </w:rPr>
        <w:t>除節省各機關因使用不同財產系統，分別編列預算管理維護系統之成本，且藉由系統操作建立財產管理人員正確之財產管理觀念，提升財產管理人員專業知能，降低維運人力成本，該系統同時結合自然人憑證登入機制，不論身在何處，都能透過網際網路直接連線輸入及上傳相關財產資訊。</w:t>
      </w:r>
    </w:p>
    <w:p w:rsidR="008B32A5" w:rsidRPr="004E1208" w:rsidRDefault="008B32A5" w:rsidP="008B32A5">
      <w:pPr>
        <w:pStyle w:val="3"/>
      </w:pPr>
      <w:r w:rsidRPr="004E1208">
        <w:rPr>
          <w:rFonts w:hint="eastAsia"/>
        </w:rPr>
        <w:t>然而截至111年底止，全國3</w:t>
      </w:r>
      <w:r w:rsidRPr="004E1208">
        <w:t>,</w:t>
      </w:r>
      <w:r w:rsidRPr="004E1208">
        <w:rPr>
          <w:rFonts w:hint="eastAsia"/>
        </w:rPr>
        <w:t>67</w:t>
      </w:r>
      <w:r w:rsidRPr="004E1208">
        <w:t>3</w:t>
      </w:r>
      <w:r w:rsidRPr="004E1208">
        <w:rPr>
          <w:rFonts w:hint="eastAsia"/>
        </w:rPr>
        <w:t>個管理機關中，只有516個單位上線使用，使用比率僅約14.05%。以本案調查研究範圍為例，國防部、農</w:t>
      </w:r>
      <w:proofErr w:type="gramStart"/>
      <w:r w:rsidRPr="004E1208">
        <w:rPr>
          <w:rFonts w:hint="eastAsia"/>
        </w:rPr>
        <w:t>水署均未</w:t>
      </w:r>
      <w:proofErr w:type="gramEnd"/>
      <w:r w:rsidRPr="004E1208">
        <w:rPr>
          <w:rFonts w:hint="eastAsia"/>
        </w:rPr>
        <w:t>使用財網系統，而係運用其等各自建立之國軍營產管理系統、</w:t>
      </w:r>
      <w:proofErr w:type="gramStart"/>
      <w:r w:rsidRPr="004E1208">
        <w:rPr>
          <w:rFonts w:hint="eastAsia"/>
        </w:rPr>
        <w:t>農水署財物</w:t>
      </w:r>
      <w:proofErr w:type="gramEnd"/>
      <w:r w:rsidRPr="004E1208">
        <w:rPr>
          <w:rFonts w:hint="eastAsia"/>
        </w:rPr>
        <w:t>管理系統，進行財產管理；教育部亦僅就經管之國有公用財產部分，使用財網系統，</w:t>
      </w:r>
      <w:r w:rsidRPr="004E1208">
        <w:rPr>
          <w:rFonts w:hint="eastAsia"/>
        </w:rPr>
        <w:lastRenderedPageBreak/>
        <w:t>至於學產基金之產籍管理，教育部則另外建置學產基金財產管理系統及學產房地資料庫管理系統。</w:t>
      </w:r>
    </w:p>
    <w:p w:rsidR="008B32A5" w:rsidRPr="004E1208" w:rsidRDefault="008B32A5" w:rsidP="008B32A5">
      <w:pPr>
        <w:pStyle w:val="3"/>
      </w:pPr>
      <w:r w:rsidRPr="004E1208">
        <w:rPr>
          <w:rFonts w:hint="eastAsia"/>
        </w:rPr>
        <w:t>財網系統或因無法滿足各公產管理機關各自不同的使用需求，以致使用比率不高，例如涉及國家機密、軍事機密、國防機密或公務秘密之公產管理機關，保密要求相對較高；財網系統僅具備財產</w:t>
      </w:r>
      <w:r w:rsidRPr="004E1208">
        <w:rPr>
          <w:rStyle w:val="afd"/>
        </w:rPr>
        <w:footnoteReference w:id="17"/>
      </w:r>
      <w:r w:rsidRPr="004E1208">
        <w:rPr>
          <w:rFonts w:hint="eastAsia"/>
        </w:rPr>
        <w:t>管理功能，未包含物品管理功能；公產管理機關經管土地類型</w:t>
      </w:r>
      <w:proofErr w:type="gramStart"/>
      <w:r w:rsidRPr="004E1208">
        <w:rPr>
          <w:rFonts w:hint="eastAsia"/>
        </w:rPr>
        <w:t>眾多，</w:t>
      </w:r>
      <w:proofErr w:type="gramEnd"/>
      <w:r w:rsidRPr="004E1208">
        <w:rPr>
          <w:rFonts w:hint="eastAsia"/>
        </w:rPr>
        <w:t>除國有土地外，還包括其他直轄市有、縣市有、鄉鎮市有土地等。</w:t>
      </w:r>
    </w:p>
    <w:p w:rsidR="008B32A5" w:rsidRPr="004E1208" w:rsidRDefault="008B32A5" w:rsidP="008B32A5">
      <w:pPr>
        <w:pStyle w:val="3"/>
      </w:pPr>
      <w:r w:rsidRPr="004E1208">
        <w:rPr>
          <w:rFonts w:hint="eastAsia"/>
        </w:rPr>
        <w:t>惟按國有土地之管理，尤其是機關間相互調配運用，有賴建立完善的資料庫管理系統，透過將現況資料精確且及時的數位化、資訊化，以便作為統籌管理及調整規劃之依據。姑且不論財網系統使用比率不高之原因為何，財網系統設計開發之初衷，主要是為了節省各公產管理機關個別開發維護財產系統之成本，以及便於產製財產管理工作所需之相關財產帳、卡、表冊。因此，即便提升財網系統使用比率，國產署仍然無法藉由財網系統，統籌各機關公用不動產使用及管理之資料，對於國有土地管理資料庫系統之建立，未盡完善。</w:t>
      </w:r>
    </w:p>
    <w:p w:rsidR="00362D75" w:rsidRPr="004E1208" w:rsidRDefault="008B32A5" w:rsidP="008B32A5">
      <w:pPr>
        <w:pStyle w:val="3"/>
        <w:rPr>
          <w:b/>
        </w:rPr>
      </w:pPr>
      <w:r w:rsidRPr="004E1208">
        <w:rPr>
          <w:rFonts w:hint="eastAsia"/>
        </w:rPr>
        <w:t>綜上所述，為利國有土地統籌調配，有賴透過資訊化的方式，讓國土資源公開透明。國產署雖已建置財網系統，期藉由系統操作，建立正確之財產管理觀念，提升財產管理人員專業知能，降低維運人力成本，簡化資訊管理流程，然而截止111年底止，該系統使用率僅14.05%，不僅使用比率不高，且該系</w:t>
      </w:r>
      <w:r w:rsidRPr="004E1208">
        <w:rPr>
          <w:rFonts w:hint="eastAsia"/>
        </w:rPr>
        <w:lastRenderedPageBreak/>
        <w:t>統無法協助國產署統籌各機關公用不動產使用及管理之資料，國有土地管理資料庫系統之建立，有待積極改善。</w:t>
      </w:r>
    </w:p>
    <w:p w:rsidR="002B7825" w:rsidRPr="004E1208" w:rsidRDefault="002B7825" w:rsidP="005E3734">
      <w:pPr>
        <w:pStyle w:val="2"/>
        <w:spacing w:beforeLines="50" w:before="228"/>
        <w:ind w:left="1020" w:hanging="680"/>
        <w:rPr>
          <w:b/>
        </w:rPr>
      </w:pPr>
      <w:bookmarkStart w:id="63" w:name="_Toc139546649"/>
      <w:r w:rsidRPr="004E1208">
        <w:rPr>
          <w:rFonts w:hint="eastAsia"/>
          <w:b/>
        </w:rPr>
        <w:t>目前國有土地遭占用案件中，不乏因歷史因素與法令限制，導致使用人無法取得合法權利之情形。以日治時期私人土地於臺灣光復後未辦理憑證繳驗及土地登記，以致被當作無主土地收歸國有為例，涉及光復初期國民政府辦理相關作業之時空背景存在不公平、</w:t>
      </w:r>
      <w:proofErr w:type="gramStart"/>
      <w:r w:rsidRPr="004E1208">
        <w:rPr>
          <w:rFonts w:hint="eastAsia"/>
          <w:b/>
        </w:rPr>
        <w:t>不</w:t>
      </w:r>
      <w:proofErr w:type="gramEnd"/>
      <w:r w:rsidRPr="004E1208">
        <w:rPr>
          <w:rFonts w:hint="eastAsia"/>
          <w:b/>
        </w:rPr>
        <w:t>正義等因素，加上現行法律對日治時期土地制度變遷較少整體考量，以致民眾陳情訴訟不斷。國產管理機關於排除占用前，允應了解占用成因，分類處理，以符合國際人權原則與標準，同時亦應進行專案研討，由「歷史脈絡」的檢視與「轉型正義」的觀點，有效處理日治時期私人土地因光復後未完成憑證繳驗及土地登記程序，被當作無主土地收歸國有之問題，以落實憲法保障人民財產權之宗旨。</w:t>
      </w:r>
      <w:bookmarkEnd w:id="63"/>
    </w:p>
    <w:p w:rsidR="0068453E" w:rsidRPr="004E1208" w:rsidRDefault="0068453E" w:rsidP="0068453E">
      <w:pPr>
        <w:pStyle w:val="3"/>
      </w:pPr>
      <w:r w:rsidRPr="004E1208">
        <w:rPr>
          <w:rFonts w:hint="eastAsia"/>
        </w:rPr>
        <w:t>按《經濟社會文化權利國際公約》第11條，以及第4號、第7號一般性意見對於適足住房權（居住權）及禁止強迫驅逐有重要規範，旨在保護個人財產權和居住權，並要求政府在執行拆除占用政策時遵守合法程序、公平補償和符合公共利益等原則。其內涵所要求的是，任何人有和平、安全而有尊嚴的居住在某處的權利，即使缺乏某塊土地的所有權，仍應有一定程度的保障。</w:t>
      </w:r>
    </w:p>
    <w:p w:rsidR="0068453E" w:rsidRPr="004E1208" w:rsidRDefault="0068453E" w:rsidP="0045778C">
      <w:pPr>
        <w:pStyle w:val="3"/>
      </w:pPr>
      <w:proofErr w:type="gramStart"/>
      <w:r w:rsidRPr="004E1208">
        <w:rPr>
          <w:rFonts w:hint="eastAsia"/>
        </w:rPr>
        <w:t>復按國有</w:t>
      </w:r>
      <w:proofErr w:type="gramEnd"/>
      <w:r w:rsidRPr="004E1208">
        <w:rPr>
          <w:rFonts w:hint="eastAsia"/>
        </w:rPr>
        <w:t>非公用不動產被占用處理要點第5點規定：「（第1項）國有非公用不動產被公司組織之公營事業或私人占用，執行機關應瞭解占用成因，分類處理，妥為評估處理方式，並避免紛爭；其符合國有財產法及相關法令規定者，得以出租、讓售、專案</w:t>
      </w:r>
      <w:r w:rsidRPr="004E1208">
        <w:rPr>
          <w:rFonts w:hint="eastAsia"/>
        </w:rPr>
        <w:lastRenderedPageBreak/>
        <w:t>讓售、視為空地標售、現狀標售或委託經營等方式處理。（第2項）被占用不動產無法依前項後段方式處理者，應通知占用人自行拆除或騰空交還，並得依下列方式處理：（一）違反相關法律或土地使用管制者，通知或協調主管機關依法處理。（二）以民事訴訟排除。（三）依中華民國刑法第三百二十條、第三百四十九條規定移請地方警察機關偵辦或</w:t>
      </w:r>
      <w:proofErr w:type="gramStart"/>
      <w:r w:rsidRPr="004E1208">
        <w:rPr>
          <w:rFonts w:hint="eastAsia"/>
        </w:rPr>
        <w:t>逕</w:t>
      </w:r>
      <w:proofErr w:type="gramEnd"/>
      <w:r w:rsidRPr="004E1208">
        <w:rPr>
          <w:rFonts w:hint="eastAsia"/>
        </w:rPr>
        <w:t>向檢察機關告訴。占用情形影響國土保安或公共安全者，優先移送。（第3項）</w:t>
      </w:r>
      <w:proofErr w:type="gramStart"/>
      <w:r w:rsidRPr="004E1208">
        <w:rPr>
          <w:rFonts w:hint="eastAsia"/>
        </w:rPr>
        <w:t>對占用作</w:t>
      </w:r>
      <w:proofErr w:type="gramEnd"/>
      <w:r w:rsidRPr="004E1208">
        <w:rPr>
          <w:rFonts w:hint="eastAsia"/>
        </w:rPr>
        <w:t>居住使用者，執行機關於排除占用前，調查占用人是否需協助安置，並就需協助者協助依法向目的事業主管機關或民間機構申請公共租賃住宅、社會住宅、榮民之家或社會福利機構或護理機構等進行安置，相關過程作成紀錄，以利日後查考。（第</w:t>
      </w:r>
      <w:r w:rsidRPr="004E1208">
        <w:t>4</w:t>
      </w:r>
      <w:r w:rsidRPr="004E1208">
        <w:rPr>
          <w:rFonts w:hint="eastAsia"/>
        </w:rPr>
        <w:t>項）占用人有下列情形之</w:t>
      </w:r>
      <w:proofErr w:type="gramStart"/>
      <w:r w:rsidRPr="004E1208">
        <w:rPr>
          <w:rFonts w:hint="eastAsia"/>
        </w:rPr>
        <w:t>一</w:t>
      </w:r>
      <w:proofErr w:type="gramEnd"/>
      <w:r w:rsidRPr="004E1208">
        <w:rPr>
          <w:rFonts w:hint="eastAsia"/>
        </w:rPr>
        <w:t>者，執行機關於排除占用前，協助依法向目的事業主管機關申請相關補助、補貼或津貼，並將過程作成紀錄，以利日後查考：（一）屬社會救助法規範之低收入戶或中低收入戶。（二）屬特殊境遇家庭扶助條例規範之特殊境遇家庭成員。（三）依身心障礙者權益保障法領有生活補助費。（四）依老人福利法領有中低收入老人生活津貼。」</w:t>
      </w:r>
      <w:r w:rsidR="00A3407A" w:rsidRPr="004E1208">
        <w:rPr>
          <w:rFonts w:hint="eastAsia"/>
        </w:rPr>
        <w:t>國有土地管理實務作業中不乏排除占用、拆除地上物、強制民眾搬遷等案例。當排除占用衍生強制搬離問題時，必須注意適足住房權之規範，以符合國際人權原則與標準。</w:t>
      </w:r>
    </w:p>
    <w:p w:rsidR="00A17517" w:rsidRPr="004E1208" w:rsidRDefault="00A17517" w:rsidP="009E32B5">
      <w:pPr>
        <w:pStyle w:val="3"/>
      </w:pPr>
      <w:r w:rsidRPr="004E1208">
        <w:rPr>
          <w:rFonts w:hint="eastAsia"/>
        </w:rPr>
        <w:t>如前述，國有土地遭占用問題長年存在，而</w:t>
      </w:r>
      <w:proofErr w:type="gramStart"/>
      <w:r w:rsidRPr="004E1208">
        <w:rPr>
          <w:rFonts w:hint="eastAsia"/>
        </w:rPr>
        <w:t>爬梳本院</w:t>
      </w:r>
      <w:proofErr w:type="gramEnd"/>
      <w:r w:rsidRPr="004E1208">
        <w:rPr>
          <w:rFonts w:hint="eastAsia"/>
        </w:rPr>
        <w:t>歷年調查相關案件發現，國有土地被占用問題不易解決之主要原因，除因</w:t>
      </w:r>
      <w:r w:rsidR="00C64192" w:rsidRPr="004E1208">
        <w:rPr>
          <w:rFonts w:hint="eastAsia"/>
        </w:rPr>
        <w:t>（</w:t>
      </w:r>
      <w:r w:rsidRPr="004E1208">
        <w:rPr>
          <w:rFonts w:hint="eastAsia"/>
        </w:rPr>
        <w:t>1</w:t>
      </w:r>
      <w:r w:rsidR="00C64192" w:rsidRPr="004E1208">
        <w:rPr>
          <w:rFonts w:hint="eastAsia"/>
        </w:rPr>
        <w:t>）</w:t>
      </w:r>
      <w:r w:rsidRPr="004E1208">
        <w:rPr>
          <w:rFonts w:hint="eastAsia"/>
        </w:rPr>
        <w:t>占用數量龐大，管理人力不足；</w:t>
      </w:r>
      <w:r w:rsidR="00C64192" w:rsidRPr="004E1208">
        <w:rPr>
          <w:rFonts w:hint="eastAsia"/>
        </w:rPr>
        <w:t>（</w:t>
      </w:r>
      <w:r w:rsidRPr="004E1208">
        <w:rPr>
          <w:rFonts w:hint="eastAsia"/>
        </w:rPr>
        <w:t>2</w:t>
      </w:r>
      <w:r w:rsidR="00C64192" w:rsidRPr="004E1208">
        <w:rPr>
          <w:rFonts w:hint="eastAsia"/>
        </w:rPr>
        <w:t>）</w:t>
      </w:r>
      <w:r w:rsidRPr="004E1208">
        <w:rPr>
          <w:rFonts w:hint="eastAsia"/>
        </w:rPr>
        <w:t>土地界址不明，易被占用；</w:t>
      </w:r>
      <w:r w:rsidR="00C64192" w:rsidRPr="004E1208">
        <w:rPr>
          <w:rFonts w:hint="eastAsia"/>
        </w:rPr>
        <w:t>（</w:t>
      </w:r>
      <w:r w:rsidRPr="004E1208">
        <w:rPr>
          <w:rFonts w:hint="eastAsia"/>
        </w:rPr>
        <w:t>3</w:t>
      </w:r>
      <w:r w:rsidR="00C64192" w:rsidRPr="004E1208">
        <w:rPr>
          <w:rFonts w:hint="eastAsia"/>
        </w:rPr>
        <w:t>）</w:t>
      </w:r>
      <w:r w:rsidRPr="004E1208">
        <w:rPr>
          <w:rFonts w:hint="eastAsia"/>
        </w:rPr>
        <w:t>接管來源及占用成因複雜；</w:t>
      </w:r>
      <w:r w:rsidR="00C64192" w:rsidRPr="004E1208">
        <w:rPr>
          <w:rFonts w:hint="eastAsia"/>
        </w:rPr>
        <w:t>（</w:t>
      </w:r>
      <w:r w:rsidRPr="004E1208">
        <w:rPr>
          <w:rFonts w:hint="eastAsia"/>
        </w:rPr>
        <w:t>4</w:t>
      </w:r>
      <w:r w:rsidR="00C64192" w:rsidRPr="004E1208">
        <w:rPr>
          <w:rFonts w:hint="eastAsia"/>
        </w:rPr>
        <w:t>）</w:t>
      </w:r>
      <w:r w:rsidRPr="004E1208">
        <w:rPr>
          <w:rFonts w:hint="eastAsia"/>
        </w:rPr>
        <w:t>產</w:t>
      </w:r>
      <w:proofErr w:type="gramStart"/>
      <w:r w:rsidRPr="004E1208">
        <w:rPr>
          <w:rFonts w:hint="eastAsia"/>
        </w:rPr>
        <w:t>籍列管占</w:t>
      </w:r>
      <w:proofErr w:type="gramEnd"/>
      <w:r w:rsidRPr="004E1208">
        <w:rPr>
          <w:rFonts w:hint="eastAsia"/>
        </w:rPr>
        <w:t>用資料待</w:t>
      </w:r>
      <w:proofErr w:type="gramStart"/>
      <w:r w:rsidRPr="004E1208">
        <w:rPr>
          <w:rFonts w:hint="eastAsia"/>
        </w:rPr>
        <w:lastRenderedPageBreak/>
        <w:t>釐</w:t>
      </w:r>
      <w:proofErr w:type="gramEnd"/>
      <w:r w:rsidRPr="004E1208">
        <w:rPr>
          <w:rFonts w:hint="eastAsia"/>
        </w:rPr>
        <w:t>清；</w:t>
      </w:r>
      <w:r w:rsidR="00C64192" w:rsidRPr="004E1208">
        <w:rPr>
          <w:rFonts w:hint="eastAsia"/>
        </w:rPr>
        <w:t>（</w:t>
      </w:r>
      <w:r w:rsidRPr="004E1208">
        <w:rPr>
          <w:rFonts w:hint="eastAsia"/>
        </w:rPr>
        <w:t>5</w:t>
      </w:r>
      <w:r w:rsidR="00496B51" w:rsidRPr="004E1208">
        <w:rPr>
          <w:rFonts w:hint="eastAsia"/>
        </w:rPr>
        <w:t>）</w:t>
      </w:r>
      <w:r w:rsidRPr="004E1208">
        <w:rPr>
          <w:rFonts w:hint="eastAsia"/>
        </w:rPr>
        <w:t>占用事實查證不易；</w:t>
      </w:r>
      <w:r w:rsidR="00C64192" w:rsidRPr="004E1208">
        <w:rPr>
          <w:rFonts w:hint="eastAsia"/>
        </w:rPr>
        <w:t>（</w:t>
      </w:r>
      <w:r w:rsidRPr="004E1208">
        <w:rPr>
          <w:rFonts w:hint="eastAsia"/>
        </w:rPr>
        <w:t>6</w:t>
      </w:r>
      <w:r w:rsidR="00C64192" w:rsidRPr="004E1208">
        <w:rPr>
          <w:rFonts w:hint="eastAsia"/>
        </w:rPr>
        <w:t>）</w:t>
      </w:r>
      <w:proofErr w:type="gramStart"/>
      <w:r w:rsidRPr="004E1208">
        <w:rPr>
          <w:rFonts w:hint="eastAsia"/>
        </w:rPr>
        <w:t>排占程序</w:t>
      </w:r>
      <w:proofErr w:type="gramEnd"/>
      <w:r w:rsidRPr="004E1208">
        <w:rPr>
          <w:rFonts w:hint="eastAsia"/>
        </w:rPr>
        <w:t>冗長；</w:t>
      </w:r>
      <w:r w:rsidR="00C64192" w:rsidRPr="004E1208">
        <w:rPr>
          <w:rFonts w:hint="eastAsia"/>
        </w:rPr>
        <w:t>（</w:t>
      </w:r>
      <w:r w:rsidRPr="004E1208">
        <w:rPr>
          <w:rFonts w:hint="eastAsia"/>
        </w:rPr>
        <w:t>7</w:t>
      </w:r>
      <w:r w:rsidR="00C64192" w:rsidRPr="004E1208">
        <w:rPr>
          <w:rFonts w:hint="eastAsia"/>
        </w:rPr>
        <w:t>）</w:t>
      </w:r>
      <w:r w:rsidRPr="004E1208">
        <w:rPr>
          <w:rFonts w:hint="eastAsia"/>
        </w:rPr>
        <w:t>公權力</w:t>
      </w:r>
      <w:proofErr w:type="gramStart"/>
      <w:r w:rsidRPr="004E1208">
        <w:rPr>
          <w:rFonts w:hint="eastAsia"/>
        </w:rPr>
        <w:t>不</w:t>
      </w:r>
      <w:proofErr w:type="gramEnd"/>
      <w:r w:rsidRPr="004E1208">
        <w:rPr>
          <w:rFonts w:hint="eastAsia"/>
        </w:rPr>
        <w:t>彰等技術性問題難以克服，</w:t>
      </w:r>
      <w:proofErr w:type="gramStart"/>
      <w:r w:rsidRPr="004E1208">
        <w:rPr>
          <w:rFonts w:hint="eastAsia"/>
        </w:rPr>
        <w:t>肇致占用</w:t>
      </w:r>
      <w:proofErr w:type="gramEnd"/>
      <w:r w:rsidRPr="004E1208">
        <w:rPr>
          <w:rFonts w:hint="eastAsia"/>
        </w:rPr>
        <w:t>處理量無法趕上新增占用量之外，尚有礙於歷史因素與法令限制，導致使用人遲遲無法取得合法權利之情形，而此類案件明顯與非法占用不同，涉及民眾財產權保障，亟待政府提出合理有效的解決對策。</w:t>
      </w:r>
    </w:p>
    <w:p w:rsidR="00B14FF9" w:rsidRPr="004E1208" w:rsidRDefault="005D7848" w:rsidP="00B14FF9">
      <w:pPr>
        <w:pStyle w:val="3"/>
      </w:pPr>
      <w:r w:rsidRPr="004E1208">
        <w:rPr>
          <w:rFonts w:hint="eastAsia"/>
        </w:rPr>
        <w:t>本院諮詢之專家學者即表示：「</w:t>
      </w:r>
      <w:r w:rsidR="00B14FF9" w:rsidRPr="004E1208">
        <w:rPr>
          <w:rFonts w:hint="eastAsia"/>
        </w:rPr>
        <w:t>『占用』是國有土地最大的課題。有關占用與提升其使用效益一節，更需從『占用情形分類』，整合民法等相關法律與規章，以利配合個別處理條件處之，當可提升使用效益</w:t>
      </w:r>
      <w:r w:rsidRPr="004E1208">
        <w:rPr>
          <w:rFonts w:hint="eastAsia"/>
        </w:rPr>
        <w:t>」</w:t>
      </w:r>
      <w:r w:rsidR="00B14FF9" w:rsidRPr="004E1208">
        <w:rPr>
          <w:rFonts w:hint="eastAsia"/>
        </w:rPr>
        <w:t>；「『日治時期已</w:t>
      </w:r>
      <w:proofErr w:type="gramStart"/>
      <w:r w:rsidR="00B14FF9" w:rsidRPr="004E1208">
        <w:rPr>
          <w:rFonts w:hint="eastAsia"/>
        </w:rPr>
        <w:t>辦竣登記</w:t>
      </w:r>
      <w:proofErr w:type="gramEnd"/>
      <w:r w:rsidR="00B14FF9" w:rsidRPr="004E1208">
        <w:rPr>
          <w:rFonts w:hint="eastAsia"/>
        </w:rPr>
        <w:t>土地』於光復後所有權並未消滅，只因未辦憑證繳驗，即被當作無主土地收歸國有，違反公平正義」；「針對所謂非法占用，必須做歷史因素的</w:t>
      </w:r>
      <w:proofErr w:type="gramStart"/>
      <w:r w:rsidR="00B14FF9" w:rsidRPr="004E1208">
        <w:rPr>
          <w:rFonts w:hint="eastAsia"/>
        </w:rPr>
        <w:t>釐</w:t>
      </w:r>
      <w:proofErr w:type="gramEnd"/>
      <w:r w:rsidR="00B14FF9" w:rsidRPr="004E1208">
        <w:rPr>
          <w:rFonts w:hint="eastAsia"/>
        </w:rPr>
        <w:t>清，可以避免長期使用（包括百年以上）的弱勢者的迫遷問題（如規定何時進行收回問題）」；「</w:t>
      </w:r>
      <w:r w:rsidR="00B14FF9" w:rsidRPr="004E1208">
        <w:rPr>
          <w:rFonts w:hint="eastAsia"/>
        </w:rPr>
        <w:tab/>
        <w:t>占用及排除占用的情況複雜，</w:t>
      </w:r>
      <w:proofErr w:type="gramStart"/>
      <w:r w:rsidR="00B14FF9" w:rsidRPr="004E1208">
        <w:rPr>
          <w:rFonts w:hint="eastAsia"/>
        </w:rPr>
        <w:t>再者排占的</w:t>
      </w:r>
      <w:proofErr w:type="gramEnd"/>
      <w:r w:rsidR="00B14FF9" w:rsidRPr="004E1208">
        <w:rPr>
          <w:rFonts w:hint="eastAsia"/>
        </w:rPr>
        <w:t>法律程序冗長，也涉及人權的問題」。</w:t>
      </w:r>
    </w:p>
    <w:p w:rsidR="00DF5134" w:rsidRPr="004E1208" w:rsidRDefault="00B14FF9" w:rsidP="009E32B5">
      <w:pPr>
        <w:pStyle w:val="3"/>
      </w:pPr>
      <w:r w:rsidRPr="004E1208">
        <w:rPr>
          <w:rFonts w:hint="eastAsia"/>
        </w:rPr>
        <w:t>茲</w:t>
      </w:r>
      <w:r w:rsidR="00A17517" w:rsidRPr="004E1208">
        <w:rPr>
          <w:rFonts w:hint="eastAsia"/>
        </w:rPr>
        <w:t>以「日治時期私人土地於臺灣光復後未依規定辦理憑證繳驗及土地登記，以致被當作無主土地收歸國有，導致使用人</w:t>
      </w:r>
      <w:r w:rsidR="00C64192" w:rsidRPr="004E1208">
        <w:rPr>
          <w:rFonts w:hint="eastAsia"/>
        </w:rPr>
        <w:t>（</w:t>
      </w:r>
      <w:r w:rsidR="00A17517" w:rsidRPr="004E1208">
        <w:rPr>
          <w:rFonts w:hint="eastAsia"/>
        </w:rPr>
        <w:t>原所有權人或其繼承人</w:t>
      </w:r>
      <w:r w:rsidR="00C64192" w:rsidRPr="004E1208">
        <w:rPr>
          <w:rFonts w:hint="eastAsia"/>
        </w:rPr>
        <w:t>）</w:t>
      </w:r>
      <w:r w:rsidR="00A17517" w:rsidRPr="004E1208">
        <w:rPr>
          <w:rFonts w:hint="eastAsia"/>
        </w:rPr>
        <w:t>無法取得合法權利，形成占用國土」之情形為例：</w:t>
      </w:r>
    </w:p>
    <w:p w:rsidR="00A17517" w:rsidRPr="004E1208" w:rsidRDefault="00A17517" w:rsidP="009E32B5">
      <w:pPr>
        <w:pStyle w:val="4"/>
      </w:pPr>
      <w:r w:rsidRPr="004E1208">
        <w:rPr>
          <w:rFonts w:hint="eastAsia"/>
        </w:rPr>
        <w:t>34年10月25日臺灣光復後，臺灣省行政長官公署旋於35年4月5日發布</w:t>
      </w:r>
      <w:proofErr w:type="gramStart"/>
      <w:r w:rsidRPr="004E1208">
        <w:rPr>
          <w:rFonts w:hint="eastAsia"/>
        </w:rPr>
        <w:t>卯微卅</w:t>
      </w:r>
      <w:proofErr w:type="gramEnd"/>
      <w:r w:rsidRPr="004E1208">
        <w:rPr>
          <w:rFonts w:hint="eastAsia"/>
        </w:rPr>
        <w:t>五</w:t>
      </w:r>
      <w:proofErr w:type="gramStart"/>
      <w:r w:rsidRPr="004E1208">
        <w:rPr>
          <w:rFonts w:hint="eastAsia"/>
        </w:rPr>
        <w:t>署民字第2896號</w:t>
      </w:r>
      <w:proofErr w:type="gramEnd"/>
      <w:r w:rsidRPr="004E1208">
        <w:rPr>
          <w:rFonts w:hint="eastAsia"/>
        </w:rPr>
        <w:t>「所有土地權利人應</w:t>
      </w:r>
      <w:proofErr w:type="gramStart"/>
      <w:r w:rsidRPr="004E1208">
        <w:rPr>
          <w:rFonts w:hint="eastAsia"/>
        </w:rPr>
        <w:t>依限向所在地</w:t>
      </w:r>
      <w:proofErr w:type="gramEnd"/>
      <w:r w:rsidRPr="004E1208">
        <w:rPr>
          <w:rFonts w:hint="eastAsia"/>
        </w:rPr>
        <w:t>土地整理處申報登記公告」，開宗明義提到：「查本省地籍制度，雖有成規可循，惟光復伊始，百</w:t>
      </w:r>
      <w:proofErr w:type="gramStart"/>
      <w:r w:rsidRPr="004E1208">
        <w:rPr>
          <w:rFonts w:hint="eastAsia"/>
        </w:rPr>
        <w:t>事待興</w:t>
      </w:r>
      <w:proofErr w:type="gramEnd"/>
      <w:r w:rsidRPr="004E1208">
        <w:rPr>
          <w:rFonts w:hint="eastAsia"/>
        </w:rPr>
        <w:t>，推行土地政策，為當前急務。欲求此一政策得以推行順利，而適切實際需要，自須充分明瞭關於土地的客觀和主觀的最近狀況，始可審慎設計，按</w:t>
      </w:r>
      <w:r w:rsidRPr="004E1208">
        <w:rPr>
          <w:rFonts w:hint="eastAsia"/>
        </w:rPr>
        <w:lastRenderedPageBreak/>
        <w:t>序執行，</w:t>
      </w:r>
      <w:proofErr w:type="gramStart"/>
      <w:r w:rsidRPr="004E1208">
        <w:rPr>
          <w:rFonts w:hint="eastAsia"/>
        </w:rPr>
        <w:t>爰</w:t>
      </w:r>
      <w:proofErr w:type="gramEnd"/>
      <w:r w:rsidRPr="004E1208">
        <w:rPr>
          <w:rFonts w:hint="eastAsia"/>
        </w:rPr>
        <w:t>特規定，自本年4月21日起至5月20日止，在此1個月期間內，無論公有、私有土地，凡已經取得關係土地上各種權利的團體，或個人，各應填妥申請書</w:t>
      </w:r>
      <w:r w:rsidR="00C64192" w:rsidRPr="004E1208">
        <w:rPr>
          <w:rFonts w:hint="eastAsia"/>
        </w:rPr>
        <w:t>（</w:t>
      </w:r>
      <w:r w:rsidRPr="004E1208">
        <w:rPr>
          <w:rFonts w:hint="eastAsia"/>
        </w:rPr>
        <w:t>…</w:t>
      </w:r>
      <w:proofErr w:type="gramStart"/>
      <w:r w:rsidRPr="004E1208">
        <w:rPr>
          <w:rFonts w:hint="eastAsia"/>
        </w:rPr>
        <w:t>…</w:t>
      </w:r>
      <w:proofErr w:type="gramEnd"/>
      <w:r w:rsidR="00C64192" w:rsidRPr="004E1208">
        <w:rPr>
          <w:rFonts w:hint="eastAsia"/>
        </w:rPr>
        <w:t>）</w:t>
      </w:r>
      <w:r w:rsidRPr="004E1208">
        <w:rPr>
          <w:rFonts w:hint="eastAsia"/>
        </w:rPr>
        <w:t>，</w:t>
      </w:r>
      <w:proofErr w:type="gramStart"/>
      <w:r w:rsidRPr="004E1208">
        <w:rPr>
          <w:rFonts w:hint="eastAsia"/>
        </w:rPr>
        <w:t>並檢齊有關</w:t>
      </w:r>
      <w:proofErr w:type="gramEnd"/>
      <w:r w:rsidRPr="004E1208">
        <w:rPr>
          <w:rFonts w:hint="eastAsia"/>
        </w:rPr>
        <w:t>土地權利憑證，持向土地所在地土地整理處，</w:t>
      </w:r>
      <w:proofErr w:type="gramStart"/>
      <w:r w:rsidRPr="004E1208">
        <w:rPr>
          <w:rFonts w:hint="eastAsia"/>
        </w:rPr>
        <w:t>審驗無</w:t>
      </w:r>
      <w:proofErr w:type="gramEnd"/>
      <w:r w:rsidRPr="004E1208">
        <w:rPr>
          <w:rFonts w:hint="eastAsia"/>
        </w:rPr>
        <w:t>疑義的，於加蓋『驗</w:t>
      </w:r>
      <w:proofErr w:type="gramStart"/>
      <w:r w:rsidRPr="004E1208">
        <w:rPr>
          <w:rFonts w:hint="eastAsia"/>
        </w:rPr>
        <w:t>訖</w:t>
      </w:r>
      <w:proofErr w:type="gramEnd"/>
      <w:r w:rsidRPr="004E1208">
        <w:rPr>
          <w:rFonts w:hint="eastAsia"/>
        </w:rPr>
        <w:t>』…</w:t>
      </w:r>
      <w:proofErr w:type="gramStart"/>
      <w:r w:rsidRPr="004E1208">
        <w:rPr>
          <w:rFonts w:hint="eastAsia"/>
        </w:rPr>
        <w:t>…</w:t>
      </w:r>
      <w:proofErr w:type="gramEnd"/>
      <w:r w:rsidRPr="004E1208">
        <w:rPr>
          <w:rFonts w:hint="eastAsia"/>
        </w:rPr>
        <w:t>，凡已為是項申報者，</w:t>
      </w:r>
      <w:proofErr w:type="gramStart"/>
      <w:r w:rsidRPr="004E1208">
        <w:rPr>
          <w:rFonts w:hint="eastAsia"/>
        </w:rPr>
        <w:t>均得視同</w:t>
      </w:r>
      <w:proofErr w:type="gramEnd"/>
      <w:r w:rsidRPr="004E1208">
        <w:rPr>
          <w:rFonts w:hint="eastAsia"/>
        </w:rPr>
        <w:t>已為土地法規定之第一次所有權申請登記，此後政府即可依法辦理各項權利登記，並籌備發給土地所有權狀，和他項權利證書，以期確定產權，發揮效力。」據上可知，該公告限期所有土地權人辦理土地權利憑證繳驗，原目的在於充分明瞭臺灣土地產權近況，以利後續審慎設計相關制度辦法，按序執行土地政策。</w:t>
      </w:r>
    </w:p>
    <w:p w:rsidR="00A17517" w:rsidRPr="004E1208" w:rsidRDefault="00A17517" w:rsidP="009E32B5">
      <w:pPr>
        <w:pStyle w:val="4"/>
      </w:pPr>
      <w:r w:rsidRPr="004E1208">
        <w:rPr>
          <w:rFonts w:hint="eastAsia"/>
        </w:rPr>
        <w:t>又35年4月29日修正公布之土地法第57條雖規定：「逾登記期限無人聲請登記之土地…</w:t>
      </w:r>
      <w:proofErr w:type="gramStart"/>
      <w:r w:rsidRPr="004E1208">
        <w:rPr>
          <w:rFonts w:hint="eastAsia"/>
        </w:rPr>
        <w:t>…</w:t>
      </w:r>
      <w:proofErr w:type="gramEnd"/>
      <w:r w:rsidRPr="004E1208">
        <w:rPr>
          <w:rFonts w:hint="eastAsia"/>
        </w:rPr>
        <w:t>，其土地視為無主土地，由</w:t>
      </w:r>
      <w:proofErr w:type="gramStart"/>
      <w:r w:rsidRPr="004E1208">
        <w:rPr>
          <w:rFonts w:hint="eastAsia"/>
        </w:rPr>
        <w:t>該管市縣</w:t>
      </w:r>
      <w:proofErr w:type="gramEnd"/>
      <w:r w:rsidRPr="004E1208">
        <w:rPr>
          <w:rFonts w:hint="eastAsia"/>
        </w:rPr>
        <w:t>地政機關公告之，公告期滿無人提出異議，即為國有土地之登記。」然同法第36條、第38條及35年4月29日修正公布之土地法施行法第11條另闡明：「</w:t>
      </w:r>
      <w:r w:rsidR="00C64192" w:rsidRPr="004E1208">
        <w:rPr>
          <w:rFonts w:hint="eastAsia"/>
        </w:rPr>
        <w:t>（</w:t>
      </w:r>
      <w:r w:rsidRPr="004E1208">
        <w:rPr>
          <w:rFonts w:hint="eastAsia"/>
        </w:rPr>
        <w:t>第1項</w:t>
      </w:r>
      <w:r w:rsidR="00C64192" w:rsidRPr="004E1208">
        <w:rPr>
          <w:rFonts w:hint="eastAsia"/>
        </w:rPr>
        <w:t>）</w:t>
      </w:r>
      <w:proofErr w:type="gramStart"/>
      <w:r w:rsidRPr="004E1208">
        <w:rPr>
          <w:rFonts w:hint="eastAsia"/>
        </w:rPr>
        <w:t>地籍除已</w:t>
      </w:r>
      <w:proofErr w:type="gramEnd"/>
      <w:r w:rsidRPr="004E1208">
        <w:rPr>
          <w:rFonts w:hint="eastAsia"/>
        </w:rPr>
        <w:t>依法律整理者外，應依本法之規定整理之。</w:t>
      </w:r>
      <w:r w:rsidR="00C64192" w:rsidRPr="004E1208">
        <w:rPr>
          <w:rFonts w:hint="eastAsia"/>
        </w:rPr>
        <w:t>（</w:t>
      </w:r>
      <w:r w:rsidRPr="004E1208">
        <w:rPr>
          <w:rFonts w:hint="eastAsia"/>
        </w:rPr>
        <w:t>第2項</w:t>
      </w:r>
      <w:r w:rsidR="00C64192" w:rsidRPr="004E1208">
        <w:rPr>
          <w:rFonts w:hint="eastAsia"/>
        </w:rPr>
        <w:t>）</w:t>
      </w:r>
      <w:r w:rsidRPr="004E1208">
        <w:rPr>
          <w:rFonts w:hint="eastAsia"/>
        </w:rPr>
        <w:t>地籍整理之程序，為地籍測量及土地登記。」、「</w:t>
      </w:r>
      <w:r w:rsidR="00C64192" w:rsidRPr="004E1208">
        <w:rPr>
          <w:rFonts w:hint="eastAsia"/>
        </w:rPr>
        <w:t>（</w:t>
      </w:r>
      <w:r w:rsidRPr="004E1208">
        <w:rPr>
          <w:rFonts w:hint="eastAsia"/>
        </w:rPr>
        <w:t>第1項</w:t>
      </w:r>
      <w:r w:rsidR="00C64192" w:rsidRPr="004E1208">
        <w:rPr>
          <w:rFonts w:hint="eastAsia"/>
        </w:rPr>
        <w:t>）</w:t>
      </w:r>
      <w:r w:rsidRPr="004E1208">
        <w:rPr>
          <w:rFonts w:hint="eastAsia"/>
        </w:rPr>
        <w:t>辦理土地登記前，應</w:t>
      </w:r>
      <w:proofErr w:type="gramStart"/>
      <w:r w:rsidRPr="004E1208">
        <w:rPr>
          <w:rFonts w:hint="eastAsia"/>
        </w:rPr>
        <w:t>先辦地籍</w:t>
      </w:r>
      <w:proofErr w:type="gramEnd"/>
      <w:r w:rsidRPr="004E1208">
        <w:rPr>
          <w:rFonts w:hint="eastAsia"/>
        </w:rPr>
        <w:t>測量，其已依法辦理地籍測量之地方，應即依本法規定辦理土地總登記。</w:t>
      </w:r>
      <w:r w:rsidR="00C64192" w:rsidRPr="004E1208">
        <w:rPr>
          <w:rFonts w:hint="eastAsia"/>
        </w:rPr>
        <w:t>（</w:t>
      </w:r>
      <w:r w:rsidRPr="004E1208">
        <w:rPr>
          <w:rFonts w:hint="eastAsia"/>
        </w:rPr>
        <w:t>第2項</w:t>
      </w:r>
      <w:r w:rsidR="00C64192" w:rsidRPr="004E1208">
        <w:rPr>
          <w:rFonts w:hint="eastAsia"/>
        </w:rPr>
        <w:t>）</w:t>
      </w:r>
      <w:r w:rsidRPr="004E1208">
        <w:rPr>
          <w:rFonts w:hint="eastAsia"/>
        </w:rPr>
        <w:t>前項土地總登記，</w:t>
      </w:r>
      <w:proofErr w:type="gramStart"/>
      <w:r w:rsidRPr="004E1208">
        <w:rPr>
          <w:rFonts w:hint="eastAsia"/>
        </w:rPr>
        <w:t>謂於一定</w:t>
      </w:r>
      <w:proofErr w:type="gramEnd"/>
      <w:r w:rsidRPr="004E1208">
        <w:rPr>
          <w:rFonts w:hint="eastAsia"/>
        </w:rPr>
        <w:t>期間內就市縣土地之全部為土地登記。」、「在土地法施行前</w:t>
      </w:r>
      <w:proofErr w:type="gramStart"/>
      <w:r w:rsidRPr="004E1208">
        <w:rPr>
          <w:rFonts w:hint="eastAsia"/>
        </w:rPr>
        <w:t>業經呈准依據</w:t>
      </w:r>
      <w:proofErr w:type="gramEnd"/>
      <w:r w:rsidRPr="004E1208">
        <w:rPr>
          <w:rFonts w:hint="eastAsia"/>
        </w:rPr>
        <w:t>單行法規辦理土地登記之地方，得免予重辦…</w:t>
      </w:r>
      <w:proofErr w:type="gramStart"/>
      <w:r w:rsidRPr="004E1208">
        <w:rPr>
          <w:rFonts w:hint="eastAsia"/>
        </w:rPr>
        <w:t>…</w:t>
      </w:r>
      <w:proofErr w:type="gramEnd"/>
      <w:r w:rsidRPr="004E1208">
        <w:rPr>
          <w:rFonts w:hint="eastAsia"/>
        </w:rPr>
        <w:t>。」可知當時土地總登記規範對象係以從未辦理地籍整理之地區，而臺灣在日治時期曾實施地籍測量及土地登記之地區，應屬「土地法施行</w:t>
      </w:r>
      <w:proofErr w:type="gramStart"/>
      <w:r w:rsidRPr="004E1208">
        <w:rPr>
          <w:rFonts w:hint="eastAsia"/>
        </w:rPr>
        <w:t>前業經辦竣</w:t>
      </w:r>
      <w:proofErr w:type="gramEnd"/>
      <w:r w:rsidRPr="004E1208">
        <w:rPr>
          <w:rFonts w:hint="eastAsia"/>
        </w:rPr>
        <w:lastRenderedPageBreak/>
        <w:t>土地登記者」。最高法院</w:t>
      </w:r>
      <w:proofErr w:type="gramStart"/>
      <w:r w:rsidR="000D512E">
        <w:rPr>
          <w:rFonts w:hint="eastAsia"/>
        </w:rPr>
        <w:t>60</w:t>
      </w:r>
      <w:proofErr w:type="gramEnd"/>
      <w:r w:rsidR="000D512E">
        <w:rPr>
          <w:rFonts w:hint="eastAsia"/>
        </w:rPr>
        <w:t>年度</w:t>
      </w:r>
      <w:proofErr w:type="gramStart"/>
      <w:r w:rsidRPr="004E1208">
        <w:rPr>
          <w:rFonts w:hint="eastAsia"/>
        </w:rPr>
        <w:t>台再</w:t>
      </w:r>
      <w:r w:rsidR="000D512E">
        <w:rPr>
          <w:rFonts w:hint="eastAsia"/>
        </w:rPr>
        <w:t>字第69號</w:t>
      </w:r>
      <w:proofErr w:type="gramEnd"/>
      <w:r w:rsidRPr="004E1208">
        <w:rPr>
          <w:rFonts w:hint="eastAsia"/>
        </w:rPr>
        <w:t>、</w:t>
      </w:r>
      <w:r w:rsidR="000D512E">
        <w:rPr>
          <w:rFonts w:hint="eastAsia"/>
        </w:rPr>
        <w:t>79年度</w:t>
      </w:r>
      <w:r w:rsidRPr="004E1208">
        <w:rPr>
          <w:rFonts w:hint="eastAsia"/>
        </w:rPr>
        <w:t>台上</w:t>
      </w:r>
      <w:r w:rsidR="000D512E">
        <w:rPr>
          <w:rFonts w:hint="eastAsia"/>
        </w:rPr>
        <w:t>字第1360號</w:t>
      </w:r>
      <w:r w:rsidRPr="004E1208">
        <w:rPr>
          <w:rFonts w:hint="eastAsia"/>
        </w:rPr>
        <w:t>、</w:t>
      </w:r>
      <w:r w:rsidR="000D512E">
        <w:rPr>
          <w:rFonts w:hint="eastAsia"/>
        </w:rPr>
        <w:t>82年度</w:t>
      </w:r>
      <w:r w:rsidRPr="004E1208">
        <w:rPr>
          <w:rFonts w:hint="eastAsia"/>
        </w:rPr>
        <w:t>台上</w:t>
      </w:r>
      <w:r w:rsidR="000D512E">
        <w:rPr>
          <w:rFonts w:hint="eastAsia"/>
        </w:rPr>
        <w:t>字第3167號</w:t>
      </w:r>
      <w:r w:rsidRPr="004E1208">
        <w:rPr>
          <w:rFonts w:hint="eastAsia"/>
        </w:rPr>
        <w:t>等</w:t>
      </w:r>
      <w:r w:rsidR="000D512E">
        <w:rPr>
          <w:rFonts w:hint="eastAsia"/>
        </w:rPr>
        <w:t>民事</w:t>
      </w:r>
      <w:r w:rsidRPr="004E1208">
        <w:rPr>
          <w:rFonts w:hint="eastAsia"/>
        </w:rPr>
        <w:t>判決即認為，土地總登記係地政機關清查土地的一種程序，不影響物權設定登記，若所有權於日治時期即經辦理登記，則為已取得之權利，不因未依土地法辦理總登記而被否認。根據王瑞棟、李</w:t>
      </w:r>
      <w:proofErr w:type="gramStart"/>
      <w:r w:rsidRPr="004E1208">
        <w:rPr>
          <w:rFonts w:hint="eastAsia"/>
        </w:rPr>
        <w:t>志殷研究</w:t>
      </w:r>
      <w:proofErr w:type="gramEnd"/>
      <w:r w:rsidR="003D4592" w:rsidRPr="004E1208">
        <w:rPr>
          <w:rStyle w:val="afd"/>
        </w:rPr>
        <w:footnoteReference w:id="18"/>
      </w:r>
      <w:r w:rsidRPr="004E1208">
        <w:rPr>
          <w:rFonts w:hint="eastAsia"/>
        </w:rPr>
        <w:t>更發現，臺灣省政府要求各縣市政府應於36年8月中旬以前完成編造土地</w:t>
      </w:r>
      <w:proofErr w:type="gramStart"/>
      <w:r w:rsidRPr="004E1208">
        <w:rPr>
          <w:rFonts w:hint="eastAsia"/>
        </w:rPr>
        <w:t>登記總簿</w:t>
      </w:r>
      <w:proofErr w:type="gramEnd"/>
      <w:r w:rsidRPr="004E1208">
        <w:rPr>
          <w:rFonts w:hint="eastAsia"/>
        </w:rPr>
        <w:t>，各地政事務所為爭取成績，將日治時期土地台帳或不動產登記簿內容，抄錄於所編造的土地</w:t>
      </w:r>
      <w:proofErr w:type="gramStart"/>
      <w:r w:rsidRPr="004E1208">
        <w:rPr>
          <w:rFonts w:hint="eastAsia"/>
        </w:rPr>
        <w:t>登記總簿中</w:t>
      </w:r>
      <w:proofErr w:type="gramEnd"/>
      <w:r w:rsidRPr="004E1208">
        <w:rPr>
          <w:rFonts w:hint="eastAsia"/>
        </w:rPr>
        <w:t>之情形相當普遍。</w:t>
      </w:r>
    </w:p>
    <w:p w:rsidR="00A17517" w:rsidRPr="004E1208" w:rsidRDefault="00A17517" w:rsidP="009E32B5">
      <w:pPr>
        <w:pStyle w:val="4"/>
      </w:pPr>
      <w:r w:rsidRPr="004E1208">
        <w:rPr>
          <w:rFonts w:hint="eastAsia"/>
        </w:rPr>
        <w:t>按土地乃人民生活必需的基本資源，因其價值昂貴，一般人常</w:t>
      </w:r>
      <w:proofErr w:type="gramStart"/>
      <w:r w:rsidRPr="004E1208">
        <w:rPr>
          <w:rFonts w:hint="eastAsia"/>
        </w:rPr>
        <w:t>窮盡畢身積蓄</w:t>
      </w:r>
      <w:proofErr w:type="gramEnd"/>
      <w:r w:rsidRPr="004E1208">
        <w:rPr>
          <w:rFonts w:hint="eastAsia"/>
        </w:rPr>
        <w:t>始能擁有，故為人民賴以生存發展的重要財產。而地籍清理與土地總</w:t>
      </w:r>
      <w:r w:rsidR="00C64192" w:rsidRPr="004E1208">
        <w:rPr>
          <w:rFonts w:hint="eastAsia"/>
        </w:rPr>
        <w:t>（</w:t>
      </w:r>
      <w:r w:rsidRPr="004E1208">
        <w:rPr>
          <w:rFonts w:hint="eastAsia"/>
        </w:rPr>
        <w:t>第一次</w:t>
      </w:r>
      <w:r w:rsidR="00C64192" w:rsidRPr="004E1208">
        <w:rPr>
          <w:rFonts w:hint="eastAsia"/>
        </w:rPr>
        <w:t>）</w:t>
      </w:r>
      <w:r w:rsidRPr="004E1208">
        <w:rPr>
          <w:rFonts w:hint="eastAsia"/>
        </w:rPr>
        <w:t>登記係以確定地權真實歸屬為目的，其程序理應極盡一切可能方法，方能確保真正權利人之財產權。故臺灣省行政長官公署35年4月5日發布之「所有土地權利人應</w:t>
      </w:r>
      <w:proofErr w:type="gramStart"/>
      <w:r w:rsidRPr="004E1208">
        <w:rPr>
          <w:rFonts w:hint="eastAsia"/>
        </w:rPr>
        <w:t>依限向所在地</w:t>
      </w:r>
      <w:proofErr w:type="gramEnd"/>
      <w:r w:rsidRPr="004E1208">
        <w:rPr>
          <w:rFonts w:hint="eastAsia"/>
        </w:rPr>
        <w:t>土地整理處申報登記公告」即欲透過地籍清理與土地第一次登記，來明瞭臺灣土地產權近況，以利後續審慎設計、按序執行相關土地政策與辦法。而土地法第57、58條</w:t>
      </w:r>
      <w:r w:rsidR="003D4592" w:rsidRPr="004E1208">
        <w:rPr>
          <w:rStyle w:val="afd"/>
        </w:rPr>
        <w:footnoteReference w:id="19"/>
      </w:r>
      <w:r w:rsidRPr="004E1208">
        <w:rPr>
          <w:rFonts w:hint="eastAsia"/>
        </w:rPr>
        <w:t>之設計，基本上係針對國家設立之初，依土地法第37條</w:t>
      </w:r>
      <w:r w:rsidR="003D4592" w:rsidRPr="004E1208">
        <w:rPr>
          <w:rStyle w:val="afd"/>
        </w:rPr>
        <w:footnoteReference w:id="20"/>
      </w:r>
      <w:r w:rsidRPr="004E1208">
        <w:rPr>
          <w:rFonts w:hint="eastAsia"/>
        </w:rPr>
        <w:t>辦理地籍測量時無人申請登記之土地，為</w:t>
      </w:r>
      <w:r w:rsidR="00A76822">
        <w:rPr>
          <w:rFonts w:hint="eastAsia"/>
        </w:rPr>
        <w:t>儘</w:t>
      </w:r>
      <w:r w:rsidRPr="004E1208">
        <w:rPr>
          <w:rFonts w:hint="eastAsia"/>
        </w:rPr>
        <w:t>速確認產權，以利推行土地政策。</w:t>
      </w:r>
      <w:proofErr w:type="gramStart"/>
      <w:r w:rsidRPr="004E1208">
        <w:rPr>
          <w:rFonts w:hint="eastAsia"/>
        </w:rPr>
        <w:t>然前揭</w:t>
      </w:r>
      <w:proofErr w:type="gramEnd"/>
      <w:r w:rsidRPr="004E1208">
        <w:rPr>
          <w:rFonts w:hint="eastAsia"/>
        </w:rPr>
        <w:t>公告卻於第10點規定：「在規定申</w:t>
      </w:r>
      <w:r w:rsidRPr="004E1208">
        <w:rPr>
          <w:rFonts w:hint="eastAsia"/>
        </w:rPr>
        <w:lastRenderedPageBreak/>
        <w:t>報</w:t>
      </w:r>
      <w:proofErr w:type="gramStart"/>
      <w:r w:rsidRPr="004E1208">
        <w:rPr>
          <w:rFonts w:hint="eastAsia"/>
        </w:rPr>
        <w:t>期間，</w:t>
      </w:r>
      <w:proofErr w:type="gramEnd"/>
      <w:r w:rsidRPr="004E1208">
        <w:rPr>
          <w:rFonts w:hint="eastAsia"/>
        </w:rPr>
        <w:t>不申報的土地，將一律依法作為公有土地，由政府代管。」36年5月2日公布之臺灣省土地權利憑證繳驗及換發權利書狀辦法第14條更規定，逾期無人申請驗證之土地視為無主土地，經公告程序無人異議即為國有土地之登記，無異變相剝奪人民於日治時期已登記產權之土地，不僅手段與地籍清理暨土地總登記之目的顯不相當，更有侵害人民財產權之虞。</w:t>
      </w:r>
    </w:p>
    <w:p w:rsidR="00A17517" w:rsidRPr="004E1208" w:rsidRDefault="00A17517" w:rsidP="009E32B5">
      <w:pPr>
        <w:pStyle w:val="4"/>
      </w:pPr>
      <w:proofErr w:type="gramStart"/>
      <w:r w:rsidRPr="004E1208">
        <w:rPr>
          <w:rFonts w:hint="eastAsia"/>
        </w:rPr>
        <w:t>再者，</w:t>
      </w:r>
      <w:proofErr w:type="gramEnd"/>
      <w:r w:rsidRPr="004E1208">
        <w:rPr>
          <w:rFonts w:hint="eastAsia"/>
        </w:rPr>
        <w:t>日治初期，日本政府上尚且沿用清</w:t>
      </w:r>
      <w:r w:rsidR="004E1208" w:rsidRPr="004E1208">
        <w:rPr>
          <w:rFonts w:hint="eastAsia"/>
        </w:rPr>
        <w:t>治</w:t>
      </w:r>
      <w:r w:rsidRPr="004E1208">
        <w:rPr>
          <w:rFonts w:hint="eastAsia"/>
        </w:rPr>
        <w:t>時期舊慣多年，西元1922年</w:t>
      </w:r>
      <w:r w:rsidR="00C64192" w:rsidRPr="004E1208">
        <w:rPr>
          <w:rFonts w:hint="eastAsia"/>
        </w:rPr>
        <w:t>（</w:t>
      </w:r>
      <w:r w:rsidRPr="004E1208">
        <w:rPr>
          <w:rFonts w:hint="eastAsia"/>
        </w:rPr>
        <w:t>大正11年</w:t>
      </w:r>
      <w:r w:rsidR="00C64192" w:rsidRPr="004E1208">
        <w:rPr>
          <w:rFonts w:hint="eastAsia"/>
        </w:rPr>
        <w:t>）</w:t>
      </w:r>
      <w:r w:rsidRPr="004E1208">
        <w:rPr>
          <w:rFonts w:hint="eastAsia"/>
        </w:rPr>
        <w:t>9月18日公布之關於民事之法律施行於臺灣之件</w:t>
      </w:r>
      <w:r w:rsidR="00C64192" w:rsidRPr="004E1208">
        <w:rPr>
          <w:rFonts w:hint="eastAsia"/>
        </w:rPr>
        <w:t>（敕</w:t>
      </w:r>
      <w:r w:rsidRPr="004E1208">
        <w:rPr>
          <w:rFonts w:hint="eastAsia"/>
        </w:rPr>
        <w:t>令第406號</w:t>
      </w:r>
      <w:r w:rsidR="00C64192" w:rsidRPr="004E1208">
        <w:rPr>
          <w:rFonts w:hint="eastAsia"/>
        </w:rPr>
        <w:t>）</w:t>
      </w:r>
      <w:r w:rsidRPr="004E1208">
        <w:rPr>
          <w:rFonts w:hint="eastAsia"/>
        </w:rPr>
        <w:t>規定，始將日本民法、民法施行法、不動產登記法以及其附屬法律自西元1923年</w:t>
      </w:r>
      <w:r w:rsidR="00C64192" w:rsidRPr="004E1208">
        <w:rPr>
          <w:rFonts w:hint="eastAsia"/>
        </w:rPr>
        <w:t>（</w:t>
      </w:r>
      <w:r w:rsidRPr="004E1208">
        <w:rPr>
          <w:rFonts w:hint="eastAsia"/>
        </w:rPr>
        <w:t>大正12年</w:t>
      </w:r>
      <w:r w:rsidR="00C64192" w:rsidRPr="004E1208">
        <w:rPr>
          <w:rFonts w:hint="eastAsia"/>
        </w:rPr>
        <w:t>）</w:t>
      </w:r>
      <w:r w:rsidRPr="004E1208">
        <w:rPr>
          <w:rFonts w:hint="eastAsia"/>
        </w:rPr>
        <w:t>1月1日起，施行於臺灣。然戰後臺灣政權交替，臺灣法體系，發生了某程度的「法規範斷裂、法社會連續」，</w:t>
      </w:r>
      <w:proofErr w:type="gramStart"/>
      <w:r w:rsidRPr="004E1208">
        <w:rPr>
          <w:rFonts w:hint="eastAsia"/>
        </w:rPr>
        <w:t>按法規範</w:t>
      </w:r>
      <w:proofErr w:type="gramEnd"/>
      <w:r w:rsidRPr="004E1208">
        <w:rPr>
          <w:rFonts w:hint="eastAsia"/>
        </w:rPr>
        <w:t>上係屬於兩個不同的國家法體制</w:t>
      </w:r>
      <w:r w:rsidR="00C64192" w:rsidRPr="004E1208">
        <w:rPr>
          <w:rFonts w:hint="eastAsia"/>
        </w:rPr>
        <w:t>（</w:t>
      </w:r>
      <w:r w:rsidRPr="004E1208">
        <w:rPr>
          <w:rFonts w:hint="eastAsia"/>
        </w:rPr>
        <w:t>法秩序</w:t>
      </w:r>
      <w:r w:rsidR="00C64192" w:rsidRPr="004E1208">
        <w:rPr>
          <w:rFonts w:hint="eastAsia"/>
        </w:rPr>
        <w:t>）</w:t>
      </w:r>
      <w:r w:rsidRPr="004E1208">
        <w:rPr>
          <w:rFonts w:hint="eastAsia"/>
        </w:rPr>
        <w:t>，於</w:t>
      </w:r>
      <w:proofErr w:type="gramStart"/>
      <w:r w:rsidRPr="004E1208">
        <w:rPr>
          <w:rFonts w:hint="eastAsia"/>
        </w:rPr>
        <w:t>政權轉替時</w:t>
      </w:r>
      <w:proofErr w:type="gramEnd"/>
      <w:r w:rsidRPr="004E1208">
        <w:rPr>
          <w:rFonts w:hint="eastAsia"/>
        </w:rPr>
        <w:t>，常見之將部分舊有法律納入新政權法律之內，如日治前期之依用舊慣，未發生於國民黨政府統治初期。除極少數例外，日治法令自西元1946年</w:t>
      </w:r>
      <w:r w:rsidR="00C64192" w:rsidRPr="004E1208">
        <w:rPr>
          <w:rFonts w:hint="eastAsia"/>
        </w:rPr>
        <w:t>（</w:t>
      </w:r>
      <w:r w:rsidRPr="004E1208">
        <w:rPr>
          <w:rFonts w:hint="eastAsia"/>
        </w:rPr>
        <w:t>即民國35年</w:t>
      </w:r>
      <w:r w:rsidR="00C64192" w:rsidRPr="004E1208">
        <w:rPr>
          <w:rFonts w:hint="eastAsia"/>
        </w:rPr>
        <w:t>）</w:t>
      </w:r>
      <w:r w:rsidRPr="004E1208">
        <w:rPr>
          <w:rFonts w:hint="eastAsia"/>
        </w:rPr>
        <w:t>10月25日起即完全失效。執法者文化背景的不同，也可能造成對抽象法規範內容理解上的差異。惟在法社會生活，本省人於日治時期已形成的法律觀及法律運作模式，並未因</w:t>
      </w:r>
      <w:proofErr w:type="gramStart"/>
      <w:r w:rsidRPr="004E1208">
        <w:rPr>
          <w:rFonts w:hint="eastAsia"/>
        </w:rPr>
        <w:t>政權轉替而</w:t>
      </w:r>
      <w:proofErr w:type="gramEnd"/>
      <w:r w:rsidRPr="004E1208">
        <w:rPr>
          <w:rFonts w:hint="eastAsia"/>
        </w:rPr>
        <w:t>旦夕間劇變</w:t>
      </w:r>
      <w:r w:rsidR="003D4592" w:rsidRPr="004E1208">
        <w:rPr>
          <w:rStyle w:val="afd"/>
        </w:rPr>
        <w:footnoteReference w:id="21"/>
      </w:r>
      <w:r w:rsidRPr="004E1208">
        <w:rPr>
          <w:rFonts w:hint="eastAsia"/>
        </w:rPr>
        <w:t>；</w:t>
      </w:r>
      <w:proofErr w:type="gramStart"/>
      <w:r w:rsidRPr="004E1208">
        <w:rPr>
          <w:rFonts w:hint="eastAsia"/>
        </w:rPr>
        <w:t>再者，</w:t>
      </w:r>
      <w:proofErr w:type="gramEnd"/>
      <w:r w:rsidRPr="004E1208">
        <w:rPr>
          <w:rFonts w:hint="eastAsia"/>
        </w:rPr>
        <w:t>臺灣光復不久，旋即開始實施地籍清理暨土地總</w:t>
      </w:r>
      <w:r w:rsidR="00C64192" w:rsidRPr="004E1208">
        <w:rPr>
          <w:rFonts w:hint="eastAsia"/>
        </w:rPr>
        <w:t>（</w:t>
      </w:r>
      <w:r w:rsidRPr="004E1208">
        <w:rPr>
          <w:rFonts w:hint="eastAsia"/>
        </w:rPr>
        <w:t>第一次</w:t>
      </w:r>
      <w:r w:rsidR="00C64192" w:rsidRPr="004E1208">
        <w:rPr>
          <w:rFonts w:hint="eastAsia"/>
        </w:rPr>
        <w:t>）</w:t>
      </w:r>
      <w:r w:rsidRPr="004E1208">
        <w:rPr>
          <w:rFonts w:hint="eastAsia"/>
        </w:rPr>
        <w:t>登記，卻因社會動</w:t>
      </w:r>
      <w:proofErr w:type="gramStart"/>
      <w:r w:rsidRPr="004E1208">
        <w:rPr>
          <w:rFonts w:hint="eastAsia"/>
        </w:rPr>
        <w:t>盪</w:t>
      </w:r>
      <w:proofErr w:type="gramEnd"/>
      <w:r w:rsidRPr="004E1208">
        <w:rPr>
          <w:rFonts w:hint="eastAsia"/>
        </w:rPr>
        <w:t>、經濟蕭條引發二二八事件之際，臺灣省行政</w:t>
      </w:r>
      <w:r w:rsidRPr="004E1208">
        <w:rPr>
          <w:rFonts w:hint="eastAsia"/>
        </w:rPr>
        <w:lastRenderedPageBreak/>
        <w:t>長官公署宣布戒嚴，同時進行大規模武力掃蕩、血腥鎮壓與長期清鄉，一般民眾人心惶惶、行蹤不定，相關政令規定可否宣達週知，不無疑義。</w:t>
      </w:r>
      <w:proofErr w:type="gramStart"/>
      <w:r w:rsidRPr="004E1208">
        <w:rPr>
          <w:rFonts w:hint="eastAsia"/>
        </w:rPr>
        <w:t>此外，</w:t>
      </w:r>
      <w:proofErr w:type="gramEnd"/>
      <w:r w:rsidRPr="004E1208">
        <w:rPr>
          <w:rFonts w:hint="eastAsia"/>
        </w:rPr>
        <w:t>地籍清理與土地總</w:t>
      </w:r>
      <w:r w:rsidR="00C64192" w:rsidRPr="004E1208">
        <w:rPr>
          <w:rFonts w:hint="eastAsia"/>
        </w:rPr>
        <w:t>（</w:t>
      </w:r>
      <w:r w:rsidRPr="004E1208">
        <w:rPr>
          <w:rFonts w:hint="eastAsia"/>
        </w:rPr>
        <w:t>第一次</w:t>
      </w:r>
      <w:r w:rsidR="00C64192" w:rsidRPr="004E1208">
        <w:rPr>
          <w:rFonts w:hint="eastAsia"/>
        </w:rPr>
        <w:t>）</w:t>
      </w:r>
      <w:r w:rsidRPr="004E1208">
        <w:rPr>
          <w:rFonts w:hint="eastAsia"/>
        </w:rPr>
        <w:t>登記工作浩繁，有賴健全制度、嚴謹法令與專業人員方能順利推動，而反觀臺灣戰後推動地籍清理與土地總</w:t>
      </w:r>
      <w:r w:rsidR="00C64192" w:rsidRPr="004E1208">
        <w:rPr>
          <w:rFonts w:hint="eastAsia"/>
        </w:rPr>
        <w:t>（</w:t>
      </w:r>
      <w:r w:rsidRPr="004E1208">
        <w:rPr>
          <w:rFonts w:hint="eastAsia"/>
        </w:rPr>
        <w:t>第一次</w:t>
      </w:r>
      <w:r w:rsidR="00C64192" w:rsidRPr="004E1208">
        <w:rPr>
          <w:rFonts w:hint="eastAsia"/>
        </w:rPr>
        <w:t>）</w:t>
      </w:r>
      <w:r w:rsidRPr="004E1208">
        <w:rPr>
          <w:rFonts w:hint="eastAsia"/>
        </w:rPr>
        <w:t>登記之時代背景，在社會混亂，以及相關法制、經費、人力、訓練皆有不足之情況下，要限時、正確辦理全島性、大規模地籍清理與土地總</w:t>
      </w:r>
      <w:r w:rsidR="00C64192" w:rsidRPr="004E1208">
        <w:rPr>
          <w:rFonts w:hint="eastAsia"/>
        </w:rPr>
        <w:t>（</w:t>
      </w:r>
      <w:r w:rsidRPr="004E1208">
        <w:rPr>
          <w:rFonts w:hint="eastAsia"/>
        </w:rPr>
        <w:t>第一次</w:t>
      </w:r>
      <w:r w:rsidR="00C64192" w:rsidRPr="004E1208">
        <w:rPr>
          <w:rFonts w:hint="eastAsia"/>
        </w:rPr>
        <w:t>）</w:t>
      </w:r>
      <w:r w:rsidRPr="004E1208">
        <w:rPr>
          <w:rFonts w:hint="eastAsia"/>
        </w:rPr>
        <w:t>登記確有困難。</w:t>
      </w:r>
    </w:p>
    <w:p w:rsidR="00A17517" w:rsidRPr="004E1208" w:rsidRDefault="00A17517" w:rsidP="009E32B5">
      <w:pPr>
        <w:pStyle w:val="3"/>
      </w:pPr>
      <w:r w:rsidRPr="004E1208">
        <w:rPr>
          <w:rFonts w:hint="eastAsia"/>
        </w:rPr>
        <w:t>本調查研究112年4月12日諮詢專家學者時，政治大學地政學系徐世榮教授更進一步指出：</w:t>
      </w:r>
    </w:p>
    <w:p w:rsidR="00A17517" w:rsidRPr="004E1208" w:rsidRDefault="00A17517" w:rsidP="009E32B5">
      <w:pPr>
        <w:pStyle w:val="4"/>
      </w:pPr>
      <w:r w:rsidRPr="004E1208">
        <w:rPr>
          <w:rFonts w:hint="eastAsia"/>
        </w:rPr>
        <w:t>臺灣省行政長官公署在35年4月5日發布「所有土地權利人應</w:t>
      </w:r>
      <w:proofErr w:type="gramStart"/>
      <w:r w:rsidRPr="004E1208">
        <w:rPr>
          <w:rFonts w:hint="eastAsia"/>
        </w:rPr>
        <w:t>依限向所在地</w:t>
      </w:r>
      <w:proofErr w:type="gramEnd"/>
      <w:r w:rsidRPr="004E1208">
        <w:rPr>
          <w:rFonts w:hint="eastAsia"/>
        </w:rPr>
        <w:t>土地整理處申報登記」公告，…</w:t>
      </w:r>
      <w:proofErr w:type="gramStart"/>
      <w:r w:rsidRPr="004E1208">
        <w:rPr>
          <w:rFonts w:hint="eastAsia"/>
        </w:rPr>
        <w:t>…</w:t>
      </w:r>
      <w:proofErr w:type="gramEnd"/>
      <w:r w:rsidRPr="004E1208">
        <w:rPr>
          <w:rFonts w:hint="eastAsia"/>
        </w:rPr>
        <w:t>當時的土地權利憑證主要為日治時期的土地台帳、法院</w:t>
      </w:r>
      <w:proofErr w:type="gramStart"/>
      <w:r w:rsidRPr="004E1208">
        <w:rPr>
          <w:rFonts w:hint="eastAsia"/>
        </w:rPr>
        <w:t>登記濟證</w:t>
      </w:r>
      <w:proofErr w:type="gramEnd"/>
      <w:r w:rsidRPr="004E1208">
        <w:rPr>
          <w:rFonts w:hint="eastAsia"/>
        </w:rPr>
        <w:t>、最近</w:t>
      </w:r>
      <w:proofErr w:type="gramStart"/>
      <w:r w:rsidRPr="004E1208">
        <w:rPr>
          <w:rFonts w:hint="eastAsia"/>
        </w:rPr>
        <w:t>3年納租收據</w:t>
      </w:r>
      <w:proofErr w:type="gramEnd"/>
      <w:r w:rsidRPr="004E1208">
        <w:rPr>
          <w:rFonts w:hint="eastAsia"/>
        </w:rPr>
        <w:t>、及其他足資證明權利文件。</w:t>
      </w:r>
      <w:proofErr w:type="gramStart"/>
      <w:r w:rsidRPr="004E1208">
        <w:rPr>
          <w:rFonts w:hint="eastAsia"/>
        </w:rPr>
        <w:t>惟</w:t>
      </w:r>
      <w:proofErr w:type="gramEnd"/>
      <w:r w:rsidRPr="004E1208">
        <w:rPr>
          <w:rFonts w:hint="eastAsia"/>
        </w:rPr>
        <w:t>因為準備工作根本沒有到位，政府接收時的錯誤認知，及許多課題都沒有預作準備，例如土地登記制度不同、語言不同、資訊傳播不足、交通不便、不同土地權利如何轉換及登記、</w:t>
      </w:r>
      <w:proofErr w:type="gramStart"/>
      <w:r w:rsidRPr="004E1208">
        <w:rPr>
          <w:rFonts w:hint="eastAsia"/>
        </w:rPr>
        <w:t>臺</w:t>
      </w:r>
      <w:proofErr w:type="gramEnd"/>
      <w:r w:rsidRPr="004E1208">
        <w:rPr>
          <w:rFonts w:hint="eastAsia"/>
        </w:rPr>
        <w:t>人及法人改名、日台合資、及土地整理處缺乏人力等，情況可謂是一團混亂，因而也產生了許多嚴重的問題。</w:t>
      </w:r>
    </w:p>
    <w:p w:rsidR="00A17517" w:rsidRPr="004E1208" w:rsidRDefault="00A17517" w:rsidP="009E32B5">
      <w:pPr>
        <w:pStyle w:val="4"/>
      </w:pPr>
      <w:r w:rsidRPr="004E1208">
        <w:rPr>
          <w:rFonts w:hint="eastAsia"/>
        </w:rPr>
        <w:t>若以土地登記制度為例，臺灣總督府於西元1922年9月公布「關於民事之法律施行於臺灣文件」，將日本民法、民法施行法、不動產登記法以及其附屬法律自西元1923年1月1日起施行於臺灣，也就是不動產物權移轉因當事人</w:t>
      </w:r>
      <w:proofErr w:type="gramStart"/>
      <w:r w:rsidRPr="004E1208">
        <w:rPr>
          <w:rFonts w:hint="eastAsia"/>
        </w:rPr>
        <w:t>意思合致</w:t>
      </w:r>
      <w:proofErr w:type="gramEnd"/>
      <w:r w:rsidRPr="004E1208">
        <w:rPr>
          <w:rFonts w:hint="eastAsia"/>
        </w:rPr>
        <w:t>，即生效力，登記僅為對抗第三人之要件，並非強制登記。因此當時的土地權利出現3種情形：</w:t>
      </w:r>
      <w:r w:rsidR="00C64192" w:rsidRPr="004E1208">
        <w:rPr>
          <w:rFonts w:hint="eastAsia"/>
        </w:rPr>
        <w:t>（</w:t>
      </w:r>
      <w:r w:rsidRPr="004E1208">
        <w:rPr>
          <w:rFonts w:hint="eastAsia"/>
        </w:rPr>
        <w:t>1</w:t>
      </w:r>
      <w:r w:rsidR="00C64192" w:rsidRPr="004E1208">
        <w:rPr>
          <w:rFonts w:hint="eastAsia"/>
        </w:rPr>
        <w:t>）</w:t>
      </w:r>
      <w:r w:rsidRPr="004E1208">
        <w:rPr>
          <w:rFonts w:hint="eastAsia"/>
        </w:rPr>
        <w:t>有登錄於</w:t>
      </w:r>
      <w:r w:rsidRPr="004E1208">
        <w:rPr>
          <w:rFonts w:hint="eastAsia"/>
        </w:rPr>
        <w:lastRenderedPageBreak/>
        <w:t>土地台帳，但因未申請登記或不屬於登記區之範圍，以致於尚未造具此筆土地之土地登記簿；</w:t>
      </w:r>
      <w:r w:rsidR="00C64192" w:rsidRPr="004E1208">
        <w:rPr>
          <w:rFonts w:hint="eastAsia"/>
        </w:rPr>
        <w:t>（</w:t>
      </w:r>
      <w:r w:rsidRPr="004E1208">
        <w:rPr>
          <w:rFonts w:hint="eastAsia"/>
        </w:rPr>
        <w:t>2</w:t>
      </w:r>
      <w:r w:rsidR="00C64192" w:rsidRPr="004E1208">
        <w:rPr>
          <w:rFonts w:hint="eastAsia"/>
        </w:rPr>
        <w:t>）</w:t>
      </w:r>
      <w:r w:rsidRPr="004E1208">
        <w:rPr>
          <w:rFonts w:hint="eastAsia"/>
        </w:rPr>
        <w:t>有土地登記簿及土地台帳；</w:t>
      </w:r>
      <w:r w:rsidR="00C64192" w:rsidRPr="004E1208">
        <w:rPr>
          <w:rFonts w:hint="eastAsia"/>
        </w:rPr>
        <w:t>（</w:t>
      </w:r>
      <w:r w:rsidRPr="004E1208">
        <w:rPr>
          <w:rFonts w:hint="eastAsia"/>
        </w:rPr>
        <w:t>3</w:t>
      </w:r>
      <w:r w:rsidR="00C64192" w:rsidRPr="004E1208">
        <w:rPr>
          <w:rFonts w:hint="eastAsia"/>
        </w:rPr>
        <w:t>）</w:t>
      </w:r>
      <w:r w:rsidRPr="004E1208">
        <w:rPr>
          <w:rFonts w:hint="eastAsia"/>
        </w:rPr>
        <w:t>未經測量之土地，無土地</w:t>
      </w:r>
      <w:proofErr w:type="gramStart"/>
      <w:r w:rsidRPr="004E1208">
        <w:rPr>
          <w:rFonts w:hint="eastAsia"/>
        </w:rPr>
        <w:t>台帳且無</w:t>
      </w:r>
      <w:proofErr w:type="gramEnd"/>
      <w:r w:rsidRPr="004E1208">
        <w:rPr>
          <w:rFonts w:hint="eastAsia"/>
        </w:rPr>
        <w:t>土地登記簿。</w:t>
      </w:r>
    </w:p>
    <w:p w:rsidR="00A17517" w:rsidRPr="004E1208" w:rsidRDefault="00A17517" w:rsidP="009E32B5">
      <w:pPr>
        <w:pStyle w:val="4"/>
      </w:pPr>
      <w:r w:rsidRPr="004E1208">
        <w:rPr>
          <w:rFonts w:hint="eastAsia"/>
        </w:rPr>
        <w:t>但是國民政府卻是採取強制登記制度，即所謂的登記生效主義，這有很大差別。土地權利憑證繳驗應僅只適用於在日治時期已辦理不動產測量及登記之區域，但很不幸的，臺灣省行政長官公署竟誤以為全</w:t>
      </w:r>
      <w:proofErr w:type="gramStart"/>
      <w:r w:rsidRPr="004E1208">
        <w:rPr>
          <w:rFonts w:hint="eastAsia"/>
        </w:rPr>
        <w:t>臺</w:t>
      </w:r>
      <w:proofErr w:type="gramEnd"/>
      <w:r w:rsidRPr="004E1208">
        <w:rPr>
          <w:rFonts w:hint="eastAsia"/>
        </w:rPr>
        <w:t>在日治時期已辦理完土地登記，因此對於前述第</w:t>
      </w:r>
      <w:r w:rsidR="00C64192" w:rsidRPr="004E1208">
        <w:rPr>
          <w:rFonts w:hint="eastAsia"/>
        </w:rPr>
        <w:t>（</w:t>
      </w:r>
      <w:r w:rsidRPr="004E1208">
        <w:rPr>
          <w:rFonts w:hint="eastAsia"/>
        </w:rPr>
        <w:t>3</w:t>
      </w:r>
      <w:r w:rsidR="00C64192" w:rsidRPr="004E1208">
        <w:rPr>
          <w:rFonts w:hint="eastAsia"/>
        </w:rPr>
        <w:t>）</w:t>
      </w:r>
      <w:r w:rsidRPr="004E1208">
        <w:rPr>
          <w:rFonts w:hint="eastAsia"/>
        </w:rPr>
        <w:t>項，由於無法提出符合的權利憑證，致使土地整理處皆無法受理申請。</w:t>
      </w:r>
      <w:proofErr w:type="gramStart"/>
      <w:r w:rsidRPr="004E1208">
        <w:rPr>
          <w:rFonts w:hint="eastAsia"/>
        </w:rPr>
        <w:t>此外，</w:t>
      </w:r>
      <w:proofErr w:type="gramEnd"/>
      <w:r w:rsidRPr="004E1208">
        <w:rPr>
          <w:rFonts w:hint="eastAsia"/>
        </w:rPr>
        <w:t>日治時期土地買賣未必要進行登記，加上還有許多難以克服的前述問題，因此，第</w:t>
      </w:r>
      <w:r w:rsidR="00C64192" w:rsidRPr="004E1208">
        <w:rPr>
          <w:rFonts w:hint="eastAsia"/>
        </w:rPr>
        <w:t>（</w:t>
      </w:r>
      <w:r w:rsidRPr="004E1208">
        <w:rPr>
          <w:rFonts w:hint="eastAsia"/>
        </w:rPr>
        <w:t>1</w:t>
      </w:r>
      <w:r w:rsidR="00C64192" w:rsidRPr="004E1208">
        <w:rPr>
          <w:rFonts w:hint="eastAsia"/>
        </w:rPr>
        <w:t>）</w:t>
      </w:r>
      <w:r w:rsidRPr="004E1208">
        <w:rPr>
          <w:rFonts w:hint="eastAsia"/>
        </w:rPr>
        <w:t>及</w:t>
      </w:r>
      <w:r w:rsidR="00C64192" w:rsidRPr="004E1208">
        <w:rPr>
          <w:rFonts w:hint="eastAsia"/>
        </w:rPr>
        <w:t>（</w:t>
      </w:r>
      <w:r w:rsidRPr="004E1208">
        <w:rPr>
          <w:rFonts w:hint="eastAsia"/>
        </w:rPr>
        <w:t>2</w:t>
      </w:r>
      <w:r w:rsidR="00C64192" w:rsidRPr="004E1208">
        <w:rPr>
          <w:rFonts w:hint="eastAsia"/>
        </w:rPr>
        <w:t>）</w:t>
      </w:r>
      <w:r w:rsidRPr="004E1208">
        <w:rPr>
          <w:rFonts w:hint="eastAsia"/>
        </w:rPr>
        <w:t>項的實際權利人也未必能夠登記。</w:t>
      </w:r>
    </w:p>
    <w:p w:rsidR="00A17517" w:rsidRPr="004E1208" w:rsidRDefault="00A17517" w:rsidP="009E32B5">
      <w:pPr>
        <w:pStyle w:val="4"/>
      </w:pPr>
      <w:r w:rsidRPr="004E1208">
        <w:rPr>
          <w:rFonts w:hint="eastAsia"/>
        </w:rPr>
        <w:t>嗣後，臺灣省行政長官公署於35年10月7日發</w:t>
      </w:r>
      <w:proofErr w:type="gramStart"/>
      <w:r w:rsidRPr="004E1208">
        <w:rPr>
          <w:rFonts w:hint="eastAsia"/>
        </w:rPr>
        <w:t>布署</w:t>
      </w:r>
      <w:proofErr w:type="gramEnd"/>
      <w:r w:rsidRPr="004E1208">
        <w:rPr>
          <w:rFonts w:hint="eastAsia"/>
        </w:rPr>
        <w:t>令，「逾登記期限無人申請登記之土地，或經申請而逾限未補繳證明文件者，其土地視為無主土地，由該管縣市地政機關公告2個月，公告期滿無人提出異議者，即為國有土地之登記。」這使得許多</w:t>
      </w:r>
      <w:proofErr w:type="gramStart"/>
      <w:r w:rsidRPr="004E1208">
        <w:rPr>
          <w:rFonts w:hint="eastAsia"/>
        </w:rPr>
        <w:t>臺</w:t>
      </w:r>
      <w:proofErr w:type="gramEnd"/>
      <w:r w:rsidRPr="004E1208">
        <w:rPr>
          <w:rFonts w:hint="eastAsia"/>
        </w:rPr>
        <w:t>人的土地權利強行遭致剝奪，縱然後來在民意代表的建議下延至38年底，但已是無力可回天了。</w:t>
      </w:r>
    </w:p>
    <w:p w:rsidR="00A17517" w:rsidRPr="004E1208" w:rsidRDefault="00A17517" w:rsidP="009E32B5">
      <w:pPr>
        <w:pStyle w:val="4"/>
      </w:pPr>
      <w:r w:rsidRPr="004E1208">
        <w:rPr>
          <w:rFonts w:hint="eastAsia"/>
        </w:rPr>
        <w:t>也就是說，臺灣省行政長官公署推動的土地權利憑證繳驗工作，用不到1年的時間，就強行將許多</w:t>
      </w:r>
      <w:proofErr w:type="gramStart"/>
      <w:r w:rsidRPr="004E1208">
        <w:rPr>
          <w:rFonts w:hint="eastAsia"/>
        </w:rPr>
        <w:t>臺</w:t>
      </w:r>
      <w:proofErr w:type="gramEnd"/>
      <w:r w:rsidRPr="004E1208">
        <w:rPr>
          <w:rFonts w:hint="eastAsia"/>
        </w:rPr>
        <w:t>人的土地無償變更為國有，這是對人民財產權的不當侵害，也形同是視那些土地為敵產，進行實質的沒收。這樣剝奪基本人權的殘酷作為，造成了</w:t>
      </w:r>
      <w:proofErr w:type="gramStart"/>
      <w:r w:rsidRPr="004E1208">
        <w:rPr>
          <w:rFonts w:hint="eastAsia"/>
        </w:rPr>
        <w:t>臺</w:t>
      </w:r>
      <w:proofErr w:type="gramEnd"/>
      <w:r w:rsidRPr="004E1208">
        <w:rPr>
          <w:rFonts w:hint="eastAsia"/>
        </w:rPr>
        <w:t>人極大的痛苦與</w:t>
      </w:r>
      <w:proofErr w:type="gramStart"/>
      <w:r w:rsidRPr="004E1208">
        <w:rPr>
          <w:rFonts w:hint="eastAsia"/>
        </w:rPr>
        <w:t>不滿，</w:t>
      </w:r>
      <w:proofErr w:type="gramEnd"/>
      <w:r w:rsidRPr="004E1208">
        <w:rPr>
          <w:rFonts w:hint="eastAsia"/>
        </w:rPr>
        <w:t>成為引發</w:t>
      </w:r>
      <w:proofErr w:type="gramStart"/>
      <w:r w:rsidRPr="004E1208">
        <w:rPr>
          <w:rFonts w:hint="eastAsia"/>
        </w:rPr>
        <w:t>臺</w:t>
      </w:r>
      <w:proofErr w:type="gramEnd"/>
      <w:r w:rsidRPr="004E1208">
        <w:rPr>
          <w:rFonts w:hint="eastAsia"/>
        </w:rPr>
        <w:t>人抗暴行動的重要因素。</w:t>
      </w:r>
    </w:p>
    <w:p w:rsidR="00A17517" w:rsidRPr="004E1208" w:rsidRDefault="00A17517" w:rsidP="009E32B5">
      <w:pPr>
        <w:pStyle w:val="3"/>
      </w:pPr>
      <w:r w:rsidRPr="004E1208">
        <w:rPr>
          <w:rFonts w:hint="eastAsia"/>
        </w:rPr>
        <w:lastRenderedPageBreak/>
        <w:t>臺灣大學法律系王泰升教授著作</w:t>
      </w:r>
      <w:r w:rsidR="00115525" w:rsidRPr="004E1208">
        <w:rPr>
          <w:rStyle w:val="afd"/>
        </w:rPr>
        <w:footnoteReference w:id="22"/>
      </w:r>
      <w:r w:rsidRPr="004E1208">
        <w:rPr>
          <w:rFonts w:hint="eastAsia"/>
        </w:rPr>
        <w:t>亦指出：「國民黨政權於35年4月公告要求人民申報土地權利，再於36年3月通過臺灣省權利憑證繳驗及換發權利書狀辦法，規定人民於申報期限內，繳交原權利憑證，經公告、異議等程序後，換發權利書狀，載入土地登記簿，視為已完成『土地總登記』，具有登記公信力。若原所有人未辦理土地總登記，該地即被登記為國有。按當時正逢二二八事件後社會動</w:t>
      </w:r>
      <w:proofErr w:type="gramStart"/>
      <w:r w:rsidRPr="004E1208">
        <w:rPr>
          <w:rFonts w:hint="eastAsia"/>
        </w:rPr>
        <w:t>盪</w:t>
      </w:r>
      <w:proofErr w:type="gramEnd"/>
      <w:r w:rsidRPr="004E1208">
        <w:rPr>
          <w:rFonts w:hint="eastAsia"/>
        </w:rPr>
        <w:t>時刻，國民黨政權竟急忙地辦理這項</w:t>
      </w:r>
      <w:proofErr w:type="gramStart"/>
      <w:r w:rsidRPr="004E1208">
        <w:rPr>
          <w:rFonts w:hint="eastAsia"/>
        </w:rPr>
        <w:t>攸</w:t>
      </w:r>
      <w:proofErr w:type="gramEnd"/>
      <w:r w:rsidRPr="004E1208">
        <w:rPr>
          <w:rFonts w:hint="eastAsia"/>
        </w:rPr>
        <w:t>關人民私法上權利的土地總登記，並課以不申報者極大的民事法上</w:t>
      </w:r>
      <w:proofErr w:type="gramStart"/>
      <w:r w:rsidRPr="004E1208">
        <w:rPr>
          <w:rFonts w:hint="eastAsia"/>
        </w:rPr>
        <w:t>不</w:t>
      </w:r>
      <w:proofErr w:type="gramEnd"/>
      <w:r w:rsidRPr="004E1208">
        <w:rPr>
          <w:rFonts w:hint="eastAsia"/>
        </w:rPr>
        <w:t>利益，實不合理。…</w:t>
      </w:r>
      <w:proofErr w:type="gramStart"/>
      <w:r w:rsidRPr="004E1208">
        <w:rPr>
          <w:rFonts w:hint="eastAsia"/>
        </w:rPr>
        <w:t>…</w:t>
      </w:r>
      <w:proofErr w:type="gramEnd"/>
      <w:r w:rsidRPr="004E1208">
        <w:rPr>
          <w:rFonts w:hint="eastAsia"/>
        </w:rPr>
        <w:t>即令原所有人援引前揭土地總登記不影響私權的見解，主張所有物妨害除去請求權，也將因其土地所有權屬『未登記』而須適用15年的消滅時效（民法676，釋164）。臺灣人何其不幸，</w:t>
      </w:r>
      <w:proofErr w:type="gramStart"/>
      <w:r w:rsidRPr="004E1208">
        <w:rPr>
          <w:rFonts w:hint="eastAsia"/>
        </w:rPr>
        <w:t>每因政權</w:t>
      </w:r>
      <w:proofErr w:type="gramEnd"/>
      <w:r w:rsidRPr="004E1208">
        <w:rPr>
          <w:rFonts w:hint="eastAsia"/>
        </w:rPr>
        <w:t>易手導致法制更替，私權陷入險境。」</w:t>
      </w:r>
    </w:p>
    <w:p w:rsidR="00A17517" w:rsidRPr="004E1208" w:rsidRDefault="00A17517" w:rsidP="009E32B5">
      <w:pPr>
        <w:pStyle w:val="3"/>
      </w:pPr>
      <w:r w:rsidRPr="004E1208">
        <w:rPr>
          <w:rFonts w:hint="eastAsia"/>
        </w:rPr>
        <w:t>由於類似問題層出不窮，政府為解決人民申請發還因逾限申報或補繳文件而私人土地被收歸國有之爭議，行政院及內政部多次發布解釋函令，並陸續頒布逾總登記期限無人登記土地處理原則、臺灣光復初期誤以死者名義申報土地總登記處理要點、土地總登記登記名義人之資料不全或不符申辦登記審查注意事項等後續清理規定，再於79年全國地政會議決議擬訂法律以解決相關問題。</w:t>
      </w:r>
      <w:proofErr w:type="gramStart"/>
      <w:r w:rsidRPr="004E1208">
        <w:rPr>
          <w:rFonts w:hint="eastAsia"/>
        </w:rPr>
        <w:t>嗣</w:t>
      </w:r>
      <w:proofErr w:type="gramEnd"/>
      <w:r w:rsidRPr="004E1208">
        <w:rPr>
          <w:rFonts w:hint="eastAsia"/>
        </w:rPr>
        <w:t>於96年3月21日制定公布地籍清理條例</w:t>
      </w:r>
      <w:r w:rsidR="00C64192" w:rsidRPr="004E1208">
        <w:rPr>
          <w:rFonts w:hint="eastAsia"/>
        </w:rPr>
        <w:t>（</w:t>
      </w:r>
      <w:r w:rsidRPr="004E1208">
        <w:rPr>
          <w:rFonts w:hint="eastAsia"/>
        </w:rPr>
        <w:t>97年7月1日起施行</w:t>
      </w:r>
      <w:r w:rsidR="00C64192" w:rsidRPr="004E1208">
        <w:rPr>
          <w:rFonts w:hint="eastAsia"/>
        </w:rPr>
        <w:t>）</w:t>
      </w:r>
      <w:r w:rsidRPr="004E1208">
        <w:rPr>
          <w:rFonts w:hint="eastAsia"/>
        </w:rPr>
        <w:t>，規定主管機關為清查權利內容不完整或與現行法令規定不符之地籍登記，經</w:t>
      </w:r>
      <w:proofErr w:type="gramStart"/>
      <w:r w:rsidRPr="004E1208">
        <w:rPr>
          <w:rFonts w:hint="eastAsia"/>
        </w:rPr>
        <w:t>釐</w:t>
      </w:r>
      <w:proofErr w:type="gramEnd"/>
      <w:r w:rsidRPr="004E1208">
        <w:rPr>
          <w:rFonts w:hint="eastAsia"/>
        </w:rPr>
        <w:t>清權利內容及權屬後，應重新辦理登記；89年1月12日增訂之國有財產</w:t>
      </w:r>
      <w:r w:rsidRPr="004E1208">
        <w:rPr>
          <w:rFonts w:hint="eastAsia"/>
        </w:rPr>
        <w:lastRenderedPageBreak/>
        <w:t>法第52條之2，亦規定讓人民得按第一次公告土地現值計價，申請讓售其於35年12月31日以前已供建築、居住使用至今已登記國有之土地。然而，上開補救方案效果有限，迄今仍有諸多案件未</w:t>
      </w:r>
      <w:proofErr w:type="gramStart"/>
      <w:r w:rsidRPr="004E1208">
        <w:rPr>
          <w:rFonts w:hint="eastAsia"/>
        </w:rPr>
        <w:t>獲妥處</w:t>
      </w:r>
      <w:proofErr w:type="gramEnd"/>
      <w:r w:rsidRPr="004E1208">
        <w:rPr>
          <w:rFonts w:hint="eastAsia"/>
        </w:rPr>
        <w:t>。</w:t>
      </w:r>
    </w:p>
    <w:p w:rsidR="00A17517" w:rsidRPr="004E1208" w:rsidRDefault="00A17517" w:rsidP="009E32B5">
      <w:pPr>
        <w:pStyle w:val="3"/>
      </w:pPr>
      <w:r w:rsidRPr="004E1208">
        <w:rPr>
          <w:rFonts w:hint="eastAsia"/>
        </w:rPr>
        <w:t>綜上，目前國有土地遭占用案件中，不乏因歷史因素與法令限制，導致使用人無法取得合法權利之情形。以日治時期私人土地於臺灣光復後未辦理憑證繳驗及土地登記，以致被當作無主土地收歸國有為例，涉及光復初期國民政府辦理相關作業之時空背景存在不公平、</w:t>
      </w:r>
      <w:proofErr w:type="gramStart"/>
      <w:r w:rsidRPr="004E1208">
        <w:rPr>
          <w:rFonts w:hint="eastAsia"/>
        </w:rPr>
        <w:t>不</w:t>
      </w:r>
      <w:proofErr w:type="gramEnd"/>
      <w:r w:rsidRPr="004E1208">
        <w:rPr>
          <w:rFonts w:hint="eastAsia"/>
        </w:rPr>
        <w:t>正義等因素，加上現行法律對日治時期土地制度變遷較少整體考量，以致民眾陳情訴訟不斷。國產管理機關於排除占用前，允應了解占用成因，分類處理，以符合國際人權原則與標準，同時亦應進行專案研討，由「歷史脈絡」的檢視與「轉型正義」的觀點，有效處理日治時期私人土地因光復後未完成憑證繳驗及土地登記程序，被當作無主土地收歸國有之問題，以落實憲法保障人民財產權之宗旨。</w:t>
      </w:r>
    </w:p>
    <w:p w:rsidR="00F90BD2" w:rsidRPr="004E1208" w:rsidRDefault="00425601" w:rsidP="00656CDD">
      <w:pPr>
        <w:pStyle w:val="2"/>
        <w:spacing w:beforeLines="50" w:before="228"/>
        <w:ind w:left="1020" w:hanging="680"/>
        <w:rPr>
          <w:b/>
        </w:rPr>
      </w:pPr>
      <w:bookmarkStart w:id="64" w:name="_Toc139546650"/>
      <w:r w:rsidRPr="004E1208">
        <w:rPr>
          <w:rFonts w:hint="eastAsia"/>
          <w:b/>
        </w:rPr>
        <w:t>眷村改建</w:t>
      </w:r>
      <w:r w:rsidR="008F1EF0" w:rsidRPr="004E1208">
        <w:rPr>
          <w:rFonts w:hint="eastAsia"/>
          <w:b/>
        </w:rPr>
        <w:t>工作</w:t>
      </w:r>
      <w:r w:rsidRPr="004E1208">
        <w:rPr>
          <w:rFonts w:hint="eastAsia"/>
          <w:b/>
        </w:rPr>
        <w:t>已近尾聲，惟經國防部列為不辦理改建眷村者</w:t>
      </w:r>
      <w:r w:rsidR="00F871D4" w:rsidRPr="004E1208">
        <w:rPr>
          <w:rFonts w:hint="eastAsia"/>
          <w:b/>
        </w:rPr>
        <w:t>仍有</w:t>
      </w:r>
      <w:r w:rsidRPr="004E1208">
        <w:rPr>
          <w:rFonts w:hint="eastAsia"/>
          <w:b/>
        </w:rPr>
        <w:t>1</w:t>
      </w:r>
      <w:r w:rsidR="00BB3400" w:rsidRPr="004E1208">
        <w:rPr>
          <w:rFonts w:hint="eastAsia"/>
          <w:b/>
        </w:rPr>
        <w:t>2</w:t>
      </w:r>
      <w:r w:rsidRPr="004E1208">
        <w:rPr>
          <w:rFonts w:hint="eastAsia"/>
          <w:b/>
        </w:rPr>
        <w:t>處</w:t>
      </w:r>
      <w:r w:rsidR="00177D22" w:rsidRPr="004E1208">
        <w:rPr>
          <w:rFonts w:hint="eastAsia"/>
          <w:b/>
        </w:rPr>
        <w:t>（</w:t>
      </w:r>
      <w:r w:rsidR="00F871D4" w:rsidRPr="004E1208">
        <w:rPr>
          <w:rFonts w:hint="eastAsia"/>
          <w:b/>
        </w:rPr>
        <w:t>包含</w:t>
      </w:r>
      <w:r w:rsidR="00177D22" w:rsidRPr="004E1208">
        <w:rPr>
          <w:rFonts w:hint="eastAsia"/>
          <w:b/>
        </w:rPr>
        <w:t>4處</w:t>
      </w:r>
      <w:r w:rsidRPr="004E1208">
        <w:rPr>
          <w:rFonts w:hint="eastAsia"/>
          <w:b/>
        </w:rPr>
        <w:t>眷村</w:t>
      </w:r>
      <w:r w:rsidR="00F871D4" w:rsidRPr="004E1208">
        <w:rPr>
          <w:rFonts w:hint="eastAsia"/>
          <w:b/>
        </w:rPr>
        <w:t>與</w:t>
      </w:r>
      <w:r w:rsidR="00177D22" w:rsidRPr="004E1208">
        <w:rPr>
          <w:rFonts w:hint="eastAsia"/>
          <w:b/>
        </w:rPr>
        <w:t>8處</w:t>
      </w:r>
      <w:r w:rsidRPr="004E1208">
        <w:rPr>
          <w:rFonts w:hint="eastAsia"/>
          <w:b/>
        </w:rPr>
        <w:t>散戶</w:t>
      </w:r>
      <w:r w:rsidR="00177D22" w:rsidRPr="004E1208">
        <w:rPr>
          <w:rFonts w:hint="eastAsia"/>
          <w:b/>
        </w:rPr>
        <w:t>）</w:t>
      </w:r>
      <w:r w:rsidRPr="004E1208">
        <w:rPr>
          <w:rFonts w:hint="eastAsia"/>
          <w:b/>
        </w:rPr>
        <w:t>，</w:t>
      </w:r>
      <w:r w:rsidR="0024023D" w:rsidRPr="004E1208">
        <w:rPr>
          <w:rFonts w:hint="eastAsia"/>
          <w:b/>
        </w:rPr>
        <w:t>列管</w:t>
      </w:r>
      <w:proofErr w:type="gramStart"/>
      <w:r w:rsidRPr="004E1208">
        <w:rPr>
          <w:rFonts w:hint="eastAsia"/>
          <w:b/>
        </w:rPr>
        <w:t>眷</w:t>
      </w:r>
      <w:proofErr w:type="gramEnd"/>
      <w:r w:rsidRPr="004E1208">
        <w:rPr>
          <w:rFonts w:hint="eastAsia"/>
          <w:b/>
        </w:rPr>
        <w:t>戶</w:t>
      </w:r>
      <w:r w:rsidR="0024023D" w:rsidRPr="004E1208">
        <w:rPr>
          <w:rFonts w:hint="eastAsia"/>
          <w:b/>
        </w:rPr>
        <w:t>549</w:t>
      </w:r>
      <w:r w:rsidRPr="004E1208">
        <w:rPr>
          <w:rFonts w:hint="eastAsia"/>
          <w:b/>
        </w:rPr>
        <w:t>戶。</w:t>
      </w:r>
      <w:r w:rsidR="000D512E">
        <w:rPr>
          <w:rFonts w:hint="eastAsia"/>
          <w:b/>
        </w:rPr>
        <w:t>國軍老舊眷村改建條例</w:t>
      </w:r>
      <w:r w:rsidR="00177D22" w:rsidRPr="004E1208">
        <w:rPr>
          <w:rFonts w:hint="eastAsia"/>
          <w:b/>
        </w:rPr>
        <w:t>廢止</w:t>
      </w:r>
      <w:r w:rsidRPr="004E1208">
        <w:rPr>
          <w:rFonts w:hint="eastAsia"/>
          <w:b/>
        </w:rPr>
        <w:t>後，其等居住權益如何保障，允應預為因應。</w:t>
      </w:r>
      <w:bookmarkEnd w:id="64"/>
    </w:p>
    <w:p w:rsidR="00425601" w:rsidRPr="004E1208" w:rsidRDefault="00F90BD2" w:rsidP="00656CDD">
      <w:pPr>
        <w:pStyle w:val="3"/>
      </w:pPr>
      <w:r w:rsidRPr="004E1208">
        <w:rPr>
          <w:rFonts w:hint="eastAsia"/>
        </w:rPr>
        <w:t>國軍眷村係政府遷</w:t>
      </w:r>
      <w:proofErr w:type="gramStart"/>
      <w:r w:rsidRPr="004E1208">
        <w:rPr>
          <w:rFonts w:hint="eastAsia"/>
        </w:rPr>
        <w:t>臺</w:t>
      </w:r>
      <w:proofErr w:type="gramEnd"/>
      <w:r w:rsidRPr="004E1208">
        <w:rPr>
          <w:rFonts w:hint="eastAsia"/>
        </w:rPr>
        <w:t>初期，為使三軍官兵無後顧之憂，安心執行戰備任務所作之安頓軍眷措施。早年興建眷村，由於經費有限，多以克難方式建造，不僅缺乏衛浴、防火設施，而且各戶面積僅有6至12坪，空間狹小，時隔多年成為都市</w:t>
      </w:r>
      <w:proofErr w:type="gramStart"/>
      <w:r w:rsidRPr="004E1208">
        <w:rPr>
          <w:rFonts w:hint="eastAsia"/>
        </w:rPr>
        <w:t>窳</w:t>
      </w:r>
      <w:proofErr w:type="gramEnd"/>
      <w:r w:rsidRPr="004E1208">
        <w:rPr>
          <w:rFonts w:hint="eastAsia"/>
        </w:rPr>
        <w:t>陋地區。</w:t>
      </w:r>
    </w:p>
    <w:p w:rsidR="00F90BD2" w:rsidRPr="004E1208" w:rsidRDefault="00F90BD2" w:rsidP="00656CDD">
      <w:pPr>
        <w:pStyle w:val="3"/>
      </w:pPr>
      <w:r w:rsidRPr="004E1208">
        <w:rPr>
          <w:rFonts w:hint="eastAsia"/>
        </w:rPr>
        <w:t>國防部</w:t>
      </w:r>
      <w:r w:rsidR="00B65B05" w:rsidRPr="004E1208">
        <w:rPr>
          <w:rFonts w:hint="eastAsia"/>
        </w:rPr>
        <w:t>自</w:t>
      </w:r>
      <w:r w:rsidRPr="004E1208">
        <w:rPr>
          <w:rFonts w:hint="eastAsia"/>
        </w:rPr>
        <w:t>69年</w:t>
      </w:r>
      <w:r w:rsidR="00B65B05" w:rsidRPr="004E1208">
        <w:rPr>
          <w:rFonts w:hint="eastAsia"/>
        </w:rPr>
        <w:t>起，</w:t>
      </w:r>
      <w:r w:rsidRPr="004E1208">
        <w:rPr>
          <w:rFonts w:hint="eastAsia"/>
        </w:rPr>
        <w:t>訂頒國軍老舊眷村重建試辦期間作業要點，試辦眷村改建工作，</w:t>
      </w:r>
      <w:proofErr w:type="gramStart"/>
      <w:r w:rsidRPr="004E1208">
        <w:rPr>
          <w:rFonts w:hint="eastAsia"/>
        </w:rPr>
        <w:t>嗣</w:t>
      </w:r>
      <w:proofErr w:type="gramEnd"/>
      <w:r w:rsidRPr="004E1208">
        <w:rPr>
          <w:rFonts w:hint="eastAsia"/>
        </w:rPr>
        <w:t>自85年起，</w:t>
      </w:r>
      <w:r w:rsidR="00B65B05" w:rsidRPr="004E1208">
        <w:rPr>
          <w:rFonts w:hint="eastAsia"/>
        </w:rPr>
        <w:t>陸續</w:t>
      </w:r>
      <w:r w:rsidRPr="004E1208">
        <w:lastRenderedPageBreak/>
        <w:t>制定</w:t>
      </w:r>
      <w:r w:rsidRPr="004E1208">
        <w:rPr>
          <w:rFonts w:hint="eastAsia"/>
          <w:szCs w:val="32"/>
        </w:rPr>
        <w:t>國軍老舊眷村改建條例</w:t>
      </w:r>
      <w:r w:rsidR="00C64192" w:rsidRPr="004E1208">
        <w:rPr>
          <w:rFonts w:hint="eastAsia"/>
          <w:szCs w:val="32"/>
        </w:rPr>
        <w:t>（</w:t>
      </w:r>
      <w:r w:rsidRPr="004E1208">
        <w:rPr>
          <w:rFonts w:hint="eastAsia"/>
          <w:szCs w:val="32"/>
        </w:rPr>
        <w:t>下稱眷改條例</w:t>
      </w:r>
      <w:r w:rsidR="00C64192" w:rsidRPr="004E1208">
        <w:rPr>
          <w:rFonts w:hint="eastAsia"/>
          <w:szCs w:val="32"/>
        </w:rPr>
        <w:t>）</w:t>
      </w:r>
      <w:r w:rsidRPr="004E1208">
        <w:rPr>
          <w:rFonts w:hint="eastAsia"/>
          <w:szCs w:val="32"/>
        </w:rPr>
        <w:t>，</w:t>
      </w:r>
      <w:r w:rsidRPr="004E1208">
        <w:rPr>
          <w:rFonts w:hint="eastAsia"/>
        </w:rPr>
        <w:t>訂定國軍老舊眷村改建計畫，編列國軍老舊眷村改建特別預算與設置改建基金，規劃以縣市為單位，</w:t>
      </w:r>
      <w:proofErr w:type="gramStart"/>
      <w:r w:rsidRPr="004E1208">
        <w:rPr>
          <w:rFonts w:hint="eastAsia"/>
        </w:rPr>
        <w:t>採</w:t>
      </w:r>
      <w:proofErr w:type="gramEnd"/>
      <w:r w:rsidRPr="004E1208">
        <w:rPr>
          <w:rFonts w:hint="eastAsia"/>
        </w:rPr>
        <w:t>先建後拆或建大村</w:t>
      </w:r>
      <w:proofErr w:type="gramStart"/>
      <w:r w:rsidRPr="004E1208">
        <w:rPr>
          <w:rFonts w:hint="eastAsia"/>
        </w:rPr>
        <w:t>併</w:t>
      </w:r>
      <w:proofErr w:type="gramEnd"/>
      <w:r w:rsidRPr="004E1208">
        <w:rPr>
          <w:rFonts w:hint="eastAsia"/>
        </w:rPr>
        <w:t>小村之方式執行眷村改建，改建範圍以「國軍老舊眷村改建總冊」</w:t>
      </w:r>
      <w:r w:rsidR="002C02C9" w:rsidRPr="004E1208">
        <w:rPr>
          <w:rFonts w:hint="eastAsia"/>
        </w:rPr>
        <w:t>（下稱</w:t>
      </w:r>
      <w:proofErr w:type="gramStart"/>
      <w:r w:rsidR="002C02C9" w:rsidRPr="004E1208">
        <w:rPr>
          <w:rFonts w:hint="eastAsia"/>
        </w:rPr>
        <w:t>眷改總</w:t>
      </w:r>
      <w:proofErr w:type="gramEnd"/>
      <w:r w:rsidR="002C02C9" w:rsidRPr="004E1208">
        <w:rPr>
          <w:rFonts w:hint="eastAsia"/>
        </w:rPr>
        <w:t>冊）</w:t>
      </w:r>
      <w:r w:rsidRPr="004E1208">
        <w:rPr>
          <w:rFonts w:hint="eastAsia"/>
        </w:rPr>
        <w:t>土地清冊列管有案之土地及原</w:t>
      </w:r>
      <w:proofErr w:type="gramStart"/>
      <w:r w:rsidRPr="004E1208">
        <w:rPr>
          <w:rFonts w:hint="eastAsia"/>
        </w:rPr>
        <w:t>眷</w:t>
      </w:r>
      <w:proofErr w:type="gramEnd"/>
      <w:r w:rsidRPr="004E1208">
        <w:rPr>
          <w:rFonts w:hint="eastAsia"/>
        </w:rPr>
        <w:t>戶、違占建戶。</w:t>
      </w:r>
    </w:p>
    <w:p w:rsidR="002C02C9" w:rsidRPr="004E1208" w:rsidRDefault="00F90BD2" w:rsidP="00656CDD">
      <w:pPr>
        <w:pStyle w:val="3"/>
      </w:pPr>
      <w:r w:rsidRPr="004E1208">
        <w:rPr>
          <w:rFonts w:hint="eastAsia"/>
        </w:rPr>
        <w:t>由於國防部係</w:t>
      </w:r>
      <w:proofErr w:type="gramStart"/>
      <w:r w:rsidRPr="004E1208">
        <w:rPr>
          <w:rFonts w:hint="eastAsia"/>
        </w:rPr>
        <w:t>採</w:t>
      </w:r>
      <w:proofErr w:type="gramEnd"/>
      <w:r w:rsidRPr="004E1208">
        <w:rPr>
          <w:rFonts w:hint="eastAsia"/>
        </w:rPr>
        <w:t>自籌財源辦理眷村改建工作，先以土地作價向銀行融資借款興建住宅安置</w:t>
      </w:r>
      <w:proofErr w:type="gramStart"/>
      <w:r w:rsidRPr="004E1208">
        <w:rPr>
          <w:rFonts w:hint="eastAsia"/>
        </w:rPr>
        <w:t>眷</w:t>
      </w:r>
      <w:proofErr w:type="gramEnd"/>
      <w:r w:rsidRPr="004E1208">
        <w:rPr>
          <w:rFonts w:hint="eastAsia"/>
        </w:rPr>
        <w:t>戶，再將騰空之</w:t>
      </w:r>
      <w:proofErr w:type="gramStart"/>
      <w:r w:rsidRPr="004E1208">
        <w:rPr>
          <w:rFonts w:hint="eastAsia"/>
        </w:rPr>
        <w:t>眷</w:t>
      </w:r>
      <w:proofErr w:type="gramEnd"/>
      <w:r w:rsidRPr="004E1208">
        <w:rPr>
          <w:rFonts w:hint="eastAsia"/>
        </w:rPr>
        <w:t>地，處分得款</w:t>
      </w:r>
      <w:proofErr w:type="gramStart"/>
      <w:r w:rsidRPr="004E1208">
        <w:rPr>
          <w:rFonts w:hint="eastAsia"/>
        </w:rPr>
        <w:t>挹</w:t>
      </w:r>
      <w:proofErr w:type="gramEnd"/>
      <w:r w:rsidRPr="004E1208">
        <w:rPr>
          <w:rFonts w:hint="eastAsia"/>
        </w:rPr>
        <w:t>注基金及償還銀行融資，故於105年完成</w:t>
      </w:r>
      <w:proofErr w:type="gramStart"/>
      <w:r w:rsidRPr="004E1208">
        <w:rPr>
          <w:rFonts w:hint="eastAsia"/>
        </w:rPr>
        <w:t>眷</w:t>
      </w:r>
      <w:proofErr w:type="gramEnd"/>
      <w:r w:rsidRPr="004E1208">
        <w:rPr>
          <w:rFonts w:hint="eastAsia"/>
        </w:rPr>
        <w:t>改階段性目標後，持續辦理土地處分。</w:t>
      </w:r>
      <w:proofErr w:type="gramStart"/>
      <w:r w:rsidRPr="004E1208">
        <w:rPr>
          <w:rFonts w:hint="eastAsia"/>
        </w:rPr>
        <w:t>嗣</w:t>
      </w:r>
      <w:proofErr w:type="gramEnd"/>
      <w:r w:rsidRPr="004E1208">
        <w:rPr>
          <w:rFonts w:hint="eastAsia"/>
        </w:rPr>
        <w:t>前揭融資於107年6月完成清償，按</w:t>
      </w:r>
      <w:r w:rsidRPr="004E1208">
        <w:t>行政院110年3月17日</w:t>
      </w:r>
      <w:proofErr w:type="gramStart"/>
      <w:r w:rsidRPr="004E1208">
        <w:t>院授主預國</w:t>
      </w:r>
      <w:proofErr w:type="gramEnd"/>
      <w:r w:rsidRPr="004E1208">
        <w:t>字第1100100599號函示，毋</w:t>
      </w:r>
      <w:r w:rsidRPr="004E1208">
        <w:rPr>
          <w:rFonts w:hint="eastAsia"/>
        </w:rPr>
        <w:t>須</w:t>
      </w:r>
      <w:r w:rsidRPr="004E1208">
        <w:t>再處分</w:t>
      </w:r>
      <w:proofErr w:type="gramStart"/>
      <w:r w:rsidRPr="004E1208">
        <w:t>眷</w:t>
      </w:r>
      <w:proofErr w:type="gramEnd"/>
      <w:r w:rsidRPr="004E1208">
        <w:t>地及營地。</w:t>
      </w:r>
    </w:p>
    <w:p w:rsidR="00F90BD2" w:rsidRPr="004E1208" w:rsidRDefault="002C02C9" w:rsidP="00656CDD">
      <w:pPr>
        <w:pStyle w:val="3"/>
      </w:pPr>
      <w:r w:rsidRPr="004E1208">
        <w:rPr>
          <w:rFonts w:hint="eastAsia"/>
        </w:rPr>
        <w:t>按眷改條例第22條第2項至第4項規定：「（第2項）原</w:t>
      </w:r>
      <w:proofErr w:type="gramStart"/>
      <w:r w:rsidRPr="004E1208">
        <w:rPr>
          <w:rFonts w:hint="eastAsia"/>
        </w:rPr>
        <w:t>眷</w:t>
      </w:r>
      <w:proofErr w:type="gramEnd"/>
      <w:r w:rsidRPr="004E1208">
        <w:rPr>
          <w:rFonts w:hint="eastAsia"/>
        </w:rPr>
        <w:t>戶未逾三分之二同意改建之眷村，應於本條例中華民國9</w:t>
      </w:r>
      <w:r w:rsidRPr="004E1208">
        <w:t>8</w:t>
      </w:r>
      <w:r w:rsidRPr="004E1208">
        <w:rPr>
          <w:rFonts w:hint="eastAsia"/>
        </w:rPr>
        <w:t>年5月1</w:t>
      </w:r>
      <w:r w:rsidRPr="004E1208">
        <w:t>2</w:t>
      </w:r>
      <w:r w:rsidRPr="004E1208">
        <w:rPr>
          <w:rFonts w:hint="eastAsia"/>
        </w:rPr>
        <w:t>日修正之條文施行後6個月內，經原</w:t>
      </w:r>
      <w:proofErr w:type="gramStart"/>
      <w:r w:rsidRPr="004E1208">
        <w:rPr>
          <w:rFonts w:hint="eastAsia"/>
        </w:rPr>
        <w:t>眷</w:t>
      </w:r>
      <w:proofErr w:type="gramEnd"/>
      <w:r w:rsidRPr="004E1208">
        <w:rPr>
          <w:rFonts w:hint="eastAsia"/>
        </w:rPr>
        <w:t>戶二分之一以上連署，向主管機關申請辦理改建說明會。未於期限內依規定連署提出申請之眷村，不辦理改建。（第3項）主管機關同意前項申請並辦理改建說明會，應以書面通知原</w:t>
      </w:r>
      <w:proofErr w:type="gramStart"/>
      <w:r w:rsidRPr="004E1208">
        <w:rPr>
          <w:rFonts w:hint="eastAsia"/>
        </w:rPr>
        <w:t>眷</w:t>
      </w:r>
      <w:proofErr w:type="gramEnd"/>
      <w:r w:rsidRPr="004E1208">
        <w:rPr>
          <w:rFonts w:hint="eastAsia"/>
        </w:rPr>
        <w:t>戶，於3個月內，取得三分之二以上之書面同意及完成認證，始得辦理改建；對於不同意改建之</w:t>
      </w:r>
      <w:proofErr w:type="gramStart"/>
      <w:r w:rsidRPr="004E1208">
        <w:rPr>
          <w:rFonts w:hint="eastAsia"/>
        </w:rPr>
        <w:t>眷</w:t>
      </w:r>
      <w:proofErr w:type="gramEnd"/>
      <w:r w:rsidRPr="004E1208">
        <w:rPr>
          <w:rFonts w:hint="eastAsia"/>
        </w:rPr>
        <w:t>戶，依第1項規定辦理。但未於3個月內取得三分之二以上同意或完成認證之眷村，不辦理改建。（第4項）經主管機關核定不辦理改建之眷村，依第1</w:t>
      </w:r>
      <w:r w:rsidRPr="004E1208">
        <w:t>1</w:t>
      </w:r>
      <w:r w:rsidRPr="004E1208">
        <w:rPr>
          <w:rFonts w:hint="eastAsia"/>
        </w:rPr>
        <w:t>條第1項第6款規定辦理都市更新時，原</w:t>
      </w:r>
      <w:proofErr w:type="gramStart"/>
      <w:r w:rsidRPr="004E1208">
        <w:rPr>
          <w:rFonts w:hint="eastAsia"/>
        </w:rPr>
        <w:t>眷</w:t>
      </w:r>
      <w:proofErr w:type="gramEnd"/>
      <w:r w:rsidRPr="004E1208">
        <w:rPr>
          <w:rFonts w:hint="eastAsia"/>
        </w:rPr>
        <w:t>戶應由實施者納入都市更新事業計畫辦理拆遷補償或安置，不得再依本條例之相關規定請領各項輔（補）</w:t>
      </w:r>
      <w:proofErr w:type="gramStart"/>
      <w:r w:rsidRPr="004E1208">
        <w:rPr>
          <w:rFonts w:hint="eastAsia"/>
        </w:rPr>
        <w:t>助款</w:t>
      </w:r>
      <w:proofErr w:type="gramEnd"/>
      <w:r w:rsidRPr="004E1208">
        <w:rPr>
          <w:rFonts w:hint="eastAsia"/>
        </w:rPr>
        <w:t>。」</w:t>
      </w:r>
      <w:r w:rsidR="00334428" w:rsidRPr="004E1208">
        <w:rPr>
          <w:rFonts w:hint="eastAsia"/>
        </w:rPr>
        <w:t>眷改條例施行細則第20條第2項規定：「原</w:t>
      </w:r>
      <w:proofErr w:type="gramStart"/>
      <w:r w:rsidR="00334428" w:rsidRPr="004E1208">
        <w:rPr>
          <w:rFonts w:hint="eastAsia"/>
        </w:rPr>
        <w:t>眷</w:t>
      </w:r>
      <w:proofErr w:type="gramEnd"/>
      <w:r w:rsidR="00334428" w:rsidRPr="004E1208">
        <w:rPr>
          <w:rFonts w:hint="eastAsia"/>
        </w:rPr>
        <w:t>戶未達三分之二同意改建之眷村，不辦理改建，於本條例廢止後，依國</w:t>
      </w:r>
      <w:r w:rsidR="00334428" w:rsidRPr="004E1208">
        <w:rPr>
          <w:rFonts w:hint="eastAsia"/>
        </w:rPr>
        <w:lastRenderedPageBreak/>
        <w:t>有財產法有關規定辦理。」</w:t>
      </w:r>
      <w:r w:rsidR="007B2FBF" w:rsidRPr="004E1208">
        <w:rPr>
          <w:rFonts w:hint="eastAsia"/>
        </w:rPr>
        <w:t>經國防部統計結果，</w:t>
      </w:r>
      <w:r w:rsidR="00B65B05" w:rsidRPr="004E1208">
        <w:rPr>
          <w:rFonts w:hint="eastAsia"/>
        </w:rPr>
        <w:t>截至11</w:t>
      </w:r>
      <w:r w:rsidR="00177D22" w:rsidRPr="004E1208">
        <w:t>2</w:t>
      </w:r>
      <w:r w:rsidR="00B65B05" w:rsidRPr="004E1208">
        <w:rPr>
          <w:rFonts w:hint="eastAsia"/>
        </w:rPr>
        <w:t>年</w:t>
      </w:r>
      <w:r w:rsidR="00177D22" w:rsidRPr="004E1208">
        <w:rPr>
          <w:rFonts w:hint="eastAsia"/>
        </w:rPr>
        <w:t>6月</w:t>
      </w:r>
      <w:r w:rsidR="00B65B05" w:rsidRPr="004E1208">
        <w:rPr>
          <w:rFonts w:hint="eastAsia"/>
        </w:rPr>
        <w:t>底止，</w:t>
      </w:r>
      <w:r w:rsidR="007B2FBF" w:rsidRPr="004E1208">
        <w:rPr>
          <w:rFonts w:hint="eastAsia"/>
        </w:rPr>
        <w:t>列為不辦理改建眷村者</w:t>
      </w:r>
      <w:r w:rsidR="00F871D4" w:rsidRPr="004E1208">
        <w:rPr>
          <w:rFonts w:hint="eastAsia"/>
        </w:rPr>
        <w:t>仍有</w:t>
      </w:r>
      <w:r w:rsidR="007B2FBF" w:rsidRPr="004E1208">
        <w:rPr>
          <w:rFonts w:hint="eastAsia"/>
        </w:rPr>
        <w:t>1</w:t>
      </w:r>
      <w:r w:rsidR="00177D22" w:rsidRPr="004E1208">
        <w:t>2</w:t>
      </w:r>
      <w:r w:rsidR="007B2FBF" w:rsidRPr="004E1208">
        <w:rPr>
          <w:rFonts w:hint="eastAsia"/>
        </w:rPr>
        <w:t>處</w:t>
      </w:r>
      <w:r w:rsidR="00177D22" w:rsidRPr="004E1208">
        <w:rPr>
          <w:rFonts w:hint="eastAsia"/>
        </w:rPr>
        <w:t>（</w:t>
      </w:r>
      <w:r w:rsidR="00F871D4" w:rsidRPr="004E1208">
        <w:rPr>
          <w:rFonts w:hint="eastAsia"/>
        </w:rPr>
        <w:t>包含</w:t>
      </w:r>
      <w:r w:rsidR="00177D22" w:rsidRPr="004E1208">
        <w:rPr>
          <w:rFonts w:hint="eastAsia"/>
        </w:rPr>
        <w:t>4處</w:t>
      </w:r>
      <w:r w:rsidR="007B2FBF" w:rsidRPr="004E1208">
        <w:rPr>
          <w:rFonts w:hint="eastAsia"/>
        </w:rPr>
        <w:t>眷村</w:t>
      </w:r>
      <w:r w:rsidR="00F871D4" w:rsidRPr="004E1208">
        <w:rPr>
          <w:rFonts w:hint="eastAsia"/>
        </w:rPr>
        <w:t>與</w:t>
      </w:r>
      <w:r w:rsidR="00177D22" w:rsidRPr="004E1208">
        <w:rPr>
          <w:rFonts w:hint="eastAsia"/>
        </w:rPr>
        <w:t>8處</w:t>
      </w:r>
      <w:r w:rsidR="007B2FBF" w:rsidRPr="004E1208">
        <w:rPr>
          <w:rFonts w:hint="eastAsia"/>
        </w:rPr>
        <w:t>散戶</w:t>
      </w:r>
      <w:r w:rsidR="00177D22" w:rsidRPr="004E1208">
        <w:rPr>
          <w:rFonts w:hint="eastAsia"/>
        </w:rPr>
        <w:t>）</w:t>
      </w:r>
      <w:r w:rsidR="007B2FBF" w:rsidRPr="004E1208">
        <w:rPr>
          <w:rFonts w:hint="eastAsia"/>
        </w:rPr>
        <w:t>，</w:t>
      </w:r>
      <w:r w:rsidR="00F871D4" w:rsidRPr="004E1208">
        <w:rPr>
          <w:rFonts w:hint="eastAsia"/>
        </w:rPr>
        <w:t>列管</w:t>
      </w:r>
      <w:proofErr w:type="gramStart"/>
      <w:r w:rsidR="007B2FBF" w:rsidRPr="004E1208">
        <w:rPr>
          <w:rFonts w:hint="eastAsia"/>
        </w:rPr>
        <w:t>眷</w:t>
      </w:r>
      <w:proofErr w:type="gramEnd"/>
      <w:r w:rsidR="007B2FBF" w:rsidRPr="004E1208">
        <w:rPr>
          <w:rFonts w:hint="eastAsia"/>
        </w:rPr>
        <w:t>戶</w:t>
      </w:r>
      <w:r w:rsidR="0024023D" w:rsidRPr="004E1208">
        <w:rPr>
          <w:rFonts w:hint="eastAsia"/>
        </w:rPr>
        <w:t>549</w:t>
      </w:r>
      <w:r w:rsidR="007B2FBF" w:rsidRPr="004E1208">
        <w:rPr>
          <w:rFonts w:hint="eastAsia"/>
        </w:rPr>
        <w:t>戶</w:t>
      </w:r>
      <w:r w:rsidR="00254076" w:rsidRPr="004E1208">
        <w:rPr>
          <w:rFonts w:hint="eastAsia"/>
        </w:rPr>
        <w:t>（詳表9）</w:t>
      </w:r>
      <w:r w:rsidR="007B2FBF" w:rsidRPr="004E1208">
        <w:rPr>
          <w:rFonts w:hint="eastAsia"/>
        </w:rPr>
        <w:t>。</w:t>
      </w:r>
      <w:proofErr w:type="gramStart"/>
      <w:r w:rsidR="00F90BD2" w:rsidRPr="004E1208">
        <w:rPr>
          <w:rFonts w:hAnsi="標楷體"/>
        </w:rPr>
        <w:t>俟</w:t>
      </w:r>
      <w:proofErr w:type="gramEnd"/>
      <w:r w:rsidR="00F90BD2" w:rsidRPr="004E1208">
        <w:rPr>
          <w:rFonts w:hAnsi="標楷體"/>
        </w:rPr>
        <w:t>眷改條例廢止後，</w:t>
      </w:r>
      <w:r w:rsidR="00F90BD2" w:rsidRPr="004E1208">
        <w:rPr>
          <w:rFonts w:hAnsi="標楷體" w:hint="eastAsia"/>
        </w:rPr>
        <w:t>將</w:t>
      </w:r>
      <w:r w:rsidR="00F90BD2" w:rsidRPr="004E1208">
        <w:rPr>
          <w:rFonts w:hAnsi="標楷體"/>
        </w:rPr>
        <w:t>依國有財產法相關規定變更為非公用財產移交國產署接管</w:t>
      </w:r>
      <w:r w:rsidR="00F90BD2" w:rsidRPr="004E1208">
        <w:rPr>
          <w:rFonts w:hAnsi="標楷體" w:hint="eastAsia"/>
        </w:rPr>
        <w:t>。</w:t>
      </w:r>
    </w:p>
    <w:p w:rsidR="0024023D" w:rsidRPr="004E1208" w:rsidRDefault="0024023D" w:rsidP="0024023D">
      <w:pPr>
        <w:pStyle w:val="a4"/>
        <w:ind w:firstLine="938"/>
        <w:jc w:val="center"/>
        <w:rPr>
          <w:b/>
          <w:spacing w:val="0"/>
        </w:rPr>
      </w:pPr>
      <w:bookmarkStart w:id="65" w:name="_Toc139547172"/>
      <w:r w:rsidRPr="004E1208">
        <w:rPr>
          <w:rFonts w:hint="eastAsia"/>
          <w:b/>
          <w:spacing w:val="0"/>
        </w:rPr>
        <w:t>不</w:t>
      </w:r>
      <w:r w:rsidR="000E6DDB" w:rsidRPr="004E1208">
        <w:rPr>
          <w:rFonts w:hint="eastAsia"/>
          <w:b/>
          <w:spacing w:val="0"/>
        </w:rPr>
        <w:t>辦理改建</w:t>
      </w:r>
      <w:r w:rsidRPr="004E1208">
        <w:rPr>
          <w:rFonts w:hint="eastAsia"/>
          <w:b/>
          <w:spacing w:val="0"/>
        </w:rPr>
        <w:t>眷村統計表</w:t>
      </w:r>
      <w:bookmarkEnd w:id="65"/>
    </w:p>
    <w:tbl>
      <w:tblPr>
        <w:tblStyle w:val="af7"/>
        <w:tblW w:w="0" w:type="auto"/>
        <w:tblInd w:w="1809" w:type="dxa"/>
        <w:tblLook w:val="04A0" w:firstRow="1" w:lastRow="0" w:firstColumn="1" w:lastColumn="0" w:noHBand="0" w:noVBand="1"/>
      </w:tblPr>
      <w:tblGrid>
        <w:gridCol w:w="1866"/>
        <w:gridCol w:w="2812"/>
        <w:gridCol w:w="1985"/>
      </w:tblGrid>
      <w:tr w:rsidR="0090777C" w:rsidRPr="004E1208" w:rsidTr="00A06FD3">
        <w:trPr>
          <w:trHeight w:val="454"/>
          <w:tblHeader/>
        </w:trPr>
        <w:tc>
          <w:tcPr>
            <w:tcW w:w="1866" w:type="dxa"/>
            <w:shd w:val="clear" w:color="auto" w:fill="FDE9D9" w:themeFill="accent6" w:themeFillTint="33"/>
            <w:vAlign w:val="center"/>
          </w:tcPr>
          <w:p w:rsidR="0090777C" w:rsidRPr="004E1208" w:rsidRDefault="0090777C" w:rsidP="0024023D">
            <w:pPr>
              <w:pStyle w:val="3"/>
              <w:numPr>
                <w:ilvl w:val="0"/>
                <w:numId w:val="0"/>
              </w:numPr>
              <w:jc w:val="center"/>
              <w:rPr>
                <w:sz w:val="28"/>
                <w:szCs w:val="28"/>
              </w:rPr>
            </w:pPr>
            <w:r w:rsidRPr="004E1208">
              <w:rPr>
                <w:rFonts w:hint="eastAsia"/>
                <w:sz w:val="28"/>
                <w:szCs w:val="28"/>
              </w:rPr>
              <w:t>縣市別</w:t>
            </w:r>
          </w:p>
        </w:tc>
        <w:tc>
          <w:tcPr>
            <w:tcW w:w="2812" w:type="dxa"/>
            <w:shd w:val="clear" w:color="auto" w:fill="FDE9D9" w:themeFill="accent6" w:themeFillTint="33"/>
            <w:vAlign w:val="center"/>
          </w:tcPr>
          <w:p w:rsidR="0090777C" w:rsidRPr="004E1208" w:rsidRDefault="0090777C" w:rsidP="0024023D">
            <w:pPr>
              <w:pStyle w:val="3"/>
              <w:numPr>
                <w:ilvl w:val="0"/>
                <w:numId w:val="0"/>
              </w:numPr>
              <w:jc w:val="center"/>
              <w:rPr>
                <w:sz w:val="28"/>
                <w:szCs w:val="28"/>
              </w:rPr>
            </w:pPr>
            <w:r w:rsidRPr="004E1208">
              <w:rPr>
                <w:rFonts w:hint="eastAsia"/>
                <w:sz w:val="28"/>
                <w:szCs w:val="28"/>
              </w:rPr>
              <w:t>眷村名稱</w:t>
            </w:r>
          </w:p>
        </w:tc>
        <w:tc>
          <w:tcPr>
            <w:tcW w:w="1985" w:type="dxa"/>
            <w:shd w:val="clear" w:color="auto" w:fill="FDE9D9" w:themeFill="accent6" w:themeFillTint="33"/>
            <w:vAlign w:val="center"/>
          </w:tcPr>
          <w:p w:rsidR="0090777C" w:rsidRPr="004E1208" w:rsidRDefault="0090777C" w:rsidP="0024023D">
            <w:pPr>
              <w:pStyle w:val="3"/>
              <w:numPr>
                <w:ilvl w:val="0"/>
                <w:numId w:val="0"/>
              </w:numPr>
              <w:jc w:val="center"/>
              <w:rPr>
                <w:sz w:val="28"/>
                <w:szCs w:val="28"/>
              </w:rPr>
            </w:pPr>
            <w:proofErr w:type="gramStart"/>
            <w:r w:rsidRPr="004E1208">
              <w:rPr>
                <w:rFonts w:hint="eastAsia"/>
                <w:sz w:val="28"/>
                <w:szCs w:val="28"/>
              </w:rPr>
              <w:t>眷</w:t>
            </w:r>
            <w:proofErr w:type="gramEnd"/>
            <w:r w:rsidRPr="004E1208">
              <w:rPr>
                <w:rFonts w:hint="eastAsia"/>
                <w:sz w:val="28"/>
                <w:szCs w:val="28"/>
              </w:rPr>
              <w:t>戶數</w:t>
            </w:r>
          </w:p>
        </w:tc>
      </w:tr>
      <w:tr w:rsidR="0090777C" w:rsidRPr="004E1208" w:rsidTr="000E6DDB">
        <w:trPr>
          <w:trHeight w:val="454"/>
        </w:trPr>
        <w:tc>
          <w:tcPr>
            <w:tcW w:w="1866" w:type="dxa"/>
            <w:vMerge w:val="restart"/>
            <w:vAlign w:val="center"/>
          </w:tcPr>
          <w:p w:rsidR="0090777C" w:rsidRPr="004E1208" w:rsidRDefault="0090777C" w:rsidP="0024023D">
            <w:pPr>
              <w:pStyle w:val="3"/>
              <w:numPr>
                <w:ilvl w:val="0"/>
                <w:numId w:val="0"/>
              </w:numPr>
              <w:jc w:val="center"/>
              <w:rPr>
                <w:sz w:val="28"/>
                <w:szCs w:val="28"/>
              </w:rPr>
            </w:pPr>
            <w:r w:rsidRPr="004E1208">
              <w:rPr>
                <w:rFonts w:hint="eastAsia"/>
                <w:sz w:val="28"/>
                <w:szCs w:val="28"/>
              </w:rPr>
              <w:t>臺北市</w:t>
            </w:r>
          </w:p>
        </w:tc>
        <w:tc>
          <w:tcPr>
            <w:tcW w:w="2812" w:type="dxa"/>
            <w:vAlign w:val="center"/>
          </w:tcPr>
          <w:p w:rsidR="0090777C" w:rsidRPr="004E1208" w:rsidRDefault="0090777C" w:rsidP="0024023D">
            <w:pPr>
              <w:pStyle w:val="3"/>
              <w:numPr>
                <w:ilvl w:val="0"/>
                <w:numId w:val="0"/>
              </w:numPr>
              <w:jc w:val="center"/>
              <w:rPr>
                <w:sz w:val="28"/>
                <w:szCs w:val="28"/>
              </w:rPr>
            </w:pPr>
            <w:r w:rsidRPr="004E1208">
              <w:rPr>
                <w:rFonts w:hint="eastAsia"/>
                <w:sz w:val="28"/>
                <w:szCs w:val="28"/>
              </w:rPr>
              <w:t>劉</w:t>
            </w:r>
            <w:r w:rsidR="0049667C">
              <w:rPr>
                <w:rFonts w:hint="eastAsia"/>
                <w:sz w:val="28"/>
                <w:szCs w:val="28"/>
              </w:rPr>
              <w:t>○</w:t>
            </w:r>
            <w:r w:rsidRPr="004E1208">
              <w:rPr>
                <w:rFonts w:hint="eastAsia"/>
                <w:sz w:val="28"/>
                <w:szCs w:val="28"/>
              </w:rPr>
              <w:t>散戶</w:t>
            </w:r>
          </w:p>
        </w:tc>
        <w:tc>
          <w:tcPr>
            <w:tcW w:w="1985" w:type="dxa"/>
            <w:vAlign w:val="center"/>
          </w:tcPr>
          <w:p w:rsidR="0090777C" w:rsidRPr="004E1208" w:rsidRDefault="0090777C" w:rsidP="0090777C">
            <w:pPr>
              <w:pStyle w:val="3"/>
              <w:numPr>
                <w:ilvl w:val="0"/>
                <w:numId w:val="0"/>
              </w:numPr>
              <w:jc w:val="right"/>
              <w:rPr>
                <w:sz w:val="28"/>
                <w:szCs w:val="28"/>
              </w:rPr>
            </w:pPr>
            <w:r w:rsidRPr="004E1208">
              <w:rPr>
                <w:rFonts w:hint="eastAsia"/>
                <w:sz w:val="28"/>
                <w:szCs w:val="28"/>
              </w:rPr>
              <w:t>1</w:t>
            </w:r>
            <w:r w:rsidRPr="004E1208">
              <w:rPr>
                <w:sz w:val="28"/>
                <w:szCs w:val="28"/>
              </w:rPr>
              <w:t>22</w:t>
            </w:r>
          </w:p>
        </w:tc>
      </w:tr>
      <w:tr w:rsidR="0090777C" w:rsidRPr="004E1208" w:rsidTr="000E6DDB">
        <w:trPr>
          <w:trHeight w:val="454"/>
        </w:trPr>
        <w:tc>
          <w:tcPr>
            <w:tcW w:w="1866" w:type="dxa"/>
            <w:vMerge/>
            <w:vAlign w:val="center"/>
          </w:tcPr>
          <w:p w:rsidR="0090777C" w:rsidRPr="004E1208" w:rsidRDefault="0090777C" w:rsidP="0024023D">
            <w:pPr>
              <w:pStyle w:val="3"/>
              <w:numPr>
                <w:ilvl w:val="0"/>
                <w:numId w:val="0"/>
              </w:numPr>
              <w:jc w:val="center"/>
              <w:rPr>
                <w:sz w:val="28"/>
                <w:szCs w:val="28"/>
              </w:rPr>
            </w:pPr>
          </w:p>
        </w:tc>
        <w:tc>
          <w:tcPr>
            <w:tcW w:w="2812" w:type="dxa"/>
            <w:vAlign w:val="center"/>
          </w:tcPr>
          <w:p w:rsidR="0090777C" w:rsidRPr="004E1208" w:rsidRDefault="0090777C" w:rsidP="0024023D">
            <w:pPr>
              <w:pStyle w:val="3"/>
              <w:numPr>
                <w:ilvl w:val="0"/>
                <w:numId w:val="0"/>
              </w:numPr>
              <w:jc w:val="center"/>
              <w:rPr>
                <w:sz w:val="28"/>
                <w:szCs w:val="28"/>
              </w:rPr>
            </w:pPr>
            <w:proofErr w:type="gramStart"/>
            <w:r w:rsidRPr="004E1208">
              <w:rPr>
                <w:rFonts w:hint="eastAsia"/>
                <w:sz w:val="28"/>
                <w:szCs w:val="28"/>
              </w:rPr>
              <w:t>姚</w:t>
            </w:r>
            <w:proofErr w:type="gramEnd"/>
            <w:r w:rsidR="0049667C">
              <w:rPr>
                <w:rFonts w:hint="eastAsia"/>
                <w:sz w:val="28"/>
                <w:szCs w:val="28"/>
              </w:rPr>
              <w:t>○</w:t>
            </w:r>
            <w:r w:rsidRPr="004E1208">
              <w:rPr>
                <w:rFonts w:hint="eastAsia"/>
                <w:sz w:val="28"/>
                <w:szCs w:val="28"/>
              </w:rPr>
              <w:t>散戶</w:t>
            </w:r>
          </w:p>
        </w:tc>
        <w:tc>
          <w:tcPr>
            <w:tcW w:w="1985" w:type="dxa"/>
            <w:vAlign w:val="center"/>
          </w:tcPr>
          <w:p w:rsidR="0090777C" w:rsidRPr="004E1208" w:rsidRDefault="0090777C" w:rsidP="0090777C">
            <w:pPr>
              <w:pStyle w:val="3"/>
              <w:numPr>
                <w:ilvl w:val="0"/>
                <w:numId w:val="0"/>
              </w:numPr>
              <w:jc w:val="right"/>
              <w:rPr>
                <w:sz w:val="28"/>
                <w:szCs w:val="28"/>
              </w:rPr>
            </w:pPr>
            <w:r w:rsidRPr="004E1208">
              <w:rPr>
                <w:rFonts w:hint="eastAsia"/>
                <w:sz w:val="28"/>
                <w:szCs w:val="28"/>
              </w:rPr>
              <w:t>4</w:t>
            </w:r>
            <w:r w:rsidRPr="004E1208">
              <w:rPr>
                <w:sz w:val="28"/>
                <w:szCs w:val="28"/>
              </w:rPr>
              <w:t>7</w:t>
            </w:r>
          </w:p>
        </w:tc>
      </w:tr>
      <w:tr w:rsidR="0090777C" w:rsidRPr="004E1208" w:rsidTr="000E6DDB">
        <w:trPr>
          <w:trHeight w:val="454"/>
        </w:trPr>
        <w:tc>
          <w:tcPr>
            <w:tcW w:w="1866" w:type="dxa"/>
            <w:vMerge/>
            <w:vAlign w:val="center"/>
          </w:tcPr>
          <w:p w:rsidR="0090777C" w:rsidRPr="004E1208" w:rsidRDefault="0090777C" w:rsidP="0024023D">
            <w:pPr>
              <w:pStyle w:val="3"/>
              <w:numPr>
                <w:ilvl w:val="0"/>
                <w:numId w:val="0"/>
              </w:numPr>
              <w:jc w:val="center"/>
              <w:rPr>
                <w:sz w:val="28"/>
                <w:szCs w:val="28"/>
              </w:rPr>
            </w:pPr>
          </w:p>
        </w:tc>
        <w:tc>
          <w:tcPr>
            <w:tcW w:w="2812" w:type="dxa"/>
            <w:vAlign w:val="center"/>
          </w:tcPr>
          <w:p w:rsidR="0090777C" w:rsidRPr="004E1208" w:rsidRDefault="0090777C" w:rsidP="0024023D">
            <w:pPr>
              <w:pStyle w:val="3"/>
              <w:numPr>
                <w:ilvl w:val="0"/>
                <w:numId w:val="0"/>
              </w:numPr>
              <w:jc w:val="center"/>
              <w:rPr>
                <w:sz w:val="28"/>
                <w:szCs w:val="28"/>
              </w:rPr>
            </w:pPr>
            <w:r w:rsidRPr="004E1208">
              <w:rPr>
                <w:rFonts w:hint="eastAsia"/>
                <w:sz w:val="28"/>
                <w:szCs w:val="28"/>
              </w:rPr>
              <w:t>懷仁新村</w:t>
            </w:r>
          </w:p>
        </w:tc>
        <w:tc>
          <w:tcPr>
            <w:tcW w:w="1985" w:type="dxa"/>
            <w:vAlign w:val="center"/>
          </w:tcPr>
          <w:p w:rsidR="0090777C" w:rsidRPr="004E1208" w:rsidRDefault="0090777C" w:rsidP="0090777C">
            <w:pPr>
              <w:pStyle w:val="3"/>
              <w:numPr>
                <w:ilvl w:val="0"/>
                <w:numId w:val="0"/>
              </w:numPr>
              <w:jc w:val="right"/>
              <w:rPr>
                <w:sz w:val="28"/>
                <w:szCs w:val="28"/>
              </w:rPr>
            </w:pPr>
            <w:r w:rsidRPr="004E1208">
              <w:rPr>
                <w:rFonts w:hint="eastAsia"/>
                <w:sz w:val="28"/>
                <w:szCs w:val="28"/>
              </w:rPr>
              <w:t>3</w:t>
            </w:r>
            <w:r w:rsidRPr="004E1208">
              <w:rPr>
                <w:sz w:val="28"/>
                <w:szCs w:val="28"/>
              </w:rPr>
              <w:t>7</w:t>
            </w:r>
          </w:p>
        </w:tc>
      </w:tr>
      <w:tr w:rsidR="0090777C" w:rsidRPr="004E1208" w:rsidTr="000E6DDB">
        <w:trPr>
          <w:trHeight w:val="454"/>
        </w:trPr>
        <w:tc>
          <w:tcPr>
            <w:tcW w:w="1866" w:type="dxa"/>
            <w:vAlign w:val="center"/>
          </w:tcPr>
          <w:p w:rsidR="0090777C" w:rsidRPr="004E1208" w:rsidRDefault="0090777C" w:rsidP="0024023D">
            <w:pPr>
              <w:pStyle w:val="3"/>
              <w:numPr>
                <w:ilvl w:val="0"/>
                <w:numId w:val="0"/>
              </w:numPr>
              <w:jc w:val="center"/>
              <w:rPr>
                <w:sz w:val="28"/>
                <w:szCs w:val="28"/>
              </w:rPr>
            </w:pPr>
            <w:r w:rsidRPr="004E1208">
              <w:rPr>
                <w:rFonts w:hint="eastAsia"/>
                <w:sz w:val="28"/>
                <w:szCs w:val="28"/>
              </w:rPr>
              <w:t>新北市</w:t>
            </w:r>
          </w:p>
        </w:tc>
        <w:tc>
          <w:tcPr>
            <w:tcW w:w="2812" w:type="dxa"/>
            <w:vAlign w:val="center"/>
          </w:tcPr>
          <w:p w:rsidR="0090777C" w:rsidRPr="004E1208" w:rsidRDefault="0090777C" w:rsidP="0090777C">
            <w:pPr>
              <w:pStyle w:val="3"/>
              <w:numPr>
                <w:ilvl w:val="0"/>
                <w:numId w:val="0"/>
              </w:numPr>
              <w:jc w:val="center"/>
              <w:rPr>
                <w:sz w:val="28"/>
                <w:szCs w:val="28"/>
              </w:rPr>
            </w:pPr>
            <w:proofErr w:type="gramStart"/>
            <w:r w:rsidRPr="004E1208">
              <w:rPr>
                <w:rFonts w:hint="eastAsia"/>
                <w:sz w:val="28"/>
                <w:szCs w:val="28"/>
              </w:rPr>
              <w:t>炎明新村</w:t>
            </w:r>
            <w:proofErr w:type="gramEnd"/>
          </w:p>
        </w:tc>
        <w:tc>
          <w:tcPr>
            <w:tcW w:w="1985" w:type="dxa"/>
            <w:vAlign w:val="center"/>
          </w:tcPr>
          <w:p w:rsidR="0090777C" w:rsidRPr="004E1208" w:rsidRDefault="0090777C" w:rsidP="0090777C">
            <w:pPr>
              <w:pStyle w:val="3"/>
              <w:numPr>
                <w:ilvl w:val="0"/>
                <w:numId w:val="0"/>
              </w:numPr>
              <w:jc w:val="right"/>
              <w:rPr>
                <w:sz w:val="28"/>
                <w:szCs w:val="28"/>
              </w:rPr>
            </w:pPr>
            <w:r w:rsidRPr="004E1208">
              <w:rPr>
                <w:rFonts w:hint="eastAsia"/>
                <w:sz w:val="28"/>
                <w:szCs w:val="28"/>
              </w:rPr>
              <w:t>3</w:t>
            </w:r>
            <w:r w:rsidRPr="004E1208">
              <w:rPr>
                <w:sz w:val="28"/>
                <w:szCs w:val="28"/>
              </w:rPr>
              <w:t>5</w:t>
            </w:r>
          </w:p>
        </w:tc>
      </w:tr>
      <w:tr w:rsidR="0090777C" w:rsidRPr="004E1208" w:rsidTr="000E6DDB">
        <w:trPr>
          <w:trHeight w:val="454"/>
        </w:trPr>
        <w:tc>
          <w:tcPr>
            <w:tcW w:w="1866" w:type="dxa"/>
            <w:vMerge w:val="restart"/>
            <w:vAlign w:val="center"/>
          </w:tcPr>
          <w:p w:rsidR="0090777C" w:rsidRPr="004E1208" w:rsidRDefault="0090777C" w:rsidP="0024023D">
            <w:pPr>
              <w:pStyle w:val="3"/>
              <w:numPr>
                <w:ilvl w:val="0"/>
                <w:numId w:val="0"/>
              </w:numPr>
              <w:jc w:val="center"/>
              <w:rPr>
                <w:sz w:val="28"/>
                <w:szCs w:val="28"/>
              </w:rPr>
            </w:pPr>
            <w:r w:rsidRPr="004E1208">
              <w:rPr>
                <w:rFonts w:hint="eastAsia"/>
                <w:sz w:val="28"/>
                <w:szCs w:val="28"/>
              </w:rPr>
              <w:t>高雄市</w:t>
            </w:r>
          </w:p>
        </w:tc>
        <w:tc>
          <w:tcPr>
            <w:tcW w:w="2812" w:type="dxa"/>
            <w:vAlign w:val="center"/>
          </w:tcPr>
          <w:p w:rsidR="0090777C" w:rsidRPr="004E1208" w:rsidRDefault="0090777C" w:rsidP="0024023D">
            <w:pPr>
              <w:pStyle w:val="3"/>
              <w:numPr>
                <w:ilvl w:val="0"/>
                <w:numId w:val="0"/>
              </w:numPr>
              <w:jc w:val="center"/>
              <w:rPr>
                <w:sz w:val="28"/>
                <w:szCs w:val="28"/>
              </w:rPr>
            </w:pPr>
            <w:r w:rsidRPr="004E1208">
              <w:rPr>
                <w:rFonts w:hint="eastAsia"/>
                <w:sz w:val="28"/>
                <w:szCs w:val="28"/>
              </w:rPr>
              <w:t>明德新村</w:t>
            </w:r>
          </w:p>
        </w:tc>
        <w:tc>
          <w:tcPr>
            <w:tcW w:w="1985" w:type="dxa"/>
            <w:vAlign w:val="center"/>
          </w:tcPr>
          <w:p w:rsidR="0090777C" w:rsidRPr="004E1208" w:rsidRDefault="0090777C" w:rsidP="0090777C">
            <w:pPr>
              <w:pStyle w:val="3"/>
              <w:numPr>
                <w:ilvl w:val="0"/>
                <w:numId w:val="0"/>
              </w:numPr>
              <w:jc w:val="right"/>
              <w:rPr>
                <w:sz w:val="28"/>
                <w:szCs w:val="28"/>
              </w:rPr>
            </w:pPr>
            <w:r w:rsidRPr="004E1208">
              <w:rPr>
                <w:rFonts w:hint="eastAsia"/>
                <w:sz w:val="28"/>
                <w:szCs w:val="28"/>
              </w:rPr>
              <w:t>2</w:t>
            </w:r>
            <w:r w:rsidRPr="004E1208">
              <w:rPr>
                <w:sz w:val="28"/>
                <w:szCs w:val="28"/>
              </w:rPr>
              <w:t>8</w:t>
            </w:r>
          </w:p>
        </w:tc>
      </w:tr>
      <w:tr w:rsidR="0090777C" w:rsidRPr="004E1208" w:rsidTr="000E6DDB">
        <w:trPr>
          <w:trHeight w:val="454"/>
        </w:trPr>
        <w:tc>
          <w:tcPr>
            <w:tcW w:w="1866" w:type="dxa"/>
            <w:vMerge/>
            <w:vAlign w:val="center"/>
          </w:tcPr>
          <w:p w:rsidR="0090777C" w:rsidRPr="004E1208" w:rsidRDefault="0090777C" w:rsidP="0024023D">
            <w:pPr>
              <w:pStyle w:val="3"/>
              <w:numPr>
                <w:ilvl w:val="0"/>
                <w:numId w:val="0"/>
              </w:numPr>
              <w:jc w:val="center"/>
              <w:rPr>
                <w:sz w:val="28"/>
                <w:szCs w:val="28"/>
              </w:rPr>
            </w:pPr>
          </w:p>
        </w:tc>
        <w:tc>
          <w:tcPr>
            <w:tcW w:w="2812" w:type="dxa"/>
            <w:vAlign w:val="center"/>
          </w:tcPr>
          <w:p w:rsidR="0090777C" w:rsidRPr="004E1208" w:rsidRDefault="0090777C" w:rsidP="0024023D">
            <w:pPr>
              <w:pStyle w:val="3"/>
              <w:numPr>
                <w:ilvl w:val="0"/>
                <w:numId w:val="0"/>
              </w:numPr>
              <w:jc w:val="center"/>
              <w:rPr>
                <w:sz w:val="28"/>
                <w:szCs w:val="28"/>
              </w:rPr>
            </w:pPr>
            <w:r w:rsidRPr="004E1208">
              <w:rPr>
                <w:rFonts w:hint="eastAsia"/>
                <w:sz w:val="28"/>
                <w:szCs w:val="28"/>
              </w:rPr>
              <w:t>自強新村</w:t>
            </w:r>
          </w:p>
        </w:tc>
        <w:tc>
          <w:tcPr>
            <w:tcW w:w="1985" w:type="dxa"/>
            <w:vAlign w:val="center"/>
          </w:tcPr>
          <w:p w:rsidR="0090777C" w:rsidRPr="004E1208" w:rsidRDefault="0090777C" w:rsidP="0090777C">
            <w:pPr>
              <w:pStyle w:val="3"/>
              <w:numPr>
                <w:ilvl w:val="0"/>
                <w:numId w:val="0"/>
              </w:numPr>
              <w:jc w:val="right"/>
              <w:rPr>
                <w:sz w:val="28"/>
                <w:szCs w:val="28"/>
              </w:rPr>
            </w:pPr>
            <w:r w:rsidRPr="004E1208">
              <w:rPr>
                <w:rFonts w:hint="eastAsia"/>
                <w:sz w:val="28"/>
                <w:szCs w:val="28"/>
              </w:rPr>
              <w:t>2</w:t>
            </w:r>
            <w:r w:rsidRPr="004E1208">
              <w:rPr>
                <w:sz w:val="28"/>
                <w:szCs w:val="28"/>
              </w:rPr>
              <w:t>67</w:t>
            </w:r>
          </w:p>
        </w:tc>
      </w:tr>
      <w:tr w:rsidR="0090777C" w:rsidRPr="004E1208" w:rsidTr="000E6DDB">
        <w:trPr>
          <w:trHeight w:val="454"/>
        </w:trPr>
        <w:tc>
          <w:tcPr>
            <w:tcW w:w="1866" w:type="dxa"/>
            <w:vMerge/>
            <w:vAlign w:val="center"/>
          </w:tcPr>
          <w:p w:rsidR="0090777C" w:rsidRPr="004E1208" w:rsidRDefault="0090777C" w:rsidP="0024023D">
            <w:pPr>
              <w:pStyle w:val="3"/>
              <w:numPr>
                <w:ilvl w:val="0"/>
                <w:numId w:val="0"/>
              </w:numPr>
              <w:jc w:val="center"/>
              <w:rPr>
                <w:sz w:val="28"/>
                <w:szCs w:val="28"/>
              </w:rPr>
            </w:pPr>
          </w:p>
        </w:tc>
        <w:tc>
          <w:tcPr>
            <w:tcW w:w="2812" w:type="dxa"/>
            <w:vAlign w:val="center"/>
          </w:tcPr>
          <w:p w:rsidR="0090777C" w:rsidRPr="004E1208" w:rsidRDefault="0090777C" w:rsidP="0024023D">
            <w:pPr>
              <w:pStyle w:val="3"/>
              <w:numPr>
                <w:ilvl w:val="0"/>
                <w:numId w:val="0"/>
              </w:numPr>
              <w:jc w:val="center"/>
              <w:rPr>
                <w:sz w:val="28"/>
                <w:szCs w:val="28"/>
              </w:rPr>
            </w:pPr>
            <w:r w:rsidRPr="004E1208">
              <w:rPr>
                <w:rFonts w:hint="eastAsia"/>
                <w:sz w:val="28"/>
                <w:szCs w:val="28"/>
              </w:rPr>
              <w:t>吳</w:t>
            </w:r>
            <w:r w:rsidR="0049667C">
              <w:rPr>
                <w:rFonts w:hint="eastAsia"/>
                <w:sz w:val="28"/>
                <w:szCs w:val="28"/>
              </w:rPr>
              <w:t>○○</w:t>
            </w:r>
            <w:r w:rsidRPr="004E1208">
              <w:rPr>
                <w:rFonts w:hint="eastAsia"/>
                <w:sz w:val="28"/>
                <w:szCs w:val="28"/>
              </w:rPr>
              <w:t>等2戶散戶</w:t>
            </w:r>
          </w:p>
        </w:tc>
        <w:tc>
          <w:tcPr>
            <w:tcW w:w="1985" w:type="dxa"/>
            <w:vAlign w:val="center"/>
          </w:tcPr>
          <w:p w:rsidR="0090777C" w:rsidRPr="004E1208" w:rsidRDefault="0090777C" w:rsidP="0090777C">
            <w:pPr>
              <w:pStyle w:val="3"/>
              <w:numPr>
                <w:ilvl w:val="0"/>
                <w:numId w:val="0"/>
              </w:numPr>
              <w:jc w:val="right"/>
              <w:rPr>
                <w:sz w:val="28"/>
                <w:szCs w:val="28"/>
              </w:rPr>
            </w:pPr>
            <w:r w:rsidRPr="004E1208">
              <w:rPr>
                <w:rFonts w:hint="eastAsia"/>
                <w:sz w:val="28"/>
                <w:szCs w:val="28"/>
              </w:rPr>
              <w:t>2</w:t>
            </w:r>
          </w:p>
        </w:tc>
      </w:tr>
      <w:tr w:rsidR="0090777C" w:rsidRPr="004E1208" w:rsidTr="000E6DDB">
        <w:trPr>
          <w:trHeight w:val="454"/>
        </w:trPr>
        <w:tc>
          <w:tcPr>
            <w:tcW w:w="1866" w:type="dxa"/>
            <w:vMerge/>
            <w:vAlign w:val="center"/>
          </w:tcPr>
          <w:p w:rsidR="0090777C" w:rsidRPr="004E1208" w:rsidRDefault="0090777C" w:rsidP="0024023D">
            <w:pPr>
              <w:pStyle w:val="3"/>
              <w:numPr>
                <w:ilvl w:val="0"/>
                <w:numId w:val="0"/>
              </w:numPr>
              <w:jc w:val="center"/>
              <w:rPr>
                <w:sz w:val="28"/>
                <w:szCs w:val="28"/>
              </w:rPr>
            </w:pPr>
          </w:p>
        </w:tc>
        <w:tc>
          <w:tcPr>
            <w:tcW w:w="2812" w:type="dxa"/>
            <w:vAlign w:val="center"/>
          </w:tcPr>
          <w:p w:rsidR="0090777C" w:rsidRPr="004E1208" w:rsidRDefault="0090777C" w:rsidP="0024023D">
            <w:pPr>
              <w:pStyle w:val="3"/>
              <w:numPr>
                <w:ilvl w:val="0"/>
                <w:numId w:val="0"/>
              </w:numPr>
              <w:jc w:val="center"/>
              <w:rPr>
                <w:sz w:val="28"/>
                <w:szCs w:val="28"/>
              </w:rPr>
            </w:pPr>
            <w:proofErr w:type="gramStart"/>
            <w:r w:rsidRPr="004E1208">
              <w:rPr>
                <w:rFonts w:hint="eastAsia"/>
                <w:sz w:val="28"/>
                <w:szCs w:val="28"/>
              </w:rPr>
              <w:t>鄒</w:t>
            </w:r>
            <w:proofErr w:type="gramEnd"/>
            <w:r w:rsidR="0049667C">
              <w:rPr>
                <w:rFonts w:hint="eastAsia"/>
                <w:sz w:val="28"/>
                <w:szCs w:val="28"/>
              </w:rPr>
              <w:t>○</w:t>
            </w:r>
            <w:r w:rsidRPr="004E1208">
              <w:rPr>
                <w:rFonts w:hint="eastAsia"/>
                <w:sz w:val="28"/>
                <w:szCs w:val="28"/>
              </w:rPr>
              <w:t>散戶</w:t>
            </w:r>
          </w:p>
        </w:tc>
        <w:tc>
          <w:tcPr>
            <w:tcW w:w="1985" w:type="dxa"/>
            <w:vAlign w:val="center"/>
          </w:tcPr>
          <w:p w:rsidR="0090777C" w:rsidRPr="004E1208" w:rsidRDefault="0090777C" w:rsidP="0090777C">
            <w:pPr>
              <w:pStyle w:val="3"/>
              <w:numPr>
                <w:ilvl w:val="0"/>
                <w:numId w:val="0"/>
              </w:numPr>
              <w:jc w:val="right"/>
              <w:rPr>
                <w:sz w:val="28"/>
                <w:szCs w:val="28"/>
              </w:rPr>
            </w:pPr>
            <w:r w:rsidRPr="004E1208">
              <w:rPr>
                <w:rFonts w:hint="eastAsia"/>
                <w:sz w:val="28"/>
                <w:szCs w:val="28"/>
              </w:rPr>
              <w:t>1</w:t>
            </w:r>
          </w:p>
        </w:tc>
      </w:tr>
      <w:tr w:rsidR="0090777C" w:rsidRPr="004E1208" w:rsidTr="000E6DDB">
        <w:trPr>
          <w:trHeight w:val="454"/>
        </w:trPr>
        <w:tc>
          <w:tcPr>
            <w:tcW w:w="1866" w:type="dxa"/>
            <w:vMerge/>
            <w:vAlign w:val="center"/>
          </w:tcPr>
          <w:p w:rsidR="0090777C" w:rsidRPr="004E1208" w:rsidRDefault="0090777C" w:rsidP="0024023D">
            <w:pPr>
              <w:pStyle w:val="3"/>
              <w:numPr>
                <w:ilvl w:val="0"/>
                <w:numId w:val="0"/>
              </w:numPr>
              <w:jc w:val="center"/>
              <w:rPr>
                <w:sz w:val="28"/>
                <w:szCs w:val="28"/>
              </w:rPr>
            </w:pPr>
          </w:p>
        </w:tc>
        <w:tc>
          <w:tcPr>
            <w:tcW w:w="2812" w:type="dxa"/>
            <w:vAlign w:val="center"/>
          </w:tcPr>
          <w:p w:rsidR="0090777C" w:rsidRPr="004E1208" w:rsidRDefault="0090777C" w:rsidP="0024023D">
            <w:pPr>
              <w:pStyle w:val="3"/>
              <w:numPr>
                <w:ilvl w:val="0"/>
                <w:numId w:val="0"/>
              </w:numPr>
              <w:jc w:val="center"/>
              <w:rPr>
                <w:sz w:val="28"/>
                <w:szCs w:val="28"/>
              </w:rPr>
            </w:pPr>
            <w:r w:rsidRPr="004E1208">
              <w:rPr>
                <w:rFonts w:hint="eastAsia"/>
                <w:sz w:val="28"/>
                <w:szCs w:val="28"/>
              </w:rPr>
              <w:t>黃</w:t>
            </w:r>
            <w:r w:rsidR="0049667C">
              <w:rPr>
                <w:rFonts w:hint="eastAsia"/>
                <w:sz w:val="28"/>
                <w:szCs w:val="28"/>
              </w:rPr>
              <w:t>○</w:t>
            </w:r>
            <w:r w:rsidRPr="004E1208">
              <w:rPr>
                <w:rFonts w:hint="eastAsia"/>
                <w:sz w:val="28"/>
                <w:szCs w:val="28"/>
              </w:rPr>
              <w:t>等3戶散戶</w:t>
            </w:r>
          </w:p>
        </w:tc>
        <w:tc>
          <w:tcPr>
            <w:tcW w:w="1985" w:type="dxa"/>
            <w:vAlign w:val="center"/>
          </w:tcPr>
          <w:p w:rsidR="0090777C" w:rsidRPr="004E1208" w:rsidRDefault="0090777C" w:rsidP="0090777C">
            <w:pPr>
              <w:pStyle w:val="3"/>
              <w:numPr>
                <w:ilvl w:val="0"/>
                <w:numId w:val="0"/>
              </w:numPr>
              <w:jc w:val="right"/>
              <w:rPr>
                <w:sz w:val="28"/>
                <w:szCs w:val="28"/>
              </w:rPr>
            </w:pPr>
            <w:r w:rsidRPr="004E1208">
              <w:rPr>
                <w:rFonts w:hint="eastAsia"/>
                <w:sz w:val="28"/>
                <w:szCs w:val="28"/>
              </w:rPr>
              <w:t>3</w:t>
            </w:r>
          </w:p>
        </w:tc>
      </w:tr>
      <w:tr w:rsidR="0090777C" w:rsidRPr="004E1208" w:rsidTr="000E6DDB">
        <w:trPr>
          <w:trHeight w:val="454"/>
        </w:trPr>
        <w:tc>
          <w:tcPr>
            <w:tcW w:w="1866" w:type="dxa"/>
            <w:vMerge/>
            <w:vAlign w:val="center"/>
          </w:tcPr>
          <w:p w:rsidR="0090777C" w:rsidRPr="004E1208" w:rsidRDefault="0090777C" w:rsidP="0024023D">
            <w:pPr>
              <w:pStyle w:val="3"/>
              <w:numPr>
                <w:ilvl w:val="0"/>
                <w:numId w:val="0"/>
              </w:numPr>
              <w:jc w:val="center"/>
              <w:rPr>
                <w:sz w:val="28"/>
                <w:szCs w:val="28"/>
              </w:rPr>
            </w:pPr>
          </w:p>
        </w:tc>
        <w:tc>
          <w:tcPr>
            <w:tcW w:w="2812" w:type="dxa"/>
            <w:vAlign w:val="center"/>
          </w:tcPr>
          <w:p w:rsidR="0090777C" w:rsidRPr="004E1208" w:rsidRDefault="0090777C" w:rsidP="0024023D">
            <w:pPr>
              <w:pStyle w:val="3"/>
              <w:numPr>
                <w:ilvl w:val="0"/>
                <w:numId w:val="0"/>
              </w:numPr>
              <w:jc w:val="center"/>
              <w:rPr>
                <w:sz w:val="28"/>
                <w:szCs w:val="28"/>
              </w:rPr>
            </w:pPr>
            <w:r w:rsidRPr="004E1208">
              <w:rPr>
                <w:rFonts w:hint="eastAsia"/>
                <w:sz w:val="28"/>
                <w:szCs w:val="28"/>
              </w:rPr>
              <w:t>李</w:t>
            </w:r>
            <w:r w:rsidR="0049667C">
              <w:rPr>
                <w:rFonts w:hint="eastAsia"/>
                <w:sz w:val="28"/>
                <w:szCs w:val="28"/>
              </w:rPr>
              <w:t>○○</w:t>
            </w:r>
            <w:r w:rsidRPr="004E1208">
              <w:rPr>
                <w:rFonts w:hint="eastAsia"/>
                <w:sz w:val="28"/>
                <w:szCs w:val="28"/>
              </w:rPr>
              <w:t>等5戶散戶</w:t>
            </w:r>
          </w:p>
        </w:tc>
        <w:tc>
          <w:tcPr>
            <w:tcW w:w="1985" w:type="dxa"/>
            <w:vAlign w:val="center"/>
          </w:tcPr>
          <w:p w:rsidR="0090777C" w:rsidRPr="004E1208" w:rsidRDefault="0090777C" w:rsidP="0090777C">
            <w:pPr>
              <w:pStyle w:val="3"/>
              <w:numPr>
                <w:ilvl w:val="0"/>
                <w:numId w:val="0"/>
              </w:numPr>
              <w:jc w:val="right"/>
              <w:rPr>
                <w:sz w:val="28"/>
                <w:szCs w:val="28"/>
              </w:rPr>
            </w:pPr>
            <w:r w:rsidRPr="004E1208">
              <w:rPr>
                <w:rFonts w:hint="eastAsia"/>
                <w:sz w:val="28"/>
                <w:szCs w:val="28"/>
              </w:rPr>
              <w:t>5</w:t>
            </w:r>
          </w:p>
        </w:tc>
      </w:tr>
      <w:tr w:rsidR="0090777C" w:rsidRPr="004E1208" w:rsidTr="000E6DDB">
        <w:trPr>
          <w:trHeight w:val="454"/>
        </w:trPr>
        <w:tc>
          <w:tcPr>
            <w:tcW w:w="1866" w:type="dxa"/>
            <w:vMerge/>
            <w:vAlign w:val="center"/>
          </w:tcPr>
          <w:p w:rsidR="0090777C" w:rsidRPr="004E1208" w:rsidRDefault="0090777C" w:rsidP="0024023D">
            <w:pPr>
              <w:pStyle w:val="3"/>
              <w:numPr>
                <w:ilvl w:val="0"/>
                <w:numId w:val="0"/>
              </w:numPr>
              <w:jc w:val="center"/>
              <w:rPr>
                <w:sz w:val="28"/>
                <w:szCs w:val="28"/>
              </w:rPr>
            </w:pPr>
          </w:p>
        </w:tc>
        <w:tc>
          <w:tcPr>
            <w:tcW w:w="2812" w:type="dxa"/>
            <w:vAlign w:val="center"/>
          </w:tcPr>
          <w:p w:rsidR="0090777C" w:rsidRPr="004E1208" w:rsidRDefault="0090777C" w:rsidP="0024023D">
            <w:pPr>
              <w:pStyle w:val="3"/>
              <w:numPr>
                <w:ilvl w:val="0"/>
                <w:numId w:val="0"/>
              </w:numPr>
              <w:jc w:val="center"/>
              <w:rPr>
                <w:sz w:val="28"/>
                <w:szCs w:val="28"/>
              </w:rPr>
            </w:pPr>
            <w:r w:rsidRPr="004E1208">
              <w:rPr>
                <w:rFonts w:hint="eastAsia"/>
                <w:sz w:val="28"/>
                <w:szCs w:val="28"/>
              </w:rPr>
              <w:t>汪</w:t>
            </w:r>
            <w:r w:rsidR="0049667C">
              <w:rPr>
                <w:rFonts w:hint="eastAsia"/>
                <w:sz w:val="28"/>
                <w:szCs w:val="28"/>
              </w:rPr>
              <w:t>○○</w:t>
            </w:r>
            <w:r w:rsidRPr="004E1208">
              <w:rPr>
                <w:rFonts w:hint="eastAsia"/>
                <w:sz w:val="28"/>
                <w:szCs w:val="28"/>
              </w:rPr>
              <w:t>散戶</w:t>
            </w:r>
          </w:p>
        </w:tc>
        <w:tc>
          <w:tcPr>
            <w:tcW w:w="1985" w:type="dxa"/>
            <w:vAlign w:val="center"/>
          </w:tcPr>
          <w:p w:rsidR="0090777C" w:rsidRPr="004E1208" w:rsidRDefault="0090777C" w:rsidP="0090777C">
            <w:pPr>
              <w:pStyle w:val="3"/>
              <w:numPr>
                <w:ilvl w:val="0"/>
                <w:numId w:val="0"/>
              </w:numPr>
              <w:jc w:val="right"/>
              <w:rPr>
                <w:sz w:val="28"/>
                <w:szCs w:val="28"/>
              </w:rPr>
            </w:pPr>
            <w:r w:rsidRPr="004E1208">
              <w:rPr>
                <w:rFonts w:hint="eastAsia"/>
                <w:sz w:val="28"/>
                <w:szCs w:val="28"/>
              </w:rPr>
              <w:t>1</w:t>
            </w:r>
          </w:p>
        </w:tc>
      </w:tr>
      <w:tr w:rsidR="0090777C" w:rsidRPr="004E1208" w:rsidTr="000E6DDB">
        <w:trPr>
          <w:trHeight w:val="454"/>
        </w:trPr>
        <w:tc>
          <w:tcPr>
            <w:tcW w:w="1866" w:type="dxa"/>
            <w:tcBorders>
              <w:bottom w:val="single" w:sz="4" w:space="0" w:color="auto"/>
            </w:tcBorders>
            <w:vAlign w:val="center"/>
          </w:tcPr>
          <w:p w:rsidR="0090777C" w:rsidRPr="004E1208" w:rsidRDefault="0090777C" w:rsidP="0024023D">
            <w:pPr>
              <w:pStyle w:val="3"/>
              <w:numPr>
                <w:ilvl w:val="0"/>
                <w:numId w:val="0"/>
              </w:numPr>
              <w:jc w:val="center"/>
              <w:rPr>
                <w:sz w:val="28"/>
                <w:szCs w:val="28"/>
              </w:rPr>
            </w:pPr>
            <w:r w:rsidRPr="004E1208">
              <w:rPr>
                <w:rFonts w:hint="eastAsia"/>
                <w:sz w:val="28"/>
                <w:szCs w:val="28"/>
              </w:rPr>
              <w:t>基隆市</w:t>
            </w:r>
          </w:p>
        </w:tc>
        <w:tc>
          <w:tcPr>
            <w:tcW w:w="2812" w:type="dxa"/>
            <w:tcBorders>
              <w:bottom w:val="single" w:sz="4" w:space="0" w:color="auto"/>
            </w:tcBorders>
            <w:vAlign w:val="center"/>
          </w:tcPr>
          <w:p w:rsidR="0090777C" w:rsidRPr="004E1208" w:rsidRDefault="0090777C" w:rsidP="0024023D">
            <w:pPr>
              <w:pStyle w:val="3"/>
              <w:numPr>
                <w:ilvl w:val="0"/>
                <w:numId w:val="0"/>
              </w:numPr>
              <w:jc w:val="center"/>
              <w:rPr>
                <w:sz w:val="28"/>
                <w:szCs w:val="28"/>
              </w:rPr>
            </w:pPr>
            <w:r w:rsidRPr="004E1208">
              <w:rPr>
                <w:rFonts w:hint="eastAsia"/>
                <w:sz w:val="28"/>
                <w:szCs w:val="28"/>
              </w:rPr>
              <w:t>焦</w:t>
            </w:r>
            <w:r w:rsidR="0049667C">
              <w:rPr>
                <w:rFonts w:hint="eastAsia"/>
                <w:sz w:val="28"/>
                <w:szCs w:val="28"/>
              </w:rPr>
              <w:t>○○</w:t>
            </w:r>
            <w:r w:rsidRPr="004E1208">
              <w:rPr>
                <w:rFonts w:hint="eastAsia"/>
                <w:sz w:val="28"/>
                <w:szCs w:val="28"/>
              </w:rPr>
              <w:t>散戶</w:t>
            </w:r>
          </w:p>
        </w:tc>
        <w:tc>
          <w:tcPr>
            <w:tcW w:w="1985" w:type="dxa"/>
            <w:tcBorders>
              <w:bottom w:val="single" w:sz="4" w:space="0" w:color="auto"/>
            </w:tcBorders>
            <w:vAlign w:val="center"/>
          </w:tcPr>
          <w:p w:rsidR="0090777C" w:rsidRPr="004E1208" w:rsidRDefault="0090777C" w:rsidP="0090777C">
            <w:pPr>
              <w:pStyle w:val="3"/>
              <w:numPr>
                <w:ilvl w:val="0"/>
                <w:numId w:val="0"/>
              </w:numPr>
              <w:jc w:val="right"/>
              <w:rPr>
                <w:sz w:val="28"/>
                <w:szCs w:val="28"/>
              </w:rPr>
            </w:pPr>
            <w:r w:rsidRPr="004E1208">
              <w:rPr>
                <w:rFonts w:hint="eastAsia"/>
                <w:sz w:val="28"/>
                <w:szCs w:val="28"/>
              </w:rPr>
              <w:t>1</w:t>
            </w:r>
          </w:p>
        </w:tc>
      </w:tr>
      <w:tr w:rsidR="0090777C" w:rsidRPr="004E1208" w:rsidTr="000E6DDB">
        <w:trPr>
          <w:trHeight w:val="454"/>
        </w:trPr>
        <w:tc>
          <w:tcPr>
            <w:tcW w:w="1866" w:type="dxa"/>
            <w:shd w:val="clear" w:color="auto" w:fill="FDE9D9" w:themeFill="accent6" w:themeFillTint="33"/>
            <w:vAlign w:val="center"/>
          </w:tcPr>
          <w:p w:rsidR="0090777C" w:rsidRPr="004E1208" w:rsidRDefault="0090777C" w:rsidP="0024023D">
            <w:pPr>
              <w:pStyle w:val="3"/>
              <w:numPr>
                <w:ilvl w:val="0"/>
                <w:numId w:val="0"/>
              </w:numPr>
              <w:jc w:val="center"/>
              <w:rPr>
                <w:sz w:val="28"/>
                <w:szCs w:val="28"/>
              </w:rPr>
            </w:pPr>
            <w:r w:rsidRPr="004E1208">
              <w:rPr>
                <w:rFonts w:hint="eastAsia"/>
                <w:sz w:val="28"/>
                <w:szCs w:val="28"/>
              </w:rPr>
              <w:t>合計</w:t>
            </w:r>
          </w:p>
        </w:tc>
        <w:tc>
          <w:tcPr>
            <w:tcW w:w="2812" w:type="dxa"/>
            <w:shd w:val="clear" w:color="auto" w:fill="FDE9D9" w:themeFill="accent6" w:themeFillTint="33"/>
            <w:vAlign w:val="center"/>
          </w:tcPr>
          <w:p w:rsidR="0090777C" w:rsidRPr="004E1208" w:rsidRDefault="0090777C" w:rsidP="0024023D">
            <w:pPr>
              <w:pStyle w:val="3"/>
              <w:numPr>
                <w:ilvl w:val="0"/>
                <w:numId w:val="0"/>
              </w:numPr>
              <w:jc w:val="center"/>
              <w:rPr>
                <w:sz w:val="28"/>
                <w:szCs w:val="28"/>
              </w:rPr>
            </w:pPr>
            <w:r w:rsidRPr="004E1208">
              <w:rPr>
                <w:rFonts w:hint="eastAsia"/>
                <w:sz w:val="28"/>
                <w:szCs w:val="28"/>
              </w:rPr>
              <w:t>12處（4村8散戶）</w:t>
            </w:r>
          </w:p>
        </w:tc>
        <w:tc>
          <w:tcPr>
            <w:tcW w:w="1985" w:type="dxa"/>
            <w:shd w:val="clear" w:color="auto" w:fill="FDE9D9" w:themeFill="accent6" w:themeFillTint="33"/>
            <w:vAlign w:val="center"/>
          </w:tcPr>
          <w:p w:rsidR="0090777C" w:rsidRPr="004E1208" w:rsidRDefault="0090777C" w:rsidP="0090777C">
            <w:pPr>
              <w:pStyle w:val="3"/>
              <w:numPr>
                <w:ilvl w:val="0"/>
                <w:numId w:val="0"/>
              </w:numPr>
              <w:jc w:val="right"/>
              <w:rPr>
                <w:sz w:val="28"/>
                <w:szCs w:val="28"/>
              </w:rPr>
            </w:pPr>
            <w:r w:rsidRPr="004E1208">
              <w:rPr>
                <w:rFonts w:hint="eastAsia"/>
                <w:sz w:val="28"/>
                <w:szCs w:val="28"/>
              </w:rPr>
              <w:t>5</w:t>
            </w:r>
            <w:r w:rsidRPr="004E1208">
              <w:rPr>
                <w:sz w:val="28"/>
                <w:szCs w:val="28"/>
              </w:rPr>
              <w:t>49</w:t>
            </w:r>
          </w:p>
        </w:tc>
      </w:tr>
    </w:tbl>
    <w:p w:rsidR="00646048" w:rsidRDefault="00646048" w:rsidP="000D512E">
      <w:pPr>
        <w:pStyle w:val="3"/>
        <w:numPr>
          <w:ilvl w:val="0"/>
          <w:numId w:val="0"/>
        </w:numPr>
        <w:snapToGrid w:val="0"/>
        <w:ind w:left="1701"/>
        <w:rPr>
          <w:sz w:val="24"/>
          <w:szCs w:val="24"/>
        </w:rPr>
      </w:pPr>
      <w:r>
        <w:rPr>
          <w:rFonts w:hint="eastAsia"/>
          <w:sz w:val="24"/>
          <w:szCs w:val="24"/>
        </w:rPr>
        <w:t>資料時間：112年6月。</w:t>
      </w:r>
    </w:p>
    <w:p w:rsidR="0024023D" w:rsidRPr="004E1208" w:rsidRDefault="0090777C" w:rsidP="000D512E">
      <w:pPr>
        <w:pStyle w:val="3"/>
        <w:numPr>
          <w:ilvl w:val="0"/>
          <w:numId w:val="0"/>
        </w:numPr>
        <w:snapToGrid w:val="0"/>
        <w:spacing w:afterLines="50" w:after="228"/>
        <w:ind w:left="1701"/>
        <w:rPr>
          <w:sz w:val="24"/>
          <w:szCs w:val="24"/>
        </w:rPr>
      </w:pPr>
      <w:r w:rsidRPr="004E1208">
        <w:rPr>
          <w:rFonts w:hint="eastAsia"/>
          <w:sz w:val="24"/>
          <w:szCs w:val="24"/>
        </w:rPr>
        <w:t>資料來源：國防部提供。</w:t>
      </w:r>
    </w:p>
    <w:p w:rsidR="005B6FD9" w:rsidRPr="004E1208" w:rsidRDefault="00B65B05" w:rsidP="00AE7793">
      <w:pPr>
        <w:pStyle w:val="3"/>
      </w:pPr>
      <w:proofErr w:type="gramStart"/>
      <w:r w:rsidRPr="004E1208">
        <w:rPr>
          <w:rFonts w:hint="eastAsia"/>
        </w:rPr>
        <w:t>惟查</w:t>
      </w:r>
      <w:r w:rsidR="00AE7793" w:rsidRPr="004E1208">
        <w:rPr>
          <w:rFonts w:hAnsi="標楷體"/>
        </w:rPr>
        <w:t>國有財產</w:t>
      </w:r>
      <w:proofErr w:type="gramEnd"/>
      <w:r w:rsidR="00AE7793" w:rsidRPr="004E1208">
        <w:rPr>
          <w:rFonts w:hAnsi="標楷體"/>
        </w:rPr>
        <w:t>法施行細則第27條規定，國有公用不動產奉准變更為非公用財產移交該署接管，除情形特殊經商得該署同意報經財政部核准者外，應騰空點交。</w:t>
      </w:r>
      <w:r w:rsidR="00020AD7" w:rsidRPr="004E1208">
        <w:rPr>
          <w:rFonts w:hAnsi="標楷體" w:hint="eastAsia"/>
        </w:rPr>
        <w:t>另外，</w:t>
      </w:r>
      <w:r w:rsidR="00AE7793" w:rsidRPr="004E1208">
        <w:rPr>
          <w:rFonts w:hAnsi="標楷體"/>
        </w:rPr>
        <w:t>各機關經管國有公用被占用不動產處理原則對國有公用被占用不動產按現狀移交該署接管，</w:t>
      </w:r>
      <w:r w:rsidR="00AE7793" w:rsidRPr="004E1208">
        <w:rPr>
          <w:rFonts w:hAnsi="標楷體" w:hint="eastAsia"/>
        </w:rPr>
        <w:t>亦</w:t>
      </w:r>
      <w:r w:rsidR="00AE7793" w:rsidRPr="004E1208">
        <w:rPr>
          <w:rFonts w:hAnsi="標楷體"/>
        </w:rPr>
        <w:t>有相關規定</w:t>
      </w:r>
      <w:r w:rsidR="00020AD7" w:rsidRPr="004E1208">
        <w:rPr>
          <w:rFonts w:hAnsi="標楷體" w:hint="eastAsia"/>
        </w:rPr>
        <w:t>，例</w:t>
      </w:r>
      <w:r w:rsidR="00AE7793" w:rsidRPr="004E1208">
        <w:rPr>
          <w:rFonts w:hAnsi="標楷體"/>
        </w:rPr>
        <w:t>如該原則第4點第1項但書第1款及第2款規定，國有公用被占用不動產屬地上</w:t>
      </w:r>
      <w:r w:rsidR="00AE7793" w:rsidRPr="004E1208">
        <w:rPr>
          <w:rFonts w:hAnsi="標楷體"/>
        </w:rPr>
        <w:lastRenderedPageBreak/>
        <w:t>建物現為公有宿（</w:t>
      </w:r>
      <w:proofErr w:type="gramStart"/>
      <w:r w:rsidR="00AE7793" w:rsidRPr="004E1208">
        <w:rPr>
          <w:rFonts w:hAnsi="標楷體"/>
        </w:rPr>
        <w:t>眷</w:t>
      </w:r>
      <w:proofErr w:type="gramEnd"/>
      <w:r w:rsidR="00AE7793" w:rsidRPr="004E1208">
        <w:rPr>
          <w:rFonts w:hAnsi="標楷體"/>
        </w:rPr>
        <w:t>）舍，或於管理機關經管期間曾供</w:t>
      </w:r>
      <w:proofErr w:type="gramStart"/>
      <w:r w:rsidR="00AE7793" w:rsidRPr="004E1208">
        <w:rPr>
          <w:rFonts w:hAnsi="標楷體"/>
        </w:rPr>
        <w:t>公有宿（眷</w:t>
      </w:r>
      <w:proofErr w:type="gramEnd"/>
      <w:r w:rsidR="00AE7793" w:rsidRPr="004E1208">
        <w:rPr>
          <w:rFonts w:hAnsi="標楷體"/>
        </w:rPr>
        <w:t>）舍使用（不含該不動產全部位於都市計畫公共設施用地）者，應由管理機關排除占用騰空，再辦理變更為非公用財產移交該署接管。</w:t>
      </w:r>
    </w:p>
    <w:p w:rsidR="00B65B05" w:rsidRPr="004E1208" w:rsidRDefault="005B6FD9" w:rsidP="0045778C">
      <w:pPr>
        <w:pStyle w:val="3"/>
      </w:pPr>
      <w:r w:rsidRPr="004E1208">
        <w:rPr>
          <w:rFonts w:hint="eastAsia"/>
        </w:rPr>
        <w:t>換言之，不辦理改建眷村之原</w:t>
      </w:r>
      <w:proofErr w:type="gramStart"/>
      <w:r w:rsidRPr="004E1208">
        <w:rPr>
          <w:rFonts w:hint="eastAsia"/>
        </w:rPr>
        <w:t>眷</w:t>
      </w:r>
      <w:proofErr w:type="gramEnd"/>
      <w:r w:rsidRPr="004E1208">
        <w:rPr>
          <w:rFonts w:hint="eastAsia"/>
        </w:rPr>
        <w:t>戶於眷改條例未廢止前，雖可續住原地，然於眷改條例廢止後，將變更為非公用財產並騰空移交國產署接管，且除依眷改條例第11條第1項第6款規定參與都市更新者外，</w:t>
      </w:r>
      <w:proofErr w:type="gramStart"/>
      <w:r w:rsidRPr="004E1208">
        <w:rPr>
          <w:rFonts w:hint="eastAsia"/>
        </w:rPr>
        <w:t>其餘均無相關</w:t>
      </w:r>
      <w:proofErr w:type="gramEnd"/>
      <w:r w:rsidRPr="004E1208">
        <w:rPr>
          <w:rFonts w:hint="eastAsia"/>
        </w:rPr>
        <w:t>權利。</w:t>
      </w:r>
      <w:r w:rsidR="00020AD7" w:rsidRPr="004E1208">
        <w:rPr>
          <w:rFonts w:hAnsi="標楷體" w:hint="eastAsia"/>
        </w:rPr>
        <w:t>果若如此，</w:t>
      </w:r>
      <w:r w:rsidRPr="004E1208">
        <w:rPr>
          <w:rFonts w:hAnsi="標楷體" w:hint="eastAsia"/>
        </w:rPr>
        <w:t>對於</w:t>
      </w:r>
      <w:r w:rsidR="00177D22" w:rsidRPr="004E1208">
        <w:rPr>
          <w:rFonts w:hAnsi="標楷體" w:hint="eastAsia"/>
        </w:rPr>
        <w:t>不辦理改建眷村</w:t>
      </w:r>
      <w:r w:rsidRPr="004E1208">
        <w:rPr>
          <w:rFonts w:hAnsi="標楷體" w:hint="eastAsia"/>
        </w:rPr>
        <w:t>之原</w:t>
      </w:r>
      <w:proofErr w:type="gramStart"/>
      <w:r w:rsidR="00177D22" w:rsidRPr="004E1208">
        <w:rPr>
          <w:rFonts w:hAnsi="標楷體" w:hint="eastAsia"/>
        </w:rPr>
        <w:t>眷</w:t>
      </w:r>
      <w:proofErr w:type="gramEnd"/>
      <w:r w:rsidR="00177D22" w:rsidRPr="004E1208">
        <w:rPr>
          <w:rFonts w:hAnsi="標楷體" w:hint="eastAsia"/>
        </w:rPr>
        <w:t>戶</w:t>
      </w:r>
      <w:r w:rsidRPr="004E1208">
        <w:rPr>
          <w:rFonts w:hAnsi="標楷體" w:hint="eastAsia"/>
        </w:rPr>
        <w:t>而言，影響</w:t>
      </w:r>
      <w:r w:rsidR="003D6CB2" w:rsidRPr="004E1208">
        <w:rPr>
          <w:rFonts w:hAnsi="標楷體" w:hint="eastAsia"/>
        </w:rPr>
        <w:t>將極其深遠</w:t>
      </w:r>
      <w:r w:rsidRPr="004E1208">
        <w:rPr>
          <w:rFonts w:hAnsi="標楷體" w:hint="eastAsia"/>
        </w:rPr>
        <w:t>，</w:t>
      </w:r>
      <w:r w:rsidR="003D6CB2" w:rsidRPr="004E1208">
        <w:rPr>
          <w:rFonts w:hAnsi="標楷體" w:hint="eastAsia"/>
        </w:rPr>
        <w:t>是否符合眷改條例照顧軍眷身家安全之立法精神，</w:t>
      </w:r>
      <w:r w:rsidR="00FE1312" w:rsidRPr="004E1208">
        <w:rPr>
          <w:rFonts w:hAnsi="標楷體" w:hint="eastAsia"/>
        </w:rPr>
        <w:t>實有</w:t>
      </w:r>
      <w:r w:rsidR="003D6CB2" w:rsidRPr="004E1208">
        <w:rPr>
          <w:rFonts w:hAnsi="標楷體" w:hint="eastAsia"/>
        </w:rPr>
        <w:t>疑義，</w:t>
      </w:r>
      <w:r w:rsidR="00FE1312" w:rsidRPr="004E1208">
        <w:rPr>
          <w:rFonts w:hAnsi="標楷體" w:hint="eastAsia"/>
        </w:rPr>
        <w:t>未來</w:t>
      </w:r>
      <w:r w:rsidR="003D6CB2" w:rsidRPr="004E1208">
        <w:rPr>
          <w:rFonts w:hAnsi="標楷體" w:hint="eastAsia"/>
        </w:rPr>
        <w:t>如何兼顧其等</w:t>
      </w:r>
      <w:r w:rsidR="00177D22" w:rsidRPr="004E1208">
        <w:rPr>
          <w:rFonts w:hAnsi="標楷體" w:hint="eastAsia"/>
        </w:rPr>
        <w:t>居住權益</w:t>
      </w:r>
      <w:r w:rsidR="003D6CB2" w:rsidRPr="004E1208">
        <w:rPr>
          <w:rFonts w:hAnsi="標楷體" w:hint="eastAsia"/>
        </w:rPr>
        <w:t>，並與已辦理改建眷村之同意戶、不同意戶</w:t>
      </w:r>
      <w:r w:rsidR="00FE1312" w:rsidRPr="004E1208">
        <w:rPr>
          <w:rFonts w:hAnsi="標楷體" w:hint="eastAsia"/>
        </w:rPr>
        <w:t>，甚至是違占建戶</w:t>
      </w:r>
      <w:r w:rsidR="003D6CB2" w:rsidRPr="004E1208">
        <w:rPr>
          <w:rFonts w:hAnsi="標楷體" w:hint="eastAsia"/>
        </w:rPr>
        <w:t>之權益有所衡平，</w:t>
      </w:r>
      <w:r w:rsidR="00FE1312" w:rsidRPr="004E1208">
        <w:rPr>
          <w:rFonts w:hAnsi="標楷體" w:hint="eastAsia"/>
        </w:rPr>
        <w:t>不致產生</w:t>
      </w:r>
      <w:r w:rsidR="003D6CB2" w:rsidRPr="004E1208">
        <w:rPr>
          <w:rFonts w:hAnsi="標楷體" w:hint="eastAsia"/>
        </w:rPr>
        <w:t>差別待遇</w:t>
      </w:r>
      <w:r w:rsidR="00177D22" w:rsidRPr="004E1208">
        <w:rPr>
          <w:rFonts w:hAnsi="標楷體" w:hint="eastAsia"/>
        </w:rPr>
        <w:t>，</w:t>
      </w:r>
      <w:r w:rsidR="003D6CB2" w:rsidRPr="004E1208">
        <w:rPr>
          <w:rFonts w:hAnsi="標楷體" w:hint="eastAsia"/>
        </w:rPr>
        <w:t>允應預為因應。</w:t>
      </w:r>
    </w:p>
    <w:p w:rsidR="003D6CB2" w:rsidRPr="004E1208" w:rsidRDefault="00FE1312" w:rsidP="0045778C">
      <w:pPr>
        <w:pStyle w:val="3"/>
      </w:pPr>
      <w:proofErr w:type="gramStart"/>
      <w:r w:rsidRPr="004E1208">
        <w:rPr>
          <w:rFonts w:hint="eastAsia"/>
        </w:rPr>
        <w:t>另查現屬國</w:t>
      </w:r>
      <w:proofErr w:type="gramEnd"/>
      <w:r w:rsidRPr="004E1208">
        <w:rPr>
          <w:rFonts w:hint="eastAsia"/>
        </w:rPr>
        <w:t>安系統列管之軍眷村，包括群治新村</w:t>
      </w:r>
      <w:r w:rsidR="00D14F3F" w:rsidRPr="004E1208">
        <w:rPr>
          <w:rFonts w:hint="eastAsia"/>
        </w:rPr>
        <w:t>（文山區）</w:t>
      </w:r>
      <w:r w:rsidRPr="004E1208">
        <w:rPr>
          <w:rFonts w:hint="eastAsia"/>
        </w:rPr>
        <w:t>、光復新村</w:t>
      </w:r>
      <w:r w:rsidR="00D14F3F" w:rsidRPr="004E1208">
        <w:rPr>
          <w:rFonts w:hint="eastAsia"/>
        </w:rPr>
        <w:t>（松山區）</w:t>
      </w:r>
      <w:r w:rsidRPr="004E1208">
        <w:rPr>
          <w:rFonts w:hint="eastAsia"/>
        </w:rPr>
        <w:t>、居安新村</w:t>
      </w:r>
      <w:r w:rsidR="00D14F3F" w:rsidRPr="004E1208">
        <w:rPr>
          <w:rFonts w:hint="eastAsia"/>
        </w:rPr>
        <w:t>（士林區）</w:t>
      </w:r>
      <w:r w:rsidRPr="004E1208">
        <w:rPr>
          <w:rFonts w:hint="eastAsia"/>
        </w:rPr>
        <w:t>、忠孝新村</w:t>
      </w:r>
      <w:r w:rsidR="00D14F3F" w:rsidRPr="004E1208">
        <w:rPr>
          <w:rFonts w:hint="eastAsia"/>
        </w:rPr>
        <w:t>（士林區）</w:t>
      </w:r>
      <w:r w:rsidRPr="004E1208">
        <w:rPr>
          <w:rFonts w:hint="eastAsia"/>
        </w:rPr>
        <w:t>、忠孝二村</w:t>
      </w:r>
      <w:r w:rsidR="00D14F3F" w:rsidRPr="004E1208">
        <w:rPr>
          <w:rFonts w:hint="eastAsia"/>
        </w:rPr>
        <w:t>（士林區）</w:t>
      </w:r>
      <w:r w:rsidRPr="004E1208">
        <w:rPr>
          <w:rFonts w:hint="eastAsia"/>
        </w:rPr>
        <w:t>、芝玉新村</w:t>
      </w:r>
      <w:r w:rsidR="00D14F3F" w:rsidRPr="004E1208">
        <w:rPr>
          <w:rFonts w:hint="eastAsia"/>
        </w:rPr>
        <w:t>（士林區）</w:t>
      </w:r>
      <w:r w:rsidRPr="004E1208">
        <w:rPr>
          <w:rFonts w:hint="eastAsia"/>
        </w:rPr>
        <w:t>等6村（簡稱國安6村），合計約34</w:t>
      </w:r>
      <w:r w:rsidR="00D14F3F" w:rsidRPr="004E1208">
        <w:rPr>
          <w:rFonts w:hint="eastAsia"/>
        </w:rPr>
        <w:t>3</w:t>
      </w:r>
      <w:r w:rsidRPr="004E1208">
        <w:rPr>
          <w:rFonts w:hint="eastAsia"/>
        </w:rPr>
        <w:t>戶，</w:t>
      </w:r>
      <w:r w:rsidR="00D14F3F" w:rsidRPr="004E1208">
        <w:rPr>
          <w:rFonts w:hint="eastAsia"/>
        </w:rPr>
        <w:t>其等</w:t>
      </w:r>
      <w:r w:rsidRPr="004E1208">
        <w:rPr>
          <w:rFonts w:hint="eastAsia"/>
        </w:rPr>
        <w:t>對於未被納入眷村改建，</w:t>
      </w:r>
      <w:r w:rsidR="004471EB" w:rsidRPr="004E1208">
        <w:rPr>
          <w:rFonts w:hint="eastAsia"/>
        </w:rPr>
        <w:t>認為損及</w:t>
      </w:r>
      <w:r w:rsidR="00D14F3F" w:rsidRPr="004E1208">
        <w:rPr>
          <w:rFonts w:hint="eastAsia"/>
        </w:rPr>
        <w:t>權</w:t>
      </w:r>
      <w:r w:rsidR="00A06FD3" w:rsidRPr="004E1208">
        <w:rPr>
          <w:rFonts w:hint="eastAsia"/>
        </w:rPr>
        <w:t>益</w:t>
      </w:r>
      <w:r w:rsidR="00D14F3F" w:rsidRPr="004E1208">
        <w:rPr>
          <w:rFonts w:hint="eastAsia"/>
        </w:rPr>
        <w:t>，</w:t>
      </w:r>
      <w:r w:rsidR="004471EB" w:rsidRPr="004E1208">
        <w:rPr>
          <w:rFonts w:hint="eastAsia"/>
        </w:rPr>
        <w:t>經陳情多年，</w:t>
      </w:r>
      <w:proofErr w:type="gramStart"/>
      <w:r w:rsidR="004471EB" w:rsidRPr="004E1208">
        <w:rPr>
          <w:rFonts w:hint="eastAsia"/>
        </w:rPr>
        <w:t>均被敷衍</w:t>
      </w:r>
      <w:proofErr w:type="gramEnd"/>
      <w:r w:rsidR="004471EB" w:rsidRPr="004E1208">
        <w:rPr>
          <w:rFonts w:hint="eastAsia"/>
        </w:rPr>
        <w:t>推託，</w:t>
      </w:r>
      <w:proofErr w:type="gramStart"/>
      <w:r w:rsidR="004471EB" w:rsidRPr="004E1208">
        <w:rPr>
          <w:rFonts w:hint="eastAsia"/>
        </w:rPr>
        <w:t>爰</w:t>
      </w:r>
      <w:proofErr w:type="gramEnd"/>
      <w:r w:rsidR="004471EB" w:rsidRPr="004E1208">
        <w:rPr>
          <w:rFonts w:hint="eastAsia"/>
        </w:rPr>
        <w:t>於近日</w:t>
      </w:r>
      <w:r w:rsidR="00D14F3F" w:rsidRPr="004E1208">
        <w:rPr>
          <w:rFonts w:hint="eastAsia"/>
        </w:rPr>
        <w:t>成立國安6村</w:t>
      </w:r>
      <w:proofErr w:type="gramStart"/>
      <w:r w:rsidR="00D14F3F" w:rsidRPr="004E1208">
        <w:rPr>
          <w:rFonts w:hint="eastAsia"/>
        </w:rPr>
        <w:t>眷</w:t>
      </w:r>
      <w:proofErr w:type="gramEnd"/>
      <w:r w:rsidR="00D14F3F" w:rsidRPr="004E1208">
        <w:rPr>
          <w:rFonts w:hint="eastAsia"/>
        </w:rPr>
        <w:t>改孤兒自救會並陳情</w:t>
      </w:r>
      <w:r w:rsidR="004471EB" w:rsidRPr="004E1208">
        <w:rPr>
          <w:rFonts w:hint="eastAsia"/>
        </w:rPr>
        <w:t>抗爭</w:t>
      </w:r>
      <w:r w:rsidR="00D14F3F" w:rsidRPr="004E1208">
        <w:rPr>
          <w:rFonts w:hint="eastAsia"/>
        </w:rPr>
        <w:t>不斷</w:t>
      </w:r>
      <w:r w:rsidR="00D14F3F" w:rsidRPr="004E1208">
        <w:rPr>
          <w:rStyle w:val="afd"/>
        </w:rPr>
        <w:footnoteReference w:id="23"/>
      </w:r>
      <w:r w:rsidR="004471EB" w:rsidRPr="004E1208">
        <w:rPr>
          <w:rFonts w:hint="eastAsia"/>
        </w:rPr>
        <w:t>。相關機關允應</w:t>
      </w:r>
      <w:r w:rsidR="0024023D" w:rsidRPr="004E1208">
        <w:rPr>
          <w:rFonts w:hint="eastAsia"/>
        </w:rPr>
        <w:t>正視歷史脈絡，</w:t>
      </w:r>
      <w:r w:rsidR="004471EB" w:rsidRPr="004E1208">
        <w:rPr>
          <w:rFonts w:hint="eastAsia"/>
        </w:rPr>
        <w:t>積極協調處理相關事宜，以兼顧</w:t>
      </w:r>
      <w:proofErr w:type="gramStart"/>
      <w:r w:rsidR="004471EB" w:rsidRPr="004E1208">
        <w:rPr>
          <w:rFonts w:hint="eastAsia"/>
        </w:rPr>
        <w:t>眷</w:t>
      </w:r>
      <w:proofErr w:type="gramEnd"/>
      <w:r w:rsidR="004471EB" w:rsidRPr="004E1208">
        <w:rPr>
          <w:rFonts w:hint="eastAsia"/>
        </w:rPr>
        <w:t>戶權益之保障。</w:t>
      </w:r>
    </w:p>
    <w:p w:rsidR="00425601" w:rsidRPr="004E1208" w:rsidRDefault="000D512E" w:rsidP="00FE1312">
      <w:pPr>
        <w:pStyle w:val="2"/>
        <w:spacing w:beforeLines="50" w:before="228"/>
        <w:ind w:left="1020" w:hanging="680"/>
        <w:rPr>
          <w:b/>
        </w:rPr>
      </w:pPr>
      <w:bookmarkStart w:id="66" w:name="_Toc139546651"/>
      <w:proofErr w:type="gramStart"/>
      <w:r w:rsidRPr="004E1208">
        <w:rPr>
          <w:rFonts w:hint="eastAsia"/>
          <w:b/>
        </w:rPr>
        <w:t>農水署無償</w:t>
      </w:r>
      <w:proofErr w:type="gramEnd"/>
      <w:r w:rsidRPr="004E1208">
        <w:rPr>
          <w:rFonts w:hint="eastAsia"/>
          <w:b/>
        </w:rPr>
        <w:t>照舊使用私人土地約2</w:t>
      </w:r>
      <w:r w:rsidRPr="004E1208">
        <w:rPr>
          <w:b/>
        </w:rPr>
        <w:t>,</w:t>
      </w:r>
      <w:r w:rsidRPr="004E1208">
        <w:rPr>
          <w:rFonts w:hint="eastAsia"/>
          <w:b/>
        </w:rPr>
        <w:t>858公頃，惟憲法法庭近日已作出判決，認為農田水利設施無償照舊使用私人土地，已形成個人之特別犧牲，應</w:t>
      </w:r>
      <w:r w:rsidR="00A76822">
        <w:rPr>
          <w:rFonts w:hint="eastAsia"/>
          <w:b/>
        </w:rPr>
        <w:t>儘</w:t>
      </w:r>
      <w:r w:rsidRPr="004E1208">
        <w:rPr>
          <w:rFonts w:hint="eastAsia"/>
          <w:b/>
        </w:rPr>
        <w:t>速取得土地合法使用權源，</w:t>
      </w:r>
      <w:proofErr w:type="gramStart"/>
      <w:r w:rsidRPr="004E1208">
        <w:rPr>
          <w:rFonts w:hint="eastAsia"/>
          <w:b/>
        </w:rPr>
        <w:t>俾</w:t>
      </w:r>
      <w:proofErr w:type="gramEnd"/>
      <w:r w:rsidRPr="004E1208">
        <w:rPr>
          <w:rFonts w:hint="eastAsia"/>
          <w:b/>
        </w:rPr>
        <w:t>符合憲法第15條保障人民財產權</w:t>
      </w:r>
      <w:r w:rsidRPr="004E1208">
        <w:rPr>
          <w:rFonts w:hint="eastAsia"/>
          <w:b/>
        </w:rPr>
        <w:lastRenderedPageBreak/>
        <w:t>之意旨，</w:t>
      </w:r>
      <w:r>
        <w:rPr>
          <w:rFonts w:hint="eastAsia"/>
          <w:b/>
        </w:rPr>
        <w:t>農</w:t>
      </w:r>
      <w:proofErr w:type="gramStart"/>
      <w:r>
        <w:rPr>
          <w:rFonts w:hint="eastAsia"/>
          <w:b/>
        </w:rPr>
        <w:t>水</w:t>
      </w:r>
      <w:r w:rsidRPr="004E1208">
        <w:rPr>
          <w:rFonts w:hint="eastAsia"/>
          <w:b/>
        </w:rPr>
        <w:t>署允</w:t>
      </w:r>
      <w:proofErr w:type="gramEnd"/>
      <w:r w:rsidRPr="004E1208">
        <w:rPr>
          <w:rFonts w:hint="eastAsia"/>
          <w:b/>
        </w:rPr>
        <w:t>應審慎</w:t>
      </w:r>
      <w:proofErr w:type="gramStart"/>
      <w:r w:rsidRPr="004E1208">
        <w:rPr>
          <w:rFonts w:hint="eastAsia"/>
          <w:b/>
        </w:rPr>
        <w:t>研</w:t>
      </w:r>
      <w:proofErr w:type="gramEnd"/>
      <w:r w:rsidRPr="004E1208">
        <w:rPr>
          <w:rFonts w:hint="eastAsia"/>
          <w:b/>
        </w:rPr>
        <w:t>謀因應對策。</w:t>
      </w:r>
      <w:bookmarkEnd w:id="66"/>
    </w:p>
    <w:p w:rsidR="00E3458A" w:rsidRPr="004E1208" w:rsidRDefault="000D512E" w:rsidP="00BE3527">
      <w:pPr>
        <w:pStyle w:val="3"/>
      </w:pPr>
      <w:r>
        <w:rPr>
          <w:rFonts w:hAnsi="標楷體" w:hint="eastAsia"/>
          <w:szCs w:val="32"/>
        </w:rPr>
        <w:t>行政院農業委員會</w:t>
      </w:r>
      <w:r w:rsidR="008C51C3">
        <w:rPr>
          <w:rFonts w:hAnsi="標楷體" w:hint="eastAsia"/>
          <w:szCs w:val="32"/>
        </w:rPr>
        <w:t>（下稱農委會）</w:t>
      </w:r>
      <w:r w:rsidR="00C139C4" w:rsidRPr="004E1208">
        <w:rPr>
          <w:rFonts w:hAnsi="標楷體" w:hint="eastAsia"/>
        </w:rPr>
        <w:t>為「</w:t>
      </w:r>
      <w:r w:rsidR="00C139C4" w:rsidRPr="004E1208">
        <w:rPr>
          <w:rFonts w:hAnsi="標楷體"/>
        </w:rPr>
        <w:t>強化農田水利會功能，擴大對農民服務</w:t>
      </w:r>
      <w:r w:rsidR="00C139C4" w:rsidRPr="004E1208">
        <w:rPr>
          <w:rFonts w:hAnsi="標楷體" w:hint="eastAsia"/>
        </w:rPr>
        <w:t>」、「</w:t>
      </w:r>
      <w:r w:rsidR="00C139C4" w:rsidRPr="004E1208">
        <w:rPr>
          <w:rFonts w:hAnsi="標楷體"/>
        </w:rPr>
        <w:t>建構國家水資源公共化管理體制</w:t>
      </w:r>
      <w:r w:rsidR="00C139C4" w:rsidRPr="004E1208">
        <w:rPr>
          <w:rFonts w:hAnsi="標楷體" w:hint="eastAsia"/>
        </w:rPr>
        <w:t>」、「</w:t>
      </w:r>
      <w:r w:rsidR="00C139C4" w:rsidRPr="004E1208">
        <w:rPr>
          <w:rFonts w:hAnsi="標楷體"/>
        </w:rPr>
        <w:t>農田水利會資源共享，提升服務水準</w:t>
      </w:r>
      <w:r w:rsidR="00C139C4" w:rsidRPr="004E1208">
        <w:rPr>
          <w:rFonts w:hAnsi="標楷體" w:hint="eastAsia"/>
        </w:rPr>
        <w:t>」、「</w:t>
      </w:r>
      <w:r w:rsidR="00C139C4" w:rsidRPr="004E1208">
        <w:rPr>
          <w:rFonts w:hAnsi="標楷體"/>
        </w:rPr>
        <w:t>建構專業化組織</w:t>
      </w:r>
      <w:r w:rsidR="00C139C4" w:rsidRPr="004E1208">
        <w:rPr>
          <w:rFonts w:hAnsi="標楷體" w:hint="eastAsia"/>
        </w:rPr>
        <w:t>」等理由及目標，規劃辦理農田水利會改制。</w:t>
      </w:r>
      <w:r w:rsidR="002B65C9" w:rsidRPr="004E1208">
        <w:rPr>
          <w:rFonts w:hint="eastAsia"/>
        </w:rPr>
        <w:t>107年1月</w:t>
      </w:r>
      <w:r w:rsidR="00BE3527" w:rsidRPr="004E1208">
        <w:rPr>
          <w:rFonts w:hint="eastAsia"/>
        </w:rPr>
        <w:t>31日</w:t>
      </w:r>
      <w:r w:rsidR="002B65C9" w:rsidRPr="004E1208">
        <w:rPr>
          <w:rFonts w:hint="eastAsia"/>
        </w:rPr>
        <w:t>農田水利會組織通則</w:t>
      </w:r>
      <w:r w:rsidR="00BE3527" w:rsidRPr="004E1208">
        <w:rPr>
          <w:rFonts w:hint="eastAsia"/>
        </w:rPr>
        <w:t>修正公布第23、35、40條條文</w:t>
      </w:r>
      <w:r w:rsidR="002B65C9" w:rsidRPr="004E1208">
        <w:rPr>
          <w:rFonts w:hint="eastAsia"/>
        </w:rPr>
        <w:t>，農田水利會將在</w:t>
      </w:r>
      <w:r w:rsidR="00BE3527" w:rsidRPr="004E1208">
        <w:rPr>
          <w:rFonts w:hint="eastAsia"/>
        </w:rPr>
        <w:t>10</w:t>
      </w:r>
      <w:r w:rsidR="00A6645D" w:rsidRPr="004E1208">
        <w:t>9</w:t>
      </w:r>
      <w:r w:rsidR="002B65C9" w:rsidRPr="004E1208">
        <w:rPr>
          <w:rFonts w:hint="eastAsia"/>
        </w:rPr>
        <w:t>年10月1日起改制為公務機關，會長任期屆滿由政府指派。根據該通則第40條第3項規定「農田水利會之改制及其資產處理、職員工作權益保障等事項，另以法律定之」，行政院擬具農田水利法草案</w:t>
      </w:r>
      <w:r w:rsidR="00BE3527" w:rsidRPr="004E1208">
        <w:rPr>
          <w:rFonts w:hint="eastAsia"/>
        </w:rPr>
        <w:t>，於109年7月2日經立法院三讀通過，</w:t>
      </w:r>
      <w:r w:rsidR="002B65C9" w:rsidRPr="004E1208">
        <w:rPr>
          <w:rFonts w:hint="eastAsia"/>
        </w:rPr>
        <w:t>109年7月22日</w:t>
      </w:r>
      <w:r w:rsidR="00BE3527" w:rsidRPr="004E1208">
        <w:rPr>
          <w:rFonts w:hint="eastAsia"/>
        </w:rPr>
        <w:t>總統</w:t>
      </w:r>
      <w:r w:rsidR="002B65C9" w:rsidRPr="004E1208">
        <w:rPr>
          <w:rFonts w:hint="eastAsia"/>
        </w:rPr>
        <w:t>制定公布，並經行政院109年9月9日院</w:t>
      </w:r>
      <w:proofErr w:type="gramStart"/>
      <w:r w:rsidR="002B65C9" w:rsidRPr="004E1208">
        <w:rPr>
          <w:rFonts w:hint="eastAsia"/>
        </w:rPr>
        <w:t>臺農字</w:t>
      </w:r>
      <w:proofErr w:type="gramEnd"/>
      <w:r w:rsidR="002B65C9" w:rsidRPr="004E1208">
        <w:rPr>
          <w:rFonts w:hint="eastAsia"/>
        </w:rPr>
        <w:t>第1090029805號令定自109年10月1日施行。</w:t>
      </w:r>
    </w:p>
    <w:p w:rsidR="0045778C" w:rsidRPr="004E1208" w:rsidRDefault="00E3458A" w:rsidP="008C51C3">
      <w:pPr>
        <w:pStyle w:val="3"/>
        <w:kinsoku w:val="0"/>
        <w:overflowPunct/>
        <w:ind w:left="1360" w:hanging="680"/>
      </w:pPr>
      <w:r w:rsidRPr="004E1208">
        <w:rPr>
          <w:rFonts w:hint="eastAsia"/>
        </w:rPr>
        <w:t>自109年10月1</w:t>
      </w:r>
      <w:r w:rsidR="002B65C9" w:rsidRPr="004E1208">
        <w:rPr>
          <w:rFonts w:hint="eastAsia"/>
        </w:rPr>
        <w:t>日起，</w:t>
      </w:r>
      <w:r w:rsidR="00BE3527" w:rsidRPr="004E1208">
        <w:rPr>
          <w:rFonts w:hint="eastAsia"/>
        </w:rPr>
        <w:t>農田水利會正式改制為公務機關；</w:t>
      </w:r>
      <w:r w:rsidR="002B65C9" w:rsidRPr="004E1208">
        <w:rPr>
          <w:rFonts w:hint="eastAsia"/>
        </w:rPr>
        <w:t>農委會</w:t>
      </w:r>
      <w:r w:rsidR="00BE3527" w:rsidRPr="004E1208">
        <w:rPr>
          <w:rFonts w:hint="eastAsia"/>
        </w:rPr>
        <w:t>農</w:t>
      </w:r>
      <w:r w:rsidR="002B65C9" w:rsidRPr="004E1208">
        <w:rPr>
          <w:rFonts w:hint="eastAsia"/>
        </w:rPr>
        <w:t>田水利處更名為</w:t>
      </w:r>
      <w:proofErr w:type="gramStart"/>
      <w:r w:rsidR="002B65C9" w:rsidRPr="004E1208">
        <w:rPr>
          <w:rFonts w:hint="eastAsia"/>
        </w:rPr>
        <w:t>農水署</w:t>
      </w:r>
      <w:proofErr w:type="gramEnd"/>
      <w:r w:rsidR="002B65C9" w:rsidRPr="004E1208">
        <w:rPr>
          <w:rFonts w:hint="eastAsia"/>
        </w:rPr>
        <w:t>，升級為三級機關；全</w:t>
      </w:r>
      <w:proofErr w:type="gramStart"/>
      <w:r w:rsidR="00BE3527" w:rsidRPr="004E1208">
        <w:rPr>
          <w:rFonts w:hint="eastAsia"/>
        </w:rPr>
        <w:t>臺</w:t>
      </w:r>
      <w:proofErr w:type="gramEnd"/>
      <w:r w:rsidR="002B65C9" w:rsidRPr="004E1208">
        <w:rPr>
          <w:rFonts w:hint="eastAsia"/>
        </w:rPr>
        <w:t>17</w:t>
      </w:r>
      <w:r w:rsidR="000A2BE1" w:rsidRPr="004E1208">
        <w:rPr>
          <w:rFonts w:hint="eastAsia"/>
        </w:rPr>
        <w:t>個農田水利會則更名為管理處</w:t>
      </w:r>
      <w:r w:rsidR="00A6645D" w:rsidRPr="004E1208">
        <w:rPr>
          <w:rFonts w:hint="eastAsia"/>
        </w:rPr>
        <w:t>（</w:t>
      </w:r>
      <w:r w:rsidR="00A6645D" w:rsidRPr="004E1208">
        <w:rPr>
          <w:rFonts w:hint="eastAsia"/>
        </w:rPr>
        <w:tab/>
        <w:t>灌溉管理組織設置辦法第2條）</w:t>
      </w:r>
      <w:r w:rsidR="002B65C9" w:rsidRPr="004E1208">
        <w:rPr>
          <w:rFonts w:hint="eastAsia"/>
        </w:rPr>
        <w:t>，原本農田水利會長的職務及職稱，也由管理處處長</w:t>
      </w:r>
      <w:r w:rsidR="00BE3527" w:rsidRPr="004E1208">
        <w:rPr>
          <w:rFonts w:hint="eastAsia"/>
        </w:rPr>
        <w:t>所</w:t>
      </w:r>
      <w:r w:rsidR="00815964" w:rsidRPr="004E1208">
        <w:rPr>
          <w:rFonts w:hint="eastAsia"/>
        </w:rPr>
        <w:t>取代。至於</w:t>
      </w:r>
      <w:r w:rsidRPr="004E1208">
        <w:rPr>
          <w:rFonts w:hint="eastAsia"/>
        </w:rPr>
        <w:t>機關內</w:t>
      </w:r>
      <w:r w:rsidR="00815964" w:rsidRPr="004E1208">
        <w:rPr>
          <w:rFonts w:hint="eastAsia"/>
        </w:rPr>
        <w:t>職員工作權益部分，</w:t>
      </w:r>
      <w:r w:rsidRPr="004E1208">
        <w:rPr>
          <w:rFonts w:hint="eastAsia"/>
        </w:rPr>
        <w:t>則是</w:t>
      </w:r>
      <w:proofErr w:type="gramStart"/>
      <w:r w:rsidRPr="004E1208">
        <w:rPr>
          <w:rFonts w:hint="eastAsia"/>
        </w:rPr>
        <w:t>採</w:t>
      </w:r>
      <w:proofErr w:type="gramEnd"/>
      <w:r w:rsidRPr="004E1208">
        <w:rPr>
          <w:rFonts w:hint="eastAsia"/>
        </w:rPr>
        <w:t>公務人員及水利會人員雙軌制運作，現有農田水利會人員</w:t>
      </w:r>
      <w:r w:rsidR="00815964" w:rsidRPr="004E1208">
        <w:rPr>
          <w:rFonts w:hint="eastAsia"/>
        </w:rPr>
        <w:t>比照農田水利會原人事制度繼續任用</w:t>
      </w:r>
      <w:r w:rsidRPr="004E1208">
        <w:rPr>
          <w:rFonts w:hint="eastAsia"/>
        </w:rPr>
        <w:t>；</w:t>
      </w:r>
      <w:r w:rsidR="00815964" w:rsidRPr="004E1208">
        <w:rPr>
          <w:rFonts w:hint="eastAsia"/>
        </w:rPr>
        <w:t>資產處理部分，</w:t>
      </w:r>
      <w:r w:rsidR="00A6645D" w:rsidRPr="004E1208">
        <w:rPr>
          <w:rFonts w:hint="eastAsia"/>
        </w:rPr>
        <w:t>農田水利會之資產及</w:t>
      </w:r>
      <w:proofErr w:type="gramStart"/>
      <w:r w:rsidR="00A6645D" w:rsidRPr="004E1208">
        <w:rPr>
          <w:rFonts w:hint="eastAsia"/>
        </w:rPr>
        <w:t>負債均由國家</w:t>
      </w:r>
      <w:proofErr w:type="gramEnd"/>
      <w:r w:rsidR="00A6645D" w:rsidRPr="004E1208">
        <w:rPr>
          <w:rFonts w:hint="eastAsia"/>
        </w:rPr>
        <w:t>概括承受，並納入農田水利事業作業基金管理</w:t>
      </w:r>
      <w:r w:rsidR="00815964" w:rsidRPr="004E1208">
        <w:rPr>
          <w:rFonts w:hint="eastAsia"/>
        </w:rPr>
        <w:t>，不受國有財產法限制，並由政府繼續撥補經費，專款專用於農田水利事業</w:t>
      </w:r>
      <w:r w:rsidR="00133ED8" w:rsidRPr="004E1208">
        <w:rPr>
          <w:rFonts w:hint="eastAsia"/>
        </w:rPr>
        <w:t>。</w:t>
      </w:r>
    </w:p>
    <w:p w:rsidR="00571135" w:rsidRPr="004E1208" w:rsidRDefault="002F1590" w:rsidP="00C64192">
      <w:pPr>
        <w:pStyle w:val="3"/>
      </w:pPr>
      <w:r w:rsidRPr="004E1208">
        <w:rPr>
          <w:rFonts w:hint="eastAsia"/>
        </w:rPr>
        <w:t>本院</w:t>
      </w:r>
      <w:r w:rsidR="00802299" w:rsidRPr="004E1208">
        <w:rPr>
          <w:rFonts w:hint="eastAsia"/>
        </w:rPr>
        <w:t>就</w:t>
      </w:r>
      <w:r w:rsidRPr="004E1208">
        <w:rPr>
          <w:rFonts w:hint="eastAsia"/>
        </w:rPr>
        <w:t>農田水利會</w:t>
      </w:r>
      <w:r w:rsidR="00FB0E40" w:rsidRPr="004E1208">
        <w:rPr>
          <w:rFonts w:hint="eastAsia"/>
        </w:rPr>
        <w:t>規劃</w:t>
      </w:r>
      <w:r w:rsidRPr="004E1208">
        <w:rPr>
          <w:rFonts w:hint="eastAsia"/>
        </w:rPr>
        <w:t>改制為公務機關，</w:t>
      </w:r>
      <w:r w:rsidR="00802299" w:rsidRPr="004E1208">
        <w:rPr>
          <w:rFonts w:hint="eastAsia"/>
        </w:rPr>
        <w:t>前</w:t>
      </w:r>
      <w:r w:rsidRPr="004E1208">
        <w:rPr>
          <w:rFonts w:hint="eastAsia"/>
        </w:rPr>
        <w:t>已提出調查報告（1</w:t>
      </w:r>
      <w:r w:rsidRPr="004E1208">
        <w:t>08</w:t>
      </w:r>
      <w:r w:rsidRPr="004E1208">
        <w:rPr>
          <w:rFonts w:hint="eastAsia"/>
        </w:rPr>
        <w:t>財調0077），並</w:t>
      </w:r>
      <w:r w:rsidR="00571135" w:rsidRPr="004E1208">
        <w:rPr>
          <w:rFonts w:hint="eastAsia"/>
        </w:rPr>
        <w:t>針對人事雙軌雙流制度、作業基金之運作、擴大灌區服務、照舊使用他</w:t>
      </w:r>
      <w:r w:rsidR="00571135" w:rsidRPr="004E1208">
        <w:rPr>
          <w:rFonts w:hint="eastAsia"/>
        </w:rPr>
        <w:lastRenderedPageBreak/>
        <w:t>人土地等情，提出調查意見</w:t>
      </w:r>
      <w:r w:rsidR="00571135" w:rsidRPr="004E1208">
        <w:rPr>
          <w:rStyle w:val="afd"/>
        </w:rPr>
        <w:footnoteReference w:id="24"/>
      </w:r>
      <w:r w:rsidR="00571135" w:rsidRPr="004E1208">
        <w:rPr>
          <w:rFonts w:hint="eastAsia"/>
        </w:rPr>
        <w:t>，請農委會妥為審慎因應。</w:t>
      </w:r>
      <w:r w:rsidR="00907A1F" w:rsidRPr="004E1208">
        <w:rPr>
          <w:rFonts w:hint="eastAsia"/>
        </w:rPr>
        <w:t>如今</w:t>
      </w:r>
      <w:r w:rsidR="00FB0E40" w:rsidRPr="004E1208">
        <w:rPr>
          <w:rFonts w:hint="eastAsia"/>
        </w:rPr>
        <w:t>農田水利會已改制成為</w:t>
      </w:r>
      <w:r w:rsidR="00B202AB" w:rsidRPr="004E1208">
        <w:rPr>
          <w:rFonts w:hint="eastAsia"/>
        </w:rPr>
        <w:t>公務</w:t>
      </w:r>
      <w:r w:rsidR="00FB0E40" w:rsidRPr="004E1208">
        <w:rPr>
          <w:rFonts w:hint="eastAsia"/>
        </w:rPr>
        <w:t>機關，</w:t>
      </w:r>
      <w:r w:rsidR="00907A1F" w:rsidRPr="004E1208">
        <w:rPr>
          <w:rFonts w:hint="eastAsia"/>
        </w:rPr>
        <w:t>除應注意上述意見外，</w:t>
      </w:r>
      <w:r w:rsidR="00FB0E40" w:rsidRPr="004E1208">
        <w:rPr>
          <w:rFonts w:hint="eastAsia"/>
        </w:rPr>
        <w:t>在履行職務時</w:t>
      </w:r>
      <w:r w:rsidR="00802299" w:rsidRPr="004E1208">
        <w:rPr>
          <w:rFonts w:hint="eastAsia"/>
        </w:rPr>
        <w:t>更</w:t>
      </w:r>
      <w:r w:rsidR="00907A1F" w:rsidRPr="004E1208">
        <w:rPr>
          <w:rFonts w:hint="eastAsia"/>
        </w:rPr>
        <w:t>須</w:t>
      </w:r>
      <w:r w:rsidR="00FB0E40" w:rsidRPr="004E1208">
        <w:rPr>
          <w:rFonts w:hint="eastAsia"/>
        </w:rPr>
        <w:t>遵守</w:t>
      </w:r>
      <w:r w:rsidR="00907A1F" w:rsidRPr="004E1208">
        <w:rPr>
          <w:rFonts w:hint="eastAsia"/>
        </w:rPr>
        <w:t>正當法律程序，確保組織運作的公開透明與廉潔操守，並注意資產管理責任</w:t>
      </w:r>
      <w:r w:rsidR="00802299" w:rsidRPr="004E1208">
        <w:rPr>
          <w:rFonts w:hint="eastAsia"/>
        </w:rPr>
        <w:t>，</w:t>
      </w:r>
      <w:r w:rsidR="00907A1F" w:rsidRPr="004E1208">
        <w:rPr>
          <w:rFonts w:hint="eastAsia"/>
        </w:rPr>
        <w:t>落實灌溉渠道安全防護，</w:t>
      </w:r>
      <w:r w:rsidR="00813889" w:rsidRPr="004E1208">
        <w:rPr>
          <w:rFonts w:hint="eastAsia"/>
        </w:rPr>
        <w:t>避免相關人員不慎觸法或因未注意造成人民受到損害，進而維護農民權益，成為高效能的政府組織。</w:t>
      </w:r>
    </w:p>
    <w:p w:rsidR="00813889" w:rsidRPr="004E1208" w:rsidRDefault="00813889" w:rsidP="00813889">
      <w:pPr>
        <w:pStyle w:val="3"/>
      </w:pPr>
      <w:r w:rsidRPr="004E1208">
        <w:rPr>
          <w:rFonts w:hint="eastAsia"/>
        </w:rPr>
        <w:t>另按農田水利法第11條第1項規定：「本法施行前提供農田水利會水利使用之土地，應照舊使用。」第26條規定：「農田水利事業作業基金每年應</w:t>
      </w:r>
      <w:proofErr w:type="gramStart"/>
      <w:r w:rsidRPr="004E1208">
        <w:rPr>
          <w:rFonts w:hint="eastAsia"/>
        </w:rPr>
        <w:t>提撥</w:t>
      </w:r>
      <w:proofErr w:type="gramEnd"/>
      <w:r w:rsidRPr="004E1208">
        <w:rPr>
          <w:rFonts w:hint="eastAsia"/>
        </w:rPr>
        <w:t>部分財產處分所得價款，辦理依第1</w:t>
      </w:r>
      <w:r w:rsidRPr="004E1208">
        <w:t>1</w:t>
      </w:r>
      <w:r w:rsidRPr="004E1208">
        <w:rPr>
          <w:rFonts w:hint="eastAsia"/>
        </w:rPr>
        <w:t>條第1項規定照舊使用土地之承租或用地取得。」據審計部統計</w:t>
      </w:r>
      <w:r w:rsidRPr="004E1208">
        <w:rPr>
          <w:rStyle w:val="afd"/>
          <w:rFonts w:hAnsi="標楷體"/>
        </w:rPr>
        <w:footnoteReference w:id="25"/>
      </w:r>
      <w:r w:rsidRPr="004E1208">
        <w:rPr>
          <w:rFonts w:hint="eastAsia"/>
        </w:rPr>
        <w:t>顯示，截至109年底止，</w:t>
      </w:r>
      <w:proofErr w:type="gramStart"/>
      <w:r w:rsidRPr="004E1208">
        <w:rPr>
          <w:rFonts w:hint="eastAsia"/>
        </w:rPr>
        <w:t>農水署</w:t>
      </w:r>
      <w:proofErr w:type="gramEnd"/>
      <w:r w:rsidRPr="004E1208">
        <w:rPr>
          <w:rFonts w:hint="eastAsia"/>
        </w:rPr>
        <w:t>（原農田水利會）無償照舊使用私有土地者，計15萬3</w:t>
      </w:r>
      <w:r w:rsidRPr="004E1208">
        <w:t>,</w:t>
      </w:r>
      <w:r w:rsidRPr="004E1208">
        <w:rPr>
          <w:rFonts w:hint="eastAsia"/>
        </w:rPr>
        <w:t>556筆，面積2</w:t>
      </w:r>
      <w:r w:rsidRPr="004E1208">
        <w:t>,</w:t>
      </w:r>
      <w:r w:rsidRPr="004E1208">
        <w:rPr>
          <w:rFonts w:hint="eastAsia"/>
        </w:rPr>
        <w:t>858.53公頃（詳表</w:t>
      </w:r>
      <w:r w:rsidR="00254076" w:rsidRPr="004E1208">
        <w:rPr>
          <w:rFonts w:hint="eastAsia"/>
        </w:rPr>
        <w:t>1</w:t>
      </w:r>
      <w:r w:rsidR="00254076" w:rsidRPr="004E1208">
        <w:t>0</w:t>
      </w:r>
      <w:r w:rsidRPr="004E1208">
        <w:rPr>
          <w:rFonts w:hint="eastAsia"/>
        </w:rPr>
        <w:t>）。</w:t>
      </w:r>
    </w:p>
    <w:p w:rsidR="008C51C3" w:rsidRDefault="008C51C3">
      <w:pPr>
        <w:widowControl/>
        <w:overflowPunct/>
        <w:autoSpaceDE/>
        <w:autoSpaceDN/>
        <w:jc w:val="left"/>
        <w:rPr>
          <w:rFonts w:hAnsi="標楷體"/>
          <w:b/>
          <w:bCs/>
          <w:kern w:val="28"/>
          <w:sz w:val="28"/>
          <w:szCs w:val="28"/>
        </w:rPr>
      </w:pPr>
      <w:bookmarkStart w:id="67" w:name="_Toc139547173"/>
      <w:r>
        <w:rPr>
          <w:rFonts w:hAnsi="標楷體"/>
          <w:b/>
        </w:rPr>
        <w:br w:type="page"/>
      </w:r>
    </w:p>
    <w:p w:rsidR="00813889" w:rsidRPr="004E1208" w:rsidRDefault="00813889" w:rsidP="00BC72EB">
      <w:pPr>
        <w:pStyle w:val="a4"/>
        <w:ind w:rightChars="141" w:right="480" w:firstLine="1363"/>
        <w:jc w:val="center"/>
        <w:rPr>
          <w:rFonts w:hAnsi="標楷體"/>
          <w:b/>
          <w:spacing w:val="0"/>
        </w:rPr>
      </w:pPr>
      <w:proofErr w:type="gramStart"/>
      <w:r w:rsidRPr="004E1208">
        <w:rPr>
          <w:rFonts w:hAnsi="標楷體" w:hint="eastAsia"/>
          <w:b/>
          <w:spacing w:val="0"/>
        </w:rPr>
        <w:lastRenderedPageBreak/>
        <w:t>農水署無償</w:t>
      </w:r>
      <w:proofErr w:type="gramEnd"/>
      <w:r w:rsidRPr="004E1208">
        <w:rPr>
          <w:rFonts w:hAnsi="標楷體" w:hint="eastAsia"/>
          <w:b/>
          <w:spacing w:val="0"/>
        </w:rPr>
        <w:t>照舊使用私有土地情形統計表</w:t>
      </w:r>
      <w:bookmarkEnd w:id="67"/>
    </w:p>
    <w:p w:rsidR="00813889" w:rsidRPr="004E1208" w:rsidRDefault="00813889" w:rsidP="00BC72EB">
      <w:pPr>
        <w:ind w:rightChars="141" w:right="480"/>
        <w:jc w:val="right"/>
        <w:rPr>
          <w:rFonts w:hAnsi="標楷體"/>
          <w:sz w:val="24"/>
          <w:szCs w:val="24"/>
        </w:rPr>
      </w:pPr>
      <w:r w:rsidRPr="004E1208">
        <w:rPr>
          <w:rFonts w:hAnsi="標楷體" w:hint="eastAsia"/>
          <w:sz w:val="24"/>
          <w:szCs w:val="24"/>
        </w:rPr>
        <w:t>單位：公頃</w:t>
      </w:r>
    </w:p>
    <w:tbl>
      <w:tblPr>
        <w:tblStyle w:val="af7"/>
        <w:tblW w:w="0" w:type="auto"/>
        <w:tblInd w:w="1809" w:type="dxa"/>
        <w:tblLook w:val="04A0" w:firstRow="1" w:lastRow="0" w:firstColumn="1" w:lastColumn="0" w:noHBand="0" w:noVBand="1"/>
      </w:tblPr>
      <w:tblGrid>
        <w:gridCol w:w="1073"/>
        <w:gridCol w:w="1843"/>
        <w:gridCol w:w="3877"/>
      </w:tblGrid>
      <w:tr w:rsidR="004E1208" w:rsidRPr="004E1208" w:rsidTr="004E1208">
        <w:trPr>
          <w:tblHeader/>
        </w:trPr>
        <w:tc>
          <w:tcPr>
            <w:tcW w:w="1073" w:type="dxa"/>
            <w:shd w:val="clear" w:color="auto" w:fill="FDE9D9" w:themeFill="accent6" w:themeFillTint="33"/>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區別</w:t>
            </w:r>
          </w:p>
        </w:tc>
        <w:tc>
          <w:tcPr>
            <w:tcW w:w="1843" w:type="dxa"/>
            <w:shd w:val="clear" w:color="auto" w:fill="FDE9D9" w:themeFill="accent6" w:themeFillTint="33"/>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管理處</w:t>
            </w:r>
          </w:p>
        </w:tc>
        <w:tc>
          <w:tcPr>
            <w:tcW w:w="3877" w:type="dxa"/>
            <w:shd w:val="clear" w:color="auto" w:fill="FDE9D9" w:themeFill="accent6" w:themeFillTint="33"/>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無償照舊使用私有土地面積</w:t>
            </w:r>
          </w:p>
        </w:tc>
      </w:tr>
      <w:tr w:rsidR="00813889" w:rsidRPr="004E1208" w:rsidTr="00BC72EB">
        <w:tc>
          <w:tcPr>
            <w:tcW w:w="1073" w:type="dxa"/>
            <w:vMerge w:val="restart"/>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北區</w:t>
            </w:r>
          </w:p>
        </w:tc>
        <w:tc>
          <w:tcPr>
            <w:tcW w:w="1843" w:type="dxa"/>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瑠公</w:t>
            </w:r>
          </w:p>
        </w:tc>
        <w:tc>
          <w:tcPr>
            <w:tcW w:w="3877" w:type="dxa"/>
            <w:vAlign w:val="center"/>
          </w:tcPr>
          <w:p w:rsidR="00813889" w:rsidRPr="004E1208" w:rsidRDefault="00813889" w:rsidP="00C64192">
            <w:pPr>
              <w:pStyle w:val="5"/>
              <w:numPr>
                <w:ilvl w:val="0"/>
                <w:numId w:val="0"/>
              </w:numPr>
              <w:jc w:val="right"/>
              <w:rPr>
                <w:rFonts w:hAnsi="標楷體"/>
                <w:sz w:val="28"/>
                <w:szCs w:val="28"/>
              </w:rPr>
            </w:pPr>
            <w:r w:rsidRPr="004E1208">
              <w:rPr>
                <w:rFonts w:hAnsi="標楷體" w:hint="eastAsia"/>
                <w:sz w:val="28"/>
                <w:szCs w:val="28"/>
              </w:rPr>
              <w:t>0</w:t>
            </w:r>
            <w:r w:rsidRPr="004E1208">
              <w:rPr>
                <w:rFonts w:hAnsi="標楷體"/>
                <w:sz w:val="28"/>
                <w:szCs w:val="28"/>
              </w:rPr>
              <w:t>.84</w:t>
            </w:r>
          </w:p>
        </w:tc>
      </w:tr>
      <w:tr w:rsidR="00813889" w:rsidRPr="004E1208" w:rsidTr="00BC72EB">
        <w:tc>
          <w:tcPr>
            <w:tcW w:w="1073" w:type="dxa"/>
            <w:vMerge/>
            <w:vAlign w:val="center"/>
          </w:tcPr>
          <w:p w:rsidR="00813889" w:rsidRPr="004E1208" w:rsidRDefault="00813889" w:rsidP="00C64192">
            <w:pPr>
              <w:pStyle w:val="5"/>
              <w:numPr>
                <w:ilvl w:val="0"/>
                <w:numId w:val="0"/>
              </w:numPr>
              <w:jc w:val="center"/>
              <w:rPr>
                <w:rFonts w:hAnsi="標楷體"/>
                <w:sz w:val="28"/>
                <w:szCs w:val="28"/>
              </w:rPr>
            </w:pPr>
          </w:p>
        </w:tc>
        <w:tc>
          <w:tcPr>
            <w:tcW w:w="1843" w:type="dxa"/>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北基</w:t>
            </w:r>
          </w:p>
        </w:tc>
        <w:tc>
          <w:tcPr>
            <w:tcW w:w="3877" w:type="dxa"/>
            <w:vAlign w:val="center"/>
          </w:tcPr>
          <w:p w:rsidR="00813889" w:rsidRPr="004E1208" w:rsidRDefault="00813889" w:rsidP="00C64192">
            <w:pPr>
              <w:pStyle w:val="5"/>
              <w:numPr>
                <w:ilvl w:val="0"/>
                <w:numId w:val="0"/>
              </w:numPr>
              <w:jc w:val="right"/>
              <w:rPr>
                <w:rFonts w:hAnsi="標楷體"/>
                <w:sz w:val="28"/>
                <w:szCs w:val="28"/>
              </w:rPr>
            </w:pPr>
            <w:r w:rsidRPr="004E1208">
              <w:rPr>
                <w:rFonts w:hAnsi="標楷體" w:hint="eastAsia"/>
                <w:sz w:val="28"/>
                <w:szCs w:val="28"/>
              </w:rPr>
              <w:t>2</w:t>
            </w:r>
            <w:r w:rsidRPr="004E1208">
              <w:rPr>
                <w:rFonts w:hAnsi="標楷體"/>
                <w:sz w:val="28"/>
                <w:szCs w:val="28"/>
              </w:rPr>
              <w:t>.77</w:t>
            </w:r>
          </w:p>
        </w:tc>
      </w:tr>
      <w:tr w:rsidR="00813889" w:rsidRPr="004E1208" w:rsidTr="00BC72EB">
        <w:tc>
          <w:tcPr>
            <w:tcW w:w="1073" w:type="dxa"/>
            <w:vMerge/>
            <w:vAlign w:val="center"/>
          </w:tcPr>
          <w:p w:rsidR="00813889" w:rsidRPr="004E1208" w:rsidRDefault="00813889" w:rsidP="00C64192">
            <w:pPr>
              <w:pStyle w:val="5"/>
              <w:numPr>
                <w:ilvl w:val="0"/>
                <w:numId w:val="0"/>
              </w:numPr>
              <w:jc w:val="center"/>
              <w:rPr>
                <w:rFonts w:hAnsi="標楷體"/>
                <w:sz w:val="28"/>
                <w:szCs w:val="28"/>
              </w:rPr>
            </w:pPr>
          </w:p>
        </w:tc>
        <w:tc>
          <w:tcPr>
            <w:tcW w:w="1843" w:type="dxa"/>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七星</w:t>
            </w:r>
          </w:p>
        </w:tc>
        <w:tc>
          <w:tcPr>
            <w:tcW w:w="3877" w:type="dxa"/>
            <w:vAlign w:val="center"/>
          </w:tcPr>
          <w:p w:rsidR="00813889" w:rsidRPr="004E1208" w:rsidRDefault="00813889" w:rsidP="00C64192">
            <w:pPr>
              <w:pStyle w:val="5"/>
              <w:numPr>
                <w:ilvl w:val="0"/>
                <w:numId w:val="0"/>
              </w:numPr>
              <w:jc w:val="right"/>
              <w:rPr>
                <w:rFonts w:hAnsi="標楷體"/>
                <w:sz w:val="28"/>
                <w:szCs w:val="28"/>
              </w:rPr>
            </w:pPr>
            <w:r w:rsidRPr="004E1208">
              <w:rPr>
                <w:rFonts w:hAnsi="標楷體" w:hint="eastAsia"/>
                <w:sz w:val="28"/>
                <w:szCs w:val="28"/>
              </w:rPr>
              <w:t>0</w:t>
            </w:r>
            <w:r w:rsidRPr="004E1208">
              <w:rPr>
                <w:rFonts w:hAnsi="標楷體"/>
                <w:sz w:val="28"/>
                <w:szCs w:val="28"/>
              </w:rPr>
              <w:t>.22</w:t>
            </w:r>
          </w:p>
        </w:tc>
      </w:tr>
      <w:tr w:rsidR="00813889" w:rsidRPr="004E1208" w:rsidTr="00BC72EB">
        <w:tc>
          <w:tcPr>
            <w:tcW w:w="1073" w:type="dxa"/>
            <w:vMerge/>
            <w:vAlign w:val="center"/>
          </w:tcPr>
          <w:p w:rsidR="00813889" w:rsidRPr="004E1208" w:rsidRDefault="00813889" w:rsidP="00C64192">
            <w:pPr>
              <w:pStyle w:val="5"/>
              <w:numPr>
                <w:ilvl w:val="0"/>
                <w:numId w:val="0"/>
              </w:numPr>
              <w:jc w:val="center"/>
              <w:rPr>
                <w:rFonts w:hAnsi="標楷體"/>
                <w:sz w:val="28"/>
                <w:szCs w:val="28"/>
              </w:rPr>
            </w:pPr>
          </w:p>
        </w:tc>
        <w:tc>
          <w:tcPr>
            <w:tcW w:w="1843" w:type="dxa"/>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桃園</w:t>
            </w:r>
          </w:p>
        </w:tc>
        <w:tc>
          <w:tcPr>
            <w:tcW w:w="3877" w:type="dxa"/>
            <w:vAlign w:val="center"/>
          </w:tcPr>
          <w:p w:rsidR="00813889" w:rsidRPr="004E1208" w:rsidRDefault="00813889" w:rsidP="00C64192">
            <w:pPr>
              <w:pStyle w:val="5"/>
              <w:numPr>
                <w:ilvl w:val="0"/>
                <w:numId w:val="0"/>
              </w:numPr>
              <w:jc w:val="right"/>
              <w:rPr>
                <w:rFonts w:hAnsi="標楷體"/>
                <w:sz w:val="28"/>
                <w:szCs w:val="28"/>
              </w:rPr>
            </w:pPr>
            <w:r w:rsidRPr="004E1208">
              <w:rPr>
                <w:rFonts w:hAnsi="標楷體" w:hint="eastAsia"/>
                <w:sz w:val="28"/>
                <w:szCs w:val="28"/>
              </w:rPr>
              <w:t>1</w:t>
            </w:r>
            <w:r w:rsidRPr="004E1208">
              <w:rPr>
                <w:rFonts w:hAnsi="標楷體"/>
                <w:sz w:val="28"/>
                <w:szCs w:val="28"/>
              </w:rPr>
              <w:t>92.09</w:t>
            </w:r>
          </w:p>
        </w:tc>
      </w:tr>
      <w:tr w:rsidR="00813889" w:rsidRPr="004E1208" w:rsidTr="00BC72EB">
        <w:tc>
          <w:tcPr>
            <w:tcW w:w="1073" w:type="dxa"/>
            <w:vMerge/>
            <w:vAlign w:val="center"/>
          </w:tcPr>
          <w:p w:rsidR="00813889" w:rsidRPr="004E1208" w:rsidRDefault="00813889" w:rsidP="00C64192">
            <w:pPr>
              <w:pStyle w:val="5"/>
              <w:numPr>
                <w:ilvl w:val="0"/>
                <w:numId w:val="0"/>
              </w:numPr>
              <w:jc w:val="center"/>
              <w:rPr>
                <w:rFonts w:hAnsi="標楷體"/>
                <w:sz w:val="28"/>
                <w:szCs w:val="28"/>
              </w:rPr>
            </w:pPr>
          </w:p>
        </w:tc>
        <w:tc>
          <w:tcPr>
            <w:tcW w:w="1843" w:type="dxa"/>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石門</w:t>
            </w:r>
          </w:p>
        </w:tc>
        <w:tc>
          <w:tcPr>
            <w:tcW w:w="3877" w:type="dxa"/>
            <w:vAlign w:val="center"/>
          </w:tcPr>
          <w:p w:rsidR="00813889" w:rsidRPr="004E1208" w:rsidRDefault="00813889" w:rsidP="00C64192">
            <w:pPr>
              <w:pStyle w:val="5"/>
              <w:numPr>
                <w:ilvl w:val="0"/>
                <w:numId w:val="0"/>
              </w:numPr>
              <w:jc w:val="right"/>
              <w:rPr>
                <w:rFonts w:hAnsi="標楷體"/>
                <w:sz w:val="28"/>
                <w:szCs w:val="28"/>
              </w:rPr>
            </w:pPr>
            <w:r w:rsidRPr="004E1208">
              <w:rPr>
                <w:rFonts w:hAnsi="標楷體" w:hint="eastAsia"/>
                <w:sz w:val="28"/>
                <w:szCs w:val="28"/>
              </w:rPr>
              <w:t>5</w:t>
            </w:r>
            <w:r w:rsidRPr="004E1208">
              <w:rPr>
                <w:rFonts w:hAnsi="標楷體"/>
                <w:sz w:val="28"/>
                <w:szCs w:val="28"/>
              </w:rPr>
              <w:t>54.71</w:t>
            </w:r>
          </w:p>
        </w:tc>
      </w:tr>
      <w:tr w:rsidR="00813889" w:rsidRPr="004E1208" w:rsidTr="00BC72EB">
        <w:tc>
          <w:tcPr>
            <w:tcW w:w="1073" w:type="dxa"/>
            <w:vMerge/>
            <w:vAlign w:val="center"/>
          </w:tcPr>
          <w:p w:rsidR="00813889" w:rsidRPr="004E1208" w:rsidRDefault="00813889" w:rsidP="00C64192">
            <w:pPr>
              <w:pStyle w:val="5"/>
              <w:numPr>
                <w:ilvl w:val="0"/>
                <w:numId w:val="0"/>
              </w:numPr>
              <w:jc w:val="center"/>
              <w:rPr>
                <w:rFonts w:hAnsi="標楷體"/>
                <w:sz w:val="28"/>
                <w:szCs w:val="28"/>
              </w:rPr>
            </w:pPr>
          </w:p>
        </w:tc>
        <w:tc>
          <w:tcPr>
            <w:tcW w:w="1843" w:type="dxa"/>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新竹</w:t>
            </w:r>
          </w:p>
        </w:tc>
        <w:tc>
          <w:tcPr>
            <w:tcW w:w="3877" w:type="dxa"/>
            <w:vAlign w:val="center"/>
          </w:tcPr>
          <w:p w:rsidR="00813889" w:rsidRPr="004E1208" w:rsidRDefault="00813889" w:rsidP="00C64192">
            <w:pPr>
              <w:pStyle w:val="5"/>
              <w:numPr>
                <w:ilvl w:val="0"/>
                <w:numId w:val="0"/>
              </w:numPr>
              <w:jc w:val="right"/>
              <w:rPr>
                <w:rFonts w:hAnsi="標楷體"/>
                <w:sz w:val="28"/>
                <w:szCs w:val="28"/>
              </w:rPr>
            </w:pPr>
            <w:r w:rsidRPr="004E1208">
              <w:rPr>
                <w:rFonts w:hAnsi="標楷體" w:hint="eastAsia"/>
                <w:sz w:val="28"/>
                <w:szCs w:val="28"/>
              </w:rPr>
              <w:t>0</w:t>
            </w:r>
            <w:r w:rsidRPr="004E1208">
              <w:rPr>
                <w:rFonts w:hAnsi="標楷體"/>
                <w:sz w:val="28"/>
                <w:szCs w:val="28"/>
              </w:rPr>
              <w:t>.05</w:t>
            </w:r>
          </w:p>
        </w:tc>
      </w:tr>
      <w:tr w:rsidR="00813889" w:rsidRPr="004E1208" w:rsidTr="00BC72EB">
        <w:tc>
          <w:tcPr>
            <w:tcW w:w="1073" w:type="dxa"/>
            <w:vMerge/>
            <w:vAlign w:val="center"/>
          </w:tcPr>
          <w:p w:rsidR="00813889" w:rsidRPr="004E1208" w:rsidRDefault="00813889" w:rsidP="00C64192">
            <w:pPr>
              <w:pStyle w:val="5"/>
              <w:numPr>
                <w:ilvl w:val="0"/>
                <w:numId w:val="0"/>
              </w:numPr>
              <w:jc w:val="center"/>
              <w:rPr>
                <w:rFonts w:hAnsi="標楷體"/>
                <w:sz w:val="28"/>
                <w:szCs w:val="28"/>
              </w:rPr>
            </w:pPr>
          </w:p>
        </w:tc>
        <w:tc>
          <w:tcPr>
            <w:tcW w:w="1843" w:type="dxa"/>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苗栗</w:t>
            </w:r>
          </w:p>
        </w:tc>
        <w:tc>
          <w:tcPr>
            <w:tcW w:w="3877" w:type="dxa"/>
            <w:vAlign w:val="center"/>
          </w:tcPr>
          <w:p w:rsidR="00813889" w:rsidRPr="004E1208" w:rsidRDefault="00813889" w:rsidP="00C64192">
            <w:pPr>
              <w:pStyle w:val="5"/>
              <w:numPr>
                <w:ilvl w:val="0"/>
                <w:numId w:val="0"/>
              </w:numPr>
              <w:jc w:val="right"/>
              <w:rPr>
                <w:rFonts w:hAnsi="標楷體"/>
                <w:sz w:val="28"/>
                <w:szCs w:val="28"/>
              </w:rPr>
            </w:pPr>
            <w:r w:rsidRPr="004E1208">
              <w:rPr>
                <w:rFonts w:hAnsi="標楷體" w:hint="eastAsia"/>
                <w:sz w:val="28"/>
                <w:szCs w:val="28"/>
              </w:rPr>
              <w:t>3</w:t>
            </w:r>
            <w:r w:rsidRPr="004E1208">
              <w:rPr>
                <w:rFonts w:hAnsi="標楷體"/>
                <w:sz w:val="28"/>
                <w:szCs w:val="28"/>
              </w:rPr>
              <w:t>5.98</w:t>
            </w:r>
          </w:p>
        </w:tc>
      </w:tr>
      <w:tr w:rsidR="00813889" w:rsidRPr="004E1208" w:rsidTr="00BC72EB">
        <w:tc>
          <w:tcPr>
            <w:tcW w:w="1073" w:type="dxa"/>
            <w:vMerge w:val="restart"/>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中區</w:t>
            </w:r>
          </w:p>
        </w:tc>
        <w:tc>
          <w:tcPr>
            <w:tcW w:w="1843" w:type="dxa"/>
            <w:vAlign w:val="center"/>
          </w:tcPr>
          <w:p w:rsidR="00813889" w:rsidRPr="004E1208" w:rsidRDefault="00813889" w:rsidP="00C64192">
            <w:pPr>
              <w:pStyle w:val="5"/>
              <w:numPr>
                <w:ilvl w:val="0"/>
                <w:numId w:val="0"/>
              </w:numPr>
              <w:jc w:val="center"/>
              <w:rPr>
                <w:rFonts w:hAnsi="標楷體"/>
                <w:sz w:val="28"/>
                <w:szCs w:val="28"/>
              </w:rPr>
            </w:pPr>
            <w:proofErr w:type="gramStart"/>
            <w:r w:rsidRPr="004E1208">
              <w:rPr>
                <w:rFonts w:hAnsi="標楷體" w:hint="eastAsia"/>
                <w:sz w:val="28"/>
                <w:szCs w:val="28"/>
              </w:rPr>
              <w:t>臺</w:t>
            </w:r>
            <w:proofErr w:type="gramEnd"/>
            <w:r w:rsidRPr="004E1208">
              <w:rPr>
                <w:rFonts w:hAnsi="標楷體" w:hint="eastAsia"/>
                <w:sz w:val="28"/>
                <w:szCs w:val="28"/>
              </w:rPr>
              <w:t>中</w:t>
            </w:r>
          </w:p>
        </w:tc>
        <w:tc>
          <w:tcPr>
            <w:tcW w:w="3877" w:type="dxa"/>
            <w:vAlign w:val="center"/>
          </w:tcPr>
          <w:p w:rsidR="00813889" w:rsidRPr="004E1208" w:rsidRDefault="00813889" w:rsidP="00C64192">
            <w:pPr>
              <w:pStyle w:val="5"/>
              <w:numPr>
                <w:ilvl w:val="0"/>
                <w:numId w:val="0"/>
              </w:numPr>
              <w:jc w:val="right"/>
              <w:rPr>
                <w:rFonts w:hAnsi="標楷體"/>
                <w:sz w:val="28"/>
                <w:szCs w:val="28"/>
              </w:rPr>
            </w:pPr>
            <w:r w:rsidRPr="004E1208">
              <w:rPr>
                <w:rFonts w:hAnsi="標楷體" w:hint="eastAsia"/>
                <w:sz w:val="28"/>
                <w:szCs w:val="28"/>
              </w:rPr>
              <w:t>6</w:t>
            </w:r>
            <w:r w:rsidRPr="004E1208">
              <w:rPr>
                <w:rFonts w:hAnsi="標楷體"/>
                <w:sz w:val="28"/>
                <w:szCs w:val="28"/>
              </w:rPr>
              <w:t>.47</w:t>
            </w:r>
          </w:p>
        </w:tc>
      </w:tr>
      <w:tr w:rsidR="00813889" w:rsidRPr="004E1208" w:rsidTr="00BC72EB">
        <w:tc>
          <w:tcPr>
            <w:tcW w:w="1073" w:type="dxa"/>
            <w:vMerge/>
            <w:vAlign w:val="center"/>
          </w:tcPr>
          <w:p w:rsidR="00813889" w:rsidRPr="004E1208" w:rsidRDefault="00813889" w:rsidP="00C64192">
            <w:pPr>
              <w:pStyle w:val="5"/>
              <w:numPr>
                <w:ilvl w:val="0"/>
                <w:numId w:val="0"/>
              </w:numPr>
              <w:jc w:val="center"/>
              <w:rPr>
                <w:rFonts w:hAnsi="標楷體"/>
                <w:sz w:val="28"/>
                <w:szCs w:val="28"/>
              </w:rPr>
            </w:pPr>
          </w:p>
        </w:tc>
        <w:tc>
          <w:tcPr>
            <w:tcW w:w="1843" w:type="dxa"/>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雲林</w:t>
            </w:r>
          </w:p>
        </w:tc>
        <w:tc>
          <w:tcPr>
            <w:tcW w:w="3877" w:type="dxa"/>
            <w:vAlign w:val="center"/>
          </w:tcPr>
          <w:p w:rsidR="00813889" w:rsidRPr="004E1208" w:rsidRDefault="00813889" w:rsidP="00C64192">
            <w:pPr>
              <w:pStyle w:val="5"/>
              <w:numPr>
                <w:ilvl w:val="0"/>
                <w:numId w:val="0"/>
              </w:numPr>
              <w:jc w:val="right"/>
              <w:rPr>
                <w:rFonts w:hAnsi="標楷體"/>
                <w:sz w:val="28"/>
                <w:szCs w:val="28"/>
              </w:rPr>
            </w:pPr>
            <w:r w:rsidRPr="004E1208">
              <w:rPr>
                <w:rFonts w:hAnsi="標楷體" w:hint="eastAsia"/>
                <w:sz w:val="28"/>
                <w:szCs w:val="28"/>
              </w:rPr>
              <w:t>3</w:t>
            </w:r>
            <w:r w:rsidRPr="004E1208">
              <w:rPr>
                <w:rFonts w:hAnsi="標楷體"/>
                <w:sz w:val="28"/>
                <w:szCs w:val="28"/>
              </w:rPr>
              <w:t>60.05</w:t>
            </w:r>
          </w:p>
        </w:tc>
      </w:tr>
      <w:tr w:rsidR="00813889" w:rsidRPr="004E1208" w:rsidTr="00BC72EB">
        <w:tc>
          <w:tcPr>
            <w:tcW w:w="1073" w:type="dxa"/>
            <w:vMerge/>
            <w:vAlign w:val="center"/>
          </w:tcPr>
          <w:p w:rsidR="00813889" w:rsidRPr="004E1208" w:rsidRDefault="00813889" w:rsidP="00C64192">
            <w:pPr>
              <w:pStyle w:val="5"/>
              <w:numPr>
                <w:ilvl w:val="0"/>
                <w:numId w:val="0"/>
              </w:numPr>
              <w:jc w:val="center"/>
              <w:rPr>
                <w:rFonts w:hAnsi="標楷體"/>
                <w:sz w:val="28"/>
                <w:szCs w:val="28"/>
              </w:rPr>
            </w:pPr>
          </w:p>
        </w:tc>
        <w:tc>
          <w:tcPr>
            <w:tcW w:w="1843" w:type="dxa"/>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彰化</w:t>
            </w:r>
          </w:p>
        </w:tc>
        <w:tc>
          <w:tcPr>
            <w:tcW w:w="3877" w:type="dxa"/>
            <w:vAlign w:val="center"/>
          </w:tcPr>
          <w:p w:rsidR="00813889" w:rsidRPr="004E1208" w:rsidRDefault="00813889" w:rsidP="00C64192">
            <w:pPr>
              <w:pStyle w:val="5"/>
              <w:numPr>
                <w:ilvl w:val="0"/>
                <w:numId w:val="0"/>
              </w:numPr>
              <w:jc w:val="right"/>
              <w:rPr>
                <w:rFonts w:hAnsi="標楷體"/>
                <w:sz w:val="28"/>
                <w:szCs w:val="28"/>
              </w:rPr>
            </w:pPr>
            <w:r w:rsidRPr="004E1208">
              <w:rPr>
                <w:rFonts w:hAnsi="標楷體" w:hint="eastAsia"/>
                <w:sz w:val="28"/>
                <w:szCs w:val="28"/>
              </w:rPr>
              <w:t>1</w:t>
            </w:r>
            <w:r w:rsidRPr="004E1208">
              <w:rPr>
                <w:rFonts w:hAnsi="標楷體"/>
                <w:sz w:val="28"/>
                <w:szCs w:val="28"/>
              </w:rPr>
              <w:t>27.03</w:t>
            </w:r>
          </w:p>
        </w:tc>
      </w:tr>
      <w:tr w:rsidR="00813889" w:rsidRPr="004E1208" w:rsidTr="00BC72EB">
        <w:tc>
          <w:tcPr>
            <w:tcW w:w="1073" w:type="dxa"/>
            <w:vMerge/>
            <w:vAlign w:val="center"/>
          </w:tcPr>
          <w:p w:rsidR="00813889" w:rsidRPr="004E1208" w:rsidRDefault="00813889" w:rsidP="00C64192">
            <w:pPr>
              <w:pStyle w:val="5"/>
              <w:numPr>
                <w:ilvl w:val="0"/>
                <w:numId w:val="0"/>
              </w:numPr>
              <w:jc w:val="center"/>
              <w:rPr>
                <w:rFonts w:hAnsi="標楷體"/>
                <w:sz w:val="28"/>
                <w:szCs w:val="28"/>
              </w:rPr>
            </w:pPr>
          </w:p>
        </w:tc>
        <w:tc>
          <w:tcPr>
            <w:tcW w:w="1843" w:type="dxa"/>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南投</w:t>
            </w:r>
          </w:p>
        </w:tc>
        <w:tc>
          <w:tcPr>
            <w:tcW w:w="3877" w:type="dxa"/>
            <w:vAlign w:val="center"/>
          </w:tcPr>
          <w:p w:rsidR="00813889" w:rsidRPr="004E1208" w:rsidRDefault="00813889" w:rsidP="00C64192">
            <w:pPr>
              <w:pStyle w:val="5"/>
              <w:numPr>
                <w:ilvl w:val="0"/>
                <w:numId w:val="0"/>
              </w:numPr>
              <w:jc w:val="right"/>
              <w:rPr>
                <w:rFonts w:hAnsi="標楷體"/>
                <w:sz w:val="28"/>
                <w:szCs w:val="28"/>
              </w:rPr>
            </w:pPr>
            <w:r w:rsidRPr="004E1208">
              <w:rPr>
                <w:rFonts w:hAnsi="標楷體" w:hint="eastAsia"/>
                <w:sz w:val="28"/>
                <w:szCs w:val="28"/>
              </w:rPr>
              <w:t>1</w:t>
            </w:r>
            <w:r w:rsidRPr="004E1208">
              <w:rPr>
                <w:rFonts w:hAnsi="標楷體"/>
                <w:sz w:val="28"/>
                <w:szCs w:val="28"/>
              </w:rPr>
              <w:t>7.35</w:t>
            </w:r>
          </w:p>
        </w:tc>
      </w:tr>
      <w:tr w:rsidR="00813889" w:rsidRPr="004E1208" w:rsidTr="00BC72EB">
        <w:tc>
          <w:tcPr>
            <w:tcW w:w="1073" w:type="dxa"/>
            <w:vMerge w:val="restart"/>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南區</w:t>
            </w:r>
          </w:p>
        </w:tc>
        <w:tc>
          <w:tcPr>
            <w:tcW w:w="1843" w:type="dxa"/>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嘉南</w:t>
            </w:r>
          </w:p>
        </w:tc>
        <w:tc>
          <w:tcPr>
            <w:tcW w:w="3877" w:type="dxa"/>
            <w:vAlign w:val="center"/>
          </w:tcPr>
          <w:p w:rsidR="00813889" w:rsidRPr="004E1208" w:rsidRDefault="00813889" w:rsidP="00C64192">
            <w:pPr>
              <w:pStyle w:val="5"/>
              <w:numPr>
                <w:ilvl w:val="0"/>
                <w:numId w:val="0"/>
              </w:numPr>
              <w:jc w:val="right"/>
              <w:rPr>
                <w:rFonts w:hAnsi="標楷體"/>
                <w:sz w:val="28"/>
                <w:szCs w:val="28"/>
              </w:rPr>
            </w:pPr>
            <w:r w:rsidRPr="004E1208">
              <w:rPr>
                <w:rFonts w:hAnsi="標楷體" w:hint="eastAsia"/>
                <w:sz w:val="28"/>
                <w:szCs w:val="28"/>
              </w:rPr>
              <w:t>9</w:t>
            </w:r>
            <w:r w:rsidRPr="004E1208">
              <w:rPr>
                <w:rFonts w:hAnsi="標楷體"/>
                <w:sz w:val="28"/>
                <w:szCs w:val="28"/>
              </w:rPr>
              <w:t>50.17</w:t>
            </w:r>
          </w:p>
        </w:tc>
      </w:tr>
      <w:tr w:rsidR="00813889" w:rsidRPr="004E1208" w:rsidTr="00BC72EB">
        <w:tc>
          <w:tcPr>
            <w:tcW w:w="1073" w:type="dxa"/>
            <w:vMerge/>
            <w:vAlign w:val="center"/>
          </w:tcPr>
          <w:p w:rsidR="00813889" w:rsidRPr="004E1208" w:rsidRDefault="00813889" w:rsidP="00C64192">
            <w:pPr>
              <w:pStyle w:val="5"/>
              <w:numPr>
                <w:ilvl w:val="0"/>
                <w:numId w:val="0"/>
              </w:numPr>
              <w:jc w:val="center"/>
              <w:rPr>
                <w:rFonts w:hAnsi="標楷體"/>
                <w:sz w:val="28"/>
                <w:szCs w:val="28"/>
              </w:rPr>
            </w:pPr>
          </w:p>
        </w:tc>
        <w:tc>
          <w:tcPr>
            <w:tcW w:w="1843" w:type="dxa"/>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高雄</w:t>
            </w:r>
          </w:p>
        </w:tc>
        <w:tc>
          <w:tcPr>
            <w:tcW w:w="3877" w:type="dxa"/>
            <w:vAlign w:val="center"/>
          </w:tcPr>
          <w:p w:rsidR="00813889" w:rsidRPr="004E1208" w:rsidRDefault="00813889" w:rsidP="00C64192">
            <w:pPr>
              <w:pStyle w:val="5"/>
              <w:numPr>
                <w:ilvl w:val="0"/>
                <w:numId w:val="0"/>
              </w:numPr>
              <w:jc w:val="right"/>
              <w:rPr>
                <w:rFonts w:hAnsi="標楷體"/>
                <w:sz w:val="28"/>
                <w:szCs w:val="28"/>
              </w:rPr>
            </w:pPr>
            <w:r w:rsidRPr="004E1208">
              <w:rPr>
                <w:rFonts w:hAnsi="標楷體" w:hint="eastAsia"/>
                <w:sz w:val="28"/>
                <w:szCs w:val="28"/>
              </w:rPr>
              <w:t>1</w:t>
            </w:r>
            <w:r w:rsidRPr="004E1208">
              <w:rPr>
                <w:rFonts w:hAnsi="標楷體"/>
                <w:sz w:val="28"/>
                <w:szCs w:val="28"/>
              </w:rPr>
              <w:t>9.00</w:t>
            </w:r>
          </w:p>
        </w:tc>
      </w:tr>
      <w:tr w:rsidR="00813889" w:rsidRPr="004E1208" w:rsidTr="00BC72EB">
        <w:tc>
          <w:tcPr>
            <w:tcW w:w="1073" w:type="dxa"/>
            <w:vMerge/>
            <w:vAlign w:val="center"/>
          </w:tcPr>
          <w:p w:rsidR="00813889" w:rsidRPr="004E1208" w:rsidRDefault="00813889" w:rsidP="00C64192">
            <w:pPr>
              <w:pStyle w:val="5"/>
              <w:numPr>
                <w:ilvl w:val="0"/>
                <w:numId w:val="0"/>
              </w:numPr>
              <w:jc w:val="center"/>
              <w:rPr>
                <w:rFonts w:hAnsi="標楷體"/>
                <w:sz w:val="28"/>
                <w:szCs w:val="28"/>
              </w:rPr>
            </w:pPr>
          </w:p>
        </w:tc>
        <w:tc>
          <w:tcPr>
            <w:tcW w:w="1843" w:type="dxa"/>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屏東</w:t>
            </w:r>
          </w:p>
        </w:tc>
        <w:tc>
          <w:tcPr>
            <w:tcW w:w="3877" w:type="dxa"/>
            <w:vAlign w:val="center"/>
          </w:tcPr>
          <w:p w:rsidR="00813889" w:rsidRPr="004E1208" w:rsidRDefault="00813889" w:rsidP="00C64192">
            <w:pPr>
              <w:pStyle w:val="5"/>
              <w:numPr>
                <w:ilvl w:val="0"/>
                <w:numId w:val="0"/>
              </w:numPr>
              <w:jc w:val="right"/>
              <w:rPr>
                <w:rFonts w:hAnsi="標楷體"/>
                <w:sz w:val="28"/>
                <w:szCs w:val="28"/>
              </w:rPr>
            </w:pPr>
            <w:r w:rsidRPr="004E1208">
              <w:rPr>
                <w:rFonts w:hAnsi="標楷體" w:hint="eastAsia"/>
                <w:sz w:val="28"/>
                <w:szCs w:val="28"/>
              </w:rPr>
              <w:t>3</w:t>
            </w:r>
            <w:r w:rsidRPr="004E1208">
              <w:rPr>
                <w:rFonts w:hAnsi="標楷體"/>
                <w:sz w:val="28"/>
                <w:szCs w:val="28"/>
              </w:rPr>
              <w:t>06.59</w:t>
            </w:r>
          </w:p>
        </w:tc>
      </w:tr>
      <w:tr w:rsidR="00813889" w:rsidRPr="004E1208" w:rsidTr="00BC72EB">
        <w:tc>
          <w:tcPr>
            <w:tcW w:w="1073" w:type="dxa"/>
            <w:vMerge w:val="restart"/>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東區</w:t>
            </w:r>
          </w:p>
        </w:tc>
        <w:tc>
          <w:tcPr>
            <w:tcW w:w="1843" w:type="dxa"/>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宜蘭</w:t>
            </w:r>
          </w:p>
        </w:tc>
        <w:tc>
          <w:tcPr>
            <w:tcW w:w="3877" w:type="dxa"/>
            <w:vAlign w:val="center"/>
          </w:tcPr>
          <w:p w:rsidR="00813889" w:rsidRPr="004E1208" w:rsidRDefault="00813889" w:rsidP="00C64192">
            <w:pPr>
              <w:pStyle w:val="5"/>
              <w:numPr>
                <w:ilvl w:val="0"/>
                <w:numId w:val="0"/>
              </w:numPr>
              <w:jc w:val="right"/>
              <w:rPr>
                <w:rFonts w:hAnsi="標楷體"/>
                <w:sz w:val="28"/>
                <w:szCs w:val="28"/>
              </w:rPr>
            </w:pPr>
            <w:r w:rsidRPr="004E1208">
              <w:rPr>
                <w:rFonts w:hAnsi="標楷體" w:hint="eastAsia"/>
                <w:sz w:val="28"/>
                <w:szCs w:val="28"/>
              </w:rPr>
              <w:t>5</w:t>
            </w:r>
            <w:r w:rsidRPr="004E1208">
              <w:rPr>
                <w:rFonts w:hAnsi="標楷體"/>
                <w:sz w:val="28"/>
                <w:szCs w:val="28"/>
              </w:rPr>
              <w:t>5.39</w:t>
            </w:r>
          </w:p>
        </w:tc>
      </w:tr>
      <w:tr w:rsidR="00813889" w:rsidRPr="004E1208" w:rsidTr="00BC72EB">
        <w:tc>
          <w:tcPr>
            <w:tcW w:w="1073" w:type="dxa"/>
            <w:vMerge/>
            <w:vAlign w:val="center"/>
          </w:tcPr>
          <w:p w:rsidR="00813889" w:rsidRPr="004E1208" w:rsidRDefault="00813889" w:rsidP="00C64192">
            <w:pPr>
              <w:pStyle w:val="5"/>
              <w:numPr>
                <w:ilvl w:val="0"/>
                <w:numId w:val="0"/>
              </w:numPr>
              <w:jc w:val="center"/>
              <w:rPr>
                <w:rFonts w:hAnsi="標楷體"/>
                <w:sz w:val="28"/>
                <w:szCs w:val="28"/>
              </w:rPr>
            </w:pPr>
          </w:p>
        </w:tc>
        <w:tc>
          <w:tcPr>
            <w:tcW w:w="1843" w:type="dxa"/>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花蓮</w:t>
            </w:r>
          </w:p>
        </w:tc>
        <w:tc>
          <w:tcPr>
            <w:tcW w:w="3877" w:type="dxa"/>
            <w:vAlign w:val="center"/>
          </w:tcPr>
          <w:p w:rsidR="00813889" w:rsidRPr="004E1208" w:rsidRDefault="00813889" w:rsidP="00C64192">
            <w:pPr>
              <w:pStyle w:val="5"/>
              <w:numPr>
                <w:ilvl w:val="0"/>
                <w:numId w:val="0"/>
              </w:numPr>
              <w:jc w:val="right"/>
              <w:rPr>
                <w:rFonts w:hAnsi="標楷體"/>
                <w:sz w:val="28"/>
                <w:szCs w:val="28"/>
              </w:rPr>
            </w:pPr>
            <w:r w:rsidRPr="004E1208">
              <w:rPr>
                <w:rFonts w:hAnsi="標楷體" w:hint="eastAsia"/>
                <w:sz w:val="28"/>
                <w:szCs w:val="28"/>
              </w:rPr>
              <w:t>1</w:t>
            </w:r>
            <w:r w:rsidRPr="004E1208">
              <w:rPr>
                <w:rFonts w:hAnsi="標楷體"/>
                <w:sz w:val="28"/>
                <w:szCs w:val="28"/>
              </w:rPr>
              <w:t>47.23</w:t>
            </w:r>
          </w:p>
        </w:tc>
      </w:tr>
      <w:tr w:rsidR="00813889" w:rsidRPr="004E1208" w:rsidTr="00BC72EB">
        <w:tc>
          <w:tcPr>
            <w:tcW w:w="1073" w:type="dxa"/>
            <w:vMerge/>
            <w:vAlign w:val="center"/>
          </w:tcPr>
          <w:p w:rsidR="00813889" w:rsidRPr="004E1208" w:rsidRDefault="00813889" w:rsidP="00C64192">
            <w:pPr>
              <w:pStyle w:val="5"/>
              <w:numPr>
                <w:ilvl w:val="0"/>
                <w:numId w:val="0"/>
              </w:numPr>
              <w:jc w:val="center"/>
              <w:rPr>
                <w:rFonts w:hAnsi="標楷體"/>
                <w:sz w:val="28"/>
                <w:szCs w:val="28"/>
              </w:rPr>
            </w:pPr>
          </w:p>
        </w:tc>
        <w:tc>
          <w:tcPr>
            <w:tcW w:w="1843" w:type="dxa"/>
            <w:vAlign w:val="center"/>
          </w:tcPr>
          <w:p w:rsidR="00813889" w:rsidRPr="004E1208" w:rsidRDefault="00813889" w:rsidP="00C64192">
            <w:pPr>
              <w:pStyle w:val="5"/>
              <w:numPr>
                <w:ilvl w:val="0"/>
                <w:numId w:val="0"/>
              </w:numPr>
              <w:jc w:val="center"/>
              <w:rPr>
                <w:rFonts w:hAnsi="標楷體"/>
                <w:sz w:val="28"/>
                <w:szCs w:val="28"/>
              </w:rPr>
            </w:pPr>
            <w:proofErr w:type="gramStart"/>
            <w:r w:rsidRPr="004E1208">
              <w:rPr>
                <w:rFonts w:hAnsi="標楷體" w:hint="eastAsia"/>
                <w:sz w:val="28"/>
                <w:szCs w:val="28"/>
              </w:rPr>
              <w:t>臺</w:t>
            </w:r>
            <w:proofErr w:type="gramEnd"/>
            <w:r w:rsidRPr="004E1208">
              <w:rPr>
                <w:rFonts w:hAnsi="標楷體" w:hint="eastAsia"/>
                <w:sz w:val="28"/>
                <w:szCs w:val="28"/>
              </w:rPr>
              <w:t>東</w:t>
            </w:r>
          </w:p>
        </w:tc>
        <w:tc>
          <w:tcPr>
            <w:tcW w:w="3877" w:type="dxa"/>
            <w:vAlign w:val="center"/>
          </w:tcPr>
          <w:p w:rsidR="00813889" w:rsidRPr="004E1208" w:rsidRDefault="00813889" w:rsidP="00C64192">
            <w:pPr>
              <w:pStyle w:val="5"/>
              <w:numPr>
                <w:ilvl w:val="0"/>
                <w:numId w:val="0"/>
              </w:numPr>
              <w:jc w:val="right"/>
              <w:rPr>
                <w:rFonts w:hAnsi="標楷體"/>
                <w:sz w:val="28"/>
                <w:szCs w:val="28"/>
              </w:rPr>
            </w:pPr>
            <w:r w:rsidRPr="004E1208">
              <w:rPr>
                <w:rFonts w:hAnsi="標楷體" w:hint="eastAsia"/>
                <w:sz w:val="28"/>
                <w:szCs w:val="28"/>
              </w:rPr>
              <w:t>8</w:t>
            </w:r>
            <w:r w:rsidRPr="004E1208">
              <w:rPr>
                <w:rFonts w:hAnsi="標楷體"/>
                <w:sz w:val="28"/>
                <w:szCs w:val="28"/>
              </w:rPr>
              <w:t>2.59</w:t>
            </w:r>
          </w:p>
        </w:tc>
      </w:tr>
      <w:tr w:rsidR="00813889" w:rsidRPr="004E1208" w:rsidTr="00BC72EB">
        <w:tc>
          <w:tcPr>
            <w:tcW w:w="2916" w:type="dxa"/>
            <w:gridSpan w:val="2"/>
            <w:shd w:val="clear" w:color="auto" w:fill="FDE9D9" w:themeFill="accent6" w:themeFillTint="33"/>
            <w:vAlign w:val="center"/>
          </w:tcPr>
          <w:p w:rsidR="00813889" w:rsidRPr="004E1208" w:rsidRDefault="00813889" w:rsidP="00C64192">
            <w:pPr>
              <w:pStyle w:val="5"/>
              <w:numPr>
                <w:ilvl w:val="0"/>
                <w:numId w:val="0"/>
              </w:numPr>
              <w:jc w:val="center"/>
              <w:rPr>
                <w:rFonts w:hAnsi="標楷體"/>
                <w:sz w:val="28"/>
                <w:szCs w:val="28"/>
              </w:rPr>
            </w:pPr>
            <w:r w:rsidRPr="004E1208">
              <w:rPr>
                <w:rFonts w:hAnsi="標楷體" w:hint="eastAsia"/>
                <w:sz w:val="28"/>
                <w:szCs w:val="28"/>
              </w:rPr>
              <w:t>合計</w:t>
            </w:r>
          </w:p>
        </w:tc>
        <w:tc>
          <w:tcPr>
            <w:tcW w:w="3877" w:type="dxa"/>
            <w:shd w:val="clear" w:color="auto" w:fill="FDE9D9" w:themeFill="accent6" w:themeFillTint="33"/>
            <w:vAlign w:val="center"/>
          </w:tcPr>
          <w:p w:rsidR="00813889" w:rsidRPr="004E1208" w:rsidRDefault="00813889" w:rsidP="00C64192">
            <w:pPr>
              <w:pStyle w:val="5"/>
              <w:numPr>
                <w:ilvl w:val="0"/>
                <w:numId w:val="0"/>
              </w:numPr>
              <w:jc w:val="right"/>
              <w:rPr>
                <w:rFonts w:hAnsi="標楷體"/>
                <w:sz w:val="28"/>
                <w:szCs w:val="28"/>
              </w:rPr>
            </w:pPr>
            <w:r w:rsidRPr="004E1208">
              <w:rPr>
                <w:rFonts w:hAnsi="標楷體" w:hint="eastAsia"/>
                <w:sz w:val="28"/>
                <w:szCs w:val="28"/>
              </w:rPr>
              <w:t>2</w:t>
            </w:r>
            <w:r w:rsidRPr="004E1208">
              <w:rPr>
                <w:rFonts w:hAnsi="標楷體"/>
                <w:sz w:val="28"/>
                <w:szCs w:val="28"/>
              </w:rPr>
              <w:t>,858.53</w:t>
            </w:r>
          </w:p>
        </w:tc>
      </w:tr>
    </w:tbl>
    <w:p w:rsidR="00646048" w:rsidRDefault="00646048" w:rsidP="00646048">
      <w:pPr>
        <w:pStyle w:val="3"/>
        <w:numPr>
          <w:ilvl w:val="0"/>
          <w:numId w:val="0"/>
        </w:numPr>
        <w:ind w:left="1701"/>
        <w:rPr>
          <w:rFonts w:hAnsi="標楷體"/>
          <w:sz w:val="24"/>
          <w:szCs w:val="24"/>
        </w:rPr>
      </w:pPr>
      <w:r>
        <w:rPr>
          <w:rFonts w:hAnsi="標楷體" w:hint="eastAsia"/>
          <w:sz w:val="24"/>
          <w:szCs w:val="24"/>
        </w:rPr>
        <w:t>資料時間：109年底。</w:t>
      </w:r>
    </w:p>
    <w:p w:rsidR="00BE3527" w:rsidRPr="004E1208" w:rsidRDefault="00813889" w:rsidP="000B3E65">
      <w:pPr>
        <w:pStyle w:val="3"/>
        <w:numPr>
          <w:ilvl w:val="0"/>
          <w:numId w:val="0"/>
        </w:numPr>
        <w:snapToGrid w:val="0"/>
        <w:spacing w:afterLines="50" w:after="228"/>
        <w:ind w:leftChars="495" w:left="2982" w:hangingChars="499" w:hanging="1298"/>
      </w:pPr>
      <w:r w:rsidRPr="004E1208">
        <w:rPr>
          <w:rFonts w:hAnsi="標楷體" w:hint="eastAsia"/>
          <w:sz w:val="24"/>
          <w:szCs w:val="24"/>
        </w:rPr>
        <w:t>資料來源：本調查研究報告</w:t>
      </w:r>
      <w:r w:rsidR="00646048" w:rsidRPr="00A140E8">
        <w:rPr>
          <w:rFonts w:hAnsi="標楷體" w:hint="eastAsia"/>
          <w:sz w:val="24"/>
          <w:szCs w:val="24"/>
        </w:rPr>
        <w:t>依審計部</w:t>
      </w:r>
      <w:proofErr w:type="gramStart"/>
      <w:r w:rsidR="00646048" w:rsidRPr="00A140E8">
        <w:rPr>
          <w:rFonts w:hAnsi="標楷體" w:hint="eastAsia"/>
          <w:sz w:val="24"/>
          <w:szCs w:val="24"/>
        </w:rPr>
        <w:t>109</w:t>
      </w:r>
      <w:proofErr w:type="gramEnd"/>
      <w:r w:rsidR="00646048" w:rsidRPr="00A140E8">
        <w:rPr>
          <w:rFonts w:hAnsi="標楷體" w:hint="eastAsia"/>
          <w:sz w:val="24"/>
          <w:szCs w:val="24"/>
        </w:rPr>
        <w:t>年度中央政府總決算審核報告</w:t>
      </w:r>
      <w:r w:rsidRPr="004E1208">
        <w:rPr>
          <w:rFonts w:hAnsi="標楷體" w:hint="eastAsia"/>
          <w:sz w:val="24"/>
          <w:szCs w:val="24"/>
        </w:rPr>
        <w:t>整理製作。</w:t>
      </w:r>
    </w:p>
    <w:p w:rsidR="0045778C" w:rsidRPr="004E1208" w:rsidRDefault="00185942" w:rsidP="00C64192">
      <w:pPr>
        <w:pStyle w:val="3"/>
      </w:pPr>
      <w:r w:rsidRPr="004E1208">
        <w:rPr>
          <w:rFonts w:hint="eastAsia"/>
        </w:rPr>
        <w:t>然而憲法法庭業於111年8月12日作出</w:t>
      </w:r>
      <w:proofErr w:type="gramStart"/>
      <w:r w:rsidRPr="004E1208">
        <w:rPr>
          <w:rFonts w:hint="eastAsia"/>
        </w:rPr>
        <w:t>111年</w:t>
      </w:r>
      <w:r w:rsidR="005C0CC1" w:rsidRPr="004E1208">
        <w:rPr>
          <w:rFonts w:hint="eastAsia"/>
        </w:rPr>
        <w:t>憲判字</w:t>
      </w:r>
      <w:proofErr w:type="gramEnd"/>
      <w:r w:rsidR="005C0CC1" w:rsidRPr="004E1208">
        <w:rPr>
          <w:rFonts w:hint="eastAsia"/>
        </w:rPr>
        <w:t>第15號判決，認為59年2月9日修正公布之農田水利會組織通則第1l條第2項前段規定：「原提供為水利使用之土地，應照舊使用」</w:t>
      </w:r>
      <w:proofErr w:type="gramStart"/>
      <w:r w:rsidR="008C51C3">
        <w:rPr>
          <w:rFonts w:hint="eastAsia"/>
        </w:rPr>
        <w:t>（</w:t>
      </w:r>
      <w:proofErr w:type="gramEnd"/>
      <w:r w:rsidR="005C0CC1" w:rsidRPr="004E1208">
        <w:rPr>
          <w:rFonts w:hint="eastAsia"/>
        </w:rPr>
        <w:t>l09年7月22日制定公布之農田水利法第</w:t>
      </w:r>
      <w:proofErr w:type="spellStart"/>
      <w:r w:rsidR="005C0CC1" w:rsidRPr="004E1208">
        <w:rPr>
          <w:rFonts w:hint="eastAsia"/>
        </w:rPr>
        <w:t>ll</w:t>
      </w:r>
      <w:proofErr w:type="spellEnd"/>
      <w:r w:rsidR="005C0CC1" w:rsidRPr="004E1208">
        <w:rPr>
          <w:rFonts w:hint="eastAsia"/>
        </w:rPr>
        <w:t>條第1項規定：「本法施行前提供農田水利會水利使用之土地，應照舊使用。」意旨相同</w:t>
      </w:r>
      <w:proofErr w:type="gramStart"/>
      <w:r w:rsidR="008C51C3">
        <w:rPr>
          <w:rFonts w:hint="eastAsia"/>
        </w:rPr>
        <w:t>）</w:t>
      </w:r>
      <w:proofErr w:type="gramEnd"/>
      <w:r w:rsidR="005C0CC1" w:rsidRPr="004E1208">
        <w:rPr>
          <w:rFonts w:hint="eastAsia"/>
        </w:rPr>
        <w:t>。其應照舊使用之土地，如屬人民所有，而未以租用、價購或其他方式取得權源，因其已形成個人之特別犧牲，即應依法徵收，給予相當之補償，</w:t>
      </w:r>
      <w:r w:rsidR="005C0CC1" w:rsidRPr="004E1208">
        <w:rPr>
          <w:rFonts w:hint="eastAsia"/>
        </w:rPr>
        <w:lastRenderedPageBreak/>
        <w:t>並於3年內擬定徵收補償相關計畫，籌措財源，</w:t>
      </w:r>
      <w:proofErr w:type="gramStart"/>
      <w:r w:rsidR="005C0CC1" w:rsidRPr="004E1208">
        <w:rPr>
          <w:rFonts w:hint="eastAsia"/>
        </w:rPr>
        <w:t>俾</w:t>
      </w:r>
      <w:proofErr w:type="gramEnd"/>
      <w:r w:rsidR="005C0CC1" w:rsidRPr="004E1208">
        <w:rPr>
          <w:rFonts w:hint="eastAsia"/>
        </w:rPr>
        <w:t>於合理期限內逐步完成徵收補償，始符憲法第15條保障人民財產權之意旨。該判決進一步指出，</w:t>
      </w:r>
      <w:r w:rsidR="00037AD0" w:rsidRPr="004E1208">
        <w:rPr>
          <w:rFonts w:hint="eastAsia"/>
        </w:rPr>
        <w:t>公物係為達成行政目的、實現公共利益而設，於公物關係消滅前，自應維持其運作。</w:t>
      </w:r>
      <w:r w:rsidR="005C0CC1" w:rsidRPr="004E1208">
        <w:rPr>
          <w:rFonts w:hint="eastAsia"/>
        </w:rPr>
        <w:t>農田水利用地既為公物，係推行農田水利事業所不可</w:t>
      </w:r>
      <w:proofErr w:type="gramStart"/>
      <w:r w:rsidR="005C0CC1" w:rsidRPr="004E1208">
        <w:rPr>
          <w:rFonts w:hint="eastAsia"/>
        </w:rPr>
        <w:t>或缺者</w:t>
      </w:r>
      <w:proofErr w:type="gramEnd"/>
      <w:r w:rsidR="005C0CC1" w:rsidRPr="004E1208">
        <w:rPr>
          <w:rFonts w:hint="eastAsia"/>
        </w:rPr>
        <w:t>，而與國家經濟及民生息息相關，</w:t>
      </w:r>
      <w:proofErr w:type="gramStart"/>
      <w:r w:rsidR="005C0CC1" w:rsidRPr="004E1208">
        <w:rPr>
          <w:rFonts w:hint="eastAsia"/>
        </w:rPr>
        <w:t>攸</w:t>
      </w:r>
      <w:proofErr w:type="gramEnd"/>
      <w:r w:rsidR="005C0CC1" w:rsidRPr="004E1208">
        <w:rPr>
          <w:rFonts w:hint="eastAsia"/>
        </w:rPr>
        <w:t>關特別重要公益，且歷經久遠年代未曾中斷作為農田水利之用，除非情事變更，已無繼續作為農田水利之必要而廢止其公物關係，否則即應維持其公物之使用，以確保特別重要公益之實現；照舊使用土地之權源取得緩慢、成效有限，且照舊使用土地之用地，專戶餘額不足，顯然無法因應照舊使用土地之承租或用地取得所需。有鑑於此，主管機關應訂定期限，積極籌措財源，或思考以全部徵收所有權以外之其他方式取得權源之可行性，</w:t>
      </w:r>
      <w:r w:rsidR="00A76822">
        <w:rPr>
          <w:rFonts w:hint="eastAsia"/>
        </w:rPr>
        <w:t>儘</w:t>
      </w:r>
      <w:r w:rsidR="005C0CC1" w:rsidRPr="004E1208">
        <w:rPr>
          <w:rFonts w:hint="eastAsia"/>
        </w:rPr>
        <w:t>速完成照舊使用土地之權源取得，</w:t>
      </w:r>
      <w:proofErr w:type="gramStart"/>
      <w:r w:rsidR="005C0CC1" w:rsidRPr="004E1208">
        <w:rPr>
          <w:rFonts w:hint="eastAsia"/>
        </w:rPr>
        <w:t>俾</w:t>
      </w:r>
      <w:proofErr w:type="gramEnd"/>
      <w:r w:rsidR="005C0CC1" w:rsidRPr="004E1208">
        <w:rPr>
          <w:rFonts w:hint="eastAsia"/>
        </w:rPr>
        <w:t>符合憲法第15條保障人民財產權之意旨</w:t>
      </w:r>
      <w:r w:rsidR="00037AD0" w:rsidRPr="004E1208">
        <w:rPr>
          <w:rFonts w:hint="eastAsia"/>
        </w:rPr>
        <w:t>；</w:t>
      </w:r>
      <w:r w:rsidR="005C0CC1" w:rsidRPr="004E1208">
        <w:rPr>
          <w:rFonts w:hint="eastAsia"/>
        </w:rPr>
        <w:t>又照舊供農田水利使用之人民所有土地，僅能作農田水利目的之使用</w:t>
      </w:r>
      <w:r w:rsidR="00037AD0" w:rsidRPr="004E1208">
        <w:rPr>
          <w:rFonts w:hint="eastAsia"/>
        </w:rPr>
        <w:t>、</w:t>
      </w:r>
      <w:r w:rsidR="005C0CC1" w:rsidRPr="004E1208">
        <w:rPr>
          <w:rFonts w:hint="eastAsia"/>
        </w:rPr>
        <w:t>須遵守最小侵害原則</w:t>
      </w:r>
      <w:r w:rsidR="00037AD0" w:rsidRPr="004E1208">
        <w:rPr>
          <w:rFonts w:hint="eastAsia"/>
        </w:rPr>
        <w:t>（</w:t>
      </w:r>
      <w:r w:rsidR="005C0CC1" w:rsidRPr="004E1208">
        <w:rPr>
          <w:rFonts w:hint="eastAsia"/>
        </w:rPr>
        <w:t>不得妨礙土地所有權人無礙於農田水利使用之權利行使</w:t>
      </w:r>
      <w:r w:rsidR="00037AD0" w:rsidRPr="004E1208">
        <w:rPr>
          <w:rFonts w:hint="eastAsia"/>
        </w:rPr>
        <w:t>），</w:t>
      </w:r>
      <w:r w:rsidR="005C0CC1" w:rsidRPr="004E1208">
        <w:rPr>
          <w:rFonts w:hint="eastAsia"/>
        </w:rPr>
        <w:t>且其現況是否仍供農田水利使用或有無其他替代方案</w:t>
      </w:r>
      <w:r w:rsidR="00037AD0" w:rsidRPr="004E1208">
        <w:rPr>
          <w:rFonts w:hint="eastAsia"/>
        </w:rPr>
        <w:t>，</w:t>
      </w:r>
      <w:r w:rsidR="005C0CC1" w:rsidRPr="004E1208">
        <w:rPr>
          <w:rFonts w:hint="eastAsia"/>
        </w:rPr>
        <w:t>為落實人民財產權之保障</w:t>
      </w:r>
      <w:r w:rsidR="00037AD0" w:rsidRPr="004E1208">
        <w:rPr>
          <w:rFonts w:hint="eastAsia"/>
        </w:rPr>
        <w:t>，</w:t>
      </w:r>
      <w:r w:rsidR="005C0CC1" w:rsidRPr="004E1208">
        <w:rPr>
          <w:rFonts w:hint="eastAsia"/>
        </w:rPr>
        <w:t>主管機關應就具體情況通盤檢討</w:t>
      </w:r>
      <w:r w:rsidR="00037AD0" w:rsidRPr="004E1208">
        <w:rPr>
          <w:rFonts w:hint="eastAsia"/>
        </w:rPr>
        <w:t>，</w:t>
      </w:r>
      <w:r w:rsidR="005C0CC1" w:rsidRPr="004E1208">
        <w:rPr>
          <w:rFonts w:hint="eastAsia"/>
        </w:rPr>
        <w:t>如已無繼續作為農田灌溉排水使用之必要</w:t>
      </w:r>
      <w:r w:rsidR="00037AD0" w:rsidRPr="004E1208">
        <w:rPr>
          <w:rFonts w:hint="eastAsia"/>
        </w:rPr>
        <w:t>，</w:t>
      </w:r>
      <w:r w:rsidR="005C0CC1" w:rsidRPr="004E1208">
        <w:rPr>
          <w:rFonts w:hint="eastAsia"/>
        </w:rPr>
        <w:t>應即辦理公物之廢止事宜。</w:t>
      </w:r>
      <w:r w:rsidR="00B202AB" w:rsidRPr="004E1208">
        <w:rPr>
          <w:rFonts w:hint="eastAsia"/>
        </w:rPr>
        <w:t>為避免</w:t>
      </w:r>
      <w:r w:rsidR="00B202AB" w:rsidRPr="004E1208">
        <w:rPr>
          <w:rFonts w:hAnsi="標楷體" w:hint="eastAsia"/>
        </w:rPr>
        <w:t>公務預算編列不及或作業基金</w:t>
      </w:r>
      <w:proofErr w:type="gramStart"/>
      <w:r w:rsidR="00B202AB" w:rsidRPr="004E1208">
        <w:rPr>
          <w:rFonts w:hAnsi="標楷體" w:hint="eastAsia"/>
        </w:rPr>
        <w:t>提撥</w:t>
      </w:r>
      <w:proofErr w:type="gramEnd"/>
      <w:r w:rsidR="00B202AB" w:rsidRPr="004E1208">
        <w:rPr>
          <w:rFonts w:hAnsi="標楷體" w:hint="eastAsia"/>
        </w:rPr>
        <w:t>不足，造成取得土地合法使用權源之累計金額隨時間滾動增加，形成政府財務沈重負擔，</w:t>
      </w:r>
      <w:r w:rsidR="00037AD0" w:rsidRPr="004E1208">
        <w:rPr>
          <w:rFonts w:hint="eastAsia"/>
        </w:rPr>
        <w:t>農</w:t>
      </w:r>
      <w:proofErr w:type="gramStart"/>
      <w:r w:rsidR="00037AD0" w:rsidRPr="004E1208">
        <w:rPr>
          <w:rFonts w:hint="eastAsia"/>
        </w:rPr>
        <w:t>水署允</w:t>
      </w:r>
      <w:proofErr w:type="gramEnd"/>
      <w:r w:rsidR="00037AD0" w:rsidRPr="004E1208">
        <w:rPr>
          <w:rFonts w:hint="eastAsia"/>
        </w:rPr>
        <w:t>應審慎</w:t>
      </w:r>
      <w:proofErr w:type="gramStart"/>
      <w:r w:rsidR="00B202AB" w:rsidRPr="004E1208">
        <w:rPr>
          <w:rFonts w:hint="eastAsia"/>
        </w:rPr>
        <w:t>研</w:t>
      </w:r>
      <w:proofErr w:type="gramEnd"/>
      <w:r w:rsidR="00B202AB" w:rsidRPr="004E1208">
        <w:rPr>
          <w:rFonts w:hint="eastAsia"/>
        </w:rPr>
        <w:t>謀</w:t>
      </w:r>
      <w:r w:rsidR="00037AD0" w:rsidRPr="004E1208">
        <w:rPr>
          <w:rFonts w:hint="eastAsia"/>
        </w:rPr>
        <w:t>因應對策</w:t>
      </w:r>
      <w:r w:rsidR="00B202AB" w:rsidRPr="004E1208">
        <w:rPr>
          <w:rFonts w:hint="eastAsia"/>
        </w:rPr>
        <w:t>。</w:t>
      </w:r>
    </w:p>
    <w:p w:rsidR="00B202AB" w:rsidRPr="004E1208" w:rsidRDefault="00B202AB" w:rsidP="00C64192">
      <w:pPr>
        <w:pStyle w:val="3"/>
      </w:pPr>
      <w:r w:rsidRPr="004E1208">
        <w:rPr>
          <w:rFonts w:hint="eastAsia"/>
        </w:rPr>
        <w:t>綜上所述，全國17處農田水利會已改制成為公務機關，並納入農</w:t>
      </w:r>
      <w:proofErr w:type="gramStart"/>
      <w:r w:rsidRPr="004E1208">
        <w:rPr>
          <w:rFonts w:hint="eastAsia"/>
        </w:rPr>
        <w:t>水署轄</w:t>
      </w:r>
      <w:proofErr w:type="gramEnd"/>
      <w:r w:rsidRPr="004E1208">
        <w:rPr>
          <w:rFonts w:hint="eastAsia"/>
        </w:rPr>
        <w:t>下管理，</w:t>
      </w:r>
      <w:r w:rsidR="007E71F8" w:rsidRPr="004E1208">
        <w:rPr>
          <w:rFonts w:hint="eastAsia"/>
        </w:rPr>
        <w:t>於</w:t>
      </w:r>
      <w:r w:rsidRPr="004E1208">
        <w:rPr>
          <w:rFonts w:hint="eastAsia"/>
        </w:rPr>
        <w:t>履行職務時</w:t>
      </w:r>
      <w:r w:rsidR="007E71F8" w:rsidRPr="004E1208">
        <w:rPr>
          <w:rFonts w:hint="eastAsia"/>
        </w:rPr>
        <w:t>須</w:t>
      </w:r>
      <w:r w:rsidRPr="004E1208">
        <w:rPr>
          <w:rFonts w:hint="eastAsia"/>
        </w:rPr>
        <w:t>遵守正當法律程序，確保組織運作公開透明與廉潔操</w:t>
      </w:r>
      <w:r w:rsidRPr="004E1208">
        <w:rPr>
          <w:rFonts w:hint="eastAsia"/>
        </w:rPr>
        <w:lastRenderedPageBreak/>
        <w:t>守，並注意資產管理責任，落實灌溉渠道安全防護，避免相關人員不慎觸法或因未注意造成人民受到損害。另外</w:t>
      </w:r>
      <w:r w:rsidR="00DA5D6A" w:rsidRPr="004E1208">
        <w:rPr>
          <w:rFonts w:hint="eastAsia"/>
        </w:rPr>
        <w:t>，</w:t>
      </w:r>
      <w:proofErr w:type="gramStart"/>
      <w:r w:rsidR="007E71F8" w:rsidRPr="004E1208">
        <w:rPr>
          <w:rFonts w:hint="eastAsia"/>
        </w:rPr>
        <w:t>農水署無償</w:t>
      </w:r>
      <w:proofErr w:type="gramEnd"/>
      <w:r w:rsidR="007E71F8" w:rsidRPr="004E1208">
        <w:rPr>
          <w:rFonts w:hint="eastAsia"/>
        </w:rPr>
        <w:t>照舊使用私人土地</w:t>
      </w:r>
      <w:r w:rsidR="00AC0431" w:rsidRPr="004E1208">
        <w:rPr>
          <w:rFonts w:hint="eastAsia"/>
        </w:rPr>
        <w:t>約2</w:t>
      </w:r>
      <w:r w:rsidR="00AC0431" w:rsidRPr="004E1208">
        <w:t>,</w:t>
      </w:r>
      <w:r w:rsidR="00AC0431" w:rsidRPr="004E1208">
        <w:rPr>
          <w:rFonts w:hint="eastAsia"/>
        </w:rPr>
        <w:t>858</w:t>
      </w:r>
      <w:r w:rsidR="007E71F8" w:rsidRPr="004E1208">
        <w:rPr>
          <w:rFonts w:hint="eastAsia"/>
        </w:rPr>
        <w:t>公頃，</w:t>
      </w:r>
      <w:r w:rsidR="00AC0431" w:rsidRPr="004E1208">
        <w:rPr>
          <w:rFonts w:hint="eastAsia"/>
        </w:rPr>
        <w:t>惟</w:t>
      </w:r>
      <w:r w:rsidR="00DA5D6A" w:rsidRPr="004E1208">
        <w:rPr>
          <w:rFonts w:hint="eastAsia"/>
        </w:rPr>
        <w:t>憲法法庭</w:t>
      </w:r>
      <w:r w:rsidR="00AC0431" w:rsidRPr="004E1208">
        <w:rPr>
          <w:rFonts w:hint="eastAsia"/>
        </w:rPr>
        <w:t>近日已作出判決，認為</w:t>
      </w:r>
      <w:r w:rsidR="007E71F8" w:rsidRPr="004E1208">
        <w:rPr>
          <w:rFonts w:hint="eastAsia"/>
        </w:rPr>
        <w:t>農田水利設施無償照舊使用私人土地</w:t>
      </w:r>
      <w:r w:rsidR="00AC0431" w:rsidRPr="004E1208">
        <w:rPr>
          <w:rFonts w:hint="eastAsia"/>
        </w:rPr>
        <w:t>，</w:t>
      </w:r>
      <w:r w:rsidR="007E71F8" w:rsidRPr="004E1208">
        <w:rPr>
          <w:rFonts w:hint="eastAsia"/>
        </w:rPr>
        <w:t>已形成</w:t>
      </w:r>
      <w:r w:rsidR="00AC0431" w:rsidRPr="004E1208">
        <w:rPr>
          <w:rFonts w:hint="eastAsia"/>
        </w:rPr>
        <w:t>個人之</w:t>
      </w:r>
      <w:r w:rsidR="007E71F8" w:rsidRPr="004E1208">
        <w:rPr>
          <w:rFonts w:hint="eastAsia"/>
        </w:rPr>
        <w:t>特別犧牲，應</w:t>
      </w:r>
      <w:r w:rsidR="00A76822">
        <w:rPr>
          <w:rFonts w:hint="eastAsia"/>
        </w:rPr>
        <w:t>儘</w:t>
      </w:r>
      <w:r w:rsidR="007E71F8" w:rsidRPr="004E1208">
        <w:rPr>
          <w:rFonts w:hint="eastAsia"/>
        </w:rPr>
        <w:t>速</w:t>
      </w:r>
      <w:r w:rsidR="0081062C" w:rsidRPr="004E1208">
        <w:rPr>
          <w:rFonts w:hint="eastAsia"/>
        </w:rPr>
        <w:t>取得土地</w:t>
      </w:r>
      <w:r w:rsidR="007E71F8" w:rsidRPr="004E1208">
        <w:rPr>
          <w:rFonts w:hint="eastAsia"/>
        </w:rPr>
        <w:t>合法</w:t>
      </w:r>
      <w:r w:rsidR="0081062C" w:rsidRPr="004E1208">
        <w:rPr>
          <w:rFonts w:hint="eastAsia"/>
        </w:rPr>
        <w:t>使用</w:t>
      </w:r>
      <w:r w:rsidR="007E71F8" w:rsidRPr="004E1208">
        <w:rPr>
          <w:rFonts w:hint="eastAsia"/>
        </w:rPr>
        <w:t>權源，</w:t>
      </w:r>
      <w:proofErr w:type="gramStart"/>
      <w:r w:rsidR="007E71F8" w:rsidRPr="004E1208">
        <w:rPr>
          <w:rFonts w:hint="eastAsia"/>
        </w:rPr>
        <w:t>俾</w:t>
      </w:r>
      <w:proofErr w:type="gramEnd"/>
      <w:r w:rsidR="007E71F8" w:rsidRPr="004E1208">
        <w:rPr>
          <w:rFonts w:hint="eastAsia"/>
        </w:rPr>
        <w:t>符合憲法第15條保障人民財產權之意旨，農</w:t>
      </w:r>
      <w:proofErr w:type="gramStart"/>
      <w:r w:rsidR="007E71F8" w:rsidRPr="004E1208">
        <w:rPr>
          <w:rFonts w:hint="eastAsia"/>
        </w:rPr>
        <w:t>水署允</w:t>
      </w:r>
      <w:proofErr w:type="gramEnd"/>
      <w:r w:rsidR="007E71F8" w:rsidRPr="004E1208">
        <w:rPr>
          <w:rFonts w:hint="eastAsia"/>
        </w:rPr>
        <w:t>應審慎</w:t>
      </w:r>
      <w:proofErr w:type="gramStart"/>
      <w:r w:rsidR="007E71F8" w:rsidRPr="004E1208">
        <w:rPr>
          <w:rFonts w:hint="eastAsia"/>
        </w:rPr>
        <w:t>研</w:t>
      </w:r>
      <w:proofErr w:type="gramEnd"/>
      <w:r w:rsidR="007E71F8" w:rsidRPr="004E1208">
        <w:rPr>
          <w:rFonts w:hint="eastAsia"/>
        </w:rPr>
        <w:t>謀因應對策。</w:t>
      </w:r>
    </w:p>
    <w:p w:rsidR="00425601" w:rsidRPr="004E1208" w:rsidRDefault="00A46409" w:rsidP="0045778C">
      <w:pPr>
        <w:pStyle w:val="2"/>
        <w:spacing w:beforeLines="50" w:before="228"/>
        <w:ind w:left="1020" w:hanging="680"/>
        <w:rPr>
          <w:b/>
        </w:rPr>
      </w:pPr>
      <w:bookmarkStart w:id="68" w:name="_Toc139546652"/>
      <w:r w:rsidRPr="004E1208">
        <w:rPr>
          <w:rFonts w:hint="eastAsia"/>
          <w:b/>
        </w:rPr>
        <w:t>當私有土地長期處於未辦繼承登記狀態，不僅影響地籍與稅籍之正確性，亦容易形成閒置或遭他人占用，土地無法有效利用。為此，土地法第73條之1對未辦繼承登記土地乃</w:t>
      </w:r>
      <w:r w:rsidR="00BC72EB" w:rsidRPr="004E1208">
        <w:rPr>
          <w:rFonts w:hint="eastAsia"/>
          <w:b/>
        </w:rPr>
        <w:t>以</w:t>
      </w:r>
      <w:r w:rsidRPr="004E1208">
        <w:rPr>
          <w:rFonts w:hint="eastAsia"/>
          <w:b/>
        </w:rPr>
        <w:t>「查明」、「列冊管理」、「公開標售」與「歸屬國庫」等</w:t>
      </w:r>
      <w:r w:rsidR="00A358D5" w:rsidRPr="004E1208">
        <w:rPr>
          <w:rFonts w:hint="eastAsia"/>
          <w:b/>
        </w:rPr>
        <w:t>手段</w:t>
      </w:r>
      <w:r w:rsidRPr="004E1208">
        <w:rPr>
          <w:rFonts w:hint="eastAsia"/>
          <w:b/>
        </w:rPr>
        <w:t>，其目的雖然是為了促使繼承人儘速申辦繼承登記，以免造成地籍紊亂、稅籍失實、政府施政</w:t>
      </w:r>
      <w:r w:rsidR="00BC72EB" w:rsidRPr="004E1208">
        <w:rPr>
          <w:rFonts w:hint="eastAsia"/>
          <w:b/>
        </w:rPr>
        <w:t>等</w:t>
      </w:r>
      <w:r w:rsidRPr="004E1208">
        <w:rPr>
          <w:rFonts w:hint="eastAsia"/>
          <w:b/>
        </w:rPr>
        <w:t>困擾，但如此規定，實有違反憲法保障人民財產權之高度疑義，引發學界及司法實務諸多探討，不無商榷之餘地。</w:t>
      </w:r>
      <w:bookmarkEnd w:id="68"/>
    </w:p>
    <w:p w:rsidR="0045778C" w:rsidRPr="004E1208" w:rsidRDefault="0081062C" w:rsidP="0081062C">
      <w:pPr>
        <w:pStyle w:val="3"/>
      </w:pPr>
      <w:r w:rsidRPr="004E1208">
        <w:rPr>
          <w:rFonts w:hint="eastAsia"/>
        </w:rPr>
        <w:t>按土地法第73條之1第1項及第2項分別規定</w:t>
      </w:r>
      <w:r w:rsidR="004B6A80" w:rsidRPr="004E1208">
        <w:rPr>
          <w:rFonts w:hint="eastAsia"/>
        </w:rPr>
        <w:t>略</w:t>
      </w:r>
      <w:proofErr w:type="gramStart"/>
      <w:r w:rsidR="004B6A80" w:rsidRPr="004E1208">
        <w:rPr>
          <w:rFonts w:hint="eastAsia"/>
        </w:rPr>
        <w:t>以</w:t>
      </w:r>
      <w:proofErr w:type="gramEnd"/>
      <w:r w:rsidRPr="004E1208">
        <w:rPr>
          <w:rFonts w:hint="eastAsia"/>
        </w:rPr>
        <w:t>：「（第1項）土地或建築改良物，自繼承開始之</w:t>
      </w:r>
      <w:proofErr w:type="gramStart"/>
      <w:r w:rsidRPr="004E1208">
        <w:rPr>
          <w:rFonts w:hint="eastAsia"/>
        </w:rPr>
        <w:t>日起逾1年</w:t>
      </w:r>
      <w:proofErr w:type="gramEnd"/>
      <w:r w:rsidRPr="004E1208">
        <w:rPr>
          <w:rFonts w:hint="eastAsia"/>
        </w:rPr>
        <w:t>未辦理繼承登記者，經該管直轄市或縣市地政機關查明後，應即公告繼承人於3個月內聲請登記，並以書面通知繼承人；逾期</w:t>
      </w:r>
      <w:proofErr w:type="gramStart"/>
      <w:r w:rsidRPr="004E1208">
        <w:rPr>
          <w:rFonts w:hint="eastAsia"/>
        </w:rPr>
        <w:t>仍未聲請</w:t>
      </w:r>
      <w:proofErr w:type="gramEnd"/>
      <w:r w:rsidRPr="004E1208">
        <w:rPr>
          <w:rFonts w:hint="eastAsia"/>
        </w:rPr>
        <w:t>者，得由地政機關予以列冊管理。但有不可歸責於聲請人之事由，其期間應予扣除。（第2項）前項列冊管理期間為1</w:t>
      </w:r>
      <w:r w:rsidRPr="004E1208">
        <w:t>5</w:t>
      </w:r>
      <w:r w:rsidRPr="004E1208">
        <w:rPr>
          <w:rFonts w:hint="eastAsia"/>
        </w:rPr>
        <w:t>年，逾期</w:t>
      </w:r>
      <w:proofErr w:type="gramStart"/>
      <w:r w:rsidRPr="004E1208">
        <w:rPr>
          <w:rFonts w:hint="eastAsia"/>
        </w:rPr>
        <w:t>仍未聲請</w:t>
      </w:r>
      <w:proofErr w:type="gramEnd"/>
      <w:r w:rsidRPr="004E1208">
        <w:rPr>
          <w:rFonts w:hint="eastAsia"/>
        </w:rPr>
        <w:t>登記者，由地政機關書面通知繼承人及將該土地或建築改良物清冊移請財政部</w:t>
      </w:r>
      <w:proofErr w:type="gramStart"/>
      <w:r w:rsidRPr="004E1208">
        <w:rPr>
          <w:rFonts w:hint="eastAsia"/>
        </w:rPr>
        <w:t>國有財產署公開標</w:t>
      </w:r>
      <w:proofErr w:type="gramEnd"/>
      <w:r w:rsidRPr="004E1208">
        <w:rPr>
          <w:rFonts w:hint="eastAsia"/>
        </w:rPr>
        <w:t>售。</w:t>
      </w:r>
      <w:r w:rsidR="004B6A80" w:rsidRPr="004E1208">
        <w:rPr>
          <w:rFonts w:hAnsi="標楷體" w:hint="eastAsia"/>
        </w:rPr>
        <w:t>…</w:t>
      </w:r>
      <w:proofErr w:type="gramStart"/>
      <w:r w:rsidR="004B6A80" w:rsidRPr="004E1208">
        <w:rPr>
          <w:rFonts w:hAnsi="標楷體" w:hint="eastAsia"/>
        </w:rPr>
        <w:t>…</w:t>
      </w:r>
      <w:proofErr w:type="gramEnd"/>
      <w:r w:rsidRPr="004E1208">
        <w:rPr>
          <w:rFonts w:hint="eastAsia"/>
        </w:rPr>
        <w:t>」</w:t>
      </w:r>
    </w:p>
    <w:p w:rsidR="00D0239E" w:rsidRPr="004E1208" w:rsidRDefault="00D0239E" w:rsidP="0081062C">
      <w:pPr>
        <w:pStyle w:val="3"/>
      </w:pPr>
      <w:r w:rsidRPr="004E1208">
        <w:rPr>
          <w:rFonts w:hint="eastAsia"/>
        </w:rPr>
        <w:t>土地法第73條之1增訂及修正之沿革整理如下：</w:t>
      </w:r>
    </w:p>
    <w:p w:rsidR="00D0239E" w:rsidRPr="004E1208" w:rsidRDefault="00D0239E" w:rsidP="00AB3C69">
      <w:pPr>
        <w:pStyle w:val="4"/>
      </w:pPr>
      <w:r w:rsidRPr="004E1208">
        <w:rPr>
          <w:rFonts w:hint="eastAsia"/>
        </w:rPr>
        <w:t>土地法第73條之1係於64年所增訂，當時條文內</w:t>
      </w:r>
      <w:r w:rsidRPr="004E1208">
        <w:rPr>
          <w:rFonts w:hint="eastAsia"/>
        </w:rPr>
        <w:lastRenderedPageBreak/>
        <w:t>容略</w:t>
      </w:r>
      <w:proofErr w:type="gramStart"/>
      <w:r w:rsidRPr="004E1208">
        <w:rPr>
          <w:rFonts w:hint="eastAsia"/>
        </w:rPr>
        <w:t>以</w:t>
      </w:r>
      <w:proofErr w:type="gramEnd"/>
      <w:r w:rsidRPr="004E1208">
        <w:rPr>
          <w:rFonts w:hint="eastAsia"/>
        </w:rPr>
        <w:t>：「（第1項）土地或建築改良物，自繼承開始之日起，逾1年未辦理繼承登記者，經</w:t>
      </w:r>
      <w:proofErr w:type="gramStart"/>
      <w:r w:rsidRPr="004E1208">
        <w:rPr>
          <w:rFonts w:hint="eastAsia"/>
        </w:rPr>
        <w:t>該管市縣</w:t>
      </w:r>
      <w:proofErr w:type="gramEnd"/>
      <w:r w:rsidRPr="004E1208">
        <w:rPr>
          <w:rFonts w:hint="eastAsia"/>
        </w:rPr>
        <w:t>地政機關查明後，應即公告繼承人於3個月內聲請登記；逾期</w:t>
      </w:r>
      <w:proofErr w:type="gramStart"/>
      <w:r w:rsidRPr="004E1208">
        <w:rPr>
          <w:rFonts w:hint="eastAsia"/>
        </w:rPr>
        <w:t>仍未聲請</w:t>
      </w:r>
      <w:proofErr w:type="gramEnd"/>
      <w:r w:rsidRPr="004E1208">
        <w:rPr>
          <w:rFonts w:hint="eastAsia"/>
        </w:rPr>
        <w:t>者，得由地政機關予以代管。（第2項）前項代管期間為9年，逾期</w:t>
      </w:r>
      <w:proofErr w:type="gramStart"/>
      <w:r w:rsidRPr="004E1208">
        <w:rPr>
          <w:rFonts w:hint="eastAsia"/>
        </w:rPr>
        <w:t>仍未聲請</w:t>
      </w:r>
      <w:proofErr w:type="gramEnd"/>
      <w:r w:rsidRPr="004E1208">
        <w:rPr>
          <w:rFonts w:hint="eastAsia"/>
        </w:rPr>
        <w:t>登記者，</w:t>
      </w:r>
      <w:proofErr w:type="gramStart"/>
      <w:r w:rsidRPr="004E1208">
        <w:rPr>
          <w:rFonts w:hint="eastAsia"/>
        </w:rPr>
        <w:t>逕</w:t>
      </w:r>
      <w:proofErr w:type="gramEnd"/>
      <w:r w:rsidRPr="004E1208">
        <w:rPr>
          <w:rFonts w:hint="eastAsia"/>
        </w:rPr>
        <w:t>為國有登記。</w:t>
      </w:r>
      <w:r w:rsidRPr="004E1208">
        <w:rPr>
          <w:rFonts w:hAnsi="標楷體" w:hint="eastAsia"/>
        </w:rPr>
        <w:t>…</w:t>
      </w:r>
      <w:proofErr w:type="gramStart"/>
      <w:r w:rsidRPr="004E1208">
        <w:rPr>
          <w:rFonts w:hAnsi="標楷體" w:hint="eastAsia"/>
        </w:rPr>
        <w:t>…</w:t>
      </w:r>
      <w:proofErr w:type="gramEnd"/>
      <w:r w:rsidRPr="004E1208">
        <w:rPr>
          <w:rFonts w:hint="eastAsia"/>
        </w:rPr>
        <w:t>」立法理由為：依民法第759條規定，物權因繼承而取得者，不以登記為生效要件，土地法雖已</w:t>
      </w:r>
      <w:proofErr w:type="gramStart"/>
      <w:r w:rsidRPr="004E1208">
        <w:rPr>
          <w:rFonts w:hint="eastAsia"/>
        </w:rPr>
        <w:t>明定聲請</w:t>
      </w:r>
      <w:proofErr w:type="gramEnd"/>
      <w:r w:rsidRPr="004E1208">
        <w:rPr>
          <w:rFonts w:hint="eastAsia"/>
        </w:rPr>
        <w:t>登記之期限及逾期聲請得科處登記費罰鍰，但對於繼承人逾期仍</w:t>
      </w:r>
      <w:proofErr w:type="gramStart"/>
      <w:r w:rsidRPr="004E1208">
        <w:rPr>
          <w:rFonts w:hint="eastAsia"/>
        </w:rPr>
        <w:t>怠</w:t>
      </w:r>
      <w:proofErr w:type="gramEnd"/>
      <w:r w:rsidRPr="004E1208">
        <w:rPr>
          <w:rFonts w:hint="eastAsia"/>
        </w:rPr>
        <w:t>不聲請繼承登記者，迄無有效之解決辦法，以致未辦繼承登記之土地建物，與年俱增。導致地籍失實，亟應力謀防止，</w:t>
      </w:r>
      <w:proofErr w:type="gramStart"/>
      <w:r w:rsidRPr="004E1208">
        <w:rPr>
          <w:rFonts w:hint="eastAsia"/>
        </w:rPr>
        <w:t>爰</w:t>
      </w:r>
      <w:proofErr w:type="gramEnd"/>
      <w:r w:rsidRPr="004E1208">
        <w:rPr>
          <w:rFonts w:hint="eastAsia"/>
        </w:rPr>
        <w:t>增訂該條文。</w:t>
      </w:r>
    </w:p>
    <w:p w:rsidR="0081062C" w:rsidRPr="004E1208" w:rsidRDefault="00D0239E" w:rsidP="00AB3C69">
      <w:pPr>
        <w:pStyle w:val="4"/>
      </w:pPr>
      <w:proofErr w:type="gramStart"/>
      <w:r w:rsidRPr="004E1208">
        <w:rPr>
          <w:rFonts w:hint="eastAsia"/>
        </w:rPr>
        <w:t>嗣</w:t>
      </w:r>
      <w:proofErr w:type="gramEnd"/>
      <w:r w:rsidRPr="004E1208">
        <w:rPr>
          <w:rFonts w:hint="eastAsia"/>
        </w:rPr>
        <w:t>於89年修正條文內容略</w:t>
      </w:r>
      <w:proofErr w:type="gramStart"/>
      <w:r w:rsidRPr="004E1208">
        <w:rPr>
          <w:rFonts w:hint="eastAsia"/>
        </w:rPr>
        <w:t>以</w:t>
      </w:r>
      <w:proofErr w:type="gramEnd"/>
      <w:r w:rsidRPr="004E1208">
        <w:rPr>
          <w:rFonts w:hint="eastAsia"/>
        </w:rPr>
        <w:t>：「</w:t>
      </w:r>
      <w:r w:rsidR="004B6A80" w:rsidRPr="004E1208">
        <w:rPr>
          <w:rFonts w:hint="eastAsia"/>
        </w:rPr>
        <w:t>（第</w:t>
      </w:r>
      <w:r w:rsidR="004B6A80" w:rsidRPr="004E1208">
        <w:t>1</w:t>
      </w:r>
      <w:r w:rsidR="004B6A80" w:rsidRPr="004E1208">
        <w:rPr>
          <w:rFonts w:hint="eastAsia"/>
        </w:rPr>
        <w:t>項）</w:t>
      </w:r>
      <w:r w:rsidRPr="004E1208">
        <w:rPr>
          <w:rFonts w:hint="eastAsia"/>
        </w:rPr>
        <w:t>土地或建築改良物，自繼承開始之</w:t>
      </w:r>
      <w:proofErr w:type="gramStart"/>
      <w:r w:rsidRPr="004E1208">
        <w:rPr>
          <w:rFonts w:hint="eastAsia"/>
        </w:rPr>
        <w:t>日起逾</w:t>
      </w:r>
      <w:r w:rsidR="004B6A80" w:rsidRPr="004E1208">
        <w:rPr>
          <w:rFonts w:hint="eastAsia"/>
        </w:rPr>
        <w:t>1</w:t>
      </w:r>
      <w:r w:rsidRPr="004E1208">
        <w:rPr>
          <w:rFonts w:hint="eastAsia"/>
        </w:rPr>
        <w:t>年</w:t>
      </w:r>
      <w:proofErr w:type="gramEnd"/>
      <w:r w:rsidRPr="004E1208">
        <w:rPr>
          <w:rFonts w:hint="eastAsia"/>
        </w:rPr>
        <w:t>未辦理繼承登記者，經該管直轄市或縣市地政機關查明後，應即公告繼承人於</w:t>
      </w:r>
      <w:r w:rsidR="004B6A80" w:rsidRPr="004E1208">
        <w:rPr>
          <w:rFonts w:hint="eastAsia"/>
        </w:rPr>
        <w:t>3</w:t>
      </w:r>
      <w:r w:rsidRPr="004E1208">
        <w:rPr>
          <w:rFonts w:hint="eastAsia"/>
        </w:rPr>
        <w:t>個月內聲請登記；逾期</w:t>
      </w:r>
      <w:proofErr w:type="gramStart"/>
      <w:r w:rsidRPr="004E1208">
        <w:rPr>
          <w:rFonts w:hint="eastAsia"/>
        </w:rPr>
        <w:t>仍未聲請</w:t>
      </w:r>
      <w:proofErr w:type="gramEnd"/>
      <w:r w:rsidRPr="004E1208">
        <w:rPr>
          <w:rFonts w:hint="eastAsia"/>
        </w:rPr>
        <w:t>者，得由地政機關予以列冊管理。但有不可歸責於聲請人之事由，其期間應予扣除。</w:t>
      </w:r>
      <w:r w:rsidR="004B6A80" w:rsidRPr="004E1208">
        <w:rPr>
          <w:rFonts w:hint="eastAsia"/>
        </w:rPr>
        <w:t>（第2項）</w:t>
      </w:r>
      <w:r w:rsidRPr="004E1208">
        <w:rPr>
          <w:rFonts w:hint="eastAsia"/>
        </w:rPr>
        <w:t>前項列冊管理期間為</w:t>
      </w:r>
      <w:r w:rsidR="004B6A80" w:rsidRPr="004E1208">
        <w:rPr>
          <w:rFonts w:hint="eastAsia"/>
        </w:rPr>
        <w:t>1</w:t>
      </w:r>
      <w:r w:rsidR="004B6A80" w:rsidRPr="004E1208">
        <w:t>5</w:t>
      </w:r>
      <w:r w:rsidRPr="004E1208">
        <w:rPr>
          <w:rFonts w:hint="eastAsia"/>
        </w:rPr>
        <w:t>年，逾期</w:t>
      </w:r>
      <w:proofErr w:type="gramStart"/>
      <w:r w:rsidRPr="004E1208">
        <w:rPr>
          <w:rFonts w:hint="eastAsia"/>
        </w:rPr>
        <w:t>仍未聲請</w:t>
      </w:r>
      <w:proofErr w:type="gramEnd"/>
      <w:r w:rsidRPr="004E1208">
        <w:rPr>
          <w:rFonts w:hint="eastAsia"/>
        </w:rPr>
        <w:t>登記者，由地政機關將該土地或建築改良物清冊移請國有財產局公開標售。</w:t>
      </w:r>
      <w:r w:rsidR="004B6A80" w:rsidRPr="004E1208">
        <w:rPr>
          <w:rFonts w:hAnsi="標楷體" w:hint="eastAsia"/>
        </w:rPr>
        <w:t>…</w:t>
      </w:r>
      <w:proofErr w:type="gramStart"/>
      <w:r w:rsidR="004B6A80" w:rsidRPr="004E1208">
        <w:rPr>
          <w:rFonts w:hAnsi="標楷體" w:hint="eastAsia"/>
        </w:rPr>
        <w:t>…</w:t>
      </w:r>
      <w:proofErr w:type="gramEnd"/>
      <w:r w:rsidRPr="004E1208">
        <w:rPr>
          <w:rFonts w:hint="eastAsia"/>
        </w:rPr>
        <w:t>」</w:t>
      </w:r>
      <w:r w:rsidR="004B6A80" w:rsidRPr="004E1208">
        <w:rPr>
          <w:rFonts w:hint="eastAsia"/>
        </w:rPr>
        <w:t>立法理由為：將「代管」修正為「列冊管理」，並延長管理期間為15年。另為免侵害人民財產權，造成執行機關無法執行，對無法辦理繼承之土地或建築改良物之</w:t>
      </w:r>
      <w:proofErr w:type="gramStart"/>
      <w:r w:rsidR="004B6A80" w:rsidRPr="004E1208">
        <w:rPr>
          <w:rFonts w:hint="eastAsia"/>
        </w:rPr>
        <w:t>逕</w:t>
      </w:r>
      <w:proofErr w:type="gramEnd"/>
      <w:r w:rsidR="004B6A80" w:rsidRPr="004E1208">
        <w:rPr>
          <w:rFonts w:hint="eastAsia"/>
        </w:rPr>
        <w:t>為國有登記之相關規定予以刪除，修正為由地政機關將清冊移請當時之國有財產局公開標售。</w:t>
      </w:r>
    </w:p>
    <w:p w:rsidR="004B6A80" w:rsidRPr="004E1208" w:rsidRDefault="004B6A80" w:rsidP="00AB3C69">
      <w:pPr>
        <w:pStyle w:val="4"/>
      </w:pPr>
      <w:r w:rsidRPr="004E1208">
        <w:rPr>
          <w:rFonts w:hint="eastAsia"/>
        </w:rPr>
        <w:t>再於1</w:t>
      </w:r>
      <w:r w:rsidRPr="004E1208">
        <w:t>11</w:t>
      </w:r>
      <w:r w:rsidRPr="004E1208">
        <w:rPr>
          <w:rFonts w:hint="eastAsia"/>
        </w:rPr>
        <w:t>年修正該條文，包括：</w:t>
      </w:r>
    </w:p>
    <w:p w:rsidR="004B6A80" w:rsidRPr="004E1208" w:rsidRDefault="004B6A80" w:rsidP="004B6A80">
      <w:pPr>
        <w:pStyle w:val="5"/>
      </w:pPr>
      <w:r w:rsidRPr="004E1208">
        <w:rPr>
          <w:rFonts w:hint="eastAsia"/>
        </w:rPr>
        <w:t>第1項及第2項分別增列地政機關應「書面通知繼承人」聲請繼承登記及</w:t>
      </w:r>
      <w:proofErr w:type="gramStart"/>
      <w:r w:rsidRPr="004E1208">
        <w:rPr>
          <w:rFonts w:hint="eastAsia"/>
        </w:rPr>
        <w:t>已逾列冊</w:t>
      </w:r>
      <w:proofErr w:type="gramEnd"/>
      <w:r w:rsidRPr="004E1208">
        <w:rPr>
          <w:rFonts w:hint="eastAsia"/>
        </w:rPr>
        <w:t>管理期間15年，</w:t>
      </w:r>
      <w:proofErr w:type="gramStart"/>
      <w:r w:rsidRPr="004E1208">
        <w:rPr>
          <w:rFonts w:hint="eastAsia"/>
        </w:rPr>
        <w:t>仍未聲請</w:t>
      </w:r>
      <w:proofErr w:type="gramEnd"/>
      <w:r w:rsidRPr="004E1208">
        <w:rPr>
          <w:rFonts w:hint="eastAsia"/>
        </w:rPr>
        <w:t>繼承登記者。</w:t>
      </w:r>
    </w:p>
    <w:p w:rsidR="004B6A80" w:rsidRPr="004E1208" w:rsidRDefault="004B6A80" w:rsidP="004B6A80">
      <w:pPr>
        <w:pStyle w:val="5"/>
      </w:pPr>
      <w:r w:rsidRPr="004E1208">
        <w:rPr>
          <w:rFonts w:hint="eastAsia"/>
        </w:rPr>
        <w:lastRenderedPageBreak/>
        <w:t>第</w:t>
      </w:r>
      <w:r w:rsidR="00D93207" w:rsidRPr="004E1208">
        <w:rPr>
          <w:rFonts w:hint="eastAsia"/>
        </w:rPr>
        <w:t>3</w:t>
      </w:r>
      <w:r w:rsidRPr="004E1208">
        <w:rPr>
          <w:rFonts w:hint="eastAsia"/>
        </w:rPr>
        <w:t>項，依規定於標售土地或建築</w:t>
      </w:r>
      <w:proofErr w:type="gramStart"/>
      <w:r w:rsidRPr="004E1208">
        <w:rPr>
          <w:rFonts w:hint="eastAsia"/>
        </w:rPr>
        <w:t>改良物前應</w:t>
      </w:r>
      <w:proofErr w:type="gramEnd"/>
      <w:r w:rsidRPr="004E1208">
        <w:rPr>
          <w:rFonts w:hint="eastAsia"/>
        </w:rPr>
        <w:t>公告期間修正為</w:t>
      </w:r>
      <w:r w:rsidR="00D93207" w:rsidRPr="004E1208">
        <w:rPr>
          <w:rFonts w:hint="eastAsia"/>
        </w:rPr>
        <w:t>3</w:t>
      </w:r>
      <w:r w:rsidRPr="004E1208">
        <w:rPr>
          <w:rFonts w:hint="eastAsia"/>
        </w:rPr>
        <w:t>個月，及優先購買權人於決標後表示優先購買之期限修正為</w:t>
      </w:r>
      <w:r w:rsidR="00D93207" w:rsidRPr="004E1208">
        <w:rPr>
          <w:rFonts w:hint="eastAsia"/>
        </w:rPr>
        <w:t>30</w:t>
      </w:r>
      <w:r w:rsidRPr="004E1208">
        <w:rPr>
          <w:rFonts w:hint="eastAsia"/>
        </w:rPr>
        <w:t>日。</w:t>
      </w:r>
    </w:p>
    <w:p w:rsidR="004B6A80" w:rsidRPr="004E1208" w:rsidRDefault="004B6A80" w:rsidP="004B6A80">
      <w:pPr>
        <w:pStyle w:val="5"/>
      </w:pPr>
      <w:r w:rsidRPr="004E1208">
        <w:rPr>
          <w:rFonts w:hint="eastAsia"/>
        </w:rPr>
        <w:t>第</w:t>
      </w:r>
      <w:r w:rsidR="00D93207" w:rsidRPr="004E1208">
        <w:rPr>
          <w:rFonts w:hint="eastAsia"/>
        </w:rPr>
        <w:t>2</w:t>
      </w:r>
      <w:r w:rsidRPr="004E1208">
        <w:rPr>
          <w:rFonts w:hint="eastAsia"/>
        </w:rPr>
        <w:t>項及第</w:t>
      </w:r>
      <w:r w:rsidR="00D93207" w:rsidRPr="004E1208">
        <w:rPr>
          <w:rFonts w:hint="eastAsia"/>
        </w:rPr>
        <w:t>5</w:t>
      </w:r>
      <w:r w:rsidRPr="004E1208">
        <w:rPr>
          <w:rFonts w:hint="eastAsia"/>
        </w:rPr>
        <w:t>項中機關名稱「國有財產局」等文字，均修正為現行名稱「財政部國有財產署」。</w:t>
      </w:r>
    </w:p>
    <w:p w:rsidR="0045778C" w:rsidRPr="004E1208" w:rsidRDefault="00D93207" w:rsidP="0045778C">
      <w:pPr>
        <w:pStyle w:val="3"/>
      </w:pPr>
      <w:r w:rsidRPr="004E1208">
        <w:rPr>
          <w:rFonts w:hint="eastAsia"/>
        </w:rPr>
        <w:t>換言之，土地法第73條之1之立法意旨及目的，在於土地法第73條雖已</w:t>
      </w:r>
      <w:proofErr w:type="gramStart"/>
      <w:r w:rsidRPr="004E1208">
        <w:rPr>
          <w:rFonts w:hint="eastAsia"/>
        </w:rPr>
        <w:t>明定聲請</w:t>
      </w:r>
      <w:proofErr w:type="gramEnd"/>
      <w:r w:rsidRPr="004E1208">
        <w:rPr>
          <w:rFonts w:hint="eastAsia"/>
        </w:rPr>
        <w:t>繼承登記之期限及逾期聲請得科處登記費罰鍰，惟仍有繼承人逾期</w:t>
      </w:r>
      <w:proofErr w:type="gramStart"/>
      <w:r w:rsidRPr="004E1208">
        <w:rPr>
          <w:rFonts w:hint="eastAsia"/>
        </w:rPr>
        <w:t>怠未聲</w:t>
      </w:r>
      <w:proofErr w:type="gramEnd"/>
      <w:r w:rsidRPr="004E1208">
        <w:rPr>
          <w:rFonts w:hint="eastAsia"/>
        </w:rPr>
        <w:t>請繼承</w:t>
      </w:r>
      <w:proofErr w:type="gramStart"/>
      <w:r w:rsidRPr="004E1208">
        <w:rPr>
          <w:rFonts w:hint="eastAsia"/>
        </w:rPr>
        <w:t>登記致地籍</w:t>
      </w:r>
      <w:proofErr w:type="gramEnd"/>
      <w:r w:rsidRPr="004E1208">
        <w:rPr>
          <w:rFonts w:hint="eastAsia"/>
        </w:rPr>
        <w:t>失實，</w:t>
      </w:r>
      <w:proofErr w:type="gramStart"/>
      <w:r w:rsidRPr="004E1208">
        <w:rPr>
          <w:rFonts w:hint="eastAsia"/>
        </w:rPr>
        <w:t>爰</w:t>
      </w:r>
      <w:proofErr w:type="gramEnd"/>
      <w:r w:rsidRPr="004E1208">
        <w:rPr>
          <w:rFonts w:hint="eastAsia"/>
        </w:rPr>
        <w:t>為督促繼承人申請登記，該法條明定地政機關藉由公告及書面通知繼承人申辦繼承登記及列冊管理，以健全地籍管理及保障繼承人權益，</w:t>
      </w:r>
      <w:proofErr w:type="gramStart"/>
      <w:r w:rsidRPr="004E1208">
        <w:rPr>
          <w:rFonts w:hint="eastAsia"/>
        </w:rPr>
        <w:t>並於列冊</w:t>
      </w:r>
      <w:proofErr w:type="gramEnd"/>
      <w:r w:rsidRPr="004E1208">
        <w:rPr>
          <w:rFonts w:hint="eastAsia"/>
        </w:rPr>
        <w:t>管理15年後</w:t>
      </w:r>
      <w:proofErr w:type="gramStart"/>
      <w:r w:rsidRPr="004E1208">
        <w:rPr>
          <w:rFonts w:hint="eastAsia"/>
        </w:rPr>
        <w:t>仍未聲請</w:t>
      </w:r>
      <w:proofErr w:type="gramEnd"/>
      <w:r w:rsidRPr="004E1208">
        <w:rPr>
          <w:rFonts w:hint="eastAsia"/>
        </w:rPr>
        <w:t>繼承登記者，移請</w:t>
      </w:r>
      <w:proofErr w:type="gramStart"/>
      <w:r w:rsidRPr="004E1208">
        <w:rPr>
          <w:rFonts w:hint="eastAsia"/>
        </w:rPr>
        <w:t>國產署公開標</w:t>
      </w:r>
      <w:proofErr w:type="gramEnd"/>
      <w:r w:rsidRPr="004E1208">
        <w:rPr>
          <w:rFonts w:hint="eastAsia"/>
        </w:rPr>
        <w:t>售，以促進土地利用，且繼承人</w:t>
      </w:r>
      <w:proofErr w:type="gramStart"/>
      <w:r w:rsidRPr="004E1208">
        <w:rPr>
          <w:rFonts w:hint="eastAsia"/>
        </w:rPr>
        <w:t>得就標售</w:t>
      </w:r>
      <w:proofErr w:type="gramEnd"/>
      <w:r w:rsidRPr="004E1208">
        <w:rPr>
          <w:rFonts w:hint="eastAsia"/>
        </w:rPr>
        <w:t>所得之價款依其法定</w:t>
      </w:r>
      <w:proofErr w:type="gramStart"/>
      <w:r w:rsidRPr="004E1208">
        <w:rPr>
          <w:rFonts w:hint="eastAsia"/>
        </w:rPr>
        <w:t>應繼分</w:t>
      </w:r>
      <w:proofErr w:type="gramEnd"/>
      <w:r w:rsidRPr="004E1208">
        <w:rPr>
          <w:rFonts w:hint="eastAsia"/>
        </w:rPr>
        <w:t>領取，</w:t>
      </w:r>
      <w:proofErr w:type="gramStart"/>
      <w:r w:rsidRPr="004E1208">
        <w:rPr>
          <w:rFonts w:hint="eastAsia"/>
        </w:rPr>
        <w:t>俾</w:t>
      </w:r>
      <w:proofErr w:type="gramEnd"/>
      <w:r w:rsidRPr="004E1208">
        <w:rPr>
          <w:rFonts w:hint="eastAsia"/>
        </w:rPr>
        <w:t>利繼承人處分遺產。</w:t>
      </w:r>
    </w:p>
    <w:p w:rsidR="009F2C42" w:rsidRPr="004E1208" w:rsidRDefault="00D93207" w:rsidP="0045778C">
      <w:pPr>
        <w:pStyle w:val="3"/>
      </w:pPr>
      <w:r w:rsidRPr="004E1208">
        <w:rPr>
          <w:rFonts w:hint="eastAsia"/>
        </w:rPr>
        <w:t>國產署</w:t>
      </w:r>
      <w:r w:rsidR="00AB3C69" w:rsidRPr="004E1208">
        <w:rPr>
          <w:rFonts w:hint="eastAsia"/>
        </w:rPr>
        <w:t>基於未辦繼承登記土地仍屬私有財產，且相關地籍清理業務，宜有一致性之處理，因此建議修法，改由直轄市、縣（市）主管機關辦理未辦繼承不動產標售作業。國產署理由如下</w:t>
      </w:r>
      <w:r w:rsidR="009F2C42" w:rsidRPr="004E1208">
        <w:rPr>
          <w:rFonts w:hint="eastAsia"/>
        </w:rPr>
        <w:t>：</w:t>
      </w:r>
    </w:p>
    <w:p w:rsidR="009F2C42" w:rsidRPr="004E1208" w:rsidRDefault="009F2C42" w:rsidP="009F2C42">
      <w:pPr>
        <w:pStyle w:val="4"/>
      </w:pPr>
      <w:r w:rsidRPr="004E1208">
        <w:rPr>
          <w:rFonts w:hint="eastAsia"/>
        </w:rPr>
        <w:t>地籍清理條例、祭祀公業條例、土地法第73條之1之立法</w:t>
      </w:r>
      <w:proofErr w:type="gramStart"/>
      <w:r w:rsidRPr="004E1208">
        <w:rPr>
          <w:rFonts w:hint="eastAsia"/>
        </w:rPr>
        <w:t>目的均係為</w:t>
      </w:r>
      <w:proofErr w:type="gramEnd"/>
      <w:r w:rsidRPr="004E1208">
        <w:rPr>
          <w:rFonts w:hint="eastAsia"/>
        </w:rPr>
        <w:t>健全地籍管理，同屬地政業務環節</w:t>
      </w:r>
      <w:r w:rsidR="00421903" w:rsidRPr="004E1208">
        <w:rPr>
          <w:rFonts w:hint="eastAsia"/>
        </w:rPr>
        <w:t>，且均涉及私地主權益。</w:t>
      </w:r>
    </w:p>
    <w:p w:rsidR="00421903" w:rsidRPr="004E1208" w:rsidRDefault="009F2C42" w:rsidP="009F2C42">
      <w:pPr>
        <w:pStyle w:val="4"/>
      </w:pPr>
      <w:r w:rsidRPr="004E1208">
        <w:rPr>
          <w:rFonts w:hint="eastAsia"/>
        </w:rPr>
        <w:t>依地籍清理條例、祭祀公業條例規定清理之土地，其標售作業皆由直轄市、縣（市）主管機關辦理</w:t>
      </w:r>
      <w:r w:rsidR="00421903" w:rsidRPr="004E1208">
        <w:rPr>
          <w:rFonts w:hint="eastAsia"/>
        </w:rPr>
        <w:t>；土地法第73條之1是針對未辦繼承不動產之清理，非屬國有財產，卻由國產署</w:t>
      </w:r>
      <w:r w:rsidR="00F23325" w:rsidRPr="004E1208">
        <w:rPr>
          <w:rFonts w:hint="eastAsia"/>
        </w:rPr>
        <w:t>協助代為</w:t>
      </w:r>
      <w:r w:rsidR="00421903" w:rsidRPr="004E1208">
        <w:rPr>
          <w:rFonts w:hint="eastAsia"/>
        </w:rPr>
        <w:t>標售。</w:t>
      </w:r>
    </w:p>
    <w:p w:rsidR="009F2C42" w:rsidRPr="004E1208" w:rsidRDefault="00F23325" w:rsidP="009F2C42">
      <w:pPr>
        <w:pStyle w:val="4"/>
      </w:pPr>
      <w:r w:rsidRPr="004E1208">
        <w:rPr>
          <w:rFonts w:hAnsi="標楷體" w:hint="eastAsia"/>
        </w:rPr>
        <w:t>為避免</w:t>
      </w:r>
      <w:r w:rsidR="00421903" w:rsidRPr="004E1208">
        <w:rPr>
          <w:rFonts w:hAnsi="標楷體" w:hint="eastAsia"/>
        </w:rPr>
        <w:t>標售機關及作業方式不一，易遭外界混淆及質疑，宜有一致性之處理。</w:t>
      </w:r>
    </w:p>
    <w:p w:rsidR="00D93207" w:rsidRPr="004E1208" w:rsidRDefault="00F23325" w:rsidP="0045778C">
      <w:pPr>
        <w:pStyle w:val="3"/>
      </w:pPr>
      <w:r w:rsidRPr="004E1208">
        <w:rPr>
          <w:rFonts w:hint="eastAsia"/>
        </w:rPr>
        <w:t>本院諮詢之專家學者</w:t>
      </w:r>
      <w:r w:rsidR="00AA651F" w:rsidRPr="004E1208">
        <w:rPr>
          <w:rFonts w:hint="eastAsia"/>
        </w:rPr>
        <w:t>進一步</w:t>
      </w:r>
      <w:r w:rsidRPr="004E1208">
        <w:rPr>
          <w:rFonts w:hint="eastAsia"/>
        </w:rPr>
        <w:t>表示：</w:t>
      </w:r>
      <w:r w:rsidR="00202753" w:rsidRPr="004E1208">
        <w:rPr>
          <w:rFonts w:hint="eastAsia"/>
        </w:rPr>
        <w:t>「繼承人僅因逾期</w:t>
      </w:r>
      <w:r w:rsidR="00202753" w:rsidRPr="004E1208">
        <w:rPr>
          <w:rFonts w:hint="eastAsia"/>
        </w:rPr>
        <w:lastRenderedPageBreak/>
        <w:t>辦理繼承登記，其財產極可能遭國家標售，實屬不可思議，實務上亦頗多爭議」、</w:t>
      </w:r>
      <w:r w:rsidRPr="004E1208">
        <w:rPr>
          <w:rFonts w:hint="eastAsia"/>
        </w:rPr>
        <w:t>「</w:t>
      </w:r>
      <w:r w:rsidRPr="004E1208">
        <w:rPr>
          <w:rFonts w:hint="eastAsia"/>
        </w:rPr>
        <w:tab/>
        <w:t>有關土地法對於『逾期未辦繼承登記不動產標售業務回歸地政機關』，為符合憲法保障人民財產權之規定，以及司法院釋字第443號：『層級化法律保留原則』，應慎重處理，回歸地政機關，統一事權。」</w:t>
      </w:r>
    </w:p>
    <w:p w:rsidR="00F23325" w:rsidRPr="004E1208" w:rsidRDefault="00F23325" w:rsidP="0045778C">
      <w:pPr>
        <w:pStyle w:val="3"/>
      </w:pPr>
      <w:r w:rsidRPr="004E1208">
        <w:rPr>
          <w:rFonts w:hint="eastAsia"/>
        </w:rPr>
        <w:t>對此，內政部</w:t>
      </w:r>
      <w:proofErr w:type="gramStart"/>
      <w:r w:rsidRPr="004E1208">
        <w:rPr>
          <w:rFonts w:hint="eastAsia"/>
        </w:rPr>
        <w:t>則復稱</w:t>
      </w:r>
      <w:proofErr w:type="gramEnd"/>
      <w:r w:rsidRPr="004E1208">
        <w:rPr>
          <w:rFonts w:hint="eastAsia"/>
        </w:rPr>
        <w:t>：</w:t>
      </w:r>
    </w:p>
    <w:p w:rsidR="00F23325" w:rsidRPr="004E1208" w:rsidRDefault="00F23325" w:rsidP="00F23325">
      <w:pPr>
        <w:pStyle w:val="4"/>
      </w:pPr>
      <w:r w:rsidRPr="004E1208">
        <w:rPr>
          <w:rFonts w:hint="eastAsia"/>
        </w:rPr>
        <w:t>該法條並無違反憲法保障人民財產權：</w:t>
      </w:r>
    </w:p>
    <w:p w:rsidR="00202753" w:rsidRPr="004E1208" w:rsidRDefault="00F23325" w:rsidP="00F23325">
      <w:pPr>
        <w:pStyle w:val="5"/>
      </w:pPr>
      <w:proofErr w:type="gramStart"/>
      <w:r w:rsidRPr="004E1208">
        <w:rPr>
          <w:rFonts w:hint="eastAsia"/>
        </w:rPr>
        <w:t>該部以黃瑞明</w:t>
      </w:r>
      <w:proofErr w:type="gramEnd"/>
      <w:r w:rsidRPr="004E1208">
        <w:rPr>
          <w:rFonts w:hint="eastAsia"/>
        </w:rPr>
        <w:t>大法官提出之司法院釋字第773號解釋協同意見書為例，</w:t>
      </w:r>
      <w:r w:rsidR="00202753" w:rsidRPr="004E1208">
        <w:rPr>
          <w:rFonts w:hint="eastAsia"/>
        </w:rPr>
        <w:t>認為該</w:t>
      </w:r>
      <w:r w:rsidRPr="004E1208">
        <w:rPr>
          <w:rFonts w:hint="eastAsia"/>
        </w:rPr>
        <w:t>法條之立法目的乃因不動產是社會重要資源，其管理與利用不僅涉及私權，且與鄰近土地之開發與利用息息相關，若因無人繼承、無人管理而任其荒蕪，不僅造成社會問題，而且無法發揮地盡其利之功能，有損社會公益。是</w:t>
      </w:r>
      <w:proofErr w:type="gramStart"/>
      <w:r w:rsidRPr="004E1208">
        <w:rPr>
          <w:rFonts w:hint="eastAsia"/>
        </w:rPr>
        <w:t>以</w:t>
      </w:r>
      <w:proofErr w:type="gramEnd"/>
      <w:r w:rsidRPr="004E1208">
        <w:rPr>
          <w:rFonts w:hint="eastAsia"/>
        </w:rPr>
        <w:t>，為達成</w:t>
      </w:r>
      <w:r w:rsidR="00202753" w:rsidRPr="004E1208">
        <w:rPr>
          <w:rFonts w:hint="eastAsia"/>
        </w:rPr>
        <w:t>該</w:t>
      </w:r>
      <w:r w:rsidRPr="004E1208">
        <w:rPr>
          <w:rFonts w:hint="eastAsia"/>
        </w:rPr>
        <w:t>法條為促進土地利用及增進公共利益之立法目的，標售手段有其必要性及正當性。</w:t>
      </w:r>
    </w:p>
    <w:p w:rsidR="00F23325" w:rsidRPr="004E1208" w:rsidRDefault="00202753" w:rsidP="00F23325">
      <w:pPr>
        <w:pStyle w:val="5"/>
      </w:pPr>
      <w:r w:rsidRPr="004E1208">
        <w:rPr>
          <w:rFonts w:hint="eastAsia"/>
        </w:rPr>
        <w:t>又該</w:t>
      </w:r>
      <w:r w:rsidR="00F23325" w:rsidRPr="004E1208">
        <w:rPr>
          <w:rFonts w:hint="eastAsia"/>
        </w:rPr>
        <w:t>法條於歷次修法後</w:t>
      </w:r>
      <w:r w:rsidRPr="004E1208">
        <w:rPr>
          <w:rFonts w:hint="eastAsia"/>
        </w:rPr>
        <w:t>，</w:t>
      </w:r>
      <w:r w:rsidR="00F23325" w:rsidRPr="004E1208">
        <w:rPr>
          <w:rFonts w:hint="eastAsia"/>
        </w:rPr>
        <w:t>已藉由通知機制強化對繼承人程序之保障，尚符合憲法第23條規定，並無違反憲法第15條保障人民財產權之意旨。</w:t>
      </w:r>
    </w:p>
    <w:p w:rsidR="00F23325" w:rsidRPr="004E1208" w:rsidRDefault="00F23325" w:rsidP="00F23325">
      <w:pPr>
        <w:pStyle w:val="4"/>
      </w:pPr>
      <w:r w:rsidRPr="004E1208">
        <w:rPr>
          <w:rFonts w:hint="eastAsia"/>
        </w:rPr>
        <w:t>藉由通知機制強化對繼承人權益之保障，現行制度應予維持：</w:t>
      </w:r>
    </w:p>
    <w:p w:rsidR="00F23325" w:rsidRPr="004E1208" w:rsidRDefault="00F23325" w:rsidP="00202753">
      <w:pPr>
        <w:pStyle w:val="5"/>
      </w:pPr>
      <w:r w:rsidRPr="004E1208">
        <w:rPr>
          <w:rFonts w:hint="eastAsia"/>
        </w:rPr>
        <w:t>列冊管理前通知及公告機制</w:t>
      </w:r>
      <w:r w:rsidR="00202753" w:rsidRPr="004E1208">
        <w:rPr>
          <w:rFonts w:hint="eastAsia"/>
        </w:rPr>
        <w:t>：土地法第73條之1</w:t>
      </w:r>
      <w:r w:rsidRPr="004E1208">
        <w:rPr>
          <w:rFonts w:hint="eastAsia"/>
        </w:rPr>
        <w:t>第1項規定，繼承人逾1年仍未辦理繼承登記者，地政機關書面通知繼承人並公告3個月後予以列冊管理，</w:t>
      </w:r>
      <w:proofErr w:type="gramStart"/>
      <w:r w:rsidRPr="004E1208">
        <w:rPr>
          <w:rFonts w:hint="eastAsia"/>
        </w:rPr>
        <w:t>該部在未</w:t>
      </w:r>
      <w:proofErr w:type="gramEnd"/>
      <w:r w:rsidRPr="004E1208">
        <w:rPr>
          <w:rFonts w:hint="eastAsia"/>
        </w:rPr>
        <w:t>辦繼承登記土地及建築</w:t>
      </w:r>
      <w:proofErr w:type="gramStart"/>
      <w:r w:rsidRPr="004E1208">
        <w:rPr>
          <w:rFonts w:hint="eastAsia"/>
        </w:rPr>
        <w:t>改良物列冊</w:t>
      </w:r>
      <w:proofErr w:type="gramEnd"/>
      <w:r w:rsidRPr="004E1208">
        <w:rPr>
          <w:rFonts w:hint="eastAsia"/>
        </w:rPr>
        <w:t>管理作業要點第5點規定，地政機關向戶政機關或稅捐機關查詢繼承人及其住址，以雙掛號通知辦理繼承登記。</w:t>
      </w:r>
    </w:p>
    <w:p w:rsidR="00F23325" w:rsidRPr="004E1208" w:rsidRDefault="00F23325" w:rsidP="00202753">
      <w:pPr>
        <w:pStyle w:val="5"/>
      </w:pPr>
      <w:r w:rsidRPr="004E1208">
        <w:rPr>
          <w:rFonts w:hint="eastAsia"/>
        </w:rPr>
        <w:t>列冊管理期滿通知機制</w:t>
      </w:r>
      <w:r w:rsidR="00202753" w:rsidRPr="004E1208">
        <w:rPr>
          <w:rFonts w:hint="eastAsia"/>
        </w:rPr>
        <w:t>：土地法第73條之1</w:t>
      </w:r>
      <w:r w:rsidRPr="004E1208">
        <w:rPr>
          <w:rFonts w:hint="eastAsia"/>
        </w:rPr>
        <w:t>第2</w:t>
      </w:r>
      <w:r w:rsidRPr="004E1208">
        <w:rPr>
          <w:rFonts w:hint="eastAsia"/>
        </w:rPr>
        <w:lastRenderedPageBreak/>
        <w:t>項規定，經列冊管理15年期滿</w:t>
      </w:r>
      <w:proofErr w:type="gramStart"/>
      <w:r w:rsidRPr="004E1208">
        <w:rPr>
          <w:rFonts w:hint="eastAsia"/>
        </w:rPr>
        <w:t>仍未聲請</w:t>
      </w:r>
      <w:proofErr w:type="gramEnd"/>
      <w:r w:rsidRPr="004E1208">
        <w:rPr>
          <w:rFonts w:hint="eastAsia"/>
        </w:rPr>
        <w:t>繼承登記者，地政機關書面通知繼承人並移請國產署辦理公開標售。為督促繼承人儘速辦理繼承登記，地政機關2次書面通知繼承人機制，強化對繼承人權益保障，已</w:t>
      </w:r>
      <w:proofErr w:type="gramStart"/>
      <w:r w:rsidRPr="004E1208">
        <w:rPr>
          <w:rFonts w:hint="eastAsia"/>
        </w:rPr>
        <w:t>善盡移請國產署公開標</w:t>
      </w:r>
      <w:proofErr w:type="gramEnd"/>
      <w:r w:rsidRPr="004E1208">
        <w:rPr>
          <w:rFonts w:hint="eastAsia"/>
        </w:rPr>
        <w:t>售前通知繼承人之義務。</w:t>
      </w:r>
    </w:p>
    <w:p w:rsidR="00F23325" w:rsidRPr="004E1208" w:rsidRDefault="00202753" w:rsidP="00202753">
      <w:pPr>
        <w:pStyle w:val="5"/>
      </w:pPr>
      <w:r w:rsidRPr="004E1208">
        <w:rPr>
          <w:rFonts w:hint="eastAsia"/>
        </w:rPr>
        <w:t>該法條</w:t>
      </w:r>
      <w:r w:rsidR="00F23325" w:rsidRPr="004E1208">
        <w:rPr>
          <w:rFonts w:hint="eastAsia"/>
        </w:rPr>
        <w:t>規定，地政機關列冊管理15年期滿</w:t>
      </w:r>
      <w:proofErr w:type="gramStart"/>
      <w:r w:rsidR="00F23325" w:rsidRPr="004E1208">
        <w:rPr>
          <w:rFonts w:hint="eastAsia"/>
        </w:rPr>
        <w:t>仍未聲請</w:t>
      </w:r>
      <w:proofErr w:type="gramEnd"/>
      <w:r w:rsidR="00F23325" w:rsidRPr="004E1208">
        <w:rPr>
          <w:rFonts w:hint="eastAsia"/>
        </w:rPr>
        <w:t>繼承登記者，移請國產署辦理公開標售，繼承人得於10年內領取標售價金，逾期無人領取則歸屬國庫。因係比照無人承認繼承以國產署為遺產管理人，</w:t>
      </w:r>
      <w:r w:rsidRPr="004E1208">
        <w:rPr>
          <w:rFonts w:hint="eastAsia"/>
        </w:rPr>
        <w:t>以</w:t>
      </w:r>
      <w:r w:rsidR="00F23325" w:rsidRPr="004E1208">
        <w:rPr>
          <w:rFonts w:hint="eastAsia"/>
        </w:rPr>
        <w:t>及無主土地視為國有財產之精神，由該署辦理標售尚無不妥。又地政機關</w:t>
      </w:r>
      <w:proofErr w:type="gramStart"/>
      <w:r w:rsidR="00F23325" w:rsidRPr="004E1208">
        <w:rPr>
          <w:rFonts w:hint="eastAsia"/>
        </w:rPr>
        <w:t>雖非標售</w:t>
      </w:r>
      <w:proofErr w:type="gramEnd"/>
      <w:r w:rsidR="00F23325" w:rsidRPr="004E1208">
        <w:rPr>
          <w:rFonts w:hint="eastAsia"/>
        </w:rPr>
        <w:t>主管機關，亦協助</w:t>
      </w:r>
      <w:r w:rsidRPr="004E1208">
        <w:rPr>
          <w:rFonts w:hint="eastAsia"/>
        </w:rPr>
        <w:t>列</w:t>
      </w:r>
      <w:r w:rsidR="00F23325" w:rsidRPr="004E1208">
        <w:rPr>
          <w:rFonts w:hint="eastAsia"/>
        </w:rPr>
        <w:t>冊管理期滿前清查是否屬公共設施用地、有無價購或徵收計畫等，移送標售時一併檢附列冊管理單、土地或建物登記資料及地籍圖或建物平面圖等，以利國產署所屬分署或辦事處後續作業。又自89年起</w:t>
      </w:r>
      <w:proofErr w:type="gramStart"/>
      <w:r w:rsidR="00F23325" w:rsidRPr="004E1208">
        <w:rPr>
          <w:rFonts w:hint="eastAsia"/>
        </w:rPr>
        <w:t>迄今均由國產</w:t>
      </w:r>
      <w:proofErr w:type="gramEnd"/>
      <w:r w:rsidR="00F23325" w:rsidRPr="004E1208">
        <w:rPr>
          <w:rFonts w:hint="eastAsia"/>
        </w:rPr>
        <w:t>署辦理標售，相關標售作業極為熟稔，為維護繼承人權益，仍應維持現行各階段權責分工機制。</w:t>
      </w:r>
    </w:p>
    <w:p w:rsidR="00202753" w:rsidRPr="004E1208" w:rsidRDefault="00202753" w:rsidP="00202753">
      <w:pPr>
        <w:pStyle w:val="3"/>
      </w:pPr>
      <w:r w:rsidRPr="004E1208">
        <w:rPr>
          <w:rFonts w:hint="eastAsia"/>
        </w:rPr>
        <w:t>查司法院釋字第773號解釋</w:t>
      </w:r>
      <w:r w:rsidR="00BC72EB" w:rsidRPr="004E1208">
        <w:rPr>
          <w:rFonts w:hint="eastAsia"/>
        </w:rPr>
        <w:t>之</w:t>
      </w:r>
      <w:r w:rsidRPr="004E1208">
        <w:rPr>
          <w:rFonts w:hint="eastAsia"/>
        </w:rPr>
        <w:t>爭點在於，未辦理繼承登記土地或建築改良物之合法使用人，依土地法第73條之1第3項前段規定行使優先購買權所生爭議，其訴訟應由普通法院或行政法院審判？</w:t>
      </w:r>
      <w:r w:rsidR="00AA651F" w:rsidRPr="004E1208">
        <w:rPr>
          <w:rFonts w:hint="eastAsia"/>
        </w:rPr>
        <w:t>因此，該號解釋係就土地法第73條之1優先購買權爭議審判權之歸屬進行審理。</w:t>
      </w:r>
      <w:proofErr w:type="gramStart"/>
      <w:r w:rsidR="00AA651F" w:rsidRPr="004E1208">
        <w:rPr>
          <w:rFonts w:hint="eastAsia"/>
        </w:rPr>
        <w:t>嗣</w:t>
      </w:r>
      <w:proofErr w:type="gramEnd"/>
      <w:r w:rsidR="00AB7940" w:rsidRPr="004E1208">
        <w:rPr>
          <w:rFonts w:hint="eastAsia"/>
        </w:rPr>
        <w:t>經大法官會議</w:t>
      </w:r>
      <w:r w:rsidR="00AA651F" w:rsidRPr="004E1208">
        <w:rPr>
          <w:rFonts w:hint="eastAsia"/>
        </w:rPr>
        <w:t>作出解釋</w:t>
      </w:r>
      <w:r w:rsidR="00AB7940" w:rsidRPr="004E1208">
        <w:rPr>
          <w:rFonts w:hint="eastAsia"/>
        </w:rPr>
        <w:t>，認為性質上屬私法關係所生之爭議，其訴訟應由普通法院審判，</w:t>
      </w:r>
      <w:proofErr w:type="gramStart"/>
      <w:r w:rsidR="00AB7940" w:rsidRPr="004E1208">
        <w:rPr>
          <w:rFonts w:hint="eastAsia"/>
        </w:rPr>
        <w:t>先予敘明</w:t>
      </w:r>
      <w:proofErr w:type="gramEnd"/>
      <w:r w:rsidR="00AB7940" w:rsidRPr="004E1208">
        <w:rPr>
          <w:rFonts w:hint="eastAsia"/>
        </w:rPr>
        <w:t>。</w:t>
      </w:r>
    </w:p>
    <w:p w:rsidR="00AB7940" w:rsidRPr="004E1208" w:rsidRDefault="00AB7940" w:rsidP="00AB3C69">
      <w:pPr>
        <w:pStyle w:val="3"/>
      </w:pPr>
      <w:r w:rsidRPr="004E1208">
        <w:rPr>
          <w:rFonts w:hint="eastAsia"/>
        </w:rPr>
        <w:t>經查，黃瑞明大法官提出之司法院釋字第773號解釋協同意見書，</w:t>
      </w:r>
      <w:r w:rsidR="00DE50CA" w:rsidRPr="004E1208">
        <w:rPr>
          <w:rFonts w:hint="eastAsia"/>
        </w:rPr>
        <w:t>並未針對土地法第73條之1有關標售</w:t>
      </w:r>
      <w:r w:rsidR="00DE50CA" w:rsidRPr="004E1208">
        <w:rPr>
          <w:rFonts w:hint="eastAsia"/>
        </w:rPr>
        <w:lastRenderedPageBreak/>
        <w:t>未辦繼承土地之規定是否違憲表示意見，黃大法官雖稱</w:t>
      </w:r>
      <w:r w:rsidR="008C51C3">
        <w:rPr>
          <w:rFonts w:hint="eastAsia"/>
        </w:rPr>
        <w:t>：</w:t>
      </w:r>
      <w:r w:rsidR="00DE50CA" w:rsidRPr="004E1208">
        <w:rPr>
          <w:rFonts w:hint="eastAsia"/>
        </w:rPr>
        <w:t>「土地法第73之1規定之立法目的</w:t>
      </w:r>
      <w:r w:rsidRPr="004E1208">
        <w:rPr>
          <w:rFonts w:hint="eastAsia"/>
        </w:rPr>
        <w:t>乃因不動產是社會重要資源，其管理與利用不僅涉及私權，且與鄰近土地之開發與利用息息相關，若因無人繼承、無人管理而任其荒蕪，不僅造成社會問題，而且無法發揮地盡其利之功能，有損社會公益</w:t>
      </w:r>
      <w:r w:rsidR="00DE50CA" w:rsidRPr="004E1208">
        <w:rPr>
          <w:rFonts w:hint="eastAsia"/>
        </w:rPr>
        <w:t>」，惟黃大法官重點在</w:t>
      </w:r>
      <w:r w:rsidR="00EC6463" w:rsidRPr="004E1208">
        <w:rPr>
          <w:rFonts w:hint="eastAsia"/>
        </w:rPr>
        <w:t>於</w:t>
      </w:r>
      <w:r w:rsidR="00DE50CA" w:rsidRPr="004E1208">
        <w:rPr>
          <w:rFonts w:hint="eastAsia"/>
        </w:rPr>
        <w:t>其結論：「故主管機關造冊列管及移請標售之行為，</w:t>
      </w:r>
      <w:proofErr w:type="gramStart"/>
      <w:r w:rsidR="00DE50CA" w:rsidRPr="004E1208">
        <w:rPr>
          <w:rFonts w:hint="eastAsia"/>
        </w:rPr>
        <w:t>均係對</w:t>
      </w:r>
      <w:proofErr w:type="gramEnd"/>
      <w:r w:rsidR="00DE50CA" w:rsidRPr="004E1208">
        <w:rPr>
          <w:rFonts w:hint="eastAsia"/>
        </w:rPr>
        <w:t>未辦理繼承登記之不動產產生法律效果之單方行政行為。故如對造冊列管或移請標售之行為有爭議，應由行政法院審理。」</w:t>
      </w:r>
    </w:p>
    <w:p w:rsidR="00DE50CA" w:rsidRPr="004E1208" w:rsidRDefault="00DE50CA" w:rsidP="00AB3C69">
      <w:pPr>
        <w:pStyle w:val="3"/>
      </w:pPr>
      <w:r w:rsidRPr="004E1208">
        <w:rPr>
          <w:rFonts w:hint="eastAsia"/>
        </w:rPr>
        <w:t>反而是羅昌發大法官提出之司法院釋字第773號解釋協同意見書，</w:t>
      </w:r>
      <w:r w:rsidR="00466EBD" w:rsidRPr="004E1208">
        <w:rPr>
          <w:rFonts w:hint="eastAsia"/>
        </w:rPr>
        <w:t>認為該法條有關拍賣繼承人土地之規定，在實體上，涉及有無違反憲法第15條保障人民財產權之疑義。該意見書內容略</w:t>
      </w:r>
      <w:proofErr w:type="gramStart"/>
      <w:r w:rsidR="00466EBD" w:rsidRPr="004E1208">
        <w:rPr>
          <w:rFonts w:hint="eastAsia"/>
        </w:rPr>
        <w:t>以</w:t>
      </w:r>
      <w:proofErr w:type="gramEnd"/>
      <w:r w:rsidR="00466EBD" w:rsidRPr="004E1208">
        <w:rPr>
          <w:rFonts w:hint="eastAsia"/>
        </w:rPr>
        <w:t>：</w:t>
      </w:r>
    </w:p>
    <w:p w:rsidR="00466EBD" w:rsidRPr="004E1208" w:rsidRDefault="00466EBD" w:rsidP="00466EBD">
      <w:pPr>
        <w:pStyle w:val="4"/>
      </w:pPr>
      <w:r w:rsidRPr="004E1208">
        <w:rPr>
          <w:rFonts w:hint="eastAsia"/>
        </w:rPr>
        <w:t>土地法第73條之1第2項規定，實際上係以公開標售方式，剝奪人民不動產財產權。</w:t>
      </w:r>
    </w:p>
    <w:p w:rsidR="00466EBD" w:rsidRPr="004E1208" w:rsidRDefault="00466EBD" w:rsidP="00AB3C69">
      <w:pPr>
        <w:pStyle w:val="4"/>
      </w:pPr>
      <w:r w:rsidRPr="004E1208">
        <w:rPr>
          <w:rFonts w:hint="eastAsia"/>
        </w:rPr>
        <w:t>司法院以往對於國家徵收人民土地，設有諸多嚴格條件，包括徵收前之國家義務</w:t>
      </w:r>
      <w:proofErr w:type="gramStart"/>
      <w:r w:rsidRPr="004E1208">
        <w:rPr>
          <w:rFonts w:hint="eastAsia"/>
        </w:rPr>
        <w:t>（</w:t>
      </w:r>
      <w:proofErr w:type="gramEnd"/>
      <w:r w:rsidRPr="004E1208">
        <w:rPr>
          <w:rFonts w:hint="eastAsia"/>
        </w:rPr>
        <w:t>實體上義務， 包括徵收必須符合公用或其他公益目的之必要，且應給予合理相當之補償，並儘速發給等要件；程序上義務，例如徵收計畫確定前，國家應聽取土地所有權人及利害關係人之意見，及辦理徵收時，應嚴格要求國家</w:t>
      </w:r>
      <w:proofErr w:type="gramStart"/>
      <w:r w:rsidRPr="004E1208">
        <w:rPr>
          <w:rFonts w:hint="eastAsia"/>
        </w:rPr>
        <w:t>踐行</w:t>
      </w:r>
      <w:proofErr w:type="gramEnd"/>
      <w:r w:rsidRPr="004E1208">
        <w:rPr>
          <w:rFonts w:hint="eastAsia"/>
        </w:rPr>
        <w:t>公告及書面通知之 正當法律程序等</w:t>
      </w:r>
      <w:proofErr w:type="gramStart"/>
      <w:r w:rsidRPr="004E1208">
        <w:rPr>
          <w:rFonts w:hint="eastAsia"/>
        </w:rPr>
        <w:t>）</w:t>
      </w:r>
      <w:proofErr w:type="gramEnd"/>
      <w:r w:rsidRPr="004E1208">
        <w:rPr>
          <w:rFonts w:hint="eastAsia"/>
        </w:rPr>
        <w:t>及徵收後之國家義務</w:t>
      </w:r>
      <w:proofErr w:type="gramStart"/>
      <w:r w:rsidRPr="004E1208">
        <w:rPr>
          <w:rFonts w:hint="eastAsia"/>
        </w:rPr>
        <w:t>（</w:t>
      </w:r>
      <w:proofErr w:type="gramEnd"/>
      <w:r w:rsidRPr="004E1208">
        <w:rPr>
          <w:rFonts w:hint="eastAsia"/>
        </w:rPr>
        <w:t>實體上義務，包括國家在徵收人民土地後，如有喪失正當性之情形時，有義務返還土地予人民；程序上義務，例如國家徵收完成時起一定期限內，定期通知原土地所有權人，使其適時知悉被徵收土地之後續使用情形；若有不能個別通知之情事，應依法公告</w:t>
      </w:r>
      <w:proofErr w:type="gramStart"/>
      <w:r w:rsidRPr="004E1208">
        <w:rPr>
          <w:rFonts w:hint="eastAsia"/>
        </w:rPr>
        <w:t>）均有嚴格</w:t>
      </w:r>
      <w:proofErr w:type="gramEnd"/>
      <w:r w:rsidRPr="004E1208">
        <w:rPr>
          <w:rFonts w:hint="eastAsia"/>
        </w:rPr>
        <w:t>之要求（參見羅大法官於司法</w:t>
      </w:r>
      <w:r w:rsidRPr="004E1208">
        <w:rPr>
          <w:rFonts w:hint="eastAsia"/>
        </w:rPr>
        <w:lastRenderedPageBreak/>
        <w:t>院釋字第763號解釋所提出之意見書）。</w:t>
      </w:r>
    </w:p>
    <w:p w:rsidR="00466EBD" w:rsidRPr="004E1208" w:rsidRDefault="00466EBD" w:rsidP="00AB3C69">
      <w:pPr>
        <w:pStyle w:val="4"/>
      </w:pPr>
      <w:r w:rsidRPr="004E1208">
        <w:rPr>
          <w:rFonts w:hint="eastAsia"/>
        </w:rPr>
        <w:t>土地法第73條之1第2項所規定之公開標售人民土地及建築物，性質上雖非國家徵收，然其效果與國家徵收人民不動產並無實質上之差別，</w:t>
      </w:r>
      <w:proofErr w:type="gramStart"/>
      <w:r w:rsidRPr="004E1208">
        <w:rPr>
          <w:rFonts w:hint="eastAsia"/>
        </w:rPr>
        <w:t>均係使</w:t>
      </w:r>
      <w:proofErr w:type="gramEnd"/>
      <w:r w:rsidRPr="004E1208">
        <w:rPr>
          <w:rFonts w:hint="eastAsia"/>
        </w:rPr>
        <w:t>人民喪失財產權。惟其公開標售之制度，看不出係為達成何種「公益目的之必要」，且對繼承人並無任何程序保障可言（例如地政機關僅須公告，而無須持續催告並告知繼承人可能之不利後果等）。繼承人僅因16年3個月（即未辦理登記之1年期間，加上公告3個月之申請登記期間，加上15年之列管期間）</w:t>
      </w:r>
      <w:proofErr w:type="gramStart"/>
      <w:r w:rsidRPr="004E1208">
        <w:rPr>
          <w:rFonts w:hint="eastAsia"/>
        </w:rPr>
        <w:t>怠</w:t>
      </w:r>
      <w:proofErr w:type="gramEnd"/>
      <w:r w:rsidRPr="004E1208">
        <w:rPr>
          <w:rFonts w:hint="eastAsia"/>
        </w:rPr>
        <w:t>於辦理繼承登記，其財產即可能遭國家標售；標售之後，不但使繼承人喪失所有權，且繼承人原占有不動產者，於標售後更喪失其占有之權利。換言之，自己居住在自己繼承的房屋或在自己繼承之土地上耕作，只因</w:t>
      </w:r>
      <w:proofErr w:type="gramStart"/>
      <w:r w:rsidRPr="004E1208">
        <w:rPr>
          <w:rFonts w:hint="eastAsia"/>
        </w:rPr>
        <w:t>怠</w:t>
      </w:r>
      <w:proofErr w:type="gramEnd"/>
      <w:r w:rsidRPr="004E1208">
        <w:rPr>
          <w:rFonts w:hint="eastAsia"/>
        </w:rPr>
        <w:t>於辦理繼承登記，即可能面臨遭逐出之命運。依土地法第73條之1第3項之規定，繼承人、合法使用人或其他共有人就其使用範圍雖依序有優先購買權，然繼承人必須出資將自己繼承的財產買回，實屬不可思議。土地法第73條之1第2項有關公開標售人民土地及建築物之規定，甚難通過憲法之檢驗；</w:t>
      </w:r>
      <w:proofErr w:type="gramStart"/>
      <w:r w:rsidRPr="004E1208">
        <w:rPr>
          <w:rFonts w:hint="eastAsia"/>
        </w:rPr>
        <w:t>該條實有</w:t>
      </w:r>
      <w:proofErr w:type="gramEnd"/>
      <w:r w:rsidRPr="004E1208">
        <w:rPr>
          <w:rFonts w:hint="eastAsia"/>
        </w:rPr>
        <w:t>違反憲法保障人民財產權之高度疑義。</w:t>
      </w:r>
    </w:p>
    <w:p w:rsidR="00466EBD" w:rsidRPr="004E1208" w:rsidRDefault="00275571" w:rsidP="00466EBD">
      <w:pPr>
        <w:pStyle w:val="3"/>
      </w:pPr>
      <w:r w:rsidRPr="004E1208">
        <w:rPr>
          <w:rFonts w:hint="eastAsia"/>
        </w:rPr>
        <w:t>除此之外，</w:t>
      </w:r>
      <w:r w:rsidR="00BC72EB" w:rsidRPr="004E1208">
        <w:rPr>
          <w:rFonts w:hint="eastAsia"/>
        </w:rPr>
        <w:t>學術界</w:t>
      </w:r>
      <w:r w:rsidRPr="004E1208">
        <w:rPr>
          <w:rFonts w:hint="eastAsia"/>
        </w:rPr>
        <w:t>對於逾期未辦繼承登記土地</w:t>
      </w:r>
      <w:proofErr w:type="gramStart"/>
      <w:r w:rsidR="000C51FC" w:rsidRPr="004E1208">
        <w:rPr>
          <w:rFonts w:hint="eastAsia"/>
        </w:rPr>
        <w:t>逕</w:t>
      </w:r>
      <w:proofErr w:type="gramEnd"/>
      <w:r w:rsidR="000C51FC" w:rsidRPr="004E1208">
        <w:rPr>
          <w:rFonts w:hint="eastAsia"/>
        </w:rPr>
        <w:t>為辦理標售，亦有</w:t>
      </w:r>
      <w:proofErr w:type="gramStart"/>
      <w:r w:rsidR="000C51FC" w:rsidRPr="004E1208">
        <w:rPr>
          <w:rFonts w:hint="eastAsia"/>
        </w:rPr>
        <w:t>諸多非論</w:t>
      </w:r>
      <w:proofErr w:type="gramEnd"/>
      <w:r w:rsidR="000C51FC" w:rsidRPr="004E1208">
        <w:rPr>
          <w:rFonts w:hint="eastAsia"/>
        </w:rPr>
        <w:t>，其理由略</w:t>
      </w:r>
      <w:proofErr w:type="gramStart"/>
      <w:r w:rsidR="000C51FC" w:rsidRPr="004E1208">
        <w:rPr>
          <w:rFonts w:hint="eastAsia"/>
        </w:rPr>
        <w:t>以</w:t>
      </w:r>
      <w:proofErr w:type="gramEnd"/>
      <w:r w:rsidR="000C51FC" w:rsidRPr="004E1208">
        <w:rPr>
          <w:rFonts w:hint="eastAsia"/>
        </w:rPr>
        <w:t>：</w:t>
      </w:r>
    </w:p>
    <w:p w:rsidR="000C51FC" w:rsidRPr="004E1208" w:rsidRDefault="000C51FC" w:rsidP="000C51FC">
      <w:pPr>
        <w:pStyle w:val="4"/>
      </w:pPr>
      <w:r w:rsidRPr="004E1208">
        <w:rPr>
          <w:rFonts w:hint="eastAsia"/>
        </w:rPr>
        <w:t>未辦繼承登記之土地數量，在土地法89年修訂後，未見有減少之跡象，可知民眾並不會因為土地法規定將移請國產署辦理標售等因素，而考量辦理繼承登記。如果無法辦理繼承登記之原因或問題無法獲得根本解決，即使政府立法強制規</w:t>
      </w:r>
      <w:r w:rsidRPr="004E1208">
        <w:rPr>
          <w:rFonts w:hint="eastAsia"/>
        </w:rPr>
        <w:lastRenderedPageBreak/>
        <w:t>定，亦無法促使民眾申辦繼承登記。法條之修正無法解決實質問題，問題之本質仍在</w:t>
      </w:r>
      <w:r w:rsidRPr="004E1208">
        <w:rPr>
          <w:rStyle w:val="afd"/>
        </w:rPr>
        <w:footnoteReference w:id="26"/>
      </w:r>
      <w:r w:rsidRPr="004E1208">
        <w:rPr>
          <w:rFonts w:hint="eastAsia"/>
        </w:rPr>
        <w:t>。</w:t>
      </w:r>
    </w:p>
    <w:p w:rsidR="00506BBB" w:rsidRPr="004E1208" w:rsidRDefault="00506BBB" w:rsidP="000C51FC">
      <w:pPr>
        <w:pStyle w:val="4"/>
      </w:pPr>
      <w:r w:rsidRPr="004E1208">
        <w:rPr>
          <w:rFonts w:hint="eastAsia"/>
        </w:rPr>
        <w:t>繼承人應經登記始得處分不動產，逾期申請登記已有罰鍰之規定，公開標售是否因而可界定為只為催促繼承人</w:t>
      </w:r>
      <w:r w:rsidR="00A76822">
        <w:rPr>
          <w:rFonts w:hint="eastAsia"/>
        </w:rPr>
        <w:t>儘</w:t>
      </w:r>
      <w:r w:rsidRPr="004E1208">
        <w:rPr>
          <w:rFonts w:hint="eastAsia"/>
        </w:rPr>
        <w:t>速辦理繼承登記之工具，即懲罰沒有依時登記之手段。若此公開標售之目的僅係為促進土地利用，而其性質係為消滅繼承人之所有權，此種措施是否符合公法上之比例原則，即有從財產權保障之觀點來檢驗該條文合憲性之餘地。</w:t>
      </w:r>
      <w:r w:rsidRPr="004E1208">
        <w:rPr>
          <w:rStyle w:val="afd"/>
        </w:rPr>
        <w:footnoteReference w:id="27"/>
      </w:r>
    </w:p>
    <w:p w:rsidR="00506BBB" w:rsidRPr="004E1208" w:rsidRDefault="00506BBB" w:rsidP="000C51FC">
      <w:pPr>
        <w:pStyle w:val="4"/>
      </w:pPr>
      <w:r w:rsidRPr="004E1208">
        <w:rPr>
          <w:rFonts w:hint="eastAsia"/>
        </w:rPr>
        <w:t>土地法第73條之1立法目的旨在敦促繼承人儘速申辦繼承登記，以免造成地籍紊亂、稅籍失實、政府施政之困擾，但繼承人不就遺產為繼承登記，必有其原因存在，法律不就其原因加以探究與協助解決，而</w:t>
      </w:r>
      <w:proofErr w:type="gramStart"/>
      <w:r w:rsidRPr="004E1208">
        <w:rPr>
          <w:rFonts w:hint="eastAsia"/>
        </w:rPr>
        <w:t>一昧</w:t>
      </w:r>
      <w:proofErr w:type="gramEnd"/>
      <w:r w:rsidRPr="004E1208">
        <w:rPr>
          <w:rFonts w:hint="eastAsia"/>
        </w:rPr>
        <w:t>祭以強制代管或後來的列冊管理，甚至於列冊</w:t>
      </w:r>
      <w:proofErr w:type="gramStart"/>
      <w:r w:rsidRPr="004E1208">
        <w:rPr>
          <w:rFonts w:hint="eastAsia"/>
        </w:rPr>
        <w:t>管理滿後</w:t>
      </w:r>
      <w:proofErr w:type="gramEnd"/>
      <w:r w:rsidRPr="004E1208">
        <w:rPr>
          <w:rFonts w:hint="eastAsia"/>
        </w:rPr>
        <w:t>，有被移請</w:t>
      </w:r>
      <w:proofErr w:type="gramStart"/>
      <w:r w:rsidRPr="004E1208">
        <w:rPr>
          <w:rFonts w:hint="eastAsia"/>
        </w:rPr>
        <w:t>國產署公開標</w:t>
      </w:r>
      <w:proofErr w:type="gramEnd"/>
      <w:r w:rsidRPr="004E1208">
        <w:rPr>
          <w:rFonts w:hint="eastAsia"/>
        </w:rPr>
        <w:t>售強制賤價出售的命運，如此規定，是否符合憲法第23條所定之「必要性」原則，不無商榷之餘地。</w:t>
      </w:r>
      <w:r w:rsidR="000F479E" w:rsidRPr="004E1208">
        <w:rPr>
          <w:rStyle w:val="afd"/>
        </w:rPr>
        <w:footnoteReference w:id="28"/>
      </w:r>
    </w:p>
    <w:p w:rsidR="00EC6463" w:rsidRPr="004E1208" w:rsidRDefault="006C05AB" w:rsidP="000C51FC">
      <w:pPr>
        <w:pStyle w:val="4"/>
      </w:pPr>
      <w:r w:rsidRPr="004E1208">
        <w:rPr>
          <w:rFonts w:hint="eastAsia"/>
        </w:rPr>
        <w:t>不論土地法第73條之1於64年增訂之源起，抑或99年修訂之立法宗旨，其初衷皆在於促使繼承人儘速申請繼承登記，以保障其土地權利，並釐正地籍，而非「</w:t>
      </w:r>
      <w:proofErr w:type="gramStart"/>
      <w:r w:rsidRPr="004E1208">
        <w:rPr>
          <w:rFonts w:hint="eastAsia"/>
        </w:rPr>
        <w:t>逕</w:t>
      </w:r>
      <w:proofErr w:type="gramEnd"/>
      <w:r w:rsidRPr="004E1208">
        <w:rPr>
          <w:rFonts w:hint="eastAsia"/>
        </w:rPr>
        <w:t>為標售」甚而「登記為國有」。</w:t>
      </w:r>
      <w:proofErr w:type="gramStart"/>
      <w:r w:rsidRPr="004E1208">
        <w:rPr>
          <w:rFonts w:hint="eastAsia"/>
        </w:rPr>
        <w:t>準</w:t>
      </w:r>
      <w:proofErr w:type="gramEnd"/>
      <w:r w:rsidRPr="004E1208">
        <w:rPr>
          <w:rFonts w:hint="eastAsia"/>
        </w:rPr>
        <w:t>此，針對逾期未辦繼承登記土地之法制規範，政府應謹遵立法宗旨，促使繼承人儘速申請繼承登</w:t>
      </w:r>
      <w:r w:rsidRPr="004E1208">
        <w:rPr>
          <w:rFonts w:hint="eastAsia"/>
        </w:rPr>
        <w:lastRenderedPageBreak/>
        <w:t>記，在政府主管機關已知土地所有權人死亡而未辦繼承時，應竭盡所能協助繼承人申辦繼承登記，</w:t>
      </w:r>
      <w:r w:rsidR="006E5871" w:rsidRPr="004E1208">
        <w:rPr>
          <w:rFonts w:hint="eastAsia"/>
        </w:rPr>
        <w:t>以</w:t>
      </w:r>
      <w:r w:rsidRPr="004E1208">
        <w:rPr>
          <w:rFonts w:hint="eastAsia"/>
        </w:rPr>
        <w:t>儘量減少未辦繼承登記情形。畢竟，基於憲法保障人民的財產權，對逾期未辦繼承登記者，不僅不該是形式上的列冊管理，更非強制性的「</w:t>
      </w:r>
      <w:proofErr w:type="gramStart"/>
      <w:r w:rsidRPr="004E1208">
        <w:rPr>
          <w:rFonts w:hint="eastAsia"/>
        </w:rPr>
        <w:t>逕</w:t>
      </w:r>
      <w:proofErr w:type="gramEnd"/>
      <w:r w:rsidRPr="004E1208">
        <w:rPr>
          <w:rFonts w:hint="eastAsia"/>
        </w:rPr>
        <w:t>為標售」，甚而登記為國有。而今，政府主管機關查知土地所有權人已死亡，不僅未主動協助其等辦理繼承登記，反而</w:t>
      </w:r>
      <w:r w:rsidR="006E5871" w:rsidRPr="004E1208">
        <w:rPr>
          <w:rFonts w:hint="eastAsia"/>
        </w:rPr>
        <w:t>徒具形式的予以列冊管理，並守株待兔式的，</w:t>
      </w:r>
      <w:proofErr w:type="gramStart"/>
      <w:r w:rsidR="006E5871" w:rsidRPr="004E1208">
        <w:rPr>
          <w:rFonts w:hint="eastAsia"/>
        </w:rPr>
        <w:t>於列冊</w:t>
      </w:r>
      <w:proofErr w:type="gramEnd"/>
      <w:r w:rsidR="006E5871" w:rsidRPr="004E1208">
        <w:rPr>
          <w:rFonts w:hint="eastAsia"/>
        </w:rPr>
        <w:t>管理1</w:t>
      </w:r>
      <w:r w:rsidR="006E5871" w:rsidRPr="004E1208">
        <w:t>5</w:t>
      </w:r>
      <w:r w:rsidR="006E5871" w:rsidRPr="004E1208">
        <w:rPr>
          <w:rFonts w:hint="eastAsia"/>
        </w:rPr>
        <w:t>年後，將逾期未辦繼承登記者予以</w:t>
      </w:r>
      <w:proofErr w:type="gramStart"/>
      <w:r w:rsidR="006E5871" w:rsidRPr="004E1208">
        <w:rPr>
          <w:rFonts w:hint="eastAsia"/>
        </w:rPr>
        <w:t>逕</w:t>
      </w:r>
      <w:proofErr w:type="gramEnd"/>
      <w:r w:rsidR="006E5871" w:rsidRPr="004E1208">
        <w:rPr>
          <w:rFonts w:hint="eastAsia"/>
        </w:rPr>
        <w:t>為標售，甚而將原本即不是國有財產的私人土地登記為國有，此政府無為消極的作法，進而損及人民的財產權，無怪乎，土地法第73條之1之增修始終存在「合憲性」的爭議。</w:t>
      </w:r>
      <w:r w:rsidR="006E5871" w:rsidRPr="004E1208">
        <w:rPr>
          <w:rStyle w:val="afd"/>
        </w:rPr>
        <w:footnoteReference w:id="29"/>
      </w:r>
    </w:p>
    <w:p w:rsidR="00700861" w:rsidRPr="004E1208" w:rsidRDefault="00700861" w:rsidP="000C51FC">
      <w:pPr>
        <w:pStyle w:val="4"/>
      </w:pPr>
      <w:r w:rsidRPr="004E1208">
        <w:rPr>
          <w:rFonts w:hint="eastAsia"/>
        </w:rPr>
        <w:t>土地法第73條之1對未辦繼承登記土地所為管制措施乃係屬增訂者，相較於修訂前應已較能符合憲法上「比例原則」之意旨，然而於為相關行政管制（尤其是公開標售）時，基於未辦繼承登記土地之所有權人將失去其所有權（若無法行使先買權）、且其標售價款最終將被「歸屬國庫」（無補償喪失土地所有權），則於標售之前置程序中，應先由不動產專業估價師依據相關規定估算其正常（市場）價格，以作為標售之重要依據，而非由標售機關（如國產署）單方決定其標價（人為價格）。</w:t>
      </w:r>
      <w:r w:rsidRPr="004E1208">
        <w:rPr>
          <w:rStyle w:val="afd"/>
        </w:rPr>
        <w:footnoteReference w:id="30"/>
      </w:r>
    </w:p>
    <w:p w:rsidR="00A46409" w:rsidRPr="004E1208" w:rsidRDefault="00A46409" w:rsidP="00A46409">
      <w:pPr>
        <w:pStyle w:val="3"/>
      </w:pPr>
      <w:r w:rsidRPr="004E1208">
        <w:rPr>
          <w:rFonts w:hint="eastAsia"/>
        </w:rPr>
        <w:t>綜上所述，當私有土地長期處於未辦繼承登記狀</w:t>
      </w:r>
      <w:r w:rsidRPr="004E1208">
        <w:rPr>
          <w:rFonts w:hint="eastAsia"/>
        </w:rPr>
        <w:lastRenderedPageBreak/>
        <w:t>態，不僅影響地籍與稅籍之正確性，亦容易形成閒置或遭他人占用，土地無法有效利用。為此，土地法第73條之1對未辦繼承登記土地乃</w:t>
      </w:r>
      <w:r w:rsidR="00A358D5" w:rsidRPr="004E1208">
        <w:rPr>
          <w:rFonts w:hint="eastAsia"/>
        </w:rPr>
        <w:t>以</w:t>
      </w:r>
      <w:r w:rsidRPr="004E1208">
        <w:rPr>
          <w:rFonts w:hint="eastAsia"/>
        </w:rPr>
        <w:t>「查明」、「列冊管理」、「公開標售」與「歸屬國庫」等手段，其目的雖然是為了促使繼承人儘速申辦繼承登記，以免造成地籍紊亂、稅籍失實、政府施政</w:t>
      </w:r>
      <w:r w:rsidR="00A358D5" w:rsidRPr="004E1208">
        <w:rPr>
          <w:rFonts w:hint="eastAsia"/>
        </w:rPr>
        <w:t>等</w:t>
      </w:r>
      <w:r w:rsidRPr="004E1208">
        <w:rPr>
          <w:rFonts w:hint="eastAsia"/>
        </w:rPr>
        <w:t>困擾，但如此規定，實有違反憲法保障人民財產權之高度疑義，引發學界及司法實務諸多探討，不無商榷之餘地。</w:t>
      </w:r>
    </w:p>
    <w:p w:rsidR="00A46409" w:rsidRPr="004E1208" w:rsidRDefault="00A46409" w:rsidP="00A46409">
      <w:pPr>
        <w:pStyle w:val="3"/>
        <w:numPr>
          <w:ilvl w:val="0"/>
          <w:numId w:val="0"/>
        </w:numPr>
        <w:ind w:left="1361"/>
      </w:pPr>
    </w:p>
    <w:p w:rsidR="00A46409" w:rsidRPr="004E1208" w:rsidRDefault="00A46409" w:rsidP="00A46409">
      <w:pPr>
        <w:pStyle w:val="3"/>
        <w:numPr>
          <w:ilvl w:val="0"/>
          <w:numId w:val="0"/>
        </w:numPr>
        <w:ind w:left="1361"/>
      </w:pPr>
    </w:p>
    <w:p w:rsidR="00A46409" w:rsidRPr="004E1208" w:rsidRDefault="00A46409" w:rsidP="00A46409">
      <w:pPr>
        <w:pStyle w:val="3"/>
        <w:numPr>
          <w:ilvl w:val="0"/>
          <w:numId w:val="0"/>
        </w:numPr>
        <w:ind w:left="1361"/>
      </w:pPr>
    </w:p>
    <w:p w:rsidR="00465243" w:rsidRPr="004E1208" w:rsidRDefault="00465243" w:rsidP="00465243">
      <w:pPr>
        <w:pStyle w:val="1"/>
        <w:numPr>
          <w:ilvl w:val="0"/>
          <w:numId w:val="1"/>
        </w:numPr>
      </w:pPr>
      <w:bookmarkStart w:id="69" w:name="_Toc139546653"/>
      <w:bookmarkEnd w:id="49"/>
      <w:r w:rsidRPr="004E1208">
        <w:rPr>
          <w:rFonts w:hint="eastAsia"/>
        </w:rPr>
        <w:t>處理辦法：</w:t>
      </w:r>
      <w:bookmarkEnd w:id="69"/>
    </w:p>
    <w:p w:rsidR="00465243" w:rsidRPr="00465243" w:rsidRDefault="00465243" w:rsidP="00465243">
      <w:pPr>
        <w:pStyle w:val="2"/>
        <w:numPr>
          <w:ilvl w:val="1"/>
          <w:numId w:val="1"/>
        </w:numPr>
      </w:pPr>
      <w:bookmarkStart w:id="70" w:name="_Toc139546654"/>
      <w:proofErr w:type="gramStart"/>
      <w:r w:rsidRPr="00465243">
        <w:rPr>
          <w:rFonts w:hint="eastAsia"/>
        </w:rPr>
        <w:t>本通案</w:t>
      </w:r>
      <w:proofErr w:type="gramEnd"/>
      <w:r w:rsidRPr="00465243">
        <w:rPr>
          <w:rFonts w:hint="eastAsia"/>
        </w:rPr>
        <w:t>性調查研究報告之結論與建議部分，送請行政院及</w:t>
      </w:r>
      <w:proofErr w:type="gramStart"/>
      <w:r w:rsidRPr="00465243">
        <w:rPr>
          <w:rFonts w:hint="eastAsia"/>
        </w:rPr>
        <w:t>審計部參處</w:t>
      </w:r>
      <w:proofErr w:type="gramEnd"/>
      <w:r w:rsidRPr="00465243">
        <w:rPr>
          <w:rFonts w:hint="eastAsia"/>
        </w:rPr>
        <w:t>。</w:t>
      </w:r>
      <w:bookmarkEnd w:id="70"/>
    </w:p>
    <w:p w:rsidR="00465243" w:rsidRPr="00465243" w:rsidRDefault="00465243" w:rsidP="00465243">
      <w:pPr>
        <w:pStyle w:val="2"/>
        <w:numPr>
          <w:ilvl w:val="1"/>
          <w:numId w:val="1"/>
        </w:numPr>
      </w:pPr>
      <w:bookmarkStart w:id="71" w:name="_Toc139546655"/>
      <w:proofErr w:type="gramStart"/>
      <w:r w:rsidRPr="00465243">
        <w:rPr>
          <w:rFonts w:hint="eastAsia"/>
        </w:rPr>
        <w:t>本通案</w:t>
      </w:r>
      <w:proofErr w:type="gramEnd"/>
      <w:r w:rsidRPr="00465243">
        <w:rPr>
          <w:rFonts w:hint="eastAsia"/>
        </w:rPr>
        <w:t>性調查研究報告之</w:t>
      </w:r>
      <w:r>
        <w:rPr>
          <w:rFonts w:hint="eastAsia"/>
        </w:rPr>
        <w:t>案由、</w:t>
      </w:r>
      <w:r w:rsidRPr="00465243">
        <w:rPr>
          <w:rFonts w:hint="eastAsia"/>
        </w:rPr>
        <w:t>結論與建議</w:t>
      </w:r>
      <w:r>
        <w:rPr>
          <w:rFonts w:hint="eastAsia"/>
        </w:rPr>
        <w:t>及處理辦法</w:t>
      </w:r>
      <w:r w:rsidRPr="00465243">
        <w:rPr>
          <w:rFonts w:hint="eastAsia"/>
        </w:rPr>
        <w:t>部分，於</w:t>
      </w:r>
      <w:proofErr w:type="gramStart"/>
      <w:r w:rsidRPr="00465243">
        <w:rPr>
          <w:rFonts w:hint="eastAsia"/>
        </w:rPr>
        <w:t>個</w:t>
      </w:r>
      <w:proofErr w:type="gramEnd"/>
      <w:r w:rsidRPr="00465243">
        <w:rPr>
          <w:rFonts w:hint="eastAsia"/>
        </w:rPr>
        <w:t>資隱匿後，上網公布。</w:t>
      </w:r>
      <w:bookmarkEnd w:id="71"/>
    </w:p>
    <w:p w:rsidR="00465243" w:rsidRDefault="00465243" w:rsidP="00465243">
      <w:pPr>
        <w:pStyle w:val="ab"/>
        <w:spacing w:line="600" w:lineRule="exact"/>
        <w:ind w:leftChars="1042" w:left="5951" w:hangingChars="595" w:hanging="2407"/>
        <w:rPr>
          <w:rFonts w:hAnsi="標楷體"/>
        </w:rPr>
      </w:pPr>
    </w:p>
    <w:p w:rsidR="00465243" w:rsidRPr="004E1208" w:rsidRDefault="00465243" w:rsidP="00465243">
      <w:pPr>
        <w:pStyle w:val="ab"/>
        <w:spacing w:line="600" w:lineRule="exact"/>
        <w:ind w:leftChars="959" w:left="5948" w:hangingChars="664" w:hanging="2686"/>
        <w:rPr>
          <w:rFonts w:hAnsi="標楷體"/>
        </w:rPr>
      </w:pPr>
      <w:r w:rsidRPr="004E1208">
        <w:rPr>
          <w:rFonts w:hAnsi="標楷體" w:hint="eastAsia"/>
        </w:rPr>
        <w:t>調查研</w:t>
      </w:r>
      <w:bookmarkStart w:id="72" w:name="_GoBack"/>
      <w:bookmarkEnd w:id="72"/>
      <w:r w:rsidRPr="004E1208">
        <w:rPr>
          <w:rFonts w:hAnsi="標楷體" w:hint="eastAsia"/>
        </w:rPr>
        <w:t>究委員：</w:t>
      </w:r>
      <w:r>
        <w:rPr>
          <w:rFonts w:hAnsi="標楷體" w:hint="eastAsia"/>
        </w:rPr>
        <w:t>施錦芳、賴振昌、鴻義章、趙永清</w:t>
      </w:r>
    </w:p>
    <w:p w:rsidR="00025450" w:rsidRPr="00465243" w:rsidRDefault="00025450">
      <w:pPr>
        <w:widowControl/>
        <w:overflowPunct/>
        <w:autoSpaceDE/>
        <w:autoSpaceDN/>
        <w:jc w:val="left"/>
        <w:rPr>
          <w:rFonts w:hAnsi="標楷體"/>
          <w:bCs/>
          <w:kern w:val="0"/>
        </w:rPr>
      </w:pPr>
    </w:p>
    <w:sectPr w:rsidR="00025450" w:rsidRPr="00465243" w:rsidSect="00E064BD">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B64" w:rsidRDefault="00C30B64">
      <w:r>
        <w:separator/>
      </w:r>
    </w:p>
  </w:endnote>
  <w:endnote w:type="continuationSeparator" w:id="0">
    <w:p w:rsidR="00C30B64" w:rsidRDefault="00C3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script"/>
    <w:pitch w:val="variable"/>
    <w:sig w:usb0="80000001" w:usb1="28091800" w:usb2="00000016" w:usb3="00000000" w:csb0="00100000" w:csb1="00000000"/>
  </w:font>
  <w:font w:name="微軟正黑體U..">
    <w:altName w:val="微軟正黑體"/>
    <w:panose1 w:val="00000000000000000000"/>
    <w:charset w:val="88"/>
    <w:family w:val="swiss"/>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FB4" w:rsidRDefault="00AE7FB4">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152</w:t>
    </w:r>
    <w:r>
      <w:rPr>
        <w:rStyle w:val="ad"/>
        <w:sz w:val="24"/>
      </w:rPr>
      <w:fldChar w:fldCharType="end"/>
    </w:r>
  </w:p>
  <w:p w:rsidR="00AE7FB4" w:rsidRDefault="00AE7FB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B64" w:rsidRDefault="00C30B64">
      <w:r>
        <w:separator/>
      </w:r>
    </w:p>
  </w:footnote>
  <w:footnote w:type="continuationSeparator" w:id="0">
    <w:p w:rsidR="00C30B64" w:rsidRDefault="00C30B64">
      <w:r>
        <w:continuationSeparator/>
      </w:r>
    </w:p>
  </w:footnote>
  <w:footnote w:id="1">
    <w:p w:rsidR="00AE7FB4" w:rsidRPr="00450C43" w:rsidRDefault="00AE7FB4" w:rsidP="0049667C">
      <w:pPr>
        <w:pStyle w:val="afb"/>
        <w:ind w:left="176" w:hangingChars="80" w:hanging="176"/>
        <w:jc w:val="both"/>
      </w:pPr>
      <w:r>
        <w:rPr>
          <w:rStyle w:val="afd"/>
        </w:rPr>
        <w:footnoteRef/>
      </w:r>
      <w:r>
        <w:t xml:space="preserve"> </w:t>
      </w:r>
      <w:r w:rsidRPr="00450C43">
        <w:rPr>
          <w:rFonts w:hint="eastAsia"/>
        </w:rPr>
        <w:t>據內政部統計，截至110年底止，臺灣地區（包含臺灣本島、澎湖縣、金門縣及連江縣）土地總面積約361萬9,706.69公頃，已完成測量登記之土地面積約351萬6,480.46公頃，占土地總面積約97.15%</w:t>
      </w:r>
      <w:r>
        <w:rPr>
          <w:rFonts w:hint="eastAsia"/>
        </w:rPr>
        <w:t>。</w:t>
      </w:r>
    </w:p>
  </w:footnote>
  <w:footnote w:id="2">
    <w:p w:rsidR="00AE7FB4" w:rsidRPr="009E5FB9" w:rsidRDefault="00AE7FB4" w:rsidP="0049667C">
      <w:pPr>
        <w:pStyle w:val="afb"/>
        <w:ind w:left="176" w:hangingChars="80" w:hanging="176"/>
        <w:jc w:val="both"/>
        <w:rPr>
          <w:rFonts w:hAnsi="標楷體"/>
        </w:rPr>
      </w:pPr>
      <w:r>
        <w:rPr>
          <w:rStyle w:val="afd"/>
        </w:rPr>
        <w:footnoteRef/>
      </w:r>
      <w:r>
        <w:t xml:space="preserve"> </w:t>
      </w:r>
      <w:r w:rsidRPr="009E5FB9">
        <w:rPr>
          <w:rFonts w:hAnsi="標楷體" w:hint="eastAsia"/>
        </w:rPr>
        <w:t>國有公用土地包括：</w:t>
      </w:r>
      <w:r>
        <w:rPr>
          <w:rFonts w:hAnsi="標楷體" w:hint="eastAsia"/>
        </w:rPr>
        <w:t>（</w:t>
      </w:r>
      <w:r w:rsidRPr="009E5FB9">
        <w:rPr>
          <w:rFonts w:hAnsi="標楷體" w:hint="eastAsia"/>
        </w:rPr>
        <w:t>1</w:t>
      </w:r>
      <w:r>
        <w:rPr>
          <w:rFonts w:hAnsi="標楷體" w:hint="eastAsia"/>
        </w:rPr>
        <w:t>）</w:t>
      </w:r>
      <w:r w:rsidRPr="009E5FB9">
        <w:rPr>
          <w:rFonts w:hAnsi="標楷體" w:hint="eastAsia"/>
        </w:rPr>
        <w:t>公務用土地：各機關、部隊、學校、辦公、作業及宿舍使用之國有</w:t>
      </w:r>
      <w:proofErr w:type="gramStart"/>
      <w:r w:rsidRPr="009E5FB9">
        <w:rPr>
          <w:rFonts w:hAnsi="標楷體" w:hint="eastAsia"/>
        </w:rPr>
        <w:t>土地均屬之</w:t>
      </w:r>
      <w:proofErr w:type="gramEnd"/>
      <w:r w:rsidRPr="009E5FB9">
        <w:rPr>
          <w:rFonts w:hAnsi="標楷體" w:hint="eastAsia"/>
        </w:rPr>
        <w:t>；</w:t>
      </w:r>
      <w:r>
        <w:rPr>
          <w:rFonts w:hAnsi="標楷體" w:hint="eastAsia"/>
        </w:rPr>
        <w:t>（</w:t>
      </w:r>
      <w:r w:rsidRPr="009E5FB9">
        <w:rPr>
          <w:rFonts w:hAnsi="標楷體" w:hint="eastAsia"/>
        </w:rPr>
        <w:t>2</w:t>
      </w:r>
      <w:r>
        <w:rPr>
          <w:rFonts w:hAnsi="標楷體" w:hint="eastAsia"/>
        </w:rPr>
        <w:t>）</w:t>
      </w:r>
      <w:r w:rsidRPr="009E5FB9">
        <w:rPr>
          <w:rFonts w:hAnsi="標楷體" w:hint="eastAsia"/>
        </w:rPr>
        <w:t>公共用土地：國家直接供公共使用之國有</w:t>
      </w:r>
      <w:proofErr w:type="gramStart"/>
      <w:r w:rsidRPr="009E5FB9">
        <w:rPr>
          <w:rFonts w:hAnsi="標楷體" w:hint="eastAsia"/>
        </w:rPr>
        <w:t>土地均屬之</w:t>
      </w:r>
      <w:proofErr w:type="gramEnd"/>
      <w:r w:rsidRPr="009E5FB9">
        <w:rPr>
          <w:rFonts w:hAnsi="標楷體" w:hint="eastAsia"/>
        </w:rPr>
        <w:t>；</w:t>
      </w:r>
      <w:r>
        <w:rPr>
          <w:rFonts w:hAnsi="標楷體" w:hint="eastAsia"/>
        </w:rPr>
        <w:t>（</w:t>
      </w:r>
      <w:r w:rsidRPr="009E5FB9">
        <w:rPr>
          <w:rFonts w:hAnsi="標楷體" w:hint="eastAsia"/>
        </w:rPr>
        <w:t>3</w:t>
      </w:r>
      <w:r>
        <w:rPr>
          <w:rFonts w:hAnsi="標楷體" w:hint="eastAsia"/>
        </w:rPr>
        <w:t>）</w:t>
      </w:r>
      <w:r w:rsidRPr="009E5FB9">
        <w:rPr>
          <w:rFonts w:hAnsi="標楷體" w:hint="eastAsia"/>
        </w:rPr>
        <w:t>事業用土地：國營事業機關使用之</w:t>
      </w:r>
      <w:proofErr w:type="gramStart"/>
      <w:r w:rsidRPr="009E5FB9">
        <w:rPr>
          <w:rFonts w:hAnsi="標楷體" w:hint="eastAsia"/>
        </w:rPr>
        <w:t>土地均屬之</w:t>
      </w:r>
      <w:proofErr w:type="gramEnd"/>
      <w:r w:rsidRPr="009E5FB9">
        <w:rPr>
          <w:rFonts w:hAnsi="標楷體" w:hint="eastAsia"/>
        </w:rPr>
        <w:t>。</w:t>
      </w:r>
    </w:p>
  </w:footnote>
  <w:footnote w:id="3">
    <w:p w:rsidR="00AE7FB4" w:rsidRDefault="00AE7FB4" w:rsidP="00115525">
      <w:pPr>
        <w:pStyle w:val="afb"/>
        <w:ind w:left="170" w:hangingChars="77" w:hanging="170"/>
        <w:jc w:val="both"/>
      </w:pPr>
      <w:r>
        <w:rPr>
          <w:rStyle w:val="afd"/>
        </w:rPr>
        <w:footnoteRef/>
      </w:r>
      <w:r>
        <w:t xml:space="preserve"> </w:t>
      </w:r>
      <w:r w:rsidRPr="009E5FB9">
        <w:rPr>
          <w:rFonts w:hAnsi="標楷體" w:hint="eastAsia"/>
        </w:rPr>
        <w:t>國有非公用土地：係指公用土地以外可供收益或處分之一切國有土地。</w:t>
      </w:r>
    </w:p>
  </w:footnote>
  <w:footnote w:id="4">
    <w:p w:rsidR="00AE7FB4" w:rsidRPr="008700DC" w:rsidRDefault="00AE7FB4" w:rsidP="0049667C">
      <w:pPr>
        <w:pStyle w:val="afb"/>
        <w:ind w:left="176" w:hangingChars="80" w:hanging="176"/>
      </w:pPr>
      <w:r>
        <w:rPr>
          <w:rStyle w:val="afd"/>
        </w:rPr>
        <w:footnoteRef/>
      </w:r>
      <w:r>
        <w:t xml:space="preserve"> </w:t>
      </w:r>
      <w:r>
        <w:rPr>
          <w:rFonts w:hint="eastAsia"/>
        </w:rPr>
        <w:t>資料來源：</w:t>
      </w:r>
      <w:hyperlink r:id="rId1" w:history="1">
        <w:r w:rsidRPr="00553542">
          <w:rPr>
            <w:rStyle w:val="af"/>
          </w:rPr>
          <w:t>https://www.mof.gov.tw/singlehtml/129?cntId=1183</w:t>
        </w:r>
      </w:hyperlink>
      <w:r>
        <w:rPr>
          <w:rFonts w:hint="eastAsia"/>
        </w:rPr>
        <w:t>；最後瀏覽日期為112年7月6日。</w:t>
      </w:r>
    </w:p>
  </w:footnote>
  <w:footnote w:id="5">
    <w:p w:rsidR="00AE7FB4" w:rsidRPr="001E28D7" w:rsidRDefault="00AE7FB4" w:rsidP="0049667C">
      <w:pPr>
        <w:pStyle w:val="afb"/>
        <w:ind w:left="176" w:hangingChars="80" w:hanging="176"/>
      </w:pPr>
      <w:r>
        <w:rPr>
          <w:rStyle w:val="afd"/>
        </w:rPr>
        <w:footnoteRef/>
      </w:r>
      <w:r>
        <w:t xml:space="preserve"> </w:t>
      </w:r>
      <w:r>
        <w:rPr>
          <w:rFonts w:hint="eastAsia"/>
        </w:rPr>
        <w:t>參見立法委員</w:t>
      </w:r>
      <w:r w:rsidRPr="001E28D7">
        <w:rPr>
          <w:rFonts w:hint="eastAsia"/>
        </w:rPr>
        <w:t>邱顯智與OURs都市改革組織</w:t>
      </w:r>
      <w:r>
        <w:rPr>
          <w:rFonts w:hint="eastAsia"/>
        </w:rPr>
        <w:t>112年2月15日</w:t>
      </w:r>
      <w:r w:rsidRPr="001E28D7">
        <w:rPr>
          <w:rFonts w:hint="eastAsia"/>
        </w:rPr>
        <w:t>在立法院舉行「</w:t>
      </w:r>
      <w:proofErr w:type="gramStart"/>
      <w:r w:rsidRPr="001E28D7">
        <w:rPr>
          <w:rFonts w:hint="eastAsia"/>
        </w:rPr>
        <w:t>社宅進度</w:t>
      </w:r>
      <w:proofErr w:type="gramEnd"/>
      <w:r w:rsidRPr="001E28D7">
        <w:rPr>
          <w:rFonts w:hint="eastAsia"/>
        </w:rPr>
        <w:t>大落後，國有地標</w:t>
      </w:r>
      <w:proofErr w:type="gramStart"/>
      <w:r w:rsidRPr="001E28D7">
        <w:rPr>
          <w:rFonts w:hint="eastAsia"/>
        </w:rPr>
        <w:t>租助炒房</w:t>
      </w:r>
      <w:proofErr w:type="gramEnd"/>
      <w:r w:rsidRPr="001E28D7">
        <w:rPr>
          <w:rFonts w:hint="eastAsia"/>
        </w:rPr>
        <w:t>？」記者會</w:t>
      </w:r>
      <w:r>
        <w:rPr>
          <w:rFonts w:hint="eastAsia"/>
        </w:rPr>
        <w:t>。資料來源：</w:t>
      </w:r>
      <w:hyperlink r:id="rId2" w:history="1">
        <w:r w:rsidRPr="00553542">
          <w:rPr>
            <w:rStyle w:val="af"/>
          </w:rPr>
          <w:t>https://udn.com/news/story/6656/6972687</w:t>
        </w:r>
      </w:hyperlink>
      <w:r>
        <w:rPr>
          <w:rFonts w:hint="eastAsia"/>
        </w:rPr>
        <w:t>；最後瀏覽日期：112年7月6日。</w:t>
      </w:r>
    </w:p>
  </w:footnote>
  <w:footnote w:id="6">
    <w:p w:rsidR="00AE7FB4" w:rsidRPr="00754053" w:rsidRDefault="00AE7FB4" w:rsidP="0049667C">
      <w:pPr>
        <w:pStyle w:val="afb"/>
        <w:ind w:left="176" w:hangingChars="80" w:hanging="176"/>
        <w:jc w:val="both"/>
        <w:rPr>
          <w:rFonts w:hAnsi="標楷體"/>
        </w:rPr>
      </w:pPr>
      <w:r>
        <w:rPr>
          <w:rStyle w:val="afd"/>
        </w:rPr>
        <w:footnoteRef/>
      </w:r>
      <w:r>
        <w:rPr>
          <w:rFonts w:hAnsi="標楷體" w:hint="eastAsia"/>
        </w:rPr>
        <w:t xml:space="preserve"> </w:t>
      </w:r>
      <w:r w:rsidRPr="00754053">
        <w:rPr>
          <w:rFonts w:hAnsi="標楷體" w:hint="eastAsia"/>
        </w:rPr>
        <w:t>資料來源</w:t>
      </w:r>
      <w:r>
        <w:rPr>
          <w:rFonts w:hAnsi="標楷體" w:hint="eastAsia"/>
        </w:rPr>
        <w:t>：</w:t>
      </w:r>
      <w:r w:rsidRPr="00754053">
        <w:rPr>
          <w:rFonts w:hAnsi="標楷體" w:hint="eastAsia"/>
        </w:rPr>
        <w:t>行政院全球資訊網，</w:t>
      </w:r>
      <w:hyperlink r:id="rId3" w:history="1">
        <w:r w:rsidRPr="00754053">
          <w:rPr>
            <w:rFonts w:hAnsi="標楷體"/>
          </w:rPr>
          <w:t>https://www.ey.gov.tw/Page/5A8A0CB5B41DA11E/4af4d8</w:t>
        </w:r>
      </w:hyperlink>
    </w:p>
    <w:p w:rsidR="00AE7FB4" w:rsidRPr="00754053" w:rsidRDefault="00AE7FB4" w:rsidP="00115525">
      <w:pPr>
        <w:pStyle w:val="afb"/>
        <w:ind w:leftChars="81" w:left="307" w:hangingChars="14" w:hanging="31"/>
        <w:jc w:val="both"/>
        <w:rPr>
          <w:rFonts w:hAnsi="標楷體"/>
        </w:rPr>
      </w:pPr>
      <w:r w:rsidRPr="00754053">
        <w:rPr>
          <w:rFonts w:hAnsi="標楷體"/>
        </w:rPr>
        <w:t>a6-5267-4a59-9b0d-8455b6bf751e</w:t>
      </w:r>
      <w:r>
        <w:rPr>
          <w:rFonts w:hAnsi="標楷體" w:hint="eastAsia"/>
        </w:rPr>
        <w:t>，</w:t>
      </w:r>
      <w:r w:rsidRPr="00754053">
        <w:rPr>
          <w:rFonts w:hAnsi="標楷體" w:hint="eastAsia"/>
        </w:rPr>
        <w:t>瀏覽日期：111年10月13日。</w:t>
      </w:r>
    </w:p>
  </w:footnote>
  <w:footnote w:id="7">
    <w:p w:rsidR="00AE7FB4" w:rsidRPr="001347F4" w:rsidRDefault="00AE7FB4" w:rsidP="00115525">
      <w:pPr>
        <w:pStyle w:val="afb"/>
        <w:ind w:left="176" w:hangingChars="80" w:hanging="176"/>
        <w:jc w:val="both"/>
      </w:pPr>
      <w:r>
        <w:rPr>
          <w:rStyle w:val="afd"/>
        </w:rPr>
        <w:footnoteRef/>
      </w:r>
      <w:r>
        <w:t xml:space="preserve"> </w:t>
      </w:r>
      <w:r>
        <w:rPr>
          <w:rFonts w:hint="eastAsia"/>
        </w:rPr>
        <w:t>BOT：Build</w:t>
      </w:r>
      <w:proofErr w:type="gramStart"/>
      <w:r>
        <w:rPr>
          <w:rFonts w:hint="eastAsia"/>
        </w:rPr>
        <w:t>–</w:t>
      </w:r>
      <w:proofErr w:type="gramEnd"/>
      <w:r>
        <w:rPr>
          <w:rFonts w:hint="eastAsia"/>
        </w:rPr>
        <w:t>operate</w:t>
      </w:r>
      <w:proofErr w:type="gramStart"/>
      <w:r>
        <w:rPr>
          <w:rFonts w:hint="eastAsia"/>
        </w:rPr>
        <w:t>–</w:t>
      </w:r>
      <w:proofErr w:type="gramEnd"/>
      <w:r>
        <w:rPr>
          <w:rFonts w:hint="eastAsia"/>
        </w:rPr>
        <w:t>transfer；由民間機構投資新建並為營運；營運期間屆滿後，移轉該建設之所有權予政府。</w:t>
      </w:r>
    </w:p>
  </w:footnote>
  <w:footnote w:id="8">
    <w:p w:rsidR="00AE7FB4" w:rsidRPr="001347F4" w:rsidRDefault="00AE7FB4" w:rsidP="00115525">
      <w:pPr>
        <w:pStyle w:val="afb"/>
        <w:ind w:left="176" w:hangingChars="80" w:hanging="176"/>
        <w:jc w:val="both"/>
      </w:pPr>
      <w:r>
        <w:rPr>
          <w:rStyle w:val="afd"/>
        </w:rPr>
        <w:footnoteRef/>
      </w:r>
      <w:r>
        <w:t xml:space="preserve"> </w:t>
      </w:r>
      <w:r>
        <w:rPr>
          <w:rFonts w:hint="eastAsia"/>
        </w:rPr>
        <w:t>BTO：Build-Transfer-Operate；由民間機構投資新建完成後，政府無償或一次或分期給付建設經費取得所有權，並由該民間機構營運；營運期間屆滿後，營運權歸還政府。</w:t>
      </w:r>
    </w:p>
  </w:footnote>
  <w:footnote w:id="9">
    <w:p w:rsidR="00AE7FB4" w:rsidRPr="001347F4" w:rsidRDefault="00AE7FB4" w:rsidP="00115525">
      <w:pPr>
        <w:pStyle w:val="afb"/>
        <w:ind w:left="176" w:hangingChars="80" w:hanging="176"/>
        <w:jc w:val="both"/>
      </w:pPr>
      <w:r>
        <w:rPr>
          <w:rStyle w:val="afd"/>
        </w:rPr>
        <w:footnoteRef/>
      </w:r>
      <w:r>
        <w:t xml:space="preserve"> </w:t>
      </w:r>
      <w:r>
        <w:rPr>
          <w:rFonts w:hint="eastAsia"/>
        </w:rPr>
        <w:t>ROT：Rehabilitate-Operate-Transfer；民間機構投資增建、改建及修建政府現有建設並為營運；營運期間屆滿後，營運權歸還政府。</w:t>
      </w:r>
    </w:p>
  </w:footnote>
  <w:footnote w:id="10">
    <w:p w:rsidR="00AE7FB4" w:rsidRPr="001347F4" w:rsidRDefault="00AE7FB4" w:rsidP="00115525">
      <w:pPr>
        <w:pStyle w:val="afb"/>
        <w:ind w:left="176" w:hangingChars="80" w:hanging="176"/>
        <w:jc w:val="both"/>
      </w:pPr>
      <w:r>
        <w:rPr>
          <w:rStyle w:val="afd"/>
        </w:rPr>
        <w:footnoteRef/>
      </w:r>
      <w:r>
        <w:t xml:space="preserve"> </w:t>
      </w:r>
      <w:r>
        <w:rPr>
          <w:rFonts w:hint="eastAsia"/>
        </w:rPr>
        <w:t>OT：Operate-Transfer；民間機構營運政府投資興建完成之建設，營運期間屆滿後，營運權歸還政府。</w:t>
      </w:r>
    </w:p>
  </w:footnote>
  <w:footnote w:id="11">
    <w:p w:rsidR="00AE7FB4" w:rsidRPr="003D4592" w:rsidRDefault="00AE7FB4" w:rsidP="00115525">
      <w:pPr>
        <w:pStyle w:val="afb"/>
        <w:ind w:left="220" w:hangingChars="100" w:hanging="220"/>
        <w:jc w:val="both"/>
      </w:pPr>
      <w:r>
        <w:rPr>
          <w:rStyle w:val="afd"/>
        </w:rPr>
        <w:footnoteRef/>
      </w:r>
      <w:r>
        <w:t xml:space="preserve"> </w:t>
      </w:r>
      <w:r w:rsidRPr="003D4592">
        <w:rPr>
          <w:rFonts w:hint="eastAsia"/>
        </w:rPr>
        <w:t>國有財產法第28條規定：「主管機關或管理機關對於公用財產不得為任何處分或擅為收益。但其收益不違背其事業目的或原定用途者，不在此限。」</w:t>
      </w:r>
    </w:p>
  </w:footnote>
  <w:footnote w:id="12">
    <w:p w:rsidR="00AE7FB4" w:rsidRPr="00D0382F" w:rsidRDefault="00AE7FB4" w:rsidP="00D0382F">
      <w:pPr>
        <w:pStyle w:val="afb"/>
        <w:ind w:left="220" w:hangingChars="100" w:hanging="220"/>
      </w:pPr>
      <w:r>
        <w:rPr>
          <w:rStyle w:val="afd"/>
        </w:rPr>
        <w:footnoteRef/>
      </w:r>
      <w:r>
        <w:t xml:space="preserve"> </w:t>
      </w:r>
      <w:r>
        <w:rPr>
          <w:rFonts w:hint="eastAsia"/>
        </w:rPr>
        <w:t>以國產署</w:t>
      </w:r>
      <w:proofErr w:type="gramStart"/>
      <w:r>
        <w:rPr>
          <w:rFonts w:hint="eastAsia"/>
        </w:rPr>
        <w:t>111</w:t>
      </w:r>
      <w:proofErr w:type="gramEnd"/>
      <w:r>
        <w:rPr>
          <w:rFonts w:hint="eastAsia"/>
        </w:rPr>
        <w:t>年度施政計畫為例，該署年度施政目標及策略為：1</w:t>
      </w:r>
      <w:r>
        <w:t>.</w:t>
      </w:r>
      <w:r>
        <w:rPr>
          <w:rFonts w:hint="eastAsia"/>
        </w:rPr>
        <w:t>積極接管不動產，以利後續各項業務推動。2.配合各級政府機關公務或公共建設提供需用國有不動產，加速國家建設。3.深化機關管理國有公用財產知能，強化多元活化運用，提升資產運用效益，</w:t>
      </w:r>
      <w:proofErr w:type="gramStart"/>
      <w:r>
        <w:rPr>
          <w:rFonts w:hint="eastAsia"/>
        </w:rPr>
        <w:t>充裕庫收</w:t>
      </w:r>
      <w:proofErr w:type="gramEnd"/>
      <w:r>
        <w:rPr>
          <w:rFonts w:hint="eastAsia"/>
        </w:rPr>
        <w:t>。4.以出租、招標設定地上權、改良利用等多元方式釋出國有土地供民間活化使用，帶動民間投資，增裕國庫財源。5.積極執行「被占用國有非公用不動產加強清理第二期計畫」，活化運用收回土地，提高使用價值，增加國庫收入。6.協同分工辦理海岸環境清理工作，維持海岸土地乾淨整潔。7.辦理國有非公用文化資產修復及管理維護，落實文化資產保存精神，提升外界活化意願。8.興建政府辦公大樓成本以搭配國有土地設定地上權權利金作為對價，創造土地利用最大價值。</w:t>
      </w:r>
    </w:p>
  </w:footnote>
  <w:footnote w:id="13">
    <w:p w:rsidR="00AE7FB4" w:rsidRPr="003D4592" w:rsidRDefault="00AE7FB4" w:rsidP="000F0600">
      <w:pPr>
        <w:pStyle w:val="afb"/>
        <w:wordWrap w:val="0"/>
        <w:ind w:left="220" w:hangingChars="100" w:hanging="220"/>
        <w:jc w:val="both"/>
      </w:pPr>
      <w:r>
        <w:rPr>
          <w:rStyle w:val="afd"/>
        </w:rPr>
        <w:footnoteRef/>
      </w:r>
      <w:r>
        <w:t xml:space="preserve"> </w:t>
      </w:r>
      <w:r>
        <w:rPr>
          <w:rFonts w:hint="eastAsia"/>
        </w:rPr>
        <w:t>資料來源：社會住宅推動聯盟網站，http://socialhousingtw.blogspot.com/2014/08/blog-post_94.html，瀏覽日期：112年2月1日。</w:t>
      </w:r>
    </w:p>
  </w:footnote>
  <w:footnote w:id="14">
    <w:p w:rsidR="00AE7FB4" w:rsidRPr="005E7788" w:rsidRDefault="00AE7FB4" w:rsidP="007A070B">
      <w:pPr>
        <w:pStyle w:val="afb"/>
        <w:ind w:left="220" w:hangingChars="100" w:hanging="220"/>
        <w:jc w:val="both"/>
        <w:rPr>
          <w:rFonts w:hAnsi="標楷體"/>
        </w:rPr>
      </w:pPr>
      <w:r>
        <w:rPr>
          <w:rStyle w:val="afd"/>
        </w:rPr>
        <w:footnoteRef/>
      </w:r>
      <w:r>
        <w:t xml:space="preserve"> </w:t>
      </w:r>
      <w:r w:rsidRPr="005E7788">
        <w:rPr>
          <w:rFonts w:hAnsi="標楷體" w:hint="eastAsia"/>
        </w:rPr>
        <w:t>陳麟隴「研究大陸地區及新加坡地上權制度與金融活動現況」</w:t>
      </w:r>
      <w:r>
        <w:rPr>
          <w:rFonts w:hAnsi="標楷體" w:hint="eastAsia"/>
        </w:rPr>
        <w:t>（</w:t>
      </w:r>
      <w:r w:rsidRPr="005E7788">
        <w:rPr>
          <w:rFonts w:hAnsi="標楷體" w:hint="eastAsia"/>
        </w:rPr>
        <w:t>臺灣土地銀行出國考察報告</w:t>
      </w:r>
      <w:r>
        <w:rPr>
          <w:rFonts w:hAnsi="標楷體" w:hint="eastAsia"/>
        </w:rPr>
        <w:t>，104年）</w:t>
      </w:r>
      <w:r w:rsidRPr="006A30BB">
        <w:rPr>
          <w:rFonts w:hAnsi="標楷體" w:hint="eastAsia"/>
        </w:rPr>
        <w:t>第</w:t>
      </w:r>
      <w:r>
        <w:rPr>
          <w:rFonts w:hAnsi="標楷體" w:hint="eastAsia"/>
        </w:rPr>
        <w:t>21、25</w:t>
      </w:r>
      <w:r w:rsidRPr="006A30BB">
        <w:rPr>
          <w:rFonts w:hAnsi="標楷體" w:hint="eastAsia"/>
        </w:rPr>
        <w:t>頁</w:t>
      </w:r>
      <w:r w:rsidRPr="005E7788">
        <w:rPr>
          <w:rFonts w:hAnsi="標楷體" w:hint="eastAsia"/>
        </w:rPr>
        <w:t>。</w:t>
      </w:r>
    </w:p>
  </w:footnote>
  <w:footnote w:id="15">
    <w:p w:rsidR="00AE7FB4" w:rsidRPr="006631A7" w:rsidRDefault="00AE7FB4" w:rsidP="008B32A5">
      <w:pPr>
        <w:pStyle w:val="afb"/>
        <w:ind w:left="220" w:hangingChars="100" w:hanging="220"/>
      </w:pPr>
      <w:r>
        <w:rPr>
          <w:rStyle w:val="afd"/>
        </w:rPr>
        <w:footnoteRef/>
      </w:r>
      <w:r>
        <w:t xml:space="preserve"> </w:t>
      </w:r>
      <w:proofErr w:type="gramStart"/>
      <w:r w:rsidRPr="006631A7">
        <w:rPr>
          <w:rFonts w:hint="eastAsia"/>
        </w:rPr>
        <w:t>國產署暨所屬</w:t>
      </w:r>
      <w:proofErr w:type="gramEnd"/>
      <w:r w:rsidRPr="006631A7">
        <w:rPr>
          <w:rFonts w:hint="eastAsia"/>
        </w:rPr>
        <w:t>北、中、南區分署</w:t>
      </w:r>
      <w:r>
        <w:rPr>
          <w:rFonts w:hint="eastAsia"/>
        </w:rPr>
        <w:t>編制員額647人、預算員額622人、現有員額560人；另外聘僱人員、工友（含技工、駕駛）、臨時人員合計為539人。</w:t>
      </w:r>
    </w:p>
  </w:footnote>
  <w:footnote w:id="16">
    <w:p w:rsidR="00AE7FB4" w:rsidRPr="0001034F" w:rsidRDefault="00AE7FB4" w:rsidP="008B32A5">
      <w:pPr>
        <w:pStyle w:val="afb"/>
        <w:wordWrap w:val="0"/>
        <w:ind w:left="220" w:hangingChars="100" w:hanging="220"/>
      </w:pPr>
      <w:r>
        <w:rPr>
          <w:rStyle w:val="afd"/>
        </w:rPr>
        <w:footnoteRef/>
      </w:r>
      <w:r>
        <w:t xml:space="preserve"> </w:t>
      </w:r>
      <w:r>
        <w:rPr>
          <w:rFonts w:hint="eastAsia"/>
        </w:rPr>
        <w:t>資料來源：國產署新聞稿，</w:t>
      </w:r>
      <w:hyperlink r:id="rId4" w:history="1">
        <w:r w:rsidRPr="00775395">
          <w:rPr>
            <w:rStyle w:val="af"/>
          </w:rPr>
          <w:t>https://www.fnp.gov.tw/singlehtml/1fac3fb0c18443dfb9a1fbc45742acd6?cntId=0277e38bd3b6438c8698db54200245ef</w:t>
        </w:r>
      </w:hyperlink>
      <w:r>
        <w:rPr>
          <w:rFonts w:hint="eastAsia"/>
        </w:rPr>
        <w:t>，最新瀏覽日期：112年7月2日。</w:t>
      </w:r>
    </w:p>
  </w:footnote>
  <w:footnote w:id="17">
    <w:p w:rsidR="00AE7FB4" w:rsidRPr="00632E63" w:rsidRDefault="00AE7FB4" w:rsidP="008B32A5">
      <w:pPr>
        <w:pStyle w:val="afb"/>
        <w:ind w:left="220" w:hangingChars="100" w:hanging="220"/>
        <w:jc w:val="both"/>
      </w:pPr>
      <w:r>
        <w:rPr>
          <w:rStyle w:val="afd"/>
        </w:rPr>
        <w:footnoteRef/>
      </w:r>
      <w:r>
        <w:t xml:space="preserve"> </w:t>
      </w:r>
      <w:r>
        <w:rPr>
          <w:rFonts w:hint="eastAsia"/>
        </w:rPr>
        <w:t>所謂「財產」，係指</w:t>
      </w:r>
      <w:r w:rsidRPr="00632E63">
        <w:rPr>
          <w:rFonts w:hint="eastAsia"/>
        </w:rPr>
        <w:t>包括土地、土地改良物、房屋建築及設備暨單價金額超過</w:t>
      </w:r>
      <w:r>
        <w:rPr>
          <w:rFonts w:hint="eastAsia"/>
        </w:rPr>
        <w:t>1</w:t>
      </w:r>
      <w:r w:rsidRPr="00632E63">
        <w:rPr>
          <w:rFonts w:hint="eastAsia"/>
        </w:rPr>
        <w:t>萬元以上且使用年限在</w:t>
      </w:r>
      <w:r>
        <w:rPr>
          <w:rFonts w:hint="eastAsia"/>
        </w:rPr>
        <w:t>2</w:t>
      </w:r>
      <w:r w:rsidRPr="00632E63">
        <w:rPr>
          <w:rFonts w:hint="eastAsia"/>
        </w:rPr>
        <w:t>年以上之機械及設備、交通及運輸設備、什項設備</w:t>
      </w:r>
      <w:r>
        <w:rPr>
          <w:rFonts w:hint="eastAsia"/>
        </w:rPr>
        <w:t>。至於「物品」則</w:t>
      </w:r>
      <w:r w:rsidRPr="00632E63">
        <w:rPr>
          <w:rFonts w:hint="eastAsia"/>
        </w:rPr>
        <w:t>指金額未達</w:t>
      </w:r>
      <w:r>
        <w:rPr>
          <w:rFonts w:hint="eastAsia"/>
        </w:rPr>
        <w:t>1</w:t>
      </w:r>
      <w:r w:rsidRPr="00632E63">
        <w:rPr>
          <w:rFonts w:hint="eastAsia"/>
        </w:rPr>
        <w:t>萬元，或使用年限未達</w:t>
      </w:r>
      <w:r>
        <w:rPr>
          <w:rFonts w:hint="eastAsia"/>
        </w:rPr>
        <w:t>2</w:t>
      </w:r>
      <w:r w:rsidRPr="00632E63">
        <w:rPr>
          <w:rFonts w:hint="eastAsia"/>
        </w:rPr>
        <w:t>年之設備、用品等</w:t>
      </w:r>
      <w:r>
        <w:rPr>
          <w:rFonts w:hint="eastAsia"/>
        </w:rPr>
        <w:t>，</w:t>
      </w:r>
      <w:r w:rsidRPr="00632E63">
        <w:rPr>
          <w:rFonts w:hint="eastAsia"/>
        </w:rPr>
        <w:t>並按性質、效能及使用期限分類為消耗用品</w:t>
      </w:r>
      <w:r>
        <w:rPr>
          <w:rFonts w:hint="eastAsia"/>
        </w:rPr>
        <w:t>、</w:t>
      </w:r>
      <w:r w:rsidRPr="00632E63">
        <w:rPr>
          <w:rFonts w:hint="eastAsia"/>
        </w:rPr>
        <w:t>非消耗品。</w:t>
      </w:r>
    </w:p>
  </w:footnote>
  <w:footnote w:id="18">
    <w:p w:rsidR="00AE7FB4" w:rsidRPr="003D4592" w:rsidRDefault="00AE7FB4" w:rsidP="00115525">
      <w:pPr>
        <w:pStyle w:val="afb"/>
        <w:ind w:left="220" w:hangingChars="100" w:hanging="220"/>
        <w:jc w:val="both"/>
      </w:pPr>
      <w:r>
        <w:rPr>
          <w:rStyle w:val="afd"/>
        </w:rPr>
        <w:footnoteRef/>
      </w:r>
      <w:r>
        <w:t xml:space="preserve"> </w:t>
      </w:r>
      <w:r w:rsidRPr="003D4592">
        <w:rPr>
          <w:rFonts w:hint="eastAsia"/>
        </w:rPr>
        <w:t>王瑞棟「台灣未登記土地清理之研究」</w:t>
      </w:r>
      <w:r>
        <w:rPr>
          <w:rFonts w:hint="eastAsia"/>
        </w:rPr>
        <w:t>（國立</w:t>
      </w:r>
      <w:r w:rsidRPr="003D4592">
        <w:rPr>
          <w:rFonts w:hint="eastAsia"/>
        </w:rPr>
        <w:t>政治大學地政學系碩士論文，</w:t>
      </w:r>
      <w:r>
        <w:rPr>
          <w:rFonts w:hint="eastAsia"/>
        </w:rPr>
        <w:t>6</w:t>
      </w:r>
      <w:r>
        <w:t>2</w:t>
      </w:r>
      <w:r>
        <w:rPr>
          <w:rFonts w:hint="eastAsia"/>
        </w:rPr>
        <w:t>年）</w:t>
      </w:r>
      <w:r w:rsidRPr="003D4592">
        <w:rPr>
          <w:rFonts w:hint="eastAsia"/>
        </w:rPr>
        <w:t>第66頁；李</w:t>
      </w:r>
      <w:proofErr w:type="gramStart"/>
      <w:r w:rsidRPr="003D4592">
        <w:rPr>
          <w:rFonts w:hint="eastAsia"/>
        </w:rPr>
        <w:t>志殷「</w:t>
      </w:r>
      <w:proofErr w:type="gramEnd"/>
      <w:r w:rsidRPr="003D4592">
        <w:rPr>
          <w:rFonts w:hint="eastAsia"/>
        </w:rPr>
        <w:t>臺灣土地登記制度變遷之研究」</w:t>
      </w:r>
      <w:r>
        <w:rPr>
          <w:rFonts w:hint="eastAsia"/>
        </w:rPr>
        <w:t>（國立</w:t>
      </w:r>
      <w:r w:rsidRPr="003D4592">
        <w:rPr>
          <w:rFonts w:hint="eastAsia"/>
        </w:rPr>
        <w:t>政治大學法律學院碩士論文，</w:t>
      </w:r>
      <w:r>
        <w:rPr>
          <w:rFonts w:hint="eastAsia"/>
        </w:rPr>
        <w:t>9</w:t>
      </w:r>
      <w:r>
        <w:t>9</w:t>
      </w:r>
      <w:r>
        <w:rPr>
          <w:rFonts w:hint="eastAsia"/>
        </w:rPr>
        <w:t>年）</w:t>
      </w:r>
      <w:r w:rsidRPr="003D4592">
        <w:rPr>
          <w:rFonts w:hint="eastAsia"/>
        </w:rPr>
        <w:t>第149頁參照。</w:t>
      </w:r>
    </w:p>
  </w:footnote>
  <w:footnote w:id="19">
    <w:p w:rsidR="00AE7FB4" w:rsidRPr="003D4592" w:rsidRDefault="00AE7FB4" w:rsidP="00115525">
      <w:pPr>
        <w:pStyle w:val="afb"/>
        <w:ind w:left="220" w:hangingChars="100" w:hanging="220"/>
        <w:jc w:val="both"/>
      </w:pPr>
      <w:r>
        <w:rPr>
          <w:rStyle w:val="afd"/>
        </w:rPr>
        <w:footnoteRef/>
      </w:r>
      <w:r>
        <w:t xml:space="preserve"> </w:t>
      </w:r>
      <w:r w:rsidRPr="003D4592">
        <w:rPr>
          <w:rFonts w:hint="eastAsia"/>
        </w:rPr>
        <w:t>35年4月29日修正公布之土地法第58條規定：「依第55條及第57條所為公告，不得少於2個月。」</w:t>
      </w:r>
    </w:p>
  </w:footnote>
  <w:footnote w:id="20">
    <w:p w:rsidR="00AE7FB4" w:rsidRPr="003D4592" w:rsidRDefault="00AE7FB4" w:rsidP="00115525">
      <w:pPr>
        <w:pStyle w:val="afb"/>
        <w:ind w:left="220" w:hangingChars="100" w:hanging="220"/>
        <w:jc w:val="both"/>
      </w:pPr>
      <w:r>
        <w:rPr>
          <w:rStyle w:val="afd"/>
        </w:rPr>
        <w:footnoteRef/>
      </w:r>
      <w:r>
        <w:t xml:space="preserve"> </w:t>
      </w:r>
      <w:r w:rsidRPr="003D4592">
        <w:rPr>
          <w:rFonts w:hint="eastAsia"/>
        </w:rPr>
        <w:t>35年4月29日修正公布之土地法第37條規定：「土地登記，謂土地及建築改良物之所有權與他項權利之登記。」</w:t>
      </w:r>
    </w:p>
  </w:footnote>
  <w:footnote w:id="21">
    <w:p w:rsidR="00AE7FB4" w:rsidRPr="003D4592" w:rsidRDefault="00AE7FB4" w:rsidP="00115525">
      <w:pPr>
        <w:pStyle w:val="afb"/>
        <w:ind w:left="220" w:hangingChars="100" w:hanging="220"/>
        <w:jc w:val="both"/>
      </w:pPr>
      <w:r>
        <w:rPr>
          <w:rStyle w:val="afd"/>
        </w:rPr>
        <w:footnoteRef/>
      </w:r>
      <w:r>
        <w:t xml:space="preserve"> </w:t>
      </w:r>
      <w:r w:rsidRPr="003D4592">
        <w:rPr>
          <w:rFonts w:hint="eastAsia"/>
        </w:rPr>
        <w:t>王泰升「法律史專題講座-第陸講：台灣近代法律體系的確立</w:t>
      </w:r>
      <w:proofErr w:type="gramStart"/>
      <w:r w:rsidRPr="003D4592">
        <w:rPr>
          <w:rFonts w:hint="eastAsia"/>
        </w:rPr>
        <w:t>）</w:t>
      </w:r>
      <w:proofErr w:type="gramEnd"/>
      <w:r w:rsidRPr="003D4592">
        <w:rPr>
          <w:rFonts w:hint="eastAsia"/>
        </w:rPr>
        <w:t>」</w:t>
      </w:r>
      <w:r>
        <w:rPr>
          <w:rFonts w:hint="eastAsia"/>
        </w:rPr>
        <w:t>收錄於《</w:t>
      </w:r>
      <w:r w:rsidRPr="003D4592">
        <w:rPr>
          <w:rFonts w:hint="eastAsia"/>
        </w:rPr>
        <w:t>月旦法學雜誌</w:t>
      </w:r>
      <w:r>
        <w:rPr>
          <w:rFonts w:hint="eastAsia"/>
        </w:rPr>
        <w:t>》</w:t>
      </w:r>
      <w:r w:rsidRPr="003D4592">
        <w:rPr>
          <w:rFonts w:hint="eastAsia"/>
        </w:rPr>
        <w:t>第66期</w:t>
      </w:r>
      <w:r>
        <w:rPr>
          <w:rFonts w:hint="eastAsia"/>
        </w:rPr>
        <w:t>（8</w:t>
      </w:r>
      <w:r>
        <w:t>9</w:t>
      </w:r>
      <w:r>
        <w:rPr>
          <w:rFonts w:hint="eastAsia"/>
        </w:rPr>
        <w:t>年出版）</w:t>
      </w:r>
      <w:r w:rsidRPr="003D4592">
        <w:rPr>
          <w:rFonts w:hint="eastAsia"/>
        </w:rPr>
        <w:t>第170頁參照。</w:t>
      </w:r>
    </w:p>
  </w:footnote>
  <w:footnote w:id="22">
    <w:p w:rsidR="00AE7FB4" w:rsidRPr="00115525" w:rsidRDefault="00AE7FB4" w:rsidP="00115525">
      <w:pPr>
        <w:pStyle w:val="afb"/>
        <w:jc w:val="both"/>
      </w:pPr>
      <w:r>
        <w:rPr>
          <w:rStyle w:val="afd"/>
        </w:rPr>
        <w:footnoteRef/>
      </w:r>
      <w:r>
        <w:t xml:space="preserve"> </w:t>
      </w:r>
      <w:r w:rsidRPr="00115525">
        <w:rPr>
          <w:rFonts w:hint="eastAsia"/>
        </w:rPr>
        <w:t>王泰升</w:t>
      </w:r>
      <w:r>
        <w:rPr>
          <w:rFonts w:hint="eastAsia"/>
        </w:rPr>
        <w:t>《</w:t>
      </w:r>
      <w:r w:rsidRPr="00115525">
        <w:rPr>
          <w:rFonts w:hint="eastAsia"/>
        </w:rPr>
        <w:t>台灣法律史概論</w:t>
      </w:r>
      <w:r>
        <w:rPr>
          <w:rFonts w:hint="eastAsia"/>
        </w:rPr>
        <w:t>（</w:t>
      </w:r>
      <w:r w:rsidRPr="00115525">
        <w:rPr>
          <w:rFonts w:hint="eastAsia"/>
        </w:rPr>
        <w:t>六版）</w:t>
      </w:r>
      <w:r>
        <w:rPr>
          <w:rFonts w:hint="eastAsia"/>
        </w:rPr>
        <w:t>》</w:t>
      </w:r>
      <w:proofErr w:type="gramStart"/>
      <w:r>
        <w:rPr>
          <w:rFonts w:hint="eastAsia"/>
        </w:rPr>
        <w:t>（</w:t>
      </w:r>
      <w:r w:rsidRPr="00115525">
        <w:rPr>
          <w:rFonts w:hint="eastAsia"/>
        </w:rPr>
        <w:t>臺</w:t>
      </w:r>
      <w:proofErr w:type="gramEnd"/>
      <w:r w:rsidRPr="00115525">
        <w:rPr>
          <w:rFonts w:hint="eastAsia"/>
        </w:rPr>
        <w:t>北：元照出版</w:t>
      </w:r>
      <w:r>
        <w:rPr>
          <w:rFonts w:hint="eastAsia"/>
        </w:rPr>
        <w:t>，</w:t>
      </w:r>
      <w:r w:rsidRPr="00115525">
        <w:rPr>
          <w:rFonts w:hint="eastAsia"/>
        </w:rPr>
        <w:t>109年</w:t>
      </w:r>
      <w:proofErr w:type="gramStart"/>
      <w:r>
        <w:rPr>
          <w:rFonts w:hint="eastAsia"/>
        </w:rPr>
        <w:t>）</w:t>
      </w:r>
      <w:proofErr w:type="gramEnd"/>
      <w:r w:rsidRPr="00115525">
        <w:rPr>
          <w:rFonts w:hint="eastAsia"/>
        </w:rPr>
        <w:t>第301-303頁。</w:t>
      </w:r>
    </w:p>
  </w:footnote>
  <w:footnote w:id="23">
    <w:p w:rsidR="00AE7FB4" w:rsidRPr="00D14F3F" w:rsidRDefault="00AE7FB4" w:rsidP="004471EB">
      <w:pPr>
        <w:pStyle w:val="afb"/>
        <w:wordWrap w:val="0"/>
        <w:ind w:left="220" w:hangingChars="100" w:hanging="220"/>
      </w:pPr>
      <w:r>
        <w:rPr>
          <w:rStyle w:val="afd"/>
        </w:rPr>
        <w:footnoteRef/>
      </w:r>
      <w:r>
        <w:t xml:space="preserve"> </w:t>
      </w:r>
      <w:r>
        <w:rPr>
          <w:rFonts w:hint="eastAsia"/>
        </w:rPr>
        <w:t>該自救會已先後於111年8月25日、112年1月12日、112年4月11日召開記者會。參見：</w:t>
      </w:r>
      <w:hyperlink r:id="rId5" w:history="1">
        <w:r w:rsidRPr="008B4275">
          <w:rPr>
            <w:rStyle w:val="af"/>
          </w:rPr>
          <w:t>https://www.coolloud.org.tw/taxonomy/term/32643</w:t>
        </w:r>
      </w:hyperlink>
      <w:r>
        <w:rPr>
          <w:rFonts w:hint="eastAsia"/>
        </w:rPr>
        <w:t>；最近瀏覽日期為112年7月4日。</w:t>
      </w:r>
    </w:p>
  </w:footnote>
  <w:footnote w:id="24">
    <w:p w:rsidR="00AE7FB4" w:rsidRPr="00571135" w:rsidRDefault="00AE7FB4" w:rsidP="00571135">
      <w:pPr>
        <w:pStyle w:val="afb"/>
        <w:ind w:left="220" w:hangingChars="100" w:hanging="220"/>
        <w:jc w:val="both"/>
      </w:pPr>
      <w:r>
        <w:rPr>
          <w:rStyle w:val="afd"/>
        </w:rPr>
        <w:footnoteRef/>
      </w:r>
      <w:r>
        <w:t xml:space="preserve"> </w:t>
      </w:r>
      <w:r>
        <w:rPr>
          <w:rFonts w:hint="eastAsia"/>
        </w:rPr>
        <w:t>調查意見略</w:t>
      </w:r>
      <w:proofErr w:type="gramStart"/>
      <w:r>
        <w:rPr>
          <w:rFonts w:hint="eastAsia"/>
        </w:rPr>
        <w:t>以</w:t>
      </w:r>
      <w:proofErr w:type="gramEnd"/>
      <w:r>
        <w:rPr>
          <w:rFonts w:hint="eastAsia"/>
        </w:rPr>
        <w:t>：（一）農委會為保障農田水利會現有員工權益，衡平各農田水利會福利待遇差距，據以規劃所</w:t>
      </w:r>
      <w:proofErr w:type="gramStart"/>
      <w:r>
        <w:rPr>
          <w:rFonts w:hint="eastAsia"/>
        </w:rPr>
        <w:t>採</w:t>
      </w:r>
      <w:proofErr w:type="gramEnd"/>
      <w:r>
        <w:rPr>
          <w:rFonts w:hint="eastAsia"/>
        </w:rPr>
        <w:t>之人事雙軌雙流制度，與現行公務人員體制及分工型態</w:t>
      </w:r>
      <w:proofErr w:type="gramStart"/>
      <w:r>
        <w:rPr>
          <w:rFonts w:hint="eastAsia"/>
        </w:rPr>
        <w:t>迥</w:t>
      </w:r>
      <w:proofErr w:type="gramEnd"/>
      <w:r>
        <w:rPr>
          <w:rFonts w:hint="eastAsia"/>
        </w:rPr>
        <w:t>異，復因分署公務人員組織法尚未完成確立，未來如何落實公務人員與農田水利事業人員之管理，並將原有權益保障資訊透明公開以獲取最大支持諒解，均亟待農委會妥適處理。（二）各農田水利會未來資產及負債由國家概括承受，並將原各農田水利會成立17個分署及非事業用資產成立作業基金，惟各地農田水利會非事業用資產條件不一，各處作業基金財務狀況</w:t>
      </w:r>
      <w:proofErr w:type="gramStart"/>
      <w:r>
        <w:rPr>
          <w:rFonts w:hint="eastAsia"/>
        </w:rPr>
        <w:t>恐</w:t>
      </w:r>
      <w:proofErr w:type="gramEnd"/>
      <w:r>
        <w:rPr>
          <w:rFonts w:hint="eastAsia"/>
        </w:rPr>
        <w:t>差異甚大，部分區域可能需要高度仰賴政府補助，因而對未來公務預算分配公平性，作業基金、分基金又如何運作避免互相流用疑慮，農委會應妥為審慎因應。（三）目前屬會籍灌區外之優良農地廣大，農委會雖已擬定灌區外農地灌溉政策，然迄今對於所需人力及預算之缺口，似尚未擬訂因應方案及策略，且農田水利會改制公務機關後政府欲擴大灌區，對其距離水利會原灌區較為偏遠之地區，卻由農民自行維護管理，是否符合農民對政府之期待（擴大灌區服務），亟待審慎因應。（四）依農委會規劃對於現階段各農田水利會無償照舊使用他人土地提出自作業基金內</w:t>
      </w:r>
      <w:proofErr w:type="gramStart"/>
      <w:r>
        <w:rPr>
          <w:rFonts w:hint="eastAsia"/>
        </w:rPr>
        <w:t>提撥</w:t>
      </w:r>
      <w:proofErr w:type="gramEnd"/>
      <w:r>
        <w:rPr>
          <w:rFonts w:hint="eastAsia"/>
        </w:rPr>
        <w:t>價款辦理照舊使用土地之承租或用地取得之相關規定，惟該等使用私有土地情形，於農田水利會改制公務機關後，隨即形同全國尚未取得之既成道路或公共設施保留地徵收補償等問題，若未能提前預為準備，有計畫的取得土地合法使用，累計之金額恐將隨時間增加而鉅額滾動，未來勢必造成政府財政沈重之負擔，農委會</w:t>
      </w:r>
      <w:proofErr w:type="gramStart"/>
      <w:r>
        <w:rPr>
          <w:rFonts w:hint="eastAsia"/>
        </w:rPr>
        <w:t>允宜預為籌謀妥慎</w:t>
      </w:r>
      <w:proofErr w:type="gramEnd"/>
      <w:r>
        <w:rPr>
          <w:rFonts w:hint="eastAsia"/>
        </w:rPr>
        <w:t>因應。</w:t>
      </w:r>
    </w:p>
  </w:footnote>
  <w:footnote w:id="25">
    <w:p w:rsidR="00AE7FB4" w:rsidRPr="005915CF" w:rsidRDefault="00AE7FB4" w:rsidP="00813889">
      <w:pPr>
        <w:pStyle w:val="afb"/>
        <w:jc w:val="both"/>
      </w:pPr>
      <w:r>
        <w:rPr>
          <w:rStyle w:val="afd"/>
        </w:rPr>
        <w:footnoteRef/>
      </w:r>
      <w:r>
        <w:t xml:space="preserve"> </w:t>
      </w:r>
      <w:r>
        <w:rPr>
          <w:rFonts w:hint="eastAsia"/>
        </w:rPr>
        <w:t>參見審計部</w:t>
      </w:r>
      <w:proofErr w:type="gramStart"/>
      <w:r>
        <w:rPr>
          <w:rFonts w:hint="eastAsia"/>
        </w:rPr>
        <w:t>109</w:t>
      </w:r>
      <w:proofErr w:type="gramEnd"/>
      <w:r>
        <w:rPr>
          <w:rFonts w:hint="eastAsia"/>
        </w:rPr>
        <w:t>年度中央政府總決算審核報告-各公務機關重要審核意見（第2冊）。</w:t>
      </w:r>
    </w:p>
  </w:footnote>
  <w:footnote w:id="26">
    <w:p w:rsidR="00AE7FB4" w:rsidRPr="000C51FC" w:rsidRDefault="00AE7FB4" w:rsidP="000C51FC">
      <w:pPr>
        <w:pStyle w:val="afb"/>
        <w:ind w:left="220" w:hangingChars="100" w:hanging="220"/>
      </w:pPr>
      <w:r>
        <w:rPr>
          <w:rStyle w:val="afd"/>
        </w:rPr>
        <w:footnoteRef/>
      </w:r>
      <w:r>
        <w:t xml:space="preserve"> </w:t>
      </w:r>
      <w:r>
        <w:rPr>
          <w:rFonts w:hint="eastAsia"/>
        </w:rPr>
        <w:t>盧素珍《</w:t>
      </w:r>
      <w:r w:rsidRPr="000C51FC">
        <w:rPr>
          <w:rFonts w:hint="eastAsia"/>
        </w:rPr>
        <w:t>逾期未辦繼承登記土地處理問題之研究</w:t>
      </w:r>
      <w:r>
        <w:rPr>
          <w:rFonts w:hint="eastAsia"/>
        </w:rPr>
        <w:t>》（國立政治大學地政研究所碩士論文，96年）。</w:t>
      </w:r>
    </w:p>
  </w:footnote>
  <w:footnote w:id="27">
    <w:p w:rsidR="00AE7FB4" w:rsidRPr="00506BBB" w:rsidRDefault="00AE7FB4" w:rsidP="00506BBB">
      <w:pPr>
        <w:pStyle w:val="afb"/>
        <w:ind w:left="220" w:hangingChars="100" w:hanging="220"/>
      </w:pPr>
      <w:r>
        <w:rPr>
          <w:rStyle w:val="afd"/>
        </w:rPr>
        <w:footnoteRef/>
      </w:r>
      <w:r>
        <w:t xml:space="preserve"> </w:t>
      </w:r>
      <w:r>
        <w:rPr>
          <w:rFonts w:hint="eastAsia"/>
        </w:rPr>
        <w:t>黃月娥《</w:t>
      </w:r>
      <w:r w:rsidRPr="00506BBB">
        <w:rPr>
          <w:rFonts w:hint="eastAsia"/>
        </w:rPr>
        <w:t>論逾期未辦繼承登記土地公開標售合憲性之研究</w:t>
      </w:r>
      <w:r>
        <w:rPr>
          <w:rFonts w:hint="eastAsia"/>
        </w:rPr>
        <w:t>》（逢甲大學土地管理所碩士論文，9</w:t>
      </w:r>
      <w:r>
        <w:t>9</w:t>
      </w:r>
      <w:r>
        <w:rPr>
          <w:rFonts w:hint="eastAsia"/>
        </w:rPr>
        <w:t>年）。</w:t>
      </w:r>
    </w:p>
  </w:footnote>
  <w:footnote w:id="28">
    <w:p w:rsidR="00AE7FB4" w:rsidRPr="000F479E" w:rsidRDefault="00AE7FB4" w:rsidP="000F479E">
      <w:pPr>
        <w:pStyle w:val="afb"/>
        <w:ind w:left="220" w:hangingChars="100" w:hanging="220"/>
      </w:pPr>
      <w:r>
        <w:rPr>
          <w:rStyle w:val="afd"/>
        </w:rPr>
        <w:footnoteRef/>
      </w:r>
      <w:r>
        <w:t xml:space="preserve"> </w:t>
      </w:r>
      <w:r>
        <w:rPr>
          <w:rFonts w:hint="eastAsia"/>
        </w:rPr>
        <w:t>蔡伯倉《</w:t>
      </w:r>
      <w:r w:rsidRPr="000F479E">
        <w:rPr>
          <w:rFonts w:hint="eastAsia"/>
        </w:rPr>
        <w:t>土地法「逾期未辦繼承登記」法制之研究</w:t>
      </w:r>
      <w:r>
        <w:rPr>
          <w:rFonts w:hint="eastAsia"/>
        </w:rPr>
        <w:t>》（國立中正大學財經法律學研究所碩士論文，1</w:t>
      </w:r>
      <w:r>
        <w:t>03</w:t>
      </w:r>
      <w:r>
        <w:rPr>
          <w:rFonts w:hint="eastAsia"/>
        </w:rPr>
        <w:t>年）。</w:t>
      </w:r>
    </w:p>
  </w:footnote>
  <w:footnote w:id="29">
    <w:p w:rsidR="00AE7FB4" w:rsidRPr="006E5871" w:rsidRDefault="00AE7FB4" w:rsidP="006E5871">
      <w:pPr>
        <w:pStyle w:val="afb"/>
        <w:ind w:left="220" w:hangingChars="100" w:hanging="220"/>
      </w:pPr>
      <w:r>
        <w:rPr>
          <w:rStyle w:val="afd"/>
        </w:rPr>
        <w:footnoteRef/>
      </w:r>
      <w:r>
        <w:t xml:space="preserve"> </w:t>
      </w:r>
      <w:r>
        <w:rPr>
          <w:rFonts w:hint="eastAsia"/>
        </w:rPr>
        <w:t>鍾麗娜「逾期未辦繼承登記土地</w:t>
      </w:r>
      <w:proofErr w:type="gramStart"/>
      <w:r>
        <w:rPr>
          <w:rFonts w:hint="eastAsia"/>
        </w:rPr>
        <w:t>逕</w:t>
      </w:r>
      <w:proofErr w:type="gramEnd"/>
      <w:r>
        <w:rPr>
          <w:rFonts w:hint="eastAsia"/>
        </w:rPr>
        <w:t>為標售相關課題之探討」收錄於《台</w:t>
      </w:r>
      <w:r w:rsidRPr="006E5871">
        <w:rPr>
          <w:rFonts w:hint="eastAsia"/>
        </w:rPr>
        <w:t>灣法學雜誌</w:t>
      </w:r>
      <w:r>
        <w:rPr>
          <w:rFonts w:hint="eastAsia"/>
        </w:rPr>
        <w:t>》第301期（1</w:t>
      </w:r>
      <w:r>
        <w:t>05</w:t>
      </w:r>
      <w:r>
        <w:rPr>
          <w:rFonts w:hint="eastAsia"/>
        </w:rPr>
        <w:t>年8月出版）第7</w:t>
      </w:r>
      <w:r>
        <w:t>-</w:t>
      </w:r>
      <w:r>
        <w:rPr>
          <w:rFonts w:hint="eastAsia"/>
        </w:rPr>
        <w:t>2</w:t>
      </w:r>
      <w:r>
        <w:t>5</w:t>
      </w:r>
      <w:r>
        <w:rPr>
          <w:rFonts w:hint="eastAsia"/>
        </w:rPr>
        <w:t>頁。</w:t>
      </w:r>
    </w:p>
  </w:footnote>
  <w:footnote w:id="30">
    <w:p w:rsidR="00AE7FB4" w:rsidRPr="00700861" w:rsidRDefault="00AE7FB4" w:rsidP="006E5871">
      <w:pPr>
        <w:pStyle w:val="afb"/>
        <w:ind w:left="220" w:hangingChars="100" w:hanging="220"/>
      </w:pPr>
      <w:r>
        <w:rPr>
          <w:rStyle w:val="afd"/>
        </w:rPr>
        <w:footnoteRef/>
      </w:r>
      <w:r>
        <w:t xml:space="preserve"> </w:t>
      </w:r>
      <w:r>
        <w:rPr>
          <w:rFonts w:hint="eastAsia"/>
        </w:rPr>
        <w:t>陳明燦「</w:t>
      </w:r>
      <w:r w:rsidRPr="00700861">
        <w:rPr>
          <w:rFonts w:hint="eastAsia"/>
        </w:rPr>
        <w:t>我國逾期未辦土地繼承登記法律問題分析</w:t>
      </w:r>
      <w:proofErr w:type="gramStart"/>
      <w:r w:rsidRPr="00700861">
        <w:rPr>
          <w:rFonts w:hint="eastAsia"/>
        </w:rPr>
        <w:t>─兼論釋字</w:t>
      </w:r>
      <w:proofErr w:type="gramEnd"/>
      <w:r w:rsidRPr="00700861">
        <w:rPr>
          <w:rFonts w:hint="eastAsia"/>
        </w:rPr>
        <w:t>第773號解釋</w:t>
      </w:r>
      <w:r>
        <w:rPr>
          <w:rFonts w:hint="eastAsia"/>
        </w:rPr>
        <w:t>」收錄於《月旦法學雜誌》第2</w:t>
      </w:r>
      <w:r>
        <w:t>88</w:t>
      </w:r>
      <w:r>
        <w:rPr>
          <w:rFonts w:hint="eastAsia"/>
        </w:rPr>
        <w:t>期（1</w:t>
      </w:r>
      <w:r>
        <w:t>08</w:t>
      </w:r>
      <w:r>
        <w:rPr>
          <w:rFonts w:hint="eastAsia"/>
        </w:rPr>
        <w:t>年4月出版）第1</w:t>
      </w:r>
      <w:r>
        <w:t>15-</w:t>
      </w:r>
      <w:r>
        <w:rPr>
          <w:rFonts w:hint="eastAsia"/>
        </w:rPr>
        <w:t>1</w:t>
      </w:r>
      <w:r>
        <w:t>30</w:t>
      </w:r>
      <w:r>
        <w:rPr>
          <w:rFonts w:hint="eastAsia"/>
        </w:rPr>
        <w:t>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A76377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AC2974"/>
    <w:multiLevelType w:val="hybridMultilevel"/>
    <w:tmpl w:val="0DE8D2C8"/>
    <w:lvl w:ilvl="0" w:tplc="63D698E4">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 w15:restartNumberingAfterBreak="0">
    <w:nsid w:val="036C6B28"/>
    <w:multiLevelType w:val="hybridMultilevel"/>
    <w:tmpl w:val="B4F48108"/>
    <w:lvl w:ilvl="0" w:tplc="89365486">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3F60EC"/>
    <w:multiLevelType w:val="hybridMultilevel"/>
    <w:tmpl w:val="7160D738"/>
    <w:lvl w:ilvl="0" w:tplc="094AB0EA">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0F24FC"/>
    <w:multiLevelType w:val="hybridMultilevel"/>
    <w:tmpl w:val="FE664084"/>
    <w:lvl w:ilvl="0" w:tplc="95FEB76E">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A1332E9"/>
    <w:multiLevelType w:val="hybridMultilevel"/>
    <w:tmpl w:val="F9A622E6"/>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620C12"/>
    <w:multiLevelType w:val="hybridMultilevel"/>
    <w:tmpl w:val="F9A622E6"/>
    <w:lvl w:ilvl="0" w:tplc="0409000F">
      <w:start w:val="1"/>
      <w:numFmt w:val="decimal"/>
      <w:lvlText w:val="%1."/>
      <w:lvlJc w:val="left"/>
      <w:pPr>
        <w:ind w:left="192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B416675"/>
    <w:multiLevelType w:val="hybridMultilevel"/>
    <w:tmpl w:val="F9A622E6"/>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133A91"/>
    <w:multiLevelType w:val="hybridMultilevel"/>
    <w:tmpl w:val="F9A622E6"/>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2C691D"/>
    <w:multiLevelType w:val="hybridMultilevel"/>
    <w:tmpl w:val="F9A622E6"/>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40E010C"/>
    <w:multiLevelType w:val="multilevel"/>
    <w:tmpl w:val="EF9E4A84"/>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szCs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9C0FEA"/>
    <w:multiLevelType w:val="hybridMultilevel"/>
    <w:tmpl w:val="24BCB2A2"/>
    <w:lvl w:ilvl="0" w:tplc="564E85B0">
      <w:start w:val="1"/>
      <w:numFmt w:val="decimal"/>
      <w:lvlText w:val="(%1)"/>
      <w:lvlJc w:val="left"/>
      <w:pPr>
        <w:ind w:left="2251" w:hanging="720"/>
      </w:pPr>
      <w:rPr>
        <w:rFonts w:hint="default"/>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14" w15:restartNumberingAfterBreak="0">
    <w:nsid w:val="1B960DF1"/>
    <w:multiLevelType w:val="hybridMultilevel"/>
    <w:tmpl w:val="0DE8D2C8"/>
    <w:lvl w:ilvl="0" w:tplc="63D698E4">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5" w15:restartNumberingAfterBreak="0">
    <w:nsid w:val="25434325"/>
    <w:multiLevelType w:val="hybridMultilevel"/>
    <w:tmpl w:val="9AE484B8"/>
    <w:lvl w:ilvl="0" w:tplc="8B0E0B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D20D17"/>
    <w:multiLevelType w:val="hybridMultilevel"/>
    <w:tmpl w:val="0DE8D2C8"/>
    <w:lvl w:ilvl="0" w:tplc="63D698E4">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7" w15:restartNumberingAfterBreak="0">
    <w:nsid w:val="307C4F12"/>
    <w:multiLevelType w:val="hybridMultilevel"/>
    <w:tmpl w:val="0DE8D2C8"/>
    <w:lvl w:ilvl="0" w:tplc="63D698E4">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8" w15:restartNumberingAfterBreak="0">
    <w:nsid w:val="3399390A"/>
    <w:multiLevelType w:val="hybridMultilevel"/>
    <w:tmpl w:val="7160D738"/>
    <w:lvl w:ilvl="0" w:tplc="094AB0EA">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4B7A71"/>
    <w:multiLevelType w:val="hybridMultilevel"/>
    <w:tmpl w:val="24BCB2A2"/>
    <w:lvl w:ilvl="0" w:tplc="564E85B0">
      <w:start w:val="1"/>
      <w:numFmt w:val="decimal"/>
      <w:lvlText w:val="(%1)"/>
      <w:lvlJc w:val="left"/>
      <w:pPr>
        <w:ind w:left="2251" w:hanging="720"/>
      </w:pPr>
      <w:rPr>
        <w:rFonts w:hint="default"/>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20" w15:restartNumberingAfterBreak="0">
    <w:nsid w:val="3C07145F"/>
    <w:multiLevelType w:val="hybridMultilevel"/>
    <w:tmpl w:val="0DE8D2C8"/>
    <w:lvl w:ilvl="0" w:tplc="63D698E4">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1" w15:restartNumberingAfterBreak="0">
    <w:nsid w:val="3C4E2A17"/>
    <w:multiLevelType w:val="hybridMultilevel"/>
    <w:tmpl w:val="48B0104A"/>
    <w:lvl w:ilvl="0" w:tplc="22FA5956">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E143F"/>
    <w:multiLevelType w:val="hybridMultilevel"/>
    <w:tmpl w:val="A72CC614"/>
    <w:lvl w:ilvl="0" w:tplc="A58EB3C8">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74F421E0">
      <w:start w:val="1"/>
      <w:numFmt w:val="decimal"/>
      <w:lvlText w:val="(%6)"/>
      <w:lvlJc w:val="left"/>
      <w:pPr>
        <w:ind w:left="3120" w:hanging="72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4D104D"/>
    <w:multiLevelType w:val="hybridMultilevel"/>
    <w:tmpl w:val="24BCB2A2"/>
    <w:lvl w:ilvl="0" w:tplc="564E85B0">
      <w:start w:val="1"/>
      <w:numFmt w:val="decimal"/>
      <w:lvlText w:val="(%1)"/>
      <w:lvlJc w:val="left"/>
      <w:pPr>
        <w:ind w:left="2251" w:hanging="720"/>
      </w:pPr>
      <w:rPr>
        <w:rFonts w:hint="default"/>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25" w15:restartNumberingAfterBreak="0">
    <w:nsid w:val="4A5F5684"/>
    <w:multiLevelType w:val="hybridMultilevel"/>
    <w:tmpl w:val="ACFA82F6"/>
    <w:lvl w:ilvl="0" w:tplc="8BEEA1AA">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AAC6DEB"/>
    <w:multiLevelType w:val="hybridMultilevel"/>
    <w:tmpl w:val="0DE8D2C8"/>
    <w:lvl w:ilvl="0" w:tplc="63D698E4">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7" w15:restartNumberingAfterBreak="0">
    <w:nsid w:val="4CD83D42"/>
    <w:multiLevelType w:val="hybridMultilevel"/>
    <w:tmpl w:val="0DE8D2C8"/>
    <w:lvl w:ilvl="0" w:tplc="63D698E4">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8" w15:restartNumberingAfterBreak="0">
    <w:nsid w:val="4CEC3313"/>
    <w:multiLevelType w:val="hybridMultilevel"/>
    <w:tmpl w:val="F9A622E6"/>
    <w:lvl w:ilvl="0" w:tplc="0409000F">
      <w:start w:val="1"/>
      <w:numFmt w:val="decimal"/>
      <w:lvlText w:val="%1."/>
      <w:lvlJc w:val="left"/>
      <w:pPr>
        <w:ind w:left="192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1DE7B12"/>
    <w:multiLevelType w:val="hybridMultilevel"/>
    <w:tmpl w:val="0DE8D2C8"/>
    <w:lvl w:ilvl="0" w:tplc="63D698E4">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D45F39"/>
    <w:multiLevelType w:val="hybridMultilevel"/>
    <w:tmpl w:val="F9A622E6"/>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A43DF7"/>
    <w:multiLevelType w:val="hybridMultilevel"/>
    <w:tmpl w:val="7160D738"/>
    <w:lvl w:ilvl="0" w:tplc="094AB0EA">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D41237"/>
    <w:multiLevelType w:val="hybridMultilevel"/>
    <w:tmpl w:val="0DE8D2C8"/>
    <w:lvl w:ilvl="0" w:tplc="63D698E4">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5" w15:restartNumberingAfterBreak="0">
    <w:nsid w:val="6B770E30"/>
    <w:multiLevelType w:val="hybridMultilevel"/>
    <w:tmpl w:val="F9A622E6"/>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C3F78C2"/>
    <w:multiLevelType w:val="hybridMultilevel"/>
    <w:tmpl w:val="F9A622E6"/>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EC8465C"/>
    <w:multiLevelType w:val="hybridMultilevel"/>
    <w:tmpl w:val="0DE8D2C8"/>
    <w:lvl w:ilvl="0" w:tplc="63D698E4">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8" w15:restartNumberingAfterBreak="0">
    <w:nsid w:val="77776BDE"/>
    <w:multiLevelType w:val="hybridMultilevel"/>
    <w:tmpl w:val="0DE8D2C8"/>
    <w:lvl w:ilvl="0" w:tplc="63D698E4">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num w:numId="1">
    <w:abstractNumId w:val="11"/>
  </w:num>
  <w:num w:numId="2">
    <w:abstractNumId w:val="12"/>
  </w:num>
  <w:num w:numId="3">
    <w:abstractNumId w:val="5"/>
  </w:num>
  <w:num w:numId="4">
    <w:abstractNumId w:val="25"/>
  </w:num>
  <w:num w:numId="5">
    <w:abstractNumId w:val="22"/>
  </w:num>
  <w:num w:numId="6">
    <w:abstractNumId w:val="30"/>
  </w:num>
  <w:num w:numId="7">
    <w:abstractNumId w:val="11"/>
  </w:num>
  <w:num w:numId="8">
    <w:abstractNumId w:val="32"/>
  </w:num>
  <w:num w:numId="9">
    <w:abstractNumId w:val="2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5"/>
  </w:num>
  <w:num w:numId="14">
    <w:abstractNumId w:val="18"/>
  </w:num>
  <w:num w:numId="15">
    <w:abstractNumId w:val="21"/>
  </w:num>
  <w:num w:numId="16">
    <w:abstractNumId w:val="19"/>
  </w:num>
  <w:num w:numId="17">
    <w:abstractNumId w:val="33"/>
  </w:num>
  <w:num w:numId="18">
    <w:abstractNumId w:val="3"/>
  </w:num>
  <w:num w:numId="19">
    <w:abstractNumId w:val="2"/>
  </w:num>
  <w:num w:numId="20">
    <w:abstractNumId w:val="4"/>
  </w:num>
  <w:num w:numId="21">
    <w:abstractNumId w:val="38"/>
  </w:num>
  <w:num w:numId="22">
    <w:abstractNumId w:val="14"/>
  </w:num>
  <w:num w:numId="23">
    <w:abstractNumId w:val="9"/>
  </w:num>
  <w:num w:numId="24">
    <w:abstractNumId w:val="6"/>
  </w:num>
  <w:num w:numId="25">
    <w:abstractNumId w:val="31"/>
  </w:num>
  <w:num w:numId="26">
    <w:abstractNumId w:val="10"/>
  </w:num>
  <w:num w:numId="27">
    <w:abstractNumId w:val="20"/>
  </w:num>
  <w:num w:numId="28">
    <w:abstractNumId w:val="37"/>
  </w:num>
  <w:num w:numId="29">
    <w:abstractNumId w:val="1"/>
  </w:num>
  <w:num w:numId="30">
    <w:abstractNumId w:val="26"/>
  </w:num>
  <w:num w:numId="31">
    <w:abstractNumId w:val="36"/>
  </w:num>
  <w:num w:numId="32">
    <w:abstractNumId w:val="16"/>
  </w:num>
  <w:num w:numId="33">
    <w:abstractNumId w:val="8"/>
  </w:num>
  <w:num w:numId="34">
    <w:abstractNumId w:val="29"/>
  </w:num>
  <w:num w:numId="35">
    <w:abstractNumId w:val="35"/>
  </w:num>
  <w:num w:numId="36">
    <w:abstractNumId w:val="24"/>
  </w:num>
  <w:num w:numId="37">
    <w:abstractNumId w:val="13"/>
  </w:num>
  <w:num w:numId="38">
    <w:abstractNumId w:val="34"/>
  </w:num>
  <w:num w:numId="39">
    <w:abstractNumId w:val="27"/>
  </w:num>
  <w:num w:numId="40">
    <w:abstractNumId w:val="7"/>
  </w:num>
  <w:num w:numId="41">
    <w:abstractNumId w:val="28"/>
  </w:num>
  <w:num w:numId="42">
    <w:abstractNumId w:val="17"/>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num>
  <w:num w:numId="45">
    <w:abstractNumId w:val="22"/>
    <w:lvlOverride w:ilvl="0">
      <w:startOverride w:val="1"/>
    </w:lvlOverride>
  </w:num>
  <w:num w:numId="46">
    <w:abstractNumId w:val="11"/>
  </w:num>
  <w:num w:numId="47">
    <w:abstractNumId w:val="11"/>
  </w:num>
  <w:num w:numId="48">
    <w:abstractNumId w:val="11"/>
  </w:num>
  <w:num w:numId="49">
    <w:abstractNumId w:val="11"/>
  </w:num>
  <w:num w:numId="50">
    <w:abstractNumId w:val="11"/>
  </w:num>
  <w:num w:numId="51">
    <w:abstractNumId w:val="11"/>
  </w:num>
  <w:num w:numId="52">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119"/>
    <w:rsid w:val="00001DE4"/>
    <w:rsid w:val="000035B3"/>
    <w:rsid w:val="00006961"/>
    <w:rsid w:val="00007445"/>
    <w:rsid w:val="0001034F"/>
    <w:rsid w:val="00010ECE"/>
    <w:rsid w:val="000112BF"/>
    <w:rsid w:val="00012233"/>
    <w:rsid w:val="00017318"/>
    <w:rsid w:val="0002002D"/>
    <w:rsid w:val="00020AD7"/>
    <w:rsid w:val="000246CA"/>
    <w:rsid w:val="000246F7"/>
    <w:rsid w:val="000249BD"/>
    <w:rsid w:val="00025450"/>
    <w:rsid w:val="00027286"/>
    <w:rsid w:val="0003114D"/>
    <w:rsid w:val="00036D76"/>
    <w:rsid w:val="00037A54"/>
    <w:rsid w:val="00037AD0"/>
    <w:rsid w:val="00043C81"/>
    <w:rsid w:val="000446ED"/>
    <w:rsid w:val="00046B01"/>
    <w:rsid w:val="00052877"/>
    <w:rsid w:val="00057F32"/>
    <w:rsid w:val="00060E72"/>
    <w:rsid w:val="00062A25"/>
    <w:rsid w:val="00071187"/>
    <w:rsid w:val="0007211D"/>
    <w:rsid w:val="00073CB5"/>
    <w:rsid w:val="0007425C"/>
    <w:rsid w:val="000768C5"/>
    <w:rsid w:val="00076F7A"/>
    <w:rsid w:val="00077553"/>
    <w:rsid w:val="00084EB2"/>
    <w:rsid w:val="000851A2"/>
    <w:rsid w:val="00085944"/>
    <w:rsid w:val="00087077"/>
    <w:rsid w:val="00087EC8"/>
    <w:rsid w:val="0009352E"/>
    <w:rsid w:val="00096B96"/>
    <w:rsid w:val="0009782B"/>
    <w:rsid w:val="00097C2E"/>
    <w:rsid w:val="000A082F"/>
    <w:rsid w:val="000A2BE1"/>
    <w:rsid w:val="000A2F3F"/>
    <w:rsid w:val="000B0B4A"/>
    <w:rsid w:val="000B1423"/>
    <w:rsid w:val="000B279A"/>
    <w:rsid w:val="000B3E65"/>
    <w:rsid w:val="000B4614"/>
    <w:rsid w:val="000B61D2"/>
    <w:rsid w:val="000B70A7"/>
    <w:rsid w:val="000B73DD"/>
    <w:rsid w:val="000C0A7D"/>
    <w:rsid w:val="000C16B1"/>
    <w:rsid w:val="000C495F"/>
    <w:rsid w:val="000C51FC"/>
    <w:rsid w:val="000C5465"/>
    <w:rsid w:val="000C5F09"/>
    <w:rsid w:val="000C6D23"/>
    <w:rsid w:val="000D081F"/>
    <w:rsid w:val="000D4E1C"/>
    <w:rsid w:val="000D512E"/>
    <w:rsid w:val="000D60FD"/>
    <w:rsid w:val="000D7E34"/>
    <w:rsid w:val="000E10EE"/>
    <w:rsid w:val="000E15A7"/>
    <w:rsid w:val="000E3863"/>
    <w:rsid w:val="000E5B0A"/>
    <w:rsid w:val="000E6431"/>
    <w:rsid w:val="000E6DDB"/>
    <w:rsid w:val="000F0600"/>
    <w:rsid w:val="000F0D6E"/>
    <w:rsid w:val="000F21A5"/>
    <w:rsid w:val="000F33F3"/>
    <w:rsid w:val="000F479E"/>
    <w:rsid w:val="000F4CF6"/>
    <w:rsid w:val="000F79CF"/>
    <w:rsid w:val="00102B9F"/>
    <w:rsid w:val="00103E6B"/>
    <w:rsid w:val="00106CAF"/>
    <w:rsid w:val="00112637"/>
    <w:rsid w:val="00112ABC"/>
    <w:rsid w:val="00113E62"/>
    <w:rsid w:val="00115525"/>
    <w:rsid w:val="0011623F"/>
    <w:rsid w:val="0012001E"/>
    <w:rsid w:val="00126A55"/>
    <w:rsid w:val="00126AB4"/>
    <w:rsid w:val="00133ED8"/>
    <w:rsid w:val="00133F08"/>
    <w:rsid w:val="001345E6"/>
    <w:rsid w:val="001347F4"/>
    <w:rsid w:val="001348B4"/>
    <w:rsid w:val="001378B0"/>
    <w:rsid w:val="001406D0"/>
    <w:rsid w:val="00140A53"/>
    <w:rsid w:val="00141917"/>
    <w:rsid w:val="00142E00"/>
    <w:rsid w:val="00145055"/>
    <w:rsid w:val="00151A73"/>
    <w:rsid w:val="00152793"/>
    <w:rsid w:val="00153631"/>
    <w:rsid w:val="00153B7E"/>
    <w:rsid w:val="001545A9"/>
    <w:rsid w:val="00154F35"/>
    <w:rsid w:val="0016108F"/>
    <w:rsid w:val="001637C7"/>
    <w:rsid w:val="00164185"/>
    <w:rsid w:val="00164493"/>
    <w:rsid w:val="0016480E"/>
    <w:rsid w:val="001648B9"/>
    <w:rsid w:val="00173590"/>
    <w:rsid w:val="00174297"/>
    <w:rsid w:val="00174CDF"/>
    <w:rsid w:val="00177D22"/>
    <w:rsid w:val="00180E06"/>
    <w:rsid w:val="001817B3"/>
    <w:rsid w:val="00183014"/>
    <w:rsid w:val="001851E8"/>
    <w:rsid w:val="00185942"/>
    <w:rsid w:val="0019346B"/>
    <w:rsid w:val="00193E48"/>
    <w:rsid w:val="001952E1"/>
    <w:rsid w:val="001959C2"/>
    <w:rsid w:val="001A2723"/>
    <w:rsid w:val="001A2907"/>
    <w:rsid w:val="001A4EEB"/>
    <w:rsid w:val="001A51E3"/>
    <w:rsid w:val="001A7968"/>
    <w:rsid w:val="001B0C20"/>
    <w:rsid w:val="001B2E98"/>
    <w:rsid w:val="001B3483"/>
    <w:rsid w:val="001B3C1E"/>
    <w:rsid w:val="001B4494"/>
    <w:rsid w:val="001B7204"/>
    <w:rsid w:val="001C0D8B"/>
    <w:rsid w:val="001C0DA8"/>
    <w:rsid w:val="001C41AD"/>
    <w:rsid w:val="001C50CB"/>
    <w:rsid w:val="001C63B7"/>
    <w:rsid w:val="001C670E"/>
    <w:rsid w:val="001D1A98"/>
    <w:rsid w:val="001D4AD7"/>
    <w:rsid w:val="001D5D91"/>
    <w:rsid w:val="001D7846"/>
    <w:rsid w:val="001E0D8A"/>
    <w:rsid w:val="001E28D7"/>
    <w:rsid w:val="001E3861"/>
    <w:rsid w:val="001E53AF"/>
    <w:rsid w:val="001E5A81"/>
    <w:rsid w:val="001E62E9"/>
    <w:rsid w:val="001E67BA"/>
    <w:rsid w:val="001E74C2"/>
    <w:rsid w:val="001F0008"/>
    <w:rsid w:val="001F22D2"/>
    <w:rsid w:val="001F4F82"/>
    <w:rsid w:val="001F5A48"/>
    <w:rsid w:val="001F6260"/>
    <w:rsid w:val="00200007"/>
    <w:rsid w:val="00202753"/>
    <w:rsid w:val="002030A5"/>
    <w:rsid w:val="00203131"/>
    <w:rsid w:val="00203356"/>
    <w:rsid w:val="00204066"/>
    <w:rsid w:val="00205390"/>
    <w:rsid w:val="002070C4"/>
    <w:rsid w:val="00207209"/>
    <w:rsid w:val="00211A68"/>
    <w:rsid w:val="00212E88"/>
    <w:rsid w:val="00213C9C"/>
    <w:rsid w:val="00214EE0"/>
    <w:rsid w:val="00216393"/>
    <w:rsid w:val="0022009E"/>
    <w:rsid w:val="00222013"/>
    <w:rsid w:val="00222284"/>
    <w:rsid w:val="00222E0A"/>
    <w:rsid w:val="00223241"/>
    <w:rsid w:val="0022425C"/>
    <w:rsid w:val="002246DE"/>
    <w:rsid w:val="002268EF"/>
    <w:rsid w:val="00226D70"/>
    <w:rsid w:val="00235BB1"/>
    <w:rsid w:val="0024023D"/>
    <w:rsid w:val="00252AA9"/>
    <w:rsid w:val="00252BC4"/>
    <w:rsid w:val="00254014"/>
    <w:rsid w:val="00254065"/>
    <w:rsid w:val="00254076"/>
    <w:rsid w:val="00254B39"/>
    <w:rsid w:val="00261C1D"/>
    <w:rsid w:val="00263732"/>
    <w:rsid w:val="0026504D"/>
    <w:rsid w:val="00272358"/>
    <w:rsid w:val="00272719"/>
    <w:rsid w:val="00273A2F"/>
    <w:rsid w:val="00274287"/>
    <w:rsid w:val="0027500C"/>
    <w:rsid w:val="00275571"/>
    <w:rsid w:val="00276522"/>
    <w:rsid w:val="002775B4"/>
    <w:rsid w:val="00280986"/>
    <w:rsid w:val="00281ECE"/>
    <w:rsid w:val="00282C69"/>
    <w:rsid w:val="002831C7"/>
    <w:rsid w:val="00283AC9"/>
    <w:rsid w:val="002840C6"/>
    <w:rsid w:val="002859FD"/>
    <w:rsid w:val="00286F3E"/>
    <w:rsid w:val="0029135B"/>
    <w:rsid w:val="00292E17"/>
    <w:rsid w:val="0029320C"/>
    <w:rsid w:val="00295174"/>
    <w:rsid w:val="00295F32"/>
    <w:rsid w:val="00296172"/>
    <w:rsid w:val="002966C0"/>
    <w:rsid w:val="00296B92"/>
    <w:rsid w:val="00297CB4"/>
    <w:rsid w:val="00297F07"/>
    <w:rsid w:val="002A034E"/>
    <w:rsid w:val="002A2C22"/>
    <w:rsid w:val="002A6B91"/>
    <w:rsid w:val="002B02EB"/>
    <w:rsid w:val="002B1415"/>
    <w:rsid w:val="002B2710"/>
    <w:rsid w:val="002B50E5"/>
    <w:rsid w:val="002B54C5"/>
    <w:rsid w:val="002B65C9"/>
    <w:rsid w:val="002B7825"/>
    <w:rsid w:val="002B7F4D"/>
    <w:rsid w:val="002C0165"/>
    <w:rsid w:val="002C02C9"/>
    <w:rsid w:val="002C0602"/>
    <w:rsid w:val="002C11C9"/>
    <w:rsid w:val="002C12B9"/>
    <w:rsid w:val="002C66A9"/>
    <w:rsid w:val="002C7663"/>
    <w:rsid w:val="002D482C"/>
    <w:rsid w:val="002D5C16"/>
    <w:rsid w:val="002D752D"/>
    <w:rsid w:val="002E63D9"/>
    <w:rsid w:val="002F1590"/>
    <w:rsid w:val="002F2375"/>
    <w:rsid w:val="002F2476"/>
    <w:rsid w:val="002F28EB"/>
    <w:rsid w:val="002F2A8D"/>
    <w:rsid w:val="002F3DFF"/>
    <w:rsid w:val="002F5E05"/>
    <w:rsid w:val="00302DCE"/>
    <w:rsid w:val="00303586"/>
    <w:rsid w:val="0030570F"/>
    <w:rsid w:val="00305865"/>
    <w:rsid w:val="00307A76"/>
    <w:rsid w:val="00311CFB"/>
    <w:rsid w:val="003137E2"/>
    <w:rsid w:val="00315A16"/>
    <w:rsid w:val="00317053"/>
    <w:rsid w:val="0032109C"/>
    <w:rsid w:val="00322B45"/>
    <w:rsid w:val="00323809"/>
    <w:rsid w:val="00323D41"/>
    <w:rsid w:val="00325414"/>
    <w:rsid w:val="003262AF"/>
    <w:rsid w:val="00327923"/>
    <w:rsid w:val="003302F1"/>
    <w:rsid w:val="003305B6"/>
    <w:rsid w:val="00331854"/>
    <w:rsid w:val="00334428"/>
    <w:rsid w:val="003356C7"/>
    <w:rsid w:val="00343AE5"/>
    <w:rsid w:val="003446CB"/>
    <w:rsid w:val="0034470E"/>
    <w:rsid w:val="00344857"/>
    <w:rsid w:val="00350162"/>
    <w:rsid w:val="00352BA6"/>
    <w:rsid w:val="00352DB0"/>
    <w:rsid w:val="00352F98"/>
    <w:rsid w:val="00354E24"/>
    <w:rsid w:val="00361063"/>
    <w:rsid w:val="00361E70"/>
    <w:rsid w:val="00362D75"/>
    <w:rsid w:val="003647F6"/>
    <w:rsid w:val="003660F8"/>
    <w:rsid w:val="0037094A"/>
    <w:rsid w:val="00371ED3"/>
    <w:rsid w:val="00372FFC"/>
    <w:rsid w:val="0037467C"/>
    <w:rsid w:val="0037728A"/>
    <w:rsid w:val="00380B7D"/>
    <w:rsid w:val="00381A99"/>
    <w:rsid w:val="0038280B"/>
    <w:rsid w:val="003829C2"/>
    <w:rsid w:val="00382E4B"/>
    <w:rsid w:val="00382F5A"/>
    <w:rsid w:val="003830B2"/>
    <w:rsid w:val="00384724"/>
    <w:rsid w:val="00385FB5"/>
    <w:rsid w:val="003913BC"/>
    <w:rsid w:val="003919B7"/>
    <w:rsid w:val="00391D57"/>
    <w:rsid w:val="0039218E"/>
    <w:rsid w:val="00392292"/>
    <w:rsid w:val="003925AB"/>
    <w:rsid w:val="00396441"/>
    <w:rsid w:val="003971ED"/>
    <w:rsid w:val="003A38FA"/>
    <w:rsid w:val="003A4C1F"/>
    <w:rsid w:val="003A5927"/>
    <w:rsid w:val="003B1017"/>
    <w:rsid w:val="003B3C07"/>
    <w:rsid w:val="003B6081"/>
    <w:rsid w:val="003B6775"/>
    <w:rsid w:val="003B6C97"/>
    <w:rsid w:val="003C1DC8"/>
    <w:rsid w:val="003C5FE2"/>
    <w:rsid w:val="003D05FB"/>
    <w:rsid w:val="003D1B16"/>
    <w:rsid w:val="003D4592"/>
    <w:rsid w:val="003D45BF"/>
    <w:rsid w:val="003D508A"/>
    <w:rsid w:val="003D537F"/>
    <w:rsid w:val="003D5880"/>
    <w:rsid w:val="003D6CB2"/>
    <w:rsid w:val="003D6EB7"/>
    <w:rsid w:val="003D7B75"/>
    <w:rsid w:val="003D7F41"/>
    <w:rsid w:val="003E0208"/>
    <w:rsid w:val="003E0A87"/>
    <w:rsid w:val="003E4B57"/>
    <w:rsid w:val="003E4F75"/>
    <w:rsid w:val="003E59DC"/>
    <w:rsid w:val="003F0F9E"/>
    <w:rsid w:val="003F17B0"/>
    <w:rsid w:val="003F24E2"/>
    <w:rsid w:val="003F27E1"/>
    <w:rsid w:val="003F2DFE"/>
    <w:rsid w:val="003F437A"/>
    <w:rsid w:val="003F546E"/>
    <w:rsid w:val="003F5B59"/>
    <w:rsid w:val="003F5C2B"/>
    <w:rsid w:val="003F6BFE"/>
    <w:rsid w:val="003F7F94"/>
    <w:rsid w:val="0040160C"/>
    <w:rsid w:val="004021E0"/>
    <w:rsid w:val="00402240"/>
    <w:rsid w:val="004023E9"/>
    <w:rsid w:val="00403C05"/>
    <w:rsid w:val="0040454A"/>
    <w:rsid w:val="004048F6"/>
    <w:rsid w:val="00413F83"/>
    <w:rsid w:val="0041490C"/>
    <w:rsid w:val="00416191"/>
    <w:rsid w:val="00416721"/>
    <w:rsid w:val="0042081D"/>
    <w:rsid w:val="00421903"/>
    <w:rsid w:val="00421EF0"/>
    <w:rsid w:val="004224FA"/>
    <w:rsid w:val="00423D07"/>
    <w:rsid w:val="00425601"/>
    <w:rsid w:val="00427936"/>
    <w:rsid w:val="00427F10"/>
    <w:rsid w:val="004301C9"/>
    <w:rsid w:val="004316B7"/>
    <w:rsid w:val="00432483"/>
    <w:rsid w:val="0044068B"/>
    <w:rsid w:val="0044346F"/>
    <w:rsid w:val="004462DA"/>
    <w:rsid w:val="00446D7F"/>
    <w:rsid w:val="00446DA0"/>
    <w:rsid w:val="004471EB"/>
    <w:rsid w:val="0045075B"/>
    <w:rsid w:val="00450B61"/>
    <w:rsid w:val="00450C43"/>
    <w:rsid w:val="00451FE9"/>
    <w:rsid w:val="00452EC6"/>
    <w:rsid w:val="0045308A"/>
    <w:rsid w:val="00455129"/>
    <w:rsid w:val="0045778C"/>
    <w:rsid w:val="0046245E"/>
    <w:rsid w:val="0046520A"/>
    <w:rsid w:val="00465243"/>
    <w:rsid w:val="00466EBD"/>
    <w:rsid w:val="004672AB"/>
    <w:rsid w:val="004714FE"/>
    <w:rsid w:val="004755C1"/>
    <w:rsid w:val="00475A18"/>
    <w:rsid w:val="00477416"/>
    <w:rsid w:val="004778EC"/>
    <w:rsid w:val="00477BAA"/>
    <w:rsid w:val="0048594C"/>
    <w:rsid w:val="004917BC"/>
    <w:rsid w:val="004924DA"/>
    <w:rsid w:val="00494DC0"/>
    <w:rsid w:val="00495053"/>
    <w:rsid w:val="0049667C"/>
    <w:rsid w:val="00496B51"/>
    <w:rsid w:val="004A1A03"/>
    <w:rsid w:val="004A1DBE"/>
    <w:rsid w:val="004A1F59"/>
    <w:rsid w:val="004A29BE"/>
    <w:rsid w:val="004A3225"/>
    <w:rsid w:val="004A33EE"/>
    <w:rsid w:val="004A3AA8"/>
    <w:rsid w:val="004A3EDE"/>
    <w:rsid w:val="004A4103"/>
    <w:rsid w:val="004A5245"/>
    <w:rsid w:val="004A5262"/>
    <w:rsid w:val="004A6201"/>
    <w:rsid w:val="004A65E6"/>
    <w:rsid w:val="004A6A8E"/>
    <w:rsid w:val="004A7ED6"/>
    <w:rsid w:val="004B13C7"/>
    <w:rsid w:val="004B3610"/>
    <w:rsid w:val="004B6A80"/>
    <w:rsid w:val="004B778F"/>
    <w:rsid w:val="004C0609"/>
    <w:rsid w:val="004C0EC7"/>
    <w:rsid w:val="004C17BD"/>
    <w:rsid w:val="004C3784"/>
    <w:rsid w:val="004D141F"/>
    <w:rsid w:val="004D2742"/>
    <w:rsid w:val="004D5687"/>
    <w:rsid w:val="004D6310"/>
    <w:rsid w:val="004E0062"/>
    <w:rsid w:val="004E05A1"/>
    <w:rsid w:val="004E1208"/>
    <w:rsid w:val="004E1DDC"/>
    <w:rsid w:val="004E494F"/>
    <w:rsid w:val="004F3362"/>
    <w:rsid w:val="004F4B16"/>
    <w:rsid w:val="004F5E57"/>
    <w:rsid w:val="004F6710"/>
    <w:rsid w:val="00500C3E"/>
    <w:rsid w:val="00502849"/>
    <w:rsid w:val="00503A3B"/>
    <w:rsid w:val="00504334"/>
    <w:rsid w:val="0050498D"/>
    <w:rsid w:val="00506141"/>
    <w:rsid w:val="00506BBB"/>
    <w:rsid w:val="005104D7"/>
    <w:rsid w:val="00510983"/>
    <w:rsid w:val="00510B9E"/>
    <w:rsid w:val="00510EE2"/>
    <w:rsid w:val="00514E23"/>
    <w:rsid w:val="005163F7"/>
    <w:rsid w:val="005177BD"/>
    <w:rsid w:val="00521C37"/>
    <w:rsid w:val="00527720"/>
    <w:rsid w:val="00536BC2"/>
    <w:rsid w:val="005370D2"/>
    <w:rsid w:val="00537CBC"/>
    <w:rsid w:val="005425E1"/>
    <w:rsid w:val="005427C5"/>
    <w:rsid w:val="005428D1"/>
    <w:rsid w:val="00542CF6"/>
    <w:rsid w:val="00545E82"/>
    <w:rsid w:val="005471F2"/>
    <w:rsid w:val="005503E5"/>
    <w:rsid w:val="00550B24"/>
    <w:rsid w:val="005538F3"/>
    <w:rsid w:val="00553C03"/>
    <w:rsid w:val="00555B4C"/>
    <w:rsid w:val="00560A0F"/>
    <w:rsid w:val="00563692"/>
    <w:rsid w:val="00563D1B"/>
    <w:rsid w:val="00564618"/>
    <w:rsid w:val="00571135"/>
    <w:rsid w:val="00571679"/>
    <w:rsid w:val="0057555D"/>
    <w:rsid w:val="00576F5F"/>
    <w:rsid w:val="005776D9"/>
    <w:rsid w:val="0058050E"/>
    <w:rsid w:val="0058135A"/>
    <w:rsid w:val="00582031"/>
    <w:rsid w:val="005828C8"/>
    <w:rsid w:val="00583D6C"/>
    <w:rsid w:val="005844E7"/>
    <w:rsid w:val="00586EDB"/>
    <w:rsid w:val="005908B8"/>
    <w:rsid w:val="005915CF"/>
    <w:rsid w:val="0059512E"/>
    <w:rsid w:val="005A2296"/>
    <w:rsid w:val="005A6DD2"/>
    <w:rsid w:val="005B1226"/>
    <w:rsid w:val="005B4624"/>
    <w:rsid w:val="005B4C76"/>
    <w:rsid w:val="005B6FD9"/>
    <w:rsid w:val="005C0CC1"/>
    <w:rsid w:val="005C2AD7"/>
    <w:rsid w:val="005C2F2B"/>
    <w:rsid w:val="005C385D"/>
    <w:rsid w:val="005C4C22"/>
    <w:rsid w:val="005D3B20"/>
    <w:rsid w:val="005D48AD"/>
    <w:rsid w:val="005D7565"/>
    <w:rsid w:val="005D7848"/>
    <w:rsid w:val="005E3734"/>
    <w:rsid w:val="005E4759"/>
    <w:rsid w:val="005E509C"/>
    <w:rsid w:val="005E5C68"/>
    <w:rsid w:val="005E65C0"/>
    <w:rsid w:val="005E6E55"/>
    <w:rsid w:val="005E7939"/>
    <w:rsid w:val="005F0390"/>
    <w:rsid w:val="005F5F62"/>
    <w:rsid w:val="005F6BEB"/>
    <w:rsid w:val="005F7971"/>
    <w:rsid w:val="006000DD"/>
    <w:rsid w:val="00600909"/>
    <w:rsid w:val="00601EBC"/>
    <w:rsid w:val="0060312D"/>
    <w:rsid w:val="00606669"/>
    <w:rsid w:val="006072CD"/>
    <w:rsid w:val="006078CE"/>
    <w:rsid w:val="006101FE"/>
    <w:rsid w:val="00611D2A"/>
    <w:rsid w:val="00612023"/>
    <w:rsid w:val="00612690"/>
    <w:rsid w:val="00612DE4"/>
    <w:rsid w:val="00614190"/>
    <w:rsid w:val="00622A99"/>
    <w:rsid w:val="00622E67"/>
    <w:rsid w:val="00626EDC"/>
    <w:rsid w:val="00630D48"/>
    <w:rsid w:val="00632E63"/>
    <w:rsid w:val="00633E0C"/>
    <w:rsid w:val="00640736"/>
    <w:rsid w:val="00643BA0"/>
    <w:rsid w:val="0064444C"/>
    <w:rsid w:val="00646048"/>
    <w:rsid w:val="006470EC"/>
    <w:rsid w:val="006514FD"/>
    <w:rsid w:val="006542D6"/>
    <w:rsid w:val="006558E0"/>
    <w:rsid w:val="0065598E"/>
    <w:rsid w:val="00655AF2"/>
    <w:rsid w:val="00655BC5"/>
    <w:rsid w:val="00656452"/>
    <w:rsid w:val="006568BE"/>
    <w:rsid w:val="00656CDD"/>
    <w:rsid w:val="00657C16"/>
    <w:rsid w:val="0066025D"/>
    <w:rsid w:val="0066091A"/>
    <w:rsid w:val="00660DAB"/>
    <w:rsid w:val="00661F58"/>
    <w:rsid w:val="006631A7"/>
    <w:rsid w:val="006705C9"/>
    <w:rsid w:val="00671DA8"/>
    <w:rsid w:val="00672DAD"/>
    <w:rsid w:val="00676571"/>
    <w:rsid w:val="006773EC"/>
    <w:rsid w:val="00680504"/>
    <w:rsid w:val="00680583"/>
    <w:rsid w:val="00680EE0"/>
    <w:rsid w:val="00681CD9"/>
    <w:rsid w:val="00683E30"/>
    <w:rsid w:val="0068453E"/>
    <w:rsid w:val="00687024"/>
    <w:rsid w:val="00690299"/>
    <w:rsid w:val="00695E22"/>
    <w:rsid w:val="0069724A"/>
    <w:rsid w:val="00697A8F"/>
    <w:rsid w:val="006A329C"/>
    <w:rsid w:val="006B02DA"/>
    <w:rsid w:val="006B1E33"/>
    <w:rsid w:val="006B406F"/>
    <w:rsid w:val="006B7093"/>
    <w:rsid w:val="006B7411"/>
    <w:rsid w:val="006B7417"/>
    <w:rsid w:val="006C05AB"/>
    <w:rsid w:val="006C236C"/>
    <w:rsid w:val="006C5648"/>
    <w:rsid w:val="006C5C5C"/>
    <w:rsid w:val="006C5DCE"/>
    <w:rsid w:val="006D054B"/>
    <w:rsid w:val="006D3043"/>
    <w:rsid w:val="006D3691"/>
    <w:rsid w:val="006E0CD5"/>
    <w:rsid w:val="006E2F07"/>
    <w:rsid w:val="006E5871"/>
    <w:rsid w:val="006E5EF0"/>
    <w:rsid w:val="006F3563"/>
    <w:rsid w:val="006F42B9"/>
    <w:rsid w:val="006F5E3C"/>
    <w:rsid w:val="006F6103"/>
    <w:rsid w:val="00700861"/>
    <w:rsid w:val="0070163E"/>
    <w:rsid w:val="007020BD"/>
    <w:rsid w:val="00704B25"/>
    <w:rsid w:val="00704E00"/>
    <w:rsid w:val="00710099"/>
    <w:rsid w:val="00714984"/>
    <w:rsid w:val="007209E7"/>
    <w:rsid w:val="0072185D"/>
    <w:rsid w:val="00722265"/>
    <w:rsid w:val="007238D8"/>
    <w:rsid w:val="00724212"/>
    <w:rsid w:val="00725A0B"/>
    <w:rsid w:val="00726182"/>
    <w:rsid w:val="00727635"/>
    <w:rsid w:val="00727DF6"/>
    <w:rsid w:val="00732329"/>
    <w:rsid w:val="00732B1C"/>
    <w:rsid w:val="007337CA"/>
    <w:rsid w:val="00734CE4"/>
    <w:rsid w:val="00735123"/>
    <w:rsid w:val="007376CD"/>
    <w:rsid w:val="00737997"/>
    <w:rsid w:val="00741837"/>
    <w:rsid w:val="00741AE6"/>
    <w:rsid w:val="007453E6"/>
    <w:rsid w:val="007455C8"/>
    <w:rsid w:val="00745C0E"/>
    <w:rsid w:val="00753464"/>
    <w:rsid w:val="00756FAF"/>
    <w:rsid w:val="007623C3"/>
    <w:rsid w:val="00762FC3"/>
    <w:rsid w:val="00764E78"/>
    <w:rsid w:val="0077043E"/>
    <w:rsid w:val="00770734"/>
    <w:rsid w:val="00770C32"/>
    <w:rsid w:val="0077309D"/>
    <w:rsid w:val="00775C3A"/>
    <w:rsid w:val="007774EE"/>
    <w:rsid w:val="00777527"/>
    <w:rsid w:val="00781822"/>
    <w:rsid w:val="007824A2"/>
    <w:rsid w:val="00782956"/>
    <w:rsid w:val="0078319C"/>
    <w:rsid w:val="00783F21"/>
    <w:rsid w:val="00785457"/>
    <w:rsid w:val="007862F8"/>
    <w:rsid w:val="00787159"/>
    <w:rsid w:val="0079040A"/>
    <w:rsid w:val="0079043A"/>
    <w:rsid w:val="00791668"/>
    <w:rsid w:val="00791AA1"/>
    <w:rsid w:val="0079355A"/>
    <w:rsid w:val="007A070B"/>
    <w:rsid w:val="007A3793"/>
    <w:rsid w:val="007A41DD"/>
    <w:rsid w:val="007A55E2"/>
    <w:rsid w:val="007A609B"/>
    <w:rsid w:val="007B162C"/>
    <w:rsid w:val="007B19E5"/>
    <w:rsid w:val="007B2FBF"/>
    <w:rsid w:val="007C07F9"/>
    <w:rsid w:val="007C1BA2"/>
    <w:rsid w:val="007C21D8"/>
    <w:rsid w:val="007C2B48"/>
    <w:rsid w:val="007C41AC"/>
    <w:rsid w:val="007C46ED"/>
    <w:rsid w:val="007D11BF"/>
    <w:rsid w:val="007D20E9"/>
    <w:rsid w:val="007D3184"/>
    <w:rsid w:val="007D3804"/>
    <w:rsid w:val="007D4537"/>
    <w:rsid w:val="007D4697"/>
    <w:rsid w:val="007D7881"/>
    <w:rsid w:val="007D7E3A"/>
    <w:rsid w:val="007E0E10"/>
    <w:rsid w:val="007E211A"/>
    <w:rsid w:val="007E4768"/>
    <w:rsid w:val="007E532B"/>
    <w:rsid w:val="007E71F8"/>
    <w:rsid w:val="007E777B"/>
    <w:rsid w:val="007F2070"/>
    <w:rsid w:val="007F2628"/>
    <w:rsid w:val="00801184"/>
    <w:rsid w:val="00802299"/>
    <w:rsid w:val="00802B9F"/>
    <w:rsid w:val="008053F5"/>
    <w:rsid w:val="0080700F"/>
    <w:rsid w:val="00807AF7"/>
    <w:rsid w:val="00810198"/>
    <w:rsid w:val="0081062C"/>
    <w:rsid w:val="008130DB"/>
    <w:rsid w:val="00813889"/>
    <w:rsid w:val="0081538A"/>
    <w:rsid w:val="00815964"/>
    <w:rsid w:val="00815DA8"/>
    <w:rsid w:val="00820065"/>
    <w:rsid w:val="0082007C"/>
    <w:rsid w:val="0082194D"/>
    <w:rsid w:val="00821981"/>
    <w:rsid w:val="008221F9"/>
    <w:rsid w:val="00823542"/>
    <w:rsid w:val="0082460E"/>
    <w:rsid w:val="00825504"/>
    <w:rsid w:val="00826EF5"/>
    <w:rsid w:val="00826F28"/>
    <w:rsid w:val="00831693"/>
    <w:rsid w:val="00831727"/>
    <w:rsid w:val="00832736"/>
    <w:rsid w:val="00834CB6"/>
    <w:rsid w:val="00840104"/>
    <w:rsid w:val="00840C1F"/>
    <w:rsid w:val="008412B9"/>
    <w:rsid w:val="00841FC5"/>
    <w:rsid w:val="00845709"/>
    <w:rsid w:val="00845D29"/>
    <w:rsid w:val="008540D5"/>
    <w:rsid w:val="008576BD"/>
    <w:rsid w:val="00860463"/>
    <w:rsid w:val="00862F2C"/>
    <w:rsid w:val="008700DC"/>
    <w:rsid w:val="008728A6"/>
    <w:rsid w:val="008733DA"/>
    <w:rsid w:val="00873400"/>
    <w:rsid w:val="0087444D"/>
    <w:rsid w:val="0087608A"/>
    <w:rsid w:val="008803EE"/>
    <w:rsid w:val="00880F3D"/>
    <w:rsid w:val="00881F29"/>
    <w:rsid w:val="00883271"/>
    <w:rsid w:val="008850E4"/>
    <w:rsid w:val="00892045"/>
    <w:rsid w:val="008926E6"/>
    <w:rsid w:val="008939AB"/>
    <w:rsid w:val="00896827"/>
    <w:rsid w:val="008A12F5"/>
    <w:rsid w:val="008A1819"/>
    <w:rsid w:val="008A29BC"/>
    <w:rsid w:val="008A326D"/>
    <w:rsid w:val="008A3C4A"/>
    <w:rsid w:val="008A6267"/>
    <w:rsid w:val="008A7441"/>
    <w:rsid w:val="008A75BA"/>
    <w:rsid w:val="008B0950"/>
    <w:rsid w:val="008B1587"/>
    <w:rsid w:val="008B1B01"/>
    <w:rsid w:val="008B1BE7"/>
    <w:rsid w:val="008B32A5"/>
    <w:rsid w:val="008B3BCD"/>
    <w:rsid w:val="008B494B"/>
    <w:rsid w:val="008B6DF8"/>
    <w:rsid w:val="008C106C"/>
    <w:rsid w:val="008C10F1"/>
    <w:rsid w:val="008C1926"/>
    <w:rsid w:val="008C1E99"/>
    <w:rsid w:val="008C477D"/>
    <w:rsid w:val="008C51C3"/>
    <w:rsid w:val="008D01CD"/>
    <w:rsid w:val="008D3154"/>
    <w:rsid w:val="008D4B4F"/>
    <w:rsid w:val="008E0085"/>
    <w:rsid w:val="008E2661"/>
    <w:rsid w:val="008E2AA6"/>
    <w:rsid w:val="008E311B"/>
    <w:rsid w:val="008E41F0"/>
    <w:rsid w:val="008E608C"/>
    <w:rsid w:val="008E6C36"/>
    <w:rsid w:val="008F0616"/>
    <w:rsid w:val="008F1EF0"/>
    <w:rsid w:val="008F46E7"/>
    <w:rsid w:val="008F4E9E"/>
    <w:rsid w:val="008F5B35"/>
    <w:rsid w:val="008F6F0B"/>
    <w:rsid w:val="0090184A"/>
    <w:rsid w:val="00901977"/>
    <w:rsid w:val="00904C71"/>
    <w:rsid w:val="009068DE"/>
    <w:rsid w:val="0090717E"/>
    <w:rsid w:val="0090777C"/>
    <w:rsid w:val="00907A1F"/>
    <w:rsid w:val="00907B9B"/>
    <w:rsid w:val="00907BA7"/>
    <w:rsid w:val="0091064E"/>
    <w:rsid w:val="00911FC5"/>
    <w:rsid w:val="00913597"/>
    <w:rsid w:val="00920B1E"/>
    <w:rsid w:val="00922AC1"/>
    <w:rsid w:val="00925958"/>
    <w:rsid w:val="00931A10"/>
    <w:rsid w:val="00931B2E"/>
    <w:rsid w:val="009322BA"/>
    <w:rsid w:val="009337F4"/>
    <w:rsid w:val="009406D6"/>
    <w:rsid w:val="00945082"/>
    <w:rsid w:val="00947967"/>
    <w:rsid w:val="00950373"/>
    <w:rsid w:val="009508AA"/>
    <w:rsid w:val="00955201"/>
    <w:rsid w:val="00964683"/>
    <w:rsid w:val="00964DB5"/>
    <w:rsid w:val="00965200"/>
    <w:rsid w:val="00965C73"/>
    <w:rsid w:val="009668B3"/>
    <w:rsid w:val="00971471"/>
    <w:rsid w:val="00972EE4"/>
    <w:rsid w:val="0097481C"/>
    <w:rsid w:val="009749E1"/>
    <w:rsid w:val="00977778"/>
    <w:rsid w:val="0098140F"/>
    <w:rsid w:val="009835E2"/>
    <w:rsid w:val="00984155"/>
    <w:rsid w:val="00984387"/>
    <w:rsid w:val="009849C2"/>
    <w:rsid w:val="00984D24"/>
    <w:rsid w:val="00984E75"/>
    <w:rsid w:val="009858EB"/>
    <w:rsid w:val="0099114B"/>
    <w:rsid w:val="00992168"/>
    <w:rsid w:val="00992F3C"/>
    <w:rsid w:val="00994757"/>
    <w:rsid w:val="0099639C"/>
    <w:rsid w:val="009967AA"/>
    <w:rsid w:val="009A157F"/>
    <w:rsid w:val="009A2BBF"/>
    <w:rsid w:val="009A3F47"/>
    <w:rsid w:val="009A657D"/>
    <w:rsid w:val="009B0046"/>
    <w:rsid w:val="009B311B"/>
    <w:rsid w:val="009B37A8"/>
    <w:rsid w:val="009B55E0"/>
    <w:rsid w:val="009C1440"/>
    <w:rsid w:val="009C2107"/>
    <w:rsid w:val="009C2B3F"/>
    <w:rsid w:val="009C5D9E"/>
    <w:rsid w:val="009C6519"/>
    <w:rsid w:val="009C75F9"/>
    <w:rsid w:val="009D26EF"/>
    <w:rsid w:val="009D2C3E"/>
    <w:rsid w:val="009D2F83"/>
    <w:rsid w:val="009D3507"/>
    <w:rsid w:val="009E0625"/>
    <w:rsid w:val="009E164D"/>
    <w:rsid w:val="009E1D9F"/>
    <w:rsid w:val="009E3034"/>
    <w:rsid w:val="009E32B5"/>
    <w:rsid w:val="009E3403"/>
    <w:rsid w:val="009E549F"/>
    <w:rsid w:val="009F0D6B"/>
    <w:rsid w:val="009F1584"/>
    <w:rsid w:val="009F28A8"/>
    <w:rsid w:val="009F2C42"/>
    <w:rsid w:val="009F2EAF"/>
    <w:rsid w:val="009F473E"/>
    <w:rsid w:val="009F5E49"/>
    <w:rsid w:val="009F682A"/>
    <w:rsid w:val="009F6BF7"/>
    <w:rsid w:val="009F6D1F"/>
    <w:rsid w:val="009F7529"/>
    <w:rsid w:val="00A009B6"/>
    <w:rsid w:val="00A022BE"/>
    <w:rsid w:val="00A049C3"/>
    <w:rsid w:val="00A05F94"/>
    <w:rsid w:val="00A06FD3"/>
    <w:rsid w:val="00A07B4B"/>
    <w:rsid w:val="00A1144F"/>
    <w:rsid w:val="00A1203F"/>
    <w:rsid w:val="00A123D1"/>
    <w:rsid w:val="00A140E8"/>
    <w:rsid w:val="00A1433B"/>
    <w:rsid w:val="00A17517"/>
    <w:rsid w:val="00A20933"/>
    <w:rsid w:val="00A2156D"/>
    <w:rsid w:val="00A24C13"/>
    <w:rsid w:val="00A24C95"/>
    <w:rsid w:val="00A2599A"/>
    <w:rsid w:val="00A26094"/>
    <w:rsid w:val="00A27BDE"/>
    <w:rsid w:val="00A301BF"/>
    <w:rsid w:val="00A302B2"/>
    <w:rsid w:val="00A331B4"/>
    <w:rsid w:val="00A3407A"/>
    <w:rsid w:val="00A3484E"/>
    <w:rsid w:val="00A356D3"/>
    <w:rsid w:val="00A358D5"/>
    <w:rsid w:val="00A35B5E"/>
    <w:rsid w:val="00A36ADA"/>
    <w:rsid w:val="00A37C8D"/>
    <w:rsid w:val="00A41518"/>
    <w:rsid w:val="00A438D8"/>
    <w:rsid w:val="00A445AB"/>
    <w:rsid w:val="00A44874"/>
    <w:rsid w:val="00A46409"/>
    <w:rsid w:val="00A473F5"/>
    <w:rsid w:val="00A479CB"/>
    <w:rsid w:val="00A51F9D"/>
    <w:rsid w:val="00A5416A"/>
    <w:rsid w:val="00A54D25"/>
    <w:rsid w:val="00A558E3"/>
    <w:rsid w:val="00A55D9A"/>
    <w:rsid w:val="00A56A20"/>
    <w:rsid w:val="00A61F47"/>
    <w:rsid w:val="00A639F4"/>
    <w:rsid w:val="00A65E08"/>
    <w:rsid w:val="00A6645D"/>
    <w:rsid w:val="00A70E27"/>
    <w:rsid w:val="00A76822"/>
    <w:rsid w:val="00A77B31"/>
    <w:rsid w:val="00A81A32"/>
    <w:rsid w:val="00A835BD"/>
    <w:rsid w:val="00A845F6"/>
    <w:rsid w:val="00A8664A"/>
    <w:rsid w:val="00A86941"/>
    <w:rsid w:val="00A90409"/>
    <w:rsid w:val="00A90BE5"/>
    <w:rsid w:val="00A97B15"/>
    <w:rsid w:val="00AA2C46"/>
    <w:rsid w:val="00AA42D5"/>
    <w:rsid w:val="00AA651F"/>
    <w:rsid w:val="00AB1F1C"/>
    <w:rsid w:val="00AB2FAB"/>
    <w:rsid w:val="00AB3C69"/>
    <w:rsid w:val="00AB5C14"/>
    <w:rsid w:val="00AB6EF5"/>
    <w:rsid w:val="00AB7940"/>
    <w:rsid w:val="00AC0431"/>
    <w:rsid w:val="00AC1EE7"/>
    <w:rsid w:val="00AC333F"/>
    <w:rsid w:val="00AC585C"/>
    <w:rsid w:val="00AC62B9"/>
    <w:rsid w:val="00AD1925"/>
    <w:rsid w:val="00AD61DD"/>
    <w:rsid w:val="00AE0189"/>
    <w:rsid w:val="00AE067D"/>
    <w:rsid w:val="00AE308B"/>
    <w:rsid w:val="00AE59E0"/>
    <w:rsid w:val="00AE7793"/>
    <w:rsid w:val="00AE7FB4"/>
    <w:rsid w:val="00AF1181"/>
    <w:rsid w:val="00AF2F79"/>
    <w:rsid w:val="00AF4653"/>
    <w:rsid w:val="00AF7DB7"/>
    <w:rsid w:val="00B0080D"/>
    <w:rsid w:val="00B047C6"/>
    <w:rsid w:val="00B076BE"/>
    <w:rsid w:val="00B1024A"/>
    <w:rsid w:val="00B10D02"/>
    <w:rsid w:val="00B14FF9"/>
    <w:rsid w:val="00B201E2"/>
    <w:rsid w:val="00B202AB"/>
    <w:rsid w:val="00B2156F"/>
    <w:rsid w:val="00B21D75"/>
    <w:rsid w:val="00B258E3"/>
    <w:rsid w:val="00B32DAE"/>
    <w:rsid w:val="00B42F4A"/>
    <w:rsid w:val="00B432DF"/>
    <w:rsid w:val="00B43E1D"/>
    <w:rsid w:val="00B443E4"/>
    <w:rsid w:val="00B457B2"/>
    <w:rsid w:val="00B474CC"/>
    <w:rsid w:val="00B511B2"/>
    <w:rsid w:val="00B531F1"/>
    <w:rsid w:val="00B5484D"/>
    <w:rsid w:val="00B563EA"/>
    <w:rsid w:val="00B56CDF"/>
    <w:rsid w:val="00B57B32"/>
    <w:rsid w:val="00B60E51"/>
    <w:rsid w:val="00B63A54"/>
    <w:rsid w:val="00B65B05"/>
    <w:rsid w:val="00B70F25"/>
    <w:rsid w:val="00B732D6"/>
    <w:rsid w:val="00B750D6"/>
    <w:rsid w:val="00B77D18"/>
    <w:rsid w:val="00B80F7C"/>
    <w:rsid w:val="00B82182"/>
    <w:rsid w:val="00B8266F"/>
    <w:rsid w:val="00B8313A"/>
    <w:rsid w:val="00B93503"/>
    <w:rsid w:val="00B948C1"/>
    <w:rsid w:val="00B9577F"/>
    <w:rsid w:val="00BA31E8"/>
    <w:rsid w:val="00BA4634"/>
    <w:rsid w:val="00BA55E0"/>
    <w:rsid w:val="00BA6BD4"/>
    <w:rsid w:val="00BA6C7A"/>
    <w:rsid w:val="00BA6ED8"/>
    <w:rsid w:val="00BB0C0B"/>
    <w:rsid w:val="00BB17D1"/>
    <w:rsid w:val="00BB1B3A"/>
    <w:rsid w:val="00BB3400"/>
    <w:rsid w:val="00BB3752"/>
    <w:rsid w:val="00BB6688"/>
    <w:rsid w:val="00BB78B4"/>
    <w:rsid w:val="00BC0B57"/>
    <w:rsid w:val="00BC252E"/>
    <w:rsid w:val="00BC26D4"/>
    <w:rsid w:val="00BC2E18"/>
    <w:rsid w:val="00BC3ABA"/>
    <w:rsid w:val="00BC62C8"/>
    <w:rsid w:val="00BC6803"/>
    <w:rsid w:val="00BC72EB"/>
    <w:rsid w:val="00BC774D"/>
    <w:rsid w:val="00BD02E2"/>
    <w:rsid w:val="00BD1579"/>
    <w:rsid w:val="00BD4E0C"/>
    <w:rsid w:val="00BD7E35"/>
    <w:rsid w:val="00BE0C80"/>
    <w:rsid w:val="00BE199C"/>
    <w:rsid w:val="00BE3527"/>
    <w:rsid w:val="00BE5426"/>
    <w:rsid w:val="00BE5CF8"/>
    <w:rsid w:val="00BF2A42"/>
    <w:rsid w:val="00BF4876"/>
    <w:rsid w:val="00BF7C44"/>
    <w:rsid w:val="00C03D8C"/>
    <w:rsid w:val="00C055EC"/>
    <w:rsid w:val="00C07767"/>
    <w:rsid w:val="00C07AEF"/>
    <w:rsid w:val="00C10DC9"/>
    <w:rsid w:val="00C117A1"/>
    <w:rsid w:val="00C12FB3"/>
    <w:rsid w:val="00C139C4"/>
    <w:rsid w:val="00C16FE2"/>
    <w:rsid w:val="00C17341"/>
    <w:rsid w:val="00C24E0A"/>
    <w:rsid w:val="00C24EEF"/>
    <w:rsid w:val="00C25160"/>
    <w:rsid w:val="00C25CF6"/>
    <w:rsid w:val="00C26C36"/>
    <w:rsid w:val="00C270C1"/>
    <w:rsid w:val="00C302D5"/>
    <w:rsid w:val="00C30B64"/>
    <w:rsid w:val="00C32768"/>
    <w:rsid w:val="00C32B9E"/>
    <w:rsid w:val="00C32F8D"/>
    <w:rsid w:val="00C34A9C"/>
    <w:rsid w:val="00C35D60"/>
    <w:rsid w:val="00C37090"/>
    <w:rsid w:val="00C37AF2"/>
    <w:rsid w:val="00C42FE1"/>
    <w:rsid w:val="00C431DF"/>
    <w:rsid w:val="00C456BD"/>
    <w:rsid w:val="00C45E97"/>
    <w:rsid w:val="00C461A9"/>
    <w:rsid w:val="00C463D9"/>
    <w:rsid w:val="00C51D33"/>
    <w:rsid w:val="00C520B4"/>
    <w:rsid w:val="00C530DC"/>
    <w:rsid w:val="00C533AB"/>
    <w:rsid w:val="00C5350D"/>
    <w:rsid w:val="00C568D0"/>
    <w:rsid w:val="00C6123C"/>
    <w:rsid w:val="00C614C3"/>
    <w:rsid w:val="00C6311A"/>
    <w:rsid w:val="00C64192"/>
    <w:rsid w:val="00C7084D"/>
    <w:rsid w:val="00C70B0D"/>
    <w:rsid w:val="00C7315E"/>
    <w:rsid w:val="00C73D74"/>
    <w:rsid w:val="00C75253"/>
    <w:rsid w:val="00C75895"/>
    <w:rsid w:val="00C75F88"/>
    <w:rsid w:val="00C7639D"/>
    <w:rsid w:val="00C80938"/>
    <w:rsid w:val="00C83C9F"/>
    <w:rsid w:val="00C85B0E"/>
    <w:rsid w:val="00C94840"/>
    <w:rsid w:val="00C96080"/>
    <w:rsid w:val="00CA0834"/>
    <w:rsid w:val="00CA1A84"/>
    <w:rsid w:val="00CA38BF"/>
    <w:rsid w:val="00CA4EE3"/>
    <w:rsid w:val="00CA5B5F"/>
    <w:rsid w:val="00CA5D5C"/>
    <w:rsid w:val="00CB027F"/>
    <w:rsid w:val="00CB0A5D"/>
    <w:rsid w:val="00CB1CB6"/>
    <w:rsid w:val="00CB5E5A"/>
    <w:rsid w:val="00CB7261"/>
    <w:rsid w:val="00CC0EBB"/>
    <w:rsid w:val="00CC19C0"/>
    <w:rsid w:val="00CC3C46"/>
    <w:rsid w:val="00CC58FC"/>
    <w:rsid w:val="00CC5A16"/>
    <w:rsid w:val="00CC6297"/>
    <w:rsid w:val="00CC7690"/>
    <w:rsid w:val="00CD1986"/>
    <w:rsid w:val="00CD1E8C"/>
    <w:rsid w:val="00CD3121"/>
    <w:rsid w:val="00CD54BF"/>
    <w:rsid w:val="00CD5BDE"/>
    <w:rsid w:val="00CD6047"/>
    <w:rsid w:val="00CD6DBC"/>
    <w:rsid w:val="00CD7AE8"/>
    <w:rsid w:val="00CE4D5C"/>
    <w:rsid w:val="00CF01DB"/>
    <w:rsid w:val="00CF05DA"/>
    <w:rsid w:val="00CF0E60"/>
    <w:rsid w:val="00CF4E63"/>
    <w:rsid w:val="00CF5257"/>
    <w:rsid w:val="00CF58EB"/>
    <w:rsid w:val="00CF5C0F"/>
    <w:rsid w:val="00CF6200"/>
    <w:rsid w:val="00CF6FEC"/>
    <w:rsid w:val="00CF7335"/>
    <w:rsid w:val="00CF754A"/>
    <w:rsid w:val="00D0106E"/>
    <w:rsid w:val="00D0239E"/>
    <w:rsid w:val="00D0382F"/>
    <w:rsid w:val="00D06383"/>
    <w:rsid w:val="00D066B0"/>
    <w:rsid w:val="00D10174"/>
    <w:rsid w:val="00D14F3F"/>
    <w:rsid w:val="00D16832"/>
    <w:rsid w:val="00D20E85"/>
    <w:rsid w:val="00D24615"/>
    <w:rsid w:val="00D24762"/>
    <w:rsid w:val="00D2572B"/>
    <w:rsid w:val="00D27D11"/>
    <w:rsid w:val="00D33F0D"/>
    <w:rsid w:val="00D35046"/>
    <w:rsid w:val="00D37842"/>
    <w:rsid w:val="00D4268A"/>
    <w:rsid w:val="00D42DC2"/>
    <w:rsid w:val="00D42F9D"/>
    <w:rsid w:val="00D462D0"/>
    <w:rsid w:val="00D537E1"/>
    <w:rsid w:val="00D55BB2"/>
    <w:rsid w:val="00D57B34"/>
    <w:rsid w:val="00D6091A"/>
    <w:rsid w:val="00D6605A"/>
    <w:rsid w:val="00D6695F"/>
    <w:rsid w:val="00D71131"/>
    <w:rsid w:val="00D75644"/>
    <w:rsid w:val="00D802A7"/>
    <w:rsid w:val="00D81656"/>
    <w:rsid w:val="00D83D87"/>
    <w:rsid w:val="00D84A6D"/>
    <w:rsid w:val="00D86A30"/>
    <w:rsid w:val="00D93207"/>
    <w:rsid w:val="00D9411D"/>
    <w:rsid w:val="00D97CB4"/>
    <w:rsid w:val="00D97DD4"/>
    <w:rsid w:val="00DA5A8A"/>
    <w:rsid w:val="00DA5C46"/>
    <w:rsid w:val="00DA5D6A"/>
    <w:rsid w:val="00DA6792"/>
    <w:rsid w:val="00DB0067"/>
    <w:rsid w:val="00DB1170"/>
    <w:rsid w:val="00DB26CD"/>
    <w:rsid w:val="00DB2AFC"/>
    <w:rsid w:val="00DB39E3"/>
    <w:rsid w:val="00DB3C5C"/>
    <w:rsid w:val="00DB441C"/>
    <w:rsid w:val="00DB44AF"/>
    <w:rsid w:val="00DB4BDB"/>
    <w:rsid w:val="00DB7463"/>
    <w:rsid w:val="00DC1F58"/>
    <w:rsid w:val="00DC339B"/>
    <w:rsid w:val="00DC3730"/>
    <w:rsid w:val="00DC5D40"/>
    <w:rsid w:val="00DC647B"/>
    <w:rsid w:val="00DC69A7"/>
    <w:rsid w:val="00DD0107"/>
    <w:rsid w:val="00DD0649"/>
    <w:rsid w:val="00DD30E9"/>
    <w:rsid w:val="00DD432E"/>
    <w:rsid w:val="00DD47BE"/>
    <w:rsid w:val="00DD4920"/>
    <w:rsid w:val="00DD4F47"/>
    <w:rsid w:val="00DD6B83"/>
    <w:rsid w:val="00DD7BB2"/>
    <w:rsid w:val="00DD7FBB"/>
    <w:rsid w:val="00DE0B9F"/>
    <w:rsid w:val="00DE2A9E"/>
    <w:rsid w:val="00DE30FA"/>
    <w:rsid w:val="00DE36FA"/>
    <w:rsid w:val="00DE3BA9"/>
    <w:rsid w:val="00DE4238"/>
    <w:rsid w:val="00DE4802"/>
    <w:rsid w:val="00DE50CA"/>
    <w:rsid w:val="00DE50E1"/>
    <w:rsid w:val="00DE657F"/>
    <w:rsid w:val="00DE682B"/>
    <w:rsid w:val="00DF1218"/>
    <w:rsid w:val="00DF2EE1"/>
    <w:rsid w:val="00DF5134"/>
    <w:rsid w:val="00DF6462"/>
    <w:rsid w:val="00DF7F3E"/>
    <w:rsid w:val="00E02FA0"/>
    <w:rsid w:val="00E036DC"/>
    <w:rsid w:val="00E0527E"/>
    <w:rsid w:val="00E064BD"/>
    <w:rsid w:val="00E06D27"/>
    <w:rsid w:val="00E10454"/>
    <w:rsid w:val="00E112E5"/>
    <w:rsid w:val="00E122D8"/>
    <w:rsid w:val="00E12CC8"/>
    <w:rsid w:val="00E15352"/>
    <w:rsid w:val="00E1606B"/>
    <w:rsid w:val="00E21AED"/>
    <w:rsid w:val="00E21CC7"/>
    <w:rsid w:val="00E221A1"/>
    <w:rsid w:val="00E24D9E"/>
    <w:rsid w:val="00E25849"/>
    <w:rsid w:val="00E25A34"/>
    <w:rsid w:val="00E25BF5"/>
    <w:rsid w:val="00E2667E"/>
    <w:rsid w:val="00E3197E"/>
    <w:rsid w:val="00E33233"/>
    <w:rsid w:val="00E338DC"/>
    <w:rsid w:val="00E342F8"/>
    <w:rsid w:val="00E3458A"/>
    <w:rsid w:val="00E351ED"/>
    <w:rsid w:val="00E3639A"/>
    <w:rsid w:val="00E37625"/>
    <w:rsid w:val="00E41641"/>
    <w:rsid w:val="00E4477B"/>
    <w:rsid w:val="00E451DF"/>
    <w:rsid w:val="00E4644A"/>
    <w:rsid w:val="00E466C2"/>
    <w:rsid w:val="00E47D7D"/>
    <w:rsid w:val="00E50063"/>
    <w:rsid w:val="00E52BA8"/>
    <w:rsid w:val="00E56A50"/>
    <w:rsid w:val="00E5711B"/>
    <w:rsid w:val="00E6034B"/>
    <w:rsid w:val="00E6549E"/>
    <w:rsid w:val="00E65EDE"/>
    <w:rsid w:val="00E66BB6"/>
    <w:rsid w:val="00E703F8"/>
    <w:rsid w:val="00E70F81"/>
    <w:rsid w:val="00E71945"/>
    <w:rsid w:val="00E72D5C"/>
    <w:rsid w:val="00E732BB"/>
    <w:rsid w:val="00E77055"/>
    <w:rsid w:val="00E77460"/>
    <w:rsid w:val="00E80F7C"/>
    <w:rsid w:val="00E836E0"/>
    <w:rsid w:val="00E83ABC"/>
    <w:rsid w:val="00E840AF"/>
    <w:rsid w:val="00E842B8"/>
    <w:rsid w:val="00E844F2"/>
    <w:rsid w:val="00E90AD0"/>
    <w:rsid w:val="00E92FCB"/>
    <w:rsid w:val="00EA095B"/>
    <w:rsid w:val="00EA147F"/>
    <w:rsid w:val="00EA1B78"/>
    <w:rsid w:val="00EA48A6"/>
    <w:rsid w:val="00EA4A27"/>
    <w:rsid w:val="00EA4FA6"/>
    <w:rsid w:val="00EA54DD"/>
    <w:rsid w:val="00EA5782"/>
    <w:rsid w:val="00EA7A9E"/>
    <w:rsid w:val="00EB197C"/>
    <w:rsid w:val="00EB1A25"/>
    <w:rsid w:val="00EB68F2"/>
    <w:rsid w:val="00EC271A"/>
    <w:rsid w:val="00EC3EB4"/>
    <w:rsid w:val="00EC4BCB"/>
    <w:rsid w:val="00EC50B0"/>
    <w:rsid w:val="00EC537E"/>
    <w:rsid w:val="00EC5439"/>
    <w:rsid w:val="00EC58A1"/>
    <w:rsid w:val="00EC6463"/>
    <w:rsid w:val="00EC7363"/>
    <w:rsid w:val="00ED03AB"/>
    <w:rsid w:val="00ED1963"/>
    <w:rsid w:val="00ED1CD4"/>
    <w:rsid w:val="00ED1D2B"/>
    <w:rsid w:val="00ED3A18"/>
    <w:rsid w:val="00ED5245"/>
    <w:rsid w:val="00ED64B5"/>
    <w:rsid w:val="00ED75A9"/>
    <w:rsid w:val="00EE06DC"/>
    <w:rsid w:val="00EE0DF8"/>
    <w:rsid w:val="00EE7CCA"/>
    <w:rsid w:val="00EF424D"/>
    <w:rsid w:val="00EF5A35"/>
    <w:rsid w:val="00F020D3"/>
    <w:rsid w:val="00F026DC"/>
    <w:rsid w:val="00F11C88"/>
    <w:rsid w:val="00F1461E"/>
    <w:rsid w:val="00F14D39"/>
    <w:rsid w:val="00F16A14"/>
    <w:rsid w:val="00F205F8"/>
    <w:rsid w:val="00F2279A"/>
    <w:rsid w:val="00F23325"/>
    <w:rsid w:val="00F235F9"/>
    <w:rsid w:val="00F2513E"/>
    <w:rsid w:val="00F31165"/>
    <w:rsid w:val="00F34669"/>
    <w:rsid w:val="00F35509"/>
    <w:rsid w:val="00F362D7"/>
    <w:rsid w:val="00F37D7B"/>
    <w:rsid w:val="00F407A5"/>
    <w:rsid w:val="00F41399"/>
    <w:rsid w:val="00F4159D"/>
    <w:rsid w:val="00F41D5B"/>
    <w:rsid w:val="00F41F1C"/>
    <w:rsid w:val="00F42177"/>
    <w:rsid w:val="00F425D2"/>
    <w:rsid w:val="00F5314C"/>
    <w:rsid w:val="00F53882"/>
    <w:rsid w:val="00F55B58"/>
    <w:rsid w:val="00F56394"/>
    <w:rsid w:val="00F5688C"/>
    <w:rsid w:val="00F60048"/>
    <w:rsid w:val="00F62BA7"/>
    <w:rsid w:val="00F635DD"/>
    <w:rsid w:val="00F63C66"/>
    <w:rsid w:val="00F65886"/>
    <w:rsid w:val="00F6627B"/>
    <w:rsid w:val="00F70099"/>
    <w:rsid w:val="00F70241"/>
    <w:rsid w:val="00F72FB7"/>
    <w:rsid w:val="00F7336E"/>
    <w:rsid w:val="00F734F2"/>
    <w:rsid w:val="00F75052"/>
    <w:rsid w:val="00F75DE4"/>
    <w:rsid w:val="00F76A16"/>
    <w:rsid w:val="00F76EBB"/>
    <w:rsid w:val="00F804D3"/>
    <w:rsid w:val="00F816CB"/>
    <w:rsid w:val="00F81CD2"/>
    <w:rsid w:val="00F82641"/>
    <w:rsid w:val="00F860AB"/>
    <w:rsid w:val="00F871D4"/>
    <w:rsid w:val="00F90BD2"/>
    <w:rsid w:val="00F90F18"/>
    <w:rsid w:val="00F937E4"/>
    <w:rsid w:val="00F93A59"/>
    <w:rsid w:val="00F94BB3"/>
    <w:rsid w:val="00F95655"/>
    <w:rsid w:val="00F95A9C"/>
    <w:rsid w:val="00F95EE7"/>
    <w:rsid w:val="00FA0606"/>
    <w:rsid w:val="00FA0DC3"/>
    <w:rsid w:val="00FA1832"/>
    <w:rsid w:val="00FA2C9A"/>
    <w:rsid w:val="00FA39E6"/>
    <w:rsid w:val="00FA7BC9"/>
    <w:rsid w:val="00FB087C"/>
    <w:rsid w:val="00FB0E40"/>
    <w:rsid w:val="00FB378E"/>
    <w:rsid w:val="00FB37F1"/>
    <w:rsid w:val="00FB47C0"/>
    <w:rsid w:val="00FB4B72"/>
    <w:rsid w:val="00FB4D90"/>
    <w:rsid w:val="00FB501B"/>
    <w:rsid w:val="00FB7770"/>
    <w:rsid w:val="00FC00D2"/>
    <w:rsid w:val="00FC0584"/>
    <w:rsid w:val="00FC413A"/>
    <w:rsid w:val="00FC4A6A"/>
    <w:rsid w:val="00FD3B91"/>
    <w:rsid w:val="00FD576B"/>
    <w:rsid w:val="00FD579E"/>
    <w:rsid w:val="00FD6845"/>
    <w:rsid w:val="00FE1312"/>
    <w:rsid w:val="00FE1D14"/>
    <w:rsid w:val="00FE4516"/>
    <w:rsid w:val="00FE64C8"/>
    <w:rsid w:val="00FF1924"/>
    <w:rsid w:val="00FF2DF4"/>
    <w:rsid w:val="00FF3908"/>
    <w:rsid w:val="00FF4CC1"/>
    <w:rsid w:val="00FF4E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85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141917"/>
    <w:pPr>
      <w:widowControl w:val="0"/>
      <w:overflowPunct w:val="0"/>
      <w:autoSpaceDE w:val="0"/>
      <w:autoSpaceDN w:val="0"/>
      <w:jc w:val="both"/>
    </w:pPr>
    <w:rPr>
      <w:rFonts w:ascii="標楷體" w:eastAsia="標楷體"/>
      <w:kern w:val="2"/>
      <w:sz w:val="32"/>
    </w:rPr>
  </w:style>
  <w:style w:type="paragraph" w:styleId="1">
    <w:name w:val="heading 1"/>
    <w:aliases w:val="題號1"/>
    <w:basedOn w:val="a7"/>
    <w:qFormat/>
    <w:rsid w:val="005E509C"/>
    <w:pPr>
      <w:numPr>
        <w:numId w:val="7"/>
      </w:numPr>
      <w:outlineLvl w:val="0"/>
    </w:pPr>
    <w:rPr>
      <w:rFonts w:hAnsi="Arial"/>
      <w:bCs/>
      <w:kern w:val="32"/>
      <w:szCs w:val="52"/>
    </w:rPr>
  </w:style>
  <w:style w:type="paragraph" w:styleId="2">
    <w:name w:val="heading 2"/>
    <w:aliases w:val="標題110/111,節,節1"/>
    <w:basedOn w:val="a7"/>
    <w:link w:val="20"/>
    <w:qFormat/>
    <w:rsid w:val="004F5E57"/>
    <w:pPr>
      <w:numPr>
        <w:ilvl w:val="1"/>
        <w:numId w:val="7"/>
      </w:numPr>
      <w:outlineLvl w:val="1"/>
    </w:pPr>
    <w:rPr>
      <w:rFonts w:hAnsi="Arial"/>
      <w:bCs/>
      <w:kern w:val="32"/>
      <w:szCs w:val="48"/>
    </w:rPr>
  </w:style>
  <w:style w:type="paragraph" w:styleId="3">
    <w:name w:val="heading 3"/>
    <w:basedOn w:val="a7"/>
    <w:qFormat/>
    <w:rsid w:val="004F5E57"/>
    <w:pPr>
      <w:numPr>
        <w:ilvl w:val="2"/>
        <w:numId w:val="7"/>
      </w:numPr>
      <w:outlineLvl w:val="2"/>
    </w:pPr>
    <w:rPr>
      <w:rFonts w:hAnsi="Arial"/>
      <w:bCs/>
      <w:kern w:val="32"/>
      <w:szCs w:val="36"/>
    </w:rPr>
  </w:style>
  <w:style w:type="paragraph" w:styleId="4">
    <w:name w:val="heading 4"/>
    <w:aliases w:val="一,表格"/>
    <w:basedOn w:val="a7"/>
    <w:qFormat/>
    <w:rsid w:val="004F5E57"/>
    <w:pPr>
      <w:numPr>
        <w:ilvl w:val="3"/>
        <w:numId w:val="7"/>
      </w:numPr>
      <w:outlineLvl w:val="3"/>
    </w:pPr>
    <w:rPr>
      <w:rFonts w:hAnsi="Arial"/>
      <w:kern w:val="32"/>
      <w:szCs w:val="36"/>
    </w:rPr>
  </w:style>
  <w:style w:type="paragraph" w:styleId="5">
    <w:name w:val="heading 5"/>
    <w:aliases w:val="(一)"/>
    <w:basedOn w:val="a7"/>
    <w:qFormat/>
    <w:rsid w:val="004F5E57"/>
    <w:pPr>
      <w:numPr>
        <w:ilvl w:val="4"/>
        <w:numId w:val="7"/>
      </w:numPr>
      <w:outlineLvl w:val="4"/>
    </w:pPr>
    <w:rPr>
      <w:rFonts w:hAnsi="Arial"/>
      <w:bCs/>
      <w:kern w:val="32"/>
      <w:szCs w:val="36"/>
    </w:rPr>
  </w:style>
  <w:style w:type="paragraph" w:styleId="6">
    <w:name w:val="heading 6"/>
    <w:aliases w:val="1"/>
    <w:basedOn w:val="a7"/>
    <w:qFormat/>
    <w:rsid w:val="004F5E57"/>
    <w:pPr>
      <w:numPr>
        <w:ilvl w:val="5"/>
        <w:numId w:val="7"/>
      </w:numPr>
      <w:tabs>
        <w:tab w:val="left" w:pos="2094"/>
      </w:tabs>
      <w:outlineLvl w:val="5"/>
    </w:pPr>
    <w:rPr>
      <w:rFonts w:hAnsi="Arial"/>
      <w:kern w:val="32"/>
      <w:szCs w:val="36"/>
    </w:rPr>
  </w:style>
  <w:style w:type="paragraph" w:styleId="7">
    <w:name w:val="heading 7"/>
    <w:aliases w:val="(1)"/>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rsid w:val="003E4F75"/>
    <w:pPr>
      <w:snapToGrid w:val="0"/>
      <w:spacing w:before="480" w:after="720"/>
      <w:ind w:left="4423"/>
    </w:pPr>
    <w:rPr>
      <w:b/>
      <w:snapToGrid w:val="0"/>
      <w:spacing w:val="12"/>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931B2E"/>
    <w:pPr>
      <w:tabs>
        <w:tab w:val="right" w:leader="hyphen" w:pos="8834"/>
      </w:tabs>
      <w:kinsoku w:val="0"/>
      <w:ind w:left="1559" w:rightChars="100" w:right="340" w:hangingChars="458" w:hanging="1559"/>
    </w:pPr>
    <w:rPr>
      <w:noProof/>
      <w:szCs w:val="32"/>
    </w:rPr>
  </w:style>
  <w:style w:type="paragraph" w:styleId="22">
    <w:name w:val="toc 2"/>
    <w:basedOn w:val="a7"/>
    <w:next w:val="a7"/>
    <w:autoRedefine/>
    <w:uiPriority w:val="39"/>
    <w:rsid w:val="00931B2E"/>
    <w:pPr>
      <w:tabs>
        <w:tab w:val="right" w:leader="hyphen" w:pos="8834"/>
      </w:tabs>
      <w:kinsoku w:val="0"/>
      <w:ind w:leftChars="100" w:left="1020" w:rightChars="100" w:right="340" w:hangingChars="200" w:hanging="680"/>
    </w:pPr>
    <w:rPr>
      <w:rFonts w:hAnsi="標楷體"/>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9D26EF"/>
    <w:pPr>
      <w:adjustRightInd w:val="0"/>
      <w:spacing w:before="0"/>
      <w:ind w:left="0" w:firstLine="0"/>
      <w:jc w:val="center"/>
    </w:pPr>
    <w:rPr>
      <w:b/>
      <w:snapToGrid/>
      <w:spacing w:val="20"/>
      <w:kern w:val="0"/>
      <w:sz w:val="36"/>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aliases w:val="字元,fn,fn Char,fn Car Car,fn Car,Footnotes Car,Footnote Text Char,footnote text,Footnote ak,Footnotes"/>
    <w:basedOn w:val="a7"/>
    <w:link w:val="afc"/>
    <w:unhideWhenUsed/>
    <w:rsid w:val="006B7411"/>
    <w:pPr>
      <w:snapToGrid w:val="0"/>
      <w:jc w:val="left"/>
    </w:pPr>
    <w:rPr>
      <w:sz w:val="20"/>
    </w:rPr>
  </w:style>
  <w:style w:type="character" w:customStyle="1" w:styleId="afc">
    <w:name w:val="註腳文字 字元"/>
    <w:aliases w:val="字元 字元,fn 字元,fn Char 字元,fn Car Car 字元,fn Car 字元,Footnotes Car 字元,Footnote Text Char 字元,footnote text 字元,Footnote ak 字元,Footnotes 字元"/>
    <w:basedOn w:val="a8"/>
    <w:link w:val="afb"/>
    <w:rsid w:val="006B7411"/>
    <w:rPr>
      <w:rFonts w:ascii="標楷體" w:eastAsia="標楷體"/>
      <w:kern w:val="2"/>
    </w:rPr>
  </w:style>
  <w:style w:type="character" w:styleId="afd">
    <w:name w:val="footnote reference"/>
    <w:aliases w:val="FR,Ref,de nota al pie"/>
    <w:basedOn w:val="a8"/>
    <w:unhideWhenUsed/>
    <w:rsid w:val="006B7411"/>
    <w:rPr>
      <w:vertAlign w:val="superscript"/>
    </w:rPr>
  </w:style>
  <w:style w:type="paragraph" w:styleId="afe">
    <w:name w:val="caption"/>
    <w:basedOn w:val="a7"/>
    <w:next w:val="a7"/>
    <w:uiPriority w:val="35"/>
    <w:unhideWhenUsed/>
    <w:qFormat/>
    <w:rsid w:val="002859FD"/>
    <w:pPr>
      <w:overflowPunct/>
      <w:autoSpaceDE/>
      <w:autoSpaceDN/>
      <w:jc w:val="left"/>
    </w:pPr>
    <w:rPr>
      <w:rFonts w:ascii="Times New Roman"/>
      <w:sz w:val="20"/>
    </w:rPr>
  </w:style>
  <w:style w:type="paragraph" w:styleId="a">
    <w:name w:val="List Bullet"/>
    <w:basedOn w:val="a7"/>
    <w:uiPriority w:val="99"/>
    <w:unhideWhenUsed/>
    <w:rsid w:val="00043C81"/>
    <w:pPr>
      <w:numPr>
        <w:numId w:val="12"/>
      </w:numPr>
      <w:contextualSpacing/>
    </w:pPr>
  </w:style>
  <w:style w:type="paragraph" w:styleId="Web">
    <w:name w:val="Normal (Web)"/>
    <w:basedOn w:val="a7"/>
    <w:uiPriority w:val="99"/>
    <w:semiHidden/>
    <w:unhideWhenUsed/>
    <w:rsid w:val="009F158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4462DA"/>
    <w:pPr>
      <w:widowControl w:val="0"/>
      <w:autoSpaceDE w:val="0"/>
      <w:autoSpaceDN w:val="0"/>
      <w:adjustRightInd w:val="0"/>
    </w:pPr>
    <w:rPr>
      <w:rFonts w:ascii="微軟正黑體U.." w:eastAsia="微軟正黑體U.." w:cs="微軟正黑體U.."/>
      <w:color w:val="000000"/>
      <w:sz w:val="24"/>
      <w:szCs w:val="24"/>
    </w:rPr>
  </w:style>
  <w:style w:type="character" w:customStyle="1" w:styleId="20">
    <w:name w:val="標題 2 字元"/>
    <w:aliases w:val="標題110/111 字元,節 字元,節1 字元"/>
    <w:basedOn w:val="a8"/>
    <w:link w:val="2"/>
    <w:rsid w:val="00E72D5C"/>
    <w:rPr>
      <w:rFonts w:ascii="標楷體" w:eastAsia="標楷體" w:hAnsi="Arial"/>
      <w:bCs/>
      <w:kern w:val="32"/>
      <w:sz w:val="32"/>
      <w:szCs w:val="48"/>
    </w:rPr>
  </w:style>
  <w:style w:type="character" w:customStyle="1" w:styleId="13">
    <w:name w:val="未解析的提及項目1"/>
    <w:basedOn w:val="a8"/>
    <w:uiPriority w:val="99"/>
    <w:semiHidden/>
    <w:unhideWhenUsed/>
    <w:rsid w:val="002F28EB"/>
    <w:rPr>
      <w:color w:val="605E5C"/>
      <w:shd w:val="clear" w:color="auto" w:fill="E1DFDD"/>
    </w:rPr>
  </w:style>
  <w:style w:type="character" w:customStyle="1" w:styleId="23">
    <w:name w:val="未解析的提及項目2"/>
    <w:basedOn w:val="a8"/>
    <w:uiPriority w:val="99"/>
    <w:semiHidden/>
    <w:unhideWhenUsed/>
    <w:rsid w:val="0001034F"/>
    <w:rPr>
      <w:color w:val="605E5C"/>
      <w:shd w:val="clear" w:color="auto" w:fill="E1DFDD"/>
    </w:rPr>
  </w:style>
  <w:style w:type="character" w:customStyle="1" w:styleId="32">
    <w:name w:val="未解析的提及項目3"/>
    <w:basedOn w:val="a8"/>
    <w:uiPriority w:val="99"/>
    <w:semiHidden/>
    <w:unhideWhenUsed/>
    <w:rsid w:val="004471EB"/>
    <w:rPr>
      <w:color w:val="605E5C"/>
      <w:shd w:val="clear" w:color="auto" w:fill="E1DFDD"/>
    </w:rPr>
  </w:style>
  <w:style w:type="character" w:styleId="aff">
    <w:name w:val="Unresolved Mention"/>
    <w:basedOn w:val="a8"/>
    <w:uiPriority w:val="99"/>
    <w:semiHidden/>
    <w:unhideWhenUsed/>
    <w:rsid w:val="008700DC"/>
    <w:rPr>
      <w:color w:val="605E5C"/>
      <w:shd w:val="clear" w:color="auto" w:fill="E1DFDD"/>
    </w:rPr>
  </w:style>
  <w:style w:type="table" w:styleId="2-1">
    <w:name w:val="Grid Table 2 Accent 1"/>
    <w:basedOn w:val="a9"/>
    <w:uiPriority w:val="47"/>
    <w:rsid w:val="00756FA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6">
    <w:name w:val="Grid Table 2 Accent 6"/>
    <w:basedOn w:val="a9"/>
    <w:uiPriority w:val="47"/>
    <w:rsid w:val="00A77B3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82925">
      <w:bodyDiv w:val="1"/>
      <w:marLeft w:val="0"/>
      <w:marRight w:val="0"/>
      <w:marTop w:val="0"/>
      <w:marBottom w:val="0"/>
      <w:divBdr>
        <w:top w:val="none" w:sz="0" w:space="0" w:color="auto"/>
        <w:left w:val="none" w:sz="0" w:space="0" w:color="auto"/>
        <w:bottom w:val="none" w:sz="0" w:space="0" w:color="auto"/>
        <w:right w:val="none" w:sz="0" w:space="0" w:color="auto"/>
      </w:divBdr>
    </w:div>
    <w:div w:id="448671201">
      <w:bodyDiv w:val="1"/>
      <w:marLeft w:val="0"/>
      <w:marRight w:val="0"/>
      <w:marTop w:val="0"/>
      <w:marBottom w:val="0"/>
      <w:divBdr>
        <w:top w:val="none" w:sz="0" w:space="0" w:color="auto"/>
        <w:left w:val="none" w:sz="0" w:space="0" w:color="auto"/>
        <w:bottom w:val="none" w:sz="0" w:space="0" w:color="auto"/>
        <w:right w:val="none" w:sz="0" w:space="0" w:color="auto"/>
      </w:divBdr>
    </w:div>
    <w:div w:id="679968080">
      <w:bodyDiv w:val="1"/>
      <w:marLeft w:val="0"/>
      <w:marRight w:val="0"/>
      <w:marTop w:val="0"/>
      <w:marBottom w:val="0"/>
      <w:divBdr>
        <w:top w:val="none" w:sz="0" w:space="0" w:color="auto"/>
        <w:left w:val="none" w:sz="0" w:space="0" w:color="auto"/>
        <w:bottom w:val="none" w:sz="0" w:space="0" w:color="auto"/>
        <w:right w:val="none" w:sz="0" w:space="0" w:color="auto"/>
      </w:divBdr>
    </w:div>
    <w:div w:id="874267788">
      <w:bodyDiv w:val="1"/>
      <w:marLeft w:val="0"/>
      <w:marRight w:val="0"/>
      <w:marTop w:val="0"/>
      <w:marBottom w:val="0"/>
      <w:divBdr>
        <w:top w:val="none" w:sz="0" w:space="0" w:color="auto"/>
        <w:left w:val="none" w:sz="0" w:space="0" w:color="auto"/>
        <w:bottom w:val="none" w:sz="0" w:space="0" w:color="auto"/>
        <w:right w:val="none" w:sz="0" w:space="0" w:color="auto"/>
      </w:divBdr>
    </w:div>
    <w:div w:id="923730559">
      <w:bodyDiv w:val="1"/>
      <w:marLeft w:val="0"/>
      <w:marRight w:val="0"/>
      <w:marTop w:val="0"/>
      <w:marBottom w:val="0"/>
      <w:divBdr>
        <w:top w:val="none" w:sz="0" w:space="0" w:color="auto"/>
        <w:left w:val="none" w:sz="0" w:space="0" w:color="auto"/>
        <w:bottom w:val="none" w:sz="0" w:space="0" w:color="auto"/>
        <w:right w:val="none" w:sz="0" w:space="0" w:color="auto"/>
      </w:divBdr>
    </w:div>
    <w:div w:id="953250245">
      <w:bodyDiv w:val="1"/>
      <w:marLeft w:val="0"/>
      <w:marRight w:val="0"/>
      <w:marTop w:val="0"/>
      <w:marBottom w:val="0"/>
      <w:divBdr>
        <w:top w:val="none" w:sz="0" w:space="0" w:color="auto"/>
        <w:left w:val="none" w:sz="0" w:space="0" w:color="auto"/>
        <w:bottom w:val="none" w:sz="0" w:space="0" w:color="auto"/>
        <w:right w:val="none" w:sz="0" w:space="0" w:color="auto"/>
      </w:divBdr>
    </w:div>
    <w:div w:id="1109815722">
      <w:bodyDiv w:val="1"/>
      <w:marLeft w:val="0"/>
      <w:marRight w:val="0"/>
      <w:marTop w:val="0"/>
      <w:marBottom w:val="0"/>
      <w:divBdr>
        <w:top w:val="none" w:sz="0" w:space="0" w:color="auto"/>
        <w:left w:val="none" w:sz="0" w:space="0" w:color="auto"/>
        <w:bottom w:val="none" w:sz="0" w:space="0" w:color="auto"/>
        <w:right w:val="none" w:sz="0" w:space="0" w:color="auto"/>
      </w:divBdr>
    </w:div>
    <w:div w:id="1322539216">
      <w:bodyDiv w:val="1"/>
      <w:marLeft w:val="0"/>
      <w:marRight w:val="0"/>
      <w:marTop w:val="0"/>
      <w:marBottom w:val="0"/>
      <w:divBdr>
        <w:top w:val="none" w:sz="0" w:space="0" w:color="auto"/>
        <w:left w:val="none" w:sz="0" w:space="0" w:color="auto"/>
        <w:bottom w:val="none" w:sz="0" w:space="0" w:color="auto"/>
        <w:right w:val="none" w:sz="0" w:space="0" w:color="auto"/>
      </w:divBdr>
    </w:div>
    <w:div w:id="1381828562">
      <w:bodyDiv w:val="1"/>
      <w:marLeft w:val="0"/>
      <w:marRight w:val="0"/>
      <w:marTop w:val="0"/>
      <w:marBottom w:val="0"/>
      <w:divBdr>
        <w:top w:val="none" w:sz="0" w:space="0" w:color="auto"/>
        <w:left w:val="none" w:sz="0" w:space="0" w:color="auto"/>
        <w:bottom w:val="none" w:sz="0" w:space="0" w:color="auto"/>
        <w:right w:val="none" w:sz="0" w:space="0" w:color="auto"/>
      </w:divBdr>
    </w:div>
    <w:div w:id="1798526334">
      <w:bodyDiv w:val="1"/>
      <w:marLeft w:val="0"/>
      <w:marRight w:val="0"/>
      <w:marTop w:val="0"/>
      <w:marBottom w:val="0"/>
      <w:divBdr>
        <w:top w:val="none" w:sz="0" w:space="0" w:color="auto"/>
        <w:left w:val="none" w:sz="0" w:space="0" w:color="auto"/>
        <w:bottom w:val="none" w:sz="0" w:space="0" w:color="auto"/>
        <w:right w:val="none" w:sz="0" w:space="0" w:color="auto"/>
      </w:divBdr>
    </w:div>
    <w:div w:id="180350162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y.gov.tw/Page/5A8A0CB5B41DA11E/4af4d8" TargetMode="External"/><Relationship Id="rId2" Type="http://schemas.openxmlformats.org/officeDocument/2006/relationships/hyperlink" Target="https://udn.com/news/story/6656/6972687" TargetMode="External"/><Relationship Id="rId1" Type="http://schemas.openxmlformats.org/officeDocument/2006/relationships/hyperlink" Target="https://www.mof.gov.tw/singlehtml/129?cntId=1183" TargetMode="External"/><Relationship Id="rId5" Type="http://schemas.openxmlformats.org/officeDocument/2006/relationships/hyperlink" Target="https://www.coolloud.org.tw/taxonomy/term/32643" TargetMode="External"/><Relationship Id="rId4" Type="http://schemas.openxmlformats.org/officeDocument/2006/relationships/hyperlink" Target="https://www.fnp.gov.tw/singlehtml/1fac3fb0c18443dfb9a1fbc45742acd6?cntId=0277e38bd3b6438c8698db54200245e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8F0C3-F1AE-4248-944B-B0C207C7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4454</Words>
  <Characters>25391</Characters>
  <Application>Microsoft Office Word</Application>
  <DocSecurity>0</DocSecurity>
  <Lines>211</Lines>
  <Paragraphs>59</Paragraphs>
  <ScaleCrop>false</ScaleCrop>
  <LinksUpToDate>false</LinksUpToDate>
  <CharactersWithSpaces>29786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2023-08-08T06:36:00Z</dcterms:created>
  <dcterms:modified xsi:type="dcterms:W3CDTF">2023-08-08T06:49:00Z</dcterms:modified>
</cp:coreProperties>
</file>