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22A" w:rsidRDefault="00FB522A">
      <w:pPr>
        <w:pStyle w:val="a4"/>
        <w:kinsoku w:val="0"/>
        <w:spacing w:before="0"/>
        <w:ind w:leftChars="700" w:left="2381" w:firstLine="0"/>
        <w:rPr>
          <w:bCs/>
          <w:snapToGrid/>
          <w:color w:val="000000"/>
          <w:kern w:val="0"/>
          <w:sz w:val="40"/>
        </w:rPr>
      </w:pPr>
      <w:r>
        <w:rPr>
          <w:rFonts w:hint="eastAsia"/>
          <w:bCs/>
          <w:snapToGrid/>
          <w:color w:val="000000"/>
          <w:spacing w:val="200"/>
          <w:kern w:val="0"/>
          <w:sz w:val="40"/>
        </w:rPr>
        <w:t>糾正案文</w:t>
      </w:r>
    </w:p>
    <w:p w:rsidR="00FB522A" w:rsidRDefault="00FB522A">
      <w:pPr>
        <w:pStyle w:val="1"/>
        <w:ind w:left="2721" w:hanging="2721"/>
        <w:rPr>
          <w:color w:val="000000"/>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color w:val="000000"/>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D80A4F">
        <w:rPr>
          <w:rFonts w:hint="eastAsia"/>
          <w:noProof/>
        </w:rPr>
        <w:t>南投縣政府</w:t>
      </w:r>
      <w:r>
        <w:rPr>
          <w:rFonts w:hint="eastAsia"/>
          <w:color w:val="000000"/>
        </w:rPr>
        <w:t>。</w:t>
      </w:r>
    </w:p>
    <w:p w:rsidR="00FB522A" w:rsidRDefault="00FB522A">
      <w:pPr>
        <w:pStyle w:val="1"/>
        <w:ind w:left="2721" w:hanging="2721"/>
        <w:rPr>
          <w:color w:val="000000"/>
        </w:rPr>
      </w:pPr>
      <w:bookmarkStart w:id="14" w:name="_Toc529218255"/>
      <w:bookmarkStart w:id="15" w:name="_Toc529222678"/>
      <w:bookmarkStart w:id="16" w:name="_Toc529223100"/>
      <w:bookmarkStart w:id="17" w:name="_Toc529223851"/>
      <w:bookmarkStart w:id="18" w:name="_Toc529228247"/>
      <w:r>
        <w:rPr>
          <w:rFonts w:hint="eastAsia"/>
          <w:color w:val="000000"/>
        </w:rPr>
        <w:t>案　　　由：</w:t>
      </w:r>
      <w:bookmarkEnd w:id="14"/>
      <w:bookmarkEnd w:id="15"/>
      <w:bookmarkEnd w:id="16"/>
      <w:bookmarkEnd w:id="17"/>
      <w:bookmarkEnd w:id="18"/>
      <w:r w:rsidR="00512897" w:rsidRPr="007D32D2">
        <w:rPr>
          <w:rFonts w:hint="eastAsia"/>
        </w:rPr>
        <w:t>南投縣政府辦理軍功寮溪堤防護岸工程未能配合工程期程執行相關應辦事項，又土地取得估算與實際價購金額落差甚大，致取得之土地僅達工程需要之四成，肇致工程未竟，無法有效發揮堤防功能</w:t>
      </w:r>
      <w:r w:rsidR="007D089F">
        <w:rPr>
          <w:rFonts w:hint="eastAsia"/>
        </w:rPr>
        <w:t>；</w:t>
      </w:r>
      <w:r w:rsidR="0059733B">
        <w:rPr>
          <w:rFonts w:hint="eastAsia"/>
        </w:rPr>
        <w:t>且</w:t>
      </w:r>
      <w:r w:rsidR="00512897" w:rsidRPr="007D32D2">
        <w:rPr>
          <w:rFonts w:hint="eastAsia"/>
        </w:rPr>
        <w:t>執行</w:t>
      </w:r>
      <w:r w:rsidR="003D6FDF">
        <w:rPr>
          <w:rFonts w:hint="eastAsia"/>
        </w:rPr>
        <w:t>該</w:t>
      </w:r>
      <w:r w:rsidR="00512897" w:rsidRPr="007D32D2">
        <w:rPr>
          <w:rFonts w:hint="eastAsia"/>
        </w:rPr>
        <w:t>工程土地價購作業，對已發放地價補償費之土地，卻遲未辦理土地所有權移轉，延宕至今仍有部分土地尚未登記完成，其中更有已遭法院拍賣之土地，嚴重損及政府權益</w:t>
      </w:r>
      <w:r w:rsidR="00512897">
        <w:rPr>
          <w:rFonts w:hint="eastAsia"/>
        </w:rPr>
        <w:t>；</w:t>
      </w:r>
      <w:r w:rsidR="00512897" w:rsidRPr="007D32D2">
        <w:rPr>
          <w:rFonts w:hint="eastAsia"/>
        </w:rPr>
        <w:t>開立</w:t>
      </w:r>
      <w:r w:rsidR="003D6FDF">
        <w:rPr>
          <w:rFonts w:hint="eastAsia"/>
        </w:rPr>
        <w:t>該</w:t>
      </w:r>
      <w:r w:rsidR="00512897" w:rsidRPr="007D32D2">
        <w:rPr>
          <w:rFonts w:hint="eastAsia"/>
        </w:rPr>
        <w:t>工程補償發放專戶，未能依法由有關單位審核發放，</w:t>
      </w:r>
      <w:r w:rsidR="003D6FDF">
        <w:rPr>
          <w:rFonts w:hint="eastAsia"/>
        </w:rPr>
        <w:t>且</w:t>
      </w:r>
      <w:r w:rsidR="00512897" w:rsidRPr="007D32D2">
        <w:rPr>
          <w:rFonts w:hint="eastAsia"/>
        </w:rPr>
        <w:t>未於該府會計報告表達收支情形，</w:t>
      </w:r>
      <w:r w:rsidR="00512897">
        <w:rPr>
          <w:rFonts w:hint="eastAsia"/>
        </w:rPr>
        <w:t>均</w:t>
      </w:r>
      <w:r w:rsidR="00512897" w:rsidRPr="007D32D2">
        <w:rPr>
          <w:rFonts w:hint="eastAsia"/>
        </w:rPr>
        <w:t>核有疏失</w:t>
      </w:r>
      <w:r>
        <w:rPr>
          <w:rFonts w:hint="eastAsia"/>
          <w:color w:val="000000"/>
        </w:rPr>
        <w:t>，爰依法提案糾正</w:t>
      </w:r>
      <w:r>
        <w:rPr>
          <w:rFonts w:hint="eastAsia"/>
          <w:noProof/>
          <w:color w:val="000000"/>
        </w:rPr>
        <w:t>。</w:t>
      </w:r>
    </w:p>
    <w:p w:rsidR="00FB522A" w:rsidRDefault="00FB522A">
      <w:pPr>
        <w:pStyle w:val="1"/>
        <w:ind w:left="2381" w:hangingChars="700" w:hanging="2381"/>
        <w:rPr>
          <w:color w:val="000000"/>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color w:val="000000"/>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FB522A" w:rsidRDefault="00FB522A">
      <w:pPr>
        <w:pStyle w:val="11"/>
        <w:ind w:left="680" w:firstLine="680"/>
        <w:rPr>
          <w:bCs/>
          <w:color w:val="000000"/>
        </w:rPr>
      </w:pPr>
      <w:r>
        <w:rPr>
          <w:rFonts w:hAnsi="標楷體" w:hint="eastAsia"/>
          <w:bCs/>
        </w:rPr>
        <w:t>本案</w:t>
      </w:r>
      <w:r>
        <w:rPr>
          <w:rFonts w:hAnsi="標楷體"/>
          <w:szCs w:val="32"/>
        </w:rPr>
        <w:t>經</w:t>
      </w:r>
      <w:r w:rsidR="00F035E0">
        <w:rPr>
          <w:rFonts w:hAnsi="標楷體" w:hint="eastAsia"/>
          <w:szCs w:val="32"/>
        </w:rPr>
        <w:t>向</w:t>
      </w:r>
      <w:r w:rsidR="001F0F2F" w:rsidRPr="005B7CCF">
        <w:rPr>
          <w:rFonts w:hint="eastAsia"/>
          <w:noProof/>
        </w:rPr>
        <w:t>南投縣政府</w:t>
      </w:r>
      <w:r w:rsidR="001F0F2F">
        <w:rPr>
          <w:rFonts w:hint="eastAsia"/>
          <w:noProof/>
        </w:rPr>
        <w:t>、</w:t>
      </w:r>
      <w:r w:rsidR="001F0F2F" w:rsidRPr="005B7CCF">
        <w:rPr>
          <w:rFonts w:hint="eastAsia"/>
          <w:noProof/>
        </w:rPr>
        <w:t>經濟部水利署</w:t>
      </w:r>
      <w:r w:rsidR="00F035E0">
        <w:rPr>
          <w:rFonts w:hint="eastAsia"/>
          <w:noProof/>
        </w:rPr>
        <w:t>及</w:t>
      </w:r>
      <w:r w:rsidR="001F0F2F" w:rsidRPr="005B7CCF">
        <w:rPr>
          <w:rFonts w:hint="eastAsia"/>
          <w:noProof/>
        </w:rPr>
        <w:t>南投縣南投</w:t>
      </w:r>
      <w:r w:rsidR="001F0F2F">
        <w:rPr>
          <w:rFonts w:hint="eastAsia"/>
          <w:noProof/>
        </w:rPr>
        <w:t>地政事務所</w:t>
      </w:r>
      <w:r>
        <w:rPr>
          <w:rFonts w:hAnsi="標楷體"/>
          <w:szCs w:val="32"/>
        </w:rPr>
        <w:t>調閱相關卷證、現地履勘及約詢</w:t>
      </w:r>
      <w:r w:rsidR="001F0F2F">
        <w:rPr>
          <w:rFonts w:hint="eastAsia"/>
          <w:noProof/>
        </w:rPr>
        <w:t>上開單位</w:t>
      </w:r>
      <w:r w:rsidR="00F035E0" w:rsidRPr="00D6502C">
        <w:rPr>
          <w:rFonts w:hAnsi="標楷體" w:hint="eastAsia"/>
          <w:bCs/>
        </w:rPr>
        <w:t>主管人員</w:t>
      </w:r>
      <w:r>
        <w:rPr>
          <w:rFonts w:hAnsi="標楷體" w:hint="eastAsia"/>
          <w:bCs/>
        </w:rPr>
        <w:t>。</w:t>
      </w:r>
      <w:r>
        <w:rPr>
          <w:rFonts w:hint="eastAsia"/>
        </w:rPr>
        <w:t>茲就本案調查發現之違失臚列如下</w:t>
      </w:r>
      <w:r>
        <w:rPr>
          <w:rFonts w:hint="eastAsia"/>
          <w:bCs/>
        </w:rPr>
        <w:t>：</w:t>
      </w:r>
    </w:p>
    <w:p w:rsidR="007E57EF" w:rsidRPr="007D32D2" w:rsidRDefault="007E57EF" w:rsidP="007E57EF">
      <w:pPr>
        <w:pStyle w:val="2"/>
        <w:kinsoku w:val="0"/>
        <w:ind w:left="1020" w:hanging="680"/>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bookmarkStart w:id="43" w:name="_Toc529222689"/>
      <w:bookmarkStart w:id="44" w:name="_Toc529223111"/>
      <w:bookmarkStart w:id="45" w:name="_Toc529223862"/>
      <w:bookmarkStart w:id="46" w:name="_Toc529228265"/>
      <w:r w:rsidRPr="007D32D2">
        <w:rPr>
          <w:rFonts w:hint="eastAsia"/>
        </w:rPr>
        <w:t>南投縣政府辦理軍功寮溪堤防護岸工程未能配合工程期程執行相關應辦事項，又土地取得估算與實際價購金額落差甚大，致取得之土地僅達工程需要之四成，肇致工程未竟，無法有效發揮堤防功能，核有怠失。</w:t>
      </w:r>
    </w:p>
    <w:p w:rsidR="007E57EF" w:rsidRPr="007D32D2" w:rsidRDefault="007E57EF" w:rsidP="007E57EF">
      <w:pPr>
        <w:pStyle w:val="3"/>
        <w:kinsoku w:val="0"/>
      </w:pPr>
      <w:r w:rsidRPr="007D32D2">
        <w:rPr>
          <w:rFonts w:hint="eastAsia"/>
        </w:rPr>
        <w:t>查南投縣政府於83年6月20日辦理軍功寮溪堤防護岸工程招標，決標金額新台幣（下同）5,440萬元。依據本工程契約書第4條規定：「本工程應於雙方簽訂契約後10日內開工，並於280日曆天完成。」惟於開標前宣告事項說明，本工程俟用地取得後，再行以正式公文通知開工。然該府始於84</w:t>
      </w:r>
      <w:r w:rsidRPr="007D32D2">
        <w:rPr>
          <w:rFonts w:hint="eastAsia"/>
        </w:rPr>
        <w:lastRenderedPageBreak/>
        <w:t>年2月14日向前臺灣省政府財政廳申請補助用地取得經費，雖經該廳於同年月16日核定補助1億4千萬元，惟該府未積極辦理相關用地之徵收作業，遲至85年間始辦理河川法線地籍分割及編製印領清冊，復因部分用地屬都市計畫區農業區，需完成都市計畫變更，拖延至87年1月7日方以該工程已取得地主同意書，為儘速辦理為由，簽擬以協議價購方式取得本案工程用地，同年2月間辦理發放地價補償費。</w:t>
      </w:r>
    </w:p>
    <w:p w:rsidR="007E57EF" w:rsidRPr="00D6262C" w:rsidRDefault="007E57EF" w:rsidP="007E57EF">
      <w:pPr>
        <w:pStyle w:val="3"/>
        <w:kinsoku w:val="0"/>
      </w:pPr>
      <w:r w:rsidRPr="007D32D2">
        <w:rPr>
          <w:rFonts w:hint="eastAsia"/>
        </w:rPr>
        <w:t>因上開未配合工程計畫時程規劃取得用地等應辦事項，且工程用地取得經費尚待上級機關補助，嗣該府取得部分土地所有權人先行施工同意書，始於85年10月22日通知承商開工。工程開工後，又因部分用地屬中興新村都市計畫範圍農業區，尚未依都市計畫法第52條規定：「都市計畫範圍內，各級政府徵收私有土地或撥用公有土地，不得妨礙當地都市計畫。…」完成都市計畫變更，工程無法施工，而於86年4月21日停工，87年5月19日復工。復因籌措之用地經費不足，僅能就已發放補償之土地範圍施工，無法依原規劃長度辦理全段工程，該府乃同意承商申請按實做數量辦理結算，並於同年7月15日終止契約。由上開本工程興建過程，南投縣政府未能配合工程期程執行相關應辦事項，致工程決標後超過2年始通知承商開工，又因土地使用變更及取得問題，造成工程進度嚴重延滯，最終仍因土地取得問題，僅能完成部分堤防工程。</w:t>
      </w:r>
    </w:p>
    <w:p w:rsidR="007E57EF" w:rsidRPr="007D32D2" w:rsidRDefault="007E57EF" w:rsidP="007E57EF">
      <w:pPr>
        <w:pStyle w:val="3"/>
        <w:kinsoku w:val="0"/>
      </w:pPr>
      <w:r w:rsidRPr="007D32D2">
        <w:rPr>
          <w:rFonts w:hint="eastAsia"/>
        </w:rPr>
        <w:t>次查該府於83年6月規劃辦理本工程，其施工地點及行水區內土地全部為私有地，故計畫取得用地包括都市土地2.3610公頃及非都市土地8.6885公頃，面積合計11.0495公頃。南投縣政府稱，以83</w:t>
      </w:r>
      <w:r w:rsidRPr="007D32D2">
        <w:rPr>
          <w:rFonts w:hint="eastAsia"/>
        </w:rPr>
        <w:lastRenderedPageBreak/>
        <w:t>年度公告土地現值估算，用地所需經費約1億4千萬元，然南投縣政府實際於87年辦理土地價購時，卻是以86年7月1日公告之土地公告現值計算地價補償費，且實際價購得之土地僅4.3525公頃，發放之補償費及施工獎勵金計1億3,147萬餘元，較83年原預計取得土地11.0495公頃，減少6.697公頃(約60.61%)。且經估算若欲取得全部用地(面積11.0495公頃)，依印領清冊載列之補償費及施工獎勵金總金額達2億4,919萬餘元，較原估計取得經費1億4千萬元，需增加1億919萬餘元。</w:t>
      </w:r>
    </w:p>
    <w:p w:rsidR="007E57EF" w:rsidRPr="007D32D2" w:rsidRDefault="007E57EF" w:rsidP="007E57EF">
      <w:pPr>
        <w:pStyle w:val="3"/>
        <w:kinsoku w:val="0"/>
      </w:pPr>
      <w:r w:rsidRPr="007D32D2">
        <w:rPr>
          <w:rFonts w:hint="eastAsia"/>
        </w:rPr>
        <w:t>詢據南投縣政府，原稱係因土地規劃取得與實際取得時隔多年，造成該處公告地價調整，以致實際價購土地面積低於原規劃取得面積。</w:t>
      </w:r>
      <w:r w:rsidRPr="004245FA">
        <w:rPr>
          <w:rFonts w:hint="eastAsia"/>
        </w:rPr>
        <w:t>然據水利署提供資料，當地公告地價3年間僅調升約2.8％，</w:t>
      </w:r>
      <w:r>
        <w:rPr>
          <w:rFonts w:hint="eastAsia"/>
        </w:rPr>
        <w:t>而</w:t>
      </w:r>
      <w:r w:rsidRPr="004245FA">
        <w:rPr>
          <w:rFonts w:hint="eastAsia"/>
        </w:rPr>
        <w:t>縣府價購得之土地約僅預估之4成，</w:t>
      </w:r>
      <w:r>
        <w:rPr>
          <w:rFonts w:hint="eastAsia"/>
        </w:rPr>
        <w:t>且縣府又無法提供當初估算用地取得經費概算明細，顯見</w:t>
      </w:r>
      <w:r w:rsidRPr="004245FA">
        <w:rPr>
          <w:rFonts w:hint="eastAsia"/>
        </w:rPr>
        <w:t>其補償款</w:t>
      </w:r>
      <w:r>
        <w:rPr>
          <w:rFonts w:hint="eastAsia"/>
        </w:rPr>
        <w:t>預估之</w:t>
      </w:r>
      <w:r w:rsidRPr="004245FA">
        <w:rPr>
          <w:rFonts w:hint="eastAsia"/>
        </w:rPr>
        <w:t>初</w:t>
      </w:r>
      <w:r>
        <w:rPr>
          <w:rFonts w:hint="eastAsia"/>
        </w:rPr>
        <w:t>，</w:t>
      </w:r>
      <w:r w:rsidRPr="004245FA">
        <w:rPr>
          <w:rFonts w:hint="eastAsia"/>
        </w:rPr>
        <w:t>即有低</w:t>
      </w:r>
      <w:r>
        <w:rPr>
          <w:rFonts w:hint="eastAsia"/>
        </w:rPr>
        <w:t>估實際取得時點之地價及</w:t>
      </w:r>
      <w:r w:rsidRPr="004245FA">
        <w:rPr>
          <w:rFonts w:hint="eastAsia"/>
        </w:rPr>
        <w:t>少估</w:t>
      </w:r>
      <w:r w:rsidRPr="007D32D2">
        <w:rPr>
          <w:rFonts w:hint="eastAsia"/>
        </w:rPr>
        <w:t>施工獎勵金</w:t>
      </w:r>
      <w:r w:rsidRPr="004245FA">
        <w:rPr>
          <w:rFonts w:hint="eastAsia"/>
        </w:rPr>
        <w:t>之疏失</w:t>
      </w:r>
      <w:r>
        <w:rPr>
          <w:rFonts w:hint="eastAsia"/>
        </w:rPr>
        <w:t>。</w:t>
      </w:r>
    </w:p>
    <w:p w:rsidR="007E57EF" w:rsidRPr="005A7BE0" w:rsidRDefault="007E57EF" w:rsidP="007E57EF">
      <w:pPr>
        <w:pStyle w:val="3"/>
        <w:kinsoku w:val="0"/>
      </w:pPr>
      <w:r>
        <w:rPr>
          <w:rFonts w:hint="eastAsia"/>
        </w:rPr>
        <w:t>綜上，</w:t>
      </w:r>
      <w:r w:rsidRPr="005A7BE0">
        <w:rPr>
          <w:rFonts w:hint="eastAsia"/>
        </w:rPr>
        <w:t>南投縣政府辦理軍功寮溪堤防護岸工程未能配合工程期程執行相關應辦事項，</w:t>
      </w:r>
      <w:r w:rsidRPr="007D32D2">
        <w:rPr>
          <w:rFonts w:hint="eastAsia"/>
        </w:rPr>
        <w:t>致工程決標後超過2年始開工，又因土地使用變更及取得問題，造成工程進度嚴重延滯，且</w:t>
      </w:r>
      <w:r w:rsidRPr="005A7BE0">
        <w:rPr>
          <w:rFonts w:hint="eastAsia"/>
        </w:rPr>
        <w:t>土地取得估算與實際價購金額落差甚大</w:t>
      </w:r>
      <w:r>
        <w:rPr>
          <w:rFonts w:hint="eastAsia"/>
        </w:rPr>
        <w:t>，顯見</w:t>
      </w:r>
      <w:r w:rsidRPr="004245FA">
        <w:rPr>
          <w:rFonts w:hint="eastAsia"/>
        </w:rPr>
        <w:t>其補償款</w:t>
      </w:r>
      <w:r>
        <w:rPr>
          <w:rFonts w:hint="eastAsia"/>
        </w:rPr>
        <w:t>預估之</w:t>
      </w:r>
      <w:r w:rsidRPr="004245FA">
        <w:rPr>
          <w:rFonts w:hint="eastAsia"/>
        </w:rPr>
        <w:t>初</w:t>
      </w:r>
      <w:r>
        <w:rPr>
          <w:rFonts w:hint="eastAsia"/>
        </w:rPr>
        <w:t>，</w:t>
      </w:r>
      <w:r w:rsidRPr="004245FA">
        <w:rPr>
          <w:rFonts w:hint="eastAsia"/>
        </w:rPr>
        <w:t>即有低</w:t>
      </w:r>
      <w:r>
        <w:rPr>
          <w:rFonts w:hint="eastAsia"/>
        </w:rPr>
        <w:t>估實際取得時點之地價及</w:t>
      </w:r>
      <w:r w:rsidRPr="004245FA">
        <w:rPr>
          <w:rFonts w:hint="eastAsia"/>
        </w:rPr>
        <w:t>少估</w:t>
      </w:r>
      <w:r w:rsidRPr="007D32D2">
        <w:rPr>
          <w:rFonts w:hint="eastAsia"/>
        </w:rPr>
        <w:t>施工獎勵金</w:t>
      </w:r>
      <w:r w:rsidRPr="005A7BE0">
        <w:rPr>
          <w:rFonts w:hint="eastAsia"/>
        </w:rPr>
        <w:t>，致取得之土地僅達工程需要之四成，肇致工程</w:t>
      </w:r>
      <w:r w:rsidRPr="007D32D2">
        <w:rPr>
          <w:rFonts w:hint="eastAsia"/>
        </w:rPr>
        <w:t>未竟</w:t>
      </w:r>
      <w:r w:rsidRPr="005A7BE0">
        <w:rPr>
          <w:rFonts w:hint="eastAsia"/>
        </w:rPr>
        <w:t>，無法有效發揮堤防功能，核有怠失。</w:t>
      </w:r>
    </w:p>
    <w:p w:rsidR="007E57EF" w:rsidRPr="007D32D2" w:rsidRDefault="007E57EF" w:rsidP="007E57EF">
      <w:pPr>
        <w:pStyle w:val="2"/>
        <w:kinsoku w:val="0"/>
        <w:ind w:left="1020" w:hanging="680"/>
      </w:pPr>
      <w:r w:rsidRPr="007D32D2">
        <w:rPr>
          <w:rFonts w:hint="eastAsia"/>
        </w:rPr>
        <w:t>南投縣政府執行軍功寮溪堤防護岸工程土地價購作業，對已發放地價補償費之土地，卻遲未辦理土地所有權移轉，延宕至今仍有部分土地尚未登記完成，其中更有已遭法院拍賣之土地，嚴重損及政府權益，核有違</w:t>
      </w:r>
      <w:r w:rsidRPr="007D32D2">
        <w:rPr>
          <w:rFonts w:hint="eastAsia"/>
        </w:rPr>
        <w:lastRenderedPageBreak/>
        <w:t>失。</w:t>
      </w:r>
    </w:p>
    <w:p w:rsidR="007E57EF" w:rsidRPr="007D32D2" w:rsidRDefault="007E57EF" w:rsidP="007E57EF">
      <w:pPr>
        <w:pStyle w:val="3"/>
        <w:kinsoku w:val="0"/>
      </w:pPr>
      <w:r w:rsidRPr="007D32D2">
        <w:rPr>
          <w:rFonts w:hint="eastAsia"/>
        </w:rPr>
        <w:t>據臺灣省省有財產管理規則(80年8月10日修訂)第13條規定：「省屬各機關新建、增建、改建、修建、購置或與他人合作興建之不動產，應於購建後3個月內……辦理登記，並建卡列管……</w:t>
      </w:r>
      <w:r w:rsidR="00AB12BB">
        <w:rPr>
          <w:rFonts w:hint="eastAsia"/>
        </w:rPr>
        <w:t>。</w:t>
      </w:r>
      <w:r w:rsidRPr="007D32D2">
        <w:rPr>
          <w:rFonts w:hint="eastAsia"/>
        </w:rPr>
        <w:t>」本案工程用地該府係以協議價購方式取得，於87年2月20至21日發放補償費，截至97年12月31日止，陸續完成價購土地面積4.3525公頃，累計發放地價補償費1億3,147萬餘元。查南投縣政府於87年2月期間價購完成之土地，卻未依上述規定於價購後3個月內辦理登記，延宕至91年3月18日始檢附用地地價補償費印領清冊、土地所有權人同意書、所有權狀與印鑑證明等文件，函請南投縣南投地政事務所辦理所有權移轉登記。惟協議價購當時，未與土地所有權人簽訂買賣契約書，致登記文件未盡完備，而無法完成所有權登記。該府雖於91年8月間委託土地代書辦理所有權移轉作業，又因事隔多年，部分土地所有權人無法聯絡，以及印領清冊中，用印具領金額與實際支出數不符等因素，迄今仍無法完成產權移轉，顯見該府未能依規於時限內完成土地產權移轉登記。</w:t>
      </w:r>
    </w:p>
    <w:p w:rsidR="007E57EF" w:rsidRPr="007D32D2" w:rsidRDefault="007E57EF" w:rsidP="007E57EF">
      <w:pPr>
        <w:pStyle w:val="3"/>
        <w:kinsoku w:val="0"/>
      </w:pPr>
      <w:r w:rsidRPr="007D32D2">
        <w:rPr>
          <w:rFonts w:hint="eastAsia"/>
        </w:rPr>
        <w:t>查95年間南投縣政府成立產權轉移專案小組後，依據「南投市軍功里軍功寮溪新設堤防護岸工程產權轉移專案小組」決議委託代書逐筆逐人洽原土地所有權人辦理逕為分割登記及後續產權移轉相關作業。其中南投市福順段地號0109-000號之土地，價購金額423,000元業經原地主領訖，惟產權卻遭拍賣予第三人。另南投縣政府自87年2月開始發放補償費，因未取得完整產權移轉登記所需文件，又未能辦理所有權移轉，延宕迄今已12年餘，已</w:t>
      </w:r>
      <w:r w:rsidRPr="007D32D2">
        <w:rPr>
          <w:rFonts w:hint="eastAsia"/>
        </w:rPr>
        <w:lastRenderedPageBreak/>
        <w:t>將屆民法第125條：「請求權，因15年間不行使而消滅。」規定之請求權時限，而全部價購之土地，仍未完成所有權移轉及辦理縣有財產登記，有請求權時效消滅之虞。對該府產權移轉登記進度而論，因產權遭法院拍賣，而有對抗善意第三者效力</w:t>
      </w:r>
      <w:r w:rsidR="00AB12BB">
        <w:rPr>
          <w:rFonts w:hint="eastAsia"/>
        </w:rPr>
        <w:t>，</w:t>
      </w:r>
      <w:r w:rsidRPr="007D32D2">
        <w:rPr>
          <w:rFonts w:hint="eastAsia"/>
        </w:rPr>
        <w:t>及請求權超過15年，有請求時效消滅之虞，都有損政府權益。</w:t>
      </w:r>
    </w:p>
    <w:p w:rsidR="007E57EF" w:rsidRPr="007D32D2" w:rsidRDefault="007E57EF" w:rsidP="007E57EF">
      <w:pPr>
        <w:pStyle w:val="3"/>
        <w:kinsoku w:val="0"/>
      </w:pPr>
      <w:r w:rsidRPr="007D32D2">
        <w:rPr>
          <w:rFonts w:hint="eastAsia"/>
        </w:rPr>
        <w:t>詢據南投縣政府，當時辦理土地取得時，因部分登記之土地所有權人已死亡，惟土地均未辦理繼承，導致後續辦理期程延宕，遲至88年因發生921大地震，縣府施政重心移轉，以搶救災為主軸，受限於當時之人力，而乏於積極辦理，後因承辦人員調職未確實辦理交接，致案件處理停滯，後再於94年12月27日由接續之承辦人員簽准成立「南投市軍功里軍功寮溪新設堤防護岸工程產權轉移專案小組」重啟辦理，召開專案小組會議。目前已完成產權轉移筆數29筆，部分產權移轉筆數23筆；針對故意延宕不辦部分（含死亡及未辦理繼承部分），將委請律師提出告訴依法律程序解決，現正搜集相關佐證資料並與律師研議，直至本案履勘當日仍有14人尚在辦理中，而未辦理者有36人（含死亡及遲不辦理者）。</w:t>
      </w:r>
    </w:p>
    <w:p w:rsidR="007E57EF" w:rsidRDefault="007E57EF" w:rsidP="007E57EF">
      <w:pPr>
        <w:pStyle w:val="3"/>
        <w:kinsoku w:val="0"/>
      </w:pPr>
      <w:r>
        <w:rPr>
          <w:rFonts w:hint="eastAsia"/>
        </w:rPr>
        <w:t>綜上，</w:t>
      </w:r>
      <w:r w:rsidRPr="007D32D2">
        <w:rPr>
          <w:rFonts w:hint="eastAsia"/>
        </w:rPr>
        <w:t>南投縣政府執行軍功寮溪堤防護岸工程土地價購作業，對已發放地價補償費之土地，未能依規於</w:t>
      </w:r>
      <w:r w:rsidRPr="007D32D2">
        <w:rPr>
          <w:rFonts w:hint="eastAsia"/>
          <w:szCs w:val="48"/>
        </w:rPr>
        <w:t>3個月內辦理登記</w:t>
      </w:r>
      <w:r w:rsidRPr="007D32D2">
        <w:rPr>
          <w:rFonts w:hint="eastAsia"/>
        </w:rPr>
        <w:t>，遲未辦理土地所有權移轉，延宕至今仍有部分土地尚未登記完成，</w:t>
      </w:r>
      <w:r w:rsidRPr="007D32D2">
        <w:rPr>
          <w:rFonts w:hint="eastAsia"/>
          <w:szCs w:val="48"/>
        </w:rPr>
        <w:t>因部分土地產權遭法院拍賣，而有對抗善意第三者效力</w:t>
      </w:r>
      <w:r w:rsidR="00AB12BB">
        <w:rPr>
          <w:rFonts w:hint="eastAsia"/>
          <w:szCs w:val="48"/>
        </w:rPr>
        <w:t>，</w:t>
      </w:r>
      <w:r w:rsidRPr="007D32D2">
        <w:rPr>
          <w:rFonts w:hint="eastAsia"/>
          <w:szCs w:val="48"/>
        </w:rPr>
        <w:t>及請求權超過15年，請求時效消滅之虞</w:t>
      </w:r>
      <w:r w:rsidRPr="007D32D2">
        <w:rPr>
          <w:rFonts w:hint="eastAsia"/>
        </w:rPr>
        <w:t>，都已嚴重損及政府權益，核有違失。</w:t>
      </w:r>
    </w:p>
    <w:p w:rsidR="007E57EF" w:rsidRPr="007D32D2" w:rsidRDefault="007E57EF" w:rsidP="007E57EF">
      <w:pPr>
        <w:pStyle w:val="2"/>
        <w:kinsoku w:val="0"/>
        <w:ind w:left="1020" w:hanging="680"/>
      </w:pPr>
      <w:r w:rsidRPr="007D32D2">
        <w:rPr>
          <w:rFonts w:hint="eastAsia"/>
        </w:rPr>
        <w:t>南投縣政府開立軍功寮溪堤防護岸工程補償發放專戶，</w:t>
      </w:r>
      <w:r w:rsidRPr="007D32D2">
        <w:rPr>
          <w:rFonts w:hint="eastAsia"/>
        </w:rPr>
        <w:lastRenderedPageBreak/>
        <w:t>未能依法由有關單位審核發放，又未於該府會計報告表達收支情形，顯見內部財物控管有欠允當，核有疏失。</w:t>
      </w:r>
    </w:p>
    <w:p w:rsidR="007E57EF" w:rsidRPr="007D32D2" w:rsidRDefault="007E57EF" w:rsidP="007E57EF">
      <w:pPr>
        <w:pStyle w:val="3"/>
        <w:kinsoku w:val="0"/>
      </w:pPr>
      <w:r w:rsidRPr="007D32D2">
        <w:rPr>
          <w:rFonts w:hint="eastAsia"/>
        </w:rPr>
        <w:t>據公庫法第7條規定：「政府各機關關於現金票據證券之出納保管移轉及財產之契據等之保管事務，均應由代理公庫之銀行或郵政機關辦理之，不得自行辦理。」及事務管理規則(72年4月29日修訂， 94年6月29日廢止)第73條規定：「專戶存款之款項及公營事業存款之支票，應由機關首長、主(會)計單位暨出納主管簽章，……」查該府為辦理用地地價補償費發放需要，86年12月2日於臺灣銀行南投分行開立「南投市軍功里軍功寮溪新設堤防護岸工程補償發放專戶」，因未以公庫存款戶性質開立，致開戶印鑑僅有當時承辦人南投縣政府建設局水利課技士魏全惟之職名章，專戶款項存取均由該員1人處理，未透過財政及主計單位審核，核未依上述規定辦理。</w:t>
      </w:r>
    </w:p>
    <w:p w:rsidR="007E57EF" w:rsidRDefault="007E57EF" w:rsidP="007E57EF">
      <w:pPr>
        <w:pStyle w:val="3"/>
        <w:kinsoku w:val="0"/>
      </w:pPr>
      <w:r w:rsidRPr="007D32D2">
        <w:rPr>
          <w:rFonts w:hint="eastAsia"/>
        </w:rPr>
        <w:t>次據臺灣省各機關單位預算執行要點(86年10月4日修訂，88年7月1日停止適用)第27點：「各機關之保管、代收、暫收、預收等款，均應為詳確之會計並存入省庫。……」及行政院主計處91年7月10日處會字第091004940號函：「有關公款之存管，應請切實依會計法、國庫法及中央政府各機關專戶存管款項收支管理辦法等規定辦理，並於相關會計帳表妥適表達……」等規定，故本專戶之收支亦應於會計報告表達， 然南投縣政府亦未依此規將此「南投市軍功里軍功寮溪新設堤防護岸工程補償發放專戶」於該府會計報告中表達。詢據南投縣政府，當時於臺灣銀行南投分行開立「南投市軍功里軍功寮溪新設堤防護岸工程補償發放專戶」，</w:t>
      </w:r>
      <w:r w:rsidRPr="007D32D2">
        <w:rPr>
          <w:rFonts w:hint="eastAsia"/>
        </w:rPr>
        <w:lastRenderedPageBreak/>
        <w:t>係經內部程序簽核，各局室單位並未表示其他相關意見，遂依序辦理補償費發放作業。由此專戶之開立過程，顯見該府內部財物控管有欠允當。</w:t>
      </w:r>
    </w:p>
    <w:p w:rsidR="007E57EF" w:rsidRDefault="007E57EF" w:rsidP="007E57EF">
      <w:pPr>
        <w:pStyle w:val="3"/>
        <w:kinsoku w:val="0"/>
        <w:rPr>
          <w:rFonts w:hint="eastAsia"/>
        </w:rPr>
      </w:pPr>
      <w:r>
        <w:rPr>
          <w:rFonts w:hint="eastAsia"/>
        </w:rPr>
        <w:t>綜上，</w:t>
      </w:r>
      <w:r w:rsidRPr="007D32D2">
        <w:rPr>
          <w:rFonts w:hint="eastAsia"/>
        </w:rPr>
        <w:t>南投縣政府開立軍功寮溪堤防護岸工程補償發放專戶，專戶款項存取均由本工程承辦人員1人處理，未透過財政及主計單位審核，未以公庫存款戶性質開立，且專戶收支亦未於會計報告表達，有違會計法、國庫法等相關規定，顯見內部財物控管有欠允當，核有疏失。</w:t>
      </w:r>
    </w:p>
    <w:p w:rsidR="00FB522A" w:rsidRDefault="007E57EF">
      <w:pPr>
        <w:pStyle w:val="11"/>
        <w:tabs>
          <w:tab w:val="clear" w:pos="567"/>
          <w:tab w:val="left" w:pos="588"/>
        </w:tabs>
        <w:ind w:leftChars="181" w:left="616" w:firstLineChars="192" w:firstLine="653"/>
        <w:rPr>
          <w:bCs/>
          <w:color w:val="000000"/>
        </w:rPr>
      </w:pPr>
      <w:r>
        <w:rPr>
          <w:rFonts w:hint="eastAsia"/>
          <w:bCs/>
          <w:color w:val="000000"/>
        </w:rPr>
        <w:t>據上論結</w:t>
      </w:r>
      <w:r w:rsidR="00FB522A">
        <w:rPr>
          <w:rFonts w:hint="eastAsia"/>
          <w:bCs/>
          <w:color w:val="000000"/>
        </w:rPr>
        <w:t>，</w:t>
      </w:r>
      <w:r w:rsidR="00776BF7" w:rsidRPr="007D32D2">
        <w:rPr>
          <w:rFonts w:hint="eastAsia"/>
        </w:rPr>
        <w:t>南投縣政府辦理軍功寮溪堤防護岸工程未能配合工程期程執行相關應辦事項，又土地取得估算與實際價購金額落差甚大，致取得之土地僅達工程需要之四成，肇致工程未竟，無法有效發揮堤防功能</w:t>
      </w:r>
      <w:r w:rsidR="00776BF7">
        <w:rPr>
          <w:rFonts w:hint="eastAsia"/>
        </w:rPr>
        <w:t>；且</w:t>
      </w:r>
      <w:r w:rsidR="00776BF7" w:rsidRPr="007D32D2">
        <w:rPr>
          <w:rFonts w:hint="eastAsia"/>
        </w:rPr>
        <w:t>執行軍功寮溪堤防護岸工程土地價購作業，對已發放地價補償費之土地，卻遲未辦理土地所有權移轉，延宕至今仍有部分土地尚未登記完成，其中更有已遭法院拍賣之土地，嚴重損及政府權益</w:t>
      </w:r>
      <w:r w:rsidR="00776BF7">
        <w:rPr>
          <w:rFonts w:hint="eastAsia"/>
        </w:rPr>
        <w:t>；又</w:t>
      </w:r>
      <w:r w:rsidR="00776BF7" w:rsidRPr="007D32D2">
        <w:rPr>
          <w:rFonts w:hint="eastAsia"/>
        </w:rPr>
        <w:t>開立軍功寮溪堤防護岸工程補償發放專戶，未能依法由有關單位審核發放，又未於該府會計報告表達收支情形，</w:t>
      </w:r>
      <w:r w:rsidR="00776BF7">
        <w:rPr>
          <w:rFonts w:hint="eastAsia"/>
        </w:rPr>
        <w:t>均</w:t>
      </w:r>
      <w:r w:rsidR="00776BF7" w:rsidRPr="007D32D2">
        <w:rPr>
          <w:rFonts w:hint="eastAsia"/>
        </w:rPr>
        <w:t>核有疏失</w:t>
      </w:r>
      <w:r w:rsidR="00776BF7">
        <w:rPr>
          <w:rFonts w:hint="eastAsia"/>
          <w:color w:val="000000"/>
        </w:rPr>
        <w:t>，</w:t>
      </w:r>
      <w:r w:rsidR="00FB522A">
        <w:rPr>
          <w:rFonts w:hint="eastAsia"/>
          <w:bCs/>
          <w:color w:val="000000"/>
        </w:rPr>
        <w:t>爰依監察法第24條提案糾正，送請行政院轉飭所屬確實檢討改善見復。</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FB522A" w:rsidRDefault="00FB522A">
      <w:pPr>
        <w:ind w:leftChars="200" w:left="680" w:firstLineChars="200" w:firstLine="680"/>
        <w:rPr>
          <w:rFonts w:ascii="標楷體"/>
          <w:bCs/>
          <w:color w:val="000000"/>
          <w:kern w:val="0"/>
        </w:rPr>
      </w:pPr>
    </w:p>
    <w:sectPr w:rsidR="00FB522A" w:rsidSect="005C34AD">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B1A" w:rsidRDefault="00143B1A">
      <w:r>
        <w:separator/>
      </w:r>
    </w:p>
  </w:endnote>
  <w:endnote w:type="continuationSeparator" w:id="0">
    <w:p w:rsidR="00143B1A" w:rsidRDefault="00143B1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22A" w:rsidRDefault="005C34AD">
    <w:pPr>
      <w:framePr w:wrap="around" w:vAnchor="text" w:hAnchor="margin" w:xAlign="center" w:y="1"/>
      <w:ind w:left="640" w:firstLine="400"/>
      <w:textDirection w:val="btLr"/>
      <w:rPr>
        <w:rStyle w:val="a5"/>
      </w:rPr>
    </w:pPr>
    <w:r>
      <w:rPr>
        <w:rStyle w:val="a5"/>
      </w:rPr>
      <w:fldChar w:fldCharType="begin"/>
    </w:r>
    <w:r w:rsidR="00FB522A">
      <w:rPr>
        <w:rStyle w:val="a5"/>
      </w:rPr>
      <w:instrText xml:space="preserve">PAGE  </w:instrText>
    </w:r>
    <w:r>
      <w:rPr>
        <w:rStyle w:val="a5"/>
      </w:rPr>
      <w:fldChar w:fldCharType="separate"/>
    </w:r>
    <w:r w:rsidR="00FB522A">
      <w:rPr>
        <w:rStyle w:val="a5"/>
        <w:noProof/>
      </w:rPr>
      <w:t>3</w:t>
    </w:r>
    <w:r>
      <w:rPr>
        <w:rStyle w:val="a5"/>
      </w:rPr>
      <w:fldChar w:fldCharType="end"/>
    </w:r>
  </w:p>
  <w:p w:rsidR="00FB522A" w:rsidRDefault="00FB522A">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22A" w:rsidRDefault="005C34AD">
    <w:pPr>
      <w:pStyle w:val="a8"/>
      <w:framePr w:wrap="around" w:vAnchor="text" w:hAnchor="margin" w:xAlign="center" w:y="1"/>
      <w:rPr>
        <w:rStyle w:val="a5"/>
        <w:sz w:val="24"/>
      </w:rPr>
    </w:pPr>
    <w:r>
      <w:rPr>
        <w:rStyle w:val="a5"/>
        <w:sz w:val="24"/>
      </w:rPr>
      <w:fldChar w:fldCharType="begin"/>
    </w:r>
    <w:r w:rsidR="00FB522A">
      <w:rPr>
        <w:rStyle w:val="a5"/>
        <w:sz w:val="24"/>
      </w:rPr>
      <w:instrText xml:space="preserve">PAGE  </w:instrText>
    </w:r>
    <w:r>
      <w:rPr>
        <w:rStyle w:val="a5"/>
        <w:sz w:val="24"/>
      </w:rPr>
      <w:fldChar w:fldCharType="separate"/>
    </w:r>
    <w:r w:rsidR="00C0484F">
      <w:rPr>
        <w:rStyle w:val="a5"/>
        <w:noProof/>
        <w:sz w:val="24"/>
      </w:rPr>
      <w:t>7</w:t>
    </w:r>
    <w:r>
      <w:rPr>
        <w:rStyle w:val="a5"/>
        <w:sz w:val="24"/>
      </w:rPr>
      <w:fldChar w:fldCharType="end"/>
    </w:r>
  </w:p>
  <w:p w:rsidR="00FB522A" w:rsidRDefault="00FB522A">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B1A" w:rsidRDefault="00143B1A">
      <w:r>
        <w:separator/>
      </w:r>
    </w:p>
  </w:footnote>
  <w:footnote w:type="continuationSeparator" w:id="0">
    <w:p w:rsidR="00143B1A" w:rsidRDefault="00143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pStyle w:val="9"/>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80B66"/>
    <w:rsid w:val="00057A4C"/>
    <w:rsid w:val="00087F98"/>
    <w:rsid w:val="001070D6"/>
    <w:rsid w:val="00143B1A"/>
    <w:rsid w:val="00146A5A"/>
    <w:rsid w:val="001F0F2F"/>
    <w:rsid w:val="002E0834"/>
    <w:rsid w:val="00380B66"/>
    <w:rsid w:val="003D6FDF"/>
    <w:rsid w:val="00512897"/>
    <w:rsid w:val="0059733B"/>
    <w:rsid w:val="005C34AD"/>
    <w:rsid w:val="006F37BC"/>
    <w:rsid w:val="00776BF7"/>
    <w:rsid w:val="007A4B53"/>
    <w:rsid w:val="007D089F"/>
    <w:rsid w:val="007E57EF"/>
    <w:rsid w:val="00831408"/>
    <w:rsid w:val="00AB12BB"/>
    <w:rsid w:val="00BE4ABC"/>
    <w:rsid w:val="00C0484F"/>
    <w:rsid w:val="00C66C4E"/>
    <w:rsid w:val="00D80A4F"/>
    <w:rsid w:val="00E373E3"/>
    <w:rsid w:val="00EB561E"/>
    <w:rsid w:val="00F035E0"/>
    <w:rsid w:val="00FB522A"/>
    <w:rsid w:val="00FC2DD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4AD"/>
    <w:pPr>
      <w:widowControl w:val="0"/>
    </w:pPr>
    <w:rPr>
      <w:rFonts w:eastAsia="標楷體"/>
      <w:kern w:val="2"/>
      <w:sz w:val="32"/>
    </w:rPr>
  </w:style>
  <w:style w:type="paragraph" w:styleId="1">
    <w:name w:val="heading 1"/>
    <w:basedOn w:val="a"/>
    <w:qFormat/>
    <w:rsid w:val="005C34AD"/>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5C34AD"/>
    <w:pPr>
      <w:numPr>
        <w:ilvl w:val="1"/>
        <w:numId w:val="1"/>
      </w:numPr>
      <w:jc w:val="both"/>
      <w:outlineLvl w:val="1"/>
    </w:pPr>
    <w:rPr>
      <w:rFonts w:ascii="標楷體" w:hAnsi="Arial"/>
      <w:bCs/>
      <w:kern w:val="0"/>
      <w:szCs w:val="48"/>
    </w:rPr>
  </w:style>
  <w:style w:type="paragraph" w:styleId="3">
    <w:name w:val="heading 3"/>
    <w:basedOn w:val="a"/>
    <w:qFormat/>
    <w:rsid w:val="005C34AD"/>
    <w:pPr>
      <w:numPr>
        <w:ilvl w:val="2"/>
        <w:numId w:val="1"/>
      </w:numPr>
      <w:jc w:val="both"/>
      <w:outlineLvl w:val="2"/>
    </w:pPr>
    <w:rPr>
      <w:rFonts w:ascii="標楷體" w:hAnsi="Arial"/>
      <w:bCs/>
      <w:kern w:val="0"/>
      <w:szCs w:val="36"/>
    </w:rPr>
  </w:style>
  <w:style w:type="paragraph" w:styleId="4">
    <w:name w:val="heading 4"/>
    <w:basedOn w:val="a"/>
    <w:qFormat/>
    <w:rsid w:val="005C34AD"/>
    <w:pPr>
      <w:numPr>
        <w:ilvl w:val="3"/>
        <w:numId w:val="1"/>
      </w:numPr>
      <w:jc w:val="both"/>
      <w:outlineLvl w:val="3"/>
    </w:pPr>
    <w:rPr>
      <w:rFonts w:ascii="標楷體" w:hAnsi="Arial"/>
      <w:szCs w:val="36"/>
    </w:rPr>
  </w:style>
  <w:style w:type="paragraph" w:styleId="5">
    <w:name w:val="heading 5"/>
    <w:basedOn w:val="a"/>
    <w:qFormat/>
    <w:rsid w:val="005C34AD"/>
    <w:pPr>
      <w:numPr>
        <w:ilvl w:val="4"/>
        <w:numId w:val="1"/>
      </w:numPr>
      <w:jc w:val="both"/>
      <w:outlineLvl w:val="4"/>
    </w:pPr>
    <w:rPr>
      <w:rFonts w:ascii="標楷體" w:hAnsi="Arial"/>
      <w:bCs/>
      <w:szCs w:val="36"/>
    </w:rPr>
  </w:style>
  <w:style w:type="paragraph" w:styleId="6">
    <w:name w:val="heading 6"/>
    <w:basedOn w:val="a"/>
    <w:qFormat/>
    <w:rsid w:val="005C34AD"/>
    <w:pPr>
      <w:numPr>
        <w:ilvl w:val="5"/>
        <w:numId w:val="1"/>
      </w:numPr>
      <w:tabs>
        <w:tab w:val="left" w:pos="2094"/>
      </w:tabs>
      <w:jc w:val="both"/>
      <w:outlineLvl w:val="5"/>
    </w:pPr>
    <w:rPr>
      <w:rFonts w:ascii="標楷體" w:hAnsi="Arial"/>
      <w:szCs w:val="36"/>
    </w:rPr>
  </w:style>
  <w:style w:type="paragraph" w:styleId="7">
    <w:name w:val="heading 7"/>
    <w:basedOn w:val="a"/>
    <w:qFormat/>
    <w:rsid w:val="005C34AD"/>
    <w:pPr>
      <w:numPr>
        <w:ilvl w:val="6"/>
        <w:numId w:val="1"/>
      </w:numPr>
      <w:jc w:val="both"/>
      <w:outlineLvl w:val="6"/>
    </w:pPr>
    <w:rPr>
      <w:rFonts w:ascii="標楷體" w:hAnsi="Arial"/>
      <w:bCs/>
      <w:szCs w:val="36"/>
    </w:rPr>
  </w:style>
  <w:style w:type="paragraph" w:styleId="8">
    <w:name w:val="heading 8"/>
    <w:basedOn w:val="a"/>
    <w:qFormat/>
    <w:rsid w:val="005C34AD"/>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5C34AD"/>
    <w:pPr>
      <w:ind w:leftChars="400" w:left="400"/>
    </w:pPr>
  </w:style>
  <w:style w:type="paragraph" w:customStyle="1" w:styleId="20">
    <w:name w:val="段落樣式2"/>
    <w:basedOn w:val="a"/>
    <w:rsid w:val="005C34AD"/>
    <w:pPr>
      <w:tabs>
        <w:tab w:val="left" w:pos="567"/>
      </w:tabs>
      <w:ind w:leftChars="300" w:left="300" w:firstLineChars="200" w:firstLine="200"/>
      <w:jc w:val="both"/>
    </w:pPr>
    <w:rPr>
      <w:rFonts w:ascii="標楷體"/>
      <w:kern w:val="0"/>
    </w:rPr>
  </w:style>
  <w:style w:type="paragraph" w:customStyle="1" w:styleId="40">
    <w:name w:val="段落樣式4"/>
    <w:basedOn w:val="30"/>
    <w:rsid w:val="005C34AD"/>
    <w:pPr>
      <w:ind w:leftChars="500" w:left="500"/>
    </w:pPr>
  </w:style>
  <w:style w:type="paragraph" w:customStyle="1" w:styleId="50">
    <w:name w:val="段落樣式5"/>
    <w:basedOn w:val="40"/>
    <w:rsid w:val="005C34AD"/>
    <w:pPr>
      <w:ind w:leftChars="600" w:left="600"/>
    </w:pPr>
  </w:style>
  <w:style w:type="paragraph" w:customStyle="1" w:styleId="60">
    <w:name w:val="段落樣式6"/>
    <w:basedOn w:val="50"/>
    <w:rsid w:val="005C34AD"/>
    <w:pPr>
      <w:ind w:leftChars="700" w:left="700"/>
    </w:pPr>
  </w:style>
  <w:style w:type="paragraph" w:customStyle="1" w:styleId="70">
    <w:name w:val="段落樣式7"/>
    <w:basedOn w:val="60"/>
    <w:rsid w:val="005C34AD"/>
  </w:style>
  <w:style w:type="paragraph" w:customStyle="1" w:styleId="80">
    <w:name w:val="段落樣式8"/>
    <w:basedOn w:val="70"/>
    <w:rsid w:val="005C34AD"/>
    <w:pPr>
      <w:ind w:leftChars="800" w:left="800"/>
    </w:pPr>
  </w:style>
  <w:style w:type="paragraph" w:styleId="a3">
    <w:name w:val="Signature"/>
    <w:basedOn w:val="a"/>
    <w:semiHidden/>
    <w:rsid w:val="005C34AD"/>
    <w:pPr>
      <w:spacing w:before="720" w:after="720"/>
      <w:ind w:left="7371"/>
    </w:pPr>
    <w:rPr>
      <w:rFonts w:ascii="標楷體"/>
      <w:b/>
      <w:snapToGrid w:val="0"/>
      <w:spacing w:val="10"/>
      <w:sz w:val="36"/>
    </w:rPr>
  </w:style>
  <w:style w:type="paragraph" w:styleId="a4">
    <w:name w:val="endnote text"/>
    <w:basedOn w:val="a"/>
    <w:semiHidden/>
    <w:rsid w:val="005C34AD"/>
    <w:pPr>
      <w:spacing w:before="240"/>
      <w:ind w:left="1021" w:hanging="1021"/>
      <w:jc w:val="both"/>
    </w:pPr>
    <w:rPr>
      <w:rFonts w:ascii="標楷體"/>
      <w:snapToGrid w:val="0"/>
      <w:spacing w:val="10"/>
    </w:rPr>
  </w:style>
  <w:style w:type="character" w:styleId="a5">
    <w:name w:val="page number"/>
    <w:basedOn w:val="a0"/>
    <w:semiHidden/>
    <w:rsid w:val="005C34AD"/>
    <w:rPr>
      <w:rFonts w:ascii="標楷體" w:eastAsia="標楷體"/>
      <w:sz w:val="20"/>
    </w:rPr>
  </w:style>
  <w:style w:type="paragraph" w:styleId="10">
    <w:name w:val="toc 1"/>
    <w:basedOn w:val="a"/>
    <w:next w:val="a"/>
    <w:semiHidden/>
    <w:rsid w:val="005C34AD"/>
    <w:pPr>
      <w:ind w:left="200" w:hangingChars="200" w:hanging="200"/>
      <w:jc w:val="both"/>
    </w:pPr>
    <w:rPr>
      <w:rFonts w:ascii="標楷體"/>
    </w:rPr>
  </w:style>
  <w:style w:type="paragraph" w:styleId="21">
    <w:name w:val="toc 2"/>
    <w:basedOn w:val="a"/>
    <w:next w:val="a"/>
    <w:autoRedefine/>
    <w:semiHidden/>
    <w:rsid w:val="005C34AD"/>
    <w:pPr>
      <w:ind w:leftChars="100" w:left="300" w:hangingChars="200" w:hanging="200"/>
      <w:jc w:val="both"/>
    </w:pPr>
    <w:rPr>
      <w:rFonts w:ascii="標楷體"/>
    </w:rPr>
  </w:style>
  <w:style w:type="paragraph" w:styleId="31">
    <w:name w:val="toc 3"/>
    <w:basedOn w:val="a"/>
    <w:next w:val="a"/>
    <w:semiHidden/>
    <w:rsid w:val="005C34AD"/>
    <w:pPr>
      <w:ind w:leftChars="200" w:left="400" w:hangingChars="200" w:hanging="200"/>
      <w:jc w:val="both"/>
    </w:pPr>
    <w:rPr>
      <w:rFonts w:ascii="標楷體"/>
      <w:noProof/>
    </w:rPr>
  </w:style>
  <w:style w:type="paragraph" w:styleId="41">
    <w:name w:val="toc 4"/>
    <w:basedOn w:val="a"/>
    <w:next w:val="a"/>
    <w:semiHidden/>
    <w:rsid w:val="005C34AD"/>
    <w:pPr>
      <w:kinsoku w:val="0"/>
      <w:ind w:leftChars="300" w:left="500" w:hangingChars="200" w:hanging="200"/>
      <w:jc w:val="both"/>
    </w:pPr>
    <w:rPr>
      <w:rFonts w:ascii="標楷體"/>
    </w:rPr>
  </w:style>
  <w:style w:type="paragraph" w:styleId="51">
    <w:name w:val="toc 5"/>
    <w:basedOn w:val="a"/>
    <w:next w:val="a"/>
    <w:autoRedefine/>
    <w:semiHidden/>
    <w:rsid w:val="005C34AD"/>
    <w:pPr>
      <w:kinsoku w:val="0"/>
      <w:ind w:leftChars="400" w:left="600" w:hangingChars="200" w:hanging="200"/>
      <w:jc w:val="both"/>
    </w:pPr>
    <w:rPr>
      <w:rFonts w:ascii="標楷體"/>
    </w:rPr>
  </w:style>
  <w:style w:type="paragraph" w:styleId="61">
    <w:name w:val="toc 6"/>
    <w:basedOn w:val="a"/>
    <w:next w:val="a"/>
    <w:autoRedefine/>
    <w:semiHidden/>
    <w:rsid w:val="005C34AD"/>
    <w:pPr>
      <w:ind w:leftChars="500" w:left="700" w:hangingChars="200" w:hanging="200"/>
    </w:pPr>
    <w:rPr>
      <w:rFonts w:ascii="標楷體"/>
    </w:rPr>
  </w:style>
  <w:style w:type="paragraph" w:styleId="71">
    <w:name w:val="toc 7"/>
    <w:basedOn w:val="a"/>
    <w:next w:val="a"/>
    <w:autoRedefine/>
    <w:semiHidden/>
    <w:rsid w:val="005C34AD"/>
    <w:pPr>
      <w:ind w:leftChars="600" w:left="700" w:hangingChars="100" w:hanging="100"/>
    </w:pPr>
    <w:rPr>
      <w:rFonts w:ascii="標楷體"/>
    </w:rPr>
  </w:style>
  <w:style w:type="paragraph" w:styleId="81">
    <w:name w:val="toc 8"/>
    <w:basedOn w:val="a"/>
    <w:next w:val="a"/>
    <w:autoRedefine/>
    <w:semiHidden/>
    <w:rsid w:val="005C34AD"/>
    <w:pPr>
      <w:ind w:leftChars="700" w:left="2792" w:hangingChars="100" w:hanging="349"/>
    </w:pPr>
    <w:rPr>
      <w:rFonts w:ascii="標楷體"/>
    </w:rPr>
  </w:style>
  <w:style w:type="paragraph" w:styleId="90">
    <w:name w:val="toc 9"/>
    <w:basedOn w:val="a"/>
    <w:next w:val="a"/>
    <w:autoRedefine/>
    <w:semiHidden/>
    <w:rsid w:val="005C34AD"/>
    <w:pPr>
      <w:ind w:leftChars="1600" w:left="3840"/>
    </w:pPr>
  </w:style>
  <w:style w:type="character" w:styleId="a6">
    <w:name w:val="Hyperlink"/>
    <w:basedOn w:val="a0"/>
    <w:semiHidden/>
    <w:rsid w:val="005C34AD"/>
    <w:rPr>
      <w:color w:val="0000FF"/>
      <w:u w:val="single"/>
    </w:rPr>
  </w:style>
  <w:style w:type="paragraph" w:customStyle="1" w:styleId="11">
    <w:name w:val="段落樣式1"/>
    <w:basedOn w:val="a"/>
    <w:rsid w:val="005C34AD"/>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5C34AD"/>
    <w:pPr>
      <w:ind w:leftChars="200" w:left="200" w:firstLineChars="0" w:firstLine="0"/>
    </w:pPr>
  </w:style>
  <w:style w:type="paragraph" w:styleId="a7">
    <w:name w:val="header"/>
    <w:basedOn w:val="a"/>
    <w:semiHidden/>
    <w:rsid w:val="005C34AD"/>
    <w:pPr>
      <w:tabs>
        <w:tab w:val="center" w:pos="4153"/>
        <w:tab w:val="right" w:pos="8306"/>
      </w:tabs>
      <w:snapToGrid w:val="0"/>
    </w:pPr>
    <w:rPr>
      <w:sz w:val="20"/>
    </w:rPr>
  </w:style>
  <w:style w:type="paragraph" w:styleId="a8">
    <w:name w:val="footer"/>
    <w:basedOn w:val="a"/>
    <w:semiHidden/>
    <w:rsid w:val="005C34AD"/>
    <w:pPr>
      <w:tabs>
        <w:tab w:val="center" w:pos="4153"/>
        <w:tab w:val="right" w:pos="8306"/>
      </w:tabs>
      <w:snapToGrid w:val="0"/>
    </w:pPr>
    <w:rPr>
      <w:sz w:val="20"/>
    </w:rPr>
  </w:style>
  <w:style w:type="paragraph" w:customStyle="1" w:styleId="a9">
    <w:name w:val="簽名日期"/>
    <w:basedOn w:val="a"/>
    <w:rsid w:val="005C34AD"/>
    <w:pPr>
      <w:kinsoku w:val="0"/>
      <w:jc w:val="distribute"/>
    </w:pPr>
    <w:rPr>
      <w:kern w:val="0"/>
    </w:rPr>
  </w:style>
  <w:style w:type="paragraph" w:customStyle="1" w:styleId="aa">
    <w:name w:val="表樣式"/>
    <w:basedOn w:val="a"/>
    <w:next w:val="a"/>
    <w:rsid w:val="005C34AD"/>
    <w:pPr>
      <w:tabs>
        <w:tab w:val="num" w:pos="1440"/>
      </w:tabs>
      <w:ind w:left="695" w:hanging="695"/>
      <w:jc w:val="both"/>
    </w:pPr>
    <w:rPr>
      <w:rFonts w:ascii="標楷體"/>
      <w:kern w:val="0"/>
    </w:rPr>
  </w:style>
  <w:style w:type="paragraph" w:customStyle="1" w:styleId="ab">
    <w:name w:val="圖樣式"/>
    <w:basedOn w:val="a"/>
    <w:next w:val="a"/>
    <w:rsid w:val="005C34AD"/>
    <w:pPr>
      <w:ind w:left="400" w:hangingChars="400" w:hanging="400"/>
      <w:jc w:val="both"/>
    </w:pPr>
    <w:rPr>
      <w:rFonts w:ascii="標楷體"/>
    </w:rPr>
  </w:style>
  <w:style w:type="paragraph" w:customStyle="1" w:styleId="9">
    <w:name w:val="標題9"/>
    <w:basedOn w:val="a"/>
    <w:rsid w:val="005C34AD"/>
    <w:pPr>
      <w:numPr>
        <w:ilvl w:val="8"/>
        <w:numId w:val="1"/>
      </w:numPr>
    </w:pPr>
  </w:style>
  <w:style w:type="paragraph" w:customStyle="1" w:styleId="xl32">
    <w:name w:val="xl32"/>
    <w:basedOn w:val="a"/>
    <w:rsid w:val="005C34AD"/>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rsid w:val="005C34AD"/>
    <w:pPr>
      <w:widowControl/>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font6">
    <w:name w:val="font6"/>
    <w:basedOn w:val="a"/>
    <w:rsid w:val="005C34AD"/>
    <w:pPr>
      <w:widowControl/>
      <w:spacing w:before="100" w:beforeAutospacing="1" w:after="100" w:afterAutospacing="1"/>
    </w:pPr>
    <w:rPr>
      <w:rFonts w:ascii="新細明體" w:eastAsia="新細明體" w:hAnsi="新細明體" w:cs="Arial Unicode MS" w:hint="eastAsia"/>
      <w:kern w:val="0"/>
      <w:sz w:val="20"/>
    </w:rPr>
  </w:style>
  <w:style w:type="paragraph" w:styleId="22">
    <w:name w:val="Body Text 2"/>
    <w:basedOn w:val="a"/>
    <w:semiHidden/>
    <w:rsid w:val="005C34AD"/>
    <w:pPr>
      <w:spacing w:line="320" w:lineRule="exact"/>
      <w:jc w:val="center"/>
    </w:pPr>
    <w:rPr>
      <w:rFonts w:eastAsia="全真楷書"/>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08\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77AA91-2F23-4D04-9929-B882F6578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0</TotalTime>
  <Pages>7</Pages>
  <Words>2104</Words>
  <Characters>2148</Characters>
  <Application>Microsoft Office Word</Application>
  <DocSecurity>0</DocSecurity>
  <Lines>195</Lines>
  <Paragraphs>163</Paragraphs>
  <ScaleCrop>false</ScaleCrop>
  <Company>cy</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Administrator</cp:lastModifiedBy>
  <cp:revision>2</cp:revision>
  <cp:lastPrinted>2009-12-02T03:23:00Z</cp:lastPrinted>
  <dcterms:created xsi:type="dcterms:W3CDTF">2010-09-03T01:30:00Z</dcterms:created>
  <dcterms:modified xsi:type="dcterms:W3CDTF">2010-09-03T01:30:00Z</dcterms:modified>
</cp:coreProperties>
</file>