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4D141F" w:rsidRDefault="00D20D26" w:rsidP="00F37D7B">
      <w:pPr>
        <w:pStyle w:val="af2"/>
      </w:pPr>
      <w:r>
        <w:rPr>
          <w:rFonts w:hint="eastAsia"/>
        </w:rPr>
        <w:t>調查報告</w:t>
      </w:r>
      <w:bookmarkStart w:id="0" w:name="_GoBack"/>
      <w:bookmarkEnd w:id="0"/>
    </w:p>
    <w:p w:rsidR="00F20A3F" w:rsidRDefault="00E25849" w:rsidP="00B55648">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9481E">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72EA0" w:rsidRPr="0029481E">
        <w:t>依據臺灣高等檢察署所屬各地方檢察署及其檢察分署辦理他案應行注意事項第2點規定，告訴、告發之案件，告訴人或告發人是否確有其人或其告訴、告發之事實，是否涉及特定人有犯罪嫌疑，尚不明瞭者，得分「他」案辦理。</w:t>
      </w:r>
      <w:proofErr w:type="gramStart"/>
      <w:r w:rsidR="00D72EA0" w:rsidRPr="0029481E">
        <w:t>惟查實務</w:t>
      </w:r>
      <w:proofErr w:type="gramEnd"/>
      <w:r w:rsidR="00D72EA0" w:rsidRPr="0029481E">
        <w:t>上，許多由律師擔任告訴代理人提出告訴之案件，</w:t>
      </w:r>
      <w:proofErr w:type="gramStart"/>
      <w:r w:rsidR="00D72EA0" w:rsidRPr="0029481E">
        <w:t>已詳</w:t>
      </w:r>
      <w:proofErr w:type="gramEnd"/>
      <w:r w:rsidR="00D72EA0" w:rsidRPr="0029481E">
        <w:t>載告訴人與被告之年籍資料、犯罪事實證據與所犯法條，仍先分「他案」辦理，導致當事人究屬被告、犯罪嫌疑人、利害關係人或證人之身分不明，是否影響當事人之訴訟權利？實有深入了解之必要案。</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p>
    <w:p w:rsidR="00E25849" w:rsidRPr="0029481E" w:rsidRDefault="00E25849" w:rsidP="00B55648">
      <w:pPr>
        <w:pStyle w:val="1"/>
        <w:ind w:left="2380" w:hanging="2380"/>
      </w:pP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29481E">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29481E" w:rsidRDefault="00203C3D" w:rsidP="00A639F4">
      <w:pPr>
        <w:pStyle w:val="10"/>
        <w:ind w:left="680" w:firstLine="680"/>
      </w:pPr>
      <w:bookmarkStart w:id="50" w:name="_Toc524902730"/>
      <w:r w:rsidRPr="0029481E">
        <w:rPr>
          <w:rFonts w:hint="eastAsia"/>
        </w:rPr>
        <w:t>本案經調閱法務部、臺灣</w:t>
      </w:r>
      <w:proofErr w:type="gramStart"/>
      <w:r w:rsidRPr="0029481E">
        <w:rPr>
          <w:rFonts w:hint="eastAsia"/>
        </w:rPr>
        <w:t>臺</w:t>
      </w:r>
      <w:proofErr w:type="gramEnd"/>
      <w:r w:rsidRPr="0029481E">
        <w:rPr>
          <w:rFonts w:hint="eastAsia"/>
        </w:rPr>
        <w:t>南地方檢察署(下稱臺南地檢署)、臺南市政府等機關卷證資料，並於民國(下同)112年4月27日詢問法務部政務次長蔡碧仲、檢察司司長黃謀信等機關人員，</w:t>
      </w:r>
      <w:r w:rsidR="00FB501B" w:rsidRPr="0029481E">
        <w:rPr>
          <w:rFonts w:hint="eastAsia"/>
        </w:rPr>
        <w:t>已</w:t>
      </w:r>
      <w:proofErr w:type="gramStart"/>
      <w:r w:rsidR="00FB501B" w:rsidRPr="0029481E">
        <w:rPr>
          <w:rFonts w:hint="eastAsia"/>
        </w:rPr>
        <w:t>調查竣</w:t>
      </w:r>
      <w:proofErr w:type="gramEnd"/>
      <w:r w:rsidR="00307A76" w:rsidRPr="0029481E">
        <w:rPr>
          <w:rFonts w:hint="eastAsia"/>
        </w:rPr>
        <w:t>事</w:t>
      </w:r>
      <w:r w:rsidR="00FB501B" w:rsidRPr="0029481E">
        <w:rPr>
          <w:rFonts w:hint="eastAsia"/>
        </w:rPr>
        <w:t>，</w:t>
      </w:r>
      <w:r w:rsidR="00307A76" w:rsidRPr="0029481E">
        <w:rPr>
          <w:rFonts w:hint="eastAsia"/>
        </w:rPr>
        <w:t>茲臚</w:t>
      </w:r>
      <w:r w:rsidR="00FB501B" w:rsidRPr="0029481E">
        <w:rPr>
          <w:rFonts w:hint="eastAsia"/>
        </w:rPr>
        <w:t>列調查意見如下：</w:t>
      </w:r>
    </w:p>
    <w:p w:rsidR="00073CB5" w:rsidRPr="0029481E" w:rsidRDefault="00F513E7" w:rsidP="00DE4238">
      <w:pPr>
        <w:pStyle w:val="2"/>
        <w:rPr>
          <w:b/>
        </w:rPr>
      </w:pPr>
      <w:bookmarkStart w:id="51" w:name="_Toc421794873"/>
      <w:bookmarkStart w:id="52" w:name="_Toc422834158"/>
      <w:r w:rsidRPr="0029481E">
        <w:rPr>
          <w:rFonts w:hAnsi="標楷體" w:hint="eastAsia"/>
          <w:b/>
          <w:szCs w:val="32"/>
        </w:rPr>
        <w:t>臺灣高等檢察署所屬各地方檢察署及其檢察分署辦理他案應行注意事項（下稱辦理他案應行注意事項），係檢察機關之內部行政規則，</w:t>
      </w:r>
      <w:r w:rsidR="00E34D0A" w:rsidRPr="0029481E">
        <w:rPr>
          <w:rFonts w:hAnsi="標楷體" w:hint="eastAsia"/>
          <w:b/>
          <w:szCs w:val="32"/>
        </w:rPr>
        <w:t>刑事訴訟法及其他相關法律並無「他字」案之規定，</w:t>
      </w:r>
      <w:proofErr w:type="gramStart"/>
      <w:r w:rsidRPr="0029481E">
        <w:rPr>
          <w:rFonts w:hAnsi="標楷體" w:hint="eastAsia"/>
          <w:b/>
          <w:szCs w:val="32"/>
        </w:rPr>
        <w:t>惟查實務</w:t>
      </w:r>
      <w:proofErr w:type="gramEnd"/>
      <w:r w:rsidRPr="0029481E">
        <w:rPr>
          <w:rFonts w:hAnsi="標楷體" w:hint="eastAsia"/>
          <w:b/>
          <w:szCs w:val="32"/>
        </w:rPr>
        <w:t>上，分他案偵辦，究屬被告、犯罪嫌疑人、利害關係人或證人之身分屬性不明，影響</w:t>
      </w:r>
      <w:r w:rsidR="00755DD2" w:rsidRPr="0029481E">
        <w:rPr>
          <w:rFonts w:hAnsi="標楷體" w:hint="eastAsia"/>
          <w:b/>
          <w:szCs w:val="32"/>
        </w:rPr>
        <w:t>人民</w:t>
      </w:r>
      <w:r w:rsidRPr="0029481E">
        <w:rPr>
          <w:rFonts w:hAnsi="標楷體" w:hint="eastAsia"/>
          <w:b/>
          <w:szCs w:val="32"/>
        </w:rPr>
        <w:t>之訴訟權利甚鉅，</w:t>
      </w:r>
      <w:proofErr w:type="gramStart"/>
      <w:r w:rsidR="00C839BA" w:rsidRPr="0029481E">
        <w:rPr>
          <w:rFonts w:hAnsi="標楷體" w:hint="eastAsia"/>
          <w:b/>
          <w:szCs w:val="32"/>
        </w:rPr>
        <w:t>允宜</w:t>
      </w:r>
      <w:r w:rsidR="00D03B72" w:rsidRPr="0029481E">
        <w:rPr>
          <w:rFonts w:hAnsi="標楷體" w:hint="eastAsia"/>
          <w:b/>
          <w:szCs w:val="32"/>
        </w:rPr>
        <w:t>依</w:t>
      </w:r>
      <w:r w:rsidRPr="0029481E">
        <w:rPr>
          <w:rFonts w:hAnsi="標楷體" w:hint="eastAsia"/>
          <w:b/>
          <w:szCs w:val="32"/>
        </w:rPr>
        <w:t>憲</w:t>
      </w:r>
      <w:proofErr w:type="gramEnd"/>
      <w:r w:rsidRPr="0029481E">
        <w:rPr>
          <w:rFonts w:hAnsi="標楷體" w:hint="eastAsia"/>
          <w:b/>
          <w:szCs w:val="32"/>
        </w:rPr>
        <w:t>法第23條法律保留</w:t>
      </w:r>
      <w:bookmarkEnd w:id="51"/>
      <w:bookmarkEnd w:id="52"/>
      <w:r w:rsidR="00D03B72" w:rsidRPr="0029481E">
        <w:rPr>
          <w:rFonts w:hAnsi="標楷體" w:hint="eastAsia"/>
          <w:b/>
          <w:szCs w:val="32"/>
        </w:rPr>
        <w:t>原則</w:t>
      </w:r>
      <w:r w:rsidRPr="0029481E">
        <w:rPr>
          <w:rFonts w:hAnsi="標楷體" w:hint="eastAsia"/>
          <w:b/>
          <w:szCs w:val="32"/>
        </w:rPr>
        <w:t>，予</w:t>
      </w:r>
      <w:r w:rsidR="00054382" w:rsidRPr="0029481E">
        <w:rPr>
          <w:rFonts w:hAnsi="標楷體" w:hint="eastAsia"/>
          <w:b/>
          <w:szCs w:val="32"/>
        </w:rPr>
        <w:t>以</w:t>
      </w:r>
      <w:r w:rsidRPr="0029481E">
        <w:rPr>
          <w:rFonts w:hAnsi="標楷體" w:hint="eastAsia"/>
          <w:b/>
          <w:szCs w:val="32"/>
        </w:rPr>
        <w:t>改善。</w:t>
      </w:r>
    </w:p>
    <w:p w:rsidR="00F513E7" w:rsidRPr="0029481E" w:rsidRDefault="00AA5E0D" w:rsidP="00F513E7">
      <w:pPr>
        <w:pStyle w:val="3"/>
      </w:pPr>
      <w:r w:rsidRPr="0029481E">
        <w:rPr>
          <w:rFonts w:hint="eastAsia"/>
        </w:rPr>
        <w:t>依憲法第23條規定：「以上各條列舉之自由權利，除為防止妨礙他人自由、避免緊急危難、維持社會秩序，或增進公共利益所必要者外，不得以法律限制</w:t>
      </w:r>
      <w:r w:rsidRPr="0029481E">
        <w:rPr>
          <w:rFonts w:hint="eastAsia"/>
        </w:rPr>
        <w:lastRenderedPageBreak/>
        <w:t>之。」按憲法上之法律保留原則乃現代法治國原則之具體表現，不僅規範國家與人民之關係，亦涉及行政、立法兩權之權限分配。如涉及公共利益或實現人民基本權利之保障等重大事項者，原則上仍應有法律或法律明確之授權為依據，主管機關始得據以訂定法規命令。（參照司法院釋字第443號、第488號、第542號、第614號解釋）。如以法律授權主管機關發布命令為補充規定時，其授權應符合具體明確之原則；若僅屬執行法律之細節性、技術性次要事項，始得由主管機關發布命令為必要之規範（參照司法院釋字第620號、第622號、第640號、第650號、第657號解釋）。若法律授權行政機關發布命令為補充規定者，該命令須符合立法意旨且未逾越母法授權之範圍，始為憲法所許。又其內容不得牴觸母法或對公務人員之權利增加法律所無之限制（參照司法院釋字第568號、第658號解釋）。是則，參照上開司法院大法官解釋，涉及實現人民基本權利之保障等重大事項者，原則上仍應符合法律保留原則，又法律授權主管機關訂定法規命令時，應符合授權明確性原則，該命令須符合立法意旨且未逾越母法授權之範圍。</w:t>
      </w:r>
    </w:p>
    <w:p w:rsidR="00A656EC" w:rsidRPr="0029481E" w:rsidRDefault="00C61338" w:rsidP="00F513E7">
      <w:pPr>
        <w:pStyle w:val="3"/>
      </w:pPr>
      <w:r w:rsidRPr="0029481E">
        <w:rPr>
          <w:rFonts w:hint="eastAsia"/>
        </w:rPr>
        <w:t>依行政程序法第159條第1項規定：「本法所稱行政規則，係指上級機關對下級機關，或長官對屬官，依其權限或職權為規範機關內部秩序及運作，所為非直接對外發生法規範效力之一般、抽象之規定。</w:t>
      </w:r>
      <w:r w:rsidR="007F563D" w:rsidRPr="0029481E">
        <w:rPr>
          <w:rFonts w:hint="eastAsia"/>
        </w:rPr>
        <w:t>」同條第</w:t>
      </w:r>
      <w:r w:rsidR="007F563D" w:rsidRPr="0029481E">
        <w:t>2</w:t>
      </w:r>
      <w:r w:rsidR="007F563D" w:rsidRPr="0029481E">
        <w:rPr>
          <w:rFonts w:hint="eastAsia"/>
        </w:rPr>
        <w:t>項規定：「</w:t>
      </w:r>
      <w:r w:rsidRPr="0029481E">
        <w:rPr>
          <w:rFonts w:hint="eastAsia"/>
        </w:rPr>
        <w:t>行政規則包括下列各款之規定</w:t>
      </w:r>
      <w:proofErr w:type="gramStart"/>
      <w:r w:rsidRPr="0029481E">
        <w:rPr>
          <w:rFonts w:hint="eastAsia"/>
        </w:rPr>
        <w:t>︰</w:t>
      </w:r>
      <w:proofErr w:type="gramEnd"/>
      <w:r w:rsidRPr="0029481E">
        <w:rPr>
          <w:rFonts w:hint="eastAsia"/>
        </w:rPr>
        <w:t>一、關於機關內部之組織、事務之分配、業務處理方式、人事管理等一般性規定。二、為協助下級機關或屬官統一解釋法令、認定事實</w:t>
      </w:r>
      <w:r w:rsidR="003F207A" w:rsidRPr="0029481E">
        <w:rPr>
          <w:rFonts w:hint="eastAsia"/>
        </w:rPr>
        <w:t>、</w:t>
      </w:r>
      <w:r w:rsidRPr="0029481E">
        <w:rPr>
          <w:rFonts w:hint="eastAsia"/>
        </w:rPr>
        <w:t>及行使裁量權，而訂頒之解釋性規定及裁量基準。」</w:t>
      </w:r>
    </w:p>
    <w:p w:rsidR="007F563D" w:rsidRPr="0029481E" w:rsidRDefault="007F563D" w:rsidP="00F513E7">
      <w:pPr>
        <w:pStyle w:val="3"/>
      </w:pPr>
      <w:r w:rsidRPr="0029481E">
        <w:rPr>
          <w:rFonts w:hint="eastAsia"/>
        </w:rPr>
        <w:lastRenderedPageBreak/>
        <w:t>有關辦理他案應行注意事項之法律授權依據：</w:t>
      </w:r>
    </w:p>
    <w:p w:rsidR="007F563D" w:rsidRPr="0029481E" w:rsidRDefault="007F563D" w:rsidP="007F563D">
      <w:pPr>
        <w:pStyle w:val="4"/>
      </w:pPr>
      <w:r w:rsidRPr="0029481E">
        <w:rPr>
          <w:rFonts w:hint="eastAsia"/>
        </w:rPr>
        <w:t>按辦理他案應行注意事項第1點規定：「</w:t>
      </w:r>
      <w:r w:rsidRPr="0029481E">
        <w:rPr>
          <w:rFonts w:hint="eastAsia"/>
          <w:kern w:val="0"/>
        </w:rPr>
        <w:t>臺灣高等檢察署為期所屬各地方檢察署及其檢察分署妥適辦理</w:t>
      </w:r>
      <w:r w:rsidRPr="0029481E">
        <w:rPr>
          <w:rFonts w:hAnsi="標楷體" w:hint="eastAsia"/>
          <w:kern w:val="0"/>
        </w:rPr>
        <w:t>『</w:t>
      </w:r>
      <w:r w:rsidRPr="0029481E">
        <w:rPr>
          <w:rFonts w:hint="eastAsia"/>
          <w:kern w:val="0"/>
        </w:rPr>
        <w:t>他</w:t>
      </w:r>
      <w:r w:rsidRPr="0029481E">
        <w:rPr>
          <w:rFonts w:hAnsi="標楷體" w:hint="eastAsia"/>
          <w:kern w:val="0"/>
        </w:rPr>
        <w:t>』</w:t>
      </w:r>
      <w:r w:rsidRPr="0029481E">
        <w:rPr>
          <w:rFonts w:hint="eastAsia"/>
          <w:kern w:val="0"/>
        </w:rPr>
        <w:t>案，特訂定本注意事項。」又</w:t>
      </w:r>
      <w:r w:rsidRPr="0029481E">
        <w:rPr>
          <w:rFonts w:hAnsi="標楷體" w:cs="標楷體" w:hint="eastAsia"/>
        </w:rPr>
        <w:t>法務部訂頒之「檢察案件編號計數分</w:t>
      </w:r>
      <w:proofErr w:type="gramStart"/>
      <w:r w:rsidRPr="0029481E">
        <w:rPr>
          <w:rFonts w:hAnsi="標楷體" w:cs="標楷體" w:hint="eastAsia"/>
        </w:rPr>
        <w:t>案報結實施</w:t>
      </w:r>
      <w:proofErr w:type="gramEnd"/>
      <w:r w:rsidRPr="0029481E">
        <w:rPr>
          <w:rFonts w:hAnsi="標楷體" w:cs="標楷體" w:hint="eastAsia"/>
        </w:rPr>
        <w:t>要點</w:t>
      </w:r>
      <w:r w:rsidRPr="0029481E">
        <w:rPr>
          <w:rFonts w:hint="eastAsia"/>
        </w:rPr>
        <w:t>(下</w:t>
      </w:r>
      <w:proofErr w:type="gramStart"/>
      <w:r w:rsidRPr="0029481E">
        <w:rPr>
          <w:rFonts w:hint="eastAsia"/>
        </w:rPr>
        <w:t>稱分案報</w:t>
      </w:r>
      <w:proofErr w:type="gramEnd"/>
      <w:r w:rsidRPr="0029481E">
        <w:rPr>
          <w:rFonts w:hint="eastAsia"/>
        </w:rPr>
        <w:t>結要點)」第3點規定：「偵查階段案件，其卷宗號數，依案件之種類，於號數上冠以字樣如下：…</w:t>
      </w:r>
      <w:proofErr w:type="gramStart"/>
      <w:r w:rsidRPr="0029481E">
        <w:rPr>
          <w:rFonts w:hint="eastAsia"/>
        </w:rPr>
        <w:t>…</w:t>
      </w:r>
      <w:proofErr w:type="gramEnd"/>
      <w:r w:rsidRPr="0029481E">
        <w:rPr>
          <w:rFonts w:hint="eastAsia"/>
        </w:rPr>
        <w:t>（二）</w:t>
      </w:r>
      <w:r w:rsidRPr="0029481E">
        <w:rPr>
          <w:rFonts w:hAnsi="標楷體" w:cs="標楷體" w:hint="eastAsia"/>
        </w:rPr>
        <w:t>其他偵查案件：『他』。…</w:t>
      </w:r>
      <w:proofErr w:type="gramStart"/>
      <w:r w:rsidRPr="0029481E">
        <w:rPr>
          <w:rFonts w:hAnsi="標楷體" w:cs="標楷體" w:hint="eastAsia"/>
        </w:rPr>
        <w:t>…</w:t>
      </w:r>
      <w:proofErr w:type="gramEnd"/>
      <w:r w:rsidRPr="0029481E">
        <w:rPr>
          <w:rFonts w:hAnsi="標楷體" w:cs="標楷體" w:hint="eastAsia"/>
        </w:rPr>
        <w:t>」</w:t>
      </w:r>
    </w:p>
    <w:p w:rsidR="00F513E7" w:rsidRPr="0029481E" w:rsidRDefault="00F513E7" w:rsidP="00F513E7">
      <w:pPr>
        <w:pStyle w:val="4"/>
      </w:pPr>
      <w:r w:rsidRPr="0029481E">
        <w:rPr>
          <w:rFonts w:hint="eastAsia"/>
        </w:rPr>
        <w:tab/>
        <w:t>法務部為統一律定檢察機關分</w:t>
      </w:r>
      <w:proofErr w:type="gramStart"/>
      <w:r w:rsidRPr="0029481E">
        <w:rPr>
          <w:rFonts w:hint="eastAsia"/>
        </w:rPr>
        <w:t>案報結業務</w:t>
      </w:r>
      <w:proofErr w:type="gramEnd"/>
      <w:r w:rsidRPr="0029481E">
        <w:rPr>
          <w:rFonts w:hint="eastAsia"/>
        </w:rPr>
        <w:t>處理方式，頒定分</w:t>
      </w:r>
      <w:proofErr w:type="gramStart"/>
      <w:r w:rsidRPr="0029481E">
        <w:rPr>
          <w:rFonts w:hint="eastAsia"/>
        </w:rPr>
        <w:t>案報結要</w:t>
      </w:r>
      <w:proofErr w:type="gramEnd"/>
      <w:r w:rsidRPr="0029481E">
        <w:rPr>
          <w:rFonts w:hint="eastAsia"/>
        </w:rPr>
        <w:t>點，臺高檢署為期所屬各地方檢察署及檢察分署妥適辦理他案，依前述行政程序法及分</w:t>
      </w:r>
      <w:proofErr w:type="gramStart"/>
      <w:r w:rsidRPr="0029481E">
        <w:rPr>
          <w:rFonts w:hint="eastAsia"/>
        </w:rPr>
        <w:t>案報結要</w:t>
      </w:r>
      <w:proofErr w:type="gramEnd"/>
      <w:r w:rsidRPr="0029481E">
        <w:rPr>
          <w:rFonts w:hint="eastAsia"/>
        </w:rPr>
        <w:t>點規定，訂定辦理他案應行注意事項。</w:t>
      </w:r>
    </w:p>
    <w:p w:rsidR="00C515B1" w:rsidRPr="0029481E" w:rsidRDefault="00C515B1" w:rsidP="00F513E7">
      <w:pPr>
        <w:pStyle w:val="4"/>
      </w:pPr>
      <w:r w:rsidRPr="0029481E">
        <w:rPr>
          <w:rFonts w:hint="eastAsia"/>
        </w:rPr>
        <w:t>分</w:t>
      </w:r>
      <w:proofErr w:type="gramStart"/>
      <w:r w:rsidRPr="0029481E">
        <w:rPr>
          <w:rFonts w:hint="eastAsia"/>
        </w:rPr>
        <w:t>案報結要點</w:t>
      </w:r>
      <w:proofErr w:type="gramEnd"/>
      <w:r w:rsidRPr="0029481E">
        <w:rPr>
          <w:rFonts w:hint="eastAsia"/>
        </w:rPr>
        <w:t>及辦理他案應行注意事項性質係規範檢察機關內部</w:t>
      </w:r>
      <w:proofErr w:type="gramStart"/>
      <w:r w:rsidRPr="0029481E">
        <w:rPr>
          <w:rFonts w:hint="eastAsia"/>
        </w:rPr>
        <w:t>分案冠字</w:t>
      </w:r>
      <w:proofErr w:type="gramEnd"/>
      <w:r w:rsidRPr="0029481E">
        <w:rPr>
          <w:rFonts w:hint="eastAsia"/>
        </w:rPr>
        <w:t>號，屬行政機關內部事務分配之行政規則。</w:t>
      </w:r>
    </w:p>
    <w:p w:rsidR="004B435A" w:rsidRPr="0029481E" w:rsidRDefault="00F513E7" w:rsidP="004B435A">
      <w:pPr>
        <w:pStyle w:val="3"/>
      </w:pPr>
      <w:r w:rsidRPr="0029481E">
        <w:rPr>
          <w:rFonts w:hAnsi="標楷體" w:hint="eastAsia"/>
          <w:szCs w:val="32"/>
        </w:rPr>
        <w:t>辦理他案應行</w:t>
      </w:r>
      <w:r w:rsidRPr="0029481E">
        <w:rPr>
          <w:rFonts w:hint="eastAsia"/>
        </w:rPr>
        <w:t>注意事項</w:t>
      </w:r>
      <w:r w:rsidRPr="0029481E">
        <w:rPr>
          <w:rFonts w:hAnsi="標楷體" w:hint="eastAsia"/>
          <w:szCs w:val="32"/>
        </w:rPr>
        <w:t>係檢察機關之內部行政規則，</w:t>
      </w:r>
      <w:proofErr w:type="gramStart"/>
      <w:r w:rsidRPr="0029481E">
        <w:rPr>
          <w:rFonts w:hAnsi="標楷體" w:hint="eastAsia"/>
          <w:szCs w:val="32"/>
        </w:rPr>
        <w:t>惟查實務</w:t>
      </w:r>
      <w:proofErr w:type="gramEnd"/>
      <w:r w:rsidRPr="0029481E">
        <w:rPr>
          <w:rFonts w:hAnsi="標楷體" w:hint="eastAsia"/>
          <w:szCs w:val="32"/>
        </w:rPr>
        <w:t>上，分他案偵辦，究屬被告、犯罪嫌疑人、利害關係人或證人之身分屬性不明，影響渠等之訴訟權利甚鉅，</w:t>
      </w:r>
      <w:proofErr w:type="gramStart"/>
      <w:r w:rsidR="003E116C" w:rsidRPr="0029481E">
        <w:rPr>
          <w:rFonts w:hAnsi="標楷體" w:hint="eastAsia"/>
          <w:szCs w:val="32"/>
        </w:rPr>
        <w:t>允宜依</w:t>
      </w:r>
      <w:r w:rsidRPr="0029481E">
        <w:rPr>
          <w:rFonts w:hAnsi="標楷體" w:hint="eastAsia"/>
          <w:szCs w:val="32"/>
        </w:rPr>
        <w:t>憲</w:t>
      </w:r>
      <w:proofErr w:type="gramEnd"/>
      <w:r w:rsidRPr="0029481E">
        <w:rPr>
          <w:rFonts w:hAnsi="標楷體" w:hint="eastAsia"/>
          <w:szCs w:val="32"/>
        </w:rPr>
        <w:t>法第23條法律保留</w:t>
      </w:r>
      <w:r w:rsidR="003E116C" w:rsidRPr="0029481E">
        <w:rPr>
          <w:rFonts w:hAnsi="標楷體" w:hint="eastAsia"/>
          <w:szCs w:val="32"/>
        </w:rPr>
        <w:t>原則，予以改善</w:t>
      </w:r>
      <w:r w:rsidR="00C515B1" w:rsidRPr="0029481E">
        <w:rPr>
          <w:rFonts w:hAnsi="標楷體" w:hint="eastAsia"/>
          <w:szCs w:val="32"/>
        </w:rPr>
        <w:t>。</w:t>
      </w:r>
    </w:p>
    <w:p w:rsidR="006A2043" w:rsidRPr="0029481E" w:rsidRDefault="00E80D64" w:rsidP="004B435A">
      <w:pPr>
        <w:pStyle w:val="4"/>
      </w:pPr>
      <w:r w:rsidRPr="0029481E">
        <w:rPr>
          <w:rFonts w:hint="eastAsia"/>
        </w:rPr>
        <w:t>按辦理他案應行注意事項第</w:t>
      </w:r>
      <w:r w:rsidRPr="0029481E">
        <w:t>2</w:t>
      </w:r>
      <w:r w:rsidRPr="0029481E">
        <w:rPr>
          <w:rFonts w:hint="eastAsia"/>
        </w:rPr>
        <w:t>點規定：「各地方檢察署及其檢察分署受理之案件有下列各款情形之</w:t>
      </w:r>
      <w:proofErr w:type="gramStart"/>
      <w:r w:rsidRPr="0029481E">
        <w:rPr>
          <w:rFonts w:hint="eastAsia"/>
        </w:rPr>
        <w:t>一</w:t>
      </w:r>
      <w:proofErr w:type="gramEnd"/>
      <w:r w:rsidRPr="0029481E">
        <w:rPr>
          <w:rFonts w:hint="eastAsia"/>
        </w:rPr>
        <w:t>者，得分</w:t>
      </w:r>
      <w:r w:rsidR="003A6AC1" w:rsidRPr="0029481E">
        <w:rPr>
          <w:rFonts w:hAnsi="標楷體" w:hint="eastAsia"/>
        </w:rPr>
        <w:t>『</w:t>
      </w:r>
      <w:r w:rsidR="003A6AC1" w:rsidRPr="0029481E">
        <w:rPr>
          <w:rFonts w:hint="eastAsia"/>
        </w:rPr>
        <w:t>他</w:t>
      </w:r>
      <w:r w:rsidR="003A6AC1" w:rsidRPr="0029481E">
        <w:rPr>
          <w:rFonts w:hAnsi="標楷體" w:hint="eastAsia"/>
        </w:rPr>
        <w:t>』</w:t>
      </w:r>
      <w:r w:rsidRPr="0029481E">
        <w:rPr>
          <w:rFonts w:hint="eastAsia"/>
        </w:rPr>
        <w:t>案辦理：</w:t>
      </w:r>
      <w:r w:rsidR="003A6AC1" w:rsidRPr="0029481E">
        <w:rPr>
          <w:rFonts w:hint="eastAsia"/>
        </w:rPr>
        <w:t>（一）告訴、告發之案件，告訴人或告發人是否確有其人或其告訴、告發之事實，是否涉及特定人有犯罪嫌疑，尚不明瞭。（二）機關團體以公文移送或上級檢察官命為調查之案件，依其移送意旨，是否涉及特定人有犯罪嫌疑，尚不明瞭。（三）司法警察機關聲請核發搜索票之</w:t>
      </w:r>
      <w:r w:rsidR="003A6AC1" w:rsidRPr="0029481E">
        <w:rPr>
          <w:rFonts w:hAnsi="標楷體" w:hint="eastAsia"/>
        </w:rPr>
        <w:t>『</w:t>
      </w:r>
      <w:r w:rsidR="003A6AC1" w:rsidRPr="0029481E">
        <w:rPr>
          <w:rFonts w:hint="eastAsia"/>
        </w:rPr>
        <w:t>聲</w:t>
      </w:r>
      <w:r w:rsidR="003A6AC1" w:rsidRPr="0029481E">
        <w:rPr>
          <w:rFonts w:hAnsi="標楷體" w:hint="eastAsia"/>
        </w:rPr>
        <w:t>』</w:t>
      </w:r>
      <w:r w:rsidR="003A6AC1" w:rsidRPr="0029481E">
        <w:rPr>
          <w:rFonts w:hint="eastAsia"/>
        </w:rPr>
        <w:t>字案件，實施搜索後，是否</w:t>
      </w:r>
      <w:r w:rsidR="003A6AC1" w:rsidRPr="0029481E">
        <w:rPr>
          <w:rFonts w:hint="eastAsia"/>
        </w:rPr>
        <w:lastRenderedPageBreak/>
        <w:t>涉及特定人犯罪尚不明瞭，而認有分案調查之必要。（四）依據報章雜誌等有關犯罪事實之報導，對是否涉及特定人有犯罪嫌疑尚不明瞭，認有先分案調查之必要。（五）再議案件經發還補正。（六）原案終結後，尚須指揮司法警察帶同羈押被告追查共犯、贓物。（七）檢察官偵查案件發現有其他犯罪事實尚待追查。（八）外縣市司法警察持各地方檢察署或其檢察分署公文聲請將</w:t>
      </w:r>
      <w:proofErr w:type="gramStart"/>
      <w:r w:rsidR="003A6AC1" w:rsidRPr="0029481E">
        <w:rPr>
          <w:rFonts w:hint="eastAsia"/>
        </w:rPr>
        <w:t>被告寄押看守所</w:t>
      </w:r>
      <w:proofErr w:type="gramEnd"/>
      <w:r w:rsidR="003A6AC1" w:rsidRPr="0029481E">
        <w:rPr>
          <w:rFonts w:hint="eastAsia"/>
        </w:rPr>
        <w:t>。（九）司法警察持文件聲請至看守所訊問被告。（十）司法警察聲請簽發拘票未經核准。（十一）司法警察機關聲請指派檢察官指揮偵查。（十二）對公務員依法執行公務不服而申告，依其所述事實及檢附相關事證，是否涉及刑責尚不明瞭。（十三）經常提出申告之人，所告案件</w:t>
      </w:r>
      <w:proofErr w:type="gramStart"/>
      <w:r w:rsidR="003A6AC1" w:rsidRPr="0029481E">
        <w:rPr>
          <w:rFonts w:hint="eastAsia"/>
        </w:rPr>
        <w:t>均查非</w:t>
      </w:r>
      <w:proofErr w:type="gramEnd"/>
      <w:r w:rsidR="003A6AC1" w:rsidRPr="0029481E">
        <w:rPr>
          <w:rFonts w:hint="eastAsia"/>
        </w:rPr>
        <w:t>事實或已判決無罪或不起訴處分確定，復再申告。</w:t>
      </w:r>
      <w:r w:rsidR="003A6AC1" w:rsidRPr="0029481E">
        <w:rPr>
          <w:rFonts w:hint="eastAsia"/>
          <w:kern w:val="0"/>
        </w:rPr>
        <w:t>（十四）其他依</w:t>
      </w:r>
      <w:r w:rsidR="00750147" w:rsidRPr="0029481E">
        <w:rPr>
          <w:rFonts w:hAnsi="標楷體" w:hint="eastAsia"/>
        </w:rPr>
        <w:t>『</w:t>
      </w:r>
      <w:r w:rsidR="00750147" w:rsidRPr="0029481E">
        <w:rPr>
          <w:rFonts w:hint="eastAsia"/>
          <w:kern w:val="0"/>
        </w:rPr>
        <w:t>檢察案件編號計數分</w:t>
      </w:r>
      <w:proofErr w:type="gramStart"/>
      <w:r w:rsidR="00750147" w:rsidRPr="0029481E">
        <w:rPr>
          <w:rFonts w:hint="eastAsia"/>
          <w:kern w:val="0"/>
        </w:rPr>
        <w:t>案報結實施</w:t>
      </w:r>
      <w:proofErr w:type="gramEnd"/>
      <w:r w:rsidR="00750147" w:rsidRPr="0029481E">
        <w:rPr>
          <w:rFonts w:hint="eastAsia"/>
          <w:kern w:val="0"/>
        </w:rPr>
        <w:t>要點</w:t>
      </w:r>
      <w:r w:rsidR="00750147" w:rsidRPr="0029481E">
        <w:rPr>
          <w:rFonts w:hAnsi="標楷體" w:hint="eastAsia"/>
        </w:rPr>
        <w:t>』</w:t>
      </w:r>
      <w:r w:rsidR="003A6AC1" w:rsidRPr="0029481E">
        <w:rPr>
          <w:rFonts w:hint="eastAsia"/>
          <w:kern w:val="0"/>
        </w:rPr>
        <w:t>第3點第2款規定，有分案調查、審核、處理之必要。」</w:t>
      </w:r>
    </w:p>
    <w:p w:rsidR="00E80D64" w:rsidRPr="0029481E" w:rsidRDefault="006A2043" w:rsidP="004B435A">
      <w:pPr>
        <w:pStyle w:val="4"/>
      </w:pPr>
      <w:r w:rsidRPr="0029481E">
        <w:rPr>
          <w:rFonts w:hint="eastAsia"/>
          <w:kern w:val="0"/>
        </w:rPr>
        <w:t>是則，涉案</w:t>
      </w:r>
      <w:r w:rsidRPr="0029481E">
        <w:rPr>
          <w:rFonts w:hint="eastAsia"/>
        </w:rPr>
        <w:t>之犯罪事實不明瞭，是否涉及特定人有犯罪嫌疑，亦不明瞭，檢察機關分他案辦理。</w:t>
      </w:r>
      <w:proofErr w:type="gramStart"/>
      <w:r w:rsidRPr="0029481E">
        <w:rPr>
          <w:rFonts w:hAnsi="標楷體" w:hint="eastAsia"/>
          <w:szCs w:val="32"/>
        </w:rPr>
        <w:t>惟</w:t>
      </w:r>
      <w:proofErr w:type="gramEnd"/>
      <w:r w:rsidRPr="0029481E">
        <w:rPr>
          <w:rFonts w:hAnsi="標楷體" w:hint="eastAsia"/>
          <w:szCs w:val="32"/>
        </w:rPr>
        <w:t>實務上，分他案偵辦，究屬被告、犯罪嫌疑人、利害關係人或證人之身分屬性不明，影響人民之訴訟權利甚鉅，</w:t>
      </w:r>
      <w:r w:rsidR="00FC2203" w:rsidRPr="0029481E">
        <w:rPr>
          <w:rFonts w:hAnsi="標楷體" w:hint="eastAsia"/>
          <w:szCs w:val="32"/>
        </w:rPr>
        <w:t>例如，被告與證人之法律身分截然不同，被告有不自證己罪、保持緘默及不負真實</w:t>
      </w:r>
      <w:r w:rsidR="00CD1E96">
        <w:rPr>
          <w:rFonts w:hAnsi="標楷體" w:hint="eastAsia"/>
          <w:szCs w:val="32"/>
        </w:rPr>
        <w:t>權利</w:t>
      </w:r>
      <w:r w:rsidR="00FC2203" w:rsidRPr="0029481E">
        <w:rPr>
          <w:rFonts w:hAnsi="標楷體" w:hint="eastAsia"/>
          <w:szCs w:val="32"/>
        </w:rPr>
        <w:t>，惟證人有到場義務、陳述義務及真實義務。又如，在偵查中，究竟是被告或證人之特定身分</w:t>
      </w:r>
      <w:r w:rsidR="00D04155" w:rsidRPr="0029481E">
        <w:rPr>
          <w:rFonts w:hAnsi="標楷體" w:hint="eastAsia"/>
          <w:szCs w:val="32"/>
        </w:rPr>
        <w:t>，尚不明瞭、不具備，以「關係人」之身分</w:t>
      </w:r>
      <w:r w:rsidR="00BD1499" w:rsidRPr="0029481E">
        <w:rPr>
          <w:rFonts w:hAnsi="標楷體" w:hint="eastAsia"/>
          <w:szCs w:val="32"/>
        </w:rPr>
        <w:t>，予以</w:t>
      </w:r>
      <w:r w:rsidR="00D04155" w:rsidRPr="0029481E">
        <w:rPr>
          <w:rFonts w:hAnsi="標楷體" w:hint="eastAsia"/>
          <w:szCs w:val="32"/>
        </w:rPr>
        <w:t>通知</w:t>
      </w:r>
      <w:r w:rsidR="00BD1499" w:rsidRPr="0029481E">
        <w:rPr>
          <w:rFonts w:hAnsi="標楷體" w:hint="eastAsia"/>
          <w:szCs w:val="32"/>
        </w:rPr>
        <w:t>，</w:t>
      </w:r>
      <w:r w:rsidR="00884CF8" w:rsidRPr="0029481E">
        <w:rPr>
          <w:rFonts w:hAnsi="標楷體" w:hint="eastAsia"/>
          <w:szCs w:val="32"/>
        </w:rPr>
        <w:t>倘日後發現「關係人」涉嫌犯罪之事實，身分轉變成被告，均影響人民之訴訟權利</w:t>
      </w:r>
      <w:r w:rsidRPr="0029481E">
        <w:rPr>
          <w:rFonts w:hAnsi="標楷體" w:hint="eastAsia"/>
          <w:szCs w:val="32"/>
        </w:rPr>
        <w:t>。</w:t>
      </w:r>
    </w:p>
    <w:p w:rsidR="006B6C2D" w:rsidRPr="0029481E" w:rsidRDefault="00E80D64" w:rsidP="00F513E7">
      <w:pPr>
        <w:pStyle w:val="4"/>
      </w:pPr>
      <w:r w:rsidRPr="0029481E">
        <w:rPr>
          <w:rFonts w:hint="eastAsia"/>
        </w:rPr>
        <w:t>本院詢問法務部稱，</w:t>
      </w:r>
      <w:proofErr w:type="gramStart"/>
      <w:r w:rsidRPr="0029481E">
        <w:rPr>
          <w:rFonts w:hint="eastAsia"/>
        </w:rPr>
        <w:t>偵</w:t>
      </w:r>
      <w:proofErr w:type="gramEnd"/>
      <w:r w:rsidRPr="0029481E">
        <w:rPr>
          <w:rFonts w:hint="eastAsia"/>
        </w:rPr>
        <w:t>案、他案都要依刑事訴訟</w:t>
      </w:r>
      <w:r w:rsidRPr="0029481E">
        <w:rPr>
          <w:rFonts w:hint="eastAsia"/>
        </w:rPr>
        <w:lastRenderedPageBreak/>
        <w:t>法的規定偵辦，事實上</w:t>
      </w:r>
      <w:r w:rsidR="00CD1E96">
        <w:rPr>
          <w:rFonts w:hint="eastAsia"/>
        </w:rPr>
        <w:t>他</w:t>
      </w:r>
      <w:r w:rsidRPr="0029481E">
        <w:rPr>
          <w:rFonts w:hint="eastAsia"/>
        </w:rPr>
        <w:t>案有存在的必要。辦理他案應行注意事項雖無法律授權，但對外皆依刑事訴訟法偵辦。又按辦理他案應行注意事項非法規命令，是行政規則。人民權益要有法律保留，已訂「刑事訴訟法第261條之1、第262條」及「刑事訴訟法施行法第7條之○○」建議修正草案。</w:t>
      </w:r>
    </w:p>
    <w:p w:rsidR="00884CF8" w:rsidRPr="0029481E" w:rsidRDefault="00884CF8" w:rsidP="00884CF8">
      <w:pPr>
        <w:pStyle w:val="3"/>
      </w:pPr>
      <w:r w:rsidRPr="0029481E">
        <w:rPr>
          <w:rFonts w:hint="eastAsia"/>
        </w:rPr>
        <w:t>綜上，辦理他案應行注意事項係檢察機關之內部行政規則，並無法律授權，</w:t>
      </w:r>
      <w:r w:rsidR="005736A8" w:rsidRPr="0029481E">
        <w:rPr>
          <w:rFonts w:hint="eastAsia"/>
        </w:rPr>
        <w:t>且</w:t>
      </w:r>
      <w:r w:rsidR="005736A8" w:rsidRPr="0029481E">
        <w:rPr>
          <w:rFonts w:hAnsi="標楷體" w:hint="eastAsia"/>
          <w:szCs w:val="32"/>
        </w:rPr>
        <w:t>刑事訴訟法及其他相關法律亦無「他字」案之規定，</w:t>
      </w:r>
      <w:r w:rsidRPr="0029481E">
        <w:rPr>
          <w:rFonts w:hint="eastAsia"/>
        </w:rPr>
        <w:t>惟實務上，分他案偵辦，究屬被告、犯罪嫌疑人、利害關係人或證人之身分屬性不明，影響</w:t>
      </w:r>
      <w:r w:rsidR="00755DD2" w:rsidRPr="0029481E">
        <w:rPr>
          <w:rFonts w:hint="eastAsia"/>
        </w:rPr>
        <w:t>人民</w:t>
      </w:r>
      <w:r w:rsidRPr="0029481E">
        <w:rPr>
          <w:rFonts w:hint="eastAsia"/>
        </w:rPr>
        <w:t>之訴訟權利甚</w:t>
      </w:r>
      <w:proofErr w:type="gramStart"/>
      <w:r w:rsidRPr="0029481E">
        <w:rPr>
          <w:rFonts w:hint="eastAsia"/>
        </w:rPr>
        <w:t>鉅</w:t>
      </w:r>
      <w:proofErr w:type="gramEnd"/>
      <w:r w:rsidRPr="0029481E">
        <w:rPr>
          <w:rFonts w:hint="eastAsia"/>
        </w:rPr>
        <w:t>，</w:t>
      </w:r>
      <w:r w:rsidR="00755DD2" w:rsidRPr="0029481E">
        <w:rPr>
          <w:rFonts w:hint="eastAsia"/>
        </w:rPr>
        <w:t>而有關人民之權益事項，應有法律保留原則之適用，法務部</w:t>
      </w:r>
      <w:proofErr w:type="gramStart"/>
      <w:r w:rsidR="00BF48D2" w:rsidRPr="0029481E">
        <w:rPr>
          <w:rFonts w:hint="eastAsia"/>
        </w:rPr>
        <w:t>允宜依憲</w:t>
      </w:r>
      <w:proofErr w:type="gramEnd"/>
      <w:r w:rsidR="00BF48D2" w:rsidRPr="0029481E">
        <w:rPr>
          <w:rFonts w:hint="eastAsia"/>
        </w:rPr>
        <w:t>法第23條法律保留原則，予以改善，</w:t>
      </w:r>
      <w:proofErr w:type="gramStart"/>
      <w:r w:rsidR="00BF48D2" w:rsidRPr="0029481E">
        <w:rPr>
          <w:rFonts w:hint="eastAsia"/>
        </w:rPr>
        <w:t>該部</w:t>
      </w:r>
      <w:r w:rsidR="00755DD2" w:rsidRPr="0029481E">
        <w:rPr>
          <w:rFonts w:hint="eastAsia"/>
        </w:rPr>
        <w:t>已</w:t>
      </w:r>
      <w:proofErr w:type="gramEnd"/>
      <w:r w:rsidR="00755DD2" w:rsidRPr="0029481E">
        <w:rPr>
          <w:rFonts w:hint="eastAsia"/>
        </w:rPr>
        <w:t>訂「刑事訴訟法第261條之1、第262條」及「刑事訴訟法施行法第7條之○○」建議修正草案，以保障人民的訴訟權益。</w:t>
      </w:r>
    </w:p>
    <w:p w:rsidR="00F513E7" w:rsidRPr="0029481E" w:rsidRDefault="00230FAE" w:rsidP="008E53FC">
      <w:pPr>
        <w:pStyle w:val="2"/>
        <w:rPr>
          <w:b/>
        </w:rPr>
      </w:pPr>
      <w:r w:rsidRPr="0029481E">
        <w:rPr>
          <w:rFonts w:hint="eastAsia"/>
          <w:b/>
        </w:rPr>
        <w:t>按辦理他案應行注意事項第2點第1款規定，各地方檢察署及其檢察分署受理之案件，告訴、告發之案件，告訴人或告發人是否確有其人或其告訴、告發之事實，是否涉及特定人有犯罪嫌疑，尚不明瞭，得分他案辦理。</w:t>
      </w:r>
      <w:proofErr w:type="gramStart"/>
      <w:r w:rsidRPr="0029481E">
        <w:rPr>
          <w:rFonts w:hint="eastAsia"/>
          <w:b/>
        </w:rPr>
        <w:t>惟</w:t>
      </w:r>
      <w:proofErr w:type="gramEnd"/>
      <w:r w:rsidRPr="0029481E">
        <w:rPr>
          <w:rFonts w:hint="eastAsia"/>
          <w:b/>
        </w:rPr>
        <w:t>實務上，許多由律師擔任告訴代理人提出告訴之案件，</w:t>
      </w:r>
      <w:proofErr w:type="gramStart"/>
      <w:r w:rsidRPr="0029481E">
        <w:rPr>
          <w:rFonts w:hint="eastAsia"/>
          <w:b/>
        </w:rPr>
        <w:t>已詳</w:t>
      </w:r>
      <w:proofErr w:type="gramEnd"/>
      <w:r w:rsidRPr="0029481E">
        <w:rPr>
          <w:rFonts w:hint="eastAsia"/>
          <w:b/>
        </w:rPr>
        <w:t>載告訴人與被告之年籍資料、犯罪事實證據與所犯法條，仍先分他案辦理，影響</w:t>
      </w:r>
      <w:r w:rsidR="00492F58" w:rsidRPr="0029481E">
        <w:rPr>
          <w:rFonts w:hint="eastAsia"/>
          <w:b/>
        </w:rPr>
        <w:t>告訴人</w:t>
      </w:r>
      <w:r w:rsidRPr="0029481E">
        <w:rPr>
          <w:rFonts w:hint="eastAsia"/>
          <w:b/>
        </w:rPr>
        <w:t>之訴訟權利</w:t>
      </w:r>
      <w:r w:rsidR="0075218C" w:rsidRPr="0029481E">
        <w:rPr>
          <w:rFonts w:hint="eastAsia"/>
          <w:b/>
        </w:rPr>
        <w:t>，應予</w:t>
      </w:r>
      <w:r w:rsidR="009C38E5" w:rsidRPr="0029481E">
        <w:rPr>
          <w:rFonts w:hint="eastAsia"/>
          <w:b/>
        </w:rPr>
        <w:t>檢討</w:t>
      </w:r>
      <w:r w:rsidR="0075218C" w:rsidRPr="0029481E">
        <w:rPr>
          <w:rFonts w:hint="eastAsia"/>
          <w:b/>
        </w:rPr>
        <w:t>改善</w:t>
      </w:r>
      <w:r w:rsidRPr="0029481E">
        <w:rPr>
          <w:rFonts w:hint="eastAsia"/>
          <w:b/>
        </w:rPr>
        <w:t>。</w:t>
      </w:r>
    </w:p>
    <w:p w:rsidR="0075218C" w:rsidRPr="0029481E" w:rsidRDefault="0075218C" w:rsidP="0075218C">
      <w:pPr>
        <w:pStyle w:val="3"/>
      </w:pPr>
      <w:r w:rsidRPr="0029481E">
        <w:rPr>
          <w:rFonts w:hint="eastAsia"/>
        </w:rPr>
        <w:t>按辦理他案應行注意事項第2點規定：「各地方檢察署及其檢察分署受理之案件有下列各款情形之</w:t>
      </w:r>
      <w:proofErr w:type="gramStart"/>
      <w:r w:rsidRPr="0029481E">
        <w:rPr>
          <w:rFonts w:hint="eastAsia"/>
        </w:rPr>
        <w:t>一</w:t>
      </w:r>
      <w:proofErr w:type="gramEnd"/>
      <w:r w:rsidRPr="0029481E">
        <w:rPr>
          <w:rFonts w:hint="eastAsia"/>
        </w:rPr>
        <w:t>者，得分</w:t>
      </w:r>
      <w:r w:rsidRPr="0029481E">
        <w:rPr>
          <w:rFonts w:hAnsi="標楷體" w:hint="eastAsia"/>
        </w:rPr>
        <w:t>『</w:t>
      </w:r>
      <w:r w:rsidRPr="0029481E">
        <w:rPr>
          <w:rFonts w:hint="eastAsia"/>
        </w:rPr>
        <w:t>他</w:t>
      </w:r>
      <w:r w:rsidRPr="0029481E">
        <w:rPr>
          <w:rFonts w:hAnsi="標楷體" w:hint="eastAsia"/>
        </w:rPr>
        <w:t>』</w:t>
      </w:r>
      <w:r w:rsidRPr="0029481E">
        <w:rPr>
          <w:rFonts w:hint="eastAsia"/>
        </w:rPr>
        <w:t>案辦理：（一）告訴、告發之案件，告訴人或告發人是否確有其人或其告訴、告發之事實，是否涉及特定人有犯罪嫌疑，尚不明瞭。」</w:t>
      </w:r>
    </w:p>
    <w:p w:rsidR="000573D2" w:rsidRPr="0029481E" w:rsidRDefault="000573D2" w:rsidP="000573D2">
      <w:pPr>
        <w:pStyle w:val="3"/>
        <w:rPr>
          <w:rFonts w:hAnsi="標楷體"/>
          <w:szCs w:val="32"/>
        </w:rPr>
      </w:pPr>
      <w:r w:rsidRPr="0029481E">
        <w:rPr>
          <w:rFonts w:hAnsi="標楷體" w:hint="eastAsia"/>
          <w:szCs w:val="32"/>
        </w:rPr>
        <w:t>由司法警察機關移送各地方檢察署及其檢察分署受</w:t>
      </w:r>
      <w:r w:rsidRPr="0029481E">
        <w:rPr>
          <w:rFonts w:hAnsi="標楷體" w:hint="eastAsia"/>
          <w:szCs w:val="32"/>
        </w:rPr>
        <w:lastRenderedPageBreak/>
        <w:t>理之案件，係分他案或</w:t>
      </w:r>
      <w:proofErr w:type="gramStart"/>
      <w:r w:rsidRPr="0029481E">
        <w:rPr>
          <w:rFonts w:hAnsi="標楷體" w:hint="eastAsia"/>
          <w:szCs w:val="32"/>
        </w:rPr>
        <w:t>偵</w:t>
      </w:r>
      <w:proofErr w:type="gramEnd"/>
      <w:r w:rsidRPr="0029481E">
        <w:rPr>
          <w:rFonts w:hAnsi="標楷體" w:hint="eastAsia"/>
          <w:szCs w:val="32"/>
        </w:rPr>
        <w:t>案辦理之理由：</w:t>
      </w:r>
    </w:p>
    <w:p w:rsidR="000573D2" w:rsidRPr="0029481E" w:rsidRDefault="000573D2" w:rsidP="008266E4">
      <w:pPr>
        <w:pStyle w:val="4"/>
      </w:pPr>
      <w:r w:rsidRPr="0029481E">
        <w:rPr>
          <w:rFonts w:hint="eastAsia"/>
        </w:rPr>
        <w:t>司法警察官、司法警察知有犯罪嫌疑，應即開始調查，並將調查之結果</w:t>
      </w:r>
      <w:r w:rsidR="004C4849" w:rsidRPr="0029481E">
        <w:rPr>
          <w:rFonts w:hint="eastAsia"/>
        </w:rPr>
        <w:t>，</w:t>
      </w:r>
      <w:r w:rsidRPr="0029481E">
        <w:rPr>
          <w:rFonts w:hint="eastAsia"/>
        </w:rPr>
        <w:t>移送、報告該管檢察官，刑事訴訟法第229條第2項、第230條第2項及第231條第2項分別定有明文。</w:t>
      </w:r>
    </w:p>
    <w:p w:rsidR="000573D2" w:rsidRPr="0029481E" w:rsidRDefault="000573D2" w:rsidP="008266E4">
      <w:pPr>
        <w:pStyle w:val="4"/>
      </w:pPr>
      <w:r w:rsidRPr="0029481E">
        <w:rPr>
          <w:rFonts w:hint="eastAsia"/>
        </w:rPr>
        <w:t>司法警察機關依刑事訴訟法有刑事調查權，其調查後依法將調查結果</w:t>
      </w:r>
      <w:r w:rsidR="004C4849" w:rsidRPr="0029481E">
        <w:rPr>
          <w:rFonts w:hint="eastAsia"/>
        </w:rPr>
        <w:t>，</w:t>
      </w:r>
      <w:r w:rsidRPr="0029481E">
        <w:rPr>
          <w:rFonts w:hint="eastAsia"/>
        </w:rPr>
        <w:t>移送、報告該管檢察官，倘被告及涉嫌</w:t>
      </w:r>
      <w:proofErr w:type="gramStart"/>
      <w:r w:rsidRPr="0029481E">
        <w:rPr>
          <w:rFonts w:hint="eastAsia"/>
        </w:rPr>
        <w:t>事實均已特定</w:t>
      </w:r>
      <w:proofErr w:type="gramEnd"/>
      <w:r w:rsidRPr="0029481E">
        <w:rPr>
          <w:rFonts w:hint="eastAsia"/>
        </w:rPr>
        <w:t>，依前開說明，分「偵」字案件。</w:t>
      </w:r>
    </w:p>
    <w:p w:rsidR="008B5BF5" w:rsidRPr="0029481E" w:rsidRDefault="008B5BF5" w:rsidP="000573D2">
      <w:pPr>
        <w:pStyle w:val="3"/>
      </w:pPr>
      <w:r w:rsidRPr="0029481E">
        <w:rPr>
          <w:rFonts w:hAnsi="標楷體" w:hint="eastAsia"/>
          <w:szCs w:val="32"/>
        </w:rPr>
        <w:t>有關告訴人告發案件與司法警察機關移送案件之比較，</w:t>
      </w:r>
      <w:r w:rsidRPr="0029481E">
        <w:rPr>
          <w:rFonts w:hAnsi="標楷體" w:hint="eastAsia"/>
          <w:kern w:val="0"/>
          <w:szCs w:val="32"/>
        </w:rPr>
        <w:t>如</w:t>
      </w:r>
      <w:r w:rsidRPr="0029481E">
        <w:rPr>
          <w:rFonts w:hAnsi="標楷體" w:hint="eastAsia"/>
          <w:szCs w:val="32"/>
        </w:rPr>
        <w:t>「</w:t>
      </w:r>
      <w:r w:rsidRPr="0029481E">
        <w:rPr>
          <w:rFonts w:hAnsi="標楷體" w:hint="eastAsia"/>
          <w:kern w:val="0"/>
          <w:szCs w:val="32"/>
        </w:rPr>
        <w:t>告訴人告發案件與司法警察機關移送案件之比較表」</w:t>
      </w:r>
      <w:r w:rsidRPr="0029481E">
        <w:rPr>
          <w:rFonts w:hAnsi="標楷體" w:hint="eastAsia"/>
          <w:szCs w:val="32"/>
        </w:rPr>
        <w:t>。</w:t>
      </w:r>
    </w:p>
    <w:p w:rsidR="005B133A" w:rsidRPr="0029481E" w:rsidRDefault="005B133A">
      <w:pPr>
        <w:widowControl/>
        <w:overflowPunct/>
        <w:autoSpaceDE/>
        <w:autoSpaceDN/>
        <w:jc w:val="left"/>
        <w:rPr>
          <w:rFonts w:hAnsi="標楷體"/>
          <w:kern w:val="32"/>
          <w:szCs w:val="32"/>
        </w:rPr>
      </w:pPr>
      <w:r w:rsidRPr="0029481E">
        <w:rPr>
          <w:rFonts w:hAnsi="標楷體"/>
          <w:szCs w:val="32"/>
        </w:rPr>
        <w:br w:type="page"/>
      </w:r>
    </w:p>
    <w:p w:rsidR="008B5BF5" w:rsidRPr="0029481E" w:rsidRDefault="008B5BF5" w:rsidP="008B5BF5">
      <w:pPr>
        <w:pStyle w:val="41"/>
        <w:ind w:leftChars="-42" w:left="1275" w:right="55" w:hangingChars="417" w:hanging="1418"/>
      </w:pPr>
      <w:r w:rsidRPr="0029481E">
        <w:rPr>
          <w:rFonts w:hAnsi="標楷體" w:hint="eastAsia"/>
          <w:szCs w:val="32"/>
        </w:rPr>
        <w:lastRenderedPageBreak/>
        <w:t>告訴人告發案件與司法警察機關移送案件之比較表</w:t>
      </w:r>
      <w:r w:rsidRPr="0029481E">
        <w:rPr>
          <w:rFonts w:hAnsi="標楷體" w:hint="eastAsia"/>
          <w:sz w:val="20"/>
        </w:rPr>
        <w:t>（111年1-12月）</w:t>
      </w:r>
    </w:p>
    <w:tbl>
      <w:tblPr>
        <w:tblStyle w:val="af6"/>
        <w:tblW w:w="10207" w:type="dxa"/>
        <w:tblInd w:w="-572" w:type="dxa"/>
        <w:tblLook w:val="04A0" w:firstRow="1" w:lastRow="0" w:firstColumn="1" w:lastColumn="0" w:noHBand="0" w:noVBand="1"/>
      </w:tblPr>
      <w:tblGrid>
        <w:gridCol w:w="1418"/>
        <w:gridCol w:w="1417"/>
        <w:gridCol w:w="1560"/>
        <w:gridCol w:w="1559"/>
        <w:gridCol w:w="1417"/>
        <w:gridCol w:w="1418"/>
        <w:gridCol w:w="1418"/>
      </w:tblGrid>
      <w:tr w:rsidR="00B0168D" w:rsidRPr="0029481E" w:rsidTr="008B5BF5">
        <w:tc>
          <w:tcPr>
            <w:tcW w:w="1418" w:type="dxa"/>
            <w:vMerge w:val="restart"/>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r w:rsidRPr="0029481E">
              <w:rPr>
                <w:rFonts w:hAnsi="標楷體" w:hint="eastAsia"/>
                <w:sz w:val="20"/>
              </w:rPr>
              <w:t>各地方檢察署及其檢察分署</w:t>
            </w:r>
          </w:p>
        </w:tc>
        <w:tc>
          <w:tcPr>
            <w:tcW w:w="4536" w:type="dxa"/>
            <w:gridSpan w:val="3"/>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kern w:val="0"/>
                <w:sz w:val="20"/>
              </w:rPr>
              <w:t>告訴人告發案件</w:t>
            </w:r>
          </w:p>
        </w:tc>
        <w:tc>
          <w:tcPr>
            <w:tcW w:w="4253" w:type="dxa"/>
            <w:gridSpan w:val="3"/>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kern w:val="0"/>
                <w:sz w:val="20"/>
              </w:rPr>
              <w:t>司法警察機關移送件案件</w:t>
            </w:r>
          </w:p>
        </w:tc>
      </w:tr>
      <w:tr w:rsidR="00B0168D" w:rsidRPr="0029481E" w:rsidTr="008B5BF5">
        <w:trPr>
          <w:trHeight w:val="9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widowControl/>
              <w:overflowPunct/>
              <w:autoSpaceDE/>
              <w:autoSpaceDN/>
              <w:spacing w:line="380" w:lineRule="exact"/>
              <w:jc w:val="left"/>
              <w:rPr>
                <w:rFonts w:hAnsi="標楷體"/>
                <w:sz w:val="20"/>
              </w:rPr>
            </w:pP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r w:rsidRPr="0029481E">
              <w:rPr>
                <w:rFonts w:hAnsi="標楷體" w:hint="eastAsia"/>
                <w:kern w:val="0"/>
                <w:sz w:val="20"/>
              </w:rPr>
              <w:t>他案之</w:t>
            </w:r>
            <w:r w:rsidRPr="0029481E">
              <w:rPr>
                <w:rFonts w:hAnsi="標楷體" w:hint="eastAsia"/>
                <w:sz w:val="20"/>
              </w:rPr>
              <w:t>件數</w:t>
            </w:r>
            <w:r w:rsidRPr="0029481E">
              <w:rPr>
                <w:rStyle w:val="aff"/>
                <w:rFonts w:hAnsi="標楷體"/>
                <w:sz w:val="20"/>
              </w:rPr>
              <w:footnoteReference w:id="1"/>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r w:rsidRPr="0029481E">
              <w:rPr>
                <w:rFonts w:hAnsi="標楷體" w:hint="eastAsia"/>
                <w:sz w:val="20"/>
              </w:rPr>
              <w:t>他案改分</w:t>
            </w:r>
            <w:proofErr w:type="gramStart"/>
            <w:r w:rsidRPr="0029481E">
              <w:rPr>
                <w:rFonts w:hAnsi="標楷體" w:hint="eastAsia"/>
                <w:sz w:val="20"/>
              </w:rPr>
              <w:t>偵</w:t>
            </w:r>
            <w:proofErr w:type="gramEnd"/>
            <w:r w:rsidRPr="0029481E">
              <w:rPr>
                <w:rStyle w:val="aff"/>
                <w:rFonts w:hAnsi="標楷體"/>
                <w:sz w:val="20"/>
              </w:rPr>
              <w:footnoteReference w:id="2"/>
            </w:r>
            <w:r w:rsidRPr="0029481E">
              <w:rPr>
                <w:rFonts w:hAnsi="標楷體" w:hint="eastAsia"/>
                <w:sz w:val="20"/>
              </w:rPr>
              <w:t>案之件數</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proofErr w:type="gramStart"/>
            <w:r w:rsidRPr="0029481E">
              <w:rPr>
                <w:rFonts w:hAnsi="標楷體" w:hint="eastAsia"/>
                <w:sz w:val="20"/>
              </w:rPr>
              <w:t>偵</w:t>
            </w:r>
            <w:proofErr w:type="gramEnd"/>
            <w:r w:rsidRPr="0029481E">
              <w:rPr>
                <w:rFonts w:hAnsi="標楷體" w:hint="eastAsia"/>
                <w:sz w:val="20"/>
              </w:rPr>
              <w:t>案之件數</w:t>
            </w:r>
            <w:r w:rsidRPr="0029481E">
              <w:rPr>
                <w:rStyle w:val="aff"/>
                <w:rFonts w:hAnsi="標楷體"/>
                <w:sz w:val="20"/>
              </w:rPr>
              <w:footnoteReference w:id="3"/>
            </w:r>
          </w:p>
          <w:p w:rsidR="008B5BF5" w:rsidRPr="0029481E" w:rsidRDefault="008B5BF5" w:rsidP="00A15A68">
            <w:pPr>
              <w:spacing w:line="380" w:lineRule="exact"/>
              <w:rPr>
                <w:rFonts w:hAnsi="標楷體"/>
                <w:sz w:val="20"/>
              </w:rPr>
            </w:pPr>
            <w:r w:rsidRPr="0029481E">
              <w:rPr>
                <w:rFonts w:hAnsi="標楷體" w:hint="eastAsia"/>
                <w:sz w:val="20"/>
              </w:rPr>
              <w:t>（立案時，即分</w:t>
            </w:r>
            <w:proofErr w:type="gramStart"/>
            <w:r w:rsidRPr="0029481E">
              <w:rPr>
                <w:rFonts w:hAnsi="標楷體" w:hint="eastAsia"/>
                <w:sz w:val="20"/>
              </w:rPr>
              <w:t>偵</w:t>
            </w:r>
            <w:proofErr w:type="gramEnd"/>
            <w:r w:rsidRPr="0029481E">
              <w:rPr>
                <w:rFonts w:hAnsi="標楷體" w:hint="eastAsia"/>
                <w:sz w:val="20"/>
              </w:rPr>
              <w:t>案）</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kern w:val="0"/>
                <w:sz w:val="20"/>
              </w:rPr>
            </w:pPr>
            <w:r w:rsidRPr="0029481E">
              <w:rPr>
                <w:rFonts w:hAnsi="標楷體" w:hint="eastAsia"/>
                <w:kern w:val="0"/>
                <w:sz w:val="20"/>
              </w:rPr>
              <w:t>他字之件數</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r w:rsidRPr="0029481E">
              <w:rPr>
                <w:rFonts w:hAnsi="標楷體" w:hint="eastAsia"/>
                <w:sz w:val="20"/>
              </w:rPr>
              <w:t>他案改分</w:t>
            </w:r>
            <w:proofErr w:type="gramStart"/>
            <w:r w:rsidRPr="0029481E">
              <w:rPr>
                <w:rFonts w:hAnsi="標楷體" w:hint="eastAsia"/>
                <w:kern w:val="0"/>
                <w:sz w:val="20"/>
              </w:rPr>
              <w:t>偵</w:t>
            </w:r>
            <w:proofErr w:type="gramEnd"/>
            <w:r w:rsidRPr="0029481E">
              <w:rPr>
                <w:rFonts w:hAnsi="標楷體" w:hint="eastAsia"/>
                <w:kern w:val="0"/>
                <w:sz w:val="20"/>
              </w:rPr>
              <w:t>案之件數</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rPr>
                <w:rFonts w:hAnsi="標楷體"/>
                <w:sz w:val="20"/>
              </w:rPr>
            </w:pPr>
            <w:proofErr w:type="gramStart"/>
            <w:r w:rsidRPr="0029481E">
              <w:rPr>
                <w:rFonts w:hAnsi="標楷體" w:hint="eastAsia"/>
                <w:sz w:val="20"/>
              </w:rPr>
              <w:t>偵</w:t>
            </w:r>
            <w:proofErr w:type="gramEnd"/>
            <w:r w:rsidRPr="0029481E">
              <w:rPr>
                <w:rFonts w:hAnsi="標楷體" w:hint="eastAsia"/>
                <w:sz w:val="20"/>
              </w:rPr>
              <w:t>案之件數</w:t>
            </w:r>
          </w:p>
          <w:p w:rsidR="008B5BF5" w:rsidRPr="0029481E" w:rsidRDefault="008B5BF5" w:rsidP="00A15A68">
            <w:pPr>
              <w:spacing w:line="380" w:lineRule="exact"/>
              <w:rPr>
                <w:rFonts w:hAnsi="標楷體"/>
                <w:sz w:val="20"/>
              </w:rPr>
            </w:pPr>
            <w:r w:rsidRPr="0029481E">
              <w:rPr>
                <w:rFonts w:hAnsi="標楷體" w:hint="eastAsia"/>
                <w:kern w:val="0"/>
                <w:sz w:val="20"/>
              </w:rPr>
              <w:t>（立案時，即分</w:t>
            </w:r>
            <w:proofErr w:type="gramStart"/>
            <w:r w:rsidRPr="0029481E">
              <w:rPr>
                <w:rFonts w:hAnsi="標楷體" w:hint="eastAsia"/>
                <w:kern w:val="0"/>
                <w:sz w:val="20"/>
              </w:rPr>
              <w:t>偵</w:t>
            </w:r>
            <w:proofErr w:type="gramEnd"/>
            <w:r w:rsidRPr="0029481E">
              <w:rPr>
                <w:rFonts w:hAnsi="標楷體" w:hint="eastAsia"/>
                <w:kern w:val="0"/>
                <w:sz w:val="20"/>
              </w:rPr>
              <w:t>案）</w:t>
            </w:r>
          </w:p>
        </w:tc>
      </w:tr>
      <w:tr w:rsidR="00B0168D" w:rsidRPr="0029481E" w:rsidTr="008B5BF5">
        <w:trPr>
          <w:trHeight w:val="577"/>
        </w:trPr>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widowControl/>
              <w:spacing w:line="380" w:lineRule="exact"/>
              <w:jc w:val="center"/>
              <w:rPr>
                <w:rFonts w:hAnsi="標楷體"/>
                <w:sz w:val="20"/>
              </w:rPr>
            </w:pPr>
            <w:proofErr w:type="gramStart"/>
            <w:r w:rsidRPr="0029481E">
              <w:rPr>
                <w:rFonts w:hAnsi="標楷體" w:hint="eastAsia"/>
                <w:sz w:val="20"/>
              </w:rPr>
              <w:t>臺</w:t>
            </w:r>
            <w:proofErr w:type="gramEnd"/>
            <w:r w:rsidRPr="0029481E">
              <w:rPr>
                <w:rFonts w:hAnsi="標楷體" w:hint="eastAsia"/>
                <w:sz w:val="20"/>
              </w:rPr>
              <w:t>北地檢署</w:t>
            </w:r>
          </w:p>
        </w:tc>
        <w:tc>
          <w:tcPr>
            <w:tcW w:w="1417"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8056</w:t>
            </w:r>
          </w:p>
        </w:tc>
        <w:tc>
          <w:tcPr>
            <w:tcW w:w="1560"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4331</w:t>
            </w:r>
          </w:p>
        </w:tc>
        <w:tc>
          <w:tcPr>
            <w:tcW w:w="1559"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25</w:t>
            </w:r>
          </w:p>
        </w:tc>
        <w:tc>
          <w:tcPr>
            <w:tcW w:w="1417"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1464</w:t>
            </w:r>
          </w:p>
        </w:tc>
        <w:tc>
          <w:tcPr>
            <w:tcW w:w="1418"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297</w:t>
            </w:r>
          </w:p>
        </w:tc>
        <w:tc>
          <w:tcPr>
            <w:tcW w:w="1418" w:type="dxa"/>
            <w:tcBorders>
              <w:top w:val="single" w:sz="6" w:space="0" w:color="auto"/>
              <w:left w:val="single" w:sz="6" w:space="0" w:color="auto"/>
              <w:bottom w:val="single" w:sz="6" w:space="0" w:color="auto"/>
              <w:right w:val="single" w:sz="6" w:space="0" w:color="auto"/>
            </w:tcBorders>
            <w:hideMark/>
          </w:tcPr>
          <w:p w:rsidR="008B5BF5" w:rsidRPr="0029481E" w:rsidRDefault="008B5BF5" w:rsidP="00A15A68">
            <w:pPr>
              <w:adjustRightInd w:val="0"/>
              <w:spacing w:line="380" w:lineRule="exact"/>
              <w:jc w:val="center"/>
              <w:rPr>
                <w:rFonts w:hAnsi="標楷體"/>
                <w:kern w:val="0"/>
                <w:sz w:val="20"/>
              </w:rPr>
            </w:pPr>
            <w:r w:rsidRPr="0029481E">
              <w:rPr>
                <w:rFonts w:hAnsi="標楷體" w:hint="eastAsia"/>
                <w:kern w:val="0"/>
                <w:sz w:val="20"/>
              </w:rPr>
              <w:t>36118</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士林地檢署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widowControl/>
              <w:spacing w:line="380" w:lineRule="exact"/>
              <w:jc w:val="center"/>
              <w:rPr>
                <w:rFonts w:hAnsi="標楷體"/>
                <w:sz w:val="20"/>
              </w:rPr>
            </w:pPr>
            <w:r w:rsidRPr="0029481E">
              <w:rPr>
                <w:rFonts w:hAnsi="標楷體" w:hint="eastAsia"/>
                <w:sz w:val="20"/>
              </w:rPr>
              <w:t>3687</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2075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1360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570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20370</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新北地檢署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7201</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4005</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17</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1760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231</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61763</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桃園地檢署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5289</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3104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3326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1059</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56406</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新竹地檢署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1520</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978</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1880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884</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18720</w:t>
            </w:r>
          </w:p>
        </w:tc>
      </w:tr>
      <w:tr w:rsidR="00B0168D" w:rsidRPr="0029481E" w:rsidTr="008B5BF5">
        <w:trPr>
          <w:trHeight w:val="607"/>
        </w:trPr>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rPr>
                <w:rFonts w:hAnsi="標楷體"/>
                <w:sz w:val="20"/>
              </w:rPr>
            </w:pPr>
            <w:r w:rsidRPr="0029481E">
              <w:rPr>
                <w:rFonts w:hAnsi="標楷體" w:hint="eastAsia"/>
                <w:sz w:val="20"/>
              </w:rPr>
              <w:t>苗栗地檢署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627</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357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65</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594</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37</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11662</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proofErr w:type="gramStart"/>
            <w:r w:rsidRPr="0029481E">
              <w:rPr>
                <w:rFonts w:hAnsi="標楷體" w:hint="eastAsia"/>
                <w:sz w:val="20"/>
              </w:rPr>
              <w:t>臺</w:t>
            </w:r>
            <w:proofErr w:type="gramEnd"/>
            <w:r w:rsidRPr="0029481E">
              <w:rPr>
                <w:rFonts w:hAnsi="標楷體" w:hint="eastAsia"/>
                <w:sz w:val="20"/>
              </w:rPr>
              <w:t>中地檢署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5646</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3465</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1435</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2460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211</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10203</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南投地檢署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629</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292</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42</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441</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75</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2610</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彰化地檢署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1781</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758</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32</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1150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169</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22738</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雲林地檢署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1035</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257</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905</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88</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8207</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嘉義地檢署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1292</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789</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81</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1040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188</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13961</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widowControl/>
              <w:spacing w:line="380" w:lineRule="exact"/>
              <w:jc w:val="center"/>
              <w:rPr>
                <w:rFonts w:hAnsi="標楷體"/>
                <w:sz w:val="20"/>
              </w:rPr>
            </w:pPr>
            <w:proofErr w:type="gramStart"/>
            <w:r w:rsidRPr="0029481E">
              <w:rPr>
                <w:rFonts w:hAnsi="標楷體" w:hint="eastAsia"/>
                <w:sz w:val="20"/>
              </w:rPr>
              <w:t>臺</w:t>
            </w:r>
            <w:proofErr w:type="gramEnd"/>
            <w:r w:rsidRPr="0029481E">
              <w:rPr>
                <w:rFonts w:hAnsi="標楷體" w:hint="eastAsia"/>
                <w:sz w:val="20"/>
              </w:rPr>
              <w:t>南地檢署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4043</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2207</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2894</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821</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34220</w:t>
            </w:r>
          </w:p>
        </w:tc>
      </w:tr>
      <w:tr w:rsidR="00B0168D" w:rsidRPr="0029481E" w:rsidTr="008B5BF5">
        <w:tc>
          <w:tcPr>
            <w:tcW w:w="1418" w:type="dxa"/>
            <w:tcBorders>
              <w:top w:val="nil"/>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橋頭地檢署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2132</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1348</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widowControl/>
              <w:spacing w:line="380" w:lineRule="exact"/>
              <w:jc w:val="center"/>
              <w:rPr>
                <w:rFonts w:hAnsi="標楷體"/>
                <w:sz w:val="20"/>
              </w:rPr>
            </w:pPr>
            <w:r w:rsidRPr="0029481E">
              <w:rPr>
                <w:rFonts w:hAnsi="標楷體" w:hint="eastAsia"/>
                <w:sz w:val="20"/>
              </w:rPr>
              <w:t>2277</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1205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22044</w:t>
            </w:r>
          </w:p>
        </w:tc>
      </w:tr>
      <w:tr w:rsidR="00B0168D" w:rsidRPr="0029481E" w:rsidTr="008B5BF5">
        <w:trPr>
          <w:trHeight w:val="688"/>
        </w:trPr>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高雄地檢署</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4643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1530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33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4762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840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napToGrid w:val="0"/>
              <w:spacing w:line="380" w:lineRule="exact"/>
              <w:jc w:val="center"/>
              <w:rPr>
                <w:rFonts w:hAnsi="標楷體"/>
                <w:sz w:val="20"/>
              </w:rPr>
            </w:pPr>
            <w:r w:rsidRPr="0029481E">
              <w:rPr>
                <w:rFonts w:hAnsi="標楷體" w:hint="eastAsia"/>
                <w:sz w:val="20"/>
              </w:rPr>
              <w:t>36926</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台東地檢署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215</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95</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322</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12</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2640</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屏東地檢署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1622</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69</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889</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53</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12841</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基隆地檢署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913</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673</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409</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64</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8745</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宜蘭地檢署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930</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521</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466</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108</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9286</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花蓮地檢署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868</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362</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638</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141</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9034</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澎湖地檢署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123</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62</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5</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46</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13</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1065</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金門地檢署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186</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32</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3</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701</w:t>
            </w:r>
          </w:p>
        </w:tc>
      </w:tr>
      <w:tr w:rsidR="00B0168D" w:rsidRPr="0029481E" w:rsidTr="008B5BF5">
        <w:tc>
          <w:tcPr>
            <w:tcW w:w="1418" w:type="dxa"/>
            <w:tcBorders>
              <w:top w:val="single" w:sz="4" w:space="0" w:color="auto"/>
              <w:left w:val="single" w:sz="4" w:space="0" w:color="auto"/>
              <w:bottom w:val="single" w:sz="4" w:space="0" w:color="auto"/>
              <w:right w:val="single" w:sz="4" w:space="0" w:color="auto"/>
            </w:tcBorders>
            <w:vAlign w:val="center"/>
            <w:hideMark/>
          </w:tcPr>
          <w:p w:rsidR="008B5BF5" w:rsidRPr="0029481E" w:rsidRDefault="008B5BF5" w:rsidP="00A15A68">
            <w:pPr>
              <w:spacing w:line="380" w:lineRule="exact"/>
              <w:jc w:val="center"/>
              <w:rPr>
                <w:rFonts w:hAnsi="標楷體"/>
                <w:sz w:val="20"/>
              </w:rPr>
            </w:pPr>
            <w:r w:rsidRPr="0029481E">
              <w:rPr>
                <w:rFonts w:hAnsi="標楷體" w:hint="eastAsia"/>
                <w:sz w:val="20"/>
              </w:rPr>
              <w:t>連江地檢署</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22</w:t>
            </w:r>
          </w:p>
        </w:tc>
        <w:tc>
          <w:tcPr>
            <w:tcW w:w="1560"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4</w:t>
            </w:r>
          </w:p>
        </w:tc>
        <w:tc>
          <w:tcPr>
            <w:tcW w:w="1559"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7"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68</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0</w:t>
            </w:r>
          </w:p>
        </w:tc>
        <w:tc>
          <w:tcPr>
            <w:tcW w:w="1418" w:type="dxa"/>
            <w:tcBorders>
              <w:top w:val="single" w:sz="4" w:space="0" w:color="auto"/>
              <w:left w:val="single" w:sz="4" w:space="0" w:color="auto"/>
              <w:bottom w:val="single" w:sz="4" w:space="0" w:color="auto"/>
              <w:right w:val="single" w:sz="4" w:space="0" w:color="auto"/>
            </w:tcBorders>
            <w:hideMark/>
          </w:tcPr>
          <w:p w:rsidR="008B5BF5" w:rsidRPr="0029481E" w:rsidRDefault="008B5BF5" w:rsidP="00A15A68">
            <w:pPr>
              <w:spacing w:line="380" w:lineRule="exact"/>
              <w:jc w:val="center"/>
              <w:rPr>
                <w:rFonts w:hAnsi="標楷體"/>
                <w:sz w:val="20"/>
              </w:rPr>
            </w:pPr>
            <w:r w:rsidRPr="0029481E">
              <w:rPr>
                <w:rFonts w:hAnsi="標楷體" w:hint="eastAsia"/>
                <w:sz w:val="20"/>
              </w:rPr>
              <w:t>220</w:t>
            </w:r>
          </w:p>
        </w:tc>
      </w:tr>
    </w:tbl>
    <w:p w:rsidR="008B5BF5" w:rsidRPr="0029481E" w:rsidRDefault="008B5BF5" w:rsidP="008B5BF5">
      <w:pPr>
        <w:widowControl/>
        <w:overflowPunct/>
        <w:autoSpaceDE/>
        <w:autoSpaceDN/>
        <w:spacing w:beforeAutospacing="1" w:afterAutospacing="1"/>
        <w:ind w:leftChars="-166" w:left="2" w:hangingChars="218" w:hanging="567"/>
        <w:jc w:val="left"/>
        <w:rPr>
          <w:rFonts w:hAnsi="標楷體"/>
          <w:sz w:val="24"/>
          <w:szCs w:val="24"/>
        </w:rPr>
      </w:pPr>
      <w:r w:rsidRPr="0029481E">
        <w:rPr>
          <w:rFonts w:hAnsi="標楷體" w:hint="eastAsia"/>
          <w:sz w:val="24"/>
          <w:szCs w:val="24"/>
        </w:rPr>
        <w:t>資料來源：法務部。</w:t>
      </w:r>
    </w:p>
    <w:p w:rsidR="004C4849" w:rsidRPr="0029481E" w:rsidRDefault="00BA0CB7" w:rsidP="00BA0CB7">
      <w:pPr>
        <w:pStyle w:val="3"/>
        <w:rPr>
          <w:rFonts w:ascii="新細明體" w:eastAsia="新細明體" w:hAnsi="新細明體" w:cs="新細明體"/>
          <w:kern w:val="0"/>
          <w:sz w:val="24"/>
          <w:szCs w:val="24"/>
        </w:rPr>
      </w:pPr>
      <w:r w:rsidRPr="0029481E">
        <w:rPr>
          <w:rFonts w:hint="eastAsia"/>
        </w:rPr>
        <w:lastRenderedPageBreak/>
        <w:t>上揭</w:t>
      </w:r>
      <w:r w:rsidRPr="0029481E">
        <w:rPr>
          <w:rFonts w:hAnsi="標楷體" w:hint="eastAsia"/>
          <w:kern w:val="0"/>
          <w:szCs w:val="32"/>
        </w:rPr>
        <w:t>「</w:t>
      </w:r>
      <w:r w:rsidRPr="0029481E">
        <w:rPr>
          <w:rFonts w:hAnsi="標楷體" w:hint="eastAsia"/>
          <w:szCs w:val="32"/>
        </w:rPr>
        <w:t>告訴人告發案件與司法警察機關移送案件之比較表（111年1-12月）」</w:t>
      </w:r>
      <w:r w:rsidRPr="0029481E">
        <w:rPr>
          <w:rFonts w:hAnsi="標楷體" w:hint="eastAsia"/>
          <w:kern w:val="0"/>
          <w:szCs w:val="32"/>
        </w:rPr>
        <w:t>，有關告訴人告發案件與司法警察機關移送案件</w:t>
      </w:r>
      <w:r w:rsidRPr="0029481E">
        <w:rPr>
          <w:rFonts w:hAnsi="標楷體" w:hint="eastAsia"/>
          <w:szCs w:val="32"/>
        </w:rPr>
        <w:t>，</w:t>
      </w:r>
      <w:r w:rsidR="004C4849" w:rsidRPr="0029481E">
        <w:rPr>
          <w:rFonts w:hAnsi="標楷體" w:hint="eastAsia"/>
          <w:szCs w:val="32"/>
        </w:rPr>
        <w:t>在</w:t>
      </w:r>
      <w:r w:rsidR="00D5277C" w:rsidRPr="0029481E">
        <w:rPr>
          <w:rFonts w:hAnsi="標楷體" w:hint="eastAsia"/>
          <w:szCs w:val="32"/>
        </w:rPr>
        <w:t>「他案之件數」、</w:t>
      </w:r>
      <w:r w:rsidR="004C4849" w:rsidRPr="0029481E">
        <w:rPr>
          <w:rFonts w:hAnsi="標楷體" w:hint="eastAsia"/>
          <w:szCs w:val="32"/>
        </w:rPr>
        <w:t>「</w:t>
      </w:r>
      <w:proofErr w:type="gramStart"/>
      <w:r w:rsidR="004C4849" w:rsidRPr="0029481E">
        <w:rPr>
          <w:rFonts w:hAnsi="標楷體" w:hint="eastAsia"/>
          <w:szCs w:val="32"/>
        </w:rPr>
        <w:t>偵</w:t>
      </w:r>
      <w:proofErr w:type="gramEnd"/>
      <w:r w:rsidR="004C4849" w:rsidRPr="0029481E">
        <w:rPr>
          <w:rFonts w:hAnsi="標楷體" w:hint="eastAsia"/>
          <w:szCs w:val="32"/>
        </w:rPr>
        <w:t>案之件數」</w:t>
      </w:r>
      <w:r w:rsidRPr="0029481E">
        <w:rPr>
          <w:rFonts w:hAnsi="標楷體" w:hint="eastAsia"/>
          <w:szCs w:val="32"/>
        </w:rPr>
        <w:t>之比</w:t>
      </w:r>
      <w:r w:rsidR="004C4849" w:rsidRPr="0029481E">
        <w:rPr>
          <w:rFonts w:hAnsi="標楷體" w:hint="eastAsia"/>
          <w:szCs w:val="32"/>
        </w:rPr>
        <w:t>較，</w:t>
      </w:r>
      <w:r w:rsidRPr="0029481E">
        <w:rPr>
          <w:rFonts w:hAnsi="標楷體" w:hint="eastAsia"/>
          <w:szCs w:val="32"/>
        </w:rPr>
        <w:t>相差懸殊。</w:t>
      </w:r>
    </w:p>
    <w:p w:rsidR="00D5277C" w:rsidRPr="0029481E" w:rsidRDefault="00D5277C" w:rsidP="00D5277C">
      <w:pPr>
        <w:pStyle w:val="4"/>
      </w:pPr>
      <w:r w:rsidRPr="0029481E">
        <w:rPr>
          <w:rFonts w:hint="eastAsia"/>
        </w:rPr>
        <w:t>例如，於111年1-12月，在「他案之件數」：</w:t>
      </w:r>
    </w:p>
    <w:p w:rsidR="0053539F" w:rsidRPr="0029481E" w:rsidRDefault="0053539F" w:rsidP="0053539F">
      <w:pPr>
        <w:pStyle w:val="5"/>
      </w:pPr>
      <w:proofErr w:type="gramStart"/>
      <w:r w:rsidRPr="0029481E">
        <w:rPr>
          <w:rFonts w:hint="eastAsia"/>
        </w:rPr>
        <w:t>臺</w:t>
      </w:r>
      <w:proofErr w:type="gramEnd"/>
      <w:r w:rsidRPr="0029481E">
        <w:rPr>
          <w:rFonts w:hint="eastAsia"/>
        </w:rPr>
        <w:t>北地檢署，告訴人告發案件係8</w:t>
      </w:r>
      <w:r w:rsidRPr="0029481E">
        <w:t>,</w:t>
      </w:r>
      <w:r w:rsidRPr="0029481E">
        <w:rPr>
          <w:rFonts w:hint="eastAsia"/>
        </w:rPr>
        <w:t>056件，而司法警察機關移送件案件係1,464件。</w:t>
      </w:r>
    </w:p>
    <w:p w:rsidR="0053539F" w:rsidRPr="0029481E" w:rsidRDefault="0053539F" w:rsidP="0053539F">
      <w:pPr>
        <w:pStyle w:val="5"/>
      </w:pPr>
      <w:r w:rsidRPr="0029481E">
        <w:rPr>
          <w:rFonts w:hint="eastAsia"/>
        </w:rPr>
        <w:t>新北地檢署，告訴人告發案件係7,201件，而司法警察機關移送件案件係1,760件。</w:t>
      </w:r>
    </w:p>
    <w:p w:rsidR="0053539F" w:rsidRPr="0029481E" w:rsidRDefault="0053539F" w:rsidP="0053539F">
      <w:pPr>
        <w:pStyle w:val="5"/>
      </w:pPr>
      <w:r w:rsidRPr="0029481E">
        <w:rPr>
          <w:rFonts w:hint="eastAsia"/>
        </w:rPr>
        <w:t>桃園地檢署，告訴人告發案件係5,289件，而司法警察機關移送件案件係3,326件。</w:t>
      </w:r>
    </w:p>
    <w:p w:rsidR="007B5038" w:rsidRPr="0029481E" w:rsidRDefault="007B5038" w:rsidP="0053539F">
      <w:pPr>
        <w:pStyle w:val="5"/>
      </w:pPr>
      <w:proofErr w:type="gramStart"/>
      <w:r w:rsidRPr="0029481E">
        <w:rPr>
          <w:rFonts w:hint="eastAsia"/>
        </w:rPr>
        <w:t>臺</w:t>
      </w:r>
      <w:proofErr w:type="gramEnd"/>
      <w:r w:rsidRPr="0029481E">
        <w:rPr>
          <w:rFonts w:hint="eastAsia"/>
        </w:rPr>
        <w:t>中地檢署，告訴人告發案件係5,646件，而司法警察機關移送件案件係2,460件。</w:t>
      </w:r>
    </w:p>
    <w:p w:rsidR="0053539F" w:rsidRPr="0029481E" w:rsidRDefault="0053539F" w:rsidP="0053539F">
      <w:pPr>
        <w:pStyle w:val="5"/>
      </w:pPr>
      <w:proofErr w:type="gramStart"/>
      <w:r w:rsidRPr="0029481E">
        <w:rPr>
          <w:rFonts w:hint="eastAsia"/>
        </w:rPr>
        <w:t>臺</w:t>
      </w:r>
      <w:proofErr w:type="gramEnd"/>
      <w:r w:rsidRPr="0029481E">
        <w:rPr>
          <w:rFonts w:hint="eastAsia"/>
        </w:rPr>
        <w:t>南地檢署，告訴人告發案件係4,043件，而司法警察機關移送件案件係2,894件。</w:t>
      </w:r>
    </w:p>
    <w:p w:rsidR="0053539F" w:rsidRPr="0029481E" w:rsidRDefault="007B5038" w:rsidP="0053539F">
      <w:pPr>
        <w:pStyle w:val="5"/>
      </w:pPr>
      <w:r w:rsidRPr="0029481E">
        <w:rPr>
          <w:rFonts w:hint="eastAsia"/>
        </w:rPr>
        <w:t>屏東</w:t>
      </w:r>
      <w:r w:rsidR="0053539F" w:rsidRPr="0029481E">
        <w:rPr>
          <w:rFonts w:hint="eastAsia"/>
        </w:rPr>
        <w:t>地檢署，告訴人告發案件係</w:t>
      </w:r>
      <w:r w:rsidRPr="0029481E">
        <w:t>1</w:t>
      </w:r>
      <w:r w:rsidR="0053539F" w:rsidRPr="0029481E">
        <w:rPr>
          <w:rFonts w:hint="eastAsia"/>
        </w:rPr>
        <w:t>,</w:t>
      </w:r>
      <w:r w:rsidRPr="0029481E">
        <w:t>622</w:t>
      </w:r>
      <w:r w:rsidR="0053539F" w:rsidRPr="0029481E">
        <w:rPr>
          <w:rFonts w:hint="eastAsia"/>
        </w:rPr>
        <w:t>件，而司法警察機關移送件案件係</w:t>
      </w:r>
      <w:r w:rsidRPr="0029481E">
        <w:t>889</w:t>
      </w:r>
      <w:r w:rsidR="0053539F" w:rsidRPr="0029481E">
        <w:rPr>
          <w:rFonts w:hint="eastAsia"/>
        </w:rPr>
        <w:t>件。</w:t>
      </w:r>
    </w:p>
    <w:p w:rsidR="00D5277C" w:rsidRPr="0029481E" w:rsidRDefault="00D5277C" w:rsidP="00D5277C">
      <w:pPr>
        <w:pStyle w:val="4"/>
      </w:pPr>
      <w:r w:rsidRPr="0029481E">
        <w:rPr>
          <w:rFonts w:hint="eastAsia"/>
        </w:rPr>
        <w:t>例如，於111年1-12月，在「</w:t>
      </w:r>
      <w:proofErr w:type="gramStart"/>
      <w:r w:rsidRPr="0029481E">
        <w:rPr>
          <w:rFonts w:hint="eastAsia"/>
        </w:rPr>
        <w:t>偵</w:t>
      </w:r>
      <w:proofErr w:type="gramEnd"/>
      <w:r w:rsidRPr="0029481E">
        <w:rPr>
          <w:rFonts w:hint="eastAsia"/>
        </w:rPr>
        <w:t>案之件數」：</w:t>
      </w:r>
    </w:p>
    <w:p w:rsidR="00D161FD" w:rsidRPr="0029481E" w:rsidRDefault="000F1608" w:rsidP="00D5277C">
      <w:pPr>
        <w:pStyle w:val="5"/>
        <w:rPr>
          <w:rFonts w:ascii="新細明體" w:eastAsia="新細明體" w:hAnsi="新細明體" w:cs="新細明體"/>
          <w:kern w:val="0"/>
          <w:sz w:val="24"/>
          <w:szCs w:val="24"/>
        </w:rPr>
      </w:pPr>
      <w:proofErr w:type="gramStart"/>
      <w:r w:rsidRPr="0029481E">
        <w:rPr>
          <w:rFonts w:hint="eastAsia"/>
        </w:rPr>
        <w:t>臺</w:t>
      </w:r>
      <w:proofErr w:type="gramEnd"/>
      <w:r w:rsidRPr="0029481E">
        <w:rPr>
          <w:rFonts w:hint="eastAsia"/>
        </w:rPr>
        <w:t>北地檢署</w:t>
      </w:r>
      <w:r w:rsidR="008266E4" w:rsidRPr="0029481E">
        <w:rPr>
          <w:rFonts w:hint="eastAsia"/>
        </w:rPr>
        <w:t>，</w:t>
      </w:r>
      <w:r w:rsidR="004C4849" w:rsidRPr="0029481E">
        <w:rPr>
          <w:rFonts w:hint="eastAsia"/>
        </w:rPr>
        <w:t>告訴人告發案件係2</w:t>
      </w:r>
      <w:r w:rsidR="004C4849" w:rsidRPr="0029481E">
        <w:t>5</w:t>
      </w:r>
      <w:r w:rsidR="004C4849" w:rsidRPr="0029481E">
        <w:rPr>
          <w:rFonts w:hint="eastAsia"/>
        </w:rPr>
        <w:t>件</w:t>
      </w:r>
      <w:r w:rsidR="00D161FD" w:rsidRPr="0029481E">
        <w:rPr>
          <w:rFonts w:hint="eastAsia"/>
        </w:rPr>
        <w:t>，而</w:t>
      </w:r>
      <w:r w:rsidR="008266E4" w:rsidRPr="0029481E">
        <w:rPr>
          <w:rFonts w:hint="eastAsia"/>
        </w:rPr>
        <w:t>司法警察機關移送件案件係36</w:t>
      </w:r>
      <w:r w:rsidR="00D161FD" w:rsidRPr="0029481E">
        <w:t>,</w:t>
      </w:r>
      <w:r w:rsidR="008266E4" w:rsidRPr="0029481E">
        <w:rPr>
          <w:rFonts w:hint="eastAsia"/>
        </w:rPr>
        <w:t>118件</w:t>
      </w:r>
      <w:r w:rsidR="00D161FD" w:rsidRPr="0029481E">
        <w:rPr>
          <w:rFonts w:hint="eastAsia"/>
        </w:rPr>
        <w:t>。</w:t>
      </w:r>
    </w:p>
    <w:p w:rsidR="00D161FD" w:rsidRPr="0029481E" w:rsidRDefault="008266E4" w:rsidP="00D5277C">
      <w:pPr>
        <w:pStyle w:val="5"/>
        <w:rPr>
          <w:rFonts w:ascii="新細明體" w:eastAsia="新細明體" w:hAnsi="新細明體" w:cs="新細明體"/>
          <w:kern w:val="0"/>
          <w:sz w:val="24"/>
          <w:szCs w:val="24"/>
        </w:rPr>
      </w:pPr>
      <w:r w:rsidRPr="0029481E">
        <w:rPr>
          <w:rFonts w:hint="eastAsia"/>
        </w:rPr>
        <w:t>新北地檢署，</w:t>
      </w:r>
      <w:r w:rsidR="00D161FD" w:rsidRPr="0029481E">
        <w:rPr>
          <w:rFonts w:hint="eastAsia"/>
        </w:rPr>
        <w:t>告訴人告發案件係17件，而司法警察機關移送件案件係61,763件。</w:t>
      </w:r>
    </w:p>
    <w:p w:rsidR="00D161FD" w:rsidRPr="0029481E" w:rsidRDefault="008266E4" w:rsidP="00D5277C">
      <w:pPr>
        <w:pStyle w:val="5"/>
        <w:rPr>
          <w:rFonts w:ascii="新細明體" w:eastAsia="新細明體" w:hAnsi="新細明體" w:cs="新細明體"/>
          <w:kern w:val="0"/>
          <w:sz w:val="24"/>
          <w:szCs w:val="24"/>
        </w:rPr>
      </w:pPr>
      <w:r w:rsidRPr="0029481E">
        <w:rPr>
          <w:rFonts w:hint="eastAsia"/>
        </w:rPr>
        <w:t>桃園地檢署，</w:t>
      </w:r>
      <w:r w:rsidR="00D161FD" w:rsidRPr="0029481E">
        <w:rPr>
          <w:rFonts w:hint="eastAsia"/>
        </w:rPr>
        <w:t>告訴人告發</w:t>
      </w:r>
      <w:proofErr w:type="gramStart"/>
      <w:r w:rsidR="00D161FD" w:rsidRPr="0029481E">
        <w:rPr>
          <w:rFonts w:hint="eastAsia"/>
        </w:rPr>
        <w:t>案件係件</w:t>
      </w:r>
      <w:proofErr w:type="gramEnd"/>
      <w:r w:rsidR="00D161FD" w:rsidRPr="0029481E">
        <w:rPr>
          <w:rFonts w:hint="eastAsia"/>
        </w:rPr>
        <w:t>14，而司法警察機關移送件案件係56,406件。</w:t>
      </w:r>
    </w:p>
    <w:p w:rsidR="00D161FD" w:rsidRPr="0029481E" w:rsidRDefault="008266E4" w:rsidP="00D5277C">
      <w:pPr>
        <w:pStyle w:val="5"/>
        <w:rPr>
          <w:rFonts w:ascii="新細明體" w:eastAsia="新細明體" w:hAnsi="新細明體" w:cs="新細明體"/>
          <w:kern w:val="0"/>
          <w:sz w:val="24"/>
          <w:szCs w:val="24"/>
        </w:rPr>
      </w:pPr>
      <w:proofErr w:type="gramStart"/>
      <w:r w:rsidRPr="0029481E">
        <w:rPr>
          <w:rFonts w:hint="eastAsia"/>
        </w:rPr>
        <w:t>臺</w:t>
      </w:r>
      <w:proofErr w:type="gramEnd"/>
      <w:r w:rsidRPr="0029481E">
        <w:rPr>
          <w:rFonts w:hint="eastAsia"/>
        </w:rPr>
        <w:t>南地檢署，</w:t>
      </w:r>
      <w:r w:rsidR="00D161FD" w:rsidRPr="0029481E">
        <w:rPr>
          <w:rFonts w:hint="eastAsia"/>
        </w:rPr>
        <w:t>告訴人告發案件係</w:t>
      </w:r>
      <w:r w:rsidR="00D161FD" w:rsidRPr="0029481E">
        <w:t>0</w:t>
      </w:r>
      <w:r w:rsidR="00D161FD" w:rsidRPr="0029481E">
        <w:rPr>
          <w:rFonts w:hint="eastAsia"/>
        </w:rPr>
        <w:t>件，而司法警察機關移送件案件係34,220件。</w:t>
      </w:r>
    </w:p>
    <w:p w:rsidR="00D161FD" w:rsidRPr="0029481E" w:rsidRDefault="008266E4" w:rsidP="00D5277C">
      <w:pPr>
        <w:pStyle w:val="5"/>
        <w:rPr>
          <w:rFonts w:ascii="新細明體" w:eastAsia="新細明體" w:hAnsi="新細明體" w:cs="新細明體"/>
          <w:kern w:val="0"/>
          <w:sz w:val="24"/>
          <w:szCs w:val="24"/>
        </w:rPr>
      </w:pPr>
      <w:r w:rsidRPr="0029481E">
        <w:rPr>
          <w:rFonts w:hint="eastAsia"/>
        </w:rPr>
        <w:t>橋頭地檢署，</w:t>
      </w:r>
      <w:r w:rsidR="00D161FD" w:rsidRPr="0029481E">
        <w:rPr>
          <w:rFonts w:hint="eastAsia"/>
        </w:rPr>
        <w:t>告訴人告發案件係</w:t>
      </w:r>
      <w:r w:rsidR="00D161FD" w:rsidRPr="0029481E">
        <w:t>0</w:t>
      </w:r>
      <w:r w:rsidR="00D161FD" w:rsidRPr="0029481E">
        <w:rPr>
          <w:rFonts w:hint="eastAsia"/>
        </w:rPr>
        <w:t>件，而司法警察機關移送件案件係22,044件。</w:t>
      </w:r>
    </w:p>
    <w:p w:rsidR="008B5BF5" w:rsidRPr="0029481E" w:rsidRDefault="008266E4" w:rsidP="00D5277C">
      <w:pPr>
        <w:pStyle w:val="5"/>
        <w:rPr>
          <w:rFonts w:ascii="新細明體" w:eastAsia="新細明體" w:hAnsi="新細明體" w:cs="新細明體"/>
          <w:kern w:val="0"/>
          <w:sz w:val="24"/>
          <w:szCs w:val="24"/>
        </w:rPr>
      </w:pPr>
      <w:r w:rsidRPr="0029481E">
        <w:rPr>
          <w:rFonts w:hint="eastAsia"/>
        </w:rPr>
        <w:t>高雄地檢署，</w:t>
      </w:r>
      <w:r w:rsidR="00D161FD" w:rsidRPr="0029481E">
        <w:rPr>
          <w:rFonts w:hint="eastAsia"/>
        </w:rPr>
        <w:t>告訴人告發案件係</w:t>
      </w:r>
      <w:r w:rsidR="00D161FD" w:rsidRPr="0029481E">
        <w:t>33</w:t>
      </w:r>
      <w:r w:rsidR="00D161FD" w:rsidRPr="0029481E">
        <w:rPr>
          <w:rFonts w:hint="eastAsia"/>
        </w:rPr>
        <w:t>件，而司法警察機關移送件案件係36,926件。</w:t>
      </w:r>
    </w:p>
    <w:p w:rsidR="005A1E24" w:rsidRPr="0029481E" w:rsidRDefault="008266E4" w:rsidP="008266E4">
      <w:pPr>
        <w:pStyle w:val="3"/>
      </w:pPr>
      <w:proofErr w:type="gramStart"/>
      <w:r w:rsidRPr="0029481E">
        <w:rPr>
          <w:rFonts w:hint="eastAsia"/>
        </w:rPr>
        <w:lastRenderedPageBreak/>
        <w:t>惟</w:t>
      </w:r>
      <w:proofErr w:type="gramEnd"/>
      <w:r w:rsidRPr="0029481E">
        <w:rPr>
          <w:rFonts w:hint="eastAsia"/>
        </w:rPr>
        <w:t>實務上，許多由律師擔任告訴代理人提出告訴之案件，</w:t>
      </w:r>
      <w:proofErr w:type="gramStart"/>
      <w:r w:rsidRPr="0029481E">
        <w:rPr>
          <w:rFonts w:hint="eastAsia"/>
        </w:rPr>
        <w:t>已詳</w:t>
      </w:r>
      <w:proofErr w:type="gramEnd"/>
      <w:r w:rsidRPr="0029481E">
        <w:rPr>
          <w:rFonts w:hint="eastAsia"/>
        </w:rPr>
        <w:t>載告訴人與被告之年籍資料、犯罪事實證據與所犯法條，仍先分他案辦理，影響渠等之訴訟權利。本院詢問法務部稱，有告訴狀之案件，分他案，對被告有利，</w:t>
      </w:r>
      <w:r w:rsidR="00492F58" w:rsidRPr="0029481E">
        <w:rPr>
          <w:rFonts w:hint="eastAsia"/>
        </w:rPr>
        <w:t>但</w:t>
      </w:r>
      <w:r w:rsidRPr="0029481E">
        <w:rPr>
          <w:rFonts w:hint="eastAsia"/>
        </w:rPr>
        <w:t>對告訴人不利。</w:t>
      </w:r>
      <w:r w:rsidR="00492F58" w:rsidRPr="0029481E">
        <w:rPr>
          <w:rFonts w:hint="eastAsia"/>
        </w:rPr>
        <w:t>又分他案之行政簽結是因為沒有具體證據，該部會利用場合檢討。</w:t>
      </w:r>
    </w:p>
    <w:p w:rsidR="00492F58" w:rsidRPr="0029481E" w:rsidRDefault="00492F58" w:rsidP="008266E4">
      <w:pPr>
        <w:pStyle w:val="3"/>
      </w:pPr>
      <w:r w:rsidRPr="0029481E">
        <w:rPr>
          <w:rFonts w:hint="eastAsia"/>
        </w:rPr>
        <w:t>綜上，按辦理他案應行注意事項第2點第1款規定，各地方檢察署及其檢察分署受理之案件，告訴、告發之案件，告訴人或告發人是否確有其人或其告訴、告發之事實，是否涉及特定人有犯罪嫌疑，尚不明瞭，得分他案辦理。</w:t>
      </w:r>
      <w:proofErr w:type="gramStart"/>
      <w:r w:rsidRPr="0029481E">
        <w:rPr>
          <w:rFonts w:hint="eastAsia"/>
        </w:rPr>
        <w:t>惟</w:t>
      </w:r>
      <w:proofErr w:type="gramEnd"/>
      <w:r w:rsidRPr="0029481E">
        <w:rPr>
          <w:rFonts w:hint="eastAsia"/>
        </w:rPr>
        <w:t>實務上，許多由律師擔任告訴代理人提出告訴之案件，</w:t>
      </w:r>
      <w:proofErr w:type="gramStart"/>
      <w:r w:rsidRPr="0029481E">
        <w:rPr>
          <w:rFonts w:hint="eastAsia"/>
        </w:rPr>
        <w:t>已詳</w:t>
      </w:r>
      <w:proofErr w:type="gramEnd"/>
      <w:r w:rsidRPr="0029481E">
        <w:rPr>
          <w:rFonts w:hint="eastAsia"/>
        </w:rPr>
        <w:t>載告訴人與被告之年籍資料、犯罪事實證據與所犯法條，仍先分他案辦理，復據</w:t>
      </w:r>
      <w:r w:rsidRPr="0029481E">
        <w:rPr>
          <w:rFonts w:hAnsi="標楷體" w:hint="eastAsia"/>
          <w:kern w:val="0"/>
          <w:szCs w:val="32"/>
        </w:rPr>
        <w:t>「</w:t>
      </w:r>
      <w:r w:rsidRPr="0029481E">
        <w:rPr>
          <w:rFonts w:hAnsi="標楷體" w:hint="eastAsia"/>
          <w:szCs w:val="32"/>
        </w:rPr>
        <w:t>告訴人告發案件與司法警察機關移送案件之比較表（111年1-12月）」</w:t>
      </w:r>
      <w:r w:rsidRPr="0029481E">
        <w:rPr>
          <w:rFonts w:hAnsi="標楷體" w:hint="eastAsia"/>
          <w:kern w:val="0"/>
          <w:szCs w:val="32"/>
        </w:rPr>
        <w:t>，</w:t>
      </w:r>
      <w:r w:rsidR="00684B66" w:rsidRPr="0029481E">
        <w:rPr>
          <w:rFonts w:hAnsi="標楷體" w:hint="eastAsia"/>
          <w:kern w:val="0"/>
          <w:szCs w:val="32"/>
        </w:rPr>
        <w:t>有關告訴人告發案件與司法警察機關移送案件</w:t>
      </w:r>
      <w:r w:rsidR="00684B66" w:rsidRPr="0029481E">
        <w:rPr>
          <w:rFonts w:hAnsi="標楷體" w:hint="eastAsia"/>
          <w:szCs w:val="32"/>
        </w:rPr>
        <w:t>，在「他案之件數」、「偵案之件數」之比較，相差懸殊，</w:t>
      </w:r>
      <w:r w:rsidRPr="0029481E">
        <w:rPr>
          <w:rFonts w:hAnsi="標楷體" w:hint="eastAsia"/>
          <w:szCs w:val="32"/>
        </w:rPr>
        <w:t>而分他案，</w:t>
      </w:r>
      <w:r w:rsidRPr="0029481E">
        <w:rPr>
          <w:rFonts w:hint="eastAsia"/>
        </w:rPr>
        <w:t>對被告有利，但對告訴人不利，影響告訴人之訴訟權利，應予改善。</w:t>
      </w:r>
    </w:p>
    <w:p w:rsidR="0075218C" w:rsidRPr="0029481E" w:rsidRDefault="00E85A9C" w:rsidP="00E95E70">
      <w:pPr>
        <w:pStyle w:val="2"/>
      </w:pPr>
      <w:r w:rsidRPr="0029481E">
        <w:rPr>
          <w:rFonts w:hint="eastAsia"/>
          <w:b/>
        </w:rPr>
        <w:t>有關</w:t>
      </w:r>
      <w:proofErr w:type="gramStart"/>
      <w:r w:rsidR="00AA6C2B" w:rsidRPr="0029481E">
        <w:rPr>
          <w:rFonts w:hint="eastAsia"/>
          <w:b/>
        </w:rPr>
        <w:t>偵</w:t>
      </w:r>
      <w:proofErr w:type="gramEnd"/>
      <w:r w:rsidR="00AA6C2B" w:rsidRPr="0029481E">
        <w:rPr>
          <w:rFonts w:hint="eastAsia"/>
          <w:b/>
        </w:rPr>
        <w:t>字案偵查終結與</w:t>
      </w:r>
      <w:r w:rsidRPr="0029481E">
        <w:rPr>
          <w:rFonts w:hint="eastAsia"/>
          <w:b/>
        </w:rPr>
        <w:t>他</w:t>
      </w:r>
      <w:r w:rsidR="00AA6C2B" w:rsidRPr="0029481E">
        <w:rPr>
          <w:rFonts w:hint="eastAsia"/>
          <w:b/>
        </w:rPr>
        <w:t>字</w:t>
      </w:r>
      <w:r w:rsidRPr="0029481E">
        <w:rPr>
          <w:rFonts w:hint="eastAsia"/>
          <w:b/>
        </w:rPr>
        <w:t>案簽</w:t>
      </w:r>
      <w:proofErr w:type="gramStart"/>
      <w:r w:rsidRPr="0029481E">
        <w:rPr>
          <w:rFonts w:hint="eastAsia"/>
          <w:b/>
        </w:rPr>
        <w:t>請報結</w:t>
      </w:r>
      <w:proofErr w:type="gramEnd"/>
      <w:r w:rsidRPr="0029481E">
        <w:rPr>
          <w:rFonts w:hint="eastAsia"/>
          <w:b/>
        </w:rPr>
        <w:t>之差異，偵</w:t>
      </w:r>
      <w:r w:rsidR="00AA6C2B" w:rsidRPr="0029481E">
        <w:rPr>
          <w:rFonts w:hint="eastAsia"/>
          <w:b/>
        </w:rPr>
        <w:t>字</w:t>
      </w:r>
      <w:r w:rsidRPr="0029481E">
        <w:rPr>
          <w:rFonts w:hint="eastAsia"/>
          <w:b/>
        </w:rPr>
        <w:t>案於偵查終結後，檢察官</w:t>
      </w:r>
      <w:r w:rsidR="00DA7FFA" w:rsidRPr="0029481E">
        <w:rPr>
          <w:rFonts w:hint="eastAsia"/>
          <w:b/>
        </w:rPr>
        <w:t>依刑事</w:t>
      </w:r>
      <w:r w:rsidR="007D0495" w:rsidRPr="0029481E">
        <w:rPr>
          <w:rFonts w:hint="eastAsia"/>
          <w:b/>
        </w:rPr>
        <w:t>訴</w:t>
      </w:r>
      <w:r w:rsidR="00DA7FFA" w:rsidRPr="0029481E">
        <w:rPr>
          <w:rFonts w:hint="eastAsia"/>
          <w:b/>
        </w:rPr>
        <w:t>訟法</w:t>
      </w:r>
      <w:r w:rsidRPr="0029481E">
        <w:rPr>
          <w:rFonts w:hint="eastAsia"/>
          <w:b/>
        </w:rPr>
        <w:t>第2</w:t>
      </w:r>
      <w:r w:rsidRPr="0029481E">
        <w:rPr>
          <w:b/>
        </w:rPr>
        <w:t>56</w:t>
      </w:r>
      <w:r w:rsidRPr="0029481E">
        <w:rPr>
          <w:rFonts w:hint="eastAsia"/>
          <w:b/>
        </w:rPr>
        <w:t>條規定不起訴或緩起訴，告訴人接獲不起訴或緩起訴處分書後，如有不服，得聲請再議；又告訴人</w:t>
      </w:r>
      <w:r w:rsidR="003C4C48" w:rsidRPr="0029481E">
        <w:rPr>
          <w:rFonts w:hint="eastAsia"/>
          <w:b/>
        </w:rPr>
        <w:t>依刑事</w:t>
      </w:r>
      <w:r w:rsidR="007D0495" w:rsidRPr="0029481E">
        <w:rPr>
          <w:rFonts w:hint="eastAsia"/>
          <w:b/>
        </w:rPr>
        <w:t>訴</w:t>
      </w:r>
      <w:r w:rsidR="003C4C48" w:rsidRPr="0029481E">
        <w:rPr>
          <w:rFonts w:hint="eastAsia"/>
          <w:b/>
        </w:rPr>
        <w:t>訟法第25</w:t>
      </w:r>
      <w:r w:rsidR="003C4C48" w:rsidRPr="0029481E">
        <w:rPr>
          <w:b/>
        </w:rPr>
        <w:t>8</w:t>
      </w:r>
      <w:r w:rsidR="003C4C48" w:rsidRPr="0029481E">
        <w:rPr>
          <w:rFonts w:hint="eastAsia"/>
          <w:b/>
        </w:rPr>
        <w:t>條之1規定，</w:t>
      </w:r>
      <w:r w:rsidRPr="0029481E">
        <w:rPr>
          <w:rFonts w:hint="eastAsia"/>
          <w:b/>
        </w:rPr>
        <w:t>不服</w:t>
      </w:r>
      <w:r w:rsidR="003C4C48" w:rsidRPr="0029481E">
        <w:rPr>
          <w:rFonts w:hint="eastAsia"/>
          <w:b/>
        </w:rPr>
        <w:t>上級法院檢察署檢察長或檢察</w:t>
      </w:r>
      <w:proofErr w:type="gramStart"/>
      <w:r w:rsidR="003C4C48" w:rsidRPr="0029481E">
        <w:rPr>
          <w:rFonts w:hint="eastAsia"/>
          <w:b/>
        </w:rPr>
        <w:t>總長認再議</w:t>
      </w:r>
      <w:proofErr w:type="gramEnd"/>
      <w:r w:rsidR="003C4C48" w:rsidRPr="0029481E">
        <w:rPr>
          <w:rFonts w:hint="eastAsia"/>
          <w:b/>
        </w:rPr>
        <w:t>為無理由之</w:t>
      </w:r>
      <w:r w:rsidRPr="0029481E">
        <w:rPr>
          <w:rFonts w:hint="eastAsia"/>
          <w:b/>
        </w:rPr>
        <w:t>駁回處分者，得聲請交付審判。惟他</w:t>
      </w:r>
      <w:r w:rsidR="00AA6C2B" w:rsidRPr="0029481E">
        <w:rPr>
          <w:rFonts w:hint="eastAsia"/>
          <w:b/>
        </w:rPr>
        <w:t>字</w:t>
      </w:r>
      <w:r w:rsidRPr="0029481E">
        <w:rPr>
          <w:rFonts w:hint="eastAsia"/>
          <w:b/>
        </w:rPr>
        <w:t>案之告訴人（或被害人）</w:t>
      </w:r>
      <w:r w:rsidR="0084629E" w:rsidRPr="0029481E">
        <w:rPr>
          <w:rFonts w:hint="eastAsia"/>
          <w:b/>
        </w:rPr>
        <w:t>並</w:t>
      </w:r>
      <w:r w:rsidRPr="0029481E">
        <w:rPr>
          <w:rFonts w:hint="eastAsia"/>
          <w:b/>
        </w:rPr>
        <w:t>無聲請再議及交付審判之權利</w:t>
      </w:r>
      <w:r w:rsidR="00DA7FFA" w:rsidRPr="0029481E">
        <w:rPr>
          <w:rFonts w:hint="eastAsia"/>
          <w:b/>
        </w:rPr>
        <w:t>。</w:t>
      </w:r>
      <w:r w:rsidR="0084629E" w:rsidRPr="0029481E">
        <w:rPr>
          <w:rFonts w:hint="eastAsia"/>
          <w:b/>
          <w:kern w:val="0"/>
        </w:rPr>
        <w:t>死刑、無期徒刑或最輕本刑3年以上有期徒刑之重大案件，如無得聲請再議之人時，經他字案簽</w:t>
      </w:r>
      <w:proofErr w:type="gramStart"/>
      <w:r w:rsidR="0084629E" w:rsidRPr="0029481E">
        <w:rPr>
          <w:rFonts w:hint="eastAsia"/>
          <w:b/>
          <w:kern w:val="0"/>
        </w:rPr>
        <w:t>請報結</w:t>
      </w:r>
      <w:proofErr w:type="gramEnd"/>
      <w:r w:rsidR="0084629E" w:rsidRPr="0029481E">
        <w:rPr>
          <w:rFonts w:hint="eastAsia"/>
          <w:b/>
          <w:kern w:val="0"/>
        </w:rPr>
        <w:t>，則無從依職權送上級檢察署</w:t>
      </w:r>
      <w:r w:rsidR="00B746E5" w:rsidRPr="0029481E">
        <w:rPr>
          <w:rFonts w:hint="eastAsia"/>
          <w:b/>
          <w:kern w:val="0"/>
        </w:rPr>
        <w:t>檢察長或</w:t>
      </w:r>
      <w:r w:rsidR="00B746E5" w:rsidRPr="0029481E">
        <w:rPr>
          <w:rFonts w:hint="eastAsia"/>
          <w:b/>
        </w:rPr>
        <w:lastRenderedPageBreak/>
        <w:t>或檢察總長再議之救濟程序，</w:t>
      </w:r>
      <w:r w:rsidR="003F3AE1" w:rsidRPr="0029481E">
        <w:rPr>
          <w:rFonts w:hint="eastAsia"/>
          <w:b/>
        </w:rPr>
        <w:t>欠</w:t>
      </w:r>
      <w:r w:rsidR="00B746E5" w:rsidRPr="0029481E">
        <w:rPr>
          <w:rFonts w:hint="eastAsia"/>
          <w:b/>
        </w:rPr>
        <w:t>缺對他字案</w:t>
      </w:r>
      <w:proofErr w:type="gramStart"/>
      <w:r w:rsidR="00B746E5" w:rsidRPr="0029481E">
        <w:rPr>
          <w:rFonts w:hint="eastAsia"/>
          <w:b/>
        </w:rPr>
        <w:t>簽結再審</w:t>
      </w:r>
      <w:proofErr w:type="gramEnd"/>
      <w:r w:rsidR="00B746E5" w:rsidRPr="0029481E">
        <w:rPr>
          <w:rFonts w:hint="eastAsia"/>
          <w:b/>
        </w:rPr>
        <w:t>查之機會，</w:t>
      </w:r>
      <w:r w:rsidR="00DA7FFA" w:rsidRPr="0029481E">
        <w:rPr>
          <w:rFonts w:hint="eastAsia"/>
          <w:b/>
        </w:rPr>
        <w:t>此外，偵字案有刑事</w:t>
      </w:r>
      <w:r w:rsidR="007D0495" w:rsidRPr="0029481E">
        <w:rPr>
          <w:rFonts w:hint="eastAsia"/>
          <w:b/>
        </w:rPr>
        <w:t>訴</w:t>
      </w:r>
      <w:r w:rsidR="00DA7FFA" w:rsidRPr="0029481E">
        <w:rPr>
          <w:rFonts w:hint="eastAsia"/>
          <w:b/>
        </w:rPr>
        <w:t>訟法第2</w:t>
      </w:r>
      <w:r w:rsidR="00DA7FFA" w:rsidRPr="0029481E">
        <w:rPr>
          <w:b/>
        </w:rPr>
        <w:t>60</w:t>
      </w:r>
      <w:r w:rsidR="00DA7FFA" w:rsidRPr="0029481E">
        <w:rPr>
          <w:rFonts w:hint="eastAsia"/>
          <w:b/>
        </w:rPr>
        <w:t>條規定，不起訴處分之確定力，而他字案</w:t>
      </w:r>
      <w:r w:rsidR="004F06AA" w:rsidRPr="0029481E">
        <w:rPr>
          <w:rFonts w:hint="eastAsia"/>
          <w:b/>
        </w:rPr>
        <w:t>則</w:t>
      </w:r>
      <w:r w:rsidR="00DA7FFA" w:rsidRPr="0029481E">
        <w:rPr>
          <w:rFonts w:hint="eastAsia"/>
          <w:b/>
        </w:rPr>
        <w:t>無，</w:t>
      </w:r>
      <w:r w:rsidRPr="0029481E">
        <w:rPr>
          <w:rFonts w:hint="eastAsia"/>
          <w:b/>
        </w:rPr>
        <w:t>兩者差距甚大，</w:t>
      </w:r>
      <w:r w:rsidR="00DA7FFA" w:rsidRPr="0029481E">
        <w:rPr>
          <w:rFonts w:hint="eastAsia"/>
          <w:b/>
        </w:rPr>
        <w:t>且</w:t>
      </w:r>
      <w:r w:rsidRPr="0029481E">
        <w:rPr>
          <w:rFonts w:hint="eastAsia"/>
          <w:b/>
        </w:rPr>
        <w:t>對告訴人（或被害人）相當不利</w:t>
      </w:r>
      <w:r w:rsidR="00151E98" w:rsidRPr="0029481E">
        <w:rPr>
          <w:rFonts w:hint="eastAsia"/>
        </w:rPr>
        <w:t>，</w:t>
      </w:r>
      <w:r w:rsidR="00151E98" w:rsidRPr="0029481E">
        <w:rPr>
          <w:rFonts w:hint="eastAsia"/>
          <w:b/>
        </w:rPr>
        <w:t>應予改善。</w:t>
      </w:r>
    </w:p>
    <w:p w:rsidR="004F06AA" w:rsidRPr="0029481E" w:rsidRDefault="00AF73EA" w:rsidP="00883F35">
      <w:pPr>
        <w:pStyle w:val="3"/>
      </w:pPr>
      <w:r w:rsidRPr="0029481E">
        <w:rPr>
          <w:rFonts w:hint="eastAsia"/>
        </w:rPr>
        <w:t>依刑事</w:t>
      </w:r>
      <w:r w:rsidR="007D0495" w:rsidRPr="0029481E">
        <w:rPr>
          <w:rFonts w:hint="eastAsia"/>
        </w:rPr>
        <w:t>訴</w:t>
      </w:r>
      <w:r w:rsidRPr="0029481E">
        <w:rPr>
          <w:rFonts w:hint="eastAsia"/>
        </w:rPr>
        <w:t>訟法</w:t>
      </w:r>
      <w:r w:rsidR="0037552F" w:rsidRPr="0029481E">
        <w:rPr>
          <w:rFonts w:hint="eastAsia"/>
          <w:kern w:val="0"/>
        </w:rPr>
        <w:t>第</w:t>
      </w:r>
      <w:r w:rsidR="0037552F" w:rsidRPr="0029481E">
        <w:rPr>
          <w:rFonts w:hint="eastAsia"/>
        </w:rPr>
        <w:t>256條第1項規定：「告訴人接受不起訴或緩起訴處分書後，得於1</w:t>
      </w:r>
      <w:r w:rsidR="0037552F" w:rsidRPr="0029481E">
        <w:t>0</w:t>
      </w:r>
      <w:r w:rsidR="0037552F" w:rsidRPr="0029481E">
        <w:rPr>
          <w:rFonts w:hint="eastAsia"/>
        </w:rPr>
        <w:t>日內以書狀敘述不服之理由，經原檢察官向直接上級檢察署檢察長或檢察總長聲請再議。但第2</w:t>
      </w:r>
      <w:r w:rsidR="0037552F" w:rsidRPr="0029481E">
        <w:t>53</w:t>
      </w:r>
      <w:r w:rsidR="0037552F" w:rsidRPr="0029481E">
        <w:rPr>
          <w:rFonts w:hint="eastAsia"/>
        </w:rPr>
        <w:t>條、第2</w:t>
      </w:r>
      <w:r w:rsidR="0037552F" w:rsidRPr="0029481E">
        <w:t>53</w:t>
      </w:r>
      <w:r w:rsidR="0037552F" w:rsidRPr="0029481E">
        <w:rPr>
          <w:rFonts w:hint="eastAsia"/>
        </w:rPr>
        <w:t>條之1之處分曾經告訴人同意者，不得聲請再議。」、第</w:t>
      </w:r>
      <w:r w:rsidR="0037552F" w:rsidRPr="0029481E">
        <w:t>2</w:t>
      </w:r>
      <w:r w:rsidR="0037552F" w:rsidRPr="0029481E">
        <w:rPr>
          <w:rFonts w:hint="eastAsia"/>
        </w:rPr>
        <w:t>項規定：「不起訴或緩起訴處分得聲請再議者，其再議期間及聲請再議之直接上級檢察署檢察長或檢察總長，應記載於送達告訴人處分書正本。」、第</w:t>
      </w:r>
      <w:r w:rsidR="0037552F" w:rsidRPr="0029481E">
        <w:t>3</w:t>
      </w:r>
      <w:r w:rsidR="0037552F" w:rsidRPr="0029481E">
        <w:rPr>
          <w:rFonts w:hint="eastAsia"/>
        </w:rPr>
        <w:t>項規定：「</w:t>
      </w:r>
      <w:r w:rsidR="0037552F" w:rsidRPr="0029481E">
        <w:rPr>
          <w:rFonts w:hint="eastAsia"/>
          <w:kern w:val="0"/>
        </w:rPr>
        <w:t>死刑、無期徒刑或最輕本刑3年以上有期徒刑之案件，因犯罪嫌疑不足，經檢察官為不起訴之處分，或第2</w:t>
      </w:r>
      <w:r w:rsidR="0037552F" w:rsidRPr="0029481E">
        <w:rPr>
          <w:kern w:val="0"/>
        </w:rPr>
        <w:t>53</w:t>
      </w:r>
      <w:r w:rsidR="0037552F" w:rsidRPr="0029481E">
        <w:rPr>
          <w:rFonts w:hint="eastAsia"/>
          <w:kern w:val="0"/>
        </w:rPr>
        <w:t>條之1之案件經檢察官為緩起訴之處分者，如無得聲請再議之人時，原檢察官應依職權</w:t>
      </w:r>
      <w:proofErr w:type="gramStart"/>
      <w:r w:rsidR="0037552F" w:rsidRPr="0029481E">
        <w:rPr>
          <w:rFonts w:hint="eastAsia"/>
          <w:kern w:val="0"/>
        </w:rPr>
        <w:t>逕</w:t>
      </w:r>
      <w:proofErr w:type="gramEnd"/>
      <w:r w:rsidR="0037552F" w:rsidRPr="0029481E">
        <w:rPr>
          <w:rFonts w:hint="eastAsia"/>
          <w:kern w:val="0"/>
        </w:rPr>
        <w:t>送直接上級檢察署檢察長或檢察總長再議，並通知告發人。」、</w:t>
      </w:r>
      <w:r w:rsidR="0002153C" w:rsidRPr="0029481E">
        <w:rPr>
          <w:rFonts w:hint="eastAsia"/>
          <w:kern w:val="0"/>
        </w:rPr>
        <w:t>同法</w:t>
      </w:r>
      <w:r w:rsidR="0002153C" w:rsidRPr="0029481E">
        <w:rPr>
          <w:rFonts w:hint="eastAsia"/>
        </w:rPr>
        <w:t>第2</w:t>
      </w:r>
      <w:r w:rsidR="0002153C" w:rsidRPr="0029481E">
        <w:t>58</w:t>
      </w:r>
      <w:r w:rsidR="0002153C" w:rsidRPr="0029481E">
        <w:rPr>
          <w:rFonts w:hint="eastAsia"/>
        </w:rPr>
        <w:t>條之1</w:t>
      </w:r>
      <w:r w:rsidR="00883F35" w:rsidRPr="0029481E">
        <w:rPr>
          <w:rFonts w:hint="eastAsia"/>
        </w:rPr>
        <w:t>第1項</w:t>
      </w:r>
      <w:r w:rsidR="0002153C" w:rsidRPr="0029481E">
        <w:rPr>
          <w:rFonts w:hint="eastAsia"/>
        </w:rPr>
        <w:t>規定：「</w:t>
      </w:r>
      <w:r w:rsidR="005D6A1E" w:rsidRPr="0029481E">
        <w:rPr>
          <w:rFonts w:hint="eastAsia"/>
        </w:rPr>
        <w:t>告訴人不服前條</w:t>
      </w:r>
      <w:r w:rsidR="005D6A1E" w:rsidRPr="0029481E">
        <w:rPr>
          <w:rStyle w:val="aff"/>
        </w:rPr>
        <w:footnoteReference w:id="4"/>
      </w:r>
      <w:r w:rsidR="005D6A1E" w:rsidRPr="0029481E">
        <w:rPr>
          <w:rFonts w:hint="eastAsia"/>
        </w:rPr>
        <w:t>之駁回處分者，得於接受處分書後1</w:t>
      </w:r>
      <w:r w:rsidR="005D6A1E" w:rsidRPr="0029481E">
        <w:t>0</w:t>
      </w:r>
      <w:r w:rsidR="005D6A1E" w:rsidRPr="0029481E">
        <w:rPr>
          <w:rFonts w:hint="eastAsia"/>
        </w:rPr>
        <w:t>日內委任律師提出理由狀，向該管第一審法院聲請交付審判。</w:t>
      </w:r>
      <w:r w:rsidR="00883F35" w:rsidRPr="0029481E">
        <w:rPr>
          <w:rFonts w:hint="eastAsia"/>
        </w:rPr>
        <w:t>」</w:t>
      </w:r>
      <w:r w:rsidR="0002153C" w:rsidRPr="0029481E">
        <w:rPr>
          <w:rFonts w:hint="eastAsia"/>
        </w:rPr>
        <w:t>、</w:t>
      </w:r>
      <w:r w:rsidR="0037552F" w:rsidRPr="0029481E">
        <w:rPr>
          <w:rFonts w:hint="eastAsia"/>
          <w:kern w:val="0"/>
        </w:rPr>
        <w:t>同法</w:t>
      </w:r>
      <w:r w:rsidRPr="0029481E">
        <w:rPr>
          <w:rFonts w:hint="eastAsia"/>
        </w:rPr>
        <w:t>第260條規定：「不起訴處分已確定或緩起訴處分期滿未經撤銷者，非有左列情形之一，不得對於同一案件再行起訴：一、發現新事實或新證據者。</w:t>
      </w:r>
      <w:r w:rsidRPr="0029481E">
        <w:rPr>
          <w:rFonts w:hint="eastAsia"/>
          <w:kern w:val="0"/>
        </w:rPr>
        <w:t>二、有第4</w:t>
      </w:r>
      <w:r w:rsidRPr="0029481E">
        <w:rPr>
          <w:kern w:val="0"/>
        </w:rPr>
        <w:t>20</w:t>
      </w:r>
      <w:r w:rsidRPr="0029481E">
        <w:rPr>
          <w:rFonts w:hint="eastAsia"/>
          <w:kern w:val="0"/>
        </w:rPr>
        <w:t>條第1項第1款、第</w:t>
      </w:r>
      <w:r w:rsidR="00B53261" w:rsidRPr="0029481E">
        <w:rPr>
          <w:kern w:val="0"/>
        </w:rPr>
        <w:t>2</w:t>
      </w:r>
      <w:r w:rsidRPr="0029481E">
        <w:rPr>
          <w:rFonts w:hint="eastAsia"/>
          <w:kern w:val="0"/>
        </w:rPr>
        <w:t>款、第4款或第5款所定得為再審原因之情形者。」</w:t>
      </w:r>
    </w:p>
    <w:p w:rsidR="00151E98" w:rsidRPr="0029481E" w:rsidRDefault="00151E98" w:rsidP="004F06AA">
      <w:pPr>
        <w:pStyle w:val="3"/>
      </w:pPr>
      <w:r w:rsidRPr="0029481E">
        <w:rPr>
          <w:rFonts w:hint="eastAsia"/>
        </w:rPr>
        <w:lastRenderedPageBreak/>
        <w:t>按辦理他案應行注意事項第</w:t>
      </w:r>
      <w:r w:rsidRPr="0029481E">
        <w:t>3</w:t>
      </w:r>
      <w:r w:rsidRPr="0029481E">
        <w:rPr>
          <w:rFonts w:hint="eastAsia"/>
        </w:rPr>
        <w:t>點規定：「他案有下列情形之</w:t>
      </w:r>
      <w:proofErr w:type="gramStart"/>
      <w:r w:rsidRPr="0029481E">
        <w:rPr>
          <w:rFonts w:hint="eastAsia"/>
        </w:rPr>
        <w:t>一</w:t>
      </w:r>
      <w:proofErr w:type="gramEnd"/>
      <w:r w:rsidRPr="0029481E">
        <w:rPr>
          <w:rFonts w:hint="eastAsia"/>
        </w:rPr>
        <w:t>者，檢察官得逕行簽</w:t>
      </w:r>
      <w:proofErr w:type="gramStart"/>
      <w:r w:rsidRPr="0029481E">
        <w:rPr>
          <w:rFonts w:hint="eastAsia"/>
        </w:rPr>
        <w:t>請報</w:t>
      </w:r>
      <w:proofErr w:type="gramEnd"/>
      <w:r w:rsidRPr="0029481E">
        <w:rPr>
          <w:rFonts w:hint="eastAsia"/>
        </w:rPr>
        <w:t>結：（一）匿名告發且告發內容空泛。</w:t>
      </w:r>
      <w:r w:rsidRPr="0029481E">
        <w:rPr>
          <w:rFonts w:hint="eastAsia"/>
          <w:kern w:val="0"/>
        </w:rPr>
        <w:t>（二）就已分案或結案之同一事實再重複告發。</w:t>
      </w:r>
      <w:r w:rsidRPr="0029481E">
        <w:rPr>
          <w:rFonts w:hint="eastAsia"/>
        </w:rPr>
        <w:t>（三）依陳述事實或告發內容，顯與犯罪無關。（四）陳述事實或告發內容係虛擬或經驗上不可能。（五）對公務員依法執行公務不服而申告，但對構成刑責之要件嫌疑事實未有任何具體指摘，或提出相關事證或指出涉案事證所在。</w:t>
      </w:r>
      <w:r w:rsidRPr="0029481E">
        <w:rPr>
          <w:rFonts w:hint="eastAsia"/>
          <w:kern w:val="0"/>
        </w:rPr>
        <w:t>（六）經常提出申告之人，所告案件</w:t>
      </w:r>
      <w:proofErr w:type="gramStart"/>
      <w:r w:rsidRPr="0029481E">
        <w:rPr>
          <w:rFonts w:hint="eastAsia"/>
          <w:kern w:val="0"/>
        </w:rPr>
        <w:t>均查非</w:t>
      </w:r>
      <w:proofErr w:type="gramEnd"/>
      <w:r w:rsidRPr="0029481E">
        <w:rPr>
          <w:rFonts w:hint="eastAsia"/>
          <w:kern w:val="0"/>
        </w:rPr>
        <w:t>事實或已判決無罪或不起訴處分確定，復再申告。」、</w:t>
      </w:r>
      <w:r w:rsidRPr="0029481E">
        <w:rPr>
          <w:rFonts w:hint="eastAsia"/>
        </w:rPr>
        <w:t>第</w:t>
      </w:r>
      <w:r w:rsidRPr="0029481E">
        <w:t>10</w:t>
      </w:r>
      <w:r w:rsidRPr="0029481E">
        <w:rPr>
          <w:rFonts w:hint="eastAsia"/>
        </w:rPr>
        <w:t>點規定：「</w:t>
      </w:r>
      <w:r w:rsidRPr="0029481E">
        <w:rPr>
          <w:rFonts w:hint="eastAsia"/>
          <w:kern w:val="0"/>
        </w:rPr>
        <w:t>檢察官辦理</w:t>
      </w:r>
      <w:r w:rsidRPr="0029481E">
        <w:rPr>
          <w:rFonts w:hAnsi="標楷體" w:hint="eastAsia"/>
          <w:kern w:val="0"/>
        </w:rPr>
        <w:t>『</w:t>
      </w:r>
      <w:r w:rsidRPr="0029481E">
        <w:rPr>
          <w:rFonts w:hint="eastAsia"/>
          <w:kern w:val="0"/>
        </w:rPr>
        <w:t>他</w:t>
      </w:r>
      <w:r w:rsidRPr="0029481E">
        <w:rPr>
          <w:rFonts w:hAnsi="標楷體" w:hint="eastAsia"/>
          <w:kern w:val="0"/>
        </w:rPr>
        <w:t>』</w:t>
      </w:r>
      <w:r w:rsidRPr="0029481E">
        <w:rPr>
          <w:rFonts w:hint="eastAsia"/>
          <w:kern w:val="0"/>
        </w:rPr>
        <w:t>字案件，經調查後，</w:t>
      </w:r>
      <w:proofErr w:type="gramStart"/>
      <w:r w:rsidRPr="0029481E">
        <w:rPr>
          <w:rFonts w:hint="eastAsia"/>
          <w:kern w:val="0"/>
        </w:rPr>
        <w:t>如認尚無</w:t>
      </w:r>
      <w:proofErr w:type="gramEnd"/>
      <w:r w:rsidRPr="0029481E">
        <w:rPr>
          <w:rFonts w:hint="eastAsia"/>
          <w:kern w:val="0"/>
        </w:rPr>
        <w:t>特定人涉有犯罪嫌疑或有第3點情形之一，得簽</w:t>
      </w:r>
      <w:proofErr w:type="gramStart"/>
      <w:r w:rsidRPr="0029481E">
        <w:rPr>
          <w:rFonts w:hint="eastAsia"/>
          <w:kern w:val="0"/>
        </w:rPr>
        <w:t>請報結</w:t>
      </w:r>
      <w:proofErr w:type="gramEnd"/>
      <w:r w:rsidRPr="0029481E">
        <w:rPr>
          <w:rFonts w:hint="eastAsia"/>
          <w:kern w:val="0"/>
        </w:rPr>
        <w:t>時，檢察長應詳細審核，如發現有調查未盡之情形，</w:t>
      </w:r>
      <w:proofErr w:type="gramStart"/>
      <w:r w:rsidRPr="0029481E">
        <w:rPr>
          <w:rFonts w:hint="eastAsia"/>
          <w:kern w:val="0"/>
        </w:rPr>
        <w:t>應命繼</w:t>
      </w:r>
      <w:proofErr w:type="gramEnd"/>
      <w:r w:rsidRPr="0029481E">
        <w:rPr>
          <w:rFonts w:hint="eastAsia"/>
          <w:kern w:val="0"/>
        </w:rPr>
        <w:t>續調查。」、</w:t>
      </w:r>
      <w:r w:rsidRPr="0029481E">
        <w:rPr>
          <w:rFonts w:hint="eastAsia"/>
        </w:rPr>
        <w:t>第</w:t>
      </w:r>
      <w:r w:rsidRPr="0029481E">
        <w:t>11</w:t>
      </w:r>
      <w:r w:rsidRPr="0029481E">
        <w:rPr>
          <w:rFonts w:hint="eastAsia"/>
        </w:rPr>
        <w:t>點規定：「</w:t>
      </w:r>
      <w:r w:rsidRPr="0029481E">
        <w:rPr>
          <w:rFonts w:hint="eastAsia"/>
          <w:kern w:val="0"/>
        </w:rPr>
        <w:t>檢察官辦理</w:t>
      </w:r>
      <w:r w:rsidRPr="0029481E">
        <w:rPr>
          <w:rFonts w:hAnsi="標楷體" w:hint="eastAsia"/>
          <w:kern w:val="0"/>
        </w:rPr>
        <w:t>『</w:t>
      </w:r>
      <w:r w:rsidRPr="0029481E">
        <w:rPr>
          <w:rFonts w:hint="eastAsia"/>
          <w:kern w:val="0"/>
        </w:rPr>
        <w:t>他</w:t>
      </w:r>
      <w:r w:rsidRPr="0029481E">
        <w:rPr>
          <w:rFonts w:hAnsi="標楷體" w:hint="eastAsia"/>
          <w:kern w:val="0"/>
        </w:rPr>
        <w:t>』</w:t>
      </w:r>
      <w:r w:rsidRPr="0029481E">
        <w:rPr>
          <w:rFonts w:hint="eastAsia"/>
          <w:kern w:val="0"/>
        </w:rPr>
        <w:t>案於簽結後，應即將法律上之原因通知告訴人、告發人、受調查人及其選任辯護人，不得用</w:t>
      </w:r>
      <w:r w:rsidR="00764CD9" w:rsidRPr="0029481E">
        <w:rPr>
          <w:rFonts w:hAnsi="標楷體" w:hint="eastAsia"/>
          <w:kern w:val="0"/>
        </w:rPr>
        <w:t>『</w:t>
      </w:r>
      <w:r w:rsidR="00764CD9" w:rsidRPr="0029481E">
        <w:rPr>
          <w:rFonts w:hint="eastAsia"/>
          <w:kern w:val="0"/>
        </w:rPr>
        <w:t>本案簽結</w:t>
      </w:r>
      <w:r w:rsidR="00764CD9" w:rsidRPr="0029481E">
        <w:rPr>
          <w:rFonts w:hAnsi="標楷體" w:hint="eastAsia"/>
          <w:kern w:val="0"/>
        </w:rPr>
        <w:t>』</w:t>
      </w:r>
      <w:r w:rsidRPr="0029481E">
        <w:rPr>
          <w:rFonts w:hint="eastAsia"/>
          <w:kern w:val="0"/>
        </w:rPr>
        <w:t>作復。告訴人、告發人如有異議時應就其異議部分</w:t>
      </w:r>
      <w:proofErr w:type="gramStart"/>
      <w:r w:rsidRPr="0029481E">
        <w:rPr>
          <w:rFonts w:hint="eastAsia"/>
          <w:kern w:val="0"/>
        </w:rPr>
        <w:t>詳為審酌</w:t>
      </w:r>
      <w:proofErr w:type="gramEnd"/>
      <w:r w:rsidRPr="0029481E">
        <w:rPr>
          <w:rFonts w:hint="eastAsia"/>
          <w:kern w:val="0"/>
        </w:rPr>
        <w:t>，以決定是否應再行調查或簽報檢察長後，復知告訴人、告發人。」</w:t>
      </w:r>
    </w:p>
    <w:p w:rsidR="00420D7F" w:rsidRPr="0029481E" w:rsidRDefault="00420D7F" w:rsidP="004F06AA">
      <w:pPr>
        <w:pStyle w:val="3"/>
      </w:pPr>
      <w:r w:rsidRPr="0029481E">
        <w:rPr>
          <w:rFonts w:hint="eastAsia"/>
        </w:rPr>
        <w:t>有關</w:t>
      </w:r>
      <w:proofErr w:type="gramStart"/>
      <w:r w:rsidRPr="0029481E">
        <w:rPr>
          <w:rFonts w:hint="eastAsia"/>
        </w:rPr>
        <w:t>偵</w:t>
      </w:r>
      <w:proofErr w:type="gramEnd"/>
      <w:r w:rsidRPr="0029481E">
        <w:rPr>
          <w:rFonts w:hint="eastAsia"/>
        </w:rPr>
        <w:t>字案偵查終結與他字案簽</w:t>
      </w:r>
      <w:proofErr w:type="gramStart"/>
      <w:r w:rsidRPr="0029481E">
        <w:rPr>
          <w:rFonts w:hint="eastAsia"/>
        </w:rPr>
        <w:t>請報結</w:t>
      </w:r>
      <w:proofErr w:type="gramEnd"/>
      <w:r w:rsidRPr="0029481E">
        <w:rPr>
          <w:rFonts w:hint="eastAsia"/>
        </w:rPr>
        <w:t>之差異：</w:t>
      </w:r>
    </w:p>
    <w:p w:rsidR="001B3AD8" w:rsidRPr="0029481E" w:rsidRDefault="0037552F" w:rsidP="00420D7F">
      <w:pPr>
        <w:pStyle w:val="4"/>
      </w:pPr>
      <w:proofErr w:type="gramStart"/>
      <w:r w:rsidRPr="0029481E">
        <w:rPr>
          <w:rFonts w:hint="eastAsia"/>
        </w:rPr>
        <w:t>偵</w:t>
      </w:r>
      <w:proofErr w:type="gramEnd"/>
      <w:r w:rsidRPr="0029481E">
        <w:rPr>
          <w:rFonts w:hint="eastAsia"/>
        </w:rPr>
        <w:t>字案偵查終結</w:t>
      </w:r>
      <w:r w:rsidR="0001180B" w:rsidRPr="0029481E">
        <w:rPr>
          <w:rFonts w:hint="eastAsia"/>
        </w:rPr>
        <w:t>：</w:t>
      </w:r>
    </w:p>
    <w:p w:rsidR="00D42E09" w:rsidRPr="0029481E" w:rsidRDefault="00421CB3" w:rsidP="00D42E09">
      <w:pPr>
        <w:pStyle w:val="5"/>
      </w:pPr>
      <w:r w:rsidRPr="0029481E">
        <w:rPr>
          <w:rFonts w:hint="eastAsia"/>
        </w:rPr>
        <w:t>告訴人得向上級檢察署檢察長或檢察總長聲請再議：</w:t>
      </w:r>
      <w:r w:rsidR="00D42E09" w:rsidRPr="0029481E">
        <w:rPr>
          <w:rFonts w:hint="eastAsia"/>
        </w:rPr>
        <w:t>依刑事</w:t>
      </w:r>
      <w:r w:rsidR="007D0495" w:rsidRPr="0029481E">
        <w:rPr>
          <w:rFonts w:hint="eastAsia"/>
        </w:rPr>
        <w:t>訴</w:t>
      </w:r>
      <w:r w:rsidR="00D42E09" w:rsidRPr="0029481E">
        <w:rPr>
          <w:rFonts w:hint="eastAsia"/>
        </w:rPr>
        <w:t>訟法</w:t>
      </w:r>
      <w:r w:rsidR="00D42E09" w:rsidRPr="0029481E">
        <w:rPr>
          <w:rFonts w:hint="eastAsia"/>
          <w:kern w:val="0"/>
        </w:rPr>
        <w:t>第</w:t>
      </w:r>
      <w:r w:rsidR="00D42E09" w:rsidRPr="0029481E">
        <w:rPr>
          <w:rFonts w:hint="eastAsia"/>
        </w:rPr>
        <w:t>256條第1項規定，告訴人</w:t>
      </w:r>
      <w:r w:rsidR="00A77496" w:rsidRPr="0029481E">
        <w:rPr>
          <w:rFonts w:hint="eastAsia"/>
        </w:rPr>
        <w:t>不服</w:t>
      </w:r>
      <w:r w:rsidR="00D42E09" w:rsidRPr="0029481E">
        <w:rPr>
          <w:rFonts w:hint="eastAsia"/>
        </w:rPr>
        <w:t>不起訴或緩起訴處分書後，得於10日內以書狀敘述不服之理由，經原檢察官向直接上級檢察署檢察長或檢察總長聲請再議。</w:t>
      </w:r>
    </w:p>
    <w:p w:rsidR="00A77496" w:rsidRPr="0029481E" w:rsidRDefault="00421CB3" w:rsidP="00D42E09">
      <w:pPr>
        <w:pStyle w:val="5"/>
      </w:pPr>
      <w:r w:rsidRPr="0029481E">
        <w:rPr>
          <w:rFonts w:hint="eastAsia"/>
        </w:rPr>
        <w:t>原檢察官依職權向上級檢察署檢察長或檢察總長聲請再議：依刑事</w:t>
      </w:r>
      <w:r w:rsidR="007D0495" w:rsidRPr="0029481E">
        <w:rPr>
          <w:rFonts w:hint="eastAsia"/>
        </w:rPr>
        <w:t>訴</w:t>
      </w:r>
      <w:r w:rsidRPr="0029481E">
        <w:rPr>
          <w:rFonts w:hint="eastAsia"/>
        </w:rPr>
        <w:t>訟法</w:t>
      </w:r>
      <w:r w:rsidRPr="0029481E">
        <w:rPr>
          <w:rFonts w:hint="eastAsia"/>
          <w:kern w:val="0"/>
        </w:rPr>
        <w:t>第</w:t>
      </w:r>
      <w:r w:rsidRPr="0029481E">
        <w:rPr>
          <w:rFonts w:hint="eastAsia"/>
        </w:rPr>
        <w:t>256條第3項規定，</w:t>
      </w:r>
      <w:r w:rsidRPr="0029481E">
        <w:rPr>
          <w:rFonts w:hint="eastAsia"/>
          <w:kern w:val="0"/>
        </w:rPr>
        <w:t>死刑、無期徒刑或最輕本刑3年以上有期徒刑之案件，因犯罪嫌疑不足，經檢察官為不起</w:t>
      </w:r>
      <w:r w:rsidRPr="0029481E">
        <w:rPr>
          <w:rFonts w:hint="eastAsia"/>
          <w:kern w:val="0"/>
        </w:rPr>
        <w:lastRenderedPageBreak/>
        <w:t>訴之處分，或第253條之1之案件經檢察官為緩起訴之處分者，如無得聲請再議之人時，原檢察官應依職權</w:t>
      </w:r>
      <w:proofErr w:type="gramStart"/>
      <w:r w:rsidRPr="0029481E">
        <w:rPr>
          <w:rFonts w:hint="eastAsia"/>
          <w:kern w:val="0"/>
        </w:rPr>
        <w:t>逕</w:t>
      </w:r>
      <w:proofErr w:type="gramEnd"/>
      <w:r w:rsidRPr="0029481E">
        <w:rPr>
          <w:rFonts w:hint="eastAsia"/>
          <w:kern w:val="0"/>
        </w:rPr>
        <w:t>送直接上級檢察署檢察長或檢察總長再議，並通知告發人。</w:t>
      </w:r>
    </w:p>
    <w:p w:rsidR="00421CB3" w:rsidRPr="0029481E" w:rsidRDefault="00421CB3" w:rsidP="00421CB3">
      <w:pPr>
        <w:pStyle w:val="5"/>
        <w:rPr>
          <w:rFonts w:ascii="新細明體" w:eastAsia="新細明體" w:hAnsi="新細明體" w:cs="新細明體"/>
          <w:kern w:val="0"/>
          <w:sz w:val="24"/>
          <w:szCs w:val="24"/>
        </w:rPr>
      </w:pPr>
      <w:r w:rsidRPr="0029481E">
        <w:rPr>
          <w:rFonts w:hint="eastAsia"/>
        </w:rPr>
        <w:t>告訴人得聲請</w:t>
      </w:r>
      <w:r w:rsidRPr="0029481E">
        <w:rPr>
          <w:rFonts w:hint="eastAsia"/>
          <w:kern w:val="0"/>
        </w:rPr>
        <w:t>交付</w:t>
      </w:r>
      <w:r w:rsidRPr="0029481E">
        <w:rPr>
          <w:rFonts w:hint="eastAsia"/>
        </w:rPr>
        <w:t>審判：依刑事</w:t>
      </w:r>
      <w:r w:rsidR="007D0495" w:rsidRPr="0029481E">
        <w:rPr>
          <w:rFonts w:hint="eastAsia"/>
        </w:rPr>
        <w:t>訴</w:t>
      </w:r>
      <w:r w:rsidRPr="0029481E">
        <w:rPr>
          <w:rFonts w:hint="eastAsia"/>
        </w:rPr>
        <w:t>訟</w:t>
      </w:r>
      <w:r w:rsidRPr="0029481E">
        <w:rPr>
          <w:rFonts w:hint="eastAsia"/>
          <w:kern w:val="0"/>
        </w:rPr>
        <w:t>法</w:t>
      </w:r>
      <w:r w:rsidRPr="0029481E">
        <w:rPr>
          <w:rFonts w:hint="eastAsia"/>
        </w:rPr>
        <w:t>第258條之1第1項規定，告訴人不服</w:t>
      </w:r>
      <w:r w:rsidRPr="0029481E">
        <w:rPr>
          <w:rFonts w:hint="eastAsia"/>
          <w:kern w:val="0"/>
        </w:rPr>
        <w:t>上級檢察署檢察長或檢察總長</w:t>
      </w:r>
      <w:r w:rsidRPr="0029481E">
        <w:rPr>
          <w:rFonts w:hint="eastAsia"/>
        </w:rPr>
        <w:t>之駁回處分者，得於接受處分書後10日內委任律師提出理由狀，向該管第一審法院聲請交付審判。</w:t>
      </w:r>
    </w:p>
    <w:p w:rsidR="00421CB3" w:rsidRPr="0029481E" w:rsidRDefault="00421CB3" w:rsidP="00D42E09">
      <w:pPr>
        <w:pStyle w:val="5"/>
      </w:pPr>
      <w:r w:rsidRPr="0029481E">
        <w:rPr>
          <w:rFonts w:hint="eastAsia"/>
          <w:kern w:val="0"/>
        </w:rPr>
        <w:t>不起訴處分之確定力：依</w:t>
      </w:r>
      <w:r w:rsidRPr="0029481E">
        <w:rPr>
          <w:rFonts w:hint="eastAsia"/>
        </w:rPr>
        <w:t>刑事</w:t>
      </w:r>
      <w:r w:rsidR="007D0495" w:rsidRPr="0029481E">
        <w:rPr>
          <w:rFonts w:hint="eastAsia"/>
        </w:rPr>
        <w:t>訴</w:t>
      </w:r>
      <w:r w:rsidRPr="0029481E">
        <w:rPr>
          <w:rFonts w:hint="eastAsia"/>
        </w:rPr>
        <w:t>訟</w:t>
      </w:r>
      <w:r w:rsidRPr="0029481E">
        <w:rPr>
          <w:rFonts w:hint="eastAsia"/>
          <w:kern w:val="0"/>
        </w:rPr>
        <w:t>法</w:t>
      </w:r>
      <w:r w:rsidRPr="0029481E">
        <w:rPr>
          <w:rFonts w:hint="eastAsia"/>
        </w:rPr>
        <w:t>第260條規定，</w:t>
      </w:r>
      <w:r w:rsidRPr="0029481E">
        <w:rPr>
          <w:rFonts w:hint="eastAsia"/>
          <w:kern w:val="0"/>
        </w:rPr>
        <w:t>不起訴處分有</w:t>
      </w:r>
      <w:r w:rsidRPr="0029481E">
        <w:rPr>
          <w:rFonts w:hint="eastAsia"/>
        </w:rPr>
        <w:t>確定力，且如發現新事實或新證據者；或</w:t>
      </w:r>
      <w:r w:rsidRPr="0029481E">
        <w:rPr>
          <w:rFonts w:hint="eastAsia"/>
          <w:kern w:val="0"/>
        </w:rPr>
        <w:t>有第420條第1項第1款、第</w:t>
      </w:r>
      <w:r w:rsidR="003D23F7" w:rsidRPr="0029481E">
        <w:rPr>
          <w:kern w:val="0"/>
        </w:rPr>
        <w:t>2</w:t>
      </w:r>
      <w:r w:rsidRPr="0029481E">
        <w:rPr>
          <w:rFonts w:hint="eastAsia"/>
          <w:kern w:val="0"/>
        </w:rPr>
        <w:t>款、第4款或第5款所定得為再審原因，</w:t>
      </w:r>
      <w:r w:rsidRPr="0029481E">
        <w:rPr>
          <w:rFonts w:hint="eastAsia"/>
        </w:rPr>
        <w:t>得對於同一案件再行起訴。</w:t>
      </w:r>
    </w:p>
    <w:p w:rsidR="0091192F" w:rsidRPr="0029481E" w:rsidRDefault="0091192F" w:rsidP="0091192F">
      <w:pPr>
        <w:pStyle w:val="4"/>
      </w:pPr>
      <w:r w:rsidRPr="0029481E">
        <w:rPr>
          <w:rFonts w:hint="eastAsia"/>
        </w:rPr>
        <w:t>他字案簽</w:t>
      </w:r>
      <w:proofErr w:type="gramStart"/>
      <w:r w:rsidRPr="0029481E">
        <w:rPr>
          <w:rFonts w:hint="eastAsia"/>
        </w:rPr>
        <w:t>請報結</w:t>
      </w:r>
      <w:proofErr w:type="gramEnd"/>
      <w:r w:rsidR="00764CD9" w:rsidRPr="0029481E">
        <w:rPr>
          <w:rFonts w:hint="eastAsia"/>
        </w:rPr>
        <w:t>：</w:t>
      </w:r>
    </w:p>
    <w:p w:rsidR="00764CD9" w:rsidRPr="0029481E" w:rsidRDefault="00F26BB8" w:rsidP="00764CD9">
      <w:pPr>
        <w:pStyle w:val="5"/>
      </w:pPr>
      <w:r w:rsidRPr="0029481E">
        <w:rPr>
          <w:rFonts w:hint="eastAsia"/>
        </w:rPr>
        <w:t>檢察官</w:t>
      </w:r>
      <w:r w:rsidR="007A0408" w:rsidRPr="0029481E">
        <w:rPr>
          <w:rFonts w:hint="eastAsia"/>
        </w:rPr>
        <w:t>簽請</w:t>
      </w:r>
      <w:proofErr w:type="gramStart"/>
      <w:r w:rsidR="007A0408" w:rsidRPr="0029481E">
        <w:rPr>
          <w:rFonts w:hint="eastAsia"/>
        </w:rPr>
        <w:t>檢察長報結</w:t>
      </w:r>
      <w:proofErr w:type="gramEnd"/>
      <w:r w:rsidR="00753C5B" w:rsidRPr="0029481E">
        <w:rPr>
          <w:rFonts w:hint="eastAsia"/>
        </w:rPr>
        <w:t>：</w:t>
      </w:r>
      <w:r w:rsidR="007A0408" w:rsidRPr="0029481E">
        <w:rPr>
          <w:rFonts w:hint="eastAsia"/>
        </w:rPr>
        <w:t>如有辦理他案應行注意事項第3點情形之</w:t>
      </w:r>
      <w:proofErr w:type="gramStart"/>
      <w:r w:rsidR="007A0408" w:rsidRPr="0029481E">
        <w:rPr>
          <w:rFonts w:hint="eastAsia"/>
        </w:rPr>
        <w:t>一</w:t>
      </w:r>
      <w:proofErr w:type="gramEnd"/>
      <w:r w:rsidR="007A0408" w:rsidRPr="0029481E">
        <w:rPr>
          <w:rFonts w:hint="eastAsia"/>
        </w:rPr>
        <w:t>者，檢察官得按第1</w:t>
      </w:r>
      <w:r w:rsidR="007A0408" w:rsidRPr="0029481E">
        <w:t>0</w:t>
      </w:r>
      <w:r w:rsidR="007A0408" w:rsidRPr="0029481E">
        <w:rPr>
          <w:rFonts w:hint="eastAsia"/>
        </w:rPr>
        <w:t>點規定逕行簽請</w:t>
      </w:r>
      <w:proofErr w:type="gramStart"/>
      <w:r w:rsidR="007A0408" w:rsidRPr="0029481E">
        <w:rPr>
          <w:rFonts w:hint="eastAsia"/>
        </w:rPr>
        <w:t>檢察長報</w:t>
      </w:r>
      <w:proofErr w:type="gramEnd"/>
      <w:r w:rsidR="007A0408" w:rsidRPr="0029481E">
        <w:rPr>
          <w:rFonts w:hint="eastAsia"/>
        </w:rPr>
        <w:t>結。</w:t>
      </w:r>
    </w:p>
    <w:p w:rsidR="007A0408" w:rsidRPr="0029481E" w:rsidRDefault="00F26BB8" w:rsidP="00764CD9">
      <w:pPr>
        <w:pStyle w:val="5"/>
      </w:pPr>
      <w:r w:rsidRPr="0029481E">
        <w:rPr>
          <w:rFonts w:hint="eastAsia"/>
          <w:kern w:val="0"/>
        </w:rPr>
        <w:t>告訴人、告發人有異議權：按</w:t>
      </w:r>
      <w:r w:rsidRPr="0029481E">
        <w:rPr>
          <w:rFonts w:hint="eastAsia"/>
        </w:rPr>
        <w:t>辦理他案應行注意事項第11點規定，</w:t>
      </w:r>
      <w:r w:rsidRPr="0029481E">
        <w:rPr>
          <w:rFonts w:hint="eastAsia"/>
          <w:kern w:val="0"/>
        </w:rPr>
        <w:t>告訴人、告發人如有異議時，檢察官應就其異議部分</w:t>
      </w:r>
      <w:proofErr w:type="gramStart"/>
      <w:r w:rsidRPr="0029481E">
        <w:rPr>
          <w:rFonts w:hint="eastAsia"/>
          <w:kern w:val="0"/>
        </w:rPr>
        <w:t>詳為審酌</w:t>
      </w:r>
      <w:proofErr w:type="gramEnd"/>
      <w:r w:rsidRPr="0029481E">
        <w:rPr>
          <w:rFonts w:hint="eastAsia"/>
          <w:kern w:val="0"/>
        </w:rPr>
        <w:t>，以決定是否應再行調查或簽報檢察長後，復知告訴人、告發人。</w:t>
      </w:r>
    </w:p>
    <w:p w:rsidR="007A0408" w:rsidRPr="0029481E" w:rsidRDefault="00C21D99" w:rsidP="00F26BB8">
      <w:pPr>
        <w:pStyle w:val="4"/>
      </w:pPr>
      <w:r w:rsidRPr="0029481E">
        <w:rPr>
          <w:rFonts w:hint="eastAsia"/>
        </w:rPr>
        <w:t>是則，</w:t>
      </w:r>
      <w:proofErr w:type="gramStart"/>
      <w:r w:rsidRPr="0029481E">
        <w:rPr>
          <w:rFonts w:hint="eastAsia"/>
        </w:rPr>
        <w:t>偵</w:t>
      </w:r>
      <w:proofErr w:type="gramEnd"/>
      <w:r w:rsidRPr="0029481E">
        <w:rPr>
          <w:rFonts w:hint="eastAsia"/>
        </w:rPr>
        <w:t>字案偵查終結，告訴人</w:t>
      </w:r>
      <w:r w:rsidR="00CB1DAD" w:rsidRPr="0029481E">
        <w:rPr>
          <w:rFonts w:hint="eastAsia"/>
        </w:rPr>
        <w:t>如有不服</w:t>
      </w:r>
      <w:r w:rsidRPr="0029481E">
        <w:rPr>
          <w:rFonts w:hint="eastAsia"/>
        </w:rPr>
        <w:t>得向上級檢察署檢察長或檢察總長聲請再議</w:t>
      </w:r>
      <w:r w:rsidR="00CB1DAD" w:rsidRPr="0029481E">
        <w:rPr>
          <w:rFonts w:hint="eastAsia"/>
        </w:rPr>
        <w:t>，又不服再議之處分，得聲請</w:t>
      </w:r>
      <w:r w:rsidR="00CB1DAD" w:rsidRPr="0029481E">
        <w:rPr>
          <w:rFonts w:hint="eastAsia"/>
          <w:kern w:val="0"/>
        </w:rPr>
        <w:t>交付</w:t>
      </w:r>
      <w:r w:rsidR="00CB1DAD" w:rsidRPr="0029481E">
        <w:rPr>
          <w:rFonts w:hint="eastAsia"/>
        </w:rPr>
        <w:t>審判。又</w:t>
      </w:r>
      <w:r w:rsidR="00CB1DAD" w:rsidRPr="0029481E">
        <w:rPr>
          <w:rFonts w:hint="eastAsia"/>
          <w:kern w:val="0"/>
        </w:rPr>
        <w:t>不起訴處分有</w:t>
      </w:r>
      <w:r w:rsidR="00CB1DAD" w:rsidRPr="0029481E">
        <w:rPr>
          <w:rFonts w:hint="eastAsia"/>
        </w:rPr>
        <w:t>確定力，惟如發現新事實或新證據者；或</w:t>
      </w:r>
      <w:r w:rsidR="00CB1DAD" w:rsidRPr="0029481E">
        <w:rPr>
          <w:rFonts w:hint="eastAsia"/>
          <w:kern w:val="0"/>
        </w:rPr>
        <w:t>有第420條第1項第1款、第</w:t>
      </w:r>
      <w:r w:rsidR="003D23F7" w:rsidRPr="0029481E">
        <w:rPr>
          <w:kern w:val="0"/>
        </w:rPr>
        <w:t>2</w:t>
      </w:r>
      <w:r w:rsidR="00CB1DAD" w:rsidRPr="0029481E">
        <w:rPr>
          <w:rFonts w:hint="eastAsia"/>
          <w:kern w:val="0"/>
        </w:rPr>
        <w:t>款、第4款或第5款所定得為再審原因，</w:t>
      </w:r>
      <w:r w:rsidR="00CB1DAD" w:rsidRPr="0029481E">
        <w:rPr>
          <w:rFonts w:hint="eastAsia"/>
        </w:rPr>
        <w:t>得對於同一案件再行起訴。另如係</w:t>
      </w:r>
      <w:r w:rsidR="00CB1DAD" w:rsidRPr="0029481E">
        <w:rPr>
          <w:rFonts w:hint="eastAsia"/>
          <w:kern w:val="0"/>
        </w:rPr>
        <w:t>死刑、無期徒刑或最輕本刑3年以上有期徒刑之案件，</w:t>
      </w:r>
      <w:r w:rsidR="00CB1DAD" w:rsidRPr="0029481E">
        <w:rPr>
          <w:rFonts w:hint="eastAsia"/>
          <w:kern w:val="0"/>
        </w:rPr>
        <w:lastRenderedPageBreak/>
        <w:t>因犯罪嫌疑不足，經檢察官為不起訴之處分，或第253條之1之案件經檢察官為緩起訴之處分者，如無得聲請再議之人時，</w:t>
      </w:r>
      <w:r w:rsidR="00CB1DAD" w:rsidRPr="0029481E">
        <w:rPr>
          <w:rFonts w:hint="eastAsia"/>
        </w:rPr>
        <w:t>原檢察官依職權向上級檢察署檢察長或檢察總長聲請再議。而他字案簽</w:t>
      </w:r>
      <w:proofErr w:type="gramStart"/>
      <w:r w:rsidR="00CB1DAD" w:rsidRPr="0029481E">
        <w:rPr>
          <w:rFonts w:hint="eastAsia"/>
        </w:rPr>
        <w:t>請報結</w:t>
      </w:r>
      <w:proofErr w:type="gramEnd"/>
      <w:r w:rsidR="00CB1DAD" w:rsidRPr="0029481E">
        <w:rPr>
          <w:rFonts w:hint="eastAsia"/>
        </w:rPr>
        <w:t>，告訴人如有不服僅得向原審級之檢察官</w:t>
      </w:r>
      <w:r w:rsidR="00CB1DAD" w:rsidRPr="0029481E">
        <w:rPr>
          <w:rFonts w:hint="eastAsia"/>
          <w:kern w:val="0"/>
        </w:rPr>
        <w:t>異議，也無</w:t>
      </w:r>
      <w:r w:rsidR="00A7707C" w:rsidRPr="0029481E">
        <w:rPr>
          <w:rFonts w:hint="eastAsia"/>
        </w:rPr>
        <w:t>刑事</w:t>
      </w:r>
      <w:r w:rsidR="007D0495" w:rsidRPr="0029481E">
        <w:rPr>
          <w:rFonts w:hint="eastAsia"/>
        </w:rPr>
        <w:t>訴</w:t>
      </w:r>
      <w:r w:rsidR="00A7707C" w:rsidRPr="0029481E">
        <w:rPr>
          <w:rFonts w:hint="eastAsia"/>
        </w:rPr>
        <w:t>訟</w:t>
      </w:r>
      <w:r w:rsidR="00A7707C" w:rsidRPr="0029481E">
        <w:rPr>
          <w:rFonts w:hint="eastAsia"/>
          <w:kern w:val="0"/>
        </w:rPr>
        <w:t>法</w:t>
      </w:r>
      <w:r w:rsidR="00A7707C" w:rsidRPr="0029481E">
        <w:rPr>
          <w:rFonts w:hint="eastAsia"/>
        </w:rPr>
        <w:t>第258條之1第1項規定之交付審判權利，亦無刑事</w:t>
      </w:r>
      <w:r w:rsidR="007D0495" w:rsidRPr="0029481E">
        <w:rPr>
          <w:rFonts w:hint="eastAsia"/>
        </w:rPr>
        <w:t>訴</w:t>
      </w:r>
      <w:r w:rsidR="00A7707C" w:rsidRPr="0029481E">
        <w:rPr>
          <w:rFonts w:hint="eastAsia"/>
        </w:rPr>
        <w:t>訟法第260條規定，不起訴處分之確定力，兩者差距甚大，且對告訴人（或被害人）相當不利。</w:t>
      </w:r>
    </w:p>
    <w:p w:rsidR="00A7707C" w:rsidRPr="0029481E" w:rsidRDefault="00A7707C" w:rsidP="00A7707C">
      <w:pPr>
        <w:pStyle w:val="3"/>
      </w:pPr>
      <w:r w:rsidRPr="0029481E">
        <w:rPr>
          <w:rFonts w:hint="eastAsia"/>
        </w:rPr>
        <w:t>綜上，</w:t>
      </w:r>
      <w:r w:rsidR="00E56ACD" w:rsidRPr="0029481E">
        <w:rPr>
          <w:rFonts w:hint="eastAsia"/>
        </w:rPr>
        <w:t>有關</w:t>
      </w:r>
      <w:proofErr w:type="gramStart"/>
      <w:r w:rsidR="00E56ACD" w:rsidRPr="0029481E">
        <w:rPr>
          <w:rFonts w:hint="eastAsia"/>
        </w:rPr>
        <w:t>偵</w:t>
      </w:r>
      <w:proofErr w:type="gramEnd"/>
      <w:r w:rsidR="00E56ACD" w:rsidRPr="0029481E">
        <w:rPr>
          <w:rFonts w:hint="eastAsia"/>
        </w:rPr>
        <w:t>字案偵查終結與他字案簽</w:t>
      </w:r>
      <w:proofErr w:type="gramStart"/>
      <w:r w:rsidR="00E56ACD" w:rsidRPr="0029481E">
        <w:rPr>
          <w:rFonts w:hint="eastAsia"/>
        </w:rPr>
        <w:t>請報結</w:t>
      </w:r>
      <w:proofErr w:type="gramEnd"/>
      <w:r w:rsidR="00E56ACD" w:rsidRPr="0029481E">
        <w:rPr>
          <w:rFonts w:hint="eastAsia"/>
        </w:rPr>
        <w:t>之差異，偵字案於偵查終結後，告訴人接獲不起訴或緩起訴處分書後，如有不服，得聲請再議；又告訴人不服上級法院檢察署檢察長或檢察</w:t>
      </w:r>
      <w:proofErr w:type="gramStart"/>
      <w:r w:rsidR="00E56ACD" w:rsidRPr="0029481E">
        <w:rPr>
          <w:rFonts w:hint="eastAsia"/>
        </w:rPr>
        <w:t>總長認再議</w:t>
      </w:r>
      <w:proofErr w:type="gramEnd"/>
      <w:r w:rsidR="00E56ACD" w:rsidRPr="0029481E">
        <w:rPr>
          <w:rFonts w:hint="eastAsia"/>
        </w:rPr>
        <w:t>為無理由之駁回處分者，得聲請交付審判。另</w:t>
      </w:r>
      <w:r w:rsidR="00E56ACD" w:rsidRPr="0029481E">
        <w:rPr>
          <w:rFonts w:hint="eastAsia"/>
          <w:kern w:val="0"/>
        </w:rPr>
        <w:t>死刑、無期徒刑或最輕本刑3年以上有期徒刑之案件，因犯罪嫌疑不足，經檢察官為不起訴之處分，或第253條之1之案件經檢察官為緩起訴之處分者，如無得聲請再議之人時，原檢察官應依職權</w:t>
      </w:r>
      <w:proofErr w:type="gramStart"/>
      <w:r w:rsidR="00E56ACD" w:rsidRPr="0029481E">
        <w:rPr>
          <w:rFonts w:hint="eastAsia"/>
          <w:kern w:val="0"/>
        </w:rPr>
        <w:t>逕</w:t>
      </w:r>
      <w:proofErr w:type="gramEnd"/>
      <w:r w:rsidR="00E56ACD" w:rsidRPr="0029481E">
        <w:rPr>
          <w:rFonts w:hint="eastAsia"/>
          <w:kern w:val="0"/>
        </w:rPr>
        <w:t>送直接上級檢察署檢察長或檢察總長再議。另</w:t>
      </w:r>
      <w:proofErr w:type="gramStart"/>
      <w:r w:rsidR="00E56ACD" w:rsidRPr="0029481E">
        <w:rPr>
          <w:rFonts w:hint="eastAsia"/>
        </w:rPr>
        <w:t>偵</w:t>
      </w:r>
      <w:proofErr w:type="gramEnd"/>
      <w:r w:rsidR="00E56ACD" w:rsidRPr="0029481E">
        <w:rPr>
          <w:rFonts w:hint="eastAsia"/>
        </w:rPr>
        <w:t>字案有刑事</w:t>
      </w:r>
      <w:r w:rsidR="007D0495" w:rsidRPr="0029481E">
        <w:rPr>
          <w:rFonts w:hint="eastAsia"/>
        </w:rPr>
        <w:t>訴</w:t>
      </w:r>
      <w:r w:rsidR="00E56ACD" w:rsidRPr="0029481E">
        <w:rPr>
          <w:rFonts w:hint="eastAsia"/>
        </w:rPr>
        <w:t>訟法第260條規定，不起訴處分之確定力。惟他字案之告訴人（或被害人）如不服檢察官之行政簽結，</w:t>
      </w:r>
      <w:r w:rsidR="001061B2" w:rsidRPr="0029481E">
        <w:rPr>
          <w:rFonts w:hint="eastAsia"/>
        </w:rPr>
        <w:t>並無聲請再議及交付審判之權利。且</w:t>
      </w:r>
      <w:r w:rsidR="001061B2" w:rsidRPr="0029481E">
        <w:rPr>
          <w:rFonts w:hint="eastAsia"/>
          <w:kern w:val="0"/>
        </w:rPr>
        <w:t>死刑、無期徒刑或最輕本刑3年以上有期徒刑之重大案件，如無得聲請再議之人時，經他字案簽</w:t>
      </w:r>
      <w:proofErr w:type="gramStart"/>
      <w:r w:rsidR="001061B2" w:rsidRPr="0029481E">
        <w:rPr>
          <w:rFonts w:hint="eastAsia"/>
          <w:kern w:val="0"/>
        </w:rPr>
        <w:t>請報結</w:t>
      </w:r>
      <w:proofErr w:type="gramEnd"/>
      <w:r w:rsidR="001061B2" w:rsidRPr="0029481E">
        <w:rPr>
          <w:rFonts w:hint="eastAsia"/>
          <w:kern w:val="0"/>
        </w:rPr>
        <w:t>，則無從依職權送上級檢察署檢察長或</w:t>
      </w:r>
      <w:r w:rsidR="001061B2" w:rsidRPr="0029481E">
        <w:rPr>
          <w:rFonts w:hint="eastAsia"/>
        </w:rPr>
        <w:t>或檢察總長再議之救濟程序，</w:t>
      </w:r>
      <w:r w:rsidR="003F3AE1" w:rsidRPr="0029481E">
        <w:rPr>
          <w:rFonts w:hint="eastAsia"/>
        </w:rPr>
        <w:t>欠</w:t>
      </w:r>
      <w:r w:rsidR="001061B2" w:rsidRPr="0029481E">
        <w:rPr>
          <w:rFonts w:hint="eastAsia"/>
        </w:rPr>
        <w:t>缺對他字案</w:t>
      </w:r>
      <w:proofErr w:type="gramStart"/>
      <w:r w:rsidR="001061B2" w:rsidRPr="0029481E">
        <w:rPr>
          <w:rFonts w:hint="eastAsia"/>
        </w:rPr>
        <w:t>簽結再審</w:t>
      </w:r>
      <w:proofErr w:type="gramEnd"/>
      <w:r w:rsidR="001061B2" w:rsidRPr="0029481E">
        <w:rPr>
          <w:rFonts w:hint="eastAsia"/>
        </w:rPr>
        <w:t>查之機會，</w:t>
      </w:r>
      <w:r w:rsidR="004F218D" w:rsidRPr="0029481E">
        <w:rPr>
          <w:rFonts w:hint="eastAsia"/>
        </w:rPr>
        <w:t>也無刑事</w:t>
      </w:r>
      <w:r w:rsidR="007D0495" w:rsidRPr="0029481E">
        <w:rPr>
          <w:rFonts w:hint="eastAsia"/>
        </w:rPr>
        <w:t>訴</w:t>
      </w:r>
      <w:r w:rsidR="004F218D" w:rsidRPr="0029481E">
        <w:rPr>
          <w:rFonts w:hint="eastAsia"/>
        </w:rPr>
        <w:t>訟法第260條不起訴處分之確定力</w:t>
      </w:r>
      <w:r w:rsidR="00E56ACD" w:rsidRPr="0029481E">
        <w:rPr>
          <w:rFonts w:hint="eastAsia"/>
        </w:rPr>
        <w:t>。兩者差距甚大，且對告訴人（或被害人）相當不利，應予改善。</w:t>
      </w:r>
    </w:p>
    <w:p w:rsidR="00AF73EA" w:rsidRPr="0029481E" w:rsidRDefault="00593E6B" w:rsidP="006638AF">
      <w:pPr>
        <w:pStyle w:val="2"/>
        <w:rPr>
          <w:b/>
        </w:rPr>
      </w:pPr>
      <w:r w:rsidRPr="0029481E">
        <w:rPr>
          <w:rFonts w:hint="eastAsia"/>
          <w:b/>
        </w:rPr>
        <w:t>有關</w:t>
      </w:r>
      <w:r w:rsidR="004573CF" w:rsidRPr="0029481E">
        <w:rPr>
          <w:rFonts w:hint="eastAsia"/>
          <w:b/>
        </w:rPr>
        <w:t>他字案，檢察官以</w:t>
      </w:r>
      <w:r w:rsidRPr="0029481E">
        <w:rPr>
          <w:rFonts w:hint="eastAsia"/>
          <w:b/>
        </w:rPr>
        <w:t>關</w:t>
      </w:r>
      <w:r w:rsidR="004573CF" w:rsidRPr="0029481E">
        <w:rPr>
          <w:rFonts w:hint="eastAsia"/>
          <w:b/>
        </w:rPr>
        <w:t>係人身分，予以通知，不令</w:t>
      </w:r>
      <w:r w:rsidR="004573CF" w:rsidRPr="0029481E">
        <w:rPr>
          <w:rFonts w:hint="eastAsia"/>
          <w:b/>
        </w:rPr>
        <w:lastRenderedPageBreak/>
        <w:t>具結；</w:t>
      </w:r>
      <w:proofErr w:type="gramStart"/>
      <w:r w:rsidR="004573CF" w:rsidRPr="0029481E">
        <w:rPr>
          <w:rFonts w:hint="eastAsia"/>
          <w:b/>
        </w:rPr>
        <w:t>反之，</w:t>
      </w:r>
      <w:proofErr w:type="gramEnd"/>
      <w:r w:rsidR="004573CF" w:rsidRPr="0029481E">
        <w:rPr>
          <w:rFonts w:hint="eastAsia"/>
          <w:b/>
        </w:rPr>
        <w:t>檢察官訊問關係人後，認為有犯罪嫌疑，已具被告屬性，將關係人身分轉換為被告時，應</w:t>
      </w:r>
      <w:proofErr w:type="gramStart"/>
      <w:r w:rsidR="004573CF" w:rsidRPr="0029481E">
        <w:rPr>
          <w:rFonts w:hint="eastAsia"/>
          <w:b/>
        </w:rPr>
        <w:t>踐</w:t>
      </w:r>
      <w:proofErr w:type="gramEnd"/>
      <w:r w:rsidR="004573CF" w:rsidRPr="0029481E">
        <w:rPr>
          <w:rFonts w:hint="eastAsia"/>
          <w:b/>
        </w:rPr>
        <w:t>行</w:t>
      </w:r>
      <w:r w:rsidR="002469F8" w:rsidRPr="0029481E">
        <w:rPr>
          <w:rFonts w:hint="eastAsia"/>
          <w:b/>
        </w:rPr>
        <w:t>刑事</w:t>
      </w:r>
      <w:r w:rsidR="00DC1D45" w:rsidRPr="00181FC8">
        <w:rPr>
          <w:rFonts w:hint="eastAsia"/>
          <w:b/>
        </w:rPr>
        <w:t>訴</w:t>
      </w:r>
      <w:r w:rsidR="002469F8" w:rsidRPr="00181FC8">
        <w:rPr>
          <w:rFonts w:hint="eastAsia"/>
          <w:b/>
        </w:rPr>
        <w:t>訟</w:t>
      </w:r>
      <w:r w:rsidR="002469F8" w:rsidRPr="0029481E">
        <w:rPr>
          <w:rFonts w:hint="eastAsia"/>
          <w:b/>
        </w:rPr>
        <w:t>法第95條規定之告知義務；</w:t>
      </w:r>
      <w:r w:rsidR="00BA03B1" w:rsidRPr="0029481E">
        <w:rPr>
          <w:rFonts w:hint="eastAsia"/>
          <w:b/>
        </w:rPr>
        <w:t>另</w:t>
      </w:r>
      <w:r w:rsidR="002469F8" w:rsidRPr="0029481E">
        <w:rPr>
          <w:rFonts w:hint="eastAsia"/>
          <w:b/>
        </w:rPr>
        <w:t>將關係人身分轉換為證人時，應</w:t>
      </w:r>
      <w:proofErr w:type="gramStart"/>
      <w:r w:rsidR="002469F8" w:rsidRPr="0029481E">
        <w:rPr>
          <w:rFonts w:hint="eastAsia"/>
          <w:b/>
        </w:rPr>
        <w:t>踐行</w:t>
      </w:r>
      <w:proofErr w:type="gramEnd"/>
      <w:r w:rsidR="002469F8" w:rsidRPr="0029481E">
        <w:rPr>
          <w:rFonts w:hint="eastAsia"/>
          <w:b/>
        </w:rPr>
        <w:t>刑事</w:t>
      </w:r>
      <w:r w:rsidR="00DC1D45" w:rsidRPr="00181FC8">
        <w:rPr>
          <w:rFonts w:hint="eastAsia"/>
          <w:b/>
        </w:rPr>
        <w:t>訴</w:t>
      </w:r>
      <w:r w:rsidR="002469F8" w:rsidRPr="00181FC8">
        <w:rPr>
          <w:rFonts w:hint="eastAsia"/>
          <w:b/>
        </w:rPr>
        <w:t>訟</w:t>
      </w:r>
      <w:r w:rsidR="002469F8" w:rsidRPr="0029481E">
        <w:rPr>
          <w:rFonts w:hint="eastAsia"/>
          <w:b/>
        </w:rPr>
        <w:t>法第</w:t>
      </w:r>
      <w:r w:rsidR="002469F8" w:rsidRPr="0029481E">
        <w:rPr>
          <w:b/>
        </w:rPr>
        <w:t>186</w:t>
      </w:r>
      <w:r w:rsidR="002469F8" w:rsidRPr="0029481E">
        <w:rPr>
          <w:rFonts w:hint="eastAsia"/>
          <w:b/>
        </w:rPr>
        <w:t>條第2項規定之拒絕證言</w:t>
      </w:r>
      <w:r w:rsidR="00A95AB1" w:rsidRPr="0029481E">
        <w:rPr>
          <w:rFonts w:hint="eastAsia"/>
          <w:b/>
        </w:rPr>
        <w:t>程序</w:t>
      </w:r>
      <w:r w:rsidR="002469F8" w:rsidRPr="0029481E">
        <w:rPr>
          <w:rFonts w:hint="eastAsia"/>
          <w:b/>
        </w:rPr>
        <w:t>，以保障人民訴訟權益</w:t>
      </w:r>
      <w:r w:rsidR="00BA03B1" w:rsidRPr="0029481E">
        <w:rPr>
          <w:rFonts w:hint="eastAsia"/>
          <w:b/>
        </w:rPr>
        <w:t>及公共利益之維護</w:t>
      </w:r>
      <w:r w:rsidR="002469F8" w:rsidRPr="0029481E">
        <w:rPr>
          <w:rFonts w:hint="eastAsia"/>
          <w:b/>
        </w:rPr>
        <w:t>。</w:t>
      </w:r>
    </w:p>
    <w:p w:rsidR="00AF73EA" w:rsidRPr="0029481E" w:rsidRDefault="002469F8" w:rsidP="00E55BA0">
      <w:pPr>
        <w:pStyle w:val="3"/>
      </w:pPr>
      <w:r w:rsidRPr="0029481E">
        <w:rPr>
          <w:rFonts w:hint="eastAsia"/>
        </w:rPr>
        <w:t>按最高法院</w:t>
      </w:r>
      <w:proofErr w:type="gramStart"/>
      <w:r w:rsidRPr="0029481E">
        <w:rPr>
          <w:rFonts w:hint="eastAsia"/>
        </w:rPr>
        <w:t>102</w:t>
      </w:r>
      <w:proofErr w:type="gramEnd"/>
      <w:r w:rsidRPr="0029481E">
        <w:rPr>
          <w:rFonts w:hint="eastAsia"/>
        </w:rPr>
        <w:t>年度台上字第337號判決</w:t>
      </w:r>
      <w:r w:rsidR="00E55BA0" w:rsidRPr="0029481E">
        <w:rPr>
          <w:rFonts w:hint="eastAsia"/>
        </w:rPr>
        <w:t>：「</w:t>
      </w:r>
      <w:r w:rsidRPr="0029481E">
        <w:rPr>
          <w:rFonts w:hint="eastAsia"/>
        </w:rPr>
        <w:t>至於偵查中所謂之關係人，並未於刑事訴訟法明定其屬性，惟依現行</w:t>
      </w:r>
      <w:hyperlink r:id="rId9" w:tgtFrame="_blank" w:history="1">
        <w:r w:rsidRPr="0029481E">
          <w:rPr>
            <w:rFonts w:hint="eastAsia"/>
          </w:rPr>
          <w:t>刑事訴訟法第</w:t>
        </w:r>
        <w:r w:rsidR="00E55BA0" w:rsidRPr="0029481E">
          <w:rPr>
            <w:rFonts w:hint="eastAsia"/>
          </w:rPr>
          <w:t>2</w:t>
        </w:r>
        <w:r w:rsidR="00E55BA0" w:rsidRPr="0029481E">
          <w:t>87</w:t>
        </w:r>
        <w:r w:rsidRPr="0029481E">
          <w:rPr>
            <w:rFonts w:hint="eastAsia"/>
          </w:rPr>
          <w:t>條之</w:t>
        </w:r>
        <w:r w:rsidR="00E55BA0" w:rsidRPr="0029481E">
          <w:rPr>
            <w:rFonts w:hint="eastAsia"/>
          </w:rPr>
          <w:t>2</w:t>
        </w:r>
      </w:hyperlink>
      <w:r w:rsidRPr="0029481E">
        <w:rPr>
          <w:rFonts w:hint="eastAsia"/>
        </w:rPr>
        <w:t>規定：</w:t>
      </w:r>
      <w:r w:rsidR="00E55BA0" w:rsidRPr="0029481E">
        <w:rPr>
          <w:rFonts w:hAnsi="標楷體" w:hint="eastAsia"/>
        </w:rPr>
        <w:t>『</w:t>
      </w:r>
      <w:r w:rsidRPr="0029481E">
        <w:rPr>
          <w:rFonts w:hint="eastAsia"/>
        </w:rPr>
        <w:t>法院就被告本人之案件調查共同被告時，該共同被告</w:t>
      </w:r>
      <w:proofErr w:type="gramStart"/>
      <w:r w:rsidRPr="0029481E">
        <w:rPr>
          <w:rFonts w:hint="eastAsia"/>
        </w:rPr>
        <w:t>準</w:t>
      </w:r>
      <w:proofErr w:type="gramEnd"/>
      <w:r w:rsidRPr="0029481E">
        <w:rPr>
          <w:rFonts w:hint="eastAsia"/>
        </w:rPr>
        <w:t>用有關人證之規定。</w:t>
      </w:r>
      <w:r w:rsidR="00E55BA0" w:rsidRPr="0029481E">
        <w:rPr>
          <w:rFonts w:hAnsi="標楷體" w:hint="eastAsia"/>
        </w:rPr>
        <w:t>』</w:t>
      </w:r>
      <w:r w:rsidRPr="0029481E">
        <w:rPr>
          <w:rFonts w:hint="eastAsia"/>
        </w:rPr>
        <w:t>可知除被告在其本人之案件中具有被告之身分外，其餘相關之人，實為人證之身分，如以其陳述為證據方法，因其並非程序主體，亦非追訴或審判之客體，除有得拒絕證言之情形外，負有真實陳述之義務，且不生訴訟上防禦權及辯護權等問題。倘檢察官於偵查中，蓄意規避</w:t>
      </w:r>
      <w:proofErr w:type="gramStart"/>
      <w:r w:rsidRPr="0029481E">
        <w:rPr>
          <w:rFonts w:hint="eastAsia"/>
        </w:rPr>
        <w:t>踐行</w:t>
      </w:r>
      <w:proofErr w:type="gramEnd"/>
      <w:r w:rsidRPr="0029481E">
        <w:fldChar w:fldCharType="begin"/>
      </w:r>
      <w:r w:rsidRPr="0029481E">
        <w:instrText xml:space="preserve"> HYPERLINK "https://db.lawbank.com.tw/FLAW/FLAWDOC04.aspx?lsid=FL001445&amp;lno=95&amp;ldate=20130123" \t "_blank" </w:instrText>
      </w:r>
      <w:r w:rsidRPr="0029481E">
        <w:fldChar w:fldCharType="separate"/>
      </w:r>
      <w:r w:rsidRPr="0029481E">
        <w:rPr>
          <w:rFonts w:hint="eastAsia"/>
        </w:rPr>
        <w:t>刑事訴訟法第</w:t>
      </w:r>
      <w:r w:rsidR="00E55BA0" w:rsidRPr="0029481E">
        <w:rPr>
          <w:rFonts w:hint="eastAsia"/>
        </w:rPr>
        <w:t>9</w:t>
      </w:r>
      <w:r w:rsidR="00E55BA0" w:rsidRPr="0029481E">
        <w:t>5</w:t>
      </w:r>
      <w:r w:rsidRPr="0029481E">
        <w:fldChar w:fldCharType="end"/>
      </w:r>
      <w:r w:rsidRPr="0029481E">
        <w:rPr>
          <w:rFonts w:hint="eastAsia"/>
        </w:rPr>
        <w:t>條所定之告知義務，對於犯罪嫌疑人以關係人或證人之身分予以傳喚，令其陳述後，又</w:t>
      </w:r>
      <w:proofErr w:type="gramStart"/>
      <w:r w:rsidRPr="0029481E">
        <w:rPr>
          <w:rFonts w:hint="eastAsia"/>
        </w:rPr>
        <w:t>採</w:t>
      </w:r>
      <w:proofErr w:type="gramEnd"/>
      <w:r w:rsidRPr="0029481E">
        <w:rPr>
          <w:rFonts w:hint="eastAsia"/>
        </w:rPr>
        <w:t>其陳述為不利之證據，列為被告，提起公訴，無異剝奪被告緘默權及防禦權之行使，尤</w:t>
      </w:r>
      <w:proofErr w:type="gramStart"/>
      <w:r w:rsidRPr="0029481E">
        <w:rPr>
          <w:rFonts w:hint="eastAsia"/>
        </w:rPr>
        <w:t>難謂非</w:t>
      </w:r>
      <w:proofErr w:type="gramEnd"/>
      <w:r w:rsidRPr="0029481E">
        <w:rPr>
          <w:rFonts w:hint="eastAsia"/>
        </w:rPr>
        <w:t>以詐欺之方法而取得自白。此項違法取得之供述資料，自不具證據能力，應予以排除。如非蓄意規避上開告知義務，或訊問時始發現關係人或證人涉有犯罪嫌疑，卻未適時為</w:t>
      </w:r>
      <w:hyperlink r:id="rId10" w:tgtFrame="_blank" w:history="1">
        <w:r w:rsidRPr="0029481E">
          <w:rPr>
            <w:rFonts w:hint="eastAsia"/>
          </w:rPr>
          <w:t>刑事訴訟法第</w:t>
        </w:r>
        <w:r w:rsidR="00E55BA0" w:rsidRPr="0029481E">
          <w:rPr>
            <w:rFonts w:hint="eastAsia"/>
          </w:rPr>
          <w:t>9</w:t>
        </w:r>
        <w:r w:rsidR="00E55BA0" w:rsidRPr="0029481E">
          <w:t>5</w:t>
        </w:r>
      </w:hyperlink>
      <w:r w:rsidRPr="0029481E">
        <w:rPr>
          <w:rFonts w:hint="eastAsia"/>
        </w:rPr>
        <w:t>條之告知，即</w:t>
      </w:r>
      <w:proofErr w:type="gramStart"/>
      <w:r w:rsidRPr="0029481E">
        <w:rPr>
          <w:rFonts w:hint="eastAsia"/>
        </w:rPr>
        <w:t>逕</w:t>
      </w:r>
      <w:proofErr w:type="gramEnd"/>
      <w:r w:rsidRPr="0029481E">
        <w:rPr>
          <w:rFonts w:hint="eastAsia"/>
        </w:rPr>
        <w:t>列為被告，提起公訴，其因此所取得之自白，有無證據能力，仍應權衡個案違背法定程序之情節、侵害被告權益之種類及輕重、對於被告訴訟上防禦不利益之程度、犯罪所生之危害或實害等情形，兼顧人權保障及公共利益之均衡維護，審酌判斷之。</w:t>
      </w:r>
      <w:r w:rsidR="00E55BA0" w:rsidRPr="0029481E">
        <w:rPr>
          <w:rFonts w:hint="eastAsia"/>
        </w:rPr>
        <w:t>」</w:t>
      </w:r>
      <w:r w:rsidR="007C7D12" w:rsidRPr="0029481E">
        <w:rPr>
          <w:rFonts w:hint="eastAsia"/>
        </w:rPr>
        <w:t>、最高法院92年度台上字第4003判決意旨：「倘若發生</w:t>
      </w:r>
      <w:r w:rsidR="007C7D12" w:rsidRPr="0029481E">
        <w:rPr>
          <w:rFonts w:hint="eastAsia"/>
        </w:rPr>
        <w:lastRenderedPageBreak/>
        <w:t>檢察官於偵查中，蓄意規避</w:t>
      </w:r>
      <w:proofErr w:type="gramStart"/>
      <w:r w:rsidR="007C7D12" w:rsidRPr="0029481E">
        <w:rPr>
          <w:rFonts w:hint="eastAsia"/>
        </w:rPr>
        <w:t>踐行</w:t>
      </w:r>
      <w:proofErr w:type="gramEnd"/>
      <w:r w:rsidR="007C7D12" w:rsidRPr="0029481E">
        <w:rPr>
          <w:rFonts w:hint="eastAsia"/>
        </w:rPr>
        <w:t>同法第95條之告知義務，對於犯罪嫌疑人以證人之身分予以傳喚，命具結陳述後，採其證言為不利之證據，列為被告，提起公訴之情形，已剝奪被告緘默權及防禦權之行使，</w:t>
      </w:r>
      <w:proofErr w:type="gramStart"/>
      <w:r w:rsidR="007C7D12" w:rsidRPr="0029481E">
        <w:rPr>
          <w:rFonts w:hint="eastAsia"/>
        </w:rPr>
        <w:t>難謂非</w:t>
      </w:r>
      <w:proofErr w:type="gramEnd"/>
      <w:r w:rsidR="007C7D12" w:rsidRPr="0029481E">
        <w:rPr>
          <w:rFonts w:hint="eastAsia"/>
        </w:rPr>
        <w:t>以詐欺之方法而取得自白，此種方式取得之證據係違法取證，不具證據能力。」</w:t>
      </w:r>
    </w:p>
    <w:p w:rsidR="007F1762" w:rsidRPr="0029481E" w:rsidRDefault="007F1762" w:rsidP="00457670">
      <w:pPr>
        <w:pStyle w:val="3"/>
      </w:pPr>
      <w:r w:rsidRPr="0029481E">
        <w:rPr>
          <w:rFonts w:hint="eastAsia"/>
        </w:rPr>
        <w:t>法務部91年3月25日法檢字第0090047562號函，略</w:t>
      </w:r>
      <w:proofErr w:type="gramStart"/>
      <w:r w:rsidRPr="0029481E">
        <w:rPr>
          <w:rFonts w:hint="eastAsia"/>
        </w:rPr>
        <w:t>以</w:t>
      </w:r>
      <w:proofErr w:type="gramEnd"/>
      <w:r w:rsidRPr="0029481E">
        <w:rPr>
          <w:rFonts w:hint="eastAsia"/>
        </w:rPr>
        <w:t>：「惟</w:t>
      </w:r>
      <w:proofErr w:type="gramStart"/>
      <w:r w:rsidRPr="0029481E">
        <w:rPr>
          <w:rFonts w:hint="eastAsia"/>
        </w:rPr>
        <w:t>上開受訊問</w:t>
      </w:r>
      <w:proofErr w:type="gramEnd"/>
      <w:r w:rsidRPr="0029481E">
        <w:rPr>
          <w:rFonts w:hint="eastAsia"/>
        </w:rPr>
        <w:t>人，無論是</w:t>
      </w:r>
      <w:r w:rsidRPr="0029481E">
        <w:rPr>
          <w:rFonts w:hAnsi="標楷體" w:hint="eastAsia"/>
        </w:rPr>
        <w:t>『</w:t>
      </w:r>
      <w:r w:rsidRPr="0029481E">
        <w:rPr>
          <w:rFonts w:hint="eastAsia"/>
        </w:rPr>
        <w:t>證人</w:t>
      </w:r>
      <w:r w:rsidRPr="0029481E">
        <w:rPr>
          <w:rFonts w:hAnsi="標楷體" w:hint="eastAsia"/>
        </w:rPr>
        <w:t>』</w:t>
      </w:r>
      <w:r w:rsidRPr="0029481E">
        <w:rPr>
          <w:rFonts w:hint="eastAsia"/>
        </w:rPr>
        <w:t>或</w:t>
      </w:r>
      <w:r w:rsidRPr="0029481E">
        <w:rPr>
          <w:rFonts w:hAnsi="標楷體" w:hint="eastAsia"/>
        </w:rPr>
        <w:t>『</w:t>
      </w:r>
      <w:r w:rsidRPr="0029481E">
        <w:rPr>
          <w:rFonts w:hint="eastAsia"/>
        </w:rPr>
        <w:t>關係人</w:t>
      </w:r>
      <w:r w:rsidRPr="0029481E">
        <w:rPr>
          <w:rFonts w:hAnsi="標楷體" w:hint="eastAsia"/>
        </w:rPr>
        <w:t>』</w:t>
      </w:r>
      <w:r w:rsidRPr="0029481E">
        <w:rPr>
          <w:rFonts w:hint="eastAsia"/>
        </w:rPr>
        <w:t>，在訊問中如一旦發現其涉嫌犯罪之證據，且身分將轉變成為被告時，此際應即時告知其身分之轉變事由，並依刑事訴訟法第9</w:t>
      </w:r>
      <w:r w:rsidRPr="0029481E">
        <w:t>5</w:t>
      </w:r>
      <w:r w:rsidRPr="0029481E">
        <w:rPr>
          <w:rFonts w:hint="eastAsia"/>
        </w:rPr>
        <w:t>條之規定告知其權利事項，如其表示欲選任辯護人，並應准許之。如此對於該受訊問人之訴訟權利保障應可兼顧，且就其成為被告後之訊問內容，亦具有被告供述之適格。如該關係人之陳述日後可能作為其他案件之證言者，應依刑事訴訟法第1編總則第1</w:t>
      </w:r>
      <w:r w:rsidRPr="0029481E">
        <w:t>2</w:t>
      </w:r>
      <w:r w:rsidRPr="0029481E">
        <w:rPr>
          <w:rFonts w:hint="eastAsia"/>
        </w:rPr>
        <w:t>章證據章之規定，於訊問前告知其證人權利義務及</w:t>
      </w:r>
      <w:proofErr w:type="gramStart"/>
      <w:r w:rsidRPr="0029481E">
        <w:rPr>
          <w:rFonts w:hint="eastAsia"/>
        </w:rPr>
        <w:t>踐行</w:t>
      </w:r>
      <w:proofErr w:type="gramEnd"/>
      <w:r w:rsidRPr="0029481E">
        <w:rPr>
          <w:rFonts w:hint="eastAsia"/>
        </w:rPr>
        <w:t>具結之規定，使該陳述內容具有證言之適格。」</w:t>
      </w:r>
    </w:p>
    <w:p w:rsidR="00F94393" w:rsidRPr="0029481E" w:rsidRDefault="007F1762" w:rsidP="00E55BA0">
      <w:pPr>
        <w:pStyle w:val="3"/>
      </w:pPr>
      <w:r w:rsidRPr="0029481E">
        <w:rPr>
          <w:rFonts w:hint="eastAsia"/>
        </w:rPr>
        <w:t>檢察官應以「通知」方式，通知關係人到場接受偵訊</w:t>
      </w:r>
      <w:r w:rsidR="00BA03B1" w:rsidRPr="0029481E">
        <w:rPr>
          <w:rFonts w:hint="eastAsia"/>
        </w:rPr>
        <w:t>時，</w:t>
      </w:r>
      <w:r w:rsidRPr="0029481E">
        <w:rPr>
          <w:rFonts w:hint="eastAsia"/>
        </w:rPr>
        <w:t>關係人</w:t>
      </w:r>
      <w:r w:rsidR="00BA03B1" w:rsidRPr="0029481E">
        <w:rPr>
          <w:rFonts w:hint="eastAsia"/>
        </w:rPr>
        <w:t>不必具結，供述與否屬關係人之權利</w:t>
      </w:r>
      <w:r w:rsidR="00010326" w:rsidRPr="0029481E">
        <w:rPr>
          <w:rFonts w:hint="eastAsia"/>
        </w:rPr>
        <w:t>。另經</w:t>
      </w:r>
      <w:r w:rsidR="00DF588C" w:rsidRPr="0029481E">
        <w:rPr>
          <w:rFonts w:hint="eastAsia"/>
        </w:rPr>
        <w:t>檢察官</w:t>
      </w:r>
      <w:r w:rsidR="00010326" w:rsidRPr="0029481E">
        <w:rPr>
          <w:rFonts w:hint="eastAsia"/>
        </w:rPr>
        <w:t>訊問後，已懷疑關係人犯罪嫌疑重大，已認為犯嫌為被告屬性，自應以</w:t>
      </w:r>
      <w:proofErr w:type="gramStart"/>
      <w:r w:rsidR="00F93A65" w:rsidRPr="0029481E">
        <w:rPr>
          <w:rFonts w:hint="eastAsia"/>
        </w:rPr>
        <w:t>踐行</w:t>
      </w:r>
      <w:proofErr w:type="gramEnd"/>
      <w:r w:rsidR="00010326" w:rsidRPr="0029481E">
        <w:rPr>
          <w:rFonts w:hint="eastAsia"/>
        </w:rPr>
        <w:t>被告</w:t>
      </w:r>
      <w:r w:rsidR="00F93A65" w:rsidRPr="0029481E">
        <w:rPr>
          <w:rFonts w:hint="eastAsia"/>
        </w:rPr>
        <w:t>相關權益之訴訟</w:t>
      </w:r>
      <w:r w:rsidR="00010326" w:rsidRPr="0029481E">
        <w:rPr>
          <w:rFonts w:hint="eastAsia"/>
        </w:rPr>
        <w:t>程序，惟此時檢察官打算</w:t>
      </w:r>
      <w:proofErr w:type="gramStart"/>
      <w:r w:rsidR="00010326" w:rsidRPr="0029481E">
        <w:rPr>
          <w:rFonts w:hint="eastAsia"/>
        </w:rPr>
        <w:t>取供後</w:t>
      </w:r>
      <w:proofErr w:type="gramEnd"/>
      <w:r w:rsidR="00010326" w:rsidRPr="0029481E">
        <w:rPr>
          <w:rFonts w:hint="eastAsia"/>
        </w:rPr>
        <w:t>再</w:t>
      </w:r>
      <w:r w:rsidR="00F93A65" w:rsidRPr="0029481E">
        <w:rPr>
          <w:rFonts w:hint="eastAsia"/>
        </w:rPr>
        <w:t>行</w:t>
      </w:r>
      <w:r w:rsidR="00010326" w:rsidRPr="0029481E">
        <w:rPr>
          <w:rFonts w:hint="eastAsia"/>
        </w:rPr>
        <w:t>起訴，將造成被告辯護權落空、緘默權喪失，取得證據對於犯罪嫌疑人或被告應不具證據能力</w:t>
      </w:r>
      <w:r w:rsidR="00010326" w:rsidRPr="0029481E">
        <w:rPr>
          <w:rStyle w:val="aff"/>
        </w:rPr>
        <w:footnoteReference w:id="5"/>
      </w:r>
      <w:r w:rsidR="00010326" w:rsidRPr="0029481E">
        <w:rPr>
          <w:rFonts w:hint="eastAsia"/>
        </w:rPr>
        <w:t>。</w:t>
      </w:r>
    </w:p>
    <w:p w:rsidR="00E608F2" w:rsidRPr="0029481E" w:rsidRDefault="00E608F2" w:rsidP="00457670">
      <w:pPr>
        <w:pStyle w:val="3"/>
      </w:pPr>
      <w:r w:rsidRPr="0029481E">
        <w:rPr>
          <w:rFonts w:hint="eastAsia"/>
        </w:rPr>
        <w:t>偵查中，檢調機關以「證人身分」所為之陳述，究竟有無證據能力，應從檢調機關是否出於惡意來區</w:t>
      </w:r>
      <w:r w:rsidRPr="0029481E">
        <w:rPr>
          <w:rFonts w:hint="eastAsia"/>
        </w:rPr>
        <w:lastRenderedPageBreak/>
        <w:t>分</w:t>
      </w:r>
      <w:r w:rsidR="00296E13" w:rsidRPr="0029481E">
        <w:rPr>
          <w:rStyle w:val="aff"/>
        </w:rPr>
        <w:footnoteReference w:id="6"/>
      </w:r>
      <w:r w:rsidRPr="0029481E">
        <w:rPr>
          <w:rFonts w:hint="eastAsia"/>
        </w:rPr>
        <w:t>。</w:t>
      </w:r>
    </w:p>
    <w:p w:rsidR="00E608F2" w:rsidRPr="0029481E" w:rsidRDefault="00E608F2" w:rsidP="00E608F2">
      <w:pPr>
        <w:pStyle w:val="4"/>
      </w:pPr>
      <w:r w:rsidRPr="0029481E">
        <w:rPr>
          <w:rFonts w:hint="eastAsia"/>
        </w:rPr>
        <w:t>檢察官基於惡意取證：</w:t>
      </w:r>
    </w:p>
    <w:p w:rsidR="00AF73EA" w:rsidRPr="0029481E" w:rsidRDefault="00E608F2" w:rsidP="00A84EF6">
      <w:pPr>
        <w:pStyle w:val="41"/>
        <w:ind w:left="1701" w:firstLine="680"/>
      </w:pPr>
      <w:r w:rsidRPr="0029481E">
        <w:rPr>
          <w:rFonts w:hint="eastAsia"/>
        </w:rPr>
        <w:t>若檢察官惡意以證人之身分予以傳喚，並命其具結陳述後，以證人的調查方式進行訊問，於</w:t>
      </w:r>
      <w:proofErr w:type="gramStart"/>
      <w:r w:rsidRPr="0029481E">
        <w:rPr>
          <w:rFonts w:hint="eastAsia"/>
        </w:rPr>
        <w:t>採</w:t>
      </w:r>
      <w:proofErr w:type="gramEnd"/>
      <w:r w:rsidRPr="0029481E">
        <w:rPr>
          <w:rFonts w:hint="eastAsia"/>
        </w:rPr>
        <w:t>其證言為本案不利之證據後，再列為被告，提</w:t>
      </w:r>
      <w:r w:rsidR="00A84EF6" w:rsidRPr="0029481E">
        <w:rPr>
          <w:rFonts w:hint="eastAsia"/>
        </w:rPr>
        <w:t>起</w:t>
      </w:r>
      <w:r w:rsidRPr="0029481E">
        <w:rPr>
          <w:rFonts w:hint="eastAsia"/>
        </w:rPr>
        <w:t>公訴。此無異於蓄意規避</w:t>
      </w:r>
      <w:proofErr w:type="gramStart"/>
      <w:r w:rsidRPr="0029481E">
        <w:rPr>
          <w:rFonts w:hint="eastAsia"/>
        </w:rPr>
        <w:t>踐行</w:t>
      </w:r>
      <w:proofErr w:type="gramEnd"/>
      <w:r w:rsidRPr="0029481E">
        <w:rPr>
          <w:rFonts w:hint="eastAsia"/>
        </w:rPr>
        <w:t>刑</w:t>
      </w:r>
      <w:r w:rsidR="00A84EF6" w:rsidRPr="0029481E">
        <w:rPr>
          <w:rFonts w:hint="eastAsia"/>
        </w:rPr>
        <w:t>事</w:t>
      </w:r>
      <w:r w:rsidRPr="0029481E">
        <w:rPr>
          <w:rFonts w:hint="eastAsia"/>
        </w:rPr>
        <w:t>訴</w:t>
      </w:r>
      <w:r w:rsidR="00A84EF6" w:rsidRPr="0029481E">
        <w:rPr>
          <w:rFonts w:hint="eastAsia"/>
        </w:rPr>
        <w:t>訟</w:t>
      </w:r>
      <w:r w:rsidRPr="0029481E">
        <w:rPr>
          <w:rFonts w:hint="eastAsia"/>
        </w:rPr>
        <w:t>法第</w:t>
      </w:r>
      <w:r w:rsidR="00A84EF6" w:rsidRPr="0029481E">
        <w:rPr>
          <w:rFonts w:hint="eastAsia"/>
        </w:rPr>
        <w:t>9</w:t>
      </w:r>
      <w:r w:rsidR="00A84EF6" w:rsidRPr="0029481E">
        <w:t>5</w:t>
      </w:r>
      <w:r w:rsidRPr="0029481E">
        <w:rPr>
          <w:rFonts w:hint="eastAsia"/>
        </w:rPr>
        <w:t>條所定之告知義務，等同剝奪被告之緘默</w:t>
      </w:r>
      <w:r w:rsidR="00A84EF6" w:rsidRPr="0029481E">
        <w:rPr>
          <w:rFonts w:hint="eastAsia"/>
        </w:rPr>
        <w:t>權</w:t>
      </w:r>
      <w:r w:rsidRPr="0029481E">
        <w:rPr>
          <w:rFonts w:hint="eastAsia"/>
        </w:rPr>
        <w:t>及辯護</w:t>
      </w:r>
      <w:r w:rsidR="00A84EF6" w:rsidRPr="0029481E">
        <w:rPr>
          <w:rFonts w:hint="eastAsia"/>
        </w:rPr>
        <w:t>權，因此違法取得之自白，自應依刑事訴訟法第1</w:t>
      </w:r>
      <w:r w:rsidR="00A84EF6" w:rsidRPr="0029481E">
        <w:t>56</w:t>
      </w:r>
      <w:r w:rsidR="00A84EF6" w:rsidRPr="0029481E">
        <w:rPr>
          <w:rFonts w:hint="eastAsia"/>
        </w:rPr>
        <w:t>條第1項的反面解釋，認為被告之自白係出於詐欺之方法所取得，無證據能力。</w:t>
      </w:r>
    </w:p>
    <w:p w:rsidR="00A84EF6" w:rsidRPr="0029481E" w:rsidRDefault="00296E13" w:rsidP="00296E13">
      <w:pPr>
        <w:pStyle w:val="4"/>
      </w:pPr>
      <w:r w:rsidRPr="0029481E">
        <w:rPr>
          <w:rFonts w:hint="eastAsia"/>
        </w:rPr>
        <w:t>檢察官非基於惡意取證：</w:t>
      </w:r>
    </w:p>
    <w:p w:rsidR="00A84EF6" w:rsidRPr="0029481E" w:rsidRDefault="00296E13" w:rsidP="00A84EF6">
      <w:pPr>
        <w:pStyle w:val="41"/>
        <w:ind w:left="1701" w:firstLine="680"/>
      </w:pPr>
      <w:r w:rsidRPr="0029481E">
        <w:rPr>
          <w:rFonts w:hint="eastAsia"/>
        </w:rPr>
        <w:t>如檢察官非惡意規避刑事訴訟法第95條之規定，係於訊問時始發現關係人或證人涉有犯嫌，只是無法為適時告知，然因職責所在，列為被告，提起公訴，其因此所取得之供述證據，實務上認為，依</w:t>
      </w:r>
      <w:r w:rsidR="00CD1E96">
        <w:rPr>
          <w:rFonts w:hint="eastAsia"/>
        </w:rPr>
        <w:t>刑事訴訟法</w:t>
      </w:r>
      <w:r w:rsidRPr="0029481E">
        <w:rPr>
          <w:rFonts w:hint="eastAsia"/>
        </w:rPr>
        <w:t>第1</w:t>
      </w:r>
      <w:r w:rsidRPr="0029481E">
        <w:t>58</w:t>
      </w:r>
      <w:r w:rsidRPr="0029481E">
        <w:rPr>
          <w:rFonts w:hint="eastAsia"/>
        </w:rPr>
        <w:t>條之4之規定，進行個案權衡，即應就違背法定程序之情節、侵害被告權益之種類及輕重、對於被告訴訟上防禦不利益之程度、犯罪所生之危害或實害等，兼顧人權保障及公共利益之均衡維護，綜合審酌謹慎的判斷，是否有證據能力。</w:t>
      </w:r>
    </w:p>
    <w:p w:rsidR="00A84EF6" w:rsidRPr="0029481E" w:rsidRDefault="002421EA" w:rsidP="002421EA">
      <w:pPr>
        <w:pStyle w:val="3"/>
      </w:pPr>
      <w:r w:rsidRPr="0029481E">
        <w:rPr>
          <w:rFonts w:hint="eastAsia"/>
        </w:rPr>
        <w:t>對於偵查中關係人之傳訊，檢察官以關係人具有</w:t>
      </w:r>
      <w:r w:rsidR="00C06099" w:rsidRPr="0029481E">
        <w:rPr>
          <w:rFonts w:hint="eastAsia"/>
        </w:rPr>
        <w:t>證</w:t>
      </w:r>
      <w:r w:rsidRPr="0029481E">
        <w:rPr>
          <w:rFonts w:hint="eastAsia"/>
        </w:rPr>
        <w:t>人身分傳喚，但訊問後認有改變身分之必要時，要告知權利並准</w:t>
      </w:r>
      <w:hyperlink r:id="rId11" w:tgtFrame="_blank" w:history="1">
        <w:r w:rsidRPr="0029481E">
          <w:rPr>
            <w:rFonts w:hint="eastAsia"/>
          </w:rPr>
          <w:t>辯護</w:t>
        </w:r>
      </w:hyperlink>
      <w:proofErr w:type="gramStart"/>
      <w:r w:rsidRPr="0029481E">
        <w:rPr>
          <w:rFonts w:hint="eastAsia"/>
        </w:rPr>
        <w:t>人在場</w:t>
      </w:r>
      <w:proofErr w:type="gramEnd"/>
      <w:r w:rsidRPr="0029481E">
        <w:rPr>
          <w:rFonts w:hint="eastAsia"/>
        </w:rPr>
        <w:t>。日後有改變身分之必要，在起訴前</w:t>
      </w:r>
      <w:r w:rsidR="00777A94" w:rsidRPr="0029481E">
        <w:rPr>
          <w:rFonts w:hint="eastAsia"/>
        </w:rPr>
        <w:t>應</w:t>
      </w:r>
      <w:r w:rsidRPr="0029481E">
        <w:rPr>
          <w:rFonts w:hint="eastAsia"/>
        </w:rPr>
        <w:t>由檢方另行傳喚，並告知罪名與</w:t>
      </w:r>
      <w:proofErr w:type="gramStart"/>
      <w:r w:rsidRPr="0029481E">
        <w:rPr>
          <w:rFonts w:hint="eastAsia"/>
        </w:rPr>
        <w:t>權利及准選任辯護人在</w:t>
      </w:r>
      <w:proofErr w:type="gramEnd"/>
      <w:r w:rsidRPr="0029481E">
        <w:rPr>
          <w:rFonts w:hint="eastAsia"/>
        </w:rPr>
        <w:t>場。依法理如果有合法變更身分，並</w:t>
      </w:r>
      <w:proofErr w:type="gramStart"/>
      <w:r w:rsidRPr="0029481E">
        <w:rPr>
          <w:rFonts w:hint="eastAsia"/>
        </w:rPr>
        <w:t>踐行</w:t>
      </w:r>
      <w:proofErr w:type="gramEnd"/>
      <w:r w:rsidRPr="0029481E">
        <w:rPr>
          <w:rFonts w:hint="eastAsia"/>
        </w:rPr>
        <w:t>告知罪名及權利程序，之前以證人身分</w:t>
      </w:r>
      <w:r w:rsidRPr="0029481E">
        <w:rPr>
          <w:rFonts w:hint="eastAsia"/>
        </w:rPr>
        <w:lastRenderedPageBreak/>
        <w:t>所為之陳述，應仍有證據能力</w:t>
      </w:r>
      <w:r w:rsidRPr="0029481E">
        <w:rPr>
          <w:rStyle w:val="aff"/>
        </w:rPr>
        <w:footnoteReference w:id="7"/>
      </w:r>
      <w:r w:rsidRPr="0029481E">
        <w:rPr>
          <w:rFonts w:hint="eastAsia"/>
        </w:rPr>
        <w:t>。</w:t>
      </w:r>
    </w:p>
    <w:p w:rsidR="003A5927" w:rsidRPr="0029481E" w:rsidRDefault="006E1E6F" w:rsidP="006E1E6F">
      <w:pPr>
        <w:pStyle w:val="3"/>
      </w:pPr>
      <w:r w:rsidRPr="0029481E">
        <w:rPr>
          <w:rFonts w:hint="eastAsia"/>
        </w:rPr>
        <w:t>綜上，有關他字案，檢察官以關係人身分，通知</w:t>
      </w:r>
      <w:r w:rsidR="00D73D90" w:rsidRPr="0029481E">
        <w:rPr>
          <w:rFonts w:hint="eastAsia"/>
        </w:rPr>
        <w:t>關係人到場訊問</w:t>
      </w:r>
      <w:r w:rsidRPr="0029481E">
        <w:rPr>
          <w:rFonts w:hint="eastAsia"/>
        </w:rPr>
        <w:t>，不令</w:t>
      </w:r>
      <w:r w:rsidR="00D73D90" w:rsidRPr="0029481E">
        <w:rPr>
          <w:rFonts w:hint="eastAsia"/>
        </w:rPr>
        <w:t>其</w:t>
      </w:r>
      <w:r w:rsidRPr="0029481E">
        <w:rPr>
          <w:rFonts w:hint="eastAsia"/>
        </w:rPr>
        <w:t>具結；</w:t>
      </w:r>
      <w:proofErr w:type="gramStart"/>
      <w:r w:rsidRPr="0029481E">
        <w:rPr>
          <w:rFonts w:hint="eastAsia"/>
        </w:rPr>
        <w:t>反之，</w:t>
      </w:r>
      <w:proofErr w:type="gramEnd"/>
      <w:r w:rsidRPr="0029481E">
        <w:rPr>
          <w:rFonts w:hint="eastAsia"/>
        </w:rPr>
        <w:t>檢察官訊問關係人後，認為</w:t>
      </w:r>
      <w:r w:rsidR="00D73D90" w:rsidRPr="0029481E">
        <w:rPr>
          <w:rFonts w:hint="eastAsia"/>
        </w:rPr>
        <w:t>渠</w:t>
      </w:r>
      <w:r w:rsidRPr="0029481E">
        <w:rPr>
          <w:rFonts w:hint="eastAsia"/>
        </w:rPr>
        <w:t>有犯罪嫌疑，已具被告屬性，將關係人身分轉換為被告時，應</w:t>
      </w:r>
      <w:proofErr w:type="gramStart"/>
      <w:r w:rsidRPr="0029481E">
        <w:rPr>
          <w:rFonts w:hint="eastAsia"/>
        </w:rPr>
        <w:t>踐</w:t>
      </w:r>
      <w:proofErr w:type="gramEnd"/>
      <w:r w:rsidRPr="0029481E">
        <w:rPr>
          <w:rFonts w:hint="eastAsia"/>
        </w:rPr>
        <w:t>行刑事</w:t>
      </w:r>
      <w:r w:rsidR="007D0495" w:rsidRPr="0029481E">
        <w:rPr>
          <w:rFonts w:hint="eastAsia"/>
        </w:rPr>
        <w:t>訴</w:t>
      </w:r>
      <w:r w:rsidRPr="0029481E">
        <w:rPr>
          <w:rFonts w:hint="eastAsia"/>
        </w:rPr>
        <w:t>訟法第95條規定之告知義務</w:t>
      </w:r>
      <w:r w:rsidR="00D73D90" w:rsidRPr="0029481E">
        <w:rPr>
          <w:rFonts w:hint="eastAsia"/>
        </w:rPr>
        <w:t>及被告相關訴訟權益</w:t>
      </w:r>
      <w:r w:rsidRPr="0029481E">
        <w:rPr>
          <w:rFonts w:hint="eastAsia"/>
        </w:rPr>
        <w:t>；另將關係人身分轉換為證人時，應</w:t>
      </w:r>
      <w:proofErr w:type="gramStart"/>
      <w:r w:rsidRPr="0029481E">
        <w:rPr>
          <w:rFonts w:hint="eastAsia"/>
        </w:rPr>
        <w:t>踐行</w:t>
      </w:r>
      <w:proofErr w:type="gramEnd"/>
      <w:r w:rsidRPr="0029481E">
        <w:rPr>
          <w:rFonts w:hint="eastAsia"/>
        </w:rPr>
        <w:t>刑事</w:t>
      </w:r>
      <w:r w:rsidR="007D0495" w:rsidRPr="0029481E">
        <w:rPr>
          <w:rFonts w:hint="eastAsia"/>
        </w:rPr>
        <w:t>訴</w:t>
      </w:r>
      <w:r w:rsidRPr="0029481E">
        <w:rPr>
          <w:rFonts w:hint="eastAsia"/>
        </w:rPr>
        <w:t>訟法第186條第2項規定之拒絕證言程序</w:t>
      </w:r>
      <w:r w:rsidR="00457670" w:rsidRPr="0029481E">
        <w:rPr>
          <w:rFonts w:hint="eastAsia"/>
        </w:rPr>
        <w:t>。倘若發生檢察官於偵查中，蓄意規避</w:t>
      </w:r>
      <w:proofErr w:type="gramStart"/>
      <w:r w:rsidR="00457670" w:rsidRPr="0029481E">
        <w:rPr>
          <w:rFonts w:hint="eastAsia"/>
        </w:rPr>
        <w:t>踐行</w:t>
      </w:r>
      <w:proofErr w:type="gramEnd"/>
      <w:r w:rsidR="00457670" w:rsidRPr="0029481E">
        <w:rPr>
          <w:rFonts w:hint="eastAsia"/>
        </w:rPr>
        <w:t>同法第95條之告知義務，對於犯罪嫌疑人以證人之身分予以傳喚，命具結陳述後，採其證言為不利之證據，列為被告，提起公訴之情形，已剝奪被告緘默權及防禦權之行使，</w:t>
      </w:r>
      <w:proofErr w:type="gramStart"/>
      <w:r w:rsidR="00457670" w:rsidRPr="0029481E">
        <w:rPr>
          <w:rFonts w:hint="eastAsia"/>
        </w:rPr>
        <w:t>難謂非</w:t>
      </w:r>
      <w:proofErr w:type="gramEnd"/>
      <w:r w:rsidR="00457670" w:rsidRPr="0029481E">
        <w:rPr>
          <w:rFonts w:hint="eastAsia"/>
        </w:rPr>
        <w:t>以詐欺之方法而取得自白，此種方式取得之證據係違法取證，不具證據能力。因此，有關關係人身分之轉換為被告或證人；證人轉換為被告，均應</w:t>
      </w:r>
      <w:proofErr w:type="gramStart"/>
      <w:r w:rsidR="00457670" w:rsidRPr="0029481E">
        <w:rPr>
          <w:rFonts w:hint="eastAsia"/>
        </w:rPr>
        <w:t>踐行</w:t>
      </w:r>
      <w:proofErr w:type="gramEnd"/>
      <w:r w:rsidR="007E5E3C" w:rsidRPr="0029481E">
        <w:rPr>
          <w:rFonts w:hint="eastAsia"/>
        </w:rPr>
        <w:t>正當法律程序，</w:t>
      </w:r>
      <w:r w:rsidRPr="0029481E">
        <w:rPr>
          <w:rFonts w:hint="eastAsia"/>
        </w:rPr>
        <w:t>以保障人民訴訟權益</w:t>
      </w:r>
      <w:r w:rsidRPr="0029481E">
        <w:rPr>
          <w:rFonts w:hint="eastAsia"/>
          <w:szCs w:val="48"/>
        </w:rPr>
        <w:t>及公共利益之維護</w:t>
      </w:r>
      <w:r w:rsidRPr="0029481E">
        <w:rPr>
          <w:rFonts w:hint="eastAsia"/>
        </w:rPr>
        <w:t>。</w:t>
      </w:r>
    </w:p>
    <w:p w:rsidR="003A5927" w:rsidRPr="0029481E" w:rsidRDefault="007621CE" w:rsidP="004D39B8">
      <w:pPr>
        <w:pStyle w:val="2"/>
        <w:rPr>
          <w:b/>
        </w:rPr>
      </w:pPr>
      <w:r w:rsidRPr="0029481E">
        <w:rPr>
          <w:rFonts w:hAnsi="標楷體" w:hint="eastAsia"/>
          <w:b/>
          <w:szCs w:val="32"/>
        </w:rPr>
        <w:t>按辦理他案應行注意事項第11點規定，</w:t>
      </w:r>
      <w:r w:rsidRPr="0029481E">
        <w:rPr>
          <w:rFonts w:hint="eastAsia"/>
          <w:b/>
          <w:kern w:val="0"/>
        </w:rPr>
        <w:t>檢察官辦理「他」案於簽結後，應即將法律上之原因通知告訴人、告發人、受調查人及其選任辯護人，不得用「本案簽結」作復。惟查</w:t>
      </w:r>
      <w:proofErr w:type="gramStart"/>
      <w:r w:rsidR="00B7707F" w:rsidRPr="0029481E">
        <w:rPr>
          <w:rFonts w:hint="eastAsia"/>
          <w:b/>
          <w:kern w:val="0"/>
        </w:rPr>
        <w:t>臺</w:t>
      </w:r>
      <w:proofErr w:type="gramEnd"/>
      <w:r w:rsidRPr="0029481E">
        <w:rPr>
          <w:rFonts w:hint="eastAsia"/>
          <w:b/>
        </w:rPr>
        <w:t>南地檢署</w:t>
      </w:r>
      <w:proofErr w:type="gramStart"/>
      <w:r w:rsidRPr="0029481E">
        <w:rPr>
          <w:rFonts w:hint="eastAsia"/>
          <w:b/>
        </w:rPr>
        <w:t>111年2月8日函受調查</w:t>
      </w:r>
      <w:proofErr w:type="gramEnd"/>
      <w:r w:rsidRPr="0029481E">
        <w:rPr>
          <w:rFonts w:hint="eastAsia"/>
          <w:b/>
        </w:rPr>
        <w:t>人林</w:t>
      </w:r>
      <w:r w:rsidR="003F375C" w:rsidRPr="003F375C">
        <w:rPr>
          <w:rFonts w:hint="eastAsia"/>
          <w:b/>
        </w:rPr>
        <w:t>○</w:t>
      </w:r>
      <w:r w:rsidRPr="0029481E">
        <w:rPr>
          <w:rFonts w:hint="eastAsia"/>
          <w:b/>
        </w:rPr>
        <w:t>彣等人，僅以「查無具體犯罪事證，已予結案。」</w:t>
      </w:r>
      <w:proofErr w:type="gramStart"/>
      <w:r w:rsidRPr="0029481E">
        <w:rPr>
          <w:rFonts w:hint="eastAsia"/>
          <w:b/>
        </w:rPr>
        <w:t>未符上開</w:t>
      </w:r>
      <w:proofErr w:type="gramEnd"/>
      <w:r w:rsidRPr="0029481E">
        <w:rPr>
          <w:rFonts w:hint="eastAsia"/>
          <w:b/>
        </w:rPr>
        <w:t>規定，應予改進。另</w:t>
      </w:r>
      <w:r w:rsidRPr="0029481E">
        <w:rPr>
          <w:rFonts w:hAnsi="標楷體" w:hint="eastAsia"/>
          <w:b/>
          <w:szCs w:val="32"/>
        </w:rPr>
        <w:t>受調查人之名詞是否</w:t>
      </w:r>
      <w:proofErr w:type="gramStart"/>
      <w:r w:rsidRPr="0029481E">
        <w:rPr>
          <w:rFonts w:hAnsi="標楷體" w:hint="eastAsia"/>
          <w:b/>
          <w:szCs w:val="32"/>
        </w:rPr>
        <w:t>不當乙</w:t>
      </w:r>
      <w:proofErr w:type="gramEnd"/>
      <w:r w:rsidRPr="0029481E">
        <w:rPr>
          <w:rFonts w:hAnsi="標楷體" w:hint="eastAsia"/>
          <w:b/>
          <w:szCs w:val="32"/>
        </w:rPr>
        <w:t>節，</w:t>
      </w:r>
      <w:r w:rsidRPr="0029481E">
        <w:rPr>
          <w:rFonts w:hint="eastAsia"/>
          <w:b/>
        </w:rPr>
        <w:t>法務部允宜</w:t>
      </w:r>
      <w:r w:rsidR="00DE021A" w:rsidRPr="0029481E">
        <w:rPr>
          <w:rFonts w:hint="eastAsia"/>
          <w:b/>
        </w:rPr>
        <w:t>督導臺高檢署</w:t>
      </w:r>
      <w:r w:rsidRPr="0029481E">
        <w:rPr>
          <w:rFonts w:hAnsi="標楷體" w:hint="eastAsia"/>
          <w:b/>
          <w:szCs w:val="32"/>
        </w:rPr>
        <w:t>研修。</w:t>
      </w:r>
    </w:p>
    <w:p w:rsidR="004D39B8" w:rsidRPr="0029481E" w:rsidRDefault="004D39B8" w:rsidP="004D39B8">
      <w:pPr>
        <w:pStyle w:val="3"/>
      </w:pPr>
      <w:r w:rsidRPr="0029481E">
        <w:rPr>
          <w:rFonts w:hint="eastAsia"/>
        </w:rPr>
        <w:t>按辦理他案應行注意事項第11點規定：「</w:t>
      </w:r>
      <w:r w:rsidRPr="0029481E">
        <w:rPr>
          <w:rFonts w:hint="eastAsia"/>
          <w:kern w:val="0"/>
        </w:rPr>
        <w:t>檢察官辦理</w:t>
      </w:r>
      <w:r w:rsidRPr="0029481E">
        <w:rPr>
          <w:rFonts w:hAnsi="標楷體" w:hint="eastAsia"/>
          <w:kern w:val="0"/>
        </w:rPr>
        <w:t>『</w:t>
      </w:r>
      <w:r w:rsidRPr="0029481E">
        <w:rPr>
          <w:rFonts w:hint="eastAsia"/>
          <w:kern w:val="0"/>
        </w:rPr>
        <w:t>他</w:t>
      </w:r>
      <w:r w:rsidRPr="0029481E">
        <w:rPr>
          <w:rFonts w:hAnsi="標楷體" w:hint="eastAsia"/>
          <w:kern w:val="0"/>
        </w:rPr>
        <w:t>』</w:t>
      </w:r>
      <w:r w:rsidRPr="0029481E">
        <w:rPr>
          <w:rFonts w:hint="eastAsia"/>
          <w:kern w:val="0"/>
        </w:rPr>
        <w:t>案於簽結後，應即將法律上之原因通知告訴人、告發人、受調查人及其選任辯護人，不得用</w:t>
      </w:r>
      <w:r w:rsidRPr="0029481E">
        <w:rPr>
          <w:rFonts w:hAnsi="標楷體" w:hint="eastAsia"/>
          <w:kern w:val="0"/>
        </w:rPr>
        <w:t>『</w:t>
      </w:r>
      <w:r w:rsidRPr="0029481E">
        <w:rPr>
          <w:rFonts w:hint="eastAsia"/>
          <w:kern w:val="0"/>
        </w:rPr>
        <w:t>本案簽結</w:t>
      </w:r>
      <w:r w:rsidRPr="0029481E">
        <w:rPr>
          <w:rFonts w:hAnsi="標楷體" w:hint="eastAsia"/>
          <w:kern w:val="0"/>
        </w:rPr>
        <w:t>』</w:t>
      </w:r>
      <w:r w:rsidRPr="0029481E">
        <w:rPr>
          <w:rFonts w:hint="eastAsia"/>
          <w:kern w:val="0"/>
        </w:rPr>
        <w:t>作復。…</w:t>
      </w:r>
      <w:proofErr w:type="gramStart"/>
      <w:r w:rsidRPr="0029481E">
        <w:rPr>
          <w:rFonts w:hint="eastAsia"/>
          <w:kern w:val="0"/>
        </w:rPr>
        <w:t>…</w:t>
      </w:r>
      <w:proofErr w:type="gramEnd"/>
      <w:r w:rsidRPr="0029481E">
        <w:rPr>
          <w:rFonts w:hint="eastAsia"/>
          <w:kern w:val="0"/>
        </w:rPr>
        <w:t>。」</w:t>
      </w:r>
    </w:p>
    <w:p w:rsidR="004D39B8" w:rsidRPr="0029481E" w:rsidRDefault="007621CE" w:rsidP="00EC4CB4">
      <w:pPr>
        <w:pStyle w:val="3"/>
      </w:pPr>
      <w:r w:rsidRPr="0029481E">
        <w:rPr>
          <w:rFonts w:hint="eastAsia"/>
        </w:rPr>
        <w:lastRenderedPageBreak/>
        <w:t>惟</w:t>
      </w:r>
      <w:r w:rsidR="004D39B8" w:rsidRPr="0029481E">
        <w:rPr>
          <w:rFonts w:hint="eastAsia"/>
        </w:rPr>
        <w:t>查</w:t>
      </w:r>
      <w:proofErr w:type="gramStart"/>
      <w:r w:rsidR="00432FEC" w:rsidRPr="0029481E">
        <w:rPr>
          <w:rFonts w:hint="eastAsia"/>
        </w:rPr>
        <w:t>臺</w:t>
      </w:r>
      <w:proofErr w:type="gramEnd"/>
      <w:r w:rsidR="004D39B8" w:rsidRPr="0029481E">
        <w:rPr>
          <w:rFonts w:hint="eastAsia"/>
        </w:rPr>
        <w:t>南</w:t>
      </w:r>
      <w:r w:rsidR="008A63A0" w:rsidRPr="0029481E">
        <w:rPr>
          <w:rFonts w:hint="eastAsia"/>
        </w:rPr>
        <w:t>地檢署1</w:t>
      </w:r>
      <w:r w:rsidR="008A63A0" w:rsidRPr="0029481E">
        <w:t>11</w:t>
      </w:r>
      <w:r w:rsidR="008A63A0" w:rsidRPr="0029481E">
        <w:rPr>
          <w:rFonts w:hint="eastAsia"/>
        </w:rPr>
        <w:t>年2月8日南檢文兼107他6070字</w:t>
      </w:r>
      <w:proofErr w:type="gramStart"/>
      <w:r w:rsidR="008A63A0" w:rsidRPr="0029481E">
        <w:rPr>
          <w:rFonts w:hint="eastAsia"/>
        </w:rPr>
        <w:t>第1119007766號函受調</w:t>
      </w:r>
      <w:proofErr w:type="gramEnd"/>
      <w:r w:rsidR="008A63A0" w:rsidRPr="0029481E">
        <w:rPr>
          <w:rFonts w:hint="eastAsia"/>
        </w:rPr>
        <w:t>查人林</w:t>
      </w:r>
      <w:r w:rsidR="00312724">
        <w:rPr>
          <w:rFonts w:hAnsi="標楷體" w:hint="eastAsia"/>
        </w:rPr>
        <w:t>○</w:t>
      </w:r>
      <w:r w:rsidR="008A63A0" w:rsidRPr="0029481E">
        <w:rPr>
          <w:rFonts w:hint="eastAsia"/>
        </w:rPr>
        <w:t>彣、周</w:t>
      </w:r>
      <w:r w:rsidR="00312724">
        <w:rPr>
          <w:rFonts w:hAnsi="標楷體" w:hint="eastAsia"/>
        </w:rPr>
        <w:t>○</w:t>
      </w:r>
      <w:r w:rsidR="008A63A0" w:rsidRPr="0029481E">
        <w:rPr>
          <w:rFonts w:hint="eastAsia"/>
        </w:rPr>
        <w:t>勳、許</w:t>
      </w:r>
      <w:r w:rsidR="00312724">
        <w:rPr>
          <w:rFonts w:hAnsi="標楷體" w:hint="eastAsia"/>
        </w:rPr>
        <w:t>○</w:t>
      </w:r>
      <w:r w:rsidR="008A63A0" w:rsidRPr="0029481E">
        <w:rPr>
          <w:rFonts w:hint="eastAsia"/>
        </w:rPr>
        <w:t>芬律師、鄭</w:t>
      </w:r>
      <w:r w:rsidR="00312724">
        <w:rPr>
          <w:rFonts w:hAnsi="標楷體" w:hint="eastAsia"/>
        </w:rPr>
        <w:t>○</w:t>
      </w:r>
      <w:r w:rsidR="008A63A0" w:rsidRPr="0029481E">
        <w:rPr>
          <w:rFonts w:hint="eastAsia"/>
        </w:rPr>
        <w:t>婷律師、蔡</w:t>
      </w:r>
      <w:r w:rsidR="00312724">
        <w:rPr>
          <w:rFonts w:hAnsi="標楷體" w:hint="eastAsia"/>
        </w:rPr>
        <w:t>○</w:t>
      </w:r>
      <w:r w:rsidR="008A63A0" w:rsidRPr="0029481E">
        <w:rPr>
          <w:rFonts w:hint="eastAsia"/>
        </w:rPr>
        <w:t>君律師，主旨：「本署</w:t>
      </w:r>
      <w:proofErr w:type="gramStart"/>
      <w:r w:rsidR="008A63A0" w:rsidRPr="0029481E">
        <w:rPr>
          <w:rFonts w:hint="eastAsia"/>
        </w:rPr>
        <w:t>107</w:t>
      </w:r>
      <w:proofErr w:type="gramEnd"/>
      <w:r w:rsidR="008A63A0" w:rsidRPr="0029481E">
        <w:rPr>
          <w:rFonts w:hint="eastAsia"/>
        </w:rPr>
        <w:t>年度他字第6070號許</w:t>
      </w:r>
      <w:r w:rsidR="00312724">
        <w:rPr>
          <w:rFonts w:hAnsi="標楷體" w:hint="eastAsia"/>
        </w:rPr>
        <w:t>○</w:t>
      </w:r>
      <w:r w:rsidR="008A63A0" w:rsidRPr="0029481E">
        <w:rPr>
          <w:rFonts w:hint="eastAsia"/>
        </w:rPr>
        <w:t>卿、</w:t>
      </w:r>
      <w:proofErr w:type="gramStart"/>
      <w:r w:rsidR="008A63A0" w:rsidRPr="0029481E">
        <w:rPr>
          <w:rFonts w:hint="eastAsia"/>
        </w:rPr>
        <w:t>周</w:t>
      </w:r>
      <w:r w:rsidR="00312724">
        <w:rPr>
          <w:rFonts w:hAnsi="標楷體" w:hint="eastAsia"/>
        </w:rPr>
        <w:t>○</w:t>
      </w:r>
      <w:proofErr w:type="gramEnd"/>
      <w:r w:rsidR="008A63A0" w:rsidRPr="0029481E">
        <w:rPr>
          <w:rFonts w:hint="eastAsia"/>
        </w:rPr>
        <w:t>勳、林</w:t>
      </w:r>
      <w:r w:rsidR="00312724">
        <w:rPr>
          <w:rFonts w:hAnsi="標楷體" w:hint="eastAsia"/>
        </w:rPr>
        <w:t>○</w:t>
      </w:r>
      <w:r w:rsidR="008A63A0" w:rsidRPr="0029481E">
        <w:rPr>
          <w:rFonts w:hint="eastAsia"/>
        </w:rPr>
        <w:t>彣涉犯貪污治罪條例等一案，查無具體犯罪事證，復請查照。」，說明：「本件經查無具體犯罪事證，已予結案。」</w:t>
      </w:r>
    </w:p>
    <w:p w:rsidR="008A63A0" w:rsidRPr="0029481E" w:rsidRDefault="00401C66" w:rsidP="00EC4CB4">
      <w:pPr>
        <w:pStyle w:val="3"/>
      </w:pPr>
      <w:r w:rsidRPr="0029481E">
        <w:rPr>
          <w:rFonts w:hint="eastAsia"/>
        </w:rPr>
        <w:t>本院詢問按</w:t>
      </w:r>
      <w:r w:rsidRPr="0029481E">
        <w:rPr>
          <w:rFonts w:hAnsi="標楷體" w:hint="eastAsia"/>
          <w:szCs w:val="32"/>
        </w:rPr>
        <w:t>辦理他案應行注意事項第11點規定，不得本案</w:t>
      </w:r>
      <w:proofErr w:type="gramStart"/>
      <w:r w:rsidRPr="0029481E">
        <w:rPr>
          <w:rFonts w:hAnsi="標楷體" w:hint="eastAsia"/>
          <w:szCs w:val="32"/>
        </w:rPr>
        <w:t>簽結函復</w:t>
      </w:r>
      <w:proofErr w:type="gramEnd"/>
      <w:r w:rsidRPr="0029481E">
        <w:rPr>
          <w:rFonts w:hAnsi="標楷體" w:hint="eastAsia"/>
          <w:szCs w:val="32"/>
        </w:rPr>
        <w:t>，但本案復函是否符合本點規定？</w:t>
      </w:r>
      <w:r w:rsidRPr="0029481E">
        <w:rPr>
          <w:rFonts w:hint="eastAsia"/>
        </w:rPr>
        <w:t>法務部稱，</w:t>
      </w:r>
      <w:r w:rsidR="00766567" w:rsidRPr="0029481E">
        <w:rPr>
          <w:rFonts w:hAnsi="標楷體" w:hint="eastAsia"/>
          <w:kern w:val="0"/>
          <w:szCs w:val="32"/>
        </w:rPr>
        <w:t>「本件經查無具體犯罪事證，已予結案。」是</w:t>
      </w:r>
      <w:r w:rsidR="00766567" w:rsidRPr="0029481E">
        <w:rPr>
          <w:rFonts w:hAnsi="標楷體" w:hint="eastAsia"/>
          <w:szCs w:val="32"/>
        </w:rPr>
        <w:t>寫的很簡要的原因。</w:t>
      </w:r>
      <w:r w:rsidRPr="0029481E">
        <w:rPr>
          <w:rFonts w:hAnsi="標楷體" w:hint="eastAsia"/>
          <w:kern w:val="0"/>
          <w:szCs w:val="32"/>
        </w:rPr>
        <w:t>本案之行政簽結，「查無具體犯罪事證。」應該要交代清楚法律上原因。</w:t>
      </w:r>
    </w:p>
    <w:p w:rsidR="00766567" w:rsidRPr="0029481E" w:rsidRDefault="00766567" w:rsidP="00EC4CB4">
      <w:pPr>
        <w:pStyle w:val="3"/>
      </w:pPr>
      <w:r w:rsidRPr="0029481E">
        <w:rPr>
          <w:rFonts w:hint="eastAsia"/>
        </w:rPr>
        <w:t>又按</w:t>
      </w:r>
      <w:r w:rsidRPr="0029481E">
        <w:rPr>
          <w:rFonts w:hAnsi="標楷體" w:hint="eastAsia"/>
          <w:szCs w:val="32"/>
        </w:rPr>
        <w:t>辦理他案應行注意事項第11點規定，</w:t>
      </w:r>
      <w:r w:rsidRPr="0029481E">
        <w:rPr>
          <w:rFonts w:hint="eastAsia"/>
          <w:kern w:val="0"/>
        </w:rPr>
        <w:t>檢察官辦理「他」案於簽結後，應</w:t>
      </w:r>
      <w:r w:rsidRPr="0029481E">
        <w:rPr>
          <w:rFonts w:hAnsi="標楷體" w:hint="eastAsia"/>
          <w:szCs w:val="32"/>
        </w:rPr>
        <w:t>即將法律上之原因通知…</w:t>
      </w:r>
      <w:proofErr w:type="gramStart"/>
      <w:r w:rsidRPr="0029481E">
        <w:rPr>
          <w:rFonts w:hAnsi="標楷體" w:hint="eastAsia"/>
          <w:szCs w:val="32"/>
        </w:rPr>
        <w:t>…</w:t>
      </w:r>
      <w:proofErr w:type="gramEnd"/>
      <w:r w:rsidRPr="0029481E">
        <w:rPr>
          <w:rFonts w:hAnsi="標楷體" w:hint="eastAsia"/>
          <w:szCs w:val="32"/>
        </w:rPr>
        <w:t>受調查人……，不得用「本案簽結」作復。受調查人之名詞是否</w:t>
      </w:r>
      <w:proofErr w:type="gramStart"/>
      <w:r w:rsidRPr="0029481E">
        <w:rPr>
          <w:rFonts w:hAnsi="標楷體" w:hint="eastAsia"/>
          <w:szCs w:val="32"/>
        </w:rPr>
        <w:t>不當乙</w:t>
      </w:r>
      <w:proofErr w:type="gramEnd"/>
      <w:r w:rsidRPr="0029481E">
        <w:rPr>
          <w:rFonts w:hAnsi="標楷體" w:hint="eastAsia"/>
          <w:szCs w:val="32"/>
        </w:rPr>
        <w:t>節，</w:t>
      </w:r>
      <w:r w:rsidRPr="0029481E">
        <w:rPr>
          <w:rFonts w:hint="eastAsia"/>
        </w:rPr>
        <w:t>法務部稱，</w:t>
      </w:r>
      <w:r w:rsidR="00137DFB" w:rsidRPr="0029481E">
        <w:rPr>
          <w:rFonts w:hAnsi="標楷體" w:hint="eastAsia"/>
          <w:szCs w:val="32"/>
        </w:rPr>
        <w:t>他案有些案件是空泛，</w:t>
      </w:r>
      <w:r w:rsidRPr="0029481E">
        <w:rPr>
          <w:rFonts w:hAnsi="標楷體" w:hint="eastAsia"/>
          <w:szCs w:val="32"/>
        </w:rPr>
        <w:t>受調查人之名詞，改被告就好了。又受調查人的名稱</w:t>
      </w:r>
      <w:proofErr w:type="gramStart"/>
      <w:r w:rsidRPr="0029481E">
        <w:rPr>
          <w:rFonts w:hAnsi="標楷體" w:hint="eastAsia"/>
          <w:szCs w:val="32"/>
        </w:rPr>
        <w:t>研</w:t>
      </w:r>
      <w:proofErr w:type="gramEnd"/>
      <w:r w:rsidRPr="0029481E">
        <w:rPr>
          <w:rFonts w:hAnsi="標楷體" w:hint="eastAsia"/>
          <w:szCs w:val="32"/>
        </w:rPr>
        <w:t>修是臺高檢署的職權。</w:t>
      </w:r>
    </w:p>
    <w:p w:rsidR="00766567" w:rsidRPr="00B0168D" w:rsidRDefault="00766567" w:rsidP="00EC4CB4">
      <w:pPr>
        <w:pStyle w:val="3"/>
      </w:pPr>
      <w:r w:rsidRPr="0029481E">
        <w:rPr>
          <w:rFonts w:hint="eastAsia"/>
        </w:rPr>
        <w:t>綜上，</w:t>
      </w:r>
      <w:r w:rsidR="007621CE" w:rsidRPr="0029481E">
        <w:rPr>
          <w:rFonts w:hAnsi="標楷體" w:hint="eastAsia"/>
          <w:szCs w:val="32"/>
        </w:rPr>
        <w:t>按辦理他案應行注意事項第11點規定，</w:t>
      </w:r>
      <w:r w:rsidR="007621CE" w:rsidRPr="0029481E">
        <w:rPr>
          <w:rFonts w:hint="eastAsia"/>
          <w:kern w:val="0"/>
        </w:rPr>
        <w:t>檢察官辦理「他」案於簽結後，應即將法律上之原因通知告訴人、告發人、受調查人及其選任辯護人，不得用「本案簽結」作復。惟查</w:t>
      </w:r>
      <w:proofErr w:type="gramStart"/>
      <w:r w:rsidR="00432FEC" w:rsidRPr="0029481E">
        <w:rPr>
          <w:rFonts w:hint="eastAsia"/>
          <w:kern w:val="0"/>
        </w:rPr>
        <w:t>臺</w:t>
      </w:r>
      <w:proofErr w:type="gramEnd"/>
      <w:r w:rsidR="007621CE" w:rsidRPr="0029481E">
        <w:rPr>
          <w:rFonts w:hint="eastAsia"/>
        </w:rPr>
        <w:t>南地檢署</w:t>
      </w:r>
      <w:proofErr w:type="gramStart"/>
      <w:r w:rsidR="007621CE" w:rsidRPr="0029481E">
        <w:rPr>
          <w:rFonts w:hint="eastAsia"/>
        </w:rPr>
        <w:t>111年2月8日函</w:t>
      </w:r>
      <w:proofErr w:type="gramEnd"/>
      <w:r w:rsidR="007621CE" w:rsidRPr="0029481E">
        <w:rPr>
          <w:rFonts w:hint="eastAsia"/>
        </w:rPr>
        <w:t>林</w:t>
      </w:r>
      <w:r w:rsidR="00312724">
        <w:rPr>
          <w:rFonts w:hAnsi="標楷體" w:hint="eastAsia"/>
        </w:rPr>
        <w:t>○</w:t>
      </w:r>
      <w:r w:rsidR="007621CE" w:rsidRPr="0029481E">
        <w:rPr>
          <w:rFonts w:hint="eastAsia"/>
        </w:rPr>
        <w:t>彣、周</w:t>
      </w:r>
      <w:r w:rsidR="00312724">
        <w:rPr>
          <w:rFonts w:hAnsi="標楷體" w:hint="eastAsia"/>
        </w:rPr>
        <w:t>○</w:t>
      </w:r>
      <w:r w:rsidR="007621CE" w:rsidRPr="0029481E">
        <w:rPr>
          <w:rFonts w:hint="eastAsia"/>
        </w:rPr>
        <w:t>勳、許</w:t>
      </w:r>
      <w:r w:rsidR="00312724">
        <w:rPr>
          <w:rFonts w:hAnsi="標楷體" w:hint="eastAsia"/>
        </w:rPr>
        <w:t>○</w:t>
      </w:r>
      <w:r w:rsidR="007621CE" w:rsidRPr="0029481E">
        <w:rPr>
          <w:rFonts w:hint="eastAsia"/>
        </w:rPr>
        <w:t>芬律師、鄭</w:t>
      </w:r>
      <w:r w:rsidR="00312724">
        <w:rPr>
          <w:rFonts w:hAnsi="標楷體" w:hint="eastAsia"/>
        </w:rPr>
        <w:t>○</w:t>
      </w:r>
      <w:r w:rsidR="007621CE" w:rsidRPr="0029481E">
        <w:rPr>
          <w:rFonts w:hint="eastAsia"/>
        </w:rPr>
        <w:t>婷律師、蔡</w:t>
      </w:r>
      <w:r w:rsidR="00312724">
        <w:rPr>
          <w:rFonts w:hAnsi="標楷體" w:hint="eastAsia"/>
        </w:rPr>
        <w:t>○</w:t>
      </w:r>
      <w:r w:rsidR="007621CE" w:rsidRPr="0029481E">
        <w:rPr>
          <w:rFonts w:hint="eastAsia"/>
        </w:rPr>
        <w:t>君律師，主旨：「本署</w:t>
      </w:r>
      <w:proofErr w:type="gramStart"/>
      <w:r w:rsidR="007621CE" w:rsidRPr="0029481E">
        <w:rPr>
          <w:rFonts w:hint="eastAsia"/>
        </w:rPr>
        <w:t>107</w:t>
      </w:r>
      <w:proofErr w:type="gramEnd"/>
      <w:r w:rsidR="007621CE" w:rsidRPr="0029481E">
        <w:rPr>
          <w:rFonts w:hint="eastAsia"/>
        </w:rPr>
        <w:t>年度他字第6070號許</w:t>
      </w:r>
      <w:r w:rsidR="00312724">
        <w:rPr>
          <w:rFonts w:hAnsi="標楷體" w:hint="eastAsia"/>
        </w:rPr>
        <w:t>○</w:t>
      </w:r>
      <w:r w:rsidR="007621CE" w:rsidRPr="0029481E">
        <w:rPr>
          <w:rFonts w:hint="eastAsia"/>
        </w:rPr>
        <w:t>卿、</w:t>
      </w:r>
      <w:proofErr w:type="gramStart"/>
      <w:r w:rsidR="007621CE" w:rsidRPr="0029481E">
        <w:rPr>
          <w:rFonts w:hint="eastAsia"/>
        </w:rPr>
        <w:t>周</w:t>
      </w:r>
      <w:r w:rsidR="00312724">
        <w:rPr>
          <w:rFonts w:hAnsi="標楷體" w:hint="eastAsia"/>
        </w:rPr>
        <w:t>○</w:t>
      </w:r>
      <w:proofErr w:type="gramEnd"/>
      <w:r w:rsidR="007621CE" w:rsidRPr="0029481E">
        <w:rPr>
          <w:rFonts w:hint="eastAsia"/>
        </w:rPr>
        <w:t>勳、林</w:t>
      </w:r>
      <w:r w:rsidR="00312724">
        <w:rPr>
          <w:rFonts w:hAnsi="標楷體" w:hint="eastAsia"/>
        </w:rPr>
        <w:t>○</w:t>
      </w:r>
      <w:r w:rsidR="007621CE" w:rsidRPr="0029481E">
        <w:rPr>
          <w:rFonts w:hint="eastAsia"/>
        </w:rPr>
        <w:t>彣涉犯貪污治罪條例等一案，查無具體犯罪事證，復請查照。」，說明：「本件經查無具體犯罪事證，已予結案。」</w:t>
      </w:r>
      <w:proofErr w:type="gramStart"/>
      <w:r w:rsidR="007621CE" w:rsidRPr="0029481E">
        <w:rPr>
          <w:rFonts w:hint="eastAsia"/>
        </w:rPr>
        <w:t>未符上開</w:t>
      </w:r>
      <w:proofErr w:type="gramEnd"/>
      <w:r w:rsidR="007621CE" w:rsidRPr="0029481E">
        <w:rPr>
          <w:rFonts w:hint="eastAsia"/>
        </w:rPr>
        <w:t>規定，應予改進。另</w:t>
      </w:r>
      <w:r w:rsidR="007621CE" w:rsidRPr="0029481E">
        <w:rPr>
          <w:rFonts w:hAnsi="標楷體" w:hint="eastAsia"/>
          <w:szCs w:val="32"/>
        </w:rPr>
        <w:t>受調查人之名詞是否</w:t>
      </w:r>
      <w:proofErr w:type="gramStart"/>
      <w:r w:rsidR="007621CE" w:rsidRPr="0029481E">
        <w:rPr>
          <w:rFonts w:hAnsi="標楷體" w:hint="eastAsia"/>
          <w:szCs w:val="32"/>
        </w:rPr>
        <w:t>不當乙</w:t>
      </w:r>
      <w:proofErr w:type="gramEnd"/>
      <w:r w:rsidR="007621CE" w:rsidRPr="0029481E">
        <w:rPr>
          <w:rFonts w:hAnsi="標楷體" w:hint="eastAsia"/>
          <w:szCs w:val="32"/>
        </w:rPr>
        <w:t>節，</w:t>
      </w:r>
      <w:r w:rsidR="007621CE" w:rsidRPr="0029481E">
        <w:rPr>
          <w:rFonts w:hint="eastAsia"/>
        </w:rPr>
        <w:t>法務部稱，</w:t>
      </w:r>
      <w:r w:rsidR="00171D39" w:rsidRPr="0029481E">
        <w:rPr>
          <w:rFonts w:hAnsi="標楷體" w:hint="eastAsia"/>
          <w:szCs w:val="32"/>
        </w:rPr>
        <w:t>他案有些案件是空泛，</w:t>
      </w:r>
      <w:r w:rsidR="007621CE" w:rsidRPr="0029481E">
        <w:rPr>
          <w:rFonts w:hAnsi="標楷體" w:hint="eastAsia"/>
          <w:szCs w:val="32"/>
        </w:rPr>
        <w:t>受調查人之名詞，改被告就好了。又受調查人的名稱</w:t>
      </w:r>
      <w:proofErr w:type="gramStart"/>
      <w:r w:rsidR="007621CE" w:rsidRPr="0029481E">
        <w:rPr>
          <w:rFonts w:hAnsi="標楷體" w:hint="eastAsia"/>
          <w:szCs w:val="32"/>
        </w:rPr>
        <w:t>研</w:t>
      </w:r>
      <w:proofErr w:type="gramEnd"/>
      <w:r w:rsidR="007621CE" w:rsidRPr="0029481E">
        <w:rPr>
          <w:rFonts w:hAnsi="標楷體" w:hint="eastAsia"/>
          <w:szCs w:val="32"/>
        </w:rPr>
        <w:t>修是臺高檢署的</w:t>
      </w:r>
      <w:r w:rsidR="007621CE" w:rsidRPr="0029481E">
        <w:rPr>
          <w:rFonts w:hAnsi="標楷體" w:hint="eastAsia"/>
          <w:szCs w:val="32"/>
        </w:rPr>
        <w:lastRenderedPageBreak/>
        <w:t>職權</w:t>
      </w:r>
      <w:r w:rsidR="00DE021A" w:rsidRPr="0029481E">
        <w:rPr>
          <w:rFonts w:hAnsi="標楷體" w:hint="eastAsia"/>
          <w:szCs w:val="32"/>
        </w:rPr>
        <w:t>，</w:t>
      </w:r>
      <w:r w:rsidR="00DE021A" w:rsidRPr="0029481E">
        <w:rPr>
          <w:rFonts w:hint="eastAsia"/>
        </w:rPr>
        <w:t>法務部允宜督導臺高檢署</w:t>
      </w:r>
      <w:r w:rsidR="00DE021A" w:rsidRPr="0029481E">
        <w:rPr>
          <w:rFonts w:hAnsi="標楷體" w:hint="eastAsia"/>
          <w:szCs w:val="32"/>
        </w:rPr>
        <w:t>研修。</w:t>
      </w:r>
    </w:p>
    <w:p w:rsidR="00E25849" w:rsidRPr="00B0168D"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50"/>
      <w:r w:rsidRPr="00B0168D">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DE021A" w:rsidRPr="00B0168D">
        <w:t xml:space="preserve"> </w:t>
      </w:r>
    </w:p>
    <w:p w:rsidR="00E25849" w:rsidRPr="00B0168D" w:rsidRDefault="00E25849">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B0168D">
        <w:rPr>
          <w:rFonts w:hint="eastAsia"/>
        </w:rPr>
        <w:t>調查意見</w:t>
      </w:r>
      <w:r w:rsidR="00DE021A" w:rsidRPr="00B0168D">
        <w:rPr>
          <w:rFonts w:hint="eastAsia"/>
        </w:rPr>
        <w:t>一至五</w:t>
      </w:r>
      <w:r w:rsidRPr="00B0168D">
        <w:rPr>
          <w:rFonts w:hint="eastAsia"/>
        </w:rPr>
        <w:t>，函請</w:t>
      </w:r>
      <w:r w:rsidR="00DE021A" w:rsidRPr="00B0168D">
        <w:rPr>
          <w:rFonts w:hint="eastAsia"/>
        </w:rPr>
        <w:t>法務部</w:t>
      </w:r>
      <w:r w:rsidRPr="00B0168D">
        <w:rPr>
          <w:rFonts w:hint="eastAsia"/>
        </w:rPr>
        <w:t>確實檢討改進</w:t>
      </w:r>
      <w:proofErr w:type="gramStart"/>
      <w:r w:rsidRPr="00B0168D">
        <w:rPr>
          <w:rFonts w:hint="eastAsia"/>
        </w:rPr>
        <w:t>見復。</w:t>
      </w:r>
      <w:bookmarkEnd w:id="80"/>
      <w:bookmarkEnd w:id="81"/>
      <w:bookmarkEnd w:id="82"/>
      <w:bookmarkEnd w:id="83"/>
      <w:bookmarkEnd w:id="84"/>
      <w:bookmarkEnd w:id="85"/>
      <w:bookmarkEnd w:id="86"/>
      <w:bookmarkEnd w:id="87"/>
      <w:bookmarkEnd w:id="88"/>
      <w:bookmarkEnd w:id="89"/>
      <w:bookmarkEnd w:id="90"/>
      <w:bookmarkEnd w:id="91"/>
      <w:bookmarkEnd w:id="92"/>
      <w:proofErr w:type="gramEnd"/>
    </w:p>
    <w:p w:rsidR="00F60048" w:rsidRPr="00B0168D" w:rsidRDefault="00F60048" w:rsidP="003D0F22">
      <w:pPr>
        <w:pStyle w:val="2"/>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93"/>
      <w:bookmarkEnd w:id="94"/>
      <w:bookmarkEnd w:id="95"/>
      <w:bookmarkEnd w:id="96"/>
      <w:bookmarkEnd w:id="97"/>
      <w:bookmarkEnd w:id="98"/>
      <w:bookmarkEnd w:id="99"/>
      <w:bookmarkEnd w:id="100"/>
      <w:bookmarkEnd w:id="101"/>
      <w:bookmarkEnd w:id="102"/>
      <w:bookmarkEnd w:id="103"/>
      <w:r w:rsidRPr="00B0168D">
        <w:rPr>
          <w:rFonts w:hint="eastAsia"/>
        </w:rPr>
        <w:t>調查意見</w:t>
      </w:r>
      <w:r w:rsidR="00DE021A" w:rsidRPr="00B0168D">
        <w:rPr>
          <w:rFonts w:hint="eastAsia"/>
        </w:rPr>
        <w:t>一至五，</w:t>
      </w:r>
      <w:r w:rsidR="00BB17D1" w:rsidRPr="00B0168D">
        <w:rPr>
          <w:rFonts w:hint="eastAsia"/>
        </w:rPr>
        <w:t>移</w:t>
      </w:r>
      <w:bookmarkStart w:id="117" w:name="_Hlk101883535"/>
      <w:r w:rsidR="00BB17D1" w:rsidRPr="00B0168D">
        <w:rPr>
          <w:rFonts w:hint="eastAsia"/>
        </w:rPr>
        <w:t>請本院</w:t>
      </w:r>
      <w:r w:rsidR="00C94519" w:rsidRPr="00B0168D">
        <w:rPr>
          <w:rFonts w:hint="eastAsia"/>
        </w:rPr>
        <w:t>國家</w:t>
      </w:r>
      <w:r w:rsidR="00BB17D1" w:rsidRPr="00B0168D">
        <w:rPr>
          <w:rFonts w:hint="eastAsia"/>
        </w:rPr>
        <w:t>人權委員會</w:t>
      </w:r>
      <w:r w:rsidRPr="00B0168D">
        <w:rPr>
          <w:rFonts w:hint="eastAsia"/>
        </w:rPr>
        <w:t>參處</w:t>
      </w:r>
      <w:bookmarkEnd w:id="117"/>
      <w:r w:rsidR="00770453" w:rsidRPr="00B0168D">
        <w:rPr>
          <w:rFonts w:hint="eastAsia"/>
        </w:rPr>
        <w:t>。</w:t>
      </w:r>
    </w:p>
    <w:p w:rsidR="00560DDA" w:rsidRPr="00B0168D" w:rsidRDefault="00560DDA" w:rsidP="00560DDA">
      <w:pPr>
        <w:pStyle w:val="2"/>
      </w:pPr>
      <w:r w:rsidRPr="00B0168D">
        <w:rPr>
          <w:rFonts w:hint="eastAsia"/>
        </w:rPr>
        <w:t>調查</w:t>
      </w:r>
      <w:r w:rsidR="00DE021A" w:rsidRPr="00B0168D">
        <w:rPr>
          <w:rFonts w:hint="eastAsia"/>
        </w:rPr>
        <w:t>意見</w:t>
      </w:r>
      <w:r w:rsidRPr="00B0168D">
        <w:rPr>
          <w:rFonts w:hint="eastAsia"/>
        </w:rPr>
        <w:t>經委員會討論通過後公布。</w:t>
      </w:r>
    </w:p>
    <w:bookmarkEnd w:id="104"/>
    <w:bookmarkEnd w:id="105"/>
    <w:bookmarkEnd w:id="106"/>
    <w:bookmarkEnd w:id="107"/>
    <w:bookmarkEnd w:id="108"/>
    <w:bookmarkEnd w:id="109"/>
    <w:bookmarkEnd w:id="110"/>
    <w:bookmarkEnd w:id="111"/>
    <w:bookmarkEnd w:id="112"/>
    <w:bookmarkEnd w:id="113"/>
    <w:bookmarkEnd w:id="114"/>
    <w:bookmarkEnd w:id="115"/>
    <w:bookmarkEnd w:id="116"/>
    <w:p w:rsidR="00E25849" w:rsidRPr="00B0168D" w:rsidRDefault="00E25849" w:rsidP="00F20A3F">
      <w:pPr>
        <w:pStyle w:val="2"/>
        <w:numPr>
          <w:ilvl w:val="0"/>
          <w:numId w:val="0"/>
        </w:numPr>
        <w:ind w:left="1021"/>
        <w:rPr>
          <w:rFonts w:hint="eastAsia"/>
        </w:rPr>
      </w:pPr>
    </w:p>
    <w:p w:rsidR="00770453" w:rsidRPr="00B0168D" w:rsidRDefault="00770453" w:rsidP="00770453">
      <w:pPr>
        <w:pStyle w:val="aa"/>
        <w:spacing w:beforeLines="50" w:before="228" w:afterLines="100" w:after="457"/>
        <w:ind w:leftChars="1100" w:left="3742"/>
        <w:rPr>
          <w:b w:val="0"/>
          <w:bCs/>
          <w:snapToGrid/>
          <w:spacing w:val="12"/>
          <w:kern w:val="0"/>
          <w:sz w:val="40"/>
        </w:rPr>
      </w:pPr>
    </w:p>
    <w:p w:rsidR="00E25849" w:rsidRPr="00B0168D" w:rsidRDefault="00E25849" w:rsidP="00770453">
      <w:pPr>
        <w:pStyle w:val="aa"/>
        <w:spacing w:beforeLines="50" w:before="228" w:afterLines="100" w:after="457"/>
        <w:ind w:leftChars="1100" w:left="3742"/>
        <w:rPr>
          <w:b w:val="0"/>
          <w:bCs/>
          <w:snapToGrid/>
          <w:spacing w:val="12"/>
          <w:kern w:val="0"/>
          <w:sz w:val="40"/>
        </w:rPr>
      </w:pPr>
      <w:r w:rsidRPr="00B0168D">
        <w:rPr>
          <w:rFonts w:hint="eastAsia"/>
          <w:b w:val="0"/>
          <w:bCs/>
          <w:snapToGrid/>
          <w:spacing w:val="12"/>
          <w:kern w:val="0"/>
          <w:sz w:val="40"/>
        </w:rPr>
        <w:t>調查委員：</w:t>
      </w:r>
      <w:r w:rsidR="00F20A3F">
        <w:rPr>
          <w:rFonts w:hint="eastAsia"/>
          <w:b w:val="0"/>
          <w:bCs/>
          <w:snapToGrid/>
          <w:spacing w:val="12"/>
          <w:kern w:val="0"/>
          <w:sz w:val="40"/>
        </w:rPr>
        <w:t>林國明</w:t>
      </w:r>
    </w:p>
    <w:p w:rsidR="00770453" w:rsidRPr="00B0168D" w:rsidRDefault="00770453" w:rsidP="00770453">
      <w:pPr>
        <w:pStyle w:val="aa"/>
        <w:spacing w:before="0" w:after="0"/>
        <w:ind w:leftChars="1100" w:left="3742"/>
        <w:rPr>
          <w:rFonts w:ascii="Times New Roman"/>
          <w:b w:val="0"/>
          <w:bCs/>
          <w:snapToGrid/>
          <w:spacing w:val="0"/>
          <w:kern w:val="0"/>
          <w:sz w:val="40"/>
        </w:rPr>
      </w:pPr>
    </w:p>
    <w:p w:rsidR="001B2F2A" w:rsidRPr="00B0168D" w:rsidRDefault="001B2F2A" w:rsidP="00770453">
      <w:pPr>
        <w:pStyle w:val="aa"/>
        <w:spacing w:before="0" w:after="0"/>
        <w:ind w:leftChars="1100" w:left="3742"/>
        <w:rPr>
          <w:rFonts w:ascii="Times New Roman"/>
          <w:b w:val="0"/>
          <w:bCs/>
          <w:snapToGrid/>
          <w:spacing w:val="0"/>
          <w:kern w:val="0"/>
          <w:sz w:val="40"/>
        </w:rPr>
      </w:pPr>
    </w:p>
    <w:p w:rsidR="001B2F2A" w:rsidRPr="00B0168D" w:rsidRDefault="001B2F2A" w:rsidP="00770453">
      <w:pPr>
        <w:pStyle w:val="aa"/>
        <w:spacing w:before="0" w:after="0"/>
        <w:ind w:leftChars="1100" w:left="3742"/>
        <w:rPr>
          <w:rFonts w:ascii="Times New Roman"/>
          <w:b w:val="0"/>
          <w:bCs/>
          <w:snapToGrid/>
          <w:spacing w:val="0"/>
          <w:kern w:val="0"/>
          <w:sz w:val="40"/>
        </w:rPr>
      </w:pPr>
    </w:p>
    <w:p w:rsidR="001B2F2A" w:rsidRPr="00B0168D" w:rsidRDefault="001B2F2A" w:rsidP="00770453">
      <w:pPr>
        <w:pStyle w:val="aa"/>
        <w:spacing w:before="0" w:after="0"/>
        <w:ind w:leftChars="1100" w:left="3742"/>
        <w:rPr>
          <w:rFonts w:ascii="Times New Roman"/>
          <w:b w:val="0"/>
          <w:bCs/>
          <w:snapToGrid/>
          <w:spacing w:val="0"/>
          <w:kern w:val="0"/>
          <w:sz w:val="40"/>
        </w:rPr>
      </w:pPr>
    </w:p>
    <w:sectPr w:rsidR="001B2F2A" w:rsidRPr="00B0168D"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699" w:rsidRDefault="00FA4699">
      <w:r>
        <w:separator/>
      </w:r>
    </w:p>
  </w:endnote>
  <w:endnote w:type="continuationSeparator" w:id="0">
    <w:p w:rsidR="00FA4699" w:rsidRDefault="00FA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6E5" w:rsidRDefault="00B746E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B746E5" w:rsidRDefault="00B746E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699" w:rsidRDefault="00FA4699">
      <w:r>
        <w:separator/>
      </w:r>
    </w:p>
  </w:footnote>
  <w:footnote w:type="continuationSeparator" w:id="0">
    <w:p w:rsidR="00FA4699" w:rsidRDefault="00FA4699">
      <w:r>
        <w:continuationSeparator/>
      </w:r>
    </w:p>
  </w:footnote>
  <w:footnote w:id="1">
    <w:p w:rsidR="00B746E5" w:rsidRDefault="00B746E5" w:rsidP="008B5BF5">
      <w:pPr>
        <w:pStyle w:val="afd"/>
      </w:pPr>
      <w:r>
        <w:rPr>
          <w:rStyle w:val="aff"/>
        </w:rPr>
        <w:footnoteRef/>
      </w:r>
      <w:r>
        <w:t xml:space="preserve"> </w:t>
      </w:r>
      <w:r>
        <w:rPr>
          <w:rFonts w:ascii="標楷體" w:eastAsia="標楷體" w:hAnsi="標楷體" w:hint="eastAsia"/>
          <w:kern w:val="0"/>
          <w:szCs w:val="24"/>
        </w:rPr>
        <w:t>他字案件數：係辦理他案應行注意事項第2點之他案。</w:t>
      </w:r>
    </w:p>
  </w:footnote>
  <w:footnote w:id="2">
    <w:p w:rsidR="00B746E5" w:rsidRDefault="00B746E5" w:rsidP="008B5BF5">
      <w:pPr>
        <w:pStyle w:val="afd"/>
      </w:pPr>
      <w:r>
        <w:rPr>
          <w:rStyle w:val="aff"/>
        </w:rPr>
        <w:footnoteRef/>
      </w:r>
      <w:r>
        <w:t xml:space="preserve"> </w:t>
      </w:r>
      <w:r>
        <w:rPr>
          <w:rFonts w:ascii="標楷體" w:eastAsia="標楷體" w:hAnsi="標楷體" w:hint="eastAsia"/>
          <w:kern w:val="0"/>
          <w:szCs w:val="24"/>
        </w:rPr>
        <w:t>他案改分</w:t>
      </w:r>
      <w:proofErr w:type="gramStart"/>
      <w:r>
        <w:rPr>
          <w:rFonts w:ascii="標楷體" w:eastAsia="標楷體" w:hAnsi="標楷體" w:hint="eastAsia"/>
          <w:kern w:val="0"/>
          <w:szCs w:val="24"/>
        </w:rPr>
        <w:t>偵</w:t>
      </w:r>
      <w:proofErr w:type="gramEnd"/>
      <w:r>
        <w:rPr>
          <w:rFonts w:ascii="標楷體" w:eastAsia="標楷體" w:hAnsi="標楷體" w:hint="eastAsia"/>
          <w:kern w:val="0"/>
          <w:szCs w:val="24"/>
        </w:rPr>
        <w:t>案之件數：係辦理他案應行注意事項第4點之改分</w:t>
      </w:r>
      <w:proofErr w:type="gramStart"/>
      <w:r>
        <w:rPr>
          <w:rFonts w:ascii="標楷體" w:eastAsia="標楷體" w:hAnsi="標楷體" w:hint="eastAsia"/>
          <w:kern w:val="0"/>
          <w:szCs w:val="24"/>
        </w:rPr>
        <w:t>偵</w:t>
      </w:r>
      <w:proofErr w:type="gramEnd"/>
      <w:r>
        <w:rPr>
          <w:rFonts w:ascii="標楷體" w:eastAsia="標楷體" w:hAnsi="標楷體" w:hint="eastAsia"/>
          <w:kern w:val="0"/>
          <w:szCs w:val="24"/>
        </w:rPr>
        <w:t>案辦理。</w:t>
      </w:r>
    </w:p>
  </w:footnote>
  <w:footnote w:id="3">
    <w:p w:rsidR="00B746E5" w:rsidRDefault="00B746E5" w:rsidP="008B5BF5">
      <w:pPr>
        <w:pStyle w:val="afd"/>
      </w:pPr>
      <w:r>
        <w:rPr>
          <w:rStyle w:val="aff"/>
        </w:rPr>
        <w:footnoteRef/>
      </w:r>
      <w:r>
        <w:t xml:space="preserve"> </w:t>
      </w:r>
      <w:r>
        <w:rPr>
          <w:rFonts w:ascii="標楷體" w:eastAsia="標楷體" w:hAnsi="標楷體" w:hint="eastAsia"/>
          <w:kern w:val="0"/>
          <w:szCs w:val="24"/>
        </w:rPr>
        <w:t>偵案之件數：係檢察案件編號計數分案報結實施要點第3點第1款之一般偵查案件。</w:t>
      </w:r>
    </w:p>
  </w:footnote>
  <w:footnote w:id="4">
    <w:p w:rsidR="00B746E5" w:rsidRPr="005D6A1E" w:rsidRDefault="00B746E5" w:rsidP="005D6A1E">
      <w:pPr>
        <w:spacing w:line="320" w:lineRule="exact"/>
        <w:ind w:left="440"/>
        <w:rPr>
          <w:rFonts w:hAnsi="標楷體"/>
          <w:sz w:val="24"/>
          <w:szCs w:val="24"/>
        </w:rPr>
      </w:pPr>
      <w:r>
        <w:rPr>
          <w:rStyle w:val="aff"/>
        </w:rPr>
        <w:footnoteRef/>
      </w:r>
      <w:r>
        <w:t xml:space="preserve"> </w:t>
      </w:r>
      <w:r w:rsidRPr="005D6A1E">
        <w:rPr>
          <w:rFonts w:hAnsi="標楷體" w:hint="eastAsia"/>
          <w:sz w:val="24"/>
          <w:szCs w:val="24"/>
        </w:rPr>
        <w:t>刑事</w:t>
      </w:r>
      <w:r w:rsidR="007D0495" w:rsidRPr="005D6A1E">
        <w:rPr>
          <w:rFonts w:hAnsi="標楷體" w:hint="eastAsia"/>
          <w:sz w:val="24"/>
          <w:szCs w:val="24"/>
        </w:rPr>
        <w:t>訴</w:t>
      </w:r>
      <w:r w:rsidRPr="005D6A1E">
        <w:rPr>
          <w:rFonts w:hAnsi="標楷體" w:hint="eastAsia"/>
          <w:sz w:val="24"/>
          <w:szCs w:val="24"/>
        </w:rPr>
        <w:t>訟法第25</w:t>
      </w:r>
      <w:r w:rsidRPr="005D6A1E">
        <w:rPr>
          <w:rFonts w:hAnsi="標楷體"/>
          <w:sz w:val="24"/>
          <w:szCs w:val="24"/>
        </w:rPr>
        <w:t>8</w:t>
      </w:r>
      <w:r w:rsidRPr="005D6A1E">
        <w:rPr>
          <w:rFonts w:hAnsi="標楷體" w:hint="eastAsia"/>
          <w:sz w:val="24"/>
          <w:szCs w:val="24"/>
        </w:rPr>
        <w:t>條規定：「上級法院檢察署檢察長或檢察</w:t>
      </w:r>
      <w:proofErr w:type="gramStart"/>
      <w:r w:rsidRPr="005D6A1E">
        <w:rPr>
          <w:rFonts w:hAnsi="標楷體" w:hint="eastAsia"/>
          <w:sz w:val="24"/>
          <w:szCs w:val="24"/>
        </w:rPr>
        <w:t>總長認再議</w:t>
      </w:r>
      <w:proofErr w:type="gramEnd"/>
      <w:r w:rsidRPr="005D6A1E">
        <w:rPr>
          <w:rFonts w:hAnsi="標楷體" w:hint="eastAsia"/>
          <w:sz w:val="24"/>
          <w:szCs w:val="24"/>
        </w:rPr>
        <w:t>為</w:t>
      </w:r>
      <w:proofErr w:type="gramStart"/>
      <w:r w:rsidRPr="005D6A1E">
        <w:rPr>
          <w:rFonts w:hAnsi="標楷體" w:hint="eastAsia"/>
          <w:sz w:val="24"/>
          <w:szCs w:val="24"/>
        </w:rPr>
        <w:t>無理由者</w:t>
      </w:r>
      <w:proofErr w:type="gramEnd"/>
      <w:r w:rsidRPr="005D6A1E">
        <w:rPr>
          <w:rFonts w:hAnsi="標楷體" w:hint="eastAsia"/>
          <w:sz w:val="24"/>
          <w:szCs w:val="24"/>
        </w:rPr>
        <w:t>，應駁回之；認為有理由者，第</w:t>
      </w:r>
      <w:r>
        <w:rPr>
          <w:rFonts w:hAnsi="標楷體" w:hint="eastAsia"/>
          <w:sz w:val="24"/>
          <w:szCs w:val="24"/>
        </w:rPr>
        <w:t>2</w:t>
      </w:r>
      <w:r>
        <w:rPr>
          <w:rFonts w:hAnsi="標楷體"/>
          <w:sz w:val="24"/>
          <w:szCs w:val="24"/>
        </w:rPr>
        <w:t>56</w:t>
      </w:r>
      <w:r w:rsidRPr="005D6A1E">
        <w:rPr>
          <w:rFonts w:hAnsi="標楷體" w:hint="eastAsia"/>
          <w:sz w:val="24"/>
          <w:szCs w:val="24"/>
        </w:rPr>
        <w:t>條之</w:t>
      </w:r>
      <w:r>
        <w:rPr>
          <w:rFonts w:hAnsi="標楷體" w:hint="eastAsia"/>
          <w:sz w:val="24"/>
          <w:szCs w:val="24"/>
        </w:rPr>
        <w:t>1</w:t>
      </w:r>
      <w:r w:rsidRPr="005D6A1E">
        <w:rPr>
          <w:rFonts w:hAnsi="標楷體" w:hint="eastAsia"/>
          <w:sz w:val="24"/>
          <w:szCs w:val="24"/>
        </w:rPr>
        <w:t>之情形應撤銷原處分，第</w:t>
      </w:r>
      <w:r>
        <w:rPr>
          <w:rFonts w:hAnsi="標楷體" w:hint="eastAsia"/>
          <w:sz w:val="24"/>
          <w:szCs w:val="24"/>
        </w:rPr>
        <w:t>2</w:t>
      </w:r>
      <w:r>
        <w:rPr>
          <w:rFonts w:hAnsi="標楷體"/>
          <w:sz w:val="24"/>
          <w:szCs w:val="24"/>
        </w:rPr>
        <w:t>56</w:t>
      </w:r>
      <w:r w:rsidRPr="005D6A1E">
        <w:rPr>
          <w:rFonts w:hAnsi="標楷體" w:hint="eastAsia"/>
          <w:sz w:val="24"/>
          <w:szCs w:val="24"/>
        </w:rPr>
        <w:t>條之情形應分別為左列處分：一、偵查未完備者，得親自或命令他檢察官再行偵查，或命令原法院檢察署檢察官續行偵查。</w:t>
      </w:r>
      <w:r w:rsidRPr="005D6A1E">
        <w:rPr>
          <w:rFonts w:hAnsi="標楷體" w:hint="eastAsia"/>
          <w:kern w:val="0"/>
          <w:sz w:val="24"/>
          <w:szCs w:val="24"/>
        </w:rPr>
        <w:t>二、偵查已完備者，命令原法院檢察署檢察官起訴。</w:t>
      </w:r>
      <w:r>
        <w:rPr>
          <w:rFonts w:hAnsi="標楷體" w:hint="eastAsia"/>
          <w:kern w:val="0"/>
          <w:sz w:val="24"/>
          <w:szCs w:val="24"/>
        </w:rPr>
        <w:t>」</w:t>
      </w:r>
    </w:p>
  </w:footnote>
  <w:footnote w:id="5">
    <w:p w:rsidR="00B746E5" w:rsidRDefault="00B746E5">
      <w:pPr>
        <w:pStyle w:val="afd"/>
      </w:pPr>
      <w:r>
        <w:rPr>
          <w:rStyle w:val="aff"/>
        </w:rPr>
        <w:footnoteRef/>
      </w:r>
      <w:r>
        <w:t xml:space="preserve"> </w:t>
      </w:r>
      <w:r w:rsidRPr="001059C8">
        <w:rPr>
          <w:rFonts w:ascii="標楷體" w:eastAsia="標楷體" w:hAnsi="標楷體" w:hint="eastAsia"/>
          <w:sz w:val="24"/>
          <w:szCs w:val="24"/>
        </w:rPr>
        <w:t>參照黃朝義，證人具結取證與證人轉為被告之省思，台灣法學雜誌第1</w:t>
      </w:r>
      <w:r w:rsidRPr="001059C8">
        <w:rPr>
          <w:rFonts w:ascii="標楷體" w:eastAsia="標楷體" w:hAnsi="標楷體"/>
          <w:sz w:val="24"/>
          <w:szCs w:val="24"/>
        </w:rPr>
        <w:t>45</w:t>
      </w:r>
      <w:r w:rsidRPr="001059C8">
        <w:rPr>
          <w:rFonts w:ascii="標楷體" w:eastAsia="標楷體" w:hAnsi="標楷體" w:hint="eastAsia"/>
          <w:sz w:val="24"/>
          <w:szCs w:val="24"/>
        </w:rPr>
        <w:t>期，2</w:t>
      </w:r>
      <w:r w:rsidRPr="001059C8">
        <w:rPr>
          <w:rFonts w:ascii="標楷體" w:eastAsia="標楷體" w:hAnsi="標楷體"/>
          <w:sz w:val="24"/>
          <w:szCs w:val="24"/>
        </w:rPr>
        <w:t>010</w:t>
      </w:r>
      <w:r w:rsidRPr="001059C8">
        <w:rPr>
          <w:rFonts w:ascii="標楷體" w:eastAsia="標楷體" w:hAnsi="標楷體" w:hint="eastAsia"/>
          <w:sz w:val="24"/>
          <w:szCs w:val="24"/>
        </w:rPr>
        <w:t>年2月，頁1</w:t>
      </w:r>
      <w:r w:rsidRPr="001059C8">
        <w:rPr>
          <w:rFonts w:ascii="標楷體" w:eastAsia="標楷體" w:hAnsi="標楷體"/>
          <w:sz w:val="24"/>
          <w:szCs w:val="24"/>
        </w:rPr>
        <w:t>5-32</w:t>
      </w:r>
      <w:r w:rsidRPr="001059C8">
        <w:rPr>
          <w:rFonts w:ascii="標楷體" w:eastAsia="標楷體" w:hAnsi="標楷體" w:hint="eastAsia"/>
          <w:sz w:val="24"/>
          <w:szCs w:val="24"/>
        </w:rPr>
        <w:t>。</w:t>
      </w:r>
    </w:p>
  </w:footnote>
  <w:footnote w:id="6">
    <w:p w:rsidR="00B746E5" w:rsidRPr="002421EA" w:rsidRDefault="00B746E5">
      <w:pPr>
        <w:pStyle w:val="afd"/>
        <w:rPr>
          <w:sz w:val="24"/>
          <w:szCs w:val="24"/>
        </w:rPr>
      </w:pPr>
      <w:r>
        <w:rPr>
          <w:rStyle w:val="aff"/>
        </w:rPr>
        <w:footnoteRef/>
      </w:r>
      <w:r>
        <w:t xml:space="preserve"> </w:t>
      </w:r>
      <w:r w:rsidRPr="002421EA">
        <w:rPr>
          <w:rFonts w:ascii="標楷體" w:eastAsia="標楷體" w:hAnsi="標楷體" w:hint="eastAsia"/>
          <w:sz w:val="24"/>
          <w:szCs w:val="24"/>
        </w:rPr>
        <w:t>張麗卿，關係人變被告，月旦法學教室第73期，2008年1</w:t>
      </w:r>
      <w:r w:rsidRPr="002421EA">
        <w:rPr>
          <w:rFonts w:ascii="標楷體" w:eastAsia="標楷體" w:hAnsi="標楷體"/>
          <w:sz w:val="24"/>
          <w:szCs w:val="24"/>
        </w:rPr>
        <w:t>1</w:t>
      </w:r>
      <w:r w:rsidRPr="002421EA">
        <w:rPr>
          <w:rFonts w:ascii="標楷體" w:eastAsia="標楷體" w:hAnsi="標楷體" w:hint="eastAsia"/>
          <w:sz w:val="24"/>
          <w:szCs w:val="24"/>
        </w:rPr>
        <w:t>月，頁22-23。</w:t>
      </w:r>
    </w:p>
  </w:footnote>
  <w:footnote w:id="7">
    <w:p w:rsidR="00B746E5" w:rsidRDefault="00B746E5">
      <w:pPr>
        <w:pStyle w:val="afd"/>
      </w:pPr>
      <w:r>
        <w:rPr>
          <w:rStyle w:val="aff"/>
        </w:rPr>
        <w:footnoteRef/>
      </w:r>
      <w:r>
        <w:t xml:space="preserve"> </w:t>
      </w:r>
      <w:r w:rsidRPr="002421EA">
        <w:rPr>
          <w:rFonts w:ascii="標楷體" w:eastAsia="標楷體" w:hAnsi="標楷體" w:cs="新細明體" w:hint="eastAsia"/>
          <w:color w:val="000000"/>
          <w:kern w:val="0"/>
          <w:sz w:val="24"/>
          <w:szCs w:val="24"/>
        </w:rPr>
        <w:t>陳瑞仁，</w:t>
      </w:r>
      <w:r w:rsidRPr="002421EA">
        <w:rPr>
          <w:rFonts w:ascii="標楷體" w:eastAsia="標楷體" w:hAnsi="標楷體" w:hint="eastAsia"/>
          <w:kern w:val="32"/>
          <w:sz w:val="24"/>
          <w:szCs w:val="24"/>
        </w:rPr>
        <w:t>偵查中關係人之傳訊，</w:t>
      </w:r>
      <w:r w:rsidRPr="002421EA">
        <w:rPr>
          <w:rFonts w:ascii="標楷體" w:eastAsia="標楷體" w:hAnsi="標楷體" w:hint="eastAsia"/>
          <w:color w:val="000000"/>
          <w:kern w:val="0"/>
          <w:sz w:val="24"/>
          <w:szCs w:val="24"/>
          <w:shd w:val="clear" w:color="auto" w:fill="FFFFFF"/>
        </w:rPr>
        <w:t>檢察官改革協會網站。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8387"/>
        </w:tabs>
        <w:ind w:left="7642" w:hanging="695"/>
      </w:pPr>
      <w:rPr>
        <w:rFonts w:ascii="標楷體" w:eastAsia="標楷體" w:hint="eastAsia"/>
        <w:b w:val="0"/>
        <w:i w:val="0"/>
        <w:sz w:val="32"/>
      </w:rPr>
    </w:lvl>
    <w:lvl w:ilvl="1" w:tplc="04090019" w:tentative="1">
      <w:start w:val="1"/>
      <w:numFmt w:val="ideographTraditional"/>
      <w:lvlText w:val="%2、"/>
      <w:lvlJc w:val="left"/>
      <w:pPr>
        <w:tabs>
          <w:tab w:val="num" w:pos="7907"/>
        </w:tabs>
        <w:ind w:left="7907" w:hanging="480"/>
      </w:pPr>
    </w:lvl>
    <w:lvl w:ilvl="2" w:tplc="0409001B" w:tentative="1">
      <w:start w:val="1"/>
      <w:numFmt w:val="lowerRoman"/>
      <w:lvlText w:val="%3."/>
      <w:lvlJc w:val="right"/>
      <w:pPr>
        <w:tabs>
          <w:tab w:val="num" w:pos="8387"/>
        </w:tabs>
        <w:ind w:left="8387" w:hanging="480"/>
      </w:pPr>
    </w:lvl>
    <w:lvl w:ilvl="3" w:tplc="0409000F" w:tentative="1">
      <w:start w:val="1"/>
      <w:numFmt w:val="decimal"/>
      <w:lvlText w:val="%4."/>
      <w:lvlJc w:val="left"/>
      <w:pPr>
        <w:tabs>
          <w:tab w:val="num" w:pos="8867"/>
        </w:tabs>
        <w:ind w:left="8867" w:hanging="480"/>
      </w:pPr>
    </w:lvl>
    <w:lvl w:ilvl="4" w:tplc="04090019" w:tentative="1">
      <w:start w:val="1"/>
      <w:numFmt w:val="ideographTraditional"/>
      <w:lvlText w:val="%5、"/>
      <w:lvlJc w:val="left"/>
      <w:pPr>
        <w:tabs>
          <w:tab w:val="num" w:pos="9347"/>
        </w:tabs>
        <w:ind w:left="9347" w:hanging="480"/>
      </w:pPr>
    </w:lvl>
    <w:lvl w:ilvl="5" w:tplc="0409001B" w:tentative="1">
      <w:start w:val="1"/>
      <w:numFmt w:val="lowerRoman"/>
      <w:lvlText w:val="%6."/>
      <w:lvlJc w:val="right"/>
      <w:pPr>
        <w:tabs>
          <w:tab w:val="num" w:pos="9827"/>
        </w:tabs>
        <w:ind w:left="9827" w:hanging="480"/>
      </w:pPr>
    </w:lvl>
    <w:lvl w:ilvl="6" w:tplc="0409000F" w:tentative="1">
      <w:start w:val="1"/>
      <w:numFmt w:val="decimal"/>
      <w:lvlText w:val="%7."/>
      <w:lvlJc w:val="left"/>
      <w:pPr>
        <w:tabs>
          <w:tab w:val="num" w:pos="10307"/>
        </w:tabs>
        <w:ind w:left="10307" w:hanging="480"/>
      </w:pPr>
    </w:lvl>
    <w:lvl w:ilvl="7" w:tplc="04090019" w:tentative="1">
      <w:start w:val="1"/>
      <w:numFmt w:val="ideographTraditional"/>
      <w:lvlText w:val="%8、"/>
      <w:lvlJc w:val="left"/>
      <w:pPr>
        <w:tabs>
          <w:tab w:val="num" w:pos="10787"/>
        </w:tabs>
        <w:ind w:left="10787" w:hanging="480"/>
      </w:pPr>
    </w:lvl>
    <w:lvl w:ilvl="8" w:tplc="0409001B" w:tentative="1">
      <w:start w:val="1"/>
      <w:numFmt w:val="lowerRoman"/>
      <w:lvlText w:val="%9."/>
      <w:lvlJc w:val="right"/>
      <w:pPr>
        <w:tabs>
          <w:tab w:val="num" w:pos="11267"/>
        </w:tabs>
        <w:ind w:left="11267" w:hanging="480"/>
      </w:pPr>
    </w:lvl>
  </w:abstractNum>
  <w:abstractNum w:abstractNumId="1" w15:restartNumberingAfterBreak="0">
    <w:nsid w:val="140E010C"/>
    <w:multiLevelType w:val="multilevel"/>
    <w:tmpl w:val="60C4C2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45CAE642"/>
    <w:lvl w:ilvl="0" w:tplc="1F7A05AE">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326"/>
    <w:rsid w:val="000112BF"/>
    <w:rsid w:val="0001180B"/>
    <w:rsid w:val="00012233"/>
    <w:rsid w:val="00017318"/>
    <w:rsid w:val="0002153C"/>
    <w:rsid w:val="000229AD"/>
    <w:rsid w:val="000246F7"/>
    <w:rsid w:val="0003114D"/>
    <w:rsid w:val="0003671B"/>
    <w:rsid w:val="00036D76"/>
    <w:rsid w:val="000512AE"/>
    <w:rsid w:val="00052DF8"/>
    <w:rsid w:val="00054382"/>
    <w:rsid w:val="0005624F"/>
    <w:rsid w:val="00056667"/>
    <w:rsid w:val="00057152"/>
    <w:rsid w:val="000573D2"/>
    <w:rsid w:val="00057F32"/>
    <w:rsid w:val="00062A25"/>
    <w:rsid w:val="00065FC3"/>
    <w:rsid w:val="00067125"/>
    <w:rsid w:val="00073CB5"/>
    <w:rsid w:val="0007425C"/>
    <w:rsid w:val="00077553"/>
    <w:rsid w:val="000851A2"/>
    <w:rsid w:val="0009352E"/>
    <w:rsid w:val="0009482E"/>
    <w:rsid w:val="00096B96"/>
    <w:rsid w:val="000A2F3F"/>
    <w:rsid w:val="000A5C99"/>
    <w:rsid w:val="000B0B4A"/>
    <w:rsid w:val="000B279A"/>
    <w:rsid w:val="000B2B73"/>
    <w:rsid w:val="000B61D2"/>
    <w:rsid w:val="000B70A7"/>
    <w:rsid w:val="000B73DD"/>
    <w:rsid w:val="000C495F"/>
    <w:rsid w:val="000C5452"/>
    <w:rsid w:val="000D4444"/>
    <w:rsid w:val="000D66D9"/>
    <w:rsid w:val="000E22CB"/>
    <w:rsid w:val="000E4000"/>
    <w:rsid w:val="000E6431"/>
    <w:rsid w:val="000E73EA"/>
    <w:rsid w:val="000F1608"/>
    <w:rsid w:val="000F21A5"/>
    <w:rsid w:val="000F6158"/>
    <w:rsid w:val="00102B9F"/>
    <w:rsid w:val="001059C8"/>
    <w:rsid w:val="001061B2"/>
    <w:rsid w:val="00112637"/>
    <w:rsid w:val="00112ABC"/>
    <w:rsid w:val="001133E9"/>
    <w:rsid w:val="0012001E"/>
    <w:rsid w:val="00123F09"/>
    <w:rsid w:val="00126A55"/>
    <w:rsid w:val="00131F08"/>
    <w:rsid w:val="00133F08"/>
    <w:rsid w:val="001345E6"/>
    <w:rsid w:val="001378B0"/>
    <w:rsid w:val="00137DFB"/>
    <w:rsid w:val="00142E00"/>
    <w:rsid w:val="00151E98"/>
    <w:rsid w:val="00152083"/>
    <w:rsid w:val="00152216"/>
    <w:rsid w:val="00152793"/>
    <w:rsid w:val="00153B7E"/>
    <w:rsid w:val="001545A9"/>
    <w:rsid w:val="001637C7"/>
    <w:rsid w:val="0016480E"/>
    <w:rsid w:val="00171D39"/>
    <w:rsid w:val="00174297"/>
    <w:rsid w:val="00180E06"/>
    <w:rsid w:val="001817B3"/>
    <w:rsid w:val="00181FC8"/>
    <w:rsid w:val="00183014"/>
    <w:rsid w:val="00184844"/>
    <w:rsid w:val="001959C2"/>
    <w:rsid w:val="001A0085"/>
    <w:rsid w:val="001A184E"/>
    <w:rsid w:val="001A2521"/>
    <w:rsid w:val="001A2697"/>
    <w:rsid w:val="001A51E3"/>
    <w:rsid w:val="001A7968"/>
    <w:rsid w:val="001B02A1"/>
    <w:rsid w:val="001B2E98"/>
    <w:rsid w:val="001B2F2A"/>
    <w:rsid w:val="001B3483"/>
    <w:rsid w:val="001B3AD8"/>
    <w:rsid w:val="001B3C1E"/>
    <w:rsid w:val="001B4494"/>
    <w:rsid w:val="001C0D8B"/>
    <w:rsid w:val="001C0DA8"/>
    <w:rsid w:val="001C3C02"/>
    <w:rsid w:val="001D1F09"/>
    <w:rsid w:val="001D4AD7"/>
    <w:rsid w:val="001D52DD"/>
    <w:rsid w:val="001E0D8A"/>
    <w:rsid w:val="001E67BA"/>
    <w:rsid w:val="001E74C2"/>
    <w:rsid w:val="001F4F82"/>
    <w:rsid w:val="001F5A48"/>
    <w:rsid w:val="001F6260"/>
    <w:rsid w:val="00200007"/>
    <w:rsid w:val="002030A5"/>
    <w:rsid w:val="00203131"/>
    <w:rsid w:val="00203C3D"/>
    <w:rsid w:val="00212E88"/>
    <w:rsid w:val="00213C9C"/>
    <w:rsid w:val="002171A3"/>
    <w:rsid w:val="0022009E"/>
    <w:rsid w:val="0022226D"/>
    <w:rsid w:val="00223241"/>
    <w:rsid w:val="0022425C"/>
    <w:rsid w:val="002246DE"/>
    <w:rsid w:val="00230FAE"/>
    <w:rsid w:val="002410FC"/>
    <w:rsid w:val="002421EA"/>
    <w:rsid w:val="002429E2"/>
    <w:rsid w:val="0024510F"/>
    <w:rsid w:val="0024521C"/>
    <w:rsid w:val="002469F8"/>
    <w:rsid w:val="002515ED"/>
    <w:rsid w:val="00252BC4"/>
    <w:rsid w:val="00254014"/>
    <w:rsid w:val="00254B39"/>
    <w:rsid w:val="00254D6B"/>
    <w:rsid w:val="002643D4"/>
    <w:rsid w:val="0026504D"/>
    <w:rsid w:val="00272188"/>
    <w:rsid w:val="00273A2F"/>
    <w:rsid w:val="00280986"/>
    <w:rsid w:val="00281ECE"/>
    <w:rsid w:val="002831C7"/>
    <w:rsid w:val="002840C6"/>
    <w:rsid w:val="0029481E"/>
    <w:rsid w:val="00295174"/>
    <w:rsid w:val="00296172"/>
    <w:rsid w:val="00296B92"/>
    <w:rsid w:val="00296E13"/>
    <w:rsid w:val="002975BE"/>
    <w:rsid w:val="002A2C22"/>
    <w:rsid w:val="002B02EB"/>
    <w:rsid w:val="002C0602"/>
    <w:rsid w:val="002C58B5"/>
    <w:rsid w:val="002D2358"/>
    <w:rsid w:val="002D2A96"/>
    <w:rsid w:val="002D3734"/>
    <w:rsid w:val="002D5C16"/>
    <w:rsid w:val="002F2476"/>
    <w:rsid w:val="002F355E"/>
    <w:rsid w:val="002F3DFF"/>
    <w:rsid w:val="002F5E05"/>
    <w:rsid w:val="00300B15"/>
    <w:rsid w:val="00307A76"/>
    <w:rsid w:val="00312724"/>
    <w:rsid w:val="0031455E"/>
    <w:rsid w:val="00315A16"/>
    <w:rsid w:val="00317053"/>
    <w:rsid w:val="0032109C"/>
    <w:rsid w:val="00322B45"/>
    <w:rsid w:val="00323809"/>
    <w:rsid w:val="00323D41"/>
    <w:rsid w:val="00325414"/>
    <w:rsid w:val="003302F1"/>
    <w:rsid w:val="00343385"/>
    <w:rsid w:val="0034470E"/>
    <w:rsid w:val="00352DB0"/>
    <w:rsid w:val="0035478F"/>
    <w:rsid w:val="00361063"/>
    <w:rsid w:val="0036463B"/>
    <w:rsid w:val="0037094A"/>
    <w:rsid w:val="00371ED3"/>
    <w:rsid w:val="00372209"/>
    <w:rsid w:val="00372659"/>
    <w:rsid w:val="00372FFC"/>
    <w:rsid w:val="0037552F"/>
    <w:rsid w:val="0037728A"/>
    <w:rsid w:val="00380B7D"/>
    <w:rsid w:val="00381A99"/>
    <w:rsid w:val="003829C2"/>
    <w:rsid w:val="003830B2"/>
    <w:rsid w:val="00384724"/>
    <w:rsid w:val="003914D8"/>
    <w:rsid w:val="003919B7"/>
    <w:rsid w:val="00391D57"/>
    <w:rsid w:val="00392292"/>
    <w:rsid w:val="00394F45"/>
    <w:rsid w:val="00396E1C"/>
    <w:rsid w:val="003A5927"/>
    <w:rsid w:val="003A6AC1"/>
    <w:rsid w:val="003B1017"/>
    <w:rsid w:val="003B3C07"/>
    <w:rsid w:val="003B6081"/>
    <w:rsid w:val="003B6775"/>
    <w:rsid w:val="003C4C48"/>
    <w:rsid w:val="003C5FE2"/>
    <w:rsid w:val="003C697D"/>
    <w:rsid w:val="003D05FB"/>
    <w:rsid w:val="003D0F22"/>
    <w:rsid w:val="003D1B16"/>
    <w:rsid w:val="003D23F7"/>
    <w:rsid w:val="003D45BF"/>
    <w:rsid w:val="003D508A"/>
    <w:rsid w:val="003D537F"/>
    <w:rsid w:val="003D7B75"/>
    <w:rsid w:val="003E0208"/>
    <w:rsid w:val="003E116C"/>
    <w:rsid w:val="003E4B57"/>
    <w:rsid w:val="003E567E"/>
    <w:rsid w:val="003F207A"/>
    <w:rsid w:val="003F27E1"/>
    <w:rsid w:val="003F375C"/>
    <w:rsid w:val="003F3AE1"/>
    <w:rsid w:val="003F437A"/>
    <w:rsid w:val="003F5C2B"/>
    <w:rsid w:val="00401C66"/>
    <w:rsid w:val="00402240"/>
    <w:rsid w:val="00402269"/>
    <w:rsid w:val="004023E9"/>
    <w:rsid w:val="0040454A"/>
    <w:rsid w:val="00413F83"/>
    <w:rsid w:val="0041490C"/>
    <w:rsid w:val="00416191"/>
    <w:rsid w:val="00416721"/>
    <w:rsid w:val="00417258"/>
    <w:rsid w:val="00417ACB"/>
    <w:rsid w:val="00420D7F"/>
    <w:rsid w:val="00421CB3"/>
    <w:rsid w:val="00421EF0"/>
    <w:rsid w:val="004224FA"/>
    <w:rsid w:val="00423D07"/>
    <w:rsid w:val="00427936"/>
    <w:rsid w:val="00432A77"/>
    <w:rsid w:val="00432FEC"/>
    <w:rsid w:val="004408EA"/>
    <w:rsid w:val="0044346F"/>
    <w:rsid w:val="00453FF6"/>
    <w:rsid w:val="004573CF"/>
    <w:rsid w:val="00457670"/>
    <w:rsid w:val="00460215"/>
    <w:rsid w:val="0046520A"/>
    <w:rsid w:val="00466477"/>
    <w:rsid w:val="004671C7"/>
    <w:rsid w:val="004672AB"/>
    <w:rsid w:val="004714FE"/>
    <w:rsid w:val="00477BAA"/>
    <w:rsid w:val="00492F58"/>
    <w:rsid w:val="00495053"/>
    <w:rsid w:val="004A1F59"/>
    <w:rsid w:val="004A29BE"/>
    <w:rsid w:val="004A3225"/>
    <w:rsid w:val="004A33EE"/>
    <w:rsid w:val="004A3AA8"/>
    <w:rsid w:val="004B13C7"/>
    <w:rsid w:val="004B435A"/>
    <w:rsid w:val="004B778F"/>
    <w:rsid w:val="004C0609"/>
    <w:rsid w:val="004C4849"/>
    <w:rsid w:val="004C639F"/>
    <w:rsid w:val="004C78D1"/>
    <w:rsid w:val="004D10E4"/>
    <w:rsid w:val="004D141F"/>
    <w:rsid w:val="004D2742"/>
    <w:rsid w:val="004D39B8"/>
    <w:rsid w:val="004D6310"/>
    <w:rsid w:val="004E0062"/>
    <w:rsid w:val="004E05A1"/>
    <w:rsid w:val="004E7F21"/>
    <w:rsid w:val="004F06AA"/>
    <w:rsid w:val="004F218D"/>
    <w:rsid w:val="004F318C"/>
    <w:rsid w:val="004F472A"/>
    <w:rsid w:val="004F5E57"/>
    <w:rsid w:val="004F6710"/>
    <w:rsid w:val="00500C3E"/>
    <w:rsid w:val="00502849"/>
    <w:rsid w:val="005039A4"/>
    <w:rsid w:val="00504334"/>
    <w:rsid w:val="0050498D"/>
    <w:rsid w:val="005104D7"/>
    <w:rsid w:val="00510B9E"/>
    <w:rsid w:val="0053539F"/>
    <w:rsid w:val="00536BC2"/>
    <w:rsid w:val="005425E1"/>
    <w:rsid w:val="005427C5"/>
    <w:rsid w:val="00542CF6"/>
    <w:rsid w:val="00553B3F"/>
    <w:rsid w:val="00553C03"/>
    <w:rsid w:val="00560DDA"/>
    <w:rsid w:val="00563692"/>
    <w:rsid w:val="00563B4E"/>
    <w:rsid w:val="005676BB"/>
    <w:rsid w:val="00571679"/>
    <w:rsid w:val="00572794"/>
    <w:rsid w:val="005736A8"/>
    <w:rsid w:val="005772A3"/>
    <w:rsid w:val="00584235"/>
    <w:rsid w:val="005844E7"/>
    <w:rsid w:val="005908B8"/>
    <w:rsid w:val="00593917"/>
    <w:rsid w:val="00593E6B"/>
    <w:rsid w:val="00594001"/>
    <w:rsid w:val="0059512E"/>
    <w:rsid w:val="005A1E24"/>
    <w:rsid w:val="005A6DD2"/>
    <w:rsid w:val="005B133A"/>
    <w:rsid w:val="005B63C1"/>
    <w:rsid w:val="005C385D"/>
    <w:rsid w:val="005D0437"/>
    <w:rsid w:val="005D3B20"/>
    <w:rsid w:val="005D6A1E"/>
    <w:rsid w:val="005D71B7"/>
    <w:rsid w:val="005E38C8"/>
    <w:rsid w:val="005E4759"/>
    <w:rsid w:val="005E5C68"/>
    <w:rsid w:val="005E65C0"/>
    <w:rsid w:val="005F0390"/>
    <w:rsid w:val="005F3060"/>
    <w:rsid w:val="005F6497"/>
    <w:rsid w:val="006072CD"/>
    <w:rsid w:val="00612023"/>
    <w:rsid w:val="00612822"/>
    <w:rsid w:val="00614190"/>
    <w:rsid w:val="00622A99"/>
    <w:rsid w:val="00622E67"/>
    <w:rsid w:val="0062564F"/>
    <w:rsid w:val="00626B57"/>
    <w:rsid w:val="00626EDC"/>
    <w:rsid w:val="006452D3"/>
    <w:rsid w:val="006470EC"/>
    <w:rsid w:val="00650BC1"/>
    <w:rsid w:val="006542D6"/>
    <w:rsid w:val="00655222"/>
    <w:rsid w:val="0065598E"/>
    <w:rsid w:val="00655AF2"/>
    <w:rsid w:val="00655BC5"/>
    <w:rsid w:val="006568BE"/>
    <w:rsid w:val="0066025D"/>
    <w:rsid w:val="0066043A"/>
    <w:rsid w:val="0066091A"/>
    <w:rsid w:val="006638AF"/>
    <w:rsid w:val="006773EC"/>
    <w:rsid w:val="00680504"/>
    <w:rsid w:val="00681CD9"/>
    <w:rsid w:val="00683E30"/>
    <w:rsid w:val="00684B66"/>
    <w:rsid w:val="00687024"/>
    <w:rsid w:val="00687313"/>
    <w:rsid w:val="006901FE"/>
    <w:rsid w:val="00695E22"/>
    <w:rsid w:val="006A2043"/>
    <w:rsid w:val="006B6C2D"/>
    <w:rsid w:val="006B7093"/>
    <w:rsid w:val="006B7417"/>
    <w:rsid w:val="006D31F9"/>
    <w:rsid w:val="006D3691"/>
    <w:rsid w:val="006E1E6F"/>
    <w:rsid w:val="006E5EF0"/>
    <w:rsid w:val="006F3117"/>
    <w:rsid w:val="006F3563"/>
    <w:rsid w:val="006F42B9"/>
    <w:rsid w:val="006F6103"/>
    <w:rsid w:val="006F7963"/>
    <w:rsid w:val="0070237E"/>
    <w:rsid w:val="007031B2"/>
    <w:rsid w:val="00704E00"/>
    <w:rsid w:val="00707B88"/>
    <w:rsid w:val="007139DF"/>
    <w:rsid w:val="007209E7"/>
    <w:rsid w:val="0072170E"/>
    <w:rsid w:val="00726182"/>
    <w:rsid w:val="00727635"/>
    <w:rsid w:val="00732329"/>
    <w:rsid w:val="007337CA"/>
    <w:rsid w:val="00734CE4"/>
    <w:rsid w:val="00735123"/>
    <w:rsid w:val="00741837"/>
    <w:rsid w:val="007453E6"/>
    <w:rsid w:val="00750147"/>
    <w:rsid w:val="0075218C"/>
    <w:rsid w:val="00753C5B"/>
    <w:rsid w:val="00754789"/>
    <w:rsid w:val="00755DD2"/>
    <w:rsid w:val="007621CE"/>
    <w:rsid w:val="00764CD9"/>
    <w:rsid w:val="00766567"/>
    <w:rsid w:val="00770453"/>
    <w:rsid w:val="0077309D"/>
    <w:rsid w:val="007774EE"/>
    <w:rsid w:val="00777A94"/>
    <w:rsid w:val="0078010C"/>
    <w:rsid w:val="00781822"/>
    <w:rsid w:val="00783F21"/>
    <w:rsid w:val="00785E90"/>
    <w:rsid w:val="00786AE0"/>
    <w:rsid w:val="00786EBF"/>
    <w:rsid w:val="00787159"/>
    <w:rsid w:val="0079043A"/>
    <w:rsid w:val="00791668"/>
    <w:rsid w:val="00791AA1"/>
    <w:rsid w:val="00794D4B"/>
    <w:rsid w:val="007A0408"/>
    <w:rsid w:val="007A22F8"/>
    <w:rsid w:val="007A241D"/>
    <w:rsid w:val="007A3793"/>
    <w:rsid w:val="007B5038"/>
    <w:rsid w:val="007B5CBE"/>
    <w:rsid w:val="007C1BA2"/>
    <w:rsid w:val="007C2B48"/>
    <w:rsid w:val="007C7D12"/>
    <w:rsid w:val="007D0495"/>
    <w:rsid w:val="007D20E9"/>
    <w:rsid w:val="007D7881"/>
    <w:rsid w:val="007D7E3A"/>
    <w:rsid w:val="007E0E10"/>
    <w:rsid w:val="007E4768"/>
    <w:rsid w:val="007E5E3C"/>
    <w:rsid w:val="007E7724"/>
    <w:rsid w:val="007E777B"/>
    <w:rsid w:val="007F1762"/>
    <w:rsid w:val="007F2070"/>
    <w:rsid w:val="007F3988"/>
    <w:rsid w:val="007F563D"/>
    <w:rsid w:val="007F63C1"/>
    <w:rsid w:val="00800068"/>
    <w:rsid w:val="008053F5"/>
    <w:rsid w:val="00807AF7"/>
    <w:rsid w:val="00810198"/>
    <w:rsid w:val="00815DA8"/>
    <w:rsid w:val="0082194D"/>
    <w:rsid w:val="008221F9"/>
    <w:rsid w:val="008266E4"/>
    <w:rsid w:val="00826EF5"/>
    <w:rsid w:val="00831693"/>
    <w:rsid w:val="00840104"/>
    <w:rsid w:val="00840C1F"/>
    <w:rsid w:val="008411C9"/>
    <w:rsid w:val="00841FC5"/>
    <w:rsid w:val="0084293C"/>
    <w:rsid w:val="00843D0F"/>
    <w:rsid w:val="00845709"/>
    <w:rsid w:val="0084629E"/>
    <w:rsid w:val="00847047"/>
    <w:rsid w:val="00852EBB"/>
    <w:rsid w:val="00855AD7"/>
    <w:rsid w:val="008576BD"/>
    <w:rsid w:val="00860463"/>
    <w:rsid w:val="00872E93"/>
    <w:rsid w:val="008733DA"/>
    <w:rsid w:val="00883F35"/>
    <w:rsid w:val="00884CF8"/>
    <w:rsid w:val="008850E4"/>
    <w:rsid w:val="008939AB"/>
    <w:rsid w:val="0089550F"/>
    <w:rsid w:val="008A066F"/>
    <w:rsid w:val="008A12F5"/>
    <w:rsid w:val="008A4A52"/>
    <w:rsid w:val="008A63A0"/>
    <w:rsid w:val="008B1587"/>
    <w:rsid w:val="008B1B01"/>
    <w:rsid w:val="008B3BCD"/>
    <w:rsid w:val="008B5925"/>
    <w:rsid w:val="008B5BF5"/>
    <w:rsid w:val="008B6DF8"/>
    <w:rsid w:val="008C106C"/>
    <w:rsid w:val="008C10F1"/>
    <w:rsid w:val="008C1926"/>
    <w:rsid w:val="008C1E99"/>
    <w:rsid w:val="008D2EA6"/>
    <w:rsid w:val="008E0085"/>
    <w:rsid w:val="008E05A7"/>
    <w:rsid w:val="008E2AA6"/>
    <w:rsid w:val="008E311B"/>
    <w:rsid w:val="008E53FC"/>
    <w:rsid w:val="008E7D34"/>
    <w:rsid w:val="008F46E7"/>
    <w:rsid w:val="008F60F3"/>
    <w:rsid w:val="008F64CA"/>
    <w:rsid w:val="008F6F0B"/>
    <w:rsid w:val="008F7E4B"/>
    <w:rsid w:val="00907BA7"/>
    <w:rsid w:val="0091064E"/>
    <w:rsid w:val="0091192F"/>
    <w:rsid w:val="00911FC5"/>
    <w:rsid w:val="00913F2D"/>
    <w:rsid w:val="00931A10"/>
    <w:rsid w:val="009335C8"/>
    <w:rsid w:val="009423EC"/>
    <w:rsid w:val="00945798"/>
    <w:rsid w:val="00947967"/>
    <w:rsid w:val="00955201"/>
    <w:rsid w:val="009633B8"/>
    <w:rsid w:val="00965200"/>
    <w:rsid w:val="00965B19"/>
    <w:rsid w:val="009668B3"/>
    <w:rsid w:val="0096704D"/>
    <w:rsid w:val="00971471"/>
    <w:rsid w:val="009845B6"/>
    <w:rsid w:val="009849C2"/>
    <w:rsid w:val="00984C13"/>
    <w:rsid w:val="00984D24"/>
    <w:rsid w:val="009858EB"/>
    <w:rsid w:val="00995EDF"/>
    <w:rsid w:val="009A165D"/>
    <w:rsid w:val="009A3F47"/>
    <w:rsid w:val="009A7491"/>
    <w:rsid w:val="009B0046"/>
    <w:rsid w:val="009C1440"/>
    <w:rsid w:val="009C2107"/>
    <w:rsid w:val="009C38E5"/>
    <w:rsid w:val="009C5D9E"/>
    <w:rsid w:val="009D2C3E"/>
    <w:rsid w:val="009E0625"/>
    <w:rsid w:val="009E2741"/>
    <w:rsid w:val="009E3034"/>
    <w:rsid w:val="009E549F"/>
    <w:rsid w:val="009F28A8"/>
    <w:rsid w:val="009F473E"/>
    <w:rsid w:val="009F5247"/>
    <w:rsid w:val="009F682A"/>
    <w:rsid w:val="00A022BE"/>
    <w:rsid w:val="00A07B4B"/>
    <w:rsid w:val="00A12F8A"/>
    <w:rsid w:val="00A15A68"/>
    <w:rsid w:val="00A24C95"/>
    <w:rsid w:val="00A2599A"/>
    <w:rsid w:val="00A26094"/>
    <w:rsid w:val="00A301BF"/>
    <w:rsid w:val="00A302B2"/>
    <w:rsid w:val="00A331B4"/>
    <w:rsid w:val="00A3484E"/>
    <w:rsid w:val="00A356D3"/>
    <w:rsid w:val="00A36ADA"/>
    <w:rsid w:val="00A37C4D"/>
    <w:rsid w:val="00A40A4B"/>
    <w:rsid w:val="00A438D8"/>
    <w:rsid w:val="00A473F5"/>
    <w:rsid w:val="00A502E2"/>
    <w:rsid w:val="00A51F9D"/>
    <w:rsid w:val="00A53685"/>
    <w:rsid w:val="00A5416A"/>
    <w:rsid w:val="00A639F4"/>
    <w:rsid w:val="00A656EC"/>
    <w:rsid w:val="00A65864"/>
    <w:rsid w:val="00A65FAE"/>
    <w:rsid w:val="00A706C5"/>
    <w:rsid w:val="00A75CE6"/>
    <w:rsid w:val="00A7707C"/>
    <w:rsid w:val="00A77496"/>
    <w:rsid w:val="00A81A32"/>
    <w:rsid w:val="00A835BD"/>
    <w:rsid w:val="00A84EF6"/>
    <w:rsid w:val="00A95AB1"/>
    <w:rsid w:val="00A97B15"/>
    <w:rsid w:val="00AA42D5"/>
    <w:rsid w:val="00AA5E0D"/>
    <w:rsid w:val="00AA627D"/>
    <w:rsid w:val="00AA6C2B"/>
    <w:rsid w:val="00AB2FAB"/>
    <w:rsid w:val="00AB39EE"/>
    <w:rsid w:val="00AB3A84"/>
    <w:rsid w:val="00AB5C14"/>
    <w:rsid w:val="00AC1EE7"/>
    <w:rsid w:val="00AC333F"/>
    <w:rsid w:val="00AC585C"/>
    <w:rsid w:val="00AD1925"/>
    <w:rsid w:val="00AD53D0"/>
    <w:rsid w:val="00AE067D"/>
    <w:rsid w:val="00AF1181"/>
    <w:rsid w:val="00AF2AEE"/>
    <w:rsid w:val="00AF2B64"/>
    <w:rsid w:val="00AF2D03"/>
    <w:rsid w:val="00AF2F79"/>
    <w:rsid w:val="00AF4653"/>
    <w:rsid w:val="00AF73EA"/>
    <w:rsid w:val="00AF7DB7"/>
    <w:rsid w:val="00B01251"/>
    <w:rsid w:val="00B0168D"/>
    <w:rsid w:val="00B10D02"/>
    <w:rsid w:val="00B17C41"/>
    <w:rsid w:val="00B201E2"/>
    <w:rsid w:val="00B25B8F"/>
    <w:rsid w:val="00B33324"/>
    <w:rsid w:val="00B443E4"/>
    <w:rsid w:val="00B50F1E"/>
    <w:rsid w:val="00B53261"/>
    <w:rsid w:val="00B5484D"/>
    <w:rsid w:val="00B563EA"/>
    <w:rsid w:val="00B56CDF"/>
    <w:rsid w:val="00B60E51"/>
    <w:rsid w:val="00B63A54"/>
    <w:rsid w:val="00B70463"/>
    <w:rsid w:val="00B746E5"/>
    <w:rsid w:val="00B7707F"/>
    <w:rsid w:val="00B77D18"/>
    <w:rsid w:val="00B8313A"/>
    <w:rsid w:val="00B93503"/>
    <w:rsid w:val="00B9429D"/>
    <w:rsid w:val="00BA03B1"/>
    <w:rsid w:val="00BA0CB7"/>
    <w:rsid w:val="00BA31E8"/>
    <w:rsid w:val="00BA55E0"/>
    <w:rsid w:val="00BA6BD4"/>
    <w:rsid w:val="00BA6C7A"/>
    <w:rsid w:val="00BB17D1"/>
    <w:rsid w:val="00BB3752"/>
    <w:rsid w:val="00BB3910"/>
    <w:rsid w:val="00BB6688"/>
    <w:rsid w:val="00BC26D4"/>
    <w:rsid w:val="00BC721E"/>
    <w:rsid w:val="00BD1499"/>
    <w:rsid w:val="00BE0C80"/>
    <w:rsid w:val="00BE6405"/>
    <w:rsid w:val="00BF2A42"/>
    <w:rsid w:val="00BF48D2"/>
    <w:rsid w:val="00BF5B07"/>
    <w:rsid w:val="00C01D35"/>
    <w:rsid w:val="00C03D8C"/>
    <w:rsid w:val="00C055EC"/>
    <w:rsid w:val="00C06099"/>
    <w:rsid w:val="00C10DC9"/>
    <w:rsid w:val="00C12331"/>
    <w:rsid w:val="00C12FB3"/>
    <w:rsid w:val="00C157B9"/>
    <w:rsid w:val="00C17341"/>
    <w:rsid w:val="00C21D99"/>
    <w:rsid w:val="00C22500"/>
    <w:rsid w:val="00C24EEF"/>
    <w:rsid w:val="00C25CF6"/>
    <w:rsid w:val="00C261FA"/>
    <w:rsid w:val="00C26C36"/>
    <w:rsid w:val="00C32768"/>
    <w:rsid w:val="00C418B7"/>
    <w:rsid w:val="00C431DF"/>
    <w:rsid w:val="00C456BD"/>
    <w:rsid w:val="00C460B3"/>
    <w:rsid w:val="00C515B1"/>
    <w:rsid w:val="00C530DC"/>
    <w:rsid w:val="00C5350D"/>
    <w:rsid w:val="00C6123C"/>
    <w:rsid w:val="00C61338"/>
    <w:rsid w:val="00C6311A"/>
    <w:rsid w:val="00C7084D"/>
    <w:rsid w:val="00C7315E"/>
    <w:rsid w:val="00C73FBB"/>
    <w:rsid w:val="00C75895"/>
    <w:rsid w:val="00C839BA"/>
    <w:rsid w:val="00C83C9F"/>
    <w:rsid w:val="00C9322B"/>
    <w:rsid w:val="00C94519"/>
    <w:rsid w:val="00C94840"/>
    <w:rsid w:val="00CA4EE3"/>
    <w:rsid w:val="00CA59A1"/>
    <w:rsid w:val="00CA6247"/>
    <w:rsid w:val="00CB027F"/>
    <w:rsid w:val="00CB1DAD"/>
    <w:rsid w:val="00CC0EBB"/>
    <w:rsid w:val="00CC6297"/>
    <w:rsid w:val="00CC7690"/>
    <w:rsid w:val="00CD1986"/>
    <w:rsid w:val="00CD1E96"/>
    <w:rsid w:val="00CD54BF"/>
    <w:rsid w:val="00CE4D5C"/>
    <w:rsid w:val="00CF05DA"/>
    <w:rsid w:val="00CF58EB"/>
    <w:rsid w:val="00CF6FEC"/>
    <w:rsid w:val="00D0106E"/>
    <w:rsid w:val="00D01BCB"/>
    <w:rsid w:val="00D03B72"/>
    <w:rsid w:val="00D04155"/>
    <w:rsid w:val="00D06383"/>
    <w:rsid w:val="00D161FD"/>
    <w:rsid w:val="00D20D26"/>
    <w:rsid w:val="00D20E85"/>
    <w:rsid w:val="00D24615"/>
    <w:rsid w:val="00D34DAA"/>
    <w:rsid w:val="00D34DBE"/>
    <w:rsid w:val="00D37842"/>
    <w:rsid w:val="00D42DC2"/>
    <w:rsid w:val="00D42E09"/>
    <w:rsid w:val="00D4302B"/>
    <w:rsid w:val="00D477A3"/>
    <w:rsid w:val="00D5277C"/>
    <w:rsid w:val="00D52D11"/>
    <w:rsid w:val="00D537E1"/>
    <w:rsid w:val="00D55BB2"/>
    <w:rsid w:val="00D6091A"/>
    <w:rsid w:val="00D61735"/>
    <w:rsid w:val="00D6605A"/>
    <w:rsid w:val="00D6695F"/>
    <w:rsid w:val="00D71BBB"/>
    <w:rsid w:val="00D72EA0"/>
    <w:rsid w:val="00D73D90"/>
    <w:rsid w:val="00D75644"/>
    <w:rsid w:val="00D77189"/>
    <w:rsid w:val="00D81656"/>
    <w:rsid w:val="00D82658"/>
    <w:rsid w:val="00D83D87"/>
    <w:rsid w:val="00D84A6D"/>
    <w:rsid w:val="00D86A30"/>
    <w:rsid w:val="00D97CB4"/>
    <w:rsid w:val="00D97DD4"/>
    <w:rsid w:val="00DA5A8A"/>
    <w:rsid w:val="00DA7FFA"/>
    <w:rsid w:val="00DB1170"/>
    <w:rsid w:val="00DB26CD"/>
    <w:rsid w:val="00DB3E2D"/>
    <w:rsid w:val="00DB441C"/>
    <w:rsid w:val="00DB44AF"/>
    <w:rsid w:val="00DC1D45"/>
    <w:rsid w:val="00DC1F58"/>
    <w:rsid w:val="00DC2451"/>
    <w:rsid w:val="00DC339B"/>
    <w:rsid w:val="00DC5D40"/>
    <w:rsid w:val="00DC69A7"/>
    <w:rsid w:val="00DD30E9"/>
    <w:rsid w:val="00DD4F47"/>
    <w:rsid w:val="00DD7FBB"/>
    <w:rsid w:val="00DE021A"/>
    <w:rsid w:val="00DE0B9F"/>
    <w:rsid w:val="00DE2A9E"/>
    <w:rsid w:val="00DE4238"/>
    <w:rsid w:val="00DE657F"/>
    <w:rsid w:val="00DF1218"/>
    <w:rsid w:val="00DF29D1"/>
    <w:rsid w:val="00DF588C"/>
    <w:rsid w:val="00DF6462"/>
    <w:rsid w:val="00E02FA0"/>
    <w:rsid w:val="00E036DC"/>
    <w:rsid w:val="00E10454"/>
    <w:rsid w:val="00E112E5"/>
    <w:rsid w:val="00E122D8"/>
    <w:rsid w:val="00E12CC8"/>
    <w:rsid w:val="00E15352"/>
    <w:rsid w:val="00E15C15"/>
    <w:rsid w:val="00E21CC7"/>
    <w:rsid w:val="00E24D9E"/>
    <w:rsid w:val="00E25849"/>
    <w:rsid w:val="00E307A9"/>
    <w:rsid w:val="00E3197E"/>
    <w:rsid w:val="00E324E3"/>
    <w:rsid w:val="00E3419F"/>
    <w:rsid w:val="00E342F8"/>
    <w:rsid w:val="00E34D0A"/>
    <w:rsid w:val="00E351ED"/>
    <w:rsid w:val="00E42B19"/>
    <w:rsid w:val="00E45D1E"/>
    <w:rsid w:val="00E46FD5"/>
    <w:rsid w:val="00E54C01"/>
    <w:rsid w:val="00E55BA0"/>
    <w:rsid w:val="00E56ACD"/>
    <w:rsid w:val="00E6034B"/>
    <w:rsid w:val="00E608F2"/>
    <w:rsid w:val="00E61CA5"/>
    <w:rsid w:val="00E624B8"/>
    <w:rsid w:val="00E6353C"/>
    <w:rsid w:val="00E6549E"/>
    <w:rsid w:val="00E65EDE"/>
    <w:rsid w:val="00E70F81"/>
    <w:rsid w:val="00E72F68"/>
    <w:rsid w:val="00E75B94"/>
    <w:rsid w:val="00E77055"/>
    <w:rsid w:val="00E77460"/>
    <w:rsid w:val="00E80D64"/>
    <w:rsid w:val="00E815E6"/>
    <w:rsid w:val="00E83ABC"/>
    <w:rsid w:val="00E844F2"/>
    <w:rsid w:val="00E85A9C"/>
    <w:rsid w:val="00E87C5A"/>
    <w:rsid w:val="00E90AD0"/>
    <w:rsid w:val="00E92FCB"/>
    <w:rsid w:val="00E94FA6"/>
    <w:rsid w:val="00E95E70"/>
    <w:rsid w:val="00EA147F"/>
    <w:rsid w:val="00EA4A27"/>
    <w:rsid w:val="00EA4FA6"/>
    <w:rsid w:val="00EB17F1"/>
    <w:rsid w:val="00EB1A25"/>
    <w:rsid w:val="00EC4CB4"/>
    <w:rsid w:val="00EC7363"/>
    <w:rsid w:val="00EC7C4F"/>
    <w:rsid w:val="00ED03AB"/>
    <w:rsid w:val="00ED1963"/>
    <w:rsid w:val="00ED1CD4"/>
    <w:rsid w:val="00ED1D2B"/>
    <w:rsid w:val="00ED64B5"/>
    <w:rsid w:val="00EE19BC"/>
    <w:rsid w:val="00EE4763"/>
    <w:rsid w:val="00EE7CCA"/>
    <w:rsid w:val="00EF4836"/>
    <w:rsid w:val="00EF7F20"/>
    <w:rsid w:val="00F05D08"/>
    <w:rsid w:val="00F06E53"/>
    <w:rsid w:val="00F16A14"/>
    <w:rsid w:val="00F20A3F"/>
    <w:rsid w:val="00F26BB8"/>
    <w:rsid w:val="00F27BC2"/>
    <w:rsid w:val="00F358BC"/>
    <w:rsid w:val="00F362D7"/>
    <w:rsid w:val="00F37D7B"/>
    <w:rsid w:val="00F513E7"/>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3A65"/>
    <w:rsid w:val="00F94393"/>
    <w:rsid w:val="00F95EE7"/>
    <w:rsid w:val="00FA2F05"/>
    <w:rsid w:val="00FA39E6"/>
    <w:rsid w:val="00FA4699"/>
    <w:rsid w:val="00FA7BC9"/>
    <w:rsid w:val="00FB378E"/>
    <w:rsid w:val="00FB37F1"/>
    <w:rsid w:val="00FB47C0"/>
    <w:rsid w:val="00FB501B"/>
    <w:rsid w:val="00FB719A"/>
    <w:rsid w:val="00FB7770"/>
    <w:rsid w:val="00FC2203"/>
    <w:rsid w:val="00FC7218"/>
    <w:rsid w:val="00FD3B91"/>
    <w:rsid w:val="00FD576B"/>
    <w:rsid w:val="00FD579E"/>
    <w:rsid w:val="00FD6845"/>
    <w:rsid w:val="00FE4516"/>
    <w:rsid w:val="00FE64C8"/>
    <w:rsid w:val="00FE6A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7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分項段落"/>
    <w:basedOn w:val="a6"/>
    <w:rsid w:val="00E75B94"/>
    <w:pPr>
      <w:overflowPunct/>
      <w:autoSpaceDE/>
      <w:autoSpaceDN/>
      <w:jc w:val="left"/>
    </w:pPr>
    <w:rPr>
      <w:rFonts w:ascii="Times New Roman" w:eastAsia="新細明體"/>
      <w:sz w:val="24"/>
    </w:rPr>
  </w:style>
  <w:style w:type="paragraph" w:styleId="afd">
    <w:name w:val="footnote text"/>
    <w:basedOn w:val="a6"/>
    <w:link w:val="afe"/>
    <w:uiPriority w:val="99"/>
    <w:semiHidden/>
    <w:unhideWhenUsed/>
    <w:rsid w:val="003E567E"/>
    <w:pPr>
      <w:overflowPunct/>
      <w:autoSpaceDE/>
      <w:autoSpaceDN/>
      <w:snapToGrid w:val="0"/>
      <w:jc w:val="left"/>
    </w:pPr>
    <w:rPr>
      <w:rFonts w:asciiTheme="minorHAnsi" w:eastAsiaTheme="minorEastAsia" w:hAnsiTheme="minorHAnsi" w:cstheme="minorBidi"/>
      <w:sz w:val="20"/>
    </w:rPr>
  </w:style>
  <w:style w:type="character" w:customStyle="1" w:styleId="afe">
    <w:name w:val="註腳文字 字元"/>
    <w:basedOn w:val="a7"/>
    <w:link w:val="afd"/>
    <w:uiPriority w:val="99"/>
    <w:semiHidden/>
    <w:rsid w:val="003E567E"/>
    <w:rPr>
      <w:rFonts w:asciiTheme="minorHAnsi" w:eastAsiaTheme="minorEastAsia" w:hAnsiTheme="minorHAnsi" w:cstheme="minorBidi"/>
      <w:kern w:val="2"/>
    </w:rPr>
  </w:style>
  <w:style w:type="character" w:styleId="aff">
    <w:name w:val="footnote reference"/>
    <w:basedOn w:val="a7"/>
    <w:uiPriority w:val="99"/>
    <w:semiHidden/>
    <w:unhideWhenUsed/>
    <w:rsid w:val="003E567E"/>
    <w:rPr>
      <w:vertAlign w:val="superscript"/>
    </w:rPr>
  </w:style>
  <w:style w:type="paragraph" w:styleId="aff0">
    <w:name w:val="Body Text"/>
    <w:basedOn w:val="a6"/>
    <w:link w:val="aff1"/>
    <w:uiPriority w:val="99"/>
    <w:semiHidden/>
    <w:unhideWhenUsed/>
    <w:rsid w:val="007031B2"/>
    <w:pPr>
      <w:spacing w:after="120"/>
    </w:pPr>
  </w:style>
  <w:style w:type="character" w:customStyle="1" w:styleId="aff1">
    <w:name w:val="本文 字元"/>
    <w:basedOn w:val="a7"/>
    <w:link w:val="aff0"/>
    <w:uiPriority w:val="99"/>
    <w:semiHidden/>
    <w:rsid w:val="007031B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1771">
      <w:bodyDiv w:val="1"/>
      <w:marLeft w:val="0"/>
      <w:marRight w:val="0"/>
      <w:marTop w:val="0"/>
      <w:marBottom w:val="0"/>
      <w:divBdr>
        <w:top w:val="none" w:sz="0" w:space="0" w:color="auto"/>
        <w:left w:val="none" w:sz="0" w:space="0" w:color="auto"/>
        <w:bottom w:val="none" w:sz="0" w:space="0" w:color="auto"/>
        <w:right w:val="none" w:sz="0" w:space="0" w:color="auto"/>
      </w:divBdr>
    </w:div>
    <w:div w:id="233244303">
      <w:bodyDiv w:val="1"/>
      <w:marLeft w:val="0"/>
      <w:marRight w:val="0"/>
      <w:marTop w:val="0"/>
      <w:marBottom w:val="0"/>
      <w:divBdr>
        <w:top w:val="none" w:sz="0" w:space="0" w:color="auto"/>
        <w:left w:val="none" w:sz="0" w:space="0" w:color="auto"/>
        <w:bottom w:val="none" w:sz="0" w:space="0" w:color="auto"/>
        <w:right w:val="none" w:sz="0" w:space="0" w:color="auto"/>
      </w:divBdr>
    </w:div>
    <w:div w:id="243496763">
      <w:bodyDiv w:val="1"/>
      <w:marLeft w:val="0"/>
      <w:marRight w:val="0"/>
      <w:marTop w:val="0"/>
      <w:marBottom w:val="0"/>
      <w:divBdr>
        <w:top w:val="none" w:sz="0" w:space="0" w:color="auto"/>
        <w:left w:val="none" w:sz="0" w:space="0" w:color="auto"/>
        <w:bottom w:val="none" w:sz="0" w:space="0" w:color="auto"/>
        <w:right w:val="none" w:sz="0" w:space="0" w:color="auto"/>
      </w:divBdr>
    </w:div>
    <w:div w:id="255984406">
      <w:bodyDiv w:val="1"/>
      <w:marLeft w:val="0"/>
      <w:marRight w:val="0"/>
      <w:marTop w:val="0"/>
      <w:marBottom w:val="0"/>
      <w:divBdr>
        <w:top w:val="none" w:sz="0" w:space="0" w:color="auto"/>
        <w:left w:val="none" w:sz="0" w:space="0" w:color="auto"/>
        <w:bottom w:val="none" w:sz="0" w:space="0" w:color="auto"/>
        <w:right w:val="none" w:sz="0" w:space="0" w:color="auto"/>
      </w:divBdr>
    </w:div>
    <w:div w:id="299387515">
      <w:bodyDiv w:val="1"/>
      <w:marLeft w:val="0"/>
      <w:marRight w:val="0"/>
      <w:marTop w:val="0"/>
      <w:marBottom w:val="0"/>
      <w:divBdr>
        <w:top w:val="none" w:sz="0" w:space="0" w:color="auto"/>
        <w:left w:val="none" w:sz="0" w:space="0" w:color="auto"/>
        <w:bottom w:val="none" w:sz="0" w:space="0" w:color="auto"/>
        <w:right w:val="none" w:sz="0" w:space="0" w:color="auto"/>
      </w:divBdr>
    </w:div>
    <w:div w:id="308022927">
      <w:bodyDiv w:val="1"/>
      <w:marLeft w:val="0"/>
      <w:marRight w:val="0"/>
      <w:marTop w:val="0"/>
      <w:marBottom w:val="0"/>
      <w:divBdr>
        <w:top w:val="none" w:sz="0" w:space="0" w:color="auto"/>
        <w:left w:val="none" w:sz="0" w:space="0" w:color="auto"/>
        <w:bottom w:val="none" w:sz="0" w:space="0" w:color="auto"/>
        <w:right w:val="none" w:sz="0" w:space="0" w:color="auto"/>
      </w:divBdr>
    </w:div>
    <w:div w:id="308636831">
      <w:bodyDiv w:val="1"/>
      <w:marLeft w:val="0"/>
      <w:marRight w:val="0"/>
      <w:marTop w:val="0"/>
      <w:marBottom w:val="0"/>
      <w:divBdr>
        <w:top w:val="none" w:sz="0" w:space="0" w:color="auto"/>
        <w:left w:val="none" w:sz="0" w:space="0" w:color="auto"/>
        <w:bottom w:val="none" w:sz="0" w:space="0" w:color="auto"/>
        <w:right w:val="none" w:sz="0" w:space="0" w:color="auto"/>
      </w:divBdr>
    </w:div>
    <w:div w:id="313068041">
      <w:bodyDiv w:val="1"/>
      <w:marLeft w:val="0"/>
      <w:marRight w:val="0"/>
      <w:marTop w:val="0"/>
      <w:marBottom w:val="0"/>
      <w:divBdr>
        <w:top w:val="none" w:sz="0" w:space="0" w:color="auto"/>
        <w:left w:val="none" w:sz="0" w:space="0" w:color="auto"/>
        <w:bottom w:val="none" w:sz="0" w:space="0" w:color="auto"/>
        <w:right w:val="none" w:sz="0" w:space="0" w:color="auto"/>
      </w:divBdr>
    </w:div>
    <w:div w:id="336226316">
      <w:bodyDiv w:val="1"/>
      <w:marLeft w:val="0"/>
      <w:marRight w:val="0"/>
      <w:marTop w:val="0"/>
      <w:marBottom w:val="0"/>
      <w:divBdr>
        <w:top w:val="none" w:sz="0" w:space="0" w:color="auto"/>
        <w:left w:val="none" w:sz="0" w:space="0" w:color="auto"/>
        <w:bottom w:val="none" w:sz="0" w:space="0" w:color="auto"/>
        <w:right w:val="none" w:sz="0" w:space="0" w:color="auto"/>
      </w:divBdr>
    </w:div>
    <w:div w:id="349914308">
      <w:bodyDiv w:val="1"/>
      <w:marLeft w:val="0"/>
      <w:marRight w:val="0"/>
      <w:marTop w:val="0"/>
      <w:marBottom w:val="0"/>
      <w:divBdr>
        <w:top w:val="none" w:sz="0" w:space="0" w:color="auto"/>
        <w:left w:val="none" w:sz="0" w:space="0" w:color="auto"/>
        <w:bottom w:val="none" w:sz="0" w:space="0" w:color="auto"/>
        <w:right w:val="none" w:sz="0" w:space="0" w:color="auto"/>
      </w:divBdr>
    </w:div>
    <w:div w:id="365103782">
      <w:bodyDiv w:val="1"/>
      <w:marLeft w:val="0"/>
      <w:marRight w:val="0"/>
      <w:marTop w:val="0"/>
      <w:marBottom w:val="0"/>
      <w:divBdr>
        <w:top w:val="none" w:sz="0" w:space="0" w:color="auto"/>
        <w:left w:val="none" w:sz="0" w:space="0" w:color="auto"/>
        <w:bottom w:val="none" w:sz="0" w:space="0" w:color="auto"/>
        <w:right w:val="none" w:sz="0" w:space="0" w:color="auto"/>
      </w:divBdr>
    </w:div>
    <w:div w:id="368918464">
      <w:bodyDiv w:val="1"/>
      <w:marLeft w:val="0"/>
      <w:marRight w:val="0"/>
      <w:marTop w:val="0"/>
      <w:marBottom w:val="0"/>
      <w:divBdr>
        <w:top w:val="none" w:sz="0" w:space="0" w:color="auto"/>
        <w:left w:val="none" w:sz="0" w:space="0" w:color="auto"/>
        <w:bottom w:val="none" w:sz="0" w:space="0" w:color="auto"/>
        <w:right w:val="none" w:sz="0" w:space="0" w:color="auto"/>
      </w:divBdr>
    </w:div>
    <w:div w:id="418987809">
      <w:bodyDiv w:val="1"/>
      <w:marLeft w:val="0"/>
      <w:marRight w:val="0"/>
      <w:marTop w:val="0"/>
      <w:marBottom w:val="0"/>
      <w:divBdr>
        <w:top w:val="none" w:sz="0" w:space="0" w:color="auto"/>
        <w:left w:val="none" w:sz="0" w:space="0" w:color="auto"/>
        <w:bottom w:val="none" w:sz="0" w:space="0" w:color="auto"/>
        <w:right w:val="none" w:sz="0" w:space="0" w:color="auto"/>
      </w:divBdr>
    </w:div>
    <w:div w:id="424502038">
      <w:bodyDiv w:val="1"/>
      <w:marLeft w:val="0"/>
      <w:marRight w:val="0"/>
      <w:marTop w:val="0"/>
      <w:marBottom w:val="0"/>
      <w:divBdr>
        <w:top w:val="none" w:sz="0" w:space="0" w:color="auto"/>
        <w:left w:val="none" w:sz="0" w:space="0" w:color="auto"/>
        <w:bottom w:val="none" w:sz="0" w:space="0" w:color="auto"/>
        <w:right w:val="none" w:sz="0" w:space="0" w:color="auto"/>
      </w:divBdr>
    </w:div>
    <w:div w:id="448476855">
      <w:bodyDiv w:val="1"/>
      <w:marLeft w:val="0"/>
      <w:marRight w:val="0"/>
      <w:marTop w:val="0"/>
      <w:marBottom w:val="0"/>
      <w:divBdr>
        <w:top w:val="none" w:sz="0" w:space="0" w:color="auto"/>
        <w:left w:val="none" w:sz="0" w:space="0" w:color="auto"/>
        <w:bottom w:val="none" w:sz="0" w:space="0" w:color="auto"/>
        <w:right w:val="none" w:sz="0" w:space="0" w:color="auto"/>
      </w:divBdr>
    </w:div>
    <w:div w:id="45360279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9091304">
      <w:bodyDiv w:val="1"/>
      <w:marLeft w:val="0"/>
      <w:marRight w:val="0"/>
      <w:marTop w:val="0"/>
      <w:marBottom w:val="0"/>
      <w:divBdr>
        <w:top w:val="none" w:sz="0" w:space="0" w:color="auto"/>
        <w:left w:val="none" w:sz="0" w:space="0" w:color="auto"/>
        <w:bottom w:val="none" w:sz="0" w:space="0" w:color="auto"/>
        <w:right w:val="none" w:sz="0" w:space="0" w:color="auto"/>
      </w:divBdr>
    </w:div>
    <w:div w:id="666056075">
      <w:bodyDiv w:val="1"/>
      <w:marLeft w:val="0"/>
      <w:marRight w:val="0"/>
      <w:marTop w:val="0"/>
      <w:marBottom w:val="0"/>
      <w:divBdr>
        <w:top w:val="none" w:sz="0" w:space="0" w:color="auto"/>
        <w:left w:val="none" w:sz="0" w:space="0" w:color="auto"/>
        <w:bottom w:val="none" w:sz="0" w:space="0" w:color="auto"/>
        <w:right w:val="none" w:sz="0" w:space="0" w:color="auto"/>
      </w:divBdr>
    </w:div>
    <w:div w:id="70413537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6581925">
      <w:bodyDiv w:val="1"/>
      <w:marLeft w:val="0"/>
      <w:marRight w:val="0"/>
      <w:marTop w:val="0"/>
      <w:marBottom w:val="0"/>
      <w:divBdr>
        <w:top w:val="none" w:sz="0" w:space="0" w:color="auto"/>
        <w:left w:val="none" w:sz="0" w:space="0" w:color="auto"/>
        <w:bottom w:val="none" w:sz="0" w:space="0" w:color="auto"/>
        <w:right w:val="none" w:sz="0" w:space="0" w:color="auto"/>
      </w:divBdr>
    </w:div>
    <w:div w:id="898252149">
      <w:bodyDiv w:val="1"/>
      <w:marLeft w:val="0"/>
      <w:marRight w:val="0"/>
      <w:marTop w:val="0"/>
      <w:marBottom w:val="0"/>
      <w:divBdr>
        <w:top w:val="none" w:sz="0" w:space="0" w:color="auto"/>
        <w:left w:val="none" w:sz="0" w:space="0" w:color="auto"/>
        <w:bottom w:val="none" w:sz="0" w:space="0" w:color="auto"/>
        <w:right w:val="none" w:sz="0" w:space="0" w:color="auto"/>
      </w:divBdr>
    </w:div>
    <w:div w:id="959922404">
      <w:bodyDiv w:val="1"/>
      <w:marLeft w:val="0"/>
      <w:marRight w:val="0"/>
      <w:marTop w:val="0"/>
      <w:marBottom w:val="0"/>
      <w:divBdr>
        <w:top w:val="none" w:sz="0" w:space="0" w:color="auto"/>
        <w:left w:val="none" w:sz="0" w:space="0" w:color="auto"/>
        <w:bottom w:val="none" w:sz="0" w:space="0" w:color="auto"/>
        <w:right w:val="none" w:sz="0" w:space="0" w:color="auto"/>
      </w:divBdr>
    </w:div>
    <w:div w:id="1136490747">
      <w:bodyDiv w:val="1"/>
      <w:marLeft w:val="0"/>
      <w:marRight w:val="0"/>
      <w:marTop w:val="0"/>
      <w:marBottom w:val="0"/>
      <w:divBdr>
        <w:top w:val="none" w:sz="0" w:space="0" w:color="auto"/>
        <w:left w:val="none" w:sz="0" w:space="0" w:color="auto"/>
        <w:bottom w:val="none" w:sz="0" w:space="0" w:color="auto"/>
        <w:right w:val="none" w:sz="0" w:space="0" w:color="auto"/>
      </w:divBdr>
    </w:div>
    <w:div w:id="1154418339">
      <w:bodyDiv w:val="1"/>
      <w:marLeft w:val="0"/>
      <w:marRight w:val="0"/>
      <w:marTop w:val="0"/>
      <w:marBottom w:val="0"/>
      <w:divBdr>
        <w:top w:val="none" w:sz="0" w:space="0" w:color="auto"/>
        <w:left w:val="none" w:sz="0" w:space="0" w:color="auto"/>
        <w:bottom w:val="none" w:sz="0" w:space="0" w:color="auto"/>
        <w:right w:val="none" w:sz="0" w:space="0" w:color="auto"/>
      </w:divBdr>
    </w:div>
    <w:div w:id="1162693737">
      <w:bodyDiv w:val="1"/>
      <w:marLeft w:val="0"/>
      <w:marRight w:val="0"/>
      <w:marTop w:val="0"/>
      <w:marBottom w:val="0"/>
      <w:divBdr>
        <w:top w:val="none" w:sz="0" w:space="0" w:color="auto"/>
        <w:left w:val="none" w:sz="0" w:space="0" w:color="auto"/>
        <w:bottom w:val="none" w:sz="0" w:space="0" w:color="auto"/>
        <w:right w:val="none" w:sz="0" w:space="0" w:color="auto"/>
      </w:divBdr>
    </w:div>
    <w:div w:id="1200556286">
      <w:bodyDiv w:val="1"/>
      <w:marLeft w:val="0"/>
      <w:marRight w:val="0"/>
      <w:marTop w:val="0"/>
      <w:marBottom w:val="0"/>
      <w:divBdr>
        <w:top w:val="none" w:sz="0" w:space="0" w:color="auto"/>
        <w:left w:val="none" w:sz="0" w:space="0" w:color="auto"/>
        <w:bottom w:val="none" w:sz="0" w:space="0" w:color="auto"/>
        <w:right w:val="none" w:sz="0" w:space="0" w:color="auto"/>
      </w:divBdr>
    </w:div>
    <w:div w:id="1313095326">
      <w:bodyDiv w:val="1"/>
      <w:marLeft w:val="0"/>
      <w:marRight w:val="0"/>
      <w:marTop w:val="0"/>
      <w:marBottom w:val="0"/>
      <w:divBdr>
        <w:top w:val="none" w:sz="0" w:space="0" w:color="auto"/>
        <w:left w:val="none" w:sz="0" w:space="0" w:color="auto"/>
        <w:bottom w:val="none" w:sz="0" w:space="0" w:color="auto"/>
        <w:right w:val="none" w:sz="0" w:space="0" w:color="auto"/>
      </w:divBdr>
    </w:div>
    <w:div w:id="1410737603">
      <w:bodyDiv w:val="1"/>
      <w:marLeft w:val="0"/>
      <w:marRight w:val="0"/>
      <w:marTop w:val="0"/>
      <w:marBottom w:val="0"/>
      <w:divBdr>
        <w:top w:val="none" w:sz="0" w:space="0" w:color="auto"/>
        <w:left w:val="none" w:sz="0" w:space="0" w:color="auto"/>
        <w:bottom w:val="none" w:sz="0" w:space="0" w:color="auto"/>
        <w:right w:val="none" w:sz="0" w:space="0" w:color="auto"/>
      </w:divBdr>
    </w:div>
    <w:div w:id="1430585535">
      <w:bodyDiv w:val="1"/>
      <w:marLeft w:val="0"/>
      <w:marRight w:val="0"/>
      <w:marTop w:val="0"/>
      <w:marBottom w:val="0"/>
      <w:divBdr>
        <w:top w:val="none" w:sz="0" w:space="0" w:color="auto"/>
        <w:left w:val="none" w:sz="0" w:space="0" w:color="auto"/>
        <w:bottom w:val="none" w:sz="0" w:space="0" w:color="auto"/>
        <w:right w:val="none" w:sz="0" w:space="0" w:color="auto"/>
      </w:divBdr>
    </w:div>
    <w:div w:id="1488669686">
      <w:bodyDiv w:val="1"/>
      <w:marLeft w:val="0"/>
      <w:marRight w:val="0"/>
      <w:marTop w:val="0"/>
      <w:marBottom w:val="0"/>
      <w:divBdr>
        <w:top w:val="none" w:sz="0" w:space="0" w:color="auto"/>
        <w:left w:val="none" w:sz="0" w:space="0" w:color="auto"/>
        <w:bottom w:val="none" w:sz="0" w:space="0" w:color="auto"/>
        <w:right w:val="none" w:sz="0" w:space="0" w:color="auto"/>
      </w:divBdr>
    </w:div>
    <w:div w:id="1573277908">
      <w:bodyDiv w:val="1"/>
      <w:marLeft w:val="0"/>
      <w:marRight w:val="0"/>
      <w:marTop w:val="0"/>
      <w:marBottom w:val="0"/>
      <w:divBdr>
        <w:top w:val="none" w:sz="0" w:space="0" w:color="auto"/>
        <w:left w:val="none" w:sz="0" w:space="0" w:color="auto"/>
        <w:bottom w:val="none" w:sz="0" w:space="0" w:color="auto"/>
        <w:right w:val="none" w:sz="0" w:space="0" w:color="auto"/>
      </w:divBdr>
    </w:div>
    <w:div w:id="1637561330">
      <w:bodyDiv w:val="1"/>
      <w:marLeft w:val="0"/>
      <w:marRight w:val="0"/>
      <w:marTop w:val="0"/>
      <w:marBottom w:val="0"/>
      <w:divBdr>
        <w:top w:val="none" w:sz="0" w:space="0" w:color="auto"/>
        <w:left w:val="none" w:sz="0" w:space="0" w:color="auto"/>
        <w:bottom w:val="none" w:sz="0" w:space="0" w:color="auto"/>
        <w:right w:val="none" w:sz="0" w:space="0" w:color="auto"/>
      </w:divBdr>
    </w:div>
    <w:div w:id="1677802596">
      <w:bodyDiv w:val="1"/>
      <w:marLeft w:val="0"/>
      <w:marRight w:val="0"/>
      <w:marTop w:val="0"/>
      <w:marBottom w:val="0"/>
      <w:divBdr>
        <w:top w:val="none" w:sz="0" w:space="0" w:color="auto"/>
        <w:left w:val="none" w:sz="0" w:space="0" w:color="auto"/>
        <w:bottom w:val="none" w:sz="0" w:space="0" w:color="auto"/>
        <w:right w:val="none" w:sz="0" w:space="0" w:color="auto"/>
      </w:divBdr>
    </w:div>
    <w:div w:id="1683161124">
      <w:bodyDiv w:val="1"/>
      <w:marLeft w:val="0"/>
      <w:marRight w:val="0"/>
      <w:marTop w:val="0"/>
      <w:marBottom w:val="0"/>
      <w:divBdr>
        <w:top w:val="none" w:sz="0" w:space="0" w:color="auto"/>
        <w:left w:val="none" w:sz="0" w:space="0" w:color="auto"/>
        <w:bottom w:val="none" w:sz="0" w:space="0" w:color="auto"/>
        <w:right w:val="none" w:sz="0" w:space="0" w:color="auto"/>
      </w:divBdr>
    </w:div>
    <w:div w:id="1795563407">
      <w:bodyDiv w:val="1"/>
      <w:marLeft w:val="0"/>
      <w:marRight w:val="0"/>
      <w:marTop w:val="0"/>
      <w:marBottom w:val="0"/>
      <w:divBdr>
        <w:top w:val="none" w:sz="0" w:space="0" w:color="auto"/>
        <w:left w:val="none" w:sz="0" w:space="0" w:color="auto"/>
        <w:bottom w:val="none" w:sz="0" w:space="0" w:color="auto"/>
        <w:right w:val="none" w:sz="0" w:space="0" w:color="auto"/>
      </w:divBdr>
    </w:div>
    <w:div w:id="1911232403">
      <w:bodyDiv w:val="1"/>
      <w:marLeft w:val="0"/>
      <w:marRight w:val="0"/>
      <w:marTop w:val="0"/>
      <w:marBottom w:val="0"/>
      <w:divBdr>
        <w:top w:val="none" w:sz="0" w:space="0" w:color="auto"/>
        <w:left w:val="none" w:sz="0" w:space="0" w:color="auto"/>
        <w:bottom w:val="none" w:sz="0" w:space="0" w:color="auto"/>
        <w:right w:val="none" w:sz="0" w:space="0" w:color="auto"/>
      </w:divBdr>
    </w:div>
    <w:div w:id="1977447306">
      <w:bodyDiv w:val="1"/>
      <w:marLeft w:val="0"/>
      <w:marRight w:val="0"/>
      <w:marTop w:val="0"/>
      <w:marBottom w:val="0"/>
      <w:divBdr>
        <w:top w:val="none" w:sz="0" w:space="0" w:color="auto"/>
        <w:left w:val="none" w:sz="0" w:space="0" w:color="auto"/>
        <w:bottom w:val="none" w:sz="0" w:space="0" w:color="auto"/>
        <w:right w:val="none" w:sz="0" w:space="0" w:color="auto"/>
      </w:divBdr>
    </w:div>
    <w:div w:id="2017488675">
      <w:bodyDiv w:val="1"/>
      <w:marLeft w:val="0"/>
      <w:marRight w:val="0"/>
      <w:marTop w:val="0"/>
      <w:marBottom w:val="0"/>
      <w:divBdr>
        <w:top w:val="none" w:sz="0" w:space="0" w:color="auto"/>
        <w:left w:val="none" w:sz="0" w:space="0" w:color="auto"/>
        <w:bottom w:val="none" w:sz="0" w:space="0" w:color="auto"/>
        <w:right w:val="none" w:sz="0" w:space="0" w:color="auto"/>
      </w:divBdr>
    </w:div>
    <w:div w:id="2021661458">
      <w:bodyDiv w:val="1"/>
      <w:marLeft w:val="0"/>
      <w:marRight w:val="0"/>
      <w:marTop w:val="0"/>
      <w:marBottom w:val="0"/>
      <w:divBdr>
        <w:top w:val="none" w:sz="0" w:space="0" w:color="auto"/>
        <w:left w:val="none" w:sz="0" w:space="0" w:color="auto"/>
        <w:bottom w:val="none" w:sz="0" w:space="0" w:color="auto"/>
        <w:right w:val="none" w:sz="0" w:space="0" w:color="auto"/>
      </w:divBdr>
    </w:div>
    <w:div w:id="2049379771">
      <w:bodyDiv w:val="1"/>
      <w:marLeft w:val="0"/>
      <w:marRight w:val="0"/>
      <w:marTop w:val="0"/>
      <w:marBottom w:val="0"/>
      <w:divBdr>
        <w:top w:val="none" w:sz="0" w:space="0" w:color="auto"/>
        <w:left w:val="none" w:sz="0" w:space="0" w:color="auto"/>
        <w:bottom w:val="none" w:sz="0" w:space="0" w:color="auto"/>
        <w:right w:val="none" w:sz="0" w:space="0" w:color="auto"/>
      </w:divBdr>
    </w:div>
    <w:div w:id="2076774071">
      <w:bodyDiv w:val="1"/>
      <w:marLeft w:val="0"/>
      <w:marRight w:val="0"/>
      <w:marTop w:val="0"/>
      <w:marBottom w:val="0"/>
      <w:divBdr>
        <w:top w:val="none" w:sz="0" w:space="0" w:color="auto"/>
        <w:left w:val="none" w:sz="0" w:space="0" w:color="auto"/>
        <w:bottom w:val="none" w:sz="0" w:space="0" w:color="auto"/>
        <w:right w:val="none" w:sz="0" w:space="0" w:color="auto"/>
      </w:divBdr>
    </w:div>
    <w:div w:id="209177890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48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h.wikipedia.org/wiki/%E8%BE%A9%E6%8A%A4" TargetMode="External"/><Relationship Id="rId5" Type="http://schemas.openxmlformats.org/officeDocument/2006/relationships/settings" Target="settings.xml"/><Relationship Id="rId10" Type="http://schemas.openxmlformats.org/officeDocument/2006/relationships/hyperlink" Target="https://db.lawbank.com.tw/FLAW/FLAWDOC04.aspx?lsid=FL001445&amp;lno=95&amp;ldate=20130123" TargetMode="External"/><Relationship Id="rId4" Type="http://schemas.openxmlformats.org/officeDocument/2006/relationships/styles" Target="styles.xml"/><Relationship Id="rId9" Type="http://schemas.openxmlformats.org/officeDocument/2006/relationships/hyperlink" Target="https://db.lawbank.com.tw/FLAW/FLAWDOC04.aspx?lsid=FL001445&amp;lno=287-2&amp;ldate=20130123"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1D66D-8548-49E8-ABA8-C662DBCC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2023-06-15T09:04:00Z</dcterms:created>
  <dcterms:modified xsi:type="dcterms:W3CDTF">2023-06-15T09:04:00Z</dcterms:modified>
  <cp:contentStatus/>
</cp:coreProperties>
</file>