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6436E" w:rsidRDefault="0025106C" w:rsidP="00F37D7B">
      <w:pPr>
        <w:pStyle w:val="af2"/>
      </w:pPr>
      <w:r w:rsidRPr="00E6436E">
        <w:rPr>
          <w:rFonts w:hint="eastAsia"/>
        </w:rPr>
        <w:t>糾正案文</w:t>
      </w:r>
    </w:p>
    <w:p w:rsidR="00E25849" w:rsidRPr="00E6436E" w:rsidRDefault="0025106C" w:rsidP="00F231DC">
      <w:pPr>
        <w:pStyle w:val="1"/>
        <w:rPr>
          <w:rFonts w:hAnsi="標楷體"/>
        </w:rPr>
      </w:pPr>
      <w:r w:rsidRPr="00E6436E">
        <w:rPr>
          <w:rFonts w:hint="eastAsia"/>
        </w:rPr>
        <w:t>被糾正機關：</w:t>
      </w:r>
      <w:r w:rsidR="008843DC" w:rsidRPr="00E6436E">
        <w:rPr>
          <w:rFonts w:hint="eastAsia"/>
        </w:rPr>
        <w:t>台灣糖業股份有限公司</w:t>
      </w:r>
      <w:r w:rsidR="00100564" w:rsidRPr="00E6436E">
        <w:rPr>
          <w:rFonts w:hAnsi="標楷體" w:hint="eastAsia"/>
        </w:rPr>
        <w:t>。</w:t>
      </w:r>
    </w:p>
    <w:p w:rsidR="002D13EB" w:rsidRPr="00E6436E" w:rsidRDefault="0025106C" w:rsidP="00A14BF9">
      <w:pPr>
        <w:pStyle w:val="1"/>
      </w:pPr>
      <w:r w:rsidRPr="00E6436E">
        <w:rPr>
          <w:rFonts w:hAnsi="標楷體" w:hint="eastAsia"/>
        </w:rPr>
        <w:t>案　　　由：</w:t>
      </w:r>
      <w:r w:rsidR="002D13EB" w:rsidRPr="00E6436E">
        <w:rPr>
          <w:rFonts w:hAnsi="標楷體" w:hint="eastAsia"/>
        </w:rPr>
        <w:t>據審計部</w:t>
      </w:r>
      <w:proofErr w:type="gramStart"/>
      <w:r w:rsidR="002D13EB" w:rsidRPr="00E6436E">
        <w:rPr>
          <w:rFonts w:hAnsi="標楷體" w:hint="eastAsia"/>
        </w:rPr>
        <w:t>110</w:t>
      </w:r>
      <w:proofErr w:type="gramEnd"/>
      <w:r w:rsidR="002D13EB" w:rsidRPr="00E6436E">
        <w:rPr>
          <w:rFonts w:hAnsi="標楷體" w:hint="eastAsia"/>
        </w:rPr>
        <w:t>年度中央政府總決算審核報告，台灣糖業股份有限公司配合經濟部推動太陽能光電計畫</w:t>
      </w:r>
      <w:r w:rsidR="00DC54A7" w:rsidRPr="00E6436E">
        <w:rPr>
          <w:rFonts w:hint="eastAsia"/>
        </w:rPr>
        <w:t>，盤點轄管不適耕作與造林地</w:t>
      </w:r>
      <w:r w:rsidR="002D13EB" w:rsidRPr="00E6436E">
        <w:rPr>
          <w:rFonts w:hint="eastAsia"/>
        </w:rPr>
        <w:t>，</w:t>
      </w:r>
      <w:r w:rsidR="00BB3484" w:rsidRPr="00E6436E">
        <w:rPr>
          <w:rFonts w:hint="eastAsia"/>
        </w:rPr>
        <w:t>因而</w:t>
      </w:r>
      <w:r w:rsidR="002D13EB" w:rsidRPr="00E6436E">
        <w:rPr>
          <w:rFonts w:hAnsi="標楷體" w:hint="eastAsia"/>
        </w:rPr>
        <w:t>七股農場</w:t>
      </w:r>
      <w:r w:rsidR="004175EC" w:rsidRPr="00E6436E">
        <w:rPr>
          <w:rFonts w:hAnsi="標楷體" w:hint="eastAsia"/>
        </w:rPr>
        <w:t>註銷</w:t>
      </w:r>
      <w:r w:rsidR="002D13EB" w:rsidRPr="00E6436E">
        <w:rPr>
          <w:rFonts w:hAnsi="標楷體" w:hint="eastAsia"/>
        </w:rPr>
        <w:t>造林</w:t>
      </w:r>
      <w:r w:rsidR="00BB3484" w:rsidRPr="00E6436E">
        <w:rPr>
          <w:rFonts w:hAnsi="標楷體" w:hint="eastAsia"/>
        </w:rPr>
        <w:t>用途改</w:t>
      </w:r>
      <w:r w:rsidR="002D13EB" w:rsidRPr="00E6436E">
        <w:rPr>
          <w:rFonts w:hAnsi="標楷體" w:hint="eastAsia"/>
        </w:rPr>
        <w:t>作光電用</w:t>
      </w:r>
      <w:r w:rsidR="00BF3AFD" w:rsidRPr="00E6436E">
        <w:rPr>
          <w:rFonts w:hAnsi="標楷體" w:hint="eastAsia"/>
        </w:rPr>
        <w:t>地</w:t>
      </w:r>
      <w:r w:rsidR="00E2737C">
        <w:rPr>
          <w:rFonts w:hAnsi="標楷體" w:hint="eastAsia"/>
        </w:rPr>
        <w:t>。</w:t>
      </w:r>
      <w:r w:rsidR="00BB3484" w:rsidRPr="00E6436E">
        <w:rPr>
          <w:rFonts w:hAnsi="標楷體" w:hint="eastAsia"/>
        </w:rPr>
        <w:t>政府</w:t>
      </w:r>
      <w:r w:rsidR="00C74E34" w:rsidRPr="00E6436E">
        <w:rPr>
          <w:rFonts w:hint="eastAsia"/>
        </w:rPr>
        <w:t>原</w:t>
      </w:r>
      <w:r w:rsidR="00BF3AFD" w:rsidRPr="00E6436E">
        <w:rPr>
          <w:rFonts w:hint="eastAsia"/>
        </w:rPr>
        <w:t>推動</w:t>
      </w:r>
      <w:r w:rsidR="00BF3AFD" w:rsidRPr="00E6436E">
        <w:rPr>
          <w:rFonts w:hAnsi="標楷體" w:hint="eastAsia"/>
        </w:rPr>
        <w:t>造林政策係為</w:t>
      </w:r>
      <w:r w:rsidR="00C74E34" w:rsidRPr="00E6436E">
        <w:rPr>
          <w:rFonts w:hint="eastAsia"/>
        </w:rPr>
        <w:t>達成APEC決議</w:t>
      </w:r>
      <w:r w:rsidR="00BF3AFD" w:rsidRPr="00E6436E">
        <w:rPr>
          <w:rFonts w:hint="eastAsia"/>
        </w:rPr>
        <w:t>，現</w:t>
      </w:r>
      <w:r w:rsidR="00BB3484" w:rsidRPr="00E6436E">
        <w:rPr>
          <w:rFonts w:hint="eastAsia"/>
        </w:rPr>
        <w:t>造林地</w:t>
      </w:r>
      <w:r w:rsidR="00C51EEA" w:rsidRPr="00E6436E">
        <w:rPr>
          <w:rFonts w:hint="eastAsia"/>
        </w:rPr>
        <w:t>改置光電案場</w:t>
      </w:r>
      <w:r w:rsidR="00C74E34" w:rsidRPr="00E6436E">
        <w:rPr>
          <w:rFonts w:hint="eastAsia"/>
        </w:rPr>
        <w:t>，</w:t>
      </w:r>
      <w:r w:rsidR="00C51EEA" w:rsidRPr="00E6436E">
        <w:rPr>
          <w:rFonts w:hint="eastAsia"/>
        </w:rPr>
        <w:t>遂衍生政策不連續，</w:t>
      </w:r>
      <w:bookmarkStart w:id="0" w:name="_Hlk131756979"/>
      <w:r w:rsidR="00C51EEA" w:rsidRPr="00E6436E">
        <w:rPr>
          <w:rFonts w:hint="eastAsia"/>
        </w:rPr>
        <w:t>徒增民眾疑慮與爭議</w:t>
      </w:r>
      <w:bookmarkEnd w:id="0"/>
      <w:r w:rsidR="00C51EEA" w:rsidRPr="00E6436E">
        <w:rPr>
          <w:rFonts w:hAnsi="標楷體" w:hint="eastAsia"/>
        </w:rPr>
        <w:t>；</w:t>
      </w:r>
      <w:r w:rsidR="00212671" w:rsidRPr="00E6436E">
        <w:rPr>
          <w:rFonts w:hAnsi="標楷體" w:hint="eastAsia"/>
        </w:rPr>
        <w:t>該</w:t>
      </w:r>
      <w:r w:rsidR="00C74E34" w:rsidRPr="00E6436E">
        <w:rPr>
          <w:rFonts w:hAnsi="標楷體" w:hint="eastAsia"/>
        </w:rPr>
        <w:t>公司辦理</w:t>
      </w:r>
      <w:r w:rsidR="002D13EB" w:rsidRPr="00E6436E">
        <w:rPr>
          <w:rFonts w:hAnsi="標楷體" w:hint="eastAsia"/>
        </w:rPr>
        <w:t>林木</w:t>
      </w:r>
      <w:r w:rsidR="00DC54A7" w:rsidRPr="00E6436E">
        <w:rPr>
          <w:rFonts w:hint="eastAsia"/>
        </w:rPr>
        <w:t>材積估算</w:t>
      </w:r>
      <w:r w:rsidR="00C51EEA" w:rsidRPr="00E6436E">
        <w:rPr>
          <w:rFonts w:hint="eastAsia"/>
        </w:rPr>
        <w:t>與伐採</w:t>
      </w:r>
      <w:r w:rsidR="00DC54A7" w:rsidRPr="00E6436E">
        <w:rPr>
          <w:rFonts w:hint="eastAsia"/>
        </w:rPr>
        <w:t>作業</w:t>
      </w:r>
      <w:r w:rsidR="002D13EB" w:rsidRPr="00E6436E">
        <w:rPr>
          <w:rFonts w:hAnsi="標楷體" w:hint="eastAsia"/>
        </w:rPr>
        <w:t>未臻嚴謹</w:t>
      </w:r>
      <w:r w:rsidR="002C45D2" w:rsidRPr="00E6436E">
        <w:rPr>
          <w:rFonts w:hAnsi="標楷體" w:hint="eastAsia"/>
        </w:rPr>
        <w:t>，欠缺</w:t>
      </w:r>
      <w:r w:rsidR="009942D8" w:rsidRPr="00E6436E">
        <w:rPr>
          <w:rFonts w:hint="eastAsia"/>
        </w:rPr>
        <w:t>查估</w:t>
      </w:r>
      <w:r w:rsidR="002C45D2" w:rsidRPr="00E6436E">
        <w:rPr>
          <w:rFonts w:hAnsi="標楷體" w:hint="eastAsia"/>
        </w:rPr>
        <w:t>資料</w:t>
      </w:r>
      <w:r w:rsidR="002C45D2" w:rsidRPr="00E6436E">
        <w:rPr>
          <w:rFonts w:hint="eastAsia"/>
        </w:rPr>
        <w:t>佐證</w:t>
      </w:r>
      <w:r w:rsidR="009942D8" w:rsidRPr="00E6436E">
        <w:rPr>
          <w:rFonts w:hint="eastAsia"/>
        </w:rPr>
        <w:t>致</w:t>
      </w:r>
      <w:r w:rsidR="002C45D2" w:rsidRPr="00E6436E">
        <w:rPr>
          <w:rFonts w:hAnsi="標楷體" w:hint="eastAsia"/>
        </w:rPr>
        <w:t>無從驗證，</w:t>
      </w:r>
      <w:r w:rsidR="002D13EB" w:rsidRPr="00E6436E">
        <w:rPr>
          <w:rFonts w:hAnsi="標楷體" w:hint="eastAsia"/>
        </w:rPr>
        <w:t>履約管理欠當</w:t>
      </w:r>
      <w:r w:rsidR="002D13EB" w:rsidRPr="00E6436E">
        <w:rPr>
          <w:rFonts w:hint="eastAsia"/>
        </w:rPr>
        <w:t>，</w:t>
      </w:r>
      <w:r w:rsidR="00DC54A7" w:rsidRPr="00E6436E">
        <w:rPr>
          <w:rFonts w:hAnsi="標楷體" w:hint="eastAsia"/>
        </w:rPr>
        <w:t>核有</w:t>
      </w:r>
      <w:r w:rsidR="002D13EB" w:rsidRPr="00E6436E">
        <w:rPr>
          <w:rFonts w:hint="eastAsia"/>
        </w:rPr>
        <w:t>重大</w:t>
      </w:r>
      <w:r w:rsidR="002D13EB" w:rsidRPr="00E6436E">
        <w:rPr>
          <w:rFonts w:hAnsi="標楷體" w:hint="eastAsia"/>
        </w:rPr>
        <w:t>違失</w:t>
      </w:r>
      <w:r w:rsidR="002D13EB" w:rsidRPr="00E6436E">
        <w:rPr>
          <w:rFonts w:hint="eastAsia"/>
        </w:rPr>
        <w:t>，依法提案糾正。</w:t>
      </w:r>
    </w:p>
    <w:p w:rsidR="002D13EB" w:rsidRPr="00E6436E" w:rsidRDefault="00DB3135" w:rsidP="002D13EB">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E6436E">
        <w:rPr>
          <w:rFonts w:hint="eastAsia"/>
        </w:rPr>
        <w:t>事實與理由：</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2D13EB" w:rsidRPr="00E6436E" w:rsidRDefault="004A2C04" w:rsidP="004A2C04">
      <w:pPr>
        <w:pStyle w:val="10"/>
        <w:ind w:left="680" w:firstLine="680"/>
      </w:pPr>
      <w:r w:rsidRPr="00E6436E">
        <w:rPr>
          <w:rFonts w:hint="eastAsia"/>
        </w:rPr>
        <w:t>據審計部110年度中央政府總決算審核報告，台灣糖業股份有限公司(下稱台糖公司)配合經濟部推動太陽能光電計畫，註銷七股農場造林地改置光電案場，須伐採廣大面積林木致生周遭生態爭議，</w:t>
      </w:r>
      <w:r w:rsidRPr="00E6436E">
        <w:rPr>
          <w:rFonts w:hAnsi="標楷體" w:hint="eastAsia"/>
        </w:rPr>
        <w:t>而台糖公司辦理</w:t>
      </w:r>
      <w:r w:rsidRPr="00E6436E">
        <w:rPr>
          <w:rFonts w:hint="eastAsia"/>
        </w:rPr>
        <w:t>材積估算與伐採作業，據報</w:t>
      </w:r>
      <w:r w:rsidRPr="00E6436E">
        <w:rPr>
          <w:rFonts w:hAnsi="標楷體" w:hint="eastAsia"/>
        </w:rPr>
        <w:t>未臻嚴謹</w:t>
      </w:r>
      <w:r w:rsidRPr="00E6436E">
        <w:rPr>
          <w:rFonts w:hint="eastAsia"/>
        </w:rPr>
        <w:t>，</w:t>
      </w:r>
      <w:bookmarkStart w:id="42" w:name="_Hlk131773563"/>
      <w:r w:rsidRPr="00E6436E">
        <w:rPr>
          <w:rFonts w:hAnsi="標楷體" w:hint="eastAsia"/>
        </w:rPr>
        <w:t>致履約管理欠當</w:t>
      </w:r>
      <w:r w:rsidRPr="00E6436E">
        <w:rPr>
          <w:rFonts w:hint="eastAsia"/>
        </w:rPr>
        <w:t>，損及公司權益等情案</w:t>
      </w:r>
      <w:bookmarkEnd w:id="42"/>
      <w:r w:rsidRPr="00E6436E">
        <w:rPr>
          <w:rFonts w:hint="eastAsia"/>
        </w:rPr>
        <w:t>。</w:t>
      </w:r>
      <w:r w:rsidR="002C45D2" w:rsidRPr="00E6436E">
        <w:rPr>
          <w:rFonts w:hint="eastAsia"/>
        </w:rPr>
        <w:t>經本院調查</w:t>
      </w:r>
      <w:r w:rsidR="00C51EEA" w:rsidRPr="00E6436E">
        <w:rPr>
          <w:rFonts w:hint="eastAsia"/>
        </w:rPr>
        <w:t>後</w:t>
      </w:r>
      <w:r w:rsidR="002C45D2" w:rsidRPr="00E6436E">
        <w:rPr>
          <w:rFonts w:hint="eastAsia"/>
        </w:rPr>
        <w:t>確有其</w:t>
      </w:r>
      <w:r w:rsidR="00C51EEA" w:rsidRPr="00E6436E">
        <w:rPr>
          <w:rFonts w:hAnsi="標楷體" w:hint="eastAsia"/>
        </w:rPr>
        <w:t>上開缺失</w:t>
      </w:r>
      <w:r w:rsidR="002C45D2" w:rsidRPr="00E6436E">
        <w:rPr>
          <w:rFonts w:hAnsi="標楷體" w:hint="eastAsia"/>
        </w:rPr>
        <w:t>，</w:t>
      </w:r>
      <w:r w:rsidR="00212671" w:rsidRPr="00E6436E">
        <w:rPr>
          <w:rFonts w:hAnsi="標楷體" w:hint="eastAsia"/>
        </w:rPr>
        <w:t>政府</w:t>
      </w:r>
      <w:r w:rsidR="00C51EEA" w:rsidRPr="00E6436E">
        <w:rPr>
          <w:rFonts w:hAnsi="標楷體" w:hint="eastAsia"/>
        </w:rPr>
        <w:t>原</w:t>
      </w:r>
      <w:r w:rsidR="00212671" w:rsidRPr="00E6436E">
        <w:rPr>
          <w:rFonts w:hAnsi="標楷體" w:hint="eastAsia"/>
        </w:rPr>
        <w:t>推動</w:t>
      </w:r>
      <w:r w:rsidR="00C51EEA" w:rsidRPr="00E6436E">
        <w:rPr>
          <w:rFonts w:hAnsi="標楷體" w:hint="eastAsia"/>
        </w:rPr>
        <w:t>造林政策貿然</w:t>
      </w:r>
      <w:r w:rsidR="00C51EEA" w:rsidRPr="00E6436E">
        <w:rPr>
          <w:rFonts w:hint="eastAsia"/>
        </w:rPr>
        <w:t>改置光電案場</w:t>
      </w:r>
      <w:r w:rsidR="00212671" w:rsidRPr="00E6436E">
        <w:rPr>
          <w:rFonts w:hint="eastAsia"/>
        </w:rPr>
        <w:t>，</w:t>
      </w:r>
      <w:r w:rsidR="00C51EEA" w:rsidRPr="00E6436E">
        <w:rPr>
          <w:rFonts w:hint="eastAsia"/>
        </w:rPr>
        <w:t>遂衍生政策不連續</w:t>
      </w:r>
      <w:r w:rsidR="0075284C">
        <w:rPr>
          <w:rFonts w:hint="eastAsia"/>
        </w:rPr>
        <w:t>性</w:t>
      </w:r>
      <w:r w:rsidR="00212671" w:rsidRPr="00E6436E">
        <w:rPr>
          <w:rFonts w:hint="eastAsia"/>
        </w:rPr>
        <w:t>；且</w:t>
      </w:r>
      <w:r w:rsidR="00C51EEA" w:rsidRPr="00E6436E">
        <w:rPr>
          <w:rFonts w:hint="eastAsia"/>
        </w:rPr>
        <w:t>台糖公司</w:t>
      </w:r>
      <w:r w:rsidR="002C45D2" w:rsidRPr="00E6436E">
        <w:rPr>
          <w:rFonts w:hint="eastAsia"/>
        </w:rPr>
        <w:t>欠缺</w:t>
      </w:r>
      <w:r w:rsidR="009942D8" w:rsidRPr="00E6436E">
        <w:rPr>
          <w:rFonts w:hint="eastAsia"/>
        </w:rPr>
        <w:t>林木查估</w:t>
      </w:r>
      <w:r w:rsidR="002C45D2" w:rsidRPr="00E6436E">
        <w:rPr>
          <w:rFonts w:hint="eastAsia"/>
        </w:rPr>
        <w:t>資料佐證</w:t>
      </w:r>
      <w:r w:rsidR="009942D8" w:rsidRPr="00E6436E">
        <w:rPr>
          <w:rFonts w:hint="eastAsia"/>
        </w:rPr>
        <w:t>致</w:t>
      </w:r>
      <w:r w:rsidR="002C45D2" w:rsidRPr="00E6436E">
        <w:rPr>
          <w:rFonts w:hint="eastAsia"/>
        </w:rPr>
        <w:t>無從驗證，</w:t>
      </w:r>
      <w:r w:rsidR="002C45D2" w:rsidRPr="00E6436E">
        <w:rPr>
          <w:rFonts w:hAnsi="標楷體" w:hint="eastAsia"/>
          <w:szCs w:val="24"/>
        </w:rPr>
        <w:t>確有待檢討改善等情</w:t>
      </w:r>
      <w:r w:rsidR="00212671" w:rsidRPr="00E6436E">
        <w:rPr>
          <w:rFonts w:hAnsi="標楷體" w:hint="eastAsia"/>
          <w:szCs w:val="24"/>
        </w:rPr>
        <w:t>，</w:t>
      </w:r>
      <w:r w:rsidR="002C45D2" w:rsidRPr="00E6436E">
        <w:rPr>
          <w:rFonts w:hAnsi="標楷體" w:hint="eastAsia"/>
          <w:szCs w:val="28"/>
        </w:rPr>
        <w:t>經調查竣事，</w:t>
      </w:r>
      <w:r w:rsidR="002C45D2" w:rsidRPr="00E6436E">
        <w:rPr>
          <w:rFonts w:hint="eastAsia"/>
          <w:bCs/>
        </w:rPr>
        <w:t>應予糾正促其注意改善，茲</w:t>
      </w:r>
      <w:r w:rsidR="002C45D2" w:rsidRPr="00E6436E">
        <w:rPr>
          <w:rFonts w:hAnsi="標楷體" w:hint="eastAsia"/>
        </w:rPr>
        <w:t>綜整</w:t>
      </w:r>
      <w:r w:rsidR="002C45D2" w:rsidRPr="00E6436E">
        <w:rPr>
          <w:rFonts w:hint="eastAsia"/>
          <w:bCs/>
        </w:rPr>
        <w:t>事實與理由如下</w:t>
      </w:r>
      <w:r w:rsidR="002C45D2" w:rsidRPr="00E6436E">
        <w:rPr>
          <w:rFonts w:hAnsi="標楷體" w:hint="eastAsia"/>
          <w:spacing w:val="-6"/>
        </w:rPr>
        <w:t>：</w:t>
      </w:r>
      <w:r w:rsidR="002C45D2" w:rsidRPr="00E6436E">
        <w:rPr>
          <w:rFonts w:hAnsi="標楷體"/>
        </w:rPr>
        <w:t xml:space="preserve"> </w:t>
      </w:r>
    </w:p>
    <w:p w:rsidR="00BF7D58" w:rsidRPr="00E6436E" w:rsidRDefault="00BF7D58" w:rsidP="00C43237">
      <w:pPr>
        <w:pStyle w:val="2"/>
        <w:numPr>
          <w:ilvl w:val="0"/>
          <w:numId w:val="0"/>
        </w:numPr>
        <w:spacing w:line="460" w:lineRule="exact"/>
        <w:ind w:left="1021"/>
      </w:pPr>
      <w:bookmarkStart w:id="43" w:name="_Hlk131759575"/>
      <w:bookmarkStart w:id="44" w:name="_Hlk102660373"/>
      <w:bookmarkStart w:id="45" w:name="_Hlk103333681"/>
      <w:bookmarkStart w:id="46" w:name="_Hlk103333480"/>
      <w:bookmarkStart w:id="47" w:name="_Toc524902730"/>
      <w:bookmarkEnd w:id="36"/>
      <w:bookmarkEnd w:id="37"/>
      <w:bookmarkEnd w:id="38"/>
      <w:bookmarkEnd w:id="39"/>
      <w:bookmarkEnd w:id="40"/>
      <w:bookmarkEnd w:id="41"/>
      <w:r w:rsidRPr="00E6436E">
        <w:rPr>
          <w:rFonts w:hint="eastAsia"/>
        </w:rPr>
        <w:t>台糖公司配合經濟部推動太陽能光電計畫以達年度容量目標，遂檢視轄管不適耕作與造林地以供光電廠商投資，雖有其目的正當性，然造林政策係原為達成</w:t>
      </w:r>
      <w:bookmarkStart w:id="48" w:name="_Hlk132875125"/>
      <w:bookmarkStart w:id="49" w:name="_Hlk132875165"/>
      <w:r w:rsidR="00E6436E" w:rsidRPr="00E6436E">
        <w:rPr>
          <w:rFonts w:hint="eastAsia"/>
        </w:rPr>
        <w:t>2007年</w:t>
      </w:r>
      <w:bookmarkStart w:id="50" w:name="_Hlk132874924"/>
      <w:r w:rsidR="00E6436E" w:rsidRPr="00E6436E">
        <w:rPr>
          <w:rFonts w:hint="eastAsia"/>
        </w:rPr>
        <w:t>亞太經濟合作組織（APEC）</w:t>
      </w:r>
      <w:bookmarkStart w:id="51" w:name="_Hlk132875276"/>
      <w:bookmarkEnd w:id="48"/>
      <w:bookmarkEnd w:id="50"/>
      <w:r w:rsidR="00E6436E" w:rsidRPr="00E6436E">
        <w:rPr>
          <w:rFonts w:hint="eastAsia"/>
        </w:rPr>
        <w:t>決議</w:t>
      </w:r>
      <w:bookmarkEnd w:id="49"/>
      <w:r w:rsidRPr="00E6436E">
        <w:rPr>
          <w:rFonts w:hint="eastAsia"/>
        </w:rPr>
        <w:t>予以規</w:t>
      </w:r>
      <w:r w:rsidR="00A600D9">
        <w:rPr>
          <w:rFonts w:hint="eastAsia"/>
        </w:rPr>
        <w:t>劃</w:t>
      </w:r>
      <w:r w:rsidRPr="00E6436E">
        <w:rPr>
          <w:rFonts w:hint="eastAsia"/>
        </w:rPr>
        <w:t>執行，</w:t>
      </w:r>
      <w:bookmarkEnd w:id="51"/>
      <w:r w:rsidR="006F3806" w:rsidRPr="00833464">
        <w:rPr>
          <w:rFonts w:hint="eastAsia"/>
        </w:rPr>
        <w:lastRenderedPageBreak/>
        <w:t>經濟部</w:t>
      </w:r>
      <w:r w:rsidRPr="00833464">
        <w:rPr>
          <w:rFonts w:hint="eastAsia"/>
        </w:rPr>
        <w:t>貿然</w:t>
      </w:r>
      <w:r w:rsidR="006F3806" w:rsidRPr="00833464">
        <w:rPr>
          <w:rFonts w:hint="eastAsia"/>
        </w:rPr>
        <w:t>同意</w:t>
      </w:r>
      <w:r w:rsidRPr="00833464">
        <w:rPr>
          <w:rFonts w:hint="eastAsia"/>
        </w:rPr>
        <w:t>改置光電</w:t>
      </w:r>
      <w:proofErr w:type="gramStart"/>
      <w:r w:rsidRPr="00833464">
        <w:rPr>
          <w:rFonts w:hint="eastAsia"/>
        </w:rPr>
        <w:t>案場遂衍生</w:t>
      </w:r>
      <w:proofErr w:type="gramEnd"/>
      <w:r w:rsidRPr="00833464">
        <w:rPr>
          <w:rFonts w:hint="eastAsia"/>
        </w:rPr>
        <w:t>政策不連續，</w:t>
      </w:r>
      <w:bookmarkStart w:id="52" w:name="_Hlk132639189"/>
      <w:r w:rsidRPr="00833464">
        <w:rPr>
          <w:rFonts w:hint="eastAsia"/>
        </w:rPr>
        <w:t>多年造林之努力與成果毀於一旦，並</w:t>
      </w:r>
      <w:bookmarkEnd w:id="52"/>
      <w:r w:rsidRPr="00833464">
        <w:rPr>
          <w:rFonts w:hint="eastAsia"/>
        </w:rPr>
        <w:t>徒增民眾疑慮與爭議；另造林成果仍屬公司財產，縱然委由投資廠商逕行辦理伐</w:t>
      </w:r>
      <w:proofErr w:type="gramStart"/>
      <w:r w:rsidRPr="00833464">
        <w:rPr>
          <w:rFonts w:hint="eastAsia"/>
        </w:rPr>
        <w:t>採</w:t>
      </w:r>
      <w:proofErr w:type="gramEnd"/>
      <w:r w:rsidRPr="00833464">
        <w:rPr>
          <w:rFonts w:hint="eastAsia"/>
        </w:rPr>
        <w:t>與繳回林木補償費用作業，其現地林木材積估算、實地鑑價與伐採過磅作業程序，仍應逐項</w:t>
      </w:r>
      <w:proofErr w:type="gramStart"/>
      <w:r w:rsidRPr="00833464">
        <w:rPr>
          <w:rFonts w:hint="eastAsia"/>
        </w:rPr>
        <w:t>踐</w:t>
      </w:r>
      <w:proofErr w:type="gramEnd"/>
      <w:r w:rsidRPr="00833464">
        <w:rPr>
          <w:rFonts w:hint="eastAsia"/>
        </w:rPr>
        <w:t>行，俾利爾後他機關之查核驗證。</w:t>
      </w:r>
      <w:proofErr w:type="gramStart"/>
      <w:r w:rsidRPr="00833464">
        <w:rPr>
          <w:rFonts w:hint="eastAsia"/>
        </w:rPr>
        <w:t>惟</w:t>
      </w:r>
      <w:proofErr w:type="gramEnd"/>
      <w:r w:rsidRPr="00833464">
        <w:rPr>
          <w:rFonts w:hint="eastAsia"/>
        </w:rPr>
        <w:t>台糖公司</w:t>
      </w:r>
      <w:r w:rsidR="006F3806" w:rsidRPr="00833464">
        <w:rPr>
          <w:rFonts w:hint="eastAsia"/>
        </w:rPr>
        <w:t>囿於經濟部時程壓力，</w:t>
      </w:r>
      <w:r w:rsidRPr="00833464">
        <w:rPr>
          <w:rFonts w:hint="eastAsia"/>
        </w:rPr>
        <w:t>並未</w:t>
      </w:r>
      <w:proofErr w:type="gramStart"/>
      <w:r w:rsidRPr="00833464">
        <w:rPr>
          <w:rFonts w:hint="eastAsia"/>
        </w:rPr>
        <w:t>踐</w:t>
      </w:r>
      <w:proofErr w:type="gramEnd"/>
      <w:r w:rsidRPr="00833464">
        <w:rPr>
          <w:rFonts w:hint="eastAsia"/>
        </w:rPr>
        <w:t>行上開程序，導致公司內部未有材積估算與伐採過磅重量等資料，僅有該廠商自行辦理材積估算之數據，且該數據為計算林木補償費之重要基礎，與廠商擔任繳回林木補償費之角色，實有利益衝突；另該廠商曾有兩次材積估算資料，數據差異甚大，而台糖公司未有警覺，伐</w:t>
      </w:r>
      <w:proofErr w:type="gramStart"/>
      <w:r w:rsidRPr="00833464">
        <w:rPr>
          <w:rFonts w:hint="eastAsia"/>
        </w:rPr>
        <w:t>採</w:t>
      </w:r>
      <w:proofErr w:type="gramEnd"/>
      <w:r w:rsidRPr="00833464">
        <w:rPr>
          <w:rFonts w:hint="eastAsia"/>
        </w:rPr>
        <w:t>過磅時未</w:t>
      </w:r>
      <w:bookmarkStart w:id="53" w:name="_Hlk132639209"/>
      <w:r w:rsidRPr="00833464">
        <w:rPr>
          <w:rFonts w:hint="eastAsia"/>
        </w:rPr>
        <w:t>依契約規定</w:t>
      </w:r>
      <w:bookmarkEnd w:id="53"/>
      <w:r w:rsidRPr="00833464">
        <w:rPr>
          <w:rFonts w:hint="eastAsia"/>
        </w:rPr>
        <w:t>派員隨同驗證或交付第三方複估查驗，經核有重大違失，</w:t>
      </w:r>
      <w:r w:rsidR="007548B2" w:rsidRPr="00833464">
        <w:rPr>
          <w:rFonts w:hint="eastAsia"/>
        </w:rPr>
        <w:t>經濟部除督促台糖公司</w:t>
      </w:r>
      <w:r w:rsidR="00C83485" w:rsidRPr="00833464">
        <w:rPr>
          <w:rFonts w:hint="eastAsia"/>
        </w:rPr>
        <w:t>檢討</w:t>
      </w:r>
      <w:r w:rsidR="007548B2" w:rsidRPr="00833464">
        <w:rPr>
          <w:rFonts w:hint="eastAsia"/>
        </w:rPr>
        <w:t>改進</w:t>
      </w:r>
      <w:r w:rsidR="00C56C1B" w:rsidRPr="00833464">
        <w:rPr>
          <w:rFonts w:hint="eastAsia"/>
        </w:rPr>
        <w:t>外</w:t>
      </w:r>
      <w:r w:rsidR="005620DD" w:rsidRPr="00833464">
        <w:rPr>
          <w:rFonts w:hint="eastAsia"/>
        </w:rPr>
        <w:t>；</w:t>
      </w:r>
      <w:r w:rsidR="00C56C1B" w:rsidRPr="00833464">
        <w:rPr>
          <w:rFonts w:hint="eastAsia"/>
        </w:rPr>
        <w:t>另</w:t>
      </w:r>
      <w:r w:rsidR="005620DD" w:rsidRPr="00833464">
        <w:rPr>
          <w:rFonts w:hint="eastAsia"/>
        </w:rPr>
        <w:t>台糖公司參與</w:t>
      </w:r>
      <w:r w:rsidR="00C56C1B" w:rsidRPr="00833464">
        <w:rPr>
          <w:rFonts w:hint="eastAsia"/>
        </w:rPr>
        <w:t>原造林政策有其</w:t>
      </w:r>
      <w:r w:rsidR="00A52117" w:rsidRPr="00833464">
        <w:rPr>
          <w:rFonts w:hint="eastAsia"/>
        </w:rPr>
        <w:t>環境</w:t>
      </w:r>
      <w:bookmarkStart w:id="54" w:name="_Hlk137046717"/>
      <w:r w:rsidR="00153CC4" w:rsidRPr="00833464">
        <w:rPr>
          <w:rFonts w:hint="eastAsia"/>
        </w:rPr>
        <w:t>生態</w:t>
      </w:r>
      <w:r w:rsidR="007145B1" w:rsidRPr="00833464">
        <w:rPr>
          <w:rFonts w:hint="eastAsia"/>
        </w:rPr>
        <w:t>之</w:t>
      </w:r>
      <w:bookmarkEnd w:id="54"/>
      <w:r w:rsidR="00A52117" w:rsidRPr="00833464">
        <w:rPr>
          <w:rFonts w:hint="eastAsia"/>
        </w:rPr>
        <w:t>正面價值</w:t>
      </w:r>
      <w:r w:rsidR="00C56C1B" w:rsidRPr="00833464">
        <w:rPr>
          <w:rFonts w:hint="eastAsia"/>
        </w:rPr>
        <w:t>，</w:t>
      </w:r>
      <w:r w:rsidR="005620DD" w:rsidRPr="00833464">
        <w:rPr>
          <w:rFonts w:hint="eastAsia"/>
        </w:rPr>
        <w:t>經濟部應予重視</w:t>
      </w:r>
      <w:r w:rsidRPr="00E6436E">
        <w:rPr>
          <w:rFonts w:hint="eastAsia"/>
        </w:rPr>
        <w:t>。</w:t>
      </w:r>
    </w:p>
    <w:bookmarkEnd w:id="43"/>
    <w:p w:rsidR="00401D84" w:rsidRPr="00E6436E" w:rsidRDefault="00401D84" w:rsidP="00DC54A7">
      <w:pPr>
        <w:pStyle w:val="3"/>
      </w:pPr>
      <w:r w:rsidRPr="00E6436E">
        <w:rPr>
          <w:rFonts w:hint="eastAsia"/>
        </w:rPr>
        <w:t>經濟部為推動太陽光電計畫緣起、規劃概述、預估成果、獎勵措施與土地區位選擇原則</w:t>
      </w:r>
      <w:r w:rsidRPr="00E6436E">
        <w:rPr>
          <w:rStyle w:val="afd"/>
          <w:rFonts w:hint="eastAsia"/>
        </w:rPr>
        <w:footnoteReference w:id="1"/>
      </w:r>
      <w:r w:rsidRPr="00E6436E">
        <w:rPr>
          <w:rFonts w:hint="eastAsia"/>
        </w:rPr>
        <w:t>。</w:t>
      </w:r>
    </w:p>
    <w:p w:rsidR="00401D84" w:rsidRPr="00E6436E" w:rsidRDefault="00401D84" w:rsidP="00DC54A7">
      <w:pPr>
        <w:pStyle w:val="4"/>
        <w:ind w:left="1360"/>
      </w:pPr>
      <w:r w:rsidRPr="00E6436E">
        <w:rPr>
          <w:rFonts w:hint="eastAsia"/>
        </w:rPr>
        <w:t>計畫緣起：隨著全球暖化日益嚴重與傳統能源快速耗竭，世界各主要國家皆將節能減碳納為重點施政項目，並以再生能源驅動綠色經濟發展。</w:t>
      </w:r>
    </w:p>
    <w:p w:rsidR="00401D84" w:rsidRPr="00E6436E" w:rsidRDefault="00401D84" w:rsidP="00DC54A7">
      <w:pPr>
        <w:pStyle w:val="4"/>
        <w:ind w:left="1360"/>
      </w:pPr>
      <w:r w:rsidRPr="00E6436E">
        <w:rPr>
          <w:rFonts w:hint="eastAsia"/>
        </w:rPr>
        <w:t>規劃概述：政府推動能源轉型，往西元(下同)</w:t>
      </w:r>
      <w:r w:rsidRPr="00E6436E">
        <w:rPr>
          <w:rFonts w:hint="eastAsia"/>
          <w:b/>
          <w:u w:val="single"/>
        </w:rPr>
        <w:t>2050年淨零排碳努力</w:t>
      </w:r>
      <w:r w:rsidRPr="00E6436E">
        <w:rPr>
          <w:rFonts w:hint="eastAsia"/>
        </w:rPr>
        <w:t>，藉公私部門合作，從供需面向推動綠能</w:t>
      </w:r>
      <w:bookmarkStart w:id="55" w:name="_Hlk133248244"/>
      <w:r w:rsidRPr="00E6436E">
        <w:rPr>
          <w:rFonts w:hint="eastAsia"/>
        </w:rPr>
        <w:t>與世界接軌</w:t>
      </w:r>
      <w:bookmarkEnd w:id="55"/>
      <w:r w:rsidRPr="00E6436E">
        <w:rPr>
          <w:rFonts w:hint="eastAsia"/>
        </w:rPr>
        <w:t>，奠定永續發展基石。政府擘劃零碳、潔淨能源轉型路徑，制定法規及機制排除障礙，為能源轉型打底，發展再生能源，為企業建構優質綠能投資環境。民間支持政府綠能政策並響應國際綠能趨勢，串連世界帶動整體綠色供應鏈發展。</w:t>
      </w:r>
      <w:r w:rsidRPr="00E6436E">
        <w:rPr>
          <w:rFonts w:hint="eastAsia"/>
        </w:rPr>
        <w:lastRenderedPageBreak/>
        <w:t>為兼顧能源安全、綠色經濟及環境永續，行政院於</w:t>
      </w:r>
      <w:r w:rsidR="0075284C">
        <w:rPr>
          <w:rFonts w:hint="eastAsia"/>
        </w:rPr>
        <w:t>民國(下同)</w:t>
      </w:r>
      <w:r w:rsidRPr="00E6436E">
        <w:rPr>
          <w:rFonts w:hint="eastAsia"/>
        </w:rPr>
        <w:t>105年10月27日通過太陽光電推動方案。</w:t>
      </w:r>
    </w:p>
    <w:p w:rsidR="00401D84" w:rsidRPr="00E6436E" w:rsidRDefault="00401D84" w:rsidP="00DC54A7">
      <w:pPr>
        <w:pStyle w:val="4"/>
        <w:ind w:left="1360"/>
      </w:pPr>
      <w:r w:rsidRPr="00E6436E">
        <w:rPr>
          <w:rFonts w:hint="eastAsia"/>
        </w:rPr>
        <w:t>預估成果：</w:t>
      </w:r>
      <w:r w:rsidRPr="00E6436E">
        <w:rPr>
          <w:rFonts w:hint="eastAsia"/>
          <w:b/>
          <w:u w:val="single"/>
        </w:rPr>
        <w:t>全國將於114年達到太陽光電累計設置容量20GW之目標</w:t>
      </w:r>
      <w:r w:rsidRPr="00E6436E">
        <w:rPr>
          <w:rFonts w:hint="eastAsia"/>
        </w:rPr>
        <w:t>，預估每年可發228億度電，減少約1,272.5</w:t>
      </w:r>
      <w:r w:rsidR="0075284C">
        <w:rPr>
          <w:rFonts w:hint="eastAsia"/>
        </w:rPr>
        <w:t>公</w:t>
      </w:r>
      <w:r w:rsidRPr="00E6436E">
        <w:rPr>
          <w:rFonts w:hint="eastAsia"/>
        </w:rPr>
        <w:t>噸二氧化碳排放。</w:t>
      </w:r>
    </w:p>
    <w:p w:rsidR="00401D84" w:rsidRPr="00E6436E" w:rsidRDefault="00401D84" w:rsidP="00DC54A7">
      <w:pPr>
        <w:pStyle w:val="4"/>
        <w:ind w:left="1360"/>
      </w:pPr>
      <w:r w:rsidRPr="00E6436E">
        <w:rPr>
          <w:rFonts w:hint="eastAsia"/>
          <w:b/>
          <w:u w:val="single"/>
        </w:rPr>
        <w:t>土地區位選擇原則</w:t>
      </w:r>
      <w:r w:rsidRPr="00E6436E">
        <w:rPr>
          <w:rFonts w:hint="eastAsia"/>
        </w:rPr>
        <w:t>：針對</w:t>
      </w:r>
      <w:r w:rsidRPr="00E6436E">
        <w:rPr>
          <w:rFonts w:hint="eastAsia"/>
          <w:b/>
          <w:u w:val="single"/>
        </w:rPr>
        <w:t>114年太陽光電20GW之目標</w:t>
      </w:r>
      <w:r w:rsidRPr="00E6436E">
        <w:rPr>
          <w:rFonts w:hint="eastAsia"/>
        </w:rPr>
        <w:t>，經濟部與各部會合作以土地維持或優於原有使用為原則，</w:t>
      </w:r>
      <w:r w:rsidRPr="00E6436E">
        <w:rPr>
          <w:rFonts w:hint="eastAsia"/>
          <w:b/>
          <w:u w:val="single"/>
        </w:rPr>
        <w:t>優先推動具社會共識及無環境生態爭議之區域</w:t>
      </w:r>
      <w:r w:rsidRPr="00E6436E">
        <w:rPr>
          <w:rFonts w:hint="eastAsia"/>
        </w:rPr>
        <w:t>，優先推動三大面向，即公有閒置用地活化、不利農用土地及土地複合利用等三大區塊。</w:t>
      </w:r>
    </w:p>
    <w:p w:rsidR="00401D84" w:rsidRPr="00E6436E" w:rsidRDefault="00401D84" w:rsidP="00DC54A7">
      <w:pPr>
        <w:pStyle w:val="5"/>
      </w:pPr>
      <w:r w:rsidRPr="00E6436E">
        <w:rPr>
          <w:rFonts w:hint="eastAsia"/>
        </w:rPr>
        <w:t>公有/閒置用地活化：以優於原有土地使用為原則，活化公有或閒置用地，主要包含公有、國營土地、工業區土地等。</w:t>
      </w:r>
    </w:p>
    <w:p w:rsidR="00401D84" w:rsidRPr="00E6436E" w:rsidRDefault="00401D84" w:rsidP="00DC54A7">
      <w:pPr>
        <w:pStyle w:val="5"/>
      </w:pPr>
      <w:r w:rsidRPr="00E6436E">
        <w:rPr>
          <w:rFonts w:hint="eastAsia"/>
        </w:rPr>
        <w:t>不利農業經營區：引導業者</w:t>
      </w:r>
      <w:r w:rsidRPr="00E6436E">
        <w:rPr>
          <w:rFonts w:hint="eastAsia"/>
          <w:b/>
          <w:u w:val="single"/>
        </w:rPr>
        <w:t>利用不利農業使用土地等方式設置太陽光電系統</w:t>
      </w:r>
      <w:r w:rsidRPr="00E6436E">
        <w:rPr>
          <w:rFonts w:hint="eastAsia"/>
        </w:rPr>
        <w:t>，提高土地運用價值，主要包含</w:t>
      </w:r>
      <w:r w:rsidR="0075284C">
        <w:rPr>
          <w:rFonts w:hint="eastAsia"/>
        </w:rPr>
        <w:t>污</w:t>
      </w:r>
      <w:r w:rsidRPr="00E6436E">
        <w:rPr>
          <w:rFonts w:hint="eastAsia"/>
        </w:rPr>
        <w:t>染土地、已封閉掩埋場等。</w:t>
      </w:r>
    </w:p>
    <w:p w:rsidR="00401D84" w:rsidRPr="00E6436E" w:rsidRDefault="00401D84" w:rsidP="00DC54A7">
      <w:pPr>
        <w:pStyle w:val="5"/>
        <w:rPr>
          <w:b/>
        </w:rPr>
      </w:pPr>
      <w:r w:rsidRPr="00E6436E">
        <w:rPr>
          <w:rFonts w:hint="eastAsia"/>
        </w:rPr>
        <w:t>土地複合利用：以土地可複合式利用的精神，運用光電建置來達到土地發揮的最大功效，主要包含</w:t>
      </w:r>
      <w:r w:rsidRPr="00E6436E">
        <w:rPr>
          <w:rFonts w:hint="eastAsia"/>
          <w:b/>
          <w:u w:val="single"/>
        </w:rPr>
        <w:t>停車場、水庫、滯洪池、漁電共生、風雨球場、圳路等</w:t>
      </w:r>
      <w:r w:rsidRPr="00E6436E">
        <w:rPr>
          <w:rFonts w:hint="eastAsia"/>
        </w:rPr>
        <w:t>相關場域。</w:t>
      </w:r>
    </w:p>
    <w:p w:rsidR="00D34F27" w:rsidRPr="00E6436E" w:rsidRDefault="00D34F27" w:rsidP="00D34F27">
      <w:pPr>
        <w:pStyle w:val="3"/>
        <w:rPr>
          <w:rFonts w:hAnsi="標楷體"/>
          <w:b/>
        </w:rPr>
      </w:pPr>
      <w:bookmarkStart w:id="56" w:name="_Hlk132640123"/>
      <w:r w:rsidRPr="00E6436E">
        <w:rPr>
          <w:rFonts w:hint="eastAsia"/>
          <w:b/>
        </w:rPr>
        <w:t>台糖公司選擇七股農場為光電案場之理由</w:t>
      </w:r>
      <w:r w:rsidRPr="00E6436E">
        <w:rPr>
          <w:rFonts w:hAnsi="標楷體" w:hint="eastAsia"/>
          <w:b/>
        </w:rPr>
        <w:t>：</w:t>
      </w:r>
    </w:p>
    <w:bookmarkEnd w:id="56"/>
    <w:p w:rsidR="00401D84" w:rsidRPr="00E6436E" w:rsidRDefault="00401D84" w:rsidP="00DC54A7">
      <w:pPr>
        <w:pStyle w:val="4"/>
        <w:ind w:left="1360"/>
      </w:pPr>
      <w:r w:rsidRPr="00E6436E">
        <w:rPr>
          <w:rFonts w:hint="eastAsia"/>
        </w:rPr>
        <w:t>選擇</w:t>
      </w:r>
      <w:r w:rsidRPr="00E6436E">
        <w:rPr>
          <w:rFonts w:hint="eastAsia"/>
          <w:b/>
          <w:u w:val="single"/>
        </w:rPr>
        <w:t>不適耕作</w:t>
      </w:r>
      <w:bookmarkStart w:id="57" w:name="_Hlk132640136"/>
      <w:r w:rsidR="00D34F27" w:rsidRPr="00E6436E">
        <w:rPr>
          <w:rFonts w:hint="eastAsia"/>
          <w:b/>
          <w:u w:val="single"/>
        </w:rPr>
        <w:t>或造林</w:t>
      </w:r>
      <w:bookmarkEnd w:id="57"/>
      <w:r w:rsidRPr="00E6436E">
        <w:rPr>
          <w:rFonts w:hint="eastAsia"/>
          <w:b/>
          <w:u w:val="single"/>
        </w:rPr>
        <w:t>土地</w:t>
      </w:r>
      <w:r w:rsidRPr="00E6436E">
        <w:rPr>
          <w:rFonts w:hint="eastAsia"/>
          <w:b/>
        </w:rPr>
        <w:t>，</w:t>
      </w:r>
      <w:r w:rsidRPr="00E6436E">
        <w:rPr>
          <w:rFonts w:hint="eastAsia"/>
        </w:rPr>
        <w:t>建置地面型光電設施。</w:t>
      </w:r>
    </w:p>
    <w:p w:rsidR="00401D84" w:rsidRPr="00E6436E" w:rsidRDefault="00401D84" w:rsidP="00DC54A7">
      <w:pPr>
        <w:pStyle w:val="4"/>
        <w:ind w:left="1360"/>
      </w:pPr>
      <w:r w:rsidRPr="00E6436E">
        <w:rPr>
          <w:rFonts w:hint="eastAsia"/>
        </w:rPr>
        <w:t>案場當時為造林、雜林地，不適於耕種農作物，然而該地區</w:t>
      </w:r>
      <w:r w:rsidRPr="00E6436E">
        <w:rPr>
          <w:rFonts w:hint="eastAsia"/>
          <w:b/>
          <w:u w:val="single"/>
        </w:rPr>
        <w:t>擁有良好的日照條件</w:t>
      </w:r>
      <w:r w:rsidRPr="00E6436E">
        <w:rPr>
          <w:rFonts w:hint="eastAsia"/>
        </w:rPr>
        <w:t>，可運用該優勢推廣太陽能發電。</w:t>
      </w:r>
    </w:p>
    <w:p w:rsidR="00401D84" w:rsidRPr="00E6436E" w:rsidRDefault="00401D84" w:rsidP="00DC54A7">
      <w:pPr>
        <w:pStyle w:val="4"/>
        <w:ind w:left="1360"/>
      </w:pPr>
      <w:r w:rsidRPr="00E6436E">
        <w:rPr>
          <w:rFonts w:hint="eastAsia"/>
        </w:rPr>
        <w:t>採公開招標出租方式評選出適合廠商。</w:t>
      </w:r>
    </w:p>
    <w:p w:rsidR="00401D84" w:rsidRPr="00E6436E" w:rsidRDefault="00401D84" w:rsidP="00DC54A7">
      <w:pPr>
        <w:pStyle w:val="3"/>
      </w:pPr>
      <w:r w:rsidRPr="00E6436E">
        <w:rPr>
          <w:rFonts w:hint="eastAsia"/>
        </w:rPr>
        <w:t>因該區原為造林地改置光電案場，須辦理地上物林木伐除，依據本案光電投資協議書契約條文，</w:t>
      </w:r>
      <w:r w:rsidRPr="00E6436E">
        <w:rPr>
          <w:rFonts w:hint="eastAsia"/>
          <w:b/>
          <w:u w:val="single"/>
        </w:rPr>
        <w:t>台糖公司未依契約派員會同</w:t>
      </w:r>
      <w:r w:rsidR="00BF7D58" w:rsidRPr="00E6436E">
        <w:rPr>
          <w:rFonts w:hint="eastAsia"/>
          <w:b/>
          <w:u w:val="single"/>
        </w:rPr>
        <w:t>查估或過磅</w:t>
      </w:r>
      <w:r w:rsidRPr="00E6436E">
        <w:rPr>
          <w:rFonts w:hint="eastAsia"/>
        </w:rPr>
        <w:t>。</w:t>
      </w:r>
    </w:p>
    <w:p w:rsidR="00401D84" w:rsidRPr="00E6436E" w:rsidRDefault="00401D84" w:rsidP="00DC54A7">
      <w:pPr>
        <w:pStyle w:val="4"/>
        <w:ind w:left="1360"/>
      </w:pPr>
      <w:r w:rsidRPr="00E6436E">
        <w:rPr>
          <w:rFonts w:hint="eastAsia"/>
        </w:rPr>
        <w:t>第二條第二項:「配合政策或合作開發使用造林地，</w:t>
      </w:r>
      <w:r w:rsidRPr="00E6436E">
        <w:rPr>
          <w:rFonts w:hint="eastAsia"/>
        </w:rPr>
        <w:lastRenderedPageBreak/>
        <w:t>地上林木由乙方委請估價公司</w:t>
      </w:r>
      <w:r w:rsidRPr="00E6436E">
        <w:rPr>
          <w:rFonts w:hint="eastAsia"/>
          <w:b/>
          <w:u w:val="single"/>
        </w:rPr>
        <w:t>會同甲方，估算林木伐除總重量(公噸)或體積(立方公尺)</w:t>
      </w:r>
      <w:r w:rsidRPr="00E6436E">
        <w:rPr>
          <w:rFonts w:hint="eastAsia"/>
        </w:rPr>
        <w:t>，並依甲方配合政策或合作開發使用造林地林木補償計價方式之林木補償計價標準，訂定標售每公噸或立方公尺林木淨利單價之底價，……。」</w:t>
      </w:r>
    </w:p>
    <w:p w:rsidR="00401D84" w:rsidRPr="00E6436E" w:rsidRDefault="00401D84" w:rsidP="00DC54A7">
      <w:pPr>
        <w:pStyle w:val="4"/>
        <w:ind w:left="1360"/>
      </w:pPr>
      <w:r w:rsidRPr="00E6436E">
        <w:rPr>
          <w:rFonts w:hint="eastAsia"/>
        </w:rPr>
        <w:t>同條第三項:伐除林木須</w:t>
      </w:r>
      <w:r w:rsidRPr="00E6436E">
        <w:rPr>
          <w:rFonts w:hint="eastAsia"/>
          <w:b/>
          <w:u w:val="single"/>
        </w:rPr>
        <w:t>會同甲方派員過磅</w:t>
      </w:r>
      <w:r w:rsidRPr="00E6436E">
        <w:rPr>
          <w:rFonts w:hint="eastAsia"/>
        </w:rPr>
        <w:t>……。</w:t>
      </w:r>
    </w:p>
    <w:p w:rsidR="00401D84" w:rsidRPr="00E6436E" w:rsidRDefault="00401D84" w:rsidP="00401D84">
      <w:pPr>
        <w:pStyle w:val="3"/>
      </w:pPr>
      <w:r w:rsidRPr="00E6436E">
        <w:rPr>
          <w:rFonts w:hint="eastAsia"/>
        </w:rPr>
        <w:t>上開契約條文已要求甲方：「估算材積時須派員、另過磅時亦須派員」。</w:t>
      </w:r>
      <w:r w:rsidRPr="00E6436E">
        <w:rPr>
          <w:rFonts w:hint="eastAsia"/>
          <w:b/>
          <w:u w:val="single"/>
        </w:rPr>
        <w:t>材積估算與過磅計量，係依「林木補償計價標準」</w:t>
      </w:r>
      <w:r w:rsidR="00B0546E" w:rsidRPr="00E6436E">
        <w:rPr>
          <w:rFonts w:hint="eastAsia"/>
          <w:b/>
          <w:u w:val="single"/>
        </w:rPr>
        <w:t>計算</w:t>
      </w:r>
      <w:r w:rsidRPr="00E6436E">
        <w:rPr>
          <w:rFonts w:hint="eastAsia"/>
          <w:b/>
          <w:u w:val="single"/>
        </w:rPr>
        <w:t>所</w:t>
      </w:r>
      <w:r w:rsidR="00B0546E" w:rsidRPr="00E6436E">
        <w:rPr>
          <w:rFonts w:hint="eastAsia"/>
          <w:b/>
          <w:u w:val="single"/>
        </w:rPr>
        <w:t>需</w:t>
      </w:r>
      <w:r w:rsidRPr="00E6436E">
        <w:rPr>
          <w:rFonts w:hint="eastAsia"/>
          <w:b/>
          <w:u w:val="single"/>
        </w:rPr>
        <w:t>繳回補償金額之重要數據</w:t>
      </w:r>
      <w:r w:rsidRPr="00E6436E">
        <w:rPr>
          <w:rFonts w:hint="eastAsia"/>
        </w:rPr>
        <w:t>。然台糖仍稱：「係指地上林木順利完成公開標售，則台糖公司應派員過磅，以確認當伐除林木累計過磅重量或體積所需繳付之金額。……</w:t>
      </w:r>
      <w:r w:rsidRPr="00E6436E">
        <w:rPr>
          <w:rFonts w:hint="eastAsia"/>
          <w:b/>
          <w:u w:val="single"/>
        </w:rPr>
        <w:t>因此一階段並未涉及標售行為，故雙方無會同過磅情事</w:t>
      </w:r>
      <w:r w:rsidRPr="00E6436E">
        <w:rPr>
          <w:rFonts w:hint="eastAsia"/>
        </w:rPr>
        <w:t>」。然標案無人申辦認領及領標，</w:t>
      </w:r>
      <w:r w:rsidRPr="00E6436E">
        <w:rPr>
          <w:rFonts w:hint="eastAsia"/>
          <w:b/>
          <w:u w:val="single"/>
        </w:rPr>
        <w:t>不等同台糖公司不須依法定程序估算與訂定底價</w:t>
      </w:r>
      <w:r w:rsidRPr="00E6436E">
        <w:rPr>
          <w:rFonts w:hint="eastAsia"/>
        </w:rPr>
        <w:t>。未依契約執行，無從據以預估與計算廠商繳回補償費金額。</w:t>
      </w:r>
    </w:p>
    <w:p w:rsidR="00401D84" w:rsidRPr="00E6436E" w:rsidRDefault="00401D84" w:rsidP="00DC54A7">
      <w:pPr>
        <w:pStyle w:val="3"/>
      </w:pPr>
      <w:r w:rsidRPr="00E6436E">
        <w:rPr>
          <w:rFonts w:hint="eastAsia"/>
        </w:rPr>
        <w:t>本案伐採林木總材積與總重量，投資廠商自行辦理兩次估算，數據差異甚大。</w:t>
      </w:r>
    </w:p>
    <w:p w:rsidR="00401D84" w:rsidRPr="00E6436E" w:rsidRDefault="00401D84" w:rsidP="00DC54A7">
      <w:pPr>
        <w:pStyle w:val="4"/>
        <w:tabs>
          <w:tab w:val="left" w:pos="4508"/>
        </w:tabs>
        <w:ind w:left="1360"/>
      </w:pPr>
      <w:r w:rsidRPr="00E6436E">
        <w:rPr>
          <w:rFonts w:hint="eastAsia"/>
        </w:rPr>
        <w:t>中興電工公司108年5月出具之服務建議書列載</w:t>
      </w:r>
      <w:r w:rsidRPr="00E6436E">
        <w:rPr>
          <w:rFonts w:hint="eastAsia"/>
          <w:b/>
          <w:u w:val="single"/>
        </w:rPr>
        <w:t>總材積30,581立方公尺、總重量36,066公噸。</w:t>
      </w:r>
    </w:p>
    <w:p w:rsidR="00401D84" w:rsidRPr="00E6436E" w:rsidRDefault="00401D84" w:rsidP="00DC54A7">
      <w:pPr>
        <w:pStyle w:val="4"/>
        <w:tabs>
          <w:tab w:val="left" w:pos="4508"/>
        </w:tabs>
        <w:ind w:left="1360"/>
      </w:pPr>
      <w:r w:rsidRPr="00E6436E">
        <w:rPr>
          <w:rFonts w:hint="eastAsia"/>
        </w:rPr>
        <w:t>中興電工公司108年11月委託中華資產鑑定中心(股)公司估算</w:t>
      </w:r>
      <w:r w:rsidRPr="00E6436E">
        <w:rPr>
          <w:rFonts w:hint="eastAsia"/>
          <w:b/>
          <w:u w:val="single"/>
        </w:rPr>
        <w:t>材積約5,506立方公尺及總重量9,047公噸</w:t>
      </w:r>
      <w:r w:rsidRPr="00E6436E">
        <w:rPr>
          <w:rFonts w:hint="eastAsia"/>
        </w:rPr>
        <w:t>。</w:t>
      </w:r>
    </w:p>
    <w:p w:rsidR="00401D84" w:rsidRPr="00E6436E" w:rsidRDefault="00401D84" w:rsidP="00DC54A7">
      <w:pPr>
        <w:pStyle w:val="4"/>
        <w:tabs>
          <w:tab w:val="left" w:pos="4508"/>
        </w:tabs>
        <w:ind w:left="1360"/>
      </w:pPr>
      <w:r w:rsidRPr="00E6436E">
        <w:rPr>
          <w:rFonts w:hint="eastAsia"/>
        </w:rPr>
        <w:t>上開兩者差異原因：</w:t>
      </w:r>
    </w:p>
    <w:p w:rsidR="00401D84" w:rsidRPr="00E6436E" w:rsidRDefault="00401D84" w:rsidP="00776B59">
      <w:pPr>
        <w:pStyle w:val="5"/>
        <w:tabs>
          <w:tab w:val="left" w:pos="4508"/>
        </w:tabs>
      </w:pPr>
      <w:r w:rsidRPr="00E6436E">
        <w:rPr>
          <w:rFonts w:hint="eastAsia"/>
          <w:kern w:val="0"/>
        </w:rPr>
        <w:t>中興電工公司108年5月出具之服務建議書為投標文件，</w:t>
      </w:r>
      <w:r w:rsidRPr="00E6436E">
        <w:rPr>
          <w:rFonts w:hint="eastAsia"/>
        </w:rPr>
        <w:t>係屬廠商初步規劃。廠商</w:t>
      </w:r>
      <w:r w:rsidRPr="00E6436E">
        <w:rPr>
          <w:rFonts w:hint="eastAsia"/>
          <w:b/>
          <w:u w:val="single"/>
        </w:rPr>
        <w:t>自行以Google Earth航照圖以30公尺*30公尺影像判斷各區林木密度</w:t>
      </w:r>
      <w:r w:rsidRPr="00E6436E">
        <w:rPr>
          <w:rFonts w:hint="eastAsia"/>
        </w:rPr>
        <w:t>，據以推估各區之數量，並參考「行政院農業委員會辦理國有林林產物處分作業要點」(後稱國有林林產物處分作業要點)</w:t>
      </w:r>
      <w:r w:rsidRPr="00E6436E">
        <w:rPr>
          <w:rFonts w:hint="eastAsia"/>
        </w:rPr>
        <w:lastRenderedPageBreak/>
        <w:t>第6條規定，透過相關文獻確認白千層、木麻黃及紅樹林樹種各樹種生長10年之平均胸徑及平均高度後，推估單棵樹木體積與各區樹木總材積，並依據文獻資料得知本計畫範圍內多為類似水筆仔植物，以此計算本案</w:t>
      </w:r>
      <w:r w:rsidRPr="00E6436E">
        <w:rPr>
          <w:rFonts w:hint="eastAsia"/>
          <w:b/>
          <w:u w:val="single"/>
        </w:rPr>
        <w:t>林木</w:t>
      </w:r>
      <w:r w:rsidRPr="00E6436E">
        <w:rPr>
          <w:rFonts w:hint="eastAsia"/>
          <w:b/>
          <w:kern w:val="0"/>
          <w:u w:val="single"/>
        </w:rPr>
        <w:t>總材積30,581立方公尺、總重量36,066公噸</w:t>
      </w:r>
      <w:r w:rsidRPr="00E6436E">
        <w:rPr>
          <w:rFonts w:hint="eastAsia"/>
        </w:rPr>
        <w:t>。</w:t>
      </w:r>
    </w:p>
    <w:p w:rsidR="00776B59" w:rsidRPr="00E6436E" w:rsidRDefault="00776B59" w:rsidP="00776B59">
      <w:pPr>
        <w:pStyle w:val="5"/>
        <w:tabs>
          <w:tab w:val="left" w:pos="4508"/>
        </w:tabs>
      </w:pPr>
      <w:r w:rsidRPr="00E6436E">
        <w:rPr>
          <w:rFonts w:hint="eastAsia"/>
        </w:rPr>
        <w:t>廠商得標後，台糖公司提供平地造林相關資料，</w:t>
      </w:r>
      <w:r w:rsidRPr="00E6436E">
        <w:rPr>
          <w:rFonts w:hint="eastAsia"/>
          <w:b/>
          <w:u w:val="single"/>
        </w:rPr>
        <w:t>發現其樹種、數量等現況與投標時推估落差甚巨</w:t>
      </w:r>
      <w:r w:rsidRPr="00E6436E">
        <w:rPr>
          <w:rFonts w:hint="eastAsia"/>
        </w:rPr>
        <w:t>，故廠商委請中華資產鑑定中心(股)公司於108年11月12日進行專業林木進行現場實勘各樹種之胸徑及樹高，並參考「國有林林產物處分作業要點」，計算各樹種之材積</w:t>
      </w:r>
      <w:bookmarkStart w:id="58" w:name="_Hlk132639655"/>
      <w:r w:rsidRPr="00E6436E">
        <w:rPr>
          <w:rFonts w:hint="eastAsia"/>
        </w:rPr>
        <w:t>(體積)，</w:t>
      </w:r>
      <w:bookmarkEnd w:id="58"/>
      <w:r w:rsidRPr="00E6436E">
        <w:rPr>
          <w:rFonts w:hint="eastAsia"/>
        </w:rPr>
        <w:t>經訪查確認各樹種每才重量後，予以轉換其重量之方式計之，</w:t>
      </w:r>
      <w:r w:rsidRPr="00E6436E">
        <w:rPr>
          <w:rFonts w:hint="eastAsia"/>
          <w:b/>
          <w:u w:val="single"/>
        </w:rPr>
        <w:t>其計算結果</w:t>
      </w:r>
      <w:r w:rsidRPr="00E6436E">
        <w:rPr>
          <w:rFonts w:hint="eastAsia"/>
          <w:b/>
          <w:kern w:val="0"/>
          <w:u w:val="single"/>
        </w:rPr>
        <w:t>為5,506立方公尺及總重量9,047公噸</w:t>
      </w:r>
      <w:r w:rsidRPr="00E6436E">
        <w:rPr>
          <w:rFonts w:hint="eastAsia"/>
          <w:kern w:val="0"/>
        </w:rPr>
        <w:t>。惟該次調查，</w:t>
      </w:r>
      <w:r w:rsidRPr="00E6436E">
        <w:rPr>
          <w:rFonts w:hint="eastAsia"/>
          <w:b/>
          <w:kern w:val="0"/>
          <w:u w:val="single"/>
        </w:rPr>
        <w:t>台糖公司未依契約協議書派員會同查估</w:t>
      </w:r>
      <w:r w:rsidRPr="00E6436E">
        <w:rPr>
          <w:rFonts w:hint="eastAsia"/>
          <w:kern w:val="0"/>
        </w:rPr>
        <w:t>。</w:t>
      </w:r>
    </w:p>
    <w:p w:rsidR="00401D84" w:rsidRPr="00E6436E" w:rsidRDefault="00401D84" w:rsidP="00DC54A7">
      <w:pPr>
        <w:pStyle w:val="3"/>
        <w:rPr>
          <w:rFonts w:hAnsi="標楷體"/>
          <w:kern w:val="0"/>
        </w:rPr>
      </w:pPr>
      <w:r w:rsidRPr="00E6436E">
        <w:rPr>
          <w:rFonts w:hAnsi="標楷體" w:hint="eastAsia"/>
          <w:kern w:val="0"/>
        </w:rPr>
        <w:t>歷次林木補償費估算金額差異：</w:t>
      </w:r>
    </w:p>
    <w:p w:rsidR="00401D84" w:rsidRPr="00E6436E" w:rsidRDefault="00401D84" w:rsidP="00DC54A7">
      <w:pPr>
        <w:pStyle w:val="4"/>
        <w:ind w:left="1360"/>
      </w:pPr>
      <w:r w:rsidRPr="00E6436E">
        <w:rPr>
          <w:rFonts w:hint="eastAsia"/>
        </w:rPr>
        <w:t>審計部估計造林補償費用約為新</w:t>
      </w:r>
      <w:r w:rsidR="0075284C">
        <w:rPr>
          <w:rFonts w:hint="eastAsia"/>
        </w:rPr>
        <w:t>臺</w:t>
      </w:r>
      <w:r w:rsidRPr="00E6436E">
        <w:rPr>
          <w:rFonts w:hint="eastAsia"/>
        </w:rPr>
        <w:t>幣(下同)4億6,414萬餘元，係以投資廠商第一次材積估算(</w:t>
      </w:r>
      <w:r w:rsidRPr="00E6436E">
        <w:rPr>
          <w:rFonts w:hint="eastAsia"/>
          <w:b/>
          <w:u w:val="single"/>
        </w:rPr>
        <w:t>總材積30,581立方公尺</w:t>
      </w:r>
      <w:r w:rsidRPr="00E6436E">
        <w:rPr>
          <w:rFonts w:hint="eastAsia"/>
        </w:rPr>
        <w:t>)與「臺南市農作改良物徵收補償費查估基(標)準」，為計算基礎得出。</w:t>
      </w:r>
    </w:p>
    <w:p w:rsidR="00401D84" w:rsidRPr="00E6436E" w:rsidRDefault="00401D84" w:rsidP="00DC54A7">
      <w:pPr>
        <w:pStyle w:val="4"/>
        <w:ind w:left="1360"/>
      </w:pPr>
      <w:r w:rsidRPr="00E6436E">
        <w:rPr>
          <w:rFonts w:hint="eastAsia"/>
        </w:rPr>
        <w:t>台糖公司倘改依投資廠商第二次材積估算資料為計算基礎(</w:t>
      </w:r>
      <w:r w:rsidRPr="00E6436E">
        <w:rPr>
          <w:rFonts w:hint="eastAsia"/>
          <w:b/>
          <w:u w:val="single"/>
        </w:rPr>
        <w:t>材積約5,506立方公尺</w:t>
      </w:r>
      <w:r w:rsidRPr="00E6436E">
        <w:rPr>
          <w:rFonts w:hint="eastAsia"/>
        </w:rPr>
        <w:t>)與「臺南市農作改良物徵收補償費查估基(標)準」為計算基礎，得出林木補償費約為6,571萬餘元。</w:t>
      </w:r>
    </w:p>
    <w:p w:rsidR="00401D84" w:rsidRPr="00E6436E" w:rsidRDefault="00401D84" w:rsidP="00DC54A7">
      <w:pPr>
        <w:pStyle w:val="4"/>
        <w:ind w:left="1360"/>
      </w:pPr>
      <w:r w:rsidRPr="00E6436E">
        <w:rPr>
          <w:rFonts w:hint="eastAsia"/>
        </w:rPr>
        <w:t>台糖公司為增加廠商投資誘因，</w:t>
      </w:r>
      <w:r w:rsidRPr="00E6436E">
        <w:rPr>
          <w:rFonts w:hint="eastAsia"/>
          <w:b/>
          <w:u w:val="single"/>
        </w:rPr>
        <w:t>修訂新增「配合政府政策或合作開發使用造林地林木補償計價標準」</w:t>
      </w:r>
      <w:r w:rsidRPr="00E6436E">
        <w:rPr>
          <w:rFonts w:hint="eastAsia"/>
        </w:rPr>
        <w:t>，改以雜木淨利單價237元(元/</w:t>
      </w:r>
      <w:r w:rsidR="0075284C">
        <w:rPr>
          <w:rFonts w:hint="eastAsia"/>
        </w:rPr>
        <w:t>公</w:t>
      </w:r>
      <w:r w:rsidRPr="00E6436E">
        <w:rPr>
          <w:rFonts w:hint="eastAsia"/>
        </w:rPr>
        <w:t>噸)計價，且依據投資廠商第二次材積估算資料基礎，</w:t>
      </w:r>
      <w:r w:rsidRPr="00E6436E">
        <w:rPr>
          <w:rFonts w:hint="eastAsia"/>
          <w:b/>
          <w:u w:val="single"/>
        </w:rPr>
        <w:t>廠商實際繳納林木補償費為214萬餘元</w:t>
      </w:r>
      <w:r w:rsidRPr="00E6436E">
        <w:rPr>
          <w:rFonts w:hint="eastAsia"/>
        </w:rPr>
        <w:t>。</w:t>
      </w:r>
    </w:p>
    <w:p w:rsidR="00401D84" w:rsidRPr="00E6436E" w:rsidRDefault="00401D84" w:rsidP="00DC54A7">
      <w:pPr>
        <w:pStyle w:val="4"/>
        <w:ind w:left="1360"/>
      </w:pPr>
      <w:r w:rsidRPr="00E6436E">
        <w:rPr>
          <w:rFonts w:hint="eastAsia"/>
        </w:rPr>
        <w:lastRenderedPageBreak/>
        <w:t>上開</w:t>
      </w:r>
      <w:r w:rsidRPr="00E6436E">
        <w:rPr>
          <w:rFonts w:hint="eastAsia"/>
          <w:kern w:val="0"/>
        </w:rPr>
        <w:t>林木補償計算</w:t>
      </w:r>
      <w:r w:rsidRPr="00E6436E">
        <w:rPr>
          <w:rFonts w:hint="eastAsia"/>
        </w:rPr>
        <w:t>皆不含向林務局申請註銷平地造林面積146公頃，另需返還造林補償金5,264萬餘元。</w:t>
      </w:r>
    </w:p>
    <w:p w:rsidR="00401D84" w:rsidRPr="00E6436E" w:rsidRDefault="00401D84" w:rsidP="00DC54A7">
      <w:pPr>
        <w:pStyle w:val="3"/>
      </w:pPr>
      <w:r w:rsidRPr="00E6436E">
        <w:rPr>
          <w:rFonts w:hint="eastAsia"/>
        </w:rPr>
        <w:t>台糖公司急於辦理</w:t>
      </w:r>
      <w:r w:rsidR="00BF7D58" w:rsidRPr="00E6436E">
        <w:rPr>
          <w:rFonts w:hint="eastAsia"/>
        </w:rPr>
        <w:t>，</w:t>
      </w:r>
      <w:r w:rsidRPr="00E6436E">
        <w:rPr>
          <w:rFonts w:hint="eastAsia"/>
        </w:rPr>
        <w:t>其原因為</w:t>
      </w:r>
      <w:r w:rsidRPr="00E6436E">
        <w:rPr>
          <w:rFonts w:hAnsi="標楷體" w:hint="eastAsia"/>
        </w:rPr>
        <w:t>：</w:t>
      </w:r>
    </w:p>
    <w:p w:rsidR="00401D84" w:rsidRPr="00E6436E" w:rsidRDefault="00401D84" w:rsidP="00DC54A7">
      <w:pPr>
        <w:pStyle w:val="4"/>
        <w:ind w:left="1360"/>
      </w:pPr>
      <w:r w:rsidRPr="00E6436E">
        <w:rPr>
          <w:rFonts w:hint="eastAsia"/>
        </w:rPr>
        <w:t>係為配合政府2025年太陽光電累積設置容量目標為20GW，本案原</w:t>
      </w:r>
      <w:r w:rsidRPr="00E6436E">
        <w:rPr>
          <w:rFonts w:hint="eastAsia"/>
          <w:b/>
          <w:u w:val="single"/>
        </w:rPr>
        <w:t>被政府列管需於2020年底完成併網</w:t>
      </w:r>
      <w:r w:rsidRPr="00E6436E">
        <w:rPr>
          <w:rFonts w:hint="eastAsia"/>
        </w:rPr>
        <w:t>。</w:t>
      </w:r>
    </w:p>
    <w:p w:rsidR="00401D84" w:rsidRPr="00E6436E" w:rsidRDefault="00401D84" w:rsidP="00DC54A7">
      <w:pPr>
        <w:pStyle w:val="4"/>
        <w:ind w:left="1360"/>
      </w:pPr>
      <w:r w:rsidRPr="00E6436E">
        <w:rPr>
          <w:rFonts w:hint="eastAsia"/>
        </w:rPr>
        <w:t>囿於時效致力於2019年5月完成辦理不適耕作地設置太陽光電招商作業，本案</w:t>
      </w:r>
      <w:r w:rsidRPr="00E6436E">
        <w:rPr>
          <w:rFonts w:hint="eastAsia"/>
          <w:b/>
          <w:u w:val="single"/>
        </w:rPr>
        <w:t>倘俟完成修改內控文件，恐影響政府列管之併網時程</w:t>
      </w:r>
      <w:r w:rsidRPr="00E6436E">
        <w:rPr>
          <w:rFonts w:hint="eastAsia"/>
        </w:rPr>
        <w:t>。</w:t>
      </w:r>
    </w:p>
    <w:p w:rsidR="00401D84" w:rsidRPr="00E6436E" w:rsidRDefault="00401D84" w:rsidP="00DC54A7">
      <w:pPr>
        <w:pStyle w:val="4"/>
        <w:ind w:left="1360"/>
      </w:pPr>
      <w:r w:rsidRPr="00E6436E">
        <w:rPr>
          <w:rFonts w:hint="eastAsia"/>
        </w:rPr>
        <w:t>另後續因相關行政程序造成延宕，經行政院同意本案延至2021年6月併網，台糖公司仍持續督促光電業者，使本案如期如質完成併網。</w:t>
      </w:r>
    </w:p>
    <w:p w:rsidR="00D34F27" w:rsidRPr="00E6436E" w:rsidRDefault="00401D84" w:rsidP="00D34F27">
      <w:pPr>
        <w:pStyle w:val="3"/>
      </w:pPr>
      <w:bookmarkStart w:id="59" w:name="_Hlk131693457"/>
      <w:bookmarkStart w:id="60" w:name="_Hlk131756637"/>
      <w:r w:rsidRPr="00E6436E">
        <w:rPr>
          <w:rFonts w:hint="eastAsia"/>
        </w:rPr>
        <w:t>因台糖公司</w:t>
      </w:r>
      <w:r w:rsidRPr="00E6436E">
        <w:rPr>
          <w:rFonts w:hint="eastAsia"/>
          <w:b/>
          <w:u w:val="single"/>
        </w:rPr>
        <w:t>內部未有林木材積資料</w:t>
      </w:r>
      <w:r w:rsidRPr="00E6436E">
        <w:rPr>
          <w:rFonts w:hint="eastAsia"/>
        </w:rPr>
        <w:t>，無從確認廠商所繳</w:t>
      </w:r>
      <w:r w:rsidRPr="00E6436E">
        <w:rPr>
          <w:rFonts w:hint="eastAsia"/>
          <w:b/>
          <w:u w:val="single"/>
        </w:rPr>
        <w:t>林木補償費金額是否符合現況</w:t>
      </w:r>
      <w:r w:rsidRPr="00E6436E">
        <w:rPr>
          <w:rFonts w:hint="eastAsia"/>
        </w:rPr>
        <w:t>，</w:t>
      </w:r>
      <w:r w:rsidR="00BF7D58" w:rsidRPr="00E6436E">
        <w:rPr>
          <w:rFonts w:hint="eastAsia"/>
        </w:rPr>
        <w:t>似</w:t>
      </w:r>
      <w:r w:rsidRPr="00E6436E">
        <w:rPr>
          <w:rFonts w:hint="eastAsia"/>
        </w:rPr>
        <w:t>有低估該廠商繳納</w:t>
      </w:r>
      <w:bookmarkStart w:id="61" w:name="_Hlk131693509"/>
      <w:r w:rsidRPr="00E6436E">
        <w:rPr>
          <w:rFonts w:hint="eastAsia"/>
        </w:rPr>
        <w:t>林木</w:t>
      </w:r>
      <w:bookmarkEnd w:id="61"/>
      <w:r w:rsidRPr="00E6436E">
        <w:rPr>
          <w:rFonts w:hint="eastAsia"/>
        </w:rPr>
        <w:t>補償費之疑慮，</w:t>
      </w:r>
      <w:r w:rsidR="00BF7D58" w:rsidRPr="00E6436E">
        <w:rPr>
          <w:rFonts w:hint="eastAsia"/>
        </w:rPr>
        <w:t>是否</w:t>
      </w:r>
      <w:r w:rsidRPr="00E6436E">
        <w:rPr>
          <w:rFonts w:hint="eastAsia"/>
        </w:rPr>
        <w:t>涉及背信或圖利廠商</w:t>
      </w:r>
      <w:r w:rsidR="00BF7D58" w:rsidRPr="00E6436E">
        <w:rPr>
          <w:rFonts w:hint="eastAsia"/>
        </w:rPr>
        <w:t>之嫌</w:t>
      </w:r>
      <w:r w:rsidRPr="00E6436E">
        <w:rPr>
          <w:rFonts w:hint="eastAsia"/>
        </w:rPr>
        <w:t>，經濟部應再查明後妥處。</w:t>
      </w:r>
      <w:bookmarkEnd w:id="59"/>
    </w:p>
    <w:p w:rsidR="00D34F27" w:rsidRPr="00E6436E" w:rsidRDefault="00D34F27" w:rsidP="00D34F27">
      <w:pPr>
        <w:pStyle w:val="3"/>
      </w:pPr>
      <w:r w:rsidRPr="00E6436E">
        <w:rPr>
          <w:rFonts w:hint="eastAsia"/>
        </w:rPr>
        <w:t>綜上，台糖公司為配合經濟部推動綠能政策，修訂相關要點以增加廠商投資誘因，</w:t>
      </w:r>
      <w:r w:rsidRPr="00E6436E">
        <w:rPr>
          <w:rFonts w:hint="eastAsia"/>
          <w:b/>
          <w:u w:val="single"/>
        </w:rPr>
        <w:t>因時程緊迫與列管壓力</w:t>
      </w:r>
      <w:r w:rsidRPr="00E6436E">
        <w:rPr>
          <w:rFonts w:hint="eastAsia"/>
        </w:rPr>
        <w:t>，雖有其目的正當性；然</w:t>
      </w:r>
      <w:r w:rsidRPr="00E6436E">
        <w:rPr>
          <w:rFonts w:hint="eastAsia"/>
          <w:b/>
          <w:u w:val="single"/>
        </w:rPr>
        <w:t>造林政策原係為達成APEC決議予以規劃執行</w:t>
      </w:r>
      <w:r w:rsidRPr="00E6436E">
        <w:rPr>
          <w:rFonts w:hint="eastAsia"/>
          <w:b/>
        </w:rPr>
        <w:t>，</w:t>
      </w:r>
      <w:r w:rsidRPr="00E6436E">
        <w:rPr>
          <w:rFonts w:hint="eastAsia"/>
          <w:b/>
          <w:u w:val="single"/>
        </w:rPr>
        <w:t>改置光電案場遂衍生政策不連續</w:t>
      </w:r>
      <w:bookmarkStart w:id="62" w:name="_Hlk132639746"/>
      <w:r w:rsidRPr="00E6436E">
        <w:rPr>
          <w:rFonts w:hint="eastAsia"/>
          <w:b/>
          <w:u w:val="single"/>
        </w:rPr>
        <w:t>，</w:t>
      </w:r>
      <w:bookmarkStart w:id="63" w:name="_Hlk131757240"/>
      <w:r w:rsidRPr="00E6436E">
        <w:rPr>
          <w:rFonts w:hint="eastAsia"/>
          <w:b/>
          <w:u w:val="single"/>
        </w:rPr>
        <w:t>多年造林之努力與成果毀於一旦，並</w:t>
      </w:r>
      <w:bookmarkEnd w:id="62"/>
      <w:r w:rsidRPr="00E6436E">
        <w:rPr>
          <w:rFonts w:hint="eastAsia"/>
          <w:b/>
          <w:u w:val="single"/>
        </w:rPr>
        <w:t>徒增民眾疑慮與爭議</w:t>
      </w:r>
      <w:bookmarkEnd w:id="63"/>
      <w:r w:rsidRPr="00E6436E">
        <w:rPr>
          <w:rFonts w:hint="eastAsia"/>
          <w:b/>
        </w:rPr>
        <w:t>；</w:t>
      </w:r>
      <w:r w:rsidRPr="00E6436E">
        <w:rPr>
          <w:rFonts w:hint="eastAsia"/>
        </w:rPr>
        <w:t>相關地上物處理之法律程序，仍應踐行其程序正義與實質內涵，查</w:t>
      </w:r>
      <w:bookmarkStart w:id="64" w:name="_Hlk131757267"/>
      <w:r w:rsidRPr="00E6436E">
        <w:rPr>
          <w:rFonts w:hint="eastAsia"/>
        </w:rPr>
        <w:t>林木</w:t>
      </w:r>
      <w:bookmarkEnd w:id="64"/>
      <w:r w:rsidRPr="00E6436E">
        <w:rPr>
          <w:rFonts w:hint="eastAsia"/>
        </w:rPr>
        <w:t>公告贈與期間僅7日、公開標售之等標期亦僅4日，</w:t>
      </w:r>
      <w:bookmarkStart w:id="65" w:name="_Hlk131757650"/>
      <w:r w:rsidRPr="00E6436E">
        <w:rPr>
          <w:rFonts w:hint="eastAsia"/>
        </w:rPr>
        <w:t>等標期間明顯不足</w:t>
      </w:r>
      <w:bookmarkEnd w:id="65"/>
      <w:r w:rsidRPr="00E6436E">
        <w:rPr>
          <w:rFonts w:hint="eastAsia"/>
        </w:rPr>
        <w:t>致廠商作業倉促，程序有欠嚴謹；縱然委由投資廠商逕行辦理伐採與繳回林木補償費用作業，</w:t>
      </w:r>
      <w:r w:rsidRPr="00E6436E">
        <w:rPr>
          <w:rFonts w:hint="eastAsia"/>
          <w:b/>
          <w:u w:val="single"/>
        </w:rPr>
        <w:t>其現地林木材積估算、實地鑑價與伐採過磅作業程序，仍應逐項踐行</w:t>
      </w:r>
      <w:r w:rsidRPr="00E6436E">
        <w:rPr>
          <w:rFonts w:hint="eastAsia"/>
        </w:rPr>
        <w:t>，俾利爾後審計部等機關之查核驗證。惟台糖公司並未踐行上開程序，</w:t>
      </w:r>
      <w:r w:rsidRPr="00E6436E">
        <w:rPr>
          <w:rFonts w:hint="eastAsia"/>
          <w:b/>
          <w:u w:val="single"/>
        </w:rPr>
        <w:t>導致公司內部未有材積估算與伐採過磅重量等資料</w:t>
      </w:r>
      <w:r w:rsidRPr="00E6436E">
        <w:rPr>
          <w:rFonts w:hint="eastAsia"/>
        </w:rPr>
        <w:t>，僅有該廠商自行辦理材積估算之數據，且該數據為計算林木</w:t>
      </w:r>
      <w:r w:rsidRPr="00E6436E">
        <w:rPr>
          <w:rFonts w:hint="eastAsia"/>
        </w:rPr>
        <w:lastRenderedPageBreak/>
        <w:t>補償費之</w:t>
      </w:r>
      <w:bookmarkStart w:id="66" w:name="_Hlk132639911"/>
      <w:r w:rsidRPr="00E6436E">
        <w:rPr>
          <w:rFonts w:hint="eastAsia"/>
        </w:rPr>
        <w:t>重要</w:t>
      </w:r>
      <w:bookmarkEnd w:id="66"/>
      <w:r w:rsidRPr="00E6436E">
        <w:rPr>
          <w:rFonts w:hint="eastAsia"/>
        </w:rPr>
        <w:t>基礎，與廠商</w:t>
      </w:r>
      <w:bookmarkStart w:id="67" w:name="_Hlk132639925"/>
      <w:r w:rsidRPr="00E6436E">
        <w:rPr>
          <w:rFonts w:hint="eastAsia"/>
        </w:rPr>
        <w:t>擔任</w:t>
      </w:r>
      <w:bookmarkEnd w:id="67"/>
      <w:r w:rsidRPr="00E6436E">
        <w:rPr>
          <w:rFonts w:hint="eastAsia"/>
        </w:rPr>
        <w:t>繳回林木補償費之角色，</w:t>
      </w:r>
      <w:r w:rsidRPr="00E6436E">
        <w:rPr>
          <w:rFonts w:hint="eastAsia"/>
          <w:b/>
          <w:u w:val="single"/>
        </w:rPr>
        <w:t>實有利益衝突</w:t>
      </w:r>
      <w:r w:rsidRPr="00E6436E">
        <w:rPr>
          <w:rFonts w:hint="eastAsia"/>
          <w:b/>
        </w:rPr>
        <w:t>；</w:t>
      </w:r>
      <w:r w:rsidRPr="00E6436E">
        <w:rPr>
          <w:rFonts w:hint="eastAsia"/>
        </w:rPr>
        <w:t>另該廠商曾有兩次材積估算資料，數據差異甚大，而台糖公司未有警覺，</w:t>
      </w:r>
      <w:r w:rsidRPr="00E6436E">
        <w:rPr>
          <w:rFonts w:hint="eastAsia"/>
          <w:b/>
          <w:u w:val="single"/>
        </w:rPr>
        <w:t>伐採過磅時未依契約規定派員隨同驗證或交付第三方複估查驗，核有重大違失</w:t>
      </w:r>
      <w:r w:rsidRPr="00E6436E">
        <w:rPr>
          <w:rFonts w:hint="eastAsia"/>
          <w:b/>
        </w:rPr>
        <w:t>。</w:t>
      </w:r>
    </w:p>
    <w:bookmarkEnd w:id="44"/>
    <w:bookmarkEnd w:id="45"/>
    <w:bookmarkEnd w:id="46"/>
    <w:bookmarkEnd w:id="60"/>
    <w:p w:rsidR="00DC54A7" w:rsidRPr="00E6436E" w:rsidRDefault="00DC54A7" w:rsidP="00DC54A7">
      <w:pPr>
        <w:pStyle w:val="3"/>
        <w:numPr>
          <w:ilvl w:val="0"/>
          <w:numId w:val="0"/>
        </w:numPr>
        <w:ind w:left="1361" w:hanging="681"/>
      </w:pPr>
    </w:p>
    <w:p w:rsidR="002C45D2" w:rsidRPr="00E6436E" w:rsidRDefault="00BA4FF8" w:rsidP="00D34F27">
      <w:pPr>
        <w:pStyle w:val="10"/>
        <w:ind w:left="680" w:firstLineChars="0" w:firstLine="0"/>
      </w:pPr>
      <w:r w:rsidRPr="00E6436E">
        <w:rPr>
          <w:rFonts w:hint="eastAsia"/>
        </w:rPr>
        <w:t xml:space="preserve">    </w:t>
      </w:r>
      <w:r w:rsidR="00FA5824" w:rsidRPr="00E6436E">
        <w:rPr>
          <w:rFonts w:hint="eastAsia"/>
        </w:rPr>
        <w:t>綜上所述，</w:t>
      </w:r>
      <w:r w:rsidR="00DC54A7" w:rsidRPr="00E6436E">
        <w:rPr>
          <w:rFonts w:hint="eastAsia"/>
        </w:rPr>
        <w:t>台糖公司</w:t>
      </w:r>
      <w:r w:rsidR="00B80D17" w:rsidRPr="00E6436E">
        <w:rPr>
          <w:rFonts w:hint="eastAsia"/>
        </w:rPr>
        <w:t>為配合經濟部推動太陽能光電計畫，</w:t>
      </w:r>
      <w:r w:rsidR="004175EC" w:rsidRPr="00E6436E">
        <w:rPr>
          <w:rFonts w:hint="eastAsia"/>
        </w:rPr>
        <w:t>盤點轄管不適耕作與造林地，</w:t>
      </w:r>
      <w:r w:rsidR="00C51EEA" w:rsidRPr="00E6436E">
        <w:rPr>
          <w:rFonts w:hint="eastAsia"/>
        </w:rPr>
        <w:t>註銷</w:t>
      </w:r>
      <w:r w:rsidR="00B80D17" w:rsidRPr="00E6436E">
        <w:rPr>
          <w:rFonts w:hint="eastAsia"/>
        </w:rPr>
        <w:t>部分造林區域</w:t>
      </w:r>
      <w:r w:rsidR="00DC54A7" w:rsidRPr="00E6436E">
        <w:rPr>
          <w:rFonts w:hint="eastAsia"/>
        </w:rPr>
        <w:t>改置光電案場</w:t>
      </w:r>
      <w:r w:rsidR="007548B2">
        <w:rPr>
          <w:rFonts w:hint="eastAsia"/>
        </w:rPr>
        <w:t>，</w:t>
      </w:r>
      <w:r w:rsidR="004175EC" w:rsidRPr="00E6436E">
        <w:rPr>
          <w:rFonts w:hint="eastAsia"/>
        </w:rPr>
        <w:t>衍生</w:t>
      </w:r>
      <w:r w:rsidR="009942D8" w:rsidRPr="00E6436E">
        <w:rPr>
          <w:rFonts w:hint="eastAsia"/>
        </w:rPr>
        <w:t>原造林</w:t>
      </w:r>
      <w:r w:rsidR="004175EC" w:rsidRPr="00E6436E">
        <w:rPr>
          <w:rFonts w:hint="eastAsia"/>
        </w:rPr>
        <w:t>政策不連續，</w:t>
      </w:r>
      <w:r w:rsidR="00D34F27" w:rsidRPr="00E6436E">
        <w:rPr>
          <w:rFonts w:hint="eastAsia"/>
        </w:rPr>
        <w:t>多年造林之努力與成果毀於一旦，並</w:t>
      </w:r>
      <w:r w:rsidR="004175EC" w:rsidRPr="00E6436E">
        <w:rPr>
          <w:rFonts w:hint="eastAsia"/>
        </w:rPr>
        <w:t>徒增民眾疑慮與爭議</w:t>
      </w:r>
      <w:r w:rsidR="00DC54A7" w:rsidRPr="00E6436E">
        <w:rPr>
          <w:rFonts w:hint="eastAsia"/>
        </w:rPr>
        <w:t>；另造林成果仍屬公司財產，其現地林木材積估算</w:t>
      </w:r>
      <w:r w:rsidR="00B80D17" w:rsidRPr="00E6436E">
        <w:rPr>
          <w:rFonts w:hint="eastAsia"/>
        </w:rPr>
        <w:t>等</w:t>
      </w:r>
      <w:r w:rsidR="00DC54A7" w:rsidRPr="00E6436E">
        <w:rPr>
          <w:rFonts w:hint="eastAsia"/>
        </w:rPr>
        <w:t>作業程序仍應</w:t>
      </w:r>
      <w:proofErr w:type="gramStart"/>
      <w:r w:rsidR="00DC54A7" w:rsidRPr="00E6436E">
        <w:rPr>
          <w:rFonts w:hint="eastAsia"/>
        </w:rPr>
        <w:t>踐行</w:t>
      </w:r>
      <w:proofErr w:type="gramEnd"/>
      <w:r w:rsidR="00DC54A7" w:rsidRPr="00E6436E">
        <w:rPr>
          <w:rFonts w:hint="eastAsia"/>
        </w:rPr>
        <w:t>，俾利爾後查核驗證。</w:t>
      </w:r>
      <w:proofErr w:type="gramStart"/>
      <w:r w:rsidR="00DC54A7" w:rsidRPr="00E6436E">
        <w:rPr>
          <w:rFonts w:hint="eastAsia"/>
        </w:rPr>
        <w:t>惟</w:t>
      </w:r>
      <w:proofErr w:type="gramEnd"/>
      <w:r w:rsidR="00DC54A7" w:rsidRPr="00E6436E">
        <w:rPr>
          <w:rFonts w:hint="eastAsia"/>
        </w:rPr>
        <w:t>台糖公司</w:t>
      </w:r>
      <w:r w:rsidR="006F3806" w:rsidRPr="00833464">
        <w:rPr>
          <w:rFonts w:hint="eastAsia"/>
        </w:rPr>
        <w:t>囿於經濟部時程壓力</w:t>
      </w:r>
      <w:r w:rsidR="006F3806">
        <w:rPr>
          <w:rFonts w:hint="eastAsia"/>
        </w:rPr>
        <w:t>，</w:t>
      </w:r>
      <w:r w:rsidR="00DC54A7" w:rsidRPr="00E6436E">
        <w:rPr>
          <w:rFonts w:hint="eastAsia"/>
        </w:rPr>
        <w:t>未</w:t>
      </w:r>
      <w:proofErr w:type="gramStart"/>
      <w:r w:rsidR="00DC54A7" w:rsidRPr="00E6436E">
        <w:rPr>
          <w:rFonts w:hint="eastAsia"/>
        </w:rPr>
        <w:t>踐</w:t>
      </w:r>
      <w:proofErr w:type="gramEnd"/>
      <w:r w:rsidR="00DC54A7" w:rsidRPr="00E6436E">
        <w:rPr>
          <w:rFonts w:hint="eastAsia"/>
        </w:rPr>
        <w:t>行上開程序</w:t>
      </w:r>
      <w:r w:rsidR="00B80D17" w:rsidRPr="00E6436E">
        <w:rPr>
          <w:rFonts w:hint="eastAsia"/>
        </w:rPr>
        <w:t>，欠缺</w:t>
      </w:r>
      <w:r w:rsidR="009942D8" w:rsidRPr="00E6436E">
        <w:rPr>
          <w:rFonts w:hint="eastAsia"/>
        </w:rPr>
        <w:t>林木查估</w:t>
      </w:r>
      <w:r w:rsidR="00B80D17" w:rsidRPr="00E6436E">
        <w:rPr>
          <w:rFonts w:hint="eastAsia"/>
        </w:rPr>
        <w:t>資料</w:t>
      </w:r>
      <w:r w:rsidR="002C45D2" w:rsidRPr="00E6436E">
        <w:rPr>
          <w:rFonts w:hint="eastAsia"/>
        </w:rPr>
        <w:t>佐證</w:t>
      </w:r>
      <w:r w:rsidR="009942D8" w:rsidRPr="00E6436E">
        <w:rPr>
          <w:rFonts w:hint="eastAsia"/>
        </w:rPr>
        <w:t>致</w:t>
      </w:r>
      <w:r w:rsidR="00B80D17" w:rsidRPr="00E6436E">
        <w:rPr>
          <w:rFonts w:hint="eastAsia"/>
        </w:rPr>
        <w:t>無從驗證</w:t>
      </w:r>
      <w:r w:rsidR="00DC54A7" w:rsidRPr="00E6436E">
        <w:rPr>
          <w:rFonts w:hint="eastAsia"/>
        </w:rPr>
        <w:t>，</w:t>
      </w:r>
      <w:r w:rsidR="00B80D17" w:rsidRPr="00E6436E">
        <w:rPr>
          <w:rFonts w:hint="eastAsia"/>
        </w:rPr>
        <w:t>履約管理欠當，核有重大違失</w:t>
      </w:r>
      <w:r w:rsidR="00FA5824" w:rsidRPr="00E6436E">
        <w:rPr>
          <w:rFonts w:hint="eastAsia"/>
        </w:rPr>
        <w:t>，爰依</w:t>
      </w:r>
      <w:r w:rsidR="00FA5824" w:rsidRPr="00E6436E">
        <w:rPr>
          <w:rFonts w:hint="eastAsia"/>
          <w:bCs/>
        </w:rPr>
        <w:t>憲法第97條第1項及</w:t>
      </w:r>
      <w:r w:rsidR="00FA5824" w:rsidRPr="00E6436E">
        <w:rPr>
          <w:rFonts w:hint="eastAsia"/>
        </w:rPr>
        <w:t>監察法第24條之規定提案糾正，移送</w:t>
      </w:r>
      <w:r w:rsidR="00B80D17" w:rsidRPr="00E6436E">
        <w:rPr>
          <w:rFonts w:hint="eastAsia"/>
        </w:rPr>
        <w:t>經濟</w:t>
      </w:r>
      <w:r w:rsidR="002712A2" w:rsidRPr="00E6436E">
        <w:rPr>
          <w:rFonts w:hint="eastAsia"/>
        </w:rPr>
        <w:t>部督飭所屬</w:t>
      </w:r>
      <w:r w:rsidR="00FA5824" w:rsidRPr="00E6436E">
        <w:rPr>
          <w:rFonts w:hint="eastAsia"/>
        </w:rPr>
        <w:t>確實檢討改善</w:t>
      </w:r>
      <w:proofErr w:type="gramStart"/>
      <w:r w:rsidR="00FA5824" w:rsidRPr="00E6436E">
        <w:rPr>
          <w:rFonts w:hint="eastAsia"/>
        </w:rPr>
        <w:t>見復</w:t>
      </w:r>
      <w:proofErr w:type="gramEnd"/>
      <w:r w:rsidR="00FA5824" w:rsidRPr="00E6436E">
        <w:rPr>
          <w:rFonts w:hint="eastAsia"/>
        </w:rPr>
        <w:t>。</w:t>
      </w:r>
      <w:bookmarkStart w:id="68" w:name="_Toc524895649"/>
      <w:bookmarkStart w:id="69" w:name="_Toc524896195"/>
      <w:bookmarkStart w:id="70" w:name="_Toc524896225"/>
      <w:bookmarkEnd w:id="68"/>
      <w:bookmarkEnd w:id="69"/>
      <w:bookmarkEnd w:id="70"/>
    </w:p>
    <w:p w:rsidR="00FA5824" w:rsidRPr="00E6436E" w:rsidRDefault="00FA5824" w:rsidP="008A288A">
      <w:pPr>
        <w:pStyle w:val="aa"/>
        <w:spacing w:beforeLines="150" w:before="685" w:after="0"/>
        <w:ind w:leftChars="1100" w:left="3742"/>
        <w:rPr>
          <w:b w:val="0"/>
          <w:bCs/>
          <w:snapToGrid/>
          <w:spacing w:val="12"/>
          <w:kern w:val="0"/>
          <w:sz w:val="40"/>
        </w:rPr>
      </w:pPr>
      <w:r w:rsidRPr="00E6436E">
        <w:rPr>
          <w:rFonts w:hint="eastAsia"/>
          <w:b w:val="0"/>
          <w:bCs/>
          <w:snapToGrid/>
          <w:spacing w:val="12"/>
          <w:kern w:val="0"/>
          <w:sz w:val="40"/>
        </w:rPr>
        <w:t>提案委員：</w:t>
      </w:r>
      <w:r w:rsidR="00EF0C67">
        <w:rPr>
          <w:rFonts w:hint="eastAsia"/>
          <w:b w:val="0"/>
          <w:bCs/>
          <w:snapToGrid/>
          <w:spacing w:val="12"/>
          <w:kern w:val="0"/>
          <w:sz w:val="40"/>
        </w:rPr>
        <w:t>林文程</w:t>
      </w:r>
    </w:p>
    <w:p w:rsidR="00B80D17" w:rsidRPr="00E6436E" w:rsidRDefault="00EF0C67" w:rsidP="00EF0C67">
      <w:pPr>
        <w:pStyle w:val="aa"/>
        <w:spacing w:before="0" w:after="0"/>
        <w:ind w:leftChars="1760" w:left="5987"/>
        <w:rPr>
          <w:b w:val="0"/>
          <w:bCs/>
          <w:snapToGrid/>
          <w:spacing w:val="0"/>
          <w:kern w:val="0"/>
        </w:rPr>
      </w:pPr>
      <w:r w:rsidRPr="00EF0C67">
        <w:rPr>
          <w:rFonts w:hint="eastAsia"/>
          <w:b w:val="0"/>
          <w:bCs/>
          <w:snapToGrid/>
          <w:spacing w:val="0"/>
          <w:kern w:val="0"/>
          <w:sz w:val="40"/>
        </w:rPr>
        <w:t>王幼玲</w:t>
      </w:r>
    </w:p>
    <w:p w:rsidR="00776B59" w:rsidRPr="00E6436E" w:rsidRDefault="00776B59" w:rsidP="00D34F27">
      <w:pPr>
        <w:pStyle w:val="aa"/>
        <w:spacing w:beforeLines="50" w:before="228" w:after="0"/>
        <w:ind w:left="0"/>
        <w:rPr>
          <w:b w:val="0"/>
          <w:bCs/>
          <w:snapToGrid/>
          <w:spacing w:val="0"/>
          <w:kern w:val="0"/>
        </w:rPr>
      </w:pPr>
    </w:p>
    <w:p w:rsidR="00923EB1" w:rsidRPr="00E6436E" w:rsidRDefault="00923EB1" w:rsidP="00286B1B">
      <w:pPr>
        <w:pStyle w:val="aa"/>
        <w:spacing w:beforeLines="50" w:before="228" w:after="0"/>
        <w:ind w:leftChars="1100" w:left="3742"/>
        <w:rPr>
          <w:b w:val="0"/>
          <w:bCs/>
          <w:snapToGrid/>
          <w:spacing w:val="0"/>
          <w:kern w:val="0"/>
        </w:rPr>
      </w:pPr>
    </w:p>
    <w:p w:rsidR="00416721" w:rsidRPr="00E6436E" w:rsidRDefault="00FA5824" w:rsidP="00133AA2">
      <w:pPr>
        <w:pStyle w:val="af"/>
        <w:rPr>
          <w:rFonts w:hAnsi="標楷體"/>
          <w:bCs/>
        </w:rPr>
      </w:pPr>
      <w:r w:rsidRPr="00E6436E">
        <w:rPr>
          <w:rFonts w:hAnsi="標楷體" w:hint="eastAsia"/>
          <w:bCs/>
        </w:rPr>
        <w:t>中華民國1</w:t>
      </w:r>
      <w:r w:rsidRPr="00E6436E">
        <w:rPr>
          <w:rFonts w:hAnsi="標楷體"/>
          <w:bCs/>
        </w:rPr>
        <w:t>1</w:t>
      </w:r>
      <w:r w:rsidR="00B80D17" w:rsidRPr="00E6436E">
        <w:rPr>
          <w:rFonts w:hAnsi="標楷體" w:hint="eastAsia"/>
          <w:bCs/>
        </w:rPr>
        <w:t>2</w:t>
      </w:r>
      <w:r w:rsidRPr="00E6436E">
        <w:rPr>
          <w:rFonts w:hAnsi="標楷體" w:hint="eastAsia"/>
          <w:bCs/>
        </w:rPr>
        <w:t>年</w:t>
      </w:r>
      <w:r w:rsidR="00C0615B">
        <w:rPr>
          <w:rFonts w:hAnsi="標楷體" w:hint="eastAsia"/>
          <w:bCs/>
        </w:rPr>
        <w:t>6</w:t>
      </w:r>
      <w:r w:rsidRPr="00E6436E">
        <w:rPr>
          <w:rFonts w:hAnsi="標楷體" w:hint="eastAsia"/>
          <w:bCs/>
        </w:rPr>
        <w:t>月</w:t>
      </w:r>
      <w:bookmarkStart w:id="71" w:name="_GoBack"/>
      <w:bookmarkEnd w:id="71"/>
      <w:r w:rsidR="0012088C" w:rsidRPr="00E6436E">
        <w:rPr>
          <w:rFonts w:hAnsi="標楷體" w:hint="eastAsia"/>
          <w:bCs/>
        </w:rPr>
        <w:t xml:space="preserve"> </w:t>
      </w:r>
      <w:r w:rsidR="00EF0C67">
        <w:rPr>
          <w:rFonts w:hAnsi="標楷體" w:hint="eastAsia"/>
          <w:bCs/>
        </w:rPr>
        <w:t>7</w:t>
      </w:r>
      <w:r w:rsidR="0012088C" w:rsidRPr="00E6436E">
        <w:rPr>
          <w:rFonts w:hAnsi="標楷體" w:hint="eastAsia"/>
          <w:bCs/>
        </w:rPr>
        <w:t xml:space="preserve"> </w:t>
      </w:r>
      <w:r w:rsidRPr="00E6436E">
        <w:rPr>
          <w:rFonts w:hAnsi="標楷體" w:hint="eastAsia"/>
          <w:bCs/>
        </w:rPr>
        <w:t>日</w:t>
      </w:r>
      <w:bookmarkEnd w:id="47"/>
    </w:p>
    <w:sectPr w:rsidR="00416721" w:rsidRPr="00E6436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F73" w:rsidRDefault="001E7F73">
      <w:r>
        <w:separator/>
      </w:r>
    </w:p>
  </w:endnote>
  <w:endnote w:type="continuationSeparator" w:id="0">
    <w:p w:rsidR="001E7F73" w:rsidRDefault="001E7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C5D8B">
      <w:rPr>
        <w:rStyle w:val="ac"/>
        <w:noProof/>
        <w:sz w:val="24"/>
      </w:rPr>
      <w:t>16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F73" w:rsidRDefault="001E7F73">
      <w:r>
        <w:separator/>
      </w:r>
    </w:p>
  </w:footnote>
  <w:footnote w:type="continuationSeparator" w:id="0">
    <w:p w:rsidR="001E7F73" w:rsidRDefault="001E7F73">
      <w:r>
        <w:continuationSeparator/>
      </w:r>
    </w:p>
  </w:footnote>
  <w:footnote w:id="1">
    <w:p w:rsidR="00401D84" w:rsidRPr="00933689" w:rsidRDefault="00401D84" w:rsidP="00DC54A7">
      <w:pPr>
        <w:pStyle w:val="afb"/>
      </w:pPr>
      <w:r>
        <w:rPr>
          <w:rStyle w:val="afd"/>
        </w:rPr>
        <w:footnoteRef/>
      </w:r>
      <w:r>
        <w:t xml:space="preserve"> </w:t>
      </w:r>
      <w:r>
        <w:rPr>
          <w:rFonts w:hint="eastAsia"/>
        </w:rPr>
        <w:t>資料來源</w:t>
      </w:r>
      <w:r>
        <w:rPr>
          <w:rFonts w:ascii="新細明體" w:hAnsi="新細明體" w:hint="eastAsia"/>
        </w:rPr>
        <w:t>：本院</w:t>
      </w:r>
      <w:r>
        <w:rPr>
          <w:rFonts w:ascii="新細明體" w:hAnsi="新細明體" w:hint="eastAsia"/>
        </w:rPr>
        <w:t>111</w:t>
      </w:r>
      <w:r>
        <w:rPr>
          <w:rFonts w:ascii="新細明體" w:hAnsi="新細明體" w:hint="eastAsia"/>
        </w:rPr>
        <w:t>年</w:t>
      </w:r>
      <w:r>
        <w:rPr>
          <w:rFonts w:ascii="新細明體" w:hAnsi="新細明體" w:hint="eastAsia"/>
        </w:rPr>
        <w:t>11</w:t>
      </w:r>
      <w:r>
        <w:rPr>
          <w:rFonts w:ascii="新細明體" w:hAnsi="新細明體" w:hint="eastAsia"/>
        </w:rPr>
        <w:t>月</w:t>
      </w:r>
      <w:r>
        <w:rPr>
          <w:rFonts w:ascii="新細明體" w:hAnsi="新細明體" w:hint="eastAsia"/>
        </w:rPr>
        <w:t>24</w:t>
      </w:r>
      <w:r>
        <w:rPr>
          <w:rFonts w:ascii="新細明體" w:hAnsi="新細明體" w:hint="eastAsia"/>
        </w:rPr>
        <w:t>日履勘臺南市七股光電案場，</w:t>
      </w:r>
      <w:r>
        <w:rPr>
          <w:rFonts w:hint="eastAsia"/>
        </w:rPr>
        <w:t>經濟部提供資料。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2D418D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8C4086"/>
    <w:multiLevelType w:val="multilevel"/>
    <w:tmpl w:val="2E7A6D6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360" w:hanging="510"/>
      </w:pPr>
      <w:rPr>
        <w:rFonts w:ascii="標楷體" w:eastAsia="標楷體" w:hint="eastAsia"/>
        <w:b w:val="0"/>
        <w:i w:val="0"/>
        <w:snapToGrid/>
        <w:color w:val="000000" w:themeColor="text1"/>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FC46CF"/>
    <w:multiLevelType w:val="hybridMultilevel"/>
    <w:tmpl w:val="342270E6"/>
    <w:lvl w:ilvl="0" w:tplc="E806DE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8270A5"/>
    <w:multiLevelType w:val="hybridMultilevel"/>
    <w:tmpl w:val="3C68C9F4"/>
    <w:lvl w:ilvl="0" w:tplc="7848D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1A475B4"/>
    <w:multiLevelType w:val="hybridMultilevel"/>
    <w:tmpl w:val="9E04A102"/>
    <w:lvl w:ilvl="0" w:tplc="6F4AC78E">
      <w:start w:val="1"/>
      <w:numFmt w:val="bullet"/>
      <w:lvlText w:val="●"/>
      <w:lvlJc w:val="left"/>
      <w:pPr>
        <w:tabs>
          <w:tab w:val="num" w:pos="720"/>
        </w:tabs>
        <w:ind w:left="720" w:hanging="360"/>
      </w:pPr>
      <w:rPr>
        <w:rFonts w:ascii="Times New Roman" w:hAnsi="Times New Roman" w:hint="default"/>
      </w:rPr>
    </w:lvl>
    <w:lvl w:ilvl="1" w:tplc="2E248424" w:tentative="1">
      <w:start w:val="1"/>
      <w:numFmt w:val="bullet"/>
      <w:lvlText w:val="●"/>
      <w:lvlJc w:val="left"/>
      <w:pPr>
        <w:tabs>
          <w:tab w:val="num" w:pos="1440"/>
        </w:tabs>
        <w:ind w:left="1440" w:hanging="360"/>
      </w:pPr>
      <w:rPr>
        <w:rFonts w:ascii="Times New Roman" w:hAnsi="Times New Roman" w:hint="default"/>
      </w:rPr>
    </w:lvl>
    <w:lvl w:ilvl="2" w:tplc="CDCA7D90" w:tentative="1">
      <w:start w:val="1"/>
      <w:numFmt w:val="bullet"/>
      <w:lvlText w:val="●"/>
      <w:lvlJc w:val="left"/>
      <w:pPr>
        <w:tabs>
          <w:tab w:val="num" w:pos="2160"/>
        </w:tabs>
        <w:ind w:left="2160" w:hanging="360"/>
      </w:pPr>
      <w:rPr>
        <w:rFonts w:ascii="Times New Roman" w:hAnsi="Times New Roman" w:hint="default"/>
      </w:rPr>
    </w:lvl>
    <w:lvl w:ilvl="3" w:tplc="956E26FE" w:tentative="1">
      <w:start w:val="1"/>
      <w:numFmt w:val="bullet"/>
      <w:lvlText w:val="●"/>
      <w:lvlJc w:val="left"/>
      <w:pPr>
        <w:tabs>
          <w:tab w:val="num" w:pos="2880"/>
        </w:tabs>
        <w:ind w:left="2880" w:hanging="360"/>
      </w:pPr>
      <w:rPr>
        <w:rFonts w:ascii="Times New Roman" w:hAnsi="Times New Roman" w:hint="default"/>
      </w:rPr>
    </w:lvl>
    <w:lvl w:ilvl="4" w:tplc="620CFC30" w:tentative="1">
      <w:start w:val="1"/>
      <w:numFmt w:val="bullet"/>
      <w:lvlText w:val="●"/>
      <w:lvlJc w:val="left"/>
      <w:pPr>
        <w:tabs>
          <w:tab w:val="num" w:pos="3600"/>
        </w:tabs>
        <w:ind w:left="3600" w:hanging="360"/>
      </w:pPr>
      <w:rPr>
        <w:rFonts w:ascii="Times New Roman" w:hAnsi="Times New Roman" w:hint="default"/>
      </w:rPr>
    </w:lvl>
    <w:lvl w:ilvl="5" w:tplc="3F68EB24" w:tentative="1">
      <w:start w:val="1"/>
      <w:numFmt w:val="bullet"/>
      <w:lvlText w:val="●"/>
      <w:lvlJc w:val="left"/>
      <w:pPr>
        <w:tabs>
          <w:tab w:val="num" w:pos="4320"/>
        </w:tabs>
        <w:ind w:left="4320" w:hanging="360"/>
      </w:pPr>
      <w:rPr>
        <w:rFonts w:ascii="Times New Roman" w:hAnsi="Times New Roman" w:hint="default"/>
      </w:rPr>
    </w:lvl>
    <w:lvl w:ilvl="6" w:tplc="597C62A8" w:tentative="1">
      <w:start w:val="1"/>
      <w:numFmt w:val="bullet"/>
      <w:lvlText w:val="●"/>
      <w:lvlJc w:val="left"/>
      <w:pPr>
        <w:tabs>
          <w:tab w:val="num" w:pos="5040"/>
        </w:tabs>
        <w:ind w:left="5040" w:hanging="360"/>
      </w:pPr>
      <w:rPr>
        <w:rFonts w:ascii="Times New Roman" w:hAnsi="Times New Roman" w:hint="default"/>
      </w:rPr>
    </w:lvl>
    <w:lvl w:ilvl="7" w:tplc="62D01C74" w:tentative="1">
      <w:start w:val="1"/>
      <w:numFmt w:val="bullet"/>
      <w:lvlText w:val="●"/>
      <w:lvlJc w:val="left"/>
      <w:pPr>
        <w:tabs>
          <w:tab w:val="num" w:pos="5760"/>
        </w:tabs>
        <w:ind w:left="5760" w:hanging="360"/>
      </w:pPr>
      <w:rPr>
        <w:rFonts w:ascii="Times New Roman" w:hAnsi="Times New Roman" w:hint="default"/>
      </w:rPr>
    </w:lvl>
    <w:lvl w:ilvl="8" w:tplc="D15EB15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4"/>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4"/>
  </w:num>
  <w:num w:numId="19">
    <w:abstractNumId w:val="4"/>
    <w:lvlOverride w:ilvl="0">
      <w:startOverride w:val="1"/>
    </w:lvlOverride>
  </w:num>
  <w:num w:numId="20">
    <w:abstractNumId w:val="1"/>
  </w:num>
  <w:num w:numId="21">
    <w:abstractNumId w:val="4"/>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1"/>
  </w:num>
  <w:num w:numId="34">
    <w:abstractNumId w:val="1"/>
  </w:num>
  <w:num w:numId="35">
    <w:abstractNumId w:val="1"/>
  </w:num>
  <w:num w:numId="36">
    <w:abstractNumId w:val="1"/>
  </w:num>
  <w:num w:numId="37">
    <w:abstractNumId w:val="5"/>
  </w:num>
  <w:num w:numId="38">
    <w:abstractNumId w:val="1"/>
  </w:num>
  <w:num w:numId="39">
    <w:abstractNumId w:val="1"/>
  </w:num>
  <w:num w:numId="40">
    <w:abstractNumId w:val="11"/>
  </w:num>
  <w:num w:numId="41">
    <w:abstractNumId w:val="3"/>
  </w:num>
  <w:num w:numId="42">
    <w:abstractNumId w:val="2"/>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2C"/>
    <w:rsid w:val="00006961"/>
    <w:rsid w:val="000112BF"/>
    <w:rsid w:val="00012233"/>
    <w:rsid w:val="00013D6B"/>
    <w:rsid w:val="00015BAA"/>
    <w:rsid w:val="00017318"/>
    <w:rsid w:val="00022D88"/>
    <w:rsid w:val="000246F7"/>
    <w:rsid w:val="0003114D"/>
    <w:rsid w:val="00034C18"/>
    <w:rsid w:val="00036D76"/>
    <w:rsid w:val="000457F1"/>
    <w:rsid w:val="00050778"/>
    <w:rsid w:val="000512D1"/>
    <w:rsid w:val="000577FB"/>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4F2B"/>
    <w:rsid w:val="000B61D2"/>
    <w:rsid w:val="000B70A7"/>
    <w:rsid w:val="000C495F"/>
    <w:rsid w:val="000D3691"/>
    <w:rsid w:val="000E6431"/>
    <w:rsid w:val="000F0D35"/>
    <w:rsid w:val="000F146A"/>
    <w:rsid w:val="000F21A5"/>
    <w:rsid w:val="00100564"/>
    <w:rsid w:val="00102B9F"/>
    <w:rsid w:val="00112637"/>
    <w:rsid w:val="0012001E"/>
    <w:rsid w:val="0012088C"/>
    <w:rsid w:val="00126A55"/>
    <w:rsid w:val="00133AA2"/>
    <w:rsid w:val="00133F08"/>
    <w:rsid w:val="001345E6"/>
    <w:rsid w:val="001378B0"/>
    <w:rsid w:val="00142E00"/>
    <w:rsid w:val="0014624A"/>
    <w:rsid w:val="00152793"/>
    <w:rsid w:val="00153CC4"/>
    <w:rsid w:val="001545A9"/>
    <w:rsid w:val="001637C7"/>
    <w:rsid w:val="0016480E"/>
    <w:rsid w:val="00174297"/>
    <w:rsid w:val="00175A7C"/>
    <w:rsid w:val="001817B3"/>
    <w:rsid w:val="00183014"/>
    <w:rsid w:val="001959C2"/>
    <w:rsid w:val="00197D3D"/>
    <w:rsid w:val="001A0B27"/>
    <w:rsid w:val="001A7968"/>
    <w:rsid w:val="001B1F65"/>
    <w:rsid w:val="001B3483"/>
    <w:rsid w:val="001B3C1E"/>
    <w:rsid w:val="001B4494"/>
    <w:rsid w:val="001B48EB"/>
    <w:rsid w:val="001C0671"/>
    <w:rsid w:val="001C0D8B"/>
    <w:rsid w:val="001C0DA8"/>
    <w:rsid w:val="001E0D8A"/>
    <w:rsid w:val="001E11BB"/>
    <w:rsid w:val="001E67BA"/>
    <w:rsid w:val="001E74C2"/>
    <w:rsid w:val="001E7F73"/>
    <w:rsid w:val="001F32C2"/>
    <w:rsid w:val="001F5A48"/>
    <w:rsid w:val="001F6260"/>
    <w:rsid w:val="00200007"/>
    <w:rsid w:val="002030A5"/>
    <w:rsid w:val="00203131"/>
    <w:rsid w:val="002065F3"/>
    <w:rsid w:val="0020660E"/>
    <w:rsid w:val="00207C1A"/>
    <w:rsid w:val="00212671"/>
    <w:rsid w:val="00212E88"/>
    <w:rsid w:val="00213C9C"/>
    <w:rsid w:val="0022009E"/>
    <w:rsid w:val="0022425C"/>
    <w:rsid w:val="002246DE"/>
    <w:rsid w:val="00240CED"/>
    <w:rsid w:val="002421B5"/>
    <w:rsid w:val="0025106C"/>
    <w:rsid w:val="00252BC4"/>
    <w:rsid w:val="00254014"/>
    <w:rsid w:val="0025543B"/>
    <w:rsid w:val="0026504D"/>
    <w:rsid w:val="002712A2"/>
    <w:rsid w:val="00273A2F"/>
    <w:rsid w:val="00280986"/>
    <w:rsid w:val="00281ECE"/>
    <w:rsid w:val="002831C7"/>
    <w:rsid w:val="002840C6"/>
    <w:rsid w:val="002848B1"/>
    <w:rsid w:val="00286B1B"/>
    <w:rsid w:val="00293A00"/>
    <w:rsid w:val="00295174"/>
    <w:rsid w:val="00296172"/>
    <w:rsid w:val="00296B92"/>
    <w:rsid w:val="002A2C22"/>
    <w:rsid w:val="002B02EB"/>
    <w:rsid w:val="002B24A9"/>
    <w:rsid w:val="002B3739"/>
    <w:rsid w:val="002C0602"/>
    <w:rsid w:val="002C45D2"/>
    <w:rsid w:val="002D13EB"/>
    <w:rsid w:val="002D5C16"/>
    <w:rsid w:val="002E53B4"/>
    <w:rsid w:val="002F3DFF"/>
    <w:rsid w:val="002F5E05"/>
    <w:rsid w:val="003145CE"/>
    <w:rsid w:val="00317053"/>
    <w:rsid w:val="0032109C"/>
    <w:rsid w:val="00322B45"/>
    <w:rsid w:val="00323809"/>
    <w:rsid w:val="00323D41"/>
    <w:rsid w:val="00325414"/>
    <w:rsid w:val="003302F1"/>
    <w:rsid w:val="003440E4"/>
    <w:rsid w:val="0034470E"/>
    <w:rsid w:val="00352DB0"/>
    <w:rsid w:val="0035487A"/>
    <w:rsid w:val="00371833"/>
    <w:rsid w:val="00371ED3"/>
    <w:rsid w:val="0037728A"/>
    <w:rsid w:val="00380B7D"/>
    <w:rsid w:val="00381A99"/>
    <w:rsid w:val="003829C2"/>
    <w:rsid w:val="00384724"/>
    <w:rsid w:val="003919B7"/>
    <w:rsid w:val="00391D57"/>
    <w:rsid w:val="00392292"/>
    <w:rsid w:val="00394A16"/>
    <w:rsid w:val="00395125"/>
    <w:rsid w:val="00396EC5"/>
    <w:rsid w:val="003A5B7B"/>
    <w:rsid w:val="003A7A58"/>
    <w:rsid w:val="003B1017"/>
    <w:rsid w:val="003B3C07"/>
    <w:rsid w:val="003B44EA"/>
    <w:rsid w:val="003B6775"/>
    <w:rsid w:val="003C5FE2"/>
    <w:rsid w:val="003C6F2A"/>
    <w:rsid w:val="003D05FB"/>
    <w:rsid w:val="003D1B16"/>
    <w:rsid w:val="003D45BF"/>
    <w:rsid w:val="003D508A"/>
    <w:rsid w:val="003D537F"/>
    <w:rsid w:val="003D599E"/>
    <w:rsid w:val="003D7B75"/>
    <w:rsid w:val="003E0208"/>
    <w:rsid w:val="003E4B57"/>
    <w:rsid w:val="003E6068"/>
    <w:rsid w:val="003E613A"/>
    <w:rsid w:val="003F27E1"/>
    <w:rsid w:val="003F437A"/>
    <w:rsid w:val="003F5C2B"/>
    <w:rsid w:val="003F6397"/>
    <w:rsid w:val="00401D84"/>
    <w:rsid w:val="004023E9"/>
    <w:rsid w:val="00413F83"/>
    <w:rsid w:val="0041490C"/>
    <w:rsid w:val="00416191"/>
    <w:rsid w:val="00416721"/>
    <w:rsid w:val="004175EC"/>
    <w:rsid w:val="00421EF0"/>
    <w:rsid w:val="004224FA"/>
    <w:rsid w:val="00423D07"/>
    <w:rsid w:val="004255DB"/>
    <w:rsid w:val="004353B3"/>
    <w:rsid w:val="0044346F"/>
    <w:rsid w:val="00451E78"/>
    <w:rsid w:val="00462CF5"/>
    <w:rsid w:val="0046520A"/>
    <w:rsid w:val="004672AB"/>
    <w:rsid w:val="004714FE"/>
    <w:rsid w:val="00485CDE"/>
    <w:rsid w:val="00495053"/>
    <w:rsid w:val="004A1F59"/>
    <w:rsid w:val="004A29BE"/>
    <w:rsid w:val="004A2C04"/>
    <w:rsid w:val="004A3225"/>
    <w:rsid w:val="004A33EE"/>
    <w:rsid w:val="004A3AA8"/>
    <w:rsid w:val="004B13C7"/>
    <w:rsid w:val="004B778F"/>
    <w:rsid w:val="004C5DD4"/>
    <w:rsid w:val="004C79C9"/>
    <w:rsid w:val="004D141F"/>
    <w:rsid w:val="004D6310"/>
    <w:rsid w:val="004E0062"/>
    <w:rsid w:val="004E05A1"/>
    <w:rsid w:val="004F5E57"/>
    <w:rsid w:val="004F6710"/>
    <w:rsid w:val="00502849"/>
    <w:rsid w:val="00504334"/>
    <w:rsid w:val="005104D7"/>
    <w:rsid w:val="00510B9E"/>
    <w:rsid w:val="00511C52"/>
    <w:rsid w:val="00516A73"/>
    <w:rsid w:val="00527C57"/>
    <w:rsid w:val="005316C5"/>
    <w:rsid w:val="00531D2C"/>
    <w:rsid w:val="00536BC2"/>
    <w:rsid w:val="005425E1"/>
    <w:rsid w:val="005427C5"/>
    <w:rsid w:val="00542CF6"/>
    <w:rsid w:val="00552AA0"/>
    <w:rsid w:val="00553C03"/>
    <w:rsid w:val="005620DD"/>
    <w:rsid w:val="00563692"/>
    <w:rsid w:val="005664C4"/>
    <w:rsid w:val="00571349"/>
    <w:rsid w:val="005908B8"/>
    <w:rsid w:val="0059512E"/>
    <w:rsid w:val="005A06C1"/>
    <w:rsid w:val="005A3242"/>
    <w:rsid w:val="005A46C6"/>
    <w:rsid w:val="005A59F7"/>
    <w:rsid w:val="005A6DD2"/>
    <w:rsid w:val="005C385D"/>
    <w:rsid w:val="005D3B20"/>
    <w:rsid w:val="005E3E90"/>
    <w:rsid w:val="005E5C68"/>
    <w:rsid w:val="005E65C0"/>
    <w:rsid w:val="005E6AA1"/>
    <w:rsid w:val="005F0390"/>
    <w:rsid w:val="00612023"/>
    <w:rsid w:val="00614190"/>
    <w:rsid w:val="00617931"/>
    <w:rsid w:val="00620421"/>
    <w:rsid w:val="00622A99"/>
    <w:rsid w:val="00622E67"/>
    <w:rsid w:val="00623D19"/>
    <w:rsid w:val="00624862"/>
    <w:rsid w:val="00626E81"/>
    <w:rsid w:val="00626EDC"/>
    <w:rsid w:val="006470EC"/>
    <w:rsid w:val="0065598E"/>
    <w:rsid w:val="00655AF2"/>
    <w:rsid w:val="006568BE"/>
    <w:rsid w:val="0066025D"/>
    <w:rsid w:val="0066755B"/>
    <w:rsid w:val="006773EC"/>
    <w:rsid w:val="00677BCF"/>
    <w:rsid w:val="00680504"/>
    <w:rsid w:val="00680D84"/>
    <w:rsid w:val="00681CD9"/>
    <w:rsid w:val="00683E30"/>
    <w:rsid w:val="00687024"/>
    <w:rsid w:val="0069202C"/>
    <w:rsid w:val="00696415"/>
    <w:rsid w:val="006A5AA0"/>
    <w:rsid w:val="006C5D8B"/>
    <w:rsid w:val="006C5E17"/>
    <w:rsid w:val="006D3691"/>
    <w:rsid w:val="006D6FE6"/>
    <w:rsid w:val="006E2DCE"/>
    <w:rsid w:val="006E6A40"/>
    <w:rsid w:val="006F3563"/>
    <w:rsid w:val="006F3806"/>
    <w:rsid w:val="006F42B9"/>
    <w:rsid w:val="006F6103"/>
    <w:rsid w:val="006F6C75"/>
    <w:rsid w:val="00703B07"/>
    <w:rsid w:val="00704E00"/>
    <w:rsid w:val="00711F12"/>
    <w:rsid w:val="00712762"/>
    <w:rsid w:val="007145B1"/>
    <w:rsid w:val="007209E7"/>
    <w:rsid w:val="00726182"/>
    <w:rsid w:val="00732329"/>
    <w:rsid w:val="007337CA"/>
    <w:rsid w:val="00734CE4"/>
    <w:rsid w:val="00735123"/>
    <w:rsid w:val="00741837"/>
    <w:rsid w:val="007453E6"/>
    <w:rsid w:val="0075243E"/>
    <w:rsid w:val="0075284C"/>
    <w:rsid w:val="007548B2"/>
    <w:rsid w:val="007666F5"/>
    <w:rsid w:val="0077309D"/>
    <w:rsid w:val="00775507"/>
    <w:rsid w:val="00776B59"/>
    <w:rsid w:val="007774EE"/>
    <w:rsid w:val="00781822"/>
    <w:rsid w:val="00783F21"/>
    <w:rsid w:val="00784FF3"/>
    <w:rsid w:val="007860A4"/>
    <w:rsid w:val="00787159"/>
    <w:rsid w:val="00787D44"/>
    <w:rsid w:val="00791668"/>
    <w:rsid w:val="00791AA1"/>
    <w:rsid w:val="00797C66"/>
    <w:rsid w:val="007A3793"/>
    <w:rsid w:val="007A4660"/>
    <w:rsid w:val="007C1BA2"/>
    <w:rsid w:val="007C411B"/>
    <w:rsid w:val="007D20E9"/>
    <w:rsid w:val="007D412B"/>
    <w:rsid w:val="007D7881"/>
    <w:rsid w:val="007D7E3A"/>
    <w:rsid w:val="007E0E10"/>
    <w:rsid w:val="007E3F20"/>
    <w:rsid w:val="007E425B"/>
    <w:rsid w:val="007E4768"/>
    <w:rsid w:val="007E5BDD"/>
    <w:rsid w:val="007E777B"/>
    <w:rsid w:val="007F2070"/>
    <w:rsid w:val="00800378"/>
    <w:rsid w:val="008053F5"/>
    <w:rsid w:val="00810198"/>
    <w:rsid w:val="00815DA8"/>
    <w:rsid w:val="0082194D"/>
    <w:rsid w:val="00826EF5"/>
    <w:rsid w:val="00831693"/>
    <w:rsid w:val="00833464"/>
    <w:rsid w:val="00840104"/>
    <w:rsid w:val="00841FC5"/>
    <w:rsid w:val="00845709"/>
    <w:rsid w:val="0085628F"/>
    <w:rsid w:val="0085747A"/>
    <w:rsid w:val="008576BD"/>
    <w:rsid w:val="00860463"/>
    <w:rsid w:val="00865F2C"/>
    <w:rsid w:val="008733DA"/>
    <w:rsid w:val="00880F70"/>
    <w:rsid w:val="008843DC"/>
    <w:rsid w:val="008850E4"/>
    <w:rsid w:val="00887816"/>
    <w:rsid w:val="008971FE"/>
    <w:rsid w:val="008A12F5"/>
    <w:rsid w:val="008A288A"/>
    <w:rsid w:val="008A2E0C"/>
    <w:rsid w:val="008B1587"/>
    <w:rsid w:val="008B1B01"/>
    <w:rsid w:val="008B3BCD"/>
    <w:rsid w:val="008B4841"/>
    <w:rsid w:val="008B6261"/>
    <w:rsid w:val="008B6DF8"/>
    <w:rsid w:val="008C106C"/>
    <w:rsid w:val="008C10F1"/>
    <w:rsid w:val="008C1E99"/>
    <w:rsid w:val="008E0085"/>
    <w:rsid w:val="008E2AA6"/>
    <w:rsid w:val="008E311B"/>
    <w:rsid w:val="008F46E7"/>
    <w:rsid w:val="008F6F0B"/>
    <w:rsid w:val="009024CE"/>
    <w:rsid w:val="00907BA7"/>
    <w:rsid w:val="0091064E"/>
    <w:rsid w:val="00911FC5"/>
    <w:rsid w:val="00923EB1"/>
    <w:rsid w:val="00931A10"/>
    <w:rsid w:val="00942808"/>
    <w:rsid w:val="00947967"/>
    <w:rsid w:val="0095214A"/>
    <w:rsid w:val="00965200"/>
    <w:rsid w:val="0096673A"/>
    <w:rsid w:val="009668B3"/>
    <w:rsid w:val="00971471"/>
    <w:rsid w:val="009748F3"/>
    <w:rsid w:val="009849C2"/>
    <w:rsid w:val="00984D24"/>
    <w:rsid w:val="009858EB"/>
    <w:rsid w:val="009942D8"/>
    <w:rsid w:val="009949D5"/>
    <w:rsid w:val="009A22B5"/>
    <w:rsid w:val="009A695B"/>
    <w:rsid w:val="009B0046"/>
    <w:rsid w:val="009B2722"/>
    <w:rsid w:val="009C1440"/>
    <w:rsid w:val="009C2107"/>
    <w:rsid w:val="009C5D9E"/>
    <w:rsid w:val="009D20B6"/>
    <w:rsid w:val="009D2C3E"/>
    <w:rsid w:val="009E0625"/>
    <w:rsid w:val="009E3034"/>
    <w:rsid w:val="009E549F"/>
    <w:rsid w:val="009F28A8"/>
    <w:rsid w:val="009F473E"/>
    <w:rsid w:val="009F682A"/>
    <w:rsid w:val="009F7630"/>
    <w:rsid w:val="009F777A"/>
    <w:rsid w:val="00A022BE"/>
    <w:rsid w:val="00A1454A"/>
    <w:rsid w:val="00A231D3"/>
    <w:rsid w:val="00A24C95"/>
    <w:rsid w:val="00A26094"/>
    <w:rsid w:val="00A301BF"/>
    <w:rsid w:val="00A302B2"/>
    <w:rsid w:val="00A331B4"/>
    <w:rsid w:val="00A3484E"/>
    <w:rsid w:val="00A36ADA"/>
    <w:rsid w:val="00A37DB7"/>
    <w:rsid w:val="00A438D8"/>
    <w:rsid w:val="00A44D91"/>
    <w:rsid w:val="00A44ECD"/>
    <w:rsid w:val="00A4673A"/>
    <w:rsid w:val="00A473F5"/>
    <w:rsid w:val="00A51F9D"/>
    <w:rsid w:val="00A52117"/>
    <w:rsid w:val="00A5416A"/>
    <w:rsid w:val="00A600D9"/>
    <w:rsid w:val="00A639F4"/>
    <w:rsid w:val="00A81A32"/>
    <w:rsid w:val="00A835BD"/>
    <w:rsid w:val="00A91D16"/>
    <w:rsid w:val="00A97B15"/>
    <w:rsid w:val="00AA42D5"/>
    <w:rsid w:val="00AB2FAB"/>
    <w:rsid w:val="00AB5C14"/>
    <w:rsid w:val="00AC1EE7"/>
    <w:rsid w:val="00AC333F"/>
    <w:rsid w:val="00AC585C"/>
    <w:rsid w:val="00AD1925"/>
    <w:rsid w:val="00AE067D"/>
    <w:rsid w:val="00AE1257"/>
    <w:rsid w:val="00AE611F"/>
    <w:rsid w:val="00AF1181"/>
    <w:rsid w:val="00AF2F79"/>
    <w:rsid w:val="00AF460B"/>
    <w:rsid w:val="00AF4653"/>
    <w:rsid w:val="00AF7DB7"/>
    <w:rsid w:val="00B0546E"/>
    <w:rsid w:val="00B1258A"/>
    <w:rsid w:val="00B443E4"/>
    <w:rsid w:val="00B51D1F"/>
    <w:rsid w:val="00B563EA"/>
    <w:rsid w:val="00B60E51"/>
    <w:rsid w:val="00B63A54"/>
    <w:rsid w:val="00B72249"/>
    <w:rsid w:val="00B77D18"/>
    <w:rsid w:val="00B80D17"/>
    <w:rsid w:val="00B8313A"/>
    <w:rsid w:val="00B83C6B"/>
    <w:rsid w:val="00B8644A"/>
    <w:rsid w:val="00B93503"/>
    <w:rsid w:val="00B950B4"/>
    <w:rsid w:val="00B96AA8"/>
    <w:rsid w:val="00BA2193"/>
    <w:rsid w:val="00BA31E8"/>
    <w:rsid w:val="00BA4FF8"/>
    <w:rsid w:val="00BA55E0"/>
    <w:rsid w:val="00BA6BD4"/>
    <w:rsid w:val="00BB01ED"/>
    <w:rsid w:val="00BB260A"/>
    <w:rsid w:val="00BB2655"/>
    <w:rsid w:val="00BB3484"/>
    <w:rsid w:val="00BB3752"/>
    <w:rsid w:val="00BB6688"/>
    <w:rsid w:val="00BC26D4"/>
    <w:rsid w:val="00BC2E50"/>
    <w:rsid w:val="00BC64F2"/>
    <w:rsid w:val="00BD159A"/>
    <w:rsid w:val="00BD4303"/>
    <w:rsid w:val="00BD615B"/>
    <w:rsid w:val="00BD7D5D"/>
    <w:rsid w:val="00BE78D8"/>
    <w:rsid w:val="00BE7D85"/>
    <w:rsid w:val="00BF2A42"/>
    <w:rsid w:val="00BF3AFD"/>
    <w:rsid w:val="00BF7D58"/>
    <w:rsid w:val="00C03D8C"/>
    <w:rsid w:val="00C055EC"/>
    <w:rsid w:val="00C0615B"/>
    <w:rsid w:val="00C10DC9"/>
    <w:rsid w:val="00C12FB3"/>
    <w:rsid w:val="00C17341"/>
    <w:rsid w:val="00C22671"/>
    <w:rsid w:val="00C23809"/>
    <w:rsid w:val="00C24EEF"/>
    <w:rsid w:val="00C25CF6"/>
    <w:rsid w:val="00C26C36"/>
    <w:rsid w:val="00C32768"/>
    <w:rsid w:val="00C41C02"/>
    <w:rsid w:val="00C431DF"/>
    <w:rsid w:val="00C43237"/>
    <w:rsid w:val="00C456BD"/>
    <w:rsid w:val="00C51EEA"/>
    <w:rsid w:val="00C530DC"/>
    <w:rsid w:val="00C5350D"/>
    <w:rsid w:val="00C56C1B"/>
    <w:rsid w:val="00C6123C"/>
    <w:rsid w:val="00C70654"/>
    <w:rsid w:val="00C7084D"/>
    <w:rsid w:val="00C7315E"/>
    <w:rsid w:val="00C74E34"/>
    <w:rsid w:val="00C75895"/>
    <w:rsid w:val="00C75EC9"/>
    <w:rsid w:val="00C83485"/>
    <w:rsid w:val="00C83881"/>
    <w:rsid w:val="00C83C9F"/>
    <w:rsid w:val="00C86866"/>
    <w:rsid w:val="00C90526"/>
    <w:rsid w:val="00C94840"/>
    <w:rsid w:val="00CA1A65"/>
    <w:rsid w:val="00CA6AC8"/>
    <w:rsid w:val="00CB027F"/>
    <w:rsid w:val="00CB1A93"/>
    <w:rsid w:val="00CB2525"/>
    <w:rsid w:val="00CC6297"/>
    <w:rsid w:val="00CC7690"/>
    <w:rsid w:val="00CD1986"/>
    <w:rsid w:val="00CE4D5C"/>
    <w:rsid w:val="00CF05DA"/>
    <w:rsid w:val="00CF53C0"/>
    <w:rsid w:val="00CF58EB"/>
    <w:rsid w:val="00CF7C6D"/>
    <w:rsid w:val="00D0106E"/>
    <w:rsid w:val="00D06383"/>
    <w:rsid w:val="00D1011F"/>
    <w:rsid w:val="00D13EA6"/>
    <w:rsid w:val="00D20E85"/>
    <w:rsid w:val="00D24615"/>
    <w:rsid w:val="00D27557"/>
    <w:rsid w:val="00D34F27"/>
    <w:rsid w:val="00D37672"/>
    <w:rsid w:val="00D37842"/>
    <w:rsid w:val="00D42DC2"/>
    <w:rsid w:val="00D537E1"/>
    <w:rsid w:val="00D55BB2"/>
    <w:rsid w:val="00D6091A"/>
    <w:rsid w:val="00D622B4"/>
    <w:rsid w:val="00D6695F"/>
    <w:rsid w:val="00D66B03"/>
    <w:rsid w:val="00D75644"/>
    <w:rsid w:val="00D81656"/>
    <w:rsid w:val="00D83D87"/>
    <w:rsid w:val="00D86A30"/>
    <w:rsid w:val="00D97CB4"/>
    <w:rsid w:val="00D97DD4"/>
    <w:rsid w:val="00DA5A8A"/>
    <w:rsid w:val="00DA6355"/>
    <w:rsid w:val="00DB26CD"/>
    <w:rsid w:val="00DB3135"/>
    <w:rsid w:val="00DB441C"/>
    <w:rsid w:val="00DB44AF"/>
    <w:rsid w:val="00DC1F58"/>
    <w:rsid w:val="00DC339B"/>
    <w:rsid w:val="00DC54A7"/>
    <w:rsid w:val="00DC5D40"/>
    <w:rsid w:val="00DD28D3"/>
    <w:rsid w:val="00DD30E9"/>
    <w:rsid w:val="00DD364C"/>
    <w:rsid w:val="00DD4F47"/>
    <w:rsid w:val="00DD7FBB"/>
    <w:rsid w:val="00DE0B9F"/>
    <w:rsid w:val="00DE4238"/>
    <w:rsid w:val="00DE42B9"/>
    <w:rsid w:val="00DE657F"/>
    <w:rsid w:val="00DF1218"/>
    <w:rsid w:val="00DF6462"/>
    <w:rsid w:val="00E02FA0"/>
    <w:rsid w:val="00E036DC"/>
    <w:rsid w:val="00E06FFA"/>
    <w:rsid w:val="00E10454"/>
    <w:rsid w:val="00E112E5"/>
    <w:rsid w:val="00E11F7F"/>
    <w:rsid w:val="00E21CC7"/>
    <w:rsid w:val="00E24D9E"/>
    <w:rsid w:val="00E25849"/>
    <w:rsid w:val="00E2737C"/>
    <w:rsid w:val="00E30BEA"/>
    <w:rsid w:val="00E3197E"/>
    <w:rsid w:val="00E342F8"/>
    <w:rsid w:val="00E351ED"/>
    <w:rsid w:val="00E6034B"/>
    <w:rsid w:val="00E6076F"/>
    <w:rsid w:val="00E6436E"/>
    <w:rsid w:val="00E64E23"/>
    <w:rsid w:val="00E6549E"/>
    <w:rsid w:val="00E65EDE"/>
    <w:rsid w:val="00E70F81"/>
    <w:rsid w:val="00E77055"/>
    <w:rsid w:val="00E77460"/>
    <w:rsid w:val="00E80F9A"/>
    <w:rsid w:val="00E83ABC"/>
    <w:rsid w:val="00E844F2"/>
    <w:rsid w:val="00E92FCB"/>
    <w:rsid w:val="00E93569"/>
    <w:rsid w:val="00EA147F"/>
    <w:rsid w:val="00EB5C06"/>
    <w:rsid w:val="00EC1B0C"/>
    <w:rsid w:val="00ED03AB"/>
    <w:rsid w:val="00ED0CAC"/>
    <w:rsid w:val="00ED1CD4"/>
    <w:rsid w:val="00ED1D2B"/>
    <w:rsid w:val="00ED37DD"/>
    <w:rsid w:val="00ED5A8D"/>
    <w:rsid w:val="00ED64B5"/>
    <w:rsid w:val="00EE7CCA"/>
    <w:rsid w:val="00EF0C67"/>
    <w:rsid w:val="00F16A14"/>
    <w:rsid w:val="00F231DC"/>
    <w:rsid w:val="00F24CCC"/>
    <w:rsid w:val="00F254B8"/>
    <w:rsid w:val="00F30FD4"/>
    <w:rsid w:val="00F362D7"/>
    <w:rsid w:val="00F37D7B"/>
    <w:rsid w:val="00F452C0"/>
    <w:rsid w:val="00F5314C"/>
    <w:rsid w:val="00F635DD"/>
    <w:rsid w:val="00F6627B"/>
    <w:rsid w:val="00F734F2"/>
    <w:rsid w:val="00F75052"/>
    <w:rsid w:val="00F804D3"/>
    <w:rsid w:val="00F81CD2"/>
    <w:rsid w:val="00F82641"/>
    <w:rsid w:val="00F90F18"/>
    <w:rsid w:val="00F937E4"/>
    <w:rsid w:val="00F95EE7"/>
    <w:rsid w:val="00FA232C"/>
    <w:rsid w:val="00FA39E6"/>
    <w:rsid w:val="00FA5824"/>
    <w:rsid w:val="00FA7BC9"/>
    <w:rsid w:val="00FB378E"/>
    <w:rsid w:val="00FB37F1"/>
    <w:rsid w:val="00FB47C0"/>
    <w:rsid w:val="00FB501B"/>
    <w:rsid w:val="00FB65AE"/>
    <w:rsid w:val="00FB6AFD"/>
    <w:rsid w:val="00FB7770"/>
    <w:rsid w:val="00FD3B91"/>
    <w:rsid w:val="00FD576B"/>
    <w:rsid w:val="00FD579E"/>
    <w:rsid w:val="00FE4516"/>
    <w:rsid w:val="00FF1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C70E4"/>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uiPriority w:val="99"/>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uiPriority w:val="99"/>
    <w:rsid w:val="00A44ECD"/>
    <w:rPr>
      <w:rFonts w:ascii="標楷體" w:eastAsia="標楷體" w:hAnsi="Arial"/>
      <w:bCs/>
      <w:kern w:val="32"/>
      <w:sz w:val="32"/>
      <w:szCs w:val="36"/>
    </w:rPr>
  </w:style>
  <w:style w:type="character" w:customStyle="1" w:styleId="40">
    <w:name w:val="標題 4 字元"/>
    <w:aliases w:val="表格 字元,一 字元"/>
    <w:basedOn w:val="a7"/>
    <w:link w:val="4"/>
    <w:uiPriority w:val="99"/>
    <w:rsid w:val="00A44ECD"/>
    <w:rPr>
      <w:rFonts w:ascii="標楷體" w:eastAsia="標楷體" w:hAnsi="Arial"/>
      <w:kern w:val="32"/>
      <w:sz w:val="32"/>
      <w:szCs w:val="36"/>
    </w:rPr>
  </w:style>
  <w:style w:type="character" w:customStyle="1" w:styleId="50">
    <w:name w:val="標題 5 字元"/>
    <w:basedOn w:val="a7"/>
    <w:link w:val="5"/>
    <w:rsid w:val="00A44ECD"/>
    <w:rPr>
      <w:rFonts w:ascii="標楷體" w:eastAsia="標楷體" w:hAnsi="Arial"/>
      <w:bCs/>
      <w:kern w:val="32"/>
      <w:sz w:val="32"/>
      <w:szCs w:val="36"/>
    </w:rPr>
  </w:style>
  <w:style w:type="paragraph" w:styleId="afb">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c"/>
    <w:uiPriority w:val="99"/>
    <w:unhideWhenUsed/>
    <w:rsid w:val="00BD615B"/>
    <w:pPr>
      <w:snapToGrid w:val="0"/>
      <w:jc w:val="left"/>
    </w:pPr>
    <w:rPr>
      <w:sz w:val="20"/>
    </w:rPr>
  </w:style>
  <w:style w:type="character" w:customStyle="1" w:styleId="afc">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b"/>
    <w:uiPriority w:val="99"/>
    <w:rsid w:val="00BD615B"/>
    <w:rPr>
      <w:rFonts w:ascii="標楷體" w:eastAsia="標楷體"/>
      <w:kern w:val="2"/>
    </w:rPr>
  </w:style>
  <w:style w:type="character" w:styleId="afd">
    <w:name w:val="footnote reference"/>
    <w:aliases w:val="FR,Ref,de nota al pie,註腳內容,Error-Fußnotenzeichen5,Error-Fußnotenzeichen6,Error-Fußnotenzeichen3"/>
    <w:basedOn w:val="a7"/>
    <w:uiPriority w:val="99"/>
    <w:unhideWhenUsed/>
    <w:rsid w:val="00BD615B"/>
    <w:rPr>
      <w:vertAlign w:val="superscript"/>
    </w:rPr>
  </w:style>
  <w:style w:type="character" w:customStyle="1" w:styleId="60">
    <w:name w:val="標題 6 字元"/>
    <w:basedOn w:val="a7"/>
    <w:link w:val="6"/>
    <w:locked/>
    <w:rsid w:val="00C41C02"/>
    <w:rPr>
      <w:rFonts w:ascii="標楷體" w:eastAsia="標楷體" w:hAnsi="Arial"/>
      <w:kern w:val="32"/>
      <w:sz w:val="32"/>
      <w:szCs w:val="36"/>
    </w:rPr>
  </w:style>
  <w:style w:type="character" w:customStyle="1" w:styleId="70">
    <w:name w:val="標題 7 字元"/>
    <w:aliases w:val="(1) 字元"/>
    <w:basedOn w:val="a7"/>
    <w:link w:val="7"/>
    <w:locked/>
    <w:rsid w:val="00C41C02"/>
    <w:rPr>
      <w:rFonts w:ascii="標楷體" w:eastAsia="標楷體" w:hAnsi="Arial"/>
      <w:bCs/>
      <w:kern w:val="32"/>
      <w:sz w:val="32"/>
      <w:szCs w:val="36"/>
    </w:rPr>
  </w:style>
  <w:style w:type="character" w:customStyle="1" w:styleId="af4">
    <w:name w:val="頁尾 字元"/>
    <w:basedOn w:val="a7"/>
    <w:link w:val="af3"/>
    <w:uiPriority w:val="99"/>
    <w:semiHidden/>
    <w:locked/>
    <w:rsid w:val="00C41C0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F311B-3AE0-417F-BDAA-58C8463C7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Pages>
  <Words>603</Words>
  <Characters>3440</Characters>
  <Application>Microsoft Office Word</Application>
  <DocSecurity>0</DocSecurity>
  <Lines>28</Lines>
  <Paragraphs>8</Paragraphs>
  <ScaleCrop>false</ScaleCrop>
  <Company>cy</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柯博修</cp:lastModifiedBy>
  <cp:revision>2</cp:revision>
  <cp:lastPrinted>2023-06-12T06:34:00Z</cp:lastPrinted>
  <dcterms:created xsi:type="dcterms:W3CDTF">2023-06-12T07:45:00Z</dcterms:created>
  <dcterms:modified xsi:type="dcterms:W3CDTF">2023-06-12T07:45:00Z</dcterms:modified>
</cp:coreProperties>
</file>