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47" w:rsidRDefault="00456147">
      <w:pPr>
        <w:pStyle w:val="a4"/>
        <w:kinsoku w:val="0"/>
        <w:spacing w:before="0"/>
        <w:ind w:leftChars="700" w:left="2381" w:firstLine="0"/>
        <w:rPr>
          <w:rFonts w:hint="eastAsia"/>
          <w:bCs/>
          <w:snapToGrid/>
          <w:kern w:val="0"/>
          <w:sz w:val="40"/>
        </w:rPr>
      </w:pPr>
      <w:r>
        <w:rPr>
          <w:rFonts w:hint="eastAsia"/>
          <w:bCs/>
          <w:snapToGrid/>
          <w:spacing w:val="200"/>
          <w:kern w:val="0"/>
          <w:sz w:val="40"/>
        </w:rPr>
        <w:t>糾正案文</w:t>
      </w:r>
    </w:p>
    <w:p w:rsidR="00456147" w:rsidRDefault="00456147">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870A7">
        <w:rPr>
          <w:rFonts w:hint="eastAsia"/>
        </w:rPr>
        <w:t>行政院衛生署</w:t>
      </w:r>
      <w:r>
        <w:rPr>
          <w:rFonts w:hint="eastAsia"/>
        </w:rPr>
        <w:t>。</w:t>
      </w:r>
    </w:p>
    <w:p w:rsidR="00456147" w:rsidRPr="00FF6516" w:rsidRDefault="00456147">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Pr>
          <w:rFonts w:hint="eastAsia"/>
        </w:rPr>
        <w:t>案　　　由：</w:t>
      </w:r>
      <w:r w:rsidR="00C870A7" w:rsidRPr="00FF6516">
        <w:rPr>
          <w:rFonts w:hint="eastAsia"/>
        </w:rPr>
        <w:t>行政院</w:t>
      </w:r>
      <w:r w:rsidR="00E3064A" w:rsidRPr="00FF6516">
        <w:rPr>
          <w:rFonts w:hint="eastAsia"/>
          <w:bCs w:val="0"/>
        </w:rPr>
        <w:t>衛生署</w:t>
      </w:r>
      <w:r w:rsidR="00FF6516" w:rsidRPr="00FF6516">
        <w:rPr>
          <w:rFonts w:hAnsi="標楷體" w:hint="eastAsia"/>
          <w:color w:val="000000"/>
          <w:szCs w:val="32"/>
        </w:rPr>
        <w:t>於接獲通報美國牛舌進口案後，未能於第一時間對外回應說明，引發民眾疑慮；又對於韓國是否進口美國牛舌並未掌握，俟知悉韓國進出口商有默契不交易牛舌訊息後，仍未宣示朝韓國模式辦理；另對業者申請新增進口之美國牛肉各部位，未能預先聯繫相關機關，研商把關機制和建立周延配套措施，衍生民眾不安。此外，未能即早釐清</w:t>
      </w:r>
      <w:r w:rsidR="00FF6516" w:rsidRPr="00FF6516">
        <w:rPr>
          <w:rFonts w:hAnsi="標楷體" w:cs="Arial" w:hint="eastAsia"/>
          <w:color w:val="000000"/>
          <w:szCs w:val="32"/>
        </w:rPr>
        <w:t>美國牛舌和美國牛內臟之個別風險，衍生民眾猜疑與不安</w:t>
      </w:r>
      <w:r w:rsidR="00E3064A" w:rsidRPr="00FF6516">
        <w:rPr>
          <w:rFonts w:cs="HiddenHorzOCR" w:hint="eastAsia"/>
        </w:rPr>
        <w:t>，</w:t>
      </w:r>
      <w:r w:rsidR="00D355A2" w:rsidRPr="00FF6516">
        <w:rPr>
          <w:rFonts w:hint="eastAsia"/>
        </w:rPr>
        <w:t>均有失</w:t>
      </w:r>
      <w:r w:rsidR="00C870A7" w:rsidRPr="00FF6516">
        <w:rPr>
          <w:rFonts w:hint="eastAsia"/>
        </w:rPr>
        <w:t>當</w:t>
      </w:r>
      <w:r w:rsidRPr="00FF6516">
        <w:rPr>
          <w:rFonts w:hint="eastAsia"/>
        </w:rPr>
        <w:t>。</w:t>
      </w:r>
      <w:bookmarkEnd w:id="14"/>
      <w:bookmarkEnd w:id="15"/>
      <w:bookmarkEnd w:id="16"/>
      <w:bookmarkEnd w:id="17"/>
      <w:bookmarkEnd w:id="18"/>
    </w:p>
    <w:p w:rsidR="00456147" w:rsidRDefault="00456147">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870A7" w:rsidRPr="00FD4F24" w:rsidRDefault="00D01F27" w:rsidP="00C870A7">
      <w:pPr>
        <w:pStyle w:val="11"/>
        <w:ind w:left="680" w:firstLine="680"/>
        <w:rPr>
          <w:rFonts w:hint="eastAsia"/>
          <w:bCs/>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D01018">
        <w:rPr>
          <w:rFonts w:hint="eastAsia"/>
          <w:bCs/>
          <w:color w:val="000000"/>
        </w:rPr>
        <w:t>緣民國（下同）92年12月24日美國發生第一起牛隻罹患牛海綿狀腦病案例，行政院衛生署於同年12月31日公告暫停美國牛肉及其產品進口。94年3月24日公告自4月16日起，有條件開放美國不帶骨牛肉進口。同年6月25日美國確認第2起BSE案例，該署隨即於6月25日起，停止美國牛肉進口，95年1月25日重新公告開放美國不帶骨牛肉進口。95年3月13日美國發生第三起BSE病例，該署並未停止進口。96年5月OIE</w:t>
      </w:r>
      <w:r w:rsidRPr="00D01018">
        <w:rPr>
          <w:rFonts w:hint="eastAsia"/>
          <w:color w:val="000000"/>
        </w:rPr>
        <w:t>（</w:t>
      </w:r>
      <w:r w:rsidRPr="00D01018">
        <w:rPr>
          <w:color w:val="000000"/>
        </w:rPr>
        <w:t>World organisation for animal health</w:t>
      </w:r>
      <w:r w:rsidRPr="00D01018">
        <w:rPr>
          <w:rFonts w:hint="eastAsia"/>
          <w:color w:val="000000"/>
        </w:rPr>
        <w:t>，世界動物衛生組織）</w:t>
      </w:r>
      <w:r w:rsidRPr="00D01018">
        <w:rPr>
          <w:rFonts w:hint="eastAsia"/>
          <w:bCs/>
          <w:color w:val="000000"/>
        </w:rPr>
        <w:t>認定美國為BSE風險已受控制國家。美方隨即提出全面開放牛肉進口之申請，我國於96年12月起就美國牛肉食用安全進行評估調查，並自98年6月8日起與美方進行5回合之視訊會議談判，於98年10月22日簽定「台美牛肉議定書」，宣布開放美國帶骨牛肉、</w:t>
      </w:r>
      <w:r w:rsidR="00FA276C">
        <w:rPr>
          <w:rFonts w:hint="eastAsia"/>
          <w:bCs/>
          <w:color w:val="000000"/>
        </w:rPr>
        <w:t>牛絞肉</w:t>
      </w:r>
      <w:r w:rsidRPr="00D01018">
        <w:rPr>
          <w:rFonts w:hint="eastAsia"/>
          <w:bCs/>
          <w:color w:val="000000"/>
        </w:rPr>
        <w:t>、牛內臟等項目之進口，惟引起民眾恐慌，俟立</w:t>
      </w:r>
      <w:r w:rsidRPr="00D01018">
        <w:rPr>
          <w:rFonts w:hint="eastAsia"/>
          <w:bCs/>
          <w:color w:val="000000"/>
        </w:rPr>
        <w:lastRenderedPageBreak/>
        <w:t>法院</w:t>
      </w:r>
      <w:r w:rsidRPr="00D01018">
        <w:rPr>
          <w:rFonts w:hAnsi="標楷體" w:hint="eastAsia"/>
          <w:color w:val="000000"/>
          <w:szCs w:val="32"/>
        </w:rPr>
        <w:t>修正食品衛生管理法後，有業者於99年4月15日申請進口美國牛舌，由於牛舌是否屬於禁止進口之「牛內臟」引起質疑，</w:t>
      </w:r>
      <w:r w:rsidR="00C870A7" w:rsidRPr="00FD4F24">
        <w:rPr>
          <w:rFonts w:hint="eastAsia"/>
          <w:bCs/>
        </w:rPr>
        <w:t>案經本院</w:t>
      </w:r>
      <w:r w:rsidR="00C870A7">
        <w:rPr>
          <w:rFonts w:hint="eastAsia"/>
          <w:bCs/>
        </w:rPr>
        <w:t>調查</w:t>
      </w:r>
      <w:r>
        <w:rPr>
          <w:rFonts w:hint="eastAsia"/>
          <w:bCs/>
        </w:rPr>
        <w:t>發現</w:t>
      </w:r>
      <w:r w:rsidR="00C870A7">
        <w:rPr>
          <w:rFonts w:hint="eastAsia"/>
          <w:bCs/>
        </w:rPr>
        <w:t>，</w:t>
      </w:r>
      <w:r>
        <w:rPr>
          <w:rFonts w:hint="eastAsia"/>
          <w:bCs/>
        </w:rPr>
        <w:t>行政院</w:t>
      </w:r>
      <w:r w:rsidR="00C870A7">
        <w:rPr>
          <w:rFonts w:hint="eastAsia"/>
          <w:bCs/>
        </w:rPr>
        <w:t>衛生署確有下列失當之處</w:t>
      </w:r>
      <w:r w:rsidR="00C870A7" w:rsidRPr="00FD4F24">
        <w:rPr>
          <w:rFonts w:hint="eastAsia"/>
          <w:bCs/>
        </w:rPr>
        <w:t xml:space="preserve">： </w:t>
      </w:r>
    </w:p>
    <w:p w:rsidR="00C870A7" w:rsidRPr="00FD4F24" w:rsidRDefault="006B2E75" w:rsidP="00C870A7">
      <w:pPr>
        <w:pStyle w:val="2"/>
        <w:rPr>
          <w:rFonts w:hint="eastAsia"/>
          <w:b/>
        </w:rPr>
      </w:pPr>
      <w:r w:rsidRPr="0010512C">
        <w:rPr>
          <w:rFonts w:hAnsi="標楷體" w:hint="eastAsia"/>
          <w:b/>
          <w:color w:val="000000"/>
          <w:szCs w:val="32"/>
        </w:rPr>
        <w:t>美國牛舌進口雖未違反食品衛生管理法及</w:t>
      </w:r>
      <w:r w:rsidRPr="0010512C">
        <w:rPr>
          <w:rFonts w:hint="eastAsia"/>
          <w:b/>
          <w:bCs w:val="0"/>
          <w:color w:val="000000"/>
        </w:rPr>
        <w:t>「台美牛肉議定書」之規定，惟</w:t>
      </w:r>
      <w:r w:rsidRPr="0010512C">
        <w:rPr>
          <w:rFonts w:hAnsi="標楷體" w:hint="eastAsia"/>
          <w:b/>
          <w:color w:val="000000"/>
          <w:szCs w:val="32"/>
        </w:rPr>
        <w:t>行</w:t>
      </w:r>
      <w:r w:rsidRPr="00D01018">
        <w:rPr>
          <w:rFonts w:hAnsi="標楷體" w:hint="eastAsia"/>
          <w:b/>
          <w:color w:val="000000"/>
          <w:szCs w:val="32"/>
        </w:rPr>
        <w:t>政院衛生署未記取前次開放美國牛肉引起民眾恐慌之教訓，於接獲經濟部國際貿易局通報業者申請美國牛舌進口後，未能於第一時間通報署長對內研析討論，對外回應說明，致錯失危機處理黃金時間，再次引發民眾</w:t>
      </w:r>
      <w:r>
        <w:rPr>
          <w:rFonts w:hAnsi="標楷體" w:hint="eastAsia"/>
          <w:b/>
          <w:color w:val="000000"/>
          <w:szCs w:val="32"/>
        </w:rPr>
        <w:t>疑慮</w:t>
      </w:r>
      <w:r w:rsidRPr="00D01018">
        <w:rPr>
          <w:rFonts w:hAnsi="標楷體" w:hint="eastAsia"/>
          <w:b/>
          <w:color w:val="000000"/>
          <w:szCs w:val="32"/>
        </w:rPr>
        <w:t>，顯有未當：</w:t>
      </w:r>
    </w:p>
    <w:p w:rsidR="00C870A7" w:rsidRPr="00A746C6" w:rsidRDefault="006B2E75" w:rsidP="006B2E75">
      <w:pPr>
        <w:pStyle w:val="3"/>
        <w:rPr>
          <w:rFonts w:hint="eastAsia"/>
          <w:b/>
          <w:bCs w:val="0"/>
        </w:rPr>
      </w:pPr>
      <w:r w:rsidRPr="00D01018">
        <w:rPr>
          <w:rFonts w:hAnsi="標楷體" w:hint="eastAsia"/>
          <w:bCs w:val="0"/>
          <w:color w:val="000000"/>
          <w:szCs w:val="32"/>
        </w:rPr>
        <w:t>我國於98年10月22日與美國簽定「台美牛肉議定書」，宣布開放美國帶骨牛肉、</w:t>
      </w:r>
      <w:r w:rsidR="00FA276C">
        <w:rPr>
          <w:rFonts w:hAnsi="標楷體" w:hint="eastAsia"/>
          <w:bCs w:val="0"/>
          <w:color w:val="000000"/>
          <w:szCs w:val="32"/>
        </w:rPr>
        <w:t>牛絞肉</w:t>
      </w:r>
      <w:r w:rsidRPr="00D01018">
        <w:rPr>
          <w:rFonts w:hAnsi="標楷體" w:hint="eastAsia"/>
          <w:bCs w:val="0"/>
          <w:color w:val="000000"/>
          <w:szCs w:val="32"/>
        </w:rPr>
        <w:t>、牛內臟等項目之進口，惟引起民眾恐慌，案經本院調查提出糾正在案。該署本應記取教訓，嗣後對於美國牛各部位肉品之進口案，本應更加慎重，避免再引發民眾質疑，方為</w:t>
      </w:r>
      <w:r>
        <w:rPr>
          <w:rFonts w:hAnsi="標楷體" w:hint="eastAsia"/>
          <w:bCs w:val="0"/>
          <w:color w:val="000000"/>
          <w:szCs w:val="32"/>
        </w:rPr>
        <w:t>恰</w:t>
      </w:r>
      <w:r w:rsidRPr="00D01018">
        <w:rPr>
          <w:rFonts w:hAnsi="標楷體" w:hint="eastAsia"/>
          <w:bCs w:val="0"/>
          <w:color w:val="000000"/>
          <w:szCs w:val="32"/>
        </w:rPr>
        <w:t>當。</w:t>
      </w:r>
    </w:p>
    <w:p w:rsidR="00C870A7" w:rsidRPr="00A746C6" w:rsidRDefault="006B2E75" w:rsidP="006B2E75">
      <w:pPr>
        <w:pStyle w:val="3"/>
        <w:rPr>
          <w:rFonts w:hint="eastAsia"/>
          <w:b/>
          <w:bCs w:val="0"/>
        </w:rPr>
      </w:pPr>
      <w:r w:rsidRPr="00D01018">
        <w:rPr>
          <w:rFonts w:hAnsi="標楷體" w:hint="eastAsia"/>
          <w:color w:val="000000"/>
          <w:szCs w:val="32"/>
        </w:rPr>
        <w:t>惟查，</w:t>
      </w:r>
      <w:r>
        <w:rPr>
          <w:rFonts w:hAnsi="標楷體" w:hint="eastAsia"/>
          <w:color w:val="000000"/>
          <w:szCs w:val="32"/>
        </w:rPr>
        <w:t>有</w:t>
      </w:r>
      <w:r w:rsidRPr="00D01018">
        <w:rPr>
          <w:rFonts w:hAnsi="標楷體" w:hint="eastAsia"/>
          <w:color w:val="000000"/>
          <w:szCs w:val="32"/>
        </w:rPr>
        <w:t>廠商於99年4月15日向經濟部國際貿易局申請進口牛舌，該局依據</w:t>
      </w:r>
      <w:r w:rsidRPr="00D01018">
        <w:rPr>
          <w:rFonts w:hAnsi="標楷體" w:cs="Arial"/>
          <w:color w:val="000000"/>
          <w:szCs w:val="32"/>
        </w:rPr>
        <w:t>行政院衛生署</w:t>
      </w:r>
      <w:smartTag w:uri="urn:schemas-microsoft-com:office:smarttags" w:element="chsdate">
        <w:smartTagPr>
          <w:attr w:name="IsROCDate" w:val="False"/>
          <w:attr w:name="IsLunarDate" w:val="False"/>
          <w:attr w:name="Day" w:val="15"/>
          <w:attr w:name="Month" w:val="5"/>
          <w:attr w:name="Year" w:val="1998"/>
        </w:smartTagPr>
        <w:r w:rsidRPr="00D01018">
          <w:rPr>
            <w:rFonts w:hAnsi="標楷體" w:cs="Arial"/>
            <w:color w:val="000000"/>
            <w:szCs w:val="32"/>
          </w:rPr>
          <w:t>98年5月15日</w:t>
        </w:r>
      </w:smartTag>
      <w:r w:rsidRPr="00D01018">
        <w:rPr>
          <w:rFonts w:hAnsi="標楷體" w:cs="Arial"/>
          <w:color w:val="000000"/>
          <w:szCs w:val="32"/>
        </w:rPr>
        <w:t>「進口牛肉及製品之定義與範圍」專家會議</w:t>
      </w:r>
      <w:r w:rsidRPr="00D01018">
        <w:rPr>
          <w:rFonts w:hAnsi="標楷體" w:cs="Arial" w:hint="eastAsia"/>
          <w:color w:val="000000"/>
          <w:szCs w:val="32"/>
        </w:rPr>
        <w:t>對雜碎及內臟之界定</w:t>
      </w:r>
      <w:r w:rsidRPr="00D01018">
        <w:rPr>
          <w:rFonts w:hAnsi="標楷體" w:cs="Arial"/>
          <w:color w:val="000000"/>
          <w:szCs w:val="32"/>
        </w:rPr>
        <w:t>，</w:t>
      </w:r>
      <w:r w:rsidRPr="00D01018">
        <w:rPr>
          <w:rFonts w:hAnsi="標楷體" w:cs="Arial" w:hint="eastAsia"/>
          <w:color w:val="000000"/>
          <w:szCs w:val="32"/>
        </w:rPr>
        <w:t>認為牛舌</w:t>
      </w:r>
      <w:r w:rsidRPr="00D01018">
        <w:rPr>
          <w:rFonts w:hAnsi="標楷體" w:cs="Arial"/>
          <w:color w:val="000000"/>
          <w:szCs w:val="32"/>
        </w:rPr>
        <w:t>非屬禁止輸入之</w:t>
      </w:r>
      <w:r w:rsidRPr="00D01018">
        <w:rPr>
          <w:rFonts w:hAnsi="標楷體" w:cs="Arial" w:hint="eastAsia"/>
          <w:color w:val="000000"/>
          <w:szCs w:val="32"/>
        </w:rPr>
        <w:t>美國牛</w:t>
      </w:r>
      <w:r w:rsidRPr="00D01018">
        <w:rPr>
          <w:rFonts w:hAnsi="標楷體" w:cs="Arial"/>
          <w:color w:val="000000"/>
          <w:szCs w:val="32"/>
        </w:rPr>
        <w:t>內臟，</w:t>
      </w:r>
      <w:r w:rsidRPr="00D01018">
        <w:rPr>
          <w:rFonts w:hAnsi="標楷體" w:cs="Arial" w:hint="eastAsia"/>
          <w:color w:val="000000"/>
          <w:szCs w:val="32"/>
        </w:rPr>
        <w:t>據以核發輸入許可證，並於發證</w:t>
      </w:r>
      <w:r w:rsidRPr="00D01018">
        <w:rPr>
          <w:rFonts w:hAnsi="標楷體" w:hint="eastAsia"/>
          <w:color w:val="000000"/>
          <w:szCs w:val="32"/>
        </w:rPr>
        <w:t>後，以電子郵件通知行政院衛生署</w:t>
      </w:r>
      <w:r>
        <w:rPr>
          <w:rFonts w:hAnsi="標楷體" w:hint="eastAsia"/>
          <w:color w:val="000000"/>
          <w:szCs w:val="32"/>
        </w:rPr>
        <w:t>，綜觀申請輸入</w:t>
      </w:r>
      <w:r w:rsidRPr="00AF0827">
        <w:rPr>
          <w:rFonts w:hAnsi="標楷體" w:hint="eastAsia"/>
          <w:color w:val="000000"/>
          <w:szCs w:val="32"/>
        </w:rPr>
        <w:t>美國牛舌過程，雖未違反食品衛生管理法及</w:t>
      </w:r>
      <w:r w:rsidRPr="00AF0827">
        <w:rPr>
          <w:rFonts w:hint="eastAsia"/>
          <w:bCs w:val="0"/>
          <w:color w:val="000000"/>
        </w:rPr>
        <w:t>「台美牛肉議定書」之規定，惟</w:t>
      </w:r>
      <w:r w:rsidRPr="00AF0827">
        <w:rPr>
          <w:rFonts w:hAnsi="標楷體" w:hint="eastAsia"/>
          <w:color w:val="000000"/>
          <w:szCs w:val="32"/>
        </w:rPr>
        <w:t>該署接獲此電子郵件後，</w:t>
      </w:r>
      <w:r w:rsidRPr="00D01018">
        <w:rPr>
          <w:rFonts w:hAnsi="標楷體" w:hint="eastAsia"/>
          <w:color w:val="000000"/>
          <w:szCs w:val="32"/>
        </w:rPr>
        <w:t>遲至</w:t>
      </w:r>
      <w:r w:rsidRPr="00D01018">
        <w:rPr>
          <w:rFonts w:hint="eastAsia"/>
          <w:color w:val="000000"/>
          <w:szCs w:val="32"/>
        </w:rPr>
        <w:t>4月19日方</w:t>
      </w:r>
      <w:r w:rsidRPr="00D01018">
        <w:rPr>
          <w:color w:val="000000"/>
          <w:szCs w:val="32"/>
        </w:rPr>
        <w:t>陳報署長瞭解</w:t>
      </w:r>
      <w:r w:rsidRPr="00D01018">
        <w:rPr>
          <w:rFonts w:hint="eastAsia"/>
          <w:color w:val="000000"/>
          <w:szCs w:val="32"/>
        </w:rPr>
        <w:t>，</w:t>
      </w:r>
      <w:r>
        <w:rPr>
          <w:rFonts w:hint="eastAsia"/>
          <w:color w:val="000000"/>
          <w:szCs w:val="32"/>
        </w:rPr>
        <w:t>顯然</w:t>
      </w:r>
      <w:r w:rsidRPr="00D01018">
        <w:rPr>
          <w:rFonts w:hint="eastAsia"/>
          <w:color w:val="000000"/>
          <w:szCs w:val="32"/>
        </w:rPr>
        <w:t>延遲通報</w:t>
      </w:r>
      <w:r w:rsidRPr="00D01018">
        <w:rPr>
          <w:rFonts w:hAnsi="標楷體" w:hint="eastAsia"/>
          <w:color w:val="000000"/>
          <w:szCs w:val="32"/>
        </w:rPr>
        <w:t>。</w:t>
      </w:r>
    </w:p>
    <w:p w:rsidR="00C870A7" w:rsidRPr="006B2E75" w:rsidRDefault="006B2E75" w:rsidP="006B2E75">
      <w:pPr>
        <w:pStyle w:val="3"/>
        <w:rPr>
          <w:rFonts w:hAnsi="標楷體" w:hint="eastAsia"/>
        </w:rPr>
      </w:pPr>
      <w:r w:rsidRPr="00D01018">
        <w:rPr>
          <w:rFonts w:hAnsi="標楷體" w:hint="eastAsia"/>
          <w:color w:val="000000"/>
          <w:szCs w:val="32"/>
        </w:rPr>
        <w:t>是項缺失，本院詢問行政院衛生署楊志良署長：「業者4月15日申請進口牛舌，國貿局有電子信通知，署長知道嗎？」，楊署長稱：「沒有，記者問我才知道。」詢據行政院衛生署食品藥物管理局康照洲局長稱：「申請不代表進口，所以指示同仁先打電</w:t>
      </w:r>
      <w:r w:rsidRPr="00D01018">
        <w:rPr>
          <w:rFonts w:hAnsi="標楷體" w:hint="eastAsia"/>
          <w:color w:val="000000"/>
          <w:szCs w:val="32"/>
        </w:rPr>
        <w:lastRenderedPageBreak/>
        <w:t>話去問美國在</w:t>
      </w:r>
      <w:r w:rsidR="00FA276C">
        <w:rPr>
          <w:rFonts w:hAnsi="標楷體" w:hint="eastAsia"/>
          <w:color w:val="000000"/>
          <w:szCs w:val="32"/>
        </w:rPr>
        <w:t>台</w:t>
      </w:r>
      <w:r w:rsidRPr="00D01018">
        <w:rPr>
          <w:rFonts w:hAnsi="標楷體" w:hint="eastAsia"/>
          <w:color w:val="000000"/>
          <w:szCs w:val="32"/>
        </w:rPr>
        <w:t>協會，確切進口之時間。由於我們很重視牛肉進口問題，每星期一會彙整陳報給副署長及署長，所以預定等確定消息後，再通知副署長及署長。」</w:t>
      </w:r>
    </w:p>
    <w:p w:rsidR="006B2E75" w:rsidRDefault="006B2E75" w:rsidP="006B2E75">
      <w:pPr>
        <w:pStyle w:val="3"/>
        <w:rPr>
          <w:rFonts w:hAnsi="標楷體" w:hint="eastAsia"/>
        </w:rPr>
      </w:pPr>
      <w:r w:rsidRPr="00D01018">
        <w:rPr>
          <w:rFonts w:hAnsi="標楷體" w:hint="eastAsia"/>
          <w:color w:val="000000"/>
          <w:szCs w:val="32"/>
        </w:rPr>
        <w:t>按無爭議性之一般案件固然可於事件明朗之後再行通報機關首長，然國內甫經開放美國牛肉進口風暴，民眾對狂牛症之恐懼未消，而業者所申請進口之「牛舌」十分接近具有狂牛症高風險之「扁桃腺」部位，本易再次引起民眾恐慌，是時之際，該署即應將所掌握之</w:t>
      </w:r>
      <w:r>
        <w:rPr>
          <w:rFonts w:hAnsi="標楷體" w:hint="eastAsia"/>
          <w:color w:val="000000"/>
          <w:szCs w:val="32"/>
        </w:rPr>
        <w:t>最新</w:t>
      </w:r>
      <w:r w:rsidRPr="00D01018">
        <w:rPr>
          <w:rFonts w:hAnsi="標楷體" w:hint="eastAsia"/>
          <w:color w:val="000000"/>
          <w:szCs w:val="32"/>
        </w:rPr>
        <w:t>現況通報署長，並隨案情之發展隨時補充通報，使署長時時掌握最新資訊，於內部研析討論</w:t>
      </w:r>
      <w:r>
        <w:rPr>
          <w:rFonts w:hAnsi="標楷體" w:hint="eastAsia"/>
          <w:color w:val="000000"/>
          <w:szCs w:val="32"/>
        </w:rPr>
        <w:t>，並依</w:t>
      </w:r>
      <w:r w:rsidRPr="00D01018">
        <w:rPr>
          <w:rFonts w:hAnsi="標楷體" w:hint="eastAsia"/>
          <w:color w:val="000000"/>
          <w:szCs w:val="32"/>
        </w:rPr>
        <w:t>：外交關係、民情可能反應、國會可能態度</w:t>
      </w:r>
      <w:r w:rsidRPr="00D01018">
        <w:rPr>
          <w:rFonts w:hAnsi="標楷體"/>
          <w:color w:val="000000"/>
          <w:szCs w:val="32"/>
        </w:rPr>
        <w:t>…</w:t>
      </w:r>
      <w:r w:rsidRPr="00D01018">
        <w:rPr>
          <w:rFonts w:hAnsi="標楷體" w:hint="eastAsia"/>
          <w:color w:val="000000"/>
          <w:szCs w:val="32"/>
        </w:rPr>
        <w:t>等，而適時採取必要之配套措施，並對外回應說明，方能及早預防危機並安定民心，然該署竟缺乏警覺，延遲通報，錯失危機處理黃金時間</w:t>
      </w:r>
      <w:r>
        <w:rPr>
          <w:rFonts w:hAnsi="標楷體" w:hint="eastAsia"/>
          <w:color w:val="000000"/>
          <w:szCs w:val="32"/>
        </w:rPr>
        <w:t>，使得民眾疑慮持續發酵前後達5天，</w:t>
      </w:r>
      <w:r w:rsidRPr="00D01018">
        <w:rPr>
          <w:rFonts w:hAnsi="標楷體" w:hint="eastAsia"/>
          <w:color w:val="000000"/>
          <w:szCs w:val="32"/>
        </w:rPr>
        <w:t>足見未記取前</w:t>
      </w:r>
      <w:r>
        <w:rPr>
          <w:rFonts w:hAnsi="標楷體" w:hint="eastAsia"/>
          <w:color w:val="000000"/>
          <w:szCs w:val="32"/>
        </w:rPr>
        <w:t>車之鑑</w:t>
      </w:r>
      <w:r w:rsidRPr="00D01018">
        <w:rPr>
          <w:rFonts w:hAnsi="標楷體" w:hint="eastAsia"/>
          <w:color w:val="000000"/>
          <w:szCs w:val="32"/>
        </w:rPr>
        <w:t>，顯有未當。</w:t>
      </w:r>
    </w:p>
    <w:p w:rsidR="00C870A7" w:rsidRPr="00FD4F24" w:rsidRDefault="008C6333" w:rsidP="00C870A7">
      <w:pPr>
        <w:pStyle w:val="2"/>
        <w:rPr>
          <w:rFonts w:hint="eastAsia"/>
          <w:b/>
        </w:rPr>
      </w:pPr>
      <w:r w:rsidRPr="00D01018">
        <w:rPr>
          <w:rFonts w:hAnsi="標楷體" w:hint="eastAsia"/>
          <w:b/>
          <w:color w:val="000000"/>
          <w:szCs w:val="32"/>
        </w:rPr>
        <w:t>行政院衛生署對於韓國是否有進口美國牛舌事先並未掌握，然俟知悉韓國進出口商有默契不交易牛舌訊息後，尚未宣示朝韓國採行之模式辦理，以利及早規劃管制作為，完備適法性，並免爭議，該署行事欠缺積極，實有未當</w:t>
      </w:r>
      <w:r w:rsidR="00C870A7" w:rsidRPr="00FD4F24">
        <w:rPr>
          <w:rFonts w:hint="eastAsia"/>
          <w:b/>
        </w:rPr>
        <w:t>：</w:t>
      </w:r>
    </w:p>
    <w:p w:rsidR="00C870A7" w:rsidRPr="005122F3" w:rsidRDefault="008C6333" w:rsidP="005122F3">
      <w:pPr>
        <w:pStyle w:val="3"/>
        <w:rPr>
          <w:rFonts w:hint="eastAsia"/>
          <w:b/>
        </w:rPr>
      </w:pPr>
      <w:r w:rsidRPr="00D01018">
        <w:rPr>
          <w:rFonts w:hAnsi="標楷體" w:hint="eastAsia"/>
          <w:bCs w:val="0"/>
          <w:color w:val="000000"/>
          <w:szCs w:val="32"/>
        </w:rPr>
        <w:t>我國於96年12月起就美國牛肉食用安全進行評估調查，並自98年6月8日起與美方進行5回合之視訊會議談判。談判過程，我方堅持以韓國模式爭取我國消費者之權益，案經98年10月22日與美方簽定「台美牛肉議定書」，宣布開放美國帶骨牛肉、</w:t>
      </w:r>
      <w:r w:rsidR="00FA276C">
        <w:rPr>
          <w:rFonts w:hAnsi="標楷體" w:hint="eastAsia"/>
          <w:bCs w:val="0"/>
          <w:color w:val="000000"/>
          <w:szCs w:val="32"/>
        </w:rPr>
        <w:t>牛絞肉</w:t>
      </w:r>
      <w:r w:rsidRPr="00D01018">
        <w:rPr>
          <w:rFonts w:hAnsi="標楷體" w:hint="eastAsia"/>
          <w:bCs w:val="0"/>
          <w:color w:val="000000"/>
          <w:szCs w:val="32"/>
        </w:rPr>
        <w:t>、牛內臟等項目之進口。爰此，日後有關美國牛各部位牛肉之進口（如：牛舌），自應參考韓國現行作法，以保障我國消費者權益，合先敘</w:t>
      </w:r>
      <w:r w:rsidRPr="00D01018">
        <w:rPr>
          <w:rFonts w:hAnsi="標楷體" w:hint="eastAsia"/>
          <w:bCs w:val="0"/>
          <w:color w:val="000000"/>
          <w:szCs w:val="32"/>
        </w:rPr>
        <w:lastRenderedPageBreak/>
        <w:t>明。</w:t>
      </w:r>
    </w:p>
    <w:p w:rsidR="00C870A7" w:rsidRPr="008C6333" w:rsidRDefault="008C6333" w:rsidP="00C870A7">
      <w:pPr>
        <w:pStyle w:val="3"/>
        <w:rPr>
          <w:rFonts w:hint="eastAsia"/>
          <w:b/>
        </w:rPr>
      </w:pPr>
      <w:r w:rsidRPr="00D01018">
        <w:rPr>
          <w:rFonts w:hAnsi="標楷體" w:cs="HiddenHorzOCR" w:hint="eastAsia"/>
          <w:color w:val="000000"/>
          <w:szCs w:val="32"/>
        </w:rPr>
        <w:t>然據經濟部國際貿易局於99年5月19日以貿服字第09901511250號函提供我國駐韓國代表處經濟組洽韓國國立獸醫科學檢疫院關於韓國對美國牛舌進口之管理情形表示：「自</w:t>
      </w:r>
      <w:r w:rsidRPr="00D01018">
        <w:rPr>
          <w:rFonts w:hAnsi="標楷體" w:cs="HiddenHorzOCR"/>
          <w:color w:val="000000"/>
          <w:szCs w:val="32"/>
        </w:rPr>
        <w:t xml:space="preserve">2008 </w:t>
      </w:r>
      <w:r w:rsidRPr="00D01018">
        <w:rPr>
          <w:rFonts w:hAnsi="標楷體" w:cs="HiddenHorzOCR" w:hint="eastAsia"/>
          <w:color w:val="000000"/>
          <w:szCs w:val="32"/>
        </w:rPr>
        <w:t>年</w:t>
      </w:r>
      <w:r w:rsidRPr="00D01018">
        <w:rPr>
          <w:rFonts w:hAnsi="標楷體" w:cs="HiddenHorzOCR"/>
          <w:color w:val="000000"/>
          <w:szCs w:val="32"/>
        </w:rPr>
        <w:t xml:space="preserve">6 </w:t>
      </w:r>
      <w:r w:rsidRPr="00D01018">
        <w:rPr>
          <w:rFonts w:hAnsi="標楷體" w:cs="HiddenHorzOCR" w:hint="eastAsia"/>
          <w:color w:val="000000"/>
          <w:szCs w:val="32"/>
        </w:rPr>
        <w:t>月韓國重新開放進口美國牛肉，雖無明文禁止美國牛舌進口，但韓美廠商間已有默契不交易牛舌，截至目前並無交易紀錄」、「</w:t>
      </w:r>
      <w:r w:rsidRPr="00D01018">
        <w:rPr>
          <w:rFonts w:hAnsi="標楷體" w:cs="HiddenHorzOCR"/>
          <w:color w:val="000000"/>
          <w:szCs w:val="32"/>
        </w:rPr>
        <w:t>…</w:t>
      </w:r>
      <w:r w:rsidRPr="00D01018">
        <w:rPr>
          <w:rFonts w:hAnsi="標楷體" w:cs="HiddenHorzOCR" w:hint="eastAsia"/>
          <w:color w:val="000000"/>
          <w:szCs w:val="32"/>
        </w:rPr>
        <w:t>於</w:t>
      </w:r>
      <w:r w:rsidRPr="00D01018">
        <w:rPr>
          <w:rFonts w:hAnsi="標楷體" w:cs="HiddenHorzOCR"/>
          <w:color w:val="000000"/>
          <w:szCs w:val="32"/>
        </w:rPr>
        <w:t xml:space="preserve">2008 </w:t>
      </w:r>
      <w:r w:rsidRPr="00D01018">
        <w:rPr>
          <w:rFonts w:hAnsi="標楷體" w:cs="HiddenHorzOCR" w:hint="eastAsia"/>
          <w:color w:val="000000"/>
          <w:szCs w:val="32"/>
        </w:rPr>
        <w:t>年</w:t>
      </w:r>
      <w:r w:rsidRPr="00D01018">
        <w:rPr>
          <w:rFonts w:hAnsi="標楷體" w:cs="HiddenHorzOCR"/>
          <w:color w:val="000000"/>
          <w:szCs w:val="32"/>
        </w:rPr>
        <w:t xml:space="preserve">5 </w:t>
      </w:r>
      <w:r w:rsidRPr="00D01018">
        <w:rPr>
          <w:rFonts w:hAnsi="標楷體" w:cs="HiddenHorzOCR" w:hint="eastAsia"/>
          <w:color w:val="000000"/>
          <w:szCs w:val="32"/>
        </w:rPr>
        <w:t>月</w:t>
      </w:r>
      <w:r w:rsidRPr="00D01018">
        <w:rPr>
          <w:rFonts w:hAnsi="標楷體" w:cs="HiddenHorzOCR"/>
          <w:color w:val="000000"/>
          <w:szCs w:val="32"/>
        </w:rPr>
        <w:t xml:space="preserve">29 </w:t>
      </w:r>
      <w:r w:rsidRPr="00D01018">
        <w:rPr>
          <w:rFonts w:hAnsi="標楷體" w:cs="HiddenHorzOCR" w:hint="eastAsia"/>
          <w:color w:val="000000"/>
          <w:szCs w:val="32"/>
        </w:rPr>
        <w:t>日訂定之『畜</w:t>
      </w:r>
      <w:r w:rsidRPr="00D01018">
        <w:rPr>
          <w:rFonts w:hAnsi="標楷體" w:cs="細明體" w:hint="eastAsia"/>
          <w:color w:val="000000"/>
          <w:szCs w:val="32"/>
        </w:rPr>
        <w:t>產</w:t>
      </w:r>
      <w:r w:rsidRPr="00D01018">
        <w:rPr>
          <w:rFonts w:hAnsi="標楷體" w:cs="MS Mincho" w:hint="eastAsia"/>
          <w:color w:val="000000"/>
          <w:szCs w:val="32"/>
        </w:rPr>
        <w:t>物衛生</w:t>
      </w:r>
      <w:r w:rsidRPr="00D01018">
        <w:rPr>
          <w:rFonts w:hAnsi="標楷體" w:cs="HiddenHorzOCR" w:hint="eastAsia"/>
          <w:color w:val="000000"/>
          <w:szCs w:val="32"/>
        </w:rPr>
        <w:t>安全管理及畜</w:t>
      </w:r>
      <w:r w:rsidRPr="00D01018">
        <w:rPr>
          <w:rFonts w:hAnsi="標楷體" w:cs="細明體" w:hint="eastAsia"/>
          <w:color w:val="000000"/>
          <w:szCs w:val="32"/>
        </w:rPr>
        <w:t>產</w:t>
      </w:r>
      <w:r w:rsidRPr="00D01018">
        <w:rPr>
          <w:rFonts w:hAnsi="標楷體" w:cs="MS Mincho" w:hint="eastAsia"/>
          <w:color w:val="000000"/>
          <w:szCs w:val="32"/>
        </w:rPr>
        <w:t>業發展對策』，</w:t>
      </w:r>
      <w:r w:rsidRPr="00D01018">
        <w:rPr>
          <w:rFonts w:hAnsi="標楷體" w:cs="HiddenHorzOCR" w:hint="eastAsia"/>
          <w:color w:val="000000"/>
          <w:szCs w:val="32"/>
        </w:rPr>
        <w:t>將牛舌列為重點管理項目，逐批逐箱開封、解凍並送實驗室進行組織檢</w:t>
      </w:r>
      <w:r w:rsidRPr="00D01018">
        <w:rPr>
          <w:rFonts w:hAnsi="標楷體" w:cs="細明體" w:hint="eastAsia"/>
          <w:color w:val="000000"/>
          <w:szCs w:val="32"/>
        </w:rPr>
        <w:t>查</w:t>
      </w:r>
      <w:r w:rsidRPr="00D01018">
        <w:rPr>
          <w:rFonts w:hAnsi="標楷體" w:cs="MS Mincho" w:hint="eastAsia"/>
          <w:color w:val="000000"/>
          <w:szCs w:val="32"/>
        </w:rPr>
        <w:t>其安全性</w:t>
      </w:r>
      <w:r w:rsidRPr="00D01018">
        <w:rPr>
          <w:rFonts w:hAnsi="標楷體" w:cs="HiddenHorzOCR" w:hint="eastAsia"/>
          <w:color w:val="000000"/>
          <w:szCs w:val="32"/>
        </w:rPr>
        <w:t>」。如是可知，韓國迄今尚未進口美國牛舌，且將牛舌列為重點管理項目。</w:t>
      </w:r>
    </w:p>
    <w:p w:rsidR="008C6333" w:rsidRPr="008C6333" w:rsidRDefault="008C6333" w:rsidP="00C870A7">
      <w:pPr>
        <w:pStyle w:val="3"/>
        <w:rPr>
          <w:rFonts w:hint="eastAsia"/>
          <w:b/>
        </w:rPr>
      </w:pPr>
      <w:r w:rsidRPr="00D01018">
        <w:rPr>
          <w:rFonts w:hAnsi="標楷體" w:cs="細明體" w:hint="eastAsia"/>
          <w:color w:val="000000"/>
          <w:szCs w:val="32"/>
        </w:rPr>
        <w:t>相較於我國，不僅未將</w:t>
      </w:r>
      <w:r w:rsidRPr="00D01018">
        <w:rPr>
          <w:rFonts w:hAnsi="標楷體" w:cs="HiddenHorzOCR" w:hint="eastAsia"/>
          <w:color w:val="000000"/>
          <w:szCs w:val="32"/>
        </w:rPr>
        <w:t>牛舌列為重點管理項目，且</w:t>
      </w:r>
      <w:r w:rsidRPr="00D01018">
        <w:rPr>
          <w:rFonts w:hAnsi="標楷體" w:cs="細明體" w:hint="eastAsia"/>
          <w:color w:val="000000"/>
          <w:szCs w:val="32"/>
        </w:rPr>
        <w:t>已有業者於99年4月15日申請輸入美國牛舌，顯然未符合「美牛進口談判」當時所堅持之「韓國模式」。行政院衛生署</w:t>
      </w:r>
      <w:r w:rsidR="00846580">
        <w:rPr>
          <w:rFonts w:hAnsi="標楷體" w:cs="細明體" w:hint="eastAsia"/>
          <w:color w:val="000000"/>
          <w:szCs w:val="32"/>
        </w:rPr>
        <w:t>○○○</w:t>
      </w:r>
      <w:r>
        <w:rPr>
          <w:rFonts w:hAnsi="標楷體" w:hint="eastAsia"/>
          <w:color w:val="000000"/>
          <w:szCs w:val="32"/>
        </w:rPr>
        <w:t>於本院約詢時</w:t>
      </w:r>
      <w:r w:rsidRPr="00D01018">
        <w:rPr>
          <w:rFonts w:hAnsi="標楷體" w:hint="eastAsia"/>
          <w:color w:val="000000"/>
          <w:szCs w:val="32"/>
        </w:rPr>
        <w:t>指出：「美國牛舌可以出口到韓國，但是有沒有實質進口到韓國，還沒掌握資料」，復經該署於99年5月24日接受本院第2次約詢時所提供之資料方表示：「韓國並未禁止美國牛舌進口，但進出口商有默契不交易牛舌</w:t>
      </w:r>
      <w:r w:rsidRPr="00D01018">
        <w:rPr>
          <w:rFonts w:hAnsi="標楷體"/>
          <w:color w:val="000000"/>
          <w:szCs w:val="32"/>
        </w:rPr>
        <w:t>…</w:t>
      </w:r>
      <w:r w:rsidRPr="00D01018">
        <w:rPr>
          <w:rFonts w:hAnsi="標楷體" w:hint="eastAsia"/>
          <w:color w:val="000000"/>
          <w:szCs w:val="32"/>
        </w:rPr>
        <w:t>」。</w:t>
      </w:r>
    </w:p>
    <w:p w:rsidR="008C6333" w:rsidRPr="00A746C6" w:rsidRDefault="008C6333" w:rsidP="00C870A7">
      <w:pPr>
        <w:pStyle w:val="3"/>
        <w:rPr>
          <w:rFonts w:hint="eastAsia"/>
          <w:b/>
        </w:rPr>
      </w:pPr>
      <w:r w:rsidRPr="00D01018">
        <w:rPr>
          <w:rFonts w:hAnsi="標楷體" w:hint="eastAsia"/>
          <w:color w:val="000000"/>
          <w:szCs w:val="32"/>
        </w:rPr>
        <w:t>如是可知，行政院衛生署對於韓國是否有進口美國牛舌事先並未掌握，而該署既然已得知「韓國並未禁止美國牛舌進口，但進出口商有默契不交易牛舌</w:t>
      </w:r>
      <w:r w:rsidRPr="00D01018">
        <w:rPr>
          <w:rFonts w:hAnsi="標楷體"/>
          <w:color w:val="000000"/>
          <w:szCs w:val="32"/>
        </w:rPr>
        <w:t>…</w:t>
      </w:r>
      <w:r w:rsidRPr="00D01018">
        <w:rPr>
          <w:rFonts w:hAnsi="標楷體" w:hint="eastAsia"/>
          <w:color w:val="000000"/>
          <w:szCs w:val="32"/>
        </w:rPr>
        <w:t>」訊息後，尚未宣示朝韓國採行之「</w:t>
      </w:r>
      <w:r w:rsidRPr="00D01018">
        <w:rPr>
          <w:rFonts w:hAnsi="標楷體" w:cs="HiddenHorzOCR" w:hint="eastAsia"/>
          <w:color w:val="000000"/>
          <w:szCs w:val="32"/>
        </w:rPr>
        <w:t>不交易牛舌</w:t>
      </w:r>
      <w:r w:rsidRPr="00D01018">
        <w:rPr>
          <w:rFonts w:hAnsi="標楷體" w:hint="eastAsia"/>
          <w:color w:val="000000"/>
          <w:szCs w:val="32"/>
        </w:rPr>
        <w:t>」、「</w:t>
      </w:r>
      <w:r w:rsidRPr="00D01018">
        <w:rPr>
          <w:rFonts w:hAnsi="標楷體" w:cs="HiddenHorzOCR" w:hint="eastAsia"/>
          <w:color w:val="000000"/>
          <w:szCs w:val="32"/>
        </w:rPr>
        <w:t>牛舌列為重點管理項目</w:t>
      </w:r>
      <w:r w:rsidRPr="00D01018">
        <w:rPr>
          <w:rFonts w:hAnsi="標楷體" w:hint="eastAsia"/>
          <w:color w:val="000000"/>
          <w:szCs w:val="32"/>
        </w:rPr>
        <w:t>」、「</w:t>
      </w:r>
      <w:r w:rsidRPr="00D01018">
        <w:rPr>
          <w:rFonts w:hAnsi="標楷體" w:cs="HiddenHorzOCR" w:hint="eastAsia"/>
          <w:color w:val="000000"/>
          <w:szCs w:val="32"/>
        </w:rPr>
        <w:t>逐批逐箱開封、解凍並送實驗室進行組織檢</w:t>
      </w:r>
      <w:r w:rsidRPr="00D01018">
        <w:rPr>
          <w:rFonts w:hAnsi="標楷體" w:cs="細明體" w:hint="eastAsia"/>
          <w:color w:val="000000"/>
          <w:szCs w:val="32"/>
        </w:rPr>
        <w:t>查</w:t>
      </w:r>
      <w:r w:rsidRPr="00D01018">
        <w:rPr>
          <w:rFonts w:hAnsi="標楷體" w:hint="eastAsia"/>
          <w:color w:val="000000"/>
          <w:szCs w:val="32"/>
        </w:rPr>
        <w:t>」模式辦理，以利及早規劃管制作為，完備適法性，並免爭議，該署行事欠缺積極，實有未當。</w:t>
      </w:r>
    </w:p>
    <w:p w:rsidR="00C870A7" w:rsidRPr="00CE0CF6" w:rsidRDefault="002D7165" w:rsidP="00C870A7">
      <w:pPr>
        <w:pStyle w:val="2"/>
        <w:rPr>
          <w:rFonts w:hint="eastAsia"/>
          <w:b/>
        </w:rPr>
      </w:pPr>
      <w:r w:rsidRPr="00D01018">
        <w:rPr>
          <w:rFonts w:hAnsi="標楷體" w:hint="eastAsia"/>
          <w:b/>
          <w:color w:val="000000"/>
          <w:szCs w:val="32"/>
        </w:rPr>
        <w:t>行政院衛生署</w:t>
      </w:r>
      <w:r>
        <w:rPr>
          <w:rFonts w:hAnsi="標楷體" w:hint="eastAsia"/>
          <w:b/>
          <w:color w:val="000000"/>
          <w:szCs w:val="32"/>
        </w:rPr>
        <w:t>對於業者申請</w:t>
      </w:r>
      <w:r w:rsidRPr="00D01018">
        <w:rPr>
          <w:rFonts w:hAnsi="標楷體" w:hint="eastAsia"/>
          <w:b/>
          <w:color w:val="000000"/>
          <w:szCs w:val="32"/>
        </w:rPr>
        <w:t>新增</w:t>
      </w:r>
      <w:r>
        <w:rPr>
          <w:rFonts w:hAnsi="標楷體" w:hint="eastAsia"/>
          <w:b/>
          <w:color w:val="000000"/>
          <w:szCs w:val="32"/>
        </w:rPr>
        <w:t>進口之</w:t>
      </w:r>
      <w:r w:rsidRPr="00D01018">
        <w:rPr>
          <w:rFonts w:hAnsi="標楷體" w:hint="eastAsia"/>
          <w:b/>
          <w:color w:val="000000"/>
          <w:szCs w:val="32"/>
        </w:rPr>
        <w:t>美國牛肉</w:t>
      </w:r>
      <w:r>
        <w:rPr>
          <w:rFonts w:hAnsi="標楷體" w:hint="eastAsia"/>
          <w:b/>
          <w:color w:val="000000"/>
          <w:szCs w:val="32"/>
        </w:rPr>
        <w:t>各</w:t>
      </w:r>
      <w:r>
        <w:rPr>
          <w:rFonts w:hAnsi="標楷體" w:hint="eastAsia"/>
          <w:b/>
          <w:color w:val="000000"/>
          <w:szCs w:val="32"/>
        </w:rPr>
        <w:lastRenderedPageBreak/>
        <w:t>部位，未能預先主動聯繫行政院農業委員會、經濟部等相關機關</w:t>
      </w:r>
      <w:r w:rsidRPr="00D01018">
        <w:rPr>
          <w:rFonts w:hAnsi="標楷體" w:hint="eastAsia"/>
          <w:b/>
          <w:color w:val="000000"/>
          <w:szCs w:val="32"/>
        </w:rPr>
        <w:t>，</w:t>
      </w:r>
      <w:r>
        <w:rPr>
          <w:rFonts w:hAnsi="標楷體" w:hint="eastAsia"/>
          <w:b/>
          <w:color w:val="000000"/>
          <w:szCs w:val="32"/>
        </w:rPr>
        <w:t>研商逐批逐箱進口把關機制，並建立周延配套措施，</w:t>
      </w:r>
      <w:r w:rsidRPr="00D01018">
        <w:rPr>
          <w:rFonts w:hAnsi="標楷體" w:hint="eastAsia"/>
          <w:b/>
          <w:color w:val="000000"/>
          <w:szCs w:val="32"/>
        </w:rPr>
        <w:t>仍將</w:t>
      </w:r>
      <w:r>
        <w:rPr>
          <w:rFonts w:hAnsi="標楷體" w:hint="eastAsia"/>
          <w:b/>
          <w:color w:val="000000"/>
          <w:szCs w:val="32"/>
        </w:rPr>
        <w:t>美國</w:t>
      </w:r>
      <w:r w:rsidRPr="00D01018">
        <w:rPr>
          <w:rFonts w:hAnsi="標楷體" w:hint="eastAsia"/>
          <w:b/>
          <w:color w:val="000000"/>
          <w:szCs w:val="32"/>
        </w:rPr>
        <w:t>牛舌視為一般產品，按一般性程序通關處理，衍生民眾不安，顯然欠缺危機意識，</w:t>
      </w:r>
      <w:r>
        <w:rPr>
          <w:rFonts w:hAnsi="標楷體" w:hint="eastAsia"/>
          <w:b/>
          <w:color w:val="000000"/>
          <w:szCs w:val="32"/>
        </w:rPr>
        <w:t>是屬不</w:t>
      </w:r>
      <w:r w:rsidRPr="00D01018">
        <w:rPr>
          <w:rFonts w:hAnsi="標楷體" w:hint="eastAsia"/>
          <w:b/>
          <w:color w:val="000000"/>
          <w:szCs w:val="32"/>
        </w:rPr>
        <w:t>當</w:t>
      </w:r>
      <w:r w:rsidRPr="00D01018">
        <w:rPr>
          <w:rFonts w:hint="eastAsia"/>
          <w:b/>
          <w:color w:val="000000"/>
        </w:rPr>
        <w:t>：</w:t>
      </w:r>
      <w:r w:rsidR="00C870A7" w:rsidRPr="00CE0CF6">
        <w:rPr>
          <w:rFonts w:hint="eastAsia"/>
          <w:b/>
        </w:rPr>
        <w:t xml:space="preserve"> </w:t>
      </w:r>
    </w:p>
    <w:p w:rsidR="00C870A7" w:rsidRDefault="002D7165" w:rsidP="00C870A7">
      <w:pPr>
        <w:pStyle w:val="3"/>
        <w:rPr>
          <w:rFonts w:hint="eastAsia"/>
          <w:kern w:val="2"/>
        </w:rPr>
      </w:pPr>
      <w:r w:rsidRPr="00D01018">
        <w:rPr>
          <w:rFonts w:hAnsi="標楷體" w:hint="eastAsia"/>
          <w:color w:val="000000"/>
          <w:szCs w:val="32"/>
        </w:rPr>
        <w:t>美國牛肉雖經科學評估認定導致狂牛症之風險甚低，惟民眾對風險評估所使用之科學方法與可靠性未必認識，致對美國牛肉產品之進口甚為敏感，尤其廠商申請新增之牛舌進口項目，因靠近牛隻之扁桃腺，更廣泛引起民眾和媒體關注。</w:t>
      </w:r>
    </w:p>
    <w:p w:rsidR="00C870A7" w:rsidRDefault="002D7165" w:rsidP="002D7165">
      <w:pPr>
        <w:pStyle w:val="3"/>
        <w:rPr>
          <w:rFonts w:hint="eastAsia"/>
          <w:bCs w:val="0"/>
        </w:rPr>
      </w:pPr>
      <w:r w:rsidRPr="00C55C34">
        <w:rPr>
          <w:rFonts w:hAnsi="標楷體" w:hint="eastAsia"/>
          <w:color w:val="000000"/>
          <w:szCs w:val="32"/>
        </w:rPr>
        <w:t>我國自</w:t>
      </w:r>
      <w:r w:rsidRPr="00C55C34">
        <w:rPr>
          <w:rFonts w:hAnsi="標楷體" w:hint="eastAsia"/>
          <w:bCs w:val="0"/>
          <w:color w:val="000000"/>
          <w:szCs w:val="32"/>
        </w:rPr>
        <w:t>98年10月22日與美方簽定「台美牛肉議定書」後，</w:t>
      </w:r>
      <w:r w:rsidRPr="00C55C34">
        <w:rPr>
          <w:rFonts w:hAnsi="標楷體" w:hint="eastAsia"/>
          <w:color w:val="000000"/>
          <w:szCs w:val="32"/>
        </w:rPr>
        <w:t>行政院衛生署本應知悉後續將有廠商申請新增進口之美國牛肉各部位，而須未雨綢繆，及早聯繫行政院農業委員會、經濟部等相關機關，研商逐批逐箱進口把關機制，並建立周延配套措施，使進口商</w:t>
      </w:r>
      <w:r>
        <w:rPr>
          <w:rFonts w:hAnsi="標楷體" w:hint="eastAsia"/>
          <w:color w:val="000000"/>
          <w:szCs w:val="32"/>
        </w:rPr>
        <w:t>知悉政府管控機制</w:t>
      </w:r>
      <w:r w:rsidRPr="00C55C34">
        <w:rPr>
          <w:rFonts w:hAnsi="標楷體" w:hint="eastAsia"/>
          <w:color w:val="000000"/>
          <w:szCs w:val="32"/>
        </w:rPr>
        <w:t>，政府機關於審查時</w:t>
      </w:r>
      <w:r>
        <w:rPr>
          <w:rFonts w:hAnsi="標楷體" w:hint="eastAsia"/>
          <w:color w:val="000000"/>
          <w:szCs w:val="32"/>
        </w:rPr>
        <w:t>亦</w:t>
      </w:r>
      <w:r w:rsidRPr="00C55C34">
        <w:rPr>
          <w:rFonts w:hAnsi="標楷體" w:hint="eastAsia"/>
          <w:color w:val="000000"/>
          <w:szCs w:val="32"/>
        </w:rPr>
        <w:t>有所準據。</w:t>
      </w:r>
    </w:p>
    <w:p w:rsidR="00C870A7" w:rsidRDefault="002D7165" w:rsidP="00C870A7">
      <w:pPr>
        <w:pStyle w:val="3"/>
        <w:rPr>
          <w:rFonts w:hint="eastAsia"/>
          <w:bCs w:val="0"/>
        </w:rPr>
      </w:pPr>
      <w:r>
        <w:rPr>
          <w:rFonts w:hAnsi="標楷體" w:hint="eastAsia"/>
          <w:color w:val="000000"/>
          <w:szCs w:val="32"/>
        </w:rPr>
        <w:t>然</w:t>
      </w:r>
      <w:r w:rsidRPr="000444C3">
        <w:rPr>
          <w:rFonts w:hAnsi="標楷體" w:hint="eastAsia"/>
          <w:color w:val="000000"/>
          <w:szCs w:val="32"/>
        </w:rPr>
        <w:t>查，行政院衛生署</w:t>
      </w:r>
      <w:r>
        <w:rPr>
          <w:rFonts w:hAnsi="標楷體" w:hint="eastAsia"/>
          <w:color w:val="000000"/>
          <w:szCs w:val="32"/>
        </w:rPr>
        <w:t>未究及此，</w:t>
      </w:r>
      <w:r w:rsidRPr="000444C3">
        <w:rPr>
          <w:rFonts w:hAnsi="標楷體" w:hint="eastAsia"/>
          <w:color w:val="000000"/>
          <w:szCs w:val="32"/>
        </w:rPr>
        <w:t>仍將</w:t>
      </w:r>
      <w:r>
        <w:rPr>
          <w:rFonts w:hAnsi="標楷體" w:hint="eastAsia"/>
          <w:color w:val="000000"/>
          <w:szCs w:val="32"/>
        </w:rPr>
        <w:t>美國</w:t>
      </w:r>
      <w:r w:rsidRPr="000444C3">
        <w:rPr>
          <w:rFonts w:hAnsi="標楷體" w:hint="eastAsia"/>
          <w:color w:val="000000"/>
          <w:szCs w:val="32"/>
        </w:rPr>
        <w:t>牛舌視為一般產品，按一般性程序通關處理，衍生民眾不安，顯然欠缺危機意識，是屬不當。</w:t>
      </w:r>
    </w:p>
    <w:p w:rsidR="00C870A7" w:rsidRPr="00CE0CF6" w:rsidRDefault="00AE1053" w:rsidP="00C870A7">
      <w:pPr>
        <w:pStyle w:val="2"/>
        <w:rPr>
          <w:rFonts w:hint="eastAsia"/>
          <w:b/>
        </w:rPr>
      </w:pPr>
      <w:r w:rsidRPr="0057763E">
        <w:rPr>
          <w:rFonts w:hAnsi="標楷體" w:hint="eastAsia"/>
          <w:b/>
          <w:color w:val="000000"/>
          <w:szCs w:val="32"/>
        </w:rPr>
        <w:t>行政院衛生署將牛舌風險與牛內臟風險合併評估，俟民眾質疑二者屬於同等級風險，不應進口後，該署未能於第一時間</w:t>
      </w:r>
      <w:r>
        <w:rPr>
          <w:rFonts w:hAnsi="標楷體" w:hint="eastAsia"/>
          <w:b/>
          <w:color w:val="000000"/>
          <w:szCs w:val="32"/>
        </w:rPr>
        <w:t>即</w:t>
      </w:r>
      <w:r w:rsidRPr="0057763E">
        <w:rPr>
          <w:rFonts w:hAnsi="標楷體" w:hint="eastAsia"/>
          <w:b/>
          <w:color w:val="000000"/>
          <w:szCs w:val="32"/>
        </w:rPr>
        <w:t>早釐清</w:t>
      </w:r>
      <w:r w:rsidRPr="0057763E">
        <w:rPr>
          <w:rFonts w:hAnsi="標楷體" w:cs="Arial" w:hint="eastAsia"/>
          <w:b/>
          <w:color w:val="000000"/>
          <w:szCs w:val="32"/>
        </w:rPr>
        <w:t>美國牛舌和美國牛內臟之個別風險，衍生民眾猜疑與不安，顯見危機處理欠妥，顯有改善必要</w:t>
      </w:r>
      <w:r w:rsidR="00C870A7" w:rsidRPr="00CE0CF6">
        <w:rPr>
          <w:rFonts w:hint="eastAsia"/>
          <w:b/>
        </w:rPr>
        <w:t>：</w:t>
      </w:r>
    </w:p>
    <w:p w:rsidR="00C870A7" w:rsidRPr="009771F6" w:rsidRDefault="00AE1053" w:rsidP="00AE1053">
      <w:pPr>
        <w:pStyle w:val="3"/>
        <w:rPr>
          <w:rFonts w:hAnsi="標楷體" w:hint="eastAsia"/>
          <w:b/>
        </w:rPr>
      </w:pPr>
      <w:r w:rsidRPr="00E2782C">
        <w:rPr>
          <w:rFonts w:hAnsi="標楷體" w:hint="eastAsia"/>
          <w:color w:val="000000"/>
          <w:szCs w:val="32"/>
        </w:rPr>
        <w:t>行政院衛生署於96年委託財團法人國家衛生研究院進行「美國進口帶骨牛肉與其相關食品健康風險評估」，該風險評估報告係將風險評估項目區分為帶骨牛肉、不帶骨牛肉、牛內臟、絞肉等四項，其中因內臟以外之雜碎項目消費量極小（包含：牛舌）</w:t>
      </w:r>
      <w:r w:rsidRPr="00E2782C">
        <w:rPr>
          <w:rFonts w:hAnsi="標楷體" w:hint="eastAsia"/>
          <w:color w:val="000000"/>
          <w:szCs w:val="32"/>
        </w:rPr>
        <w:lastRenderedPageBreak/>
        <w:t>因此在計算風險時併入「內臟」項目一起評估。簡言之，該署係將牛舌之風險與牛內臟之風險合併評估</w:t>
      </w:r>
      <w:r>
        <w:rPr>
          <w:rFonts w:hAnsi="標楷體" w:hint="eastAsia"/>
          <w:color w:val="000000"/>
          <w:szCs w:val="32"/>
        </w:rPr>
        <w:t>，而未區分二者之風險</w:t>
      </w:r>
      <w:r w:rsidRPr="00E2782C">
        <w:rPr>
          <w:rFonts w:hAnsi="標楷體" w:hint="eastAsia"/>
          <w:color w:val="000000"/>
          <w:szCs w:val="32"/>
        </w:rPr>
        <w:t>。</w:t>
      </w:r>
    </w:p>
    <w:p w:rsidR="00C870A7" w:rsidRPr="00AE1053" w:rsidRDefault="00AE1053" w:rsidP="00AE1053">
      <w:pPr>
        <w:pStyle w:val="3"/>
        <w:rPr>
          <w:rFonts w:hAnsi="標楷體" w:hint="eastAsia"/>
          <w:b/>
        </w:rPr>
      </w:pPr>
      <w:r>
        <w:rPr>
          <w:rFonts w:hAnsi="標楷體" w:hint="eastAsia"/>
          <w:color w:val="000000"/>
          <w:szCs w:val="32"/>
        </w:rPr>
        <w:t>詢據行政院衛生署食品藥物管理局</w:t>
      </w:r>
      <w:r w:rsidRPr="00077EC2">
        <w:rPr>
          <w:rFonts w:hAnsi="標楷體" w:hint="eastAsia"/>
          <w:szCs w:val="32"/>
        </w:rPr>
        <w:t>康照洲局長</w:t>
      </w:r>
      <w:r>
        <w:rPr>
          <w:rFonts w:hAnsi="標楷體" w:hint="eastAsia"/>
          <w:szCs w:val="32"/>
        </w:rPr>
        <w:t>指出：「報告認為此4大類都屬於低風險產品」，然查</w:t>
      </w:r>
      <w:r>
        <w:rPr>
          <w:rFonts w:hAnsi="標楷體" w:cs="Arial" w:hint="eastAsia"/>
          <w:color w:val="000000"/>
          <w:szCs w:val="32"/>
        </w:rPr>
        <w:t>本案</w:t>
      </w:r>
      <w:r w:rsidRPr="00607455">
        <w:rPr>
          <w:rFonts w:hAnsi="標楷體" w:cs="Arial" w:hint="eastAsia"/>
          <w:color w:val="000000"/>
          <w:szCs w:val="32"/>
        </w:rPr>
        <w:t>立法院於</w:t>
      </w:r>
      <w:r w:rsidRPr="00607455">
        <w:rPr>
          <w:rFonts w:hAnsi="標楷體" w:cs="Arial"/>
          <w:color w:val="000000"/>
          <w:szCs w:val="32"/>
        </w:rPr>
        <w:t>99</w:t>
      </w:r>
      <w:r w:rsidRPr="00607455">
        <w:rPr>
          <w:rFonts w:hAnsi="標楷體" w:cs="Arial" w:hint="eastAsia"/>
          <w:color w:val="000000"/>
          <w:szCs w:val="32"/>
        </w:rPr>
        <w:t>年</w:t>
      </w:r>
      <w:r w:rsidRPr="00607455">
        <w:rPr>
          <w:rFonts w:hAnsi="標楷體" w:cs="Arial"/>
          <w:color w:val="000000"/>
          <w:szCs w:val="32"/>
        </w:rPr>
        <w:t>1</w:t>
      </w:r>
      <w:r w:rsidRPr="00607455">
        <w:rPr>
          <w:rFonts w:hAnsi="標楷體" w:cs="Arial" w:hint="eastAsia"/>
          <w:color w:val="000000"/>
          <w:szCs w:val="32"/>
        </w:rPr>
        <w:t>月</w:t>
      </w:r>
      <w:r w:rsidRPr="00607455">
        <w:rPr>
          <w:rFonts w:hAnsi="標楷體" w:cs="Arial"/>
          <w:color w:val="000000"/>
          <w:szCs w:val="32"/>
        </w:rPr>
        <w:t>5</w:t>
      </w:r>
      <w:r w:rsidRPr="00607455">
        <w:rPr>
          <w:rFonts w:hAnsi="標楷體" w:cs="Arial" w:hint="eastAsia"/>
          <w:color w:val="000000"/>
          <w:szCs w:val="32"/>
        </w:rPr>
        <w:t>日</w:t>
      </w:r>
      <w:r w:rsidRPr="00607455">
        <w:rPr>
          <w:rFonts w:hAnsi="標楷體" w:cs="Arial"/>
          <w:color w:val="000000"/>
          <w:szCs w:val="32"/>
        </w:rPr>
        <w:t>三讀</w:t>
      </w:r>
      <w:r w:rsidRPr="00607455">
        <w:rPr>
          <w:rFonts w:hAnsi="標楷體" w:cs="Arial" w:hint="eastAsia"/>
          <w:color w:val="000000"/>
          <w:szCs w:val="32"/>
        </w:rPr>
        <w:t>修正</w:t>
      </w:r>
      <w:r w:rsidRPr="00607455">
        <w:rPr>
          <w:rFonts w:hAnsi="標楷體" w:cs="Arial"/>
          <w:color w:val="000000"/>
          <w:szCs w:val="32"/>
        </w:rPr>
        <w:t>通過「食品衛生管理法」</w:t>
      </w:r>
      <w:r w:rsidRPr="00607455">
        <w:rPr>
          <w:rFonts w:hAnsi="標楷體" w:cs="細明體" w:hint="eastAsia"/>
          <w:color w:val="000000"/>
          <w:szCs w:val="32"/>
        </w:rPr>
        <w:t>，</w:t>
      </w:r>
      <w:r>
        <w:rPr>
          <w:rFonts w:hAnsi="標楷體" w:cs="細明體" w:hint="eastAsia"/>
          <w:color w:val="000000"/>
          <w:szCs w:val="32"/>
        </w:rPr>
        <w:t>依該法第11條所規範之事項，</w:t>
      </w:r>
      <w:r w:rsidRPr="00607455">
        <w:rPr>
          <w:rFonts w:hAnsi="標楷體" w:cs="Arial"/>
          <w:color w:val="000000"/>
          <w:szCs w:val="32"/>
        </w:rPr>
        <w:t>美國牛絞肉、內臟、頭骨、腦、眼及脊髓不得進口。</w:t>
      </w:r>
      <w:r>
        <w:rPr>
          <w:rFonts w:hAnsi="標楷體" w:cs="Arial" w:hint="eastAsia"/>
          <w:color w:val="000000"/>
          <w:szCs w:val="32"/>
        </w:rPr>
        <w:t>是以，美國牛舌既然和牛內臟合併評估風險，則在未完全區分二者個別之風險前，一般消費者將感受到美國牛舌和美國牛內臟屬於同等級之風險，二者均不該進口。</w:t>
      </w:r>
    </w:p>
    <w:p w:rsidR="00AE1053" w:rsidRPr="009771F6" w:rsidRDefault="00AE1053" w:rsidP="00AE1053">
      <w:pPr>
        <w:pStyle w:val="3"/>
        <w:rPr>
          <w:rFonts w:hAnsi="標楷體" w:hint="eastAsia"/>
          <w:b/>
        </w:rPr>
      </w:pPr>
      <w:r>
        <w:rPr>
          <w:rFonts w:hAnsi="標楷體" w:hint="eastAsia"/>
          <w:color w:val="000000"/>
          <w:szCs w:val="32"/>
        </w:rPr>
        <w:t>然上開消費大眾普遍之疑慮，</w:t>
      </w:r>
      <w:r w:rsidRPr="00E2782C">
        <w:rPr>
          <w:rFonts w:hAnsi="標楷體" w:hint="eastAsia"/>
          <w:color w:val="000000"/>
          <w:szCs w:val="32"/>
        </w:rPr>
        <w:t>行政院衛生署</w:t>
      </w:r>
      <w:r>
        <w:rPr>
          <w:rFonts w:hAnsi="標楷體" w:hint="eastAsia"/>
          <w:color w:val="000000"/>
          <w:szCs w:val="32"/>
        </w:rPr>
        <w:t>未能於第一時間即早釐清</w:t>
      </w:r>
      <w:r>
        <w:rPr>
          <w:rFonts w:hAnsi="標楷體" w:cs="Arial" w:hint="eastAsia"/>
          <w:color w:val="000000"/>
          <w:szCs w:val="32"/>
        </w:rPr>
        <w:t>美國牛舌和美國牛內臟之個別風險，亦未說明美國牛舌之風險究竟低於美國牛內臟之風險或與美國牛內臟之風險同等級，衍生民眾猜疑與不安，顯見該署對危機處理欠妥，顯有改善必要。</w:t>
      </w:r>
    </w:p>
    <w:p w:rsidR="00C870A7" w:rsidRPr="00462C48" w:rsidRDefault="00C870A7" w:rsidP="00C870A7">
      <w:pPr>
        <w:pStyle w:val="20"/>
        <w:ind w:left="1020" w:firstLine="680"/>
        <w:rPr>
          <w:rFonts w:hint="eastAsia"/>
        </w:rPr>
      </w:pPr>
    </w:p>
    <w:p w:rsidR="00456147" w:rsidRPr="00283D9A" w:rsidRDefault="00456147" w:rsidP="00283D9A">
      <w:pPr>
        <w:pStyle w:val="11"/>
        <w:ind w:left="680" w:firstLine="680"/>
        <w:rPr>
          <w:rFonts w:hint="eastAsia"/>
          <w:bCs/>
        </w:rPr>
      </w:pPr>
      <w:bookmarkStart w:id="43" w:name="_Toc529222689"/>
      <w:bookmarkStart w:id="44" w:name="_Toc529223111"/>
      <w:bookmarkStart w:id="45" w:name="_Toc529223862"/>
      <w:bookmarkStart w:id="46" w:name="_Toc529228265"/>
      <w:r w:rsidRPr="00283D9A">
        <w:rPr>
          <w:rFonts w:hint="eastAsia"/>
          <w:bCs/>
        </w:rPr>
        <w:t>綜上所述，</w:t>
      </w:r>
      <w:r w:rsidR="00D404A6" w:rsidRPr="00283D9A">
        <w:rPr>
          <w:rFonts w:hint="eastAsia"/>
          <w:bCs/>
        </w:rPr>
        <w:t>本案</w:t>
      </w:r>
      <w:r w:rsidR="00060041">
        <w:rPr>
          <w:rFonts w:hint="eastAsia"/>
          <w:bCs/>
        </w:rPr>
        <w:t>行政院</w:t>
      </w:r>
      <w:r w:rsidR="00D404A6" w:rsidRPr="00283D9A">
        <w:rPr>
          <w:rFonts w:hint="eastAsia"/>
          <w:bCs/>
        </w:rPr>
        <w:t>衛生署</w:t>
      </w:r>
      <w:r w:rsidR="00283D9A" w:rsidRPr="00283D9A">
        <w:rPr>
          <w:rFonts w:hAnsi="標楷體" w:hint="eastAsia"/>
          <w:color w:val="000000"/>
          <w:szCs w:val="32"/>
        </w:rPr>
        <w:t>未記取前次開放美國牛肉引起民眾恐慌之教訓，於接獲經濟部國際貿易局通報業者申請美國牛舌進口後，未能於第一時間通報署長對內研析討論，對外回應說明，引發民眾疑慮；</w:t>
      </w:r>
      <w:r w:rsidR="00060041">
        <w:rPr>
          <w:rFonts w:hAnsi="標楷體" w:hint="eastAsia"/>
          <w:color w:val="000000"/>
          <w:szCs w:val="32"/>
        </w:rPr>
        <w:t>又</w:t>
      </w:r>
      <w:r w:rsidR="00283D9A" w:rsidRPr="00283D9A">
        <w:rPr>
          <w:rFonts w:hAnsi="標楷體" w:hint="eastAsia"/>
          <w:color w:val="000000"/>
          <w:szCs w:val="32"/>
        </w:rPr>
        <w:t>對</w:t>
      </w:r>
      <w:r w:rsidR="00060041">
        <w:rPr>
          <w:rFonts w:hAnsi="標楷體" w:hint="eastAsia"/>
          <w:color w:val="000000"/>
          <w:szCs w:val="32"/>
        </w:rPr>
        <w:t>於</w:t>
      </w:r>
      <w:r w:rsidR="00283D9A" w:rsidRPr="00283D9A">
        <w:rPr>
          <w:rFonts w:hAnsi="標楷體" w:hint="eastAsia"/>
          <w:color w:val="000000"/>
          <w:szCs w:val="32"/>
        </w:rPr>
        <w:t>韓國是否有進口美國牛舌並未掌握，俟知悉韓國進出口商有默契不交易牛舌訊息後，</w:t>
      </w:r>
      <w:r w:rsidR="00060041">
        <w:rPr>
          <w:rFonts w:hAnsi="標楷體" w:hint="eastAsia"/>
          <w:color w:val="000000"/>
          <w:szCs w:val="32"/>
        </w:rPr>
        <w:t>仍</w:t>
      </w:r>
      <w:r w:rsidR="00283D9A" w:rsidRPr="00283D9A">
        <w:rPr>
          <w:rFonts w:hAnsi="標楷體" w:hint="eastAsia"/>
          <w:color w:val="000000"/>
          <w:szCs w:val="32"/>
        </w:rPr>
        <w:t>未宣示朝韓國採行之模式辦理；</w:t>
      </w:r>
      <w:r w:rsidR="00060041">
        <w:rPr>
          <w:rFonts w:hAnsi="標楷體" w:hint="eastAsia"/>
          <w:color w:val="000000"/>
          <w:szCs w:val="32"/>
        </w:rPr>
        <w:t>另</w:t>
      </w:r>
      <w:r w:rsidR="00283D9A" w:rsidRPr="00283D9A">
        <w:rPr>
          <w:rFonts w:hAnsi="標楷體" w:hint="eastAsia"/>
          <w:color w:val="000000"/>
          <w:szCs w:val="32"/>
        </w:rPr>
        <w:t>對於業者申請新增進口之美國牛肉各部位，未能預先主動聯繫行政院農業委員會、經濟部等相關機關，研商逐批逐箱進口把關機制，並建立周延配套措施，衍生民眾不安</w:t>
      </w:r>
      <w:r w:rsidR="00060041">
        <w:rPr>
          <w:rFonts w:hAnsi="標楷體" w:hint="eastAsia"/>
          <w:color w:val="000000"/>
          <w:szCs w:val="32"/>
        </w:rPr>
        <w:t>。此外，該</w:t>
      </w:r>
      <w:r w:rsidR="00283D9A" w:rsidRPr="00283D9A">
        <w:rPr>
          <w:rFonts w:hAnsi="標楷體" w:hint="eastAsia"/>
          <w:color w:val="000000"/>
          <w:szCs w:val="32"/>
        </w:rPr>
        <w:t>署將牛舌風險與牛內臟風險合併評估，俟民眾質疑二者屬於同等級風險，不應進口</w:t>
      </w:r>
      <w:r w:rsidR="00283D9A" w:rsidRPr="00283D9A">
        <w:rPr>
          <w:rFonts w:hAnsi="標楷體" w:hint="eastAsia"/>
          <w:color w:val="000000"/>
          <w:szCs w:val="32"/>
        </w:rPr>
        <w:lastRenderedPageBreak/>
        <w:t>後，該署未能於第一時間即早釐清</w:t>
      </w:r>
      <w:r w:rsidR="00283D9A" w:rsidRPr="00283D9A">
        <w:rPr>
          <w:rFonts w:hAnsi="標楷體" w:cs="Arial" w:hint="eastAsia"/>
          <w:color w:val="000000"/>
          <w:szCs w:val="32"/>
        </w:rPr>
        <w:t>美國牛舌和美國牛內臟之個別風險，衍生民眾猜疑與不安，</w:t>
      </w:r>
      <w:r w:rsidR="00060041">
        <w:rPr>
          <w:rFonts w:hAnsi="標楷體" w:cs="Arial" w:hint="eastAsia"/>
          <w:color w:val="000000"/>
          <w:szCs w:val="32"/>
        </w:rPr>
        <w:t>足見該署處理本次美國牛舌進口案</w:t>
      </w:r>
      <w:r w:rsidR="00D404A6" w:rsidRPr="00283D9A">
        <w:rPr>
          <w:rFonts w:cs="HiddenHorzOCR" w:hint="eastAsia"/>
        </w:rPr>
        <w:t>均有失當</w:t>
      </w:r>
      <w:r w:rsidRPr="00283D9A">
        <w:rPr>
          <w:rFonts w:hint="eastAsia"/>
          <w:bCs/>
        </w:rPr>
        <w:t>，爰依監察法第24條提案糾正，移送行政院</w:t>
      </w:r>
      <w:r w:rsidR="00D404A6" w:rsidRPr="00283D9A">
        <w:rPr>
          <w:rFonts w:hint="eastAsia"/>
          <w:bCs/>
        </w:rPr>
        <w:t>轉</w:t>
      </w:r>
      <w:r w:rsidRPr="00283D9A">
        <w:rPr>
          <w:rFonts w:hint="eastAsia"/>
          <w:bCs/>
        </w:rPr>
        <w:t>飭所屬確實檢討改善見復。</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456147" w:rsidRDefault="00456147">
      <w:pPr>
        <w:ind w:leftChars="200" w:left="680" w:firstLineChars="200" w:firstLine="680"/>
        <w:rPr>
          <w:rFonts w:ascii="標楷體" w:hint="eastAsia"/>
          <w:bCs/>
          <w:kern w:val="0"/>
        </w:rPr>
      </w:pPr>
    </w:p>
    <w:sectPr w:rsidR="00456147">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F32" w:rsidRDefault="00A31F32" w:rsidP="00456147">
      <w:r>
        <w:separator/>
      </w:r>
    </w:p>
  </w:endnote>
  <w:endnote w:type="continuationSeparator" w:id="0">
    <w:p w:rsidR="00A31F32" w:rsidRDefault="00A31F32" w:rsidP="0045614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47" w:rsidRDefault="00456147">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56147" w:rsidRDefault="00456147">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47" w:rsidRDefault="00456147">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F321CB">
      <w:rPr>
        <w:rStyle w:val="a5"/>
        <w:noProof/>
        <w:sz w:val="24"/>
      </w:rPr>
      <w:t>2</w:t>
    </w:r>
    <w:r>
      <w:rPr>
        <w:rStyle w:val="a5"/>
        <w:sz w:val="24"/>
      </w:rPr>
      <w:fldChar w:fldCharType="end"/>
    </w:r>
  </w:p>
  <w:p w:rsidR="00456147" w:rsidRDefault="00456147">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F32" w:rsidRDefault="00A31F32" w:rsidP="00456147">
      <w:r>
        <w:separator/>
      </w:r>
    </w:p>
  </w:footnote>
  <w:footnote w:type="continuationSeparator" w:id="0">
    <w:p w:rsidR="00A31F32" w:rsidRDefault="00A31F32" w:rsidP="00456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355A2"/>
    <w:rsid w:val="00013587"/>
    <w:rsid w:val="00060041"/>
    <w:rsid w:val="000748C8"/>
    <w:rsid w:val="00122084"/>
    <w:rsid w:val="00277F77"/>
    <w:rsid w:val="00283D9A"/>
    <w:rsid w:val="002D7165"/>
    <w:rsid w:val="003A2705"/>
    <w:rsid w:val="003A7E20"/>
    <w:rsid w:val="00456147"/>
    <w:rsid w:val="004B7833"/>
    <w:rsid w:val="004D2610"/>
    <w:rsid w:val="005122F3"/>
    <w:rsid w:val="005463EB"/>
    <w:rsid w:val="00596084"/>
    <w:rsid w:val="005B27E8"/>
    <w:rsid w:val="00634D60"/>
    <w:rsid w:val="006B2E75"/>
    <w:rsid w:val="006E5AAA"/>
    <w:rsid w:val="00735BF5"/>
    <w:rsid w:val="00846580"/>
    <w:rsid w:val="008C6333"/>
    <w:rsid w:val="0092553B"/>
    <w:rsid w:val="00984559"/>
    <w:rsid w:val="009A21EE"/>
    <w:rsid w:val="009B2409"/>
    <w:rsid w:val="00A31F32"/>
    <w:rsid w:val="00AE1053"/>
    <w:rsid w:val="00C870A7"/>
    <w:rsid w:val="00CC743D"/>
    <w:rsid w:val="00D01F27"/>
    <w:rsid w:val="00D355A2"/>
    <w:rsid w:val="00D404A6"/>
    <w:rsid w:val="00DC6076"/>
    <w:rsid w:val="00E02BDB"/>
    <w:rsid w:val="00E3064A"/>
    <w:rsid w:val="00E657E8"/>
    <w:rsid w:val="00F321CB"/>
    <w:rsid w:val="00FA276C"/>
    <w:rsid w:val="00FA410A"/>
    <w:rsid w:val="00FF6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Balloon Text"/>
    <w:basedOn w:val="a"/>
    <w:link w:val="ab"/>
    <w:uiPriority w:val="99"/>
    <w:semiHidden/>
    <w:unhideWhenUsed/>
    <w:rsid w:val="00277F77"/>
    <w:rPr>
      <w:rFonts w:ascii="Cambria" w:eastAsia="新細明體" w:hAnsi="Cambria"/>
      <w:sz w:val="18"/>
      <w:szCs w:val="18"/>
    </w:rPr>
  </w:style>
  <w:style w:type="character" w:customStyle="1" w:styleId="ab">
    <w:name w:val="註解方塊文字 字元"/>
    <w:basedOn w:val="a0"/>
    <w:link w:val="aa"/>
    <w:uiPriority w:val="99"/>
    <w:semiHidden/>
    <w:rsid w:val="00277F7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2895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22\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0</TotalTime>
  <Pages>7</Pages>
  <Words>573</Words>
  <Characters>3270</Characters>
  <Application>Microsoft Office Word</Application>
  <DocSecurity>0</DocSecurity>
  <Lines>27</Lines>
  <Paragraphs>7</Paragraphs>
  <ScaleCrop>false</ScaleCrop>
  <Company>cy</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2010-03-16T08:44:00Z</cp:lastPrinted>
  <dcterms:created xsi:type="dcterms:W3CDTF">2010-06-03T05:43:00Z</dcterms:created>
  <dcterms:modified xsi:type="dcterms:W3CDTF">2010-06-03T05:43:00Z</dcterms:modified>
</cp:coreProperties>
</file>