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115" w:rsidRDefault="00A67115" w:rsidP="0076420F">
      <w:pPr>
        <w:pStyle w:val="a5"/>
        <w:kinsoku w:val="0"/>
        <w:spacing w:before="0"/>
        <w:ind w:leftChars="700" w:left="2381" w:firstLine="0"/>
        <w:rPr>
          <w:rFonts w:ascii="Times New Roman" w:cstheme="minorBidi"/>
          <w:kern w:val="0"/>
          <w:sz w:val="40"/>
          <w:szCs w:val="40"/>
        </w:rPr>
      </w:pPr>
      <w:r>
        <w:rPr>
          <w:rFonts w:hint="eastAsia"/>
          <w:spacing w:val="200"/>
          <w:kern w:val="0"/>
          <w:sz w:val="40"/>
          <w:szCs w:val="40"/>
        </w:rPr>
        <w:t>糾正案文</w:t>
      </w:r>
    </w:p>
    <w:p w:rsidR="00A67115" w:rsidRDefault="00A67115" w:rsidP="0076420F">
      <w:pPr>
        <w:pStyle w:val="1"/>
        <w:ind w:left="2721" w:hanging="2721"/>
        <w:rPr>
          <w:rFonts w:ascii="Times New Roman" w:hAnsi="Times New Roman" w:cs="Times New Roman"/>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rPr>
        <w:t>教育部。</w:t>
      </w:r>
    </w:p>
    <w:p w:rsidR="00A67115" w:rsidRDefault="00A67115" w:rsidP="0076420F">
      <w:pPr>
        <w:pStyle w:val="1"/>
        <w:ind w:left="2721" w:hanging="2721"/>
        <w:rPr>
          <w:rFonts w:ascii="Times New Roman" w:hAnsi="Times New Roman" w:cs="Times New Roman"/>
        </w:rPr>
      </w:pPr>
      <w:bookmarkStart w:id="14" w:name="_Toc529218255"/>
      <w:bookmarkStart w:id="15" w:name="_Toc529222678"/>
      <w:bookmarkStart w:id="16" w:name="_Toc529223100"/>
      <w:bookmarkStart w:id="17" w:name="_Toc529223851"/>
      <w:bookmarkStart w:id="18" w:name="_Toc529228247"/>
      <w:r>
        <w:rPr>
          <w:rFonts w:hint="eastAsia"/>
        </w:rPr>
        <w:t>案　　　由：教育部執行「發展國際一流大學及頂尖研究中心計畫」，計畫目的未能清楚釐訂，目標定義有欠明確，且未能適時修正計畫，復未由特別</w:t>
      </w:r>
      <w:proofErr w:type="gramStart"/>
      <w:r>
        <w:rPr>
          <w:rFonts w:hint="eastAsia"/>
        </w:rPr>
        <w:t>預算足編預算</w:t>
      </w:r>
      <w:proofErr w:type="gramEnd"/>
      <w:r>
        <w:rPr>
          <w:rFonts w:hint="eastAsia"/>
        </w:rPr>
        <w:t>；聘任委員未循一定之邏輯，領域配置不一致，</w:t>
      </w:r>
      <w:bookmarkEnd w:id="14"/>
      <w:bookmarkEnd w:id="15"/>
      <w:bookmarkEnd w:id="16"/>
      <w:bookmarkEnd w:id="17"/>
      <w:bookmarkEnd w:id="18"/>
      <w:r>
        <w:rPr>
          <w:rFonts w:hint="eastAsia"/>
        </w:rPr>
        <w:t>審議指標亦未能考量不同學科之特性及未納入學校畢業生對社會之貢獻；計畫之執行，造成大學</w:t>
      </w:r>
      <w:r>
        <w:t>M</w:t>
      </w:r>
      <w:r>
        <w:rPr>
          <w:rFonts w:hint="eastAsia"/>
        </w:rPr>
        <w:t>型化趨勢之出現及重研究不重教學、服務之現象持續存在，</w:t>
      </w:r>
      <w:proofErr w:type="gramStart"/>
      <w:r>
        <w:rPr>
          <w:rFonts w:hint="eastAsia"/>
        </w:rPr>
        <w:t>均核有</w:t>
      </w:r>
      <w:proofErr w:type="gramEnd"/>
      <w:r>
        <w:rPr>
          <w:rFonts w:hint="eastAsia"/>
        </w:rPr>
        <w:t>未當。</w:t>
      </w:r>
    </w:p>
    <w:p w:rsidR="00A67115" w:rsidRDefault="00A67115" w:rsidP="0076420F">
      <w:pPr>
        <w:pStyle w:val="1"/>
        <w:ind w:left="2381" w:hangingChars="700" w:hanging="2381"/>
        <w:rPr>
          <w:rFonts w:ascii="Times New Roman" w:hAnsi="Times New Roman" w:cs="Times New Roman"/>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A67115" w:rsidRDefault="00A67115" w:rsidP="0076420F">
      <w:pPr>
        <w:pStyle w:val="12"/>
        <w:ind w:left="680" w:firstLine="680"/>
        <w:rPr>
          <w:rFonts w:ascii="Times New Roman" w:cstheme="minorBidi"/>
        </w:rPr>
      </w:pPr>
      <w:r>
        <w:rPr>
          <w:rFonts w:hint="eastAsia"/>
        </w:rPr>
        <w:t>本案係本院教育及文化委員會會議決議組成專案小組調查，</w:t>
      </w:r>
      <w:r>
        <w:rPr>
          <w:rFonts w:hint="eastAsia"/>
          <w:noProof/>
          <w:color w:val="000000"/>
        </w:rPr>
        <w:t>調查結果發現，</w:t>
      </w:r>
      <w:r>
        <w:rPr>
          <w:rFonts w:hint="eastAsia"/>
        </w:rPr>
        <w:t>固然教育部「發展國際一流大學及頂尖研究中心計畫」（下稱本計畫）業已達成</w:t>
      </w:r>
      <w:r>
        <w:t>10</w:t>
      </w:r>
      <w:r>
        <w:rPr>
          <w:rFonts w:hint="eastAsia"/>
        </w:rPr>
        <w:t>年內至少</w:t>
      </w:r>
      <w:r>
        <w:t>1</w:t>
      </w:r>
      <w:r>
        <w:rPr>
          <w:rFonts w:hint="eastAsia"/>
        </w:rPr>
        <w:t>所大學躋身國際一流大學等目標，經費</w:t>
      </w:r>
      <w:proofErr w:type="gramStart"/>
      <w:r>
        <w:rPr>
          <w:rFonts w:hint="eastAsia"/>
        </w:rPr>
        <w:t>挹</w:t>
      </w:r>
      <w:proofErr w:type="gramEnd"/>
      <w:r>
        <w:rPr>
          <w:rFonts w:hint="eastAsia"/>
        </w:rPr>
        <w:t>注對提升獲補助大學學術研究水準亦有其助益，惟執行過程仍有未當之事項，</w:t>
      </w:r>
      <w:r>
        <w:rPr>
          <w:rFonts w:hint="eastAsia"/>
          <w:color w:val="000000"/>
        </w:rPr>
        <w:t>茲將事實及理由</w:t>
      </w:r>
      <w:proofErr w:type="gramStart"/>
      <w:r>
        <w:rPr>
          <w:rFonts w:hint="eastAsia"/>
          <w:color w:val="000000"/>
        </w:rPr>
        <w:t>臚列如</w:t>
      </w:r>
      <w:proofErr w:type="gramEnd"/>
      <w:r>
        <w:rPr>
          <w:rFonts w:hint="eastAsia"/>
          <w:color w:val="000000"/>
        </w:rPr>
        <w:t>後：</w:t>
      </w:r>
      <w:bookmarkStart w:id="33" w:name="_Toc525066144"/>
      <w:bookmarkStart w:id="34" w:name="_Toc525070834"/>
      <w:bookmarkStart w:id="35" w:name="_Toc525938374"/>
      <w:bookmarkStart w:id="36" w:name="_Toc525939222"/>
      <w:bookmarkStart w:id="37" w:name="_Toc525939727"/>
      <w:bookmarkStart w:id="38" w:name="_Toc524892372"/>
    </w:p>
    <w:p w:rsidR="00A67115" w:rsidRDefault="00A67115">
      <w:pPr>
        <w:pStyle w:val="2"/>
        <w:rPr>
          <w:rFonts w:ascii="Times New Roman" w:hAnsi="Times New Roman" w:cs="Times New Roman"/>
        </w:rPr>
      </w:pPr>
      <w:bookmarkStart w:id="39" w:name="_Toc250476388"/>
      <w:bookmarkStart w:id="40" w:name="_Toc252381891"/>
      <w:bookmarkStart w:id="41" w:name="_Toc256174942"/>
      <w:bookmarkStart w:id="42" w:name="_Toc250476383"/>
      <w:bookmarkEnd w:id="33"/>
      <w:bookmarkEnd w:id="34"/>
      <w:bookmarkEnd w:id="35"/>
      <w:bookmarkEnd w:id="36"/>
      <w:bookmarkEnd w:id="37"/>
      <w:r>
        <w:rPr>
          <w:rFonts w:hint="eastAsia"/>
        </w:rPr>
        <w:t>教育部「發展國際一流大學及頂尖研究中心計畫」之計畫目的未清楚釐訂，且未能於計畫期程變更及變更申請內容時適時修正計畫，核有欠妥：</w:t>
      </w:r>
      <w:bookmarkEnd w:id="39"/>
      <w:bookmarkEnd w:id="40"/>
      <w:bookmarkEnd w:id="41"/>
    </w:p>
    <w:p w:rsidR="00A67115" w:rsidRDefault="00A67115">
      <w:pPr>
        <w:pStyle w:val="3"/>
        <w:ind w:left="1360" w:hanging="680"/>
        <w:rPr>
          <w:rFonts w:ascii="Times New Roman" w:hAnsi="Times New Roman" w:cs="Times New Roman"/>
        </w:rPr>
      </w:pPr>
      <w:bookmarkStart w:id="43" w:name="_Toc251055467"/>
      <w:bookmarkStart w:id="44" w:name="_Toc252381892"/>
      <w:bookmarkStart w:id="45" w:name="_Toc252969826"/>
      <w:bookmarkStart w:id="46" w:name="_Toc256174943"/>
      <w:bookmarkStart w:id="47" w:name="_Toc251055466"/>
      <w:bookmarkStart w:id="48" w:name="_Toc250476389"/>
      <w:r>
        <w:rPr>
          <w:rFonts w:hint="eastAsia"/>
        </w:rPr>
        <w:t>本計畫之</w:t>
      </w:r>
      <w:r>
        <w:t>2</w:t>
      </w:r>
      <w:r>
        <w:rPr>
          <w:rFonts w:hint="eastAsia"/>
        </w:rPr>
        <w:t>項子計畫「發展國際一流大學計畫」及「發展頂尖研究中心（領域）計畫」之目的本應不同，各適用不同之審議標準。本計畫第</w:t>
      </w:r>
      <w:r>
        <w:t>1</w:t>
      </w:r>
      <w:r>
        <w:rPr>
          <w:rFonts w:hint="eastAsia"/>
        </w:rPr>
        <w:t>梯次計有</w:t>
      </w:r>
      <w:r>
        <w:t>29</w:t>
      </w:r>
      <w:r>
        <w:rPr>
          <w:rFonts w:hint="eastAsia"/>
        </w:rPr>
        <w:t>校提出申請，其中</w:t>
      </w:r>
      <w:r>
        <w:t>7</w:t>
      </w:r>
      <w:r>
        <w:rPr>
          <w:rFonts w:hint="eastAsia"/>
        </w:rPr>
        <w:t>校申請「發展國際一流大學計畫」，</w:t>
      </w:r>
      <w:r>
        <w:t>22</w:t>
      </w:r>
      <w:r>
        <w:rPr>
          <w:rFonts w:hint="eastAsia"/>
        </w:rPr>
        <w:t>校申請「發展頂尖研究中心計畫」。</w:t>
      </w:r>
      <w:bookmarkStart w:id="49" w:name="_Toc250476390"/>
      <w:r>
        <w:rPr>
          <w:rFonts w:hint="eastAsia"/>
        </w:rPr>
        <w:t>第</w:t>
      </w:r>
      <w:r>
        <w:t>2</w:t>
      </w:r>
      <w:r>
        <w:rPr>
          <w:rFonts w:hint="eastAsia"/>
        </w:rPr>
        <w:t>梯次之申請，因在</w:t>
      </w:r>
      <w:r>
        <w:t>96</w:t>
      </w:r>
      <w:r>
        <w:rPr>
          <w:rFonts w:hint="eastAsia"/>
        </w:rPr>
        <w:t>年</w:t>
      </w:r>
      <w:r>
        <w:t>5</w:t>
      </w:r>
      <w:r>
        <w:rPr>
          <w:rFonts w:hint="eastAsia"/>
        </w:rPr>
        <w:t>月</w:t>
      </w:r>
      <w:r>
        <w:t>31</w:t>
      </w:r>
      <w:r>
        <w:rPr>
          <w:rFonts w:hint="eastAsia"/>
        </w:rPr>
        <w:t>日之審議委員會決議申請計畫書內容不區分為「國際一流大學」及「頂尖研究中心」，各校之申請即未區分「國際一</w:t>
      </w:r>
      <w:r>
        <w:rPr>
          <w:rFonts w:hint="eastAsia"/>
        </w:rPr>
        <w:lastRenderedPageBreak/>
        <w:t>流大學」及「頂尖研究中心」。查</w:t>
      </w:r>
      <w:r>
        <w:t>94</w:t>
      </w:r>
      <w:r>
        <w:rPr>
          <w:rFonts w:hint="eastAsia"/>
        </w:rPr>
        <w:t>年</w:t>
      </w:r>
      <w:r>
        <w:t>7</w:t>
      </w:r>
      <w:r>
        <w:rPr>
          <w:rFonts w:hint="eastAsia"/>
        </w:rPr>
        <w:t>月</w:t>
      </w:r>
      <w:r>
        <w:t>25</w:t>
      </w:r>
      <w:r>
        <w:rPr>
          <w:rFonts w:hint="eastAsia"/>
        </w:rPr>
        <w:t>日第</w:t>
      </w:r>
      <w:r>
        <w:t>1</w:t>
      </w:r>
      <w:r>
        <w:rPr>
          <w:rFonts w:hint="eastAsia"/>
        </w:rPr>
        <w:t>梯次審議委員會初審會議決議初審通過</w:t>
      </w:r>
      <w:r>
        <w:t>17</w:t>
      </w:r>
      <w:r>
        <w:rPr>
          <w:rFonts w:hint="eastAsia"/>
        </w:rPr>
        <w:t>個學校，其中臺大、國立成功大學（下稱成大）、國立清華大學（下稱清大）、國立交通大學（下稱交大）等</w:t>
      </w:r>
      <w:r>
        <w:t>4</w:t>
      </w:r>
      <w:r>
        <w:rPr>
          <w:rFonts w:hint="eastAsia"/>
        </w:rPr>
        <w:t>校係歸屬第</w:t>
      </w:r>
      <w:r>
        <w:t>1</w:t>
      </w:r>
      <w:r>
        <w:rPr>
          <w:rFonts w:hint="eastAsia"/>
        </w:rPr>
        <w:t>層級，其他</w:t>
      </w:r>
      <w:r>
        <w:t>13</w:t>
      </w:r>
      <w:r>
        <w:rPr>
          <w:rFonts w:hint="eastAsia"/>
        </w:rPr>
        <w:t>校歸屬為第</w:t>
      </w:r>
      <w:r>
        <w:t>2</w:t>
      </w:r>
      <w:r>
        <w:rPr>
          <w:rFonts w:hint="eastAsia"/>
        </w:rPr>
        <w:t>層級。</w:t>
      </w:r>
      <w:r>
        <w:t>94</w:t>
      </w:r>
      <w:r>
        <w:rPr>
          <w:rFonts w:hint="eastAsia"/>
        </w:rPr>
        <w:t>年</w:t>
      </w:r>
      <w:r>
        <w:t>9</w:t>
      </w:r>
      <w:r>
        <w:rPr>
          <w:rFonts w:hint="eastAsia"/>
        </w:rPr>
        <w:t>月</w:t>
      </w:r>
      <w:r>
        <w:t>24</w:t>
      </w:r>
      <w:r>
        <w:rPr>
          <w:rFonts w:hint="eastAsia"/>
        </w:rPr>
        <w:t>日審議委員會國內委員工作小組會議復建議：國際一流大學分</w:t>
      </w:r>
      <w:r>
        <w:t>2</w:t>
      </w:r>
      <w:r>
        <w:rPr>
          <w:rFonts w:hint="eastAsia"/>
        </w:rPr>
        <w:t>級，臺大、清大列第</w:t>
      </w:r>
      <w:r>
        <w:t>1</w:t>
      </w:r>
      <w:r>
        <w:rPr>
          <w:rFonts w:hint="eastAsia"/>
        </w:rPr>
        <w:t>級，成大、交大第</w:t>
      </w:r>
      <w:r>
        <w:t>2</w:t>
      </w:r>
      <w:r>
        <w:rPr>
          <w:rFonts w:hint="eastAsia"/>
        </w:rPr>
        <w:t>級。頂尖中心有</w:t>
      </w:r>
      <w:r>
        <w:t>8</w:t>
      </w:r>
      <w:r>
        <w:rPr>
          <w:rFonts w:hint="eastAsia"/>
        </w:rPr>
        <w:t>所，分為國立陽明大學（下稱陽明）、國立中央大學（下稱中央）、國立中山大學（下稱中山）一級，其餘</w:t>
      </w:r>
      <w:r>
        <w:t>5</w:t>
      </w:r>
      <w:r>
        <w:rPr>
          <w:rFonts w:hint="eastAsia"/>
        </w:rPr>
        <w:t>校為一級，二級之間經費可做調整。又</w:t>
      </w:r>
      <w:r>
        <w:t>94</w:t>
      </w:r>
      <w:r>
        <w:rPr>
          <w:rFonts w:hint="eastAsia"/>
        </w:rPr>
        <w:t>年</w:t>
      </w:r>
      <w:r>
        <w:t>10</w:t>
      </w:r>
      <w:r>
        <w:rPr>
          <w:rFonts w:hint="eastAsia"/>
        </w:rPr>
        <w:t>月</w:t>
      </w:r>
      <w:r>
        <w:t>9</w:t>
      </w:r>
      <w:r>
        <w:rPr>
          <w:rFonts w:hint="eastAsia"/>
        </w:rPr>
        <w:t>日審議委員會</w:t>
      </w:r>
      <w:proofErr w:type="gramStart"/>
      <w:r>
        <w:rPr>
          <w:rFonts w:hint="eastAsia"/>
        </w:rPr>
        <w:t>複</w:t>
      </w:r>
      <w:proofErr w:type="gramEnd"/>
      <w:r>
        <w:rPr>
          <w:rFonts w:hint="eastAsia"/>
        </w:rPr>
        <w:t>審會議決議，審定結果遴選出臺大、成大、清大、交大、中央、中山、陽明、國立中興大學（下稱中興）、國立臺灣科技大學（下稱</w:t>
      </w:r>
      <w:proofErr w:type="gramStart"/>
      <w:r>
        <w:rPr>
          <w:rFonts w:hint="eastAsia"/>
        </w:rPr>
        <w:t>臺</w:t>
      </w:r>
      <w:proofErr w:type="gramEnd"/>
      <w:r>
        <w:rPr>
          <w:rFonts w:hint="eastAsia"/>
        </w:rPr>
        <w:t>科大）、政大、私立長庚大學（下稱長庚）、私立元智大學（下稱元智）等</w:t>
      </w:r>
      <w:r>
        <w:t>12</w:t>
      </w:r>
      <w:r>
        <w:rPr>
          <w:rFonts w:hint="eastAsia"/>
        </w:rPr>
        <w:t>校，而其公布方式，擬不強調「國際一流大學」或「頂尖研究中心」之分級，僅公布校名及補助經費額度。本計畫之申請資格及其審議標準，本係因應「國際一流大學」及「頂尖研究中心」兩部分之區分，惟第</w:t>
      </w:r>
      <w:r>
        <w:t>1</w:t>
      </w:r>
      <w:r>
        <w:rPr>
          <w:rFonts w:hint="eastAsia"/>
        </w:rPr>
        <w:t>梯次之審議結果，原申請「國際一流大學」之陽明、中央及政大竟被</w:t>
      </w:r>
      <w:proofErr w:type="gramStart"/>
      <w:r>
        <w:rPr>
          <w:rFonts w:hint="eastAsia"/>
        </w:rPr>
        <w:t>逕</w:t>
      </w:r>
      <w:proofErr w:type="gramEnd"/>
      <w:r>
        <w:rPr>
          <w:rFonts w:hint="eastAsia"/>
        </w:rPr>
        <w:t>歸為「頂尖研究中心」，且公布時僅有校名及補助經費額度，顯見本計畫目的未清楚釐訂，審議結果與原計畫並不同。</w:t>
      </w:r>
      <w:bookmarkEnd w:id="43"/>
      <w:bookmarkEnd w:id="44"/>
      <w:bookmarkEnd w:id="45"/>
      <w:bookmarkEnd w:id="46"/>
      <w:bookmarkEnd w:id="49"/>
    </w:p>
    <w:p w:rsidR="00A67115" w:rsidRDefault="00A67115">
      <w:pPr>
        <w:pStyle w:val="3"/>
        <w:ind w:left="1360" w:hanging="680"/>
        <w:rPr>
          <w:rFonts w:ascii="Times New Roman" w:hAnsi="Times New Roman" w:cs="Times New Roman"/>
        </w:rPr>
      </w:pPr>
      <w:bookmarkStart w:id="50" w:name="_Toc252381893"/>
      <w:bookmarkStart w:id="51" w:name="_Toc252969827"/>
      <w:bookmarkStart w:id="52" w:name="_Toc256174944"/>
      <w:r>
        <w:rPr>
          <w:rFonts w:hint="eastAsia"/>
        </w:rPr>
        <w:t>教育部於</w:t>
      </w:r>
      <w:r>
        <w:t>94</w:t>
      </w:r>
      <w:r>
        <w:rPr>
          <w:rFonts w:hint="eastAsia"/>
        </w:rPr>
        <w:t>年</w:t>
      </w:r>
      <w:r>
        <w:t>4</w:t>
      </w:r>
      <w:r>
        <w:rPr>
          <w:rFonts w:hint="eastAsia"/>
        </w:rPr>
        <w:t>月</w:t>
      </w:r>
      <w:r>
        <w:t>19</w:t>
      </w:r>
      <w:r>
        <w:rPr>
          <w:rFonts w:hint="eastAsia"/>
        </w:rPr>
        <w:t>日以台高字第</w:t>
      </w:r>
      <w:r>
        <w:t>0940048262</w:t>
      </w:r>
      <w:r>
        <w:rPr>
          <w:rFonts w:hint="eastAsia"/>
        </w:rPr>
        <w:t>號函報「發展國際一流大學及頂尖研究中心計畫」</w:t>
      </w:r>
      <w:proofErr w:type="gramStart"/>
      <w:r>
        <w:rPr>
          <w:rFonts w:hint="eastAsia"/>
        </w:rPr>
        <w:t>予行</w:t>
      </w:r>
      <w:proofErr w:type="gramEnd"/>
      <w:r>
        <w:rPr>
          <w:rFonts w:hint="eastAsia"/>
        </w:rPr>
        <w:t>政院，並經該院第</w:t>
      </w:r>
      <w:r>
        <w:t>2925</w:t>
      </w:r>
      <w:r>
        <w:rPr>
          <w:rFonts w:hint="eastAsia"/>
        </w:rPr>
        <w:t>次會議通過本計畫，且於同年</w:t>
      </w:r>
      <w:r>
        <w:t>5</w:t>
      </w:r>
      <w:r>
        <w:rPr>
          <w:rFonts w:hint="eastAsia"/>
        </w:rPr>
        <w:t>月</w:t>
      </w:r>
      <w:r>
        <w:t>13</w:t>
      </w:r>
      <w:r>
        <w:rPr>
          <w:rFonts w:hint="eastAsia"/>
        </w:rPr>
        <w:t>日以院</w:t>
      </w:r>
      <w:proofErr w:type="gramStart"/>
      <w:r>
        <w:rPr>
          <w:rFonts w:hint="eastAsia"/>
        </w:rPr>
        <w:t>臺教字</w:t>
      </w:r>
      <w:proofErr w:type="gramEnd"/>
      <w:r>
        <w:rPr>
          <w:rFonts w:hint="eastAsia"/>
        </w:rPr>
        <w:t>第</w:t>
      </w:r>
      <w:r>
        <w:t>0940016758</w:t>
      </w:r>
      <w:r>
        <w:rPr>
          <w:rFonts w:hint="eastAsia"/>
        </w:rPr>
        <w:t>號函</w:t>
      </w:r>
      <w:proofErr w:type="gramStart"/>
      <w:r>
        <w:rPr>
          <w:rFonts w:hint="eastAsia"/>
        </w:rPr>
        <w:t>復該部</w:t>
      </w:r>
      <w:proofErr w:type="gramEnd"/>
      <w:r>
        <w:rPr>
          <w:rFonts w:hint="eastAsia"/>
        </w:rPr>
        <w:t>同意備查。查本計畫第</w:t>
      </w:r>
      <w:r>
        <w:t>1</w:t>
      </w:r>
      <w:r>
        <w:rPr>
          <w:rFonts w:hint="eastAsia"/>
        </w:rPr>
        <w:t>期之</w:t>
      </w:r>
      <w:proofErr w:type="gramStart"/>
      <w:r>
        <w:rPr>
          <w:rFonts w:hint="eastAsia"/>
        </w:rPr>
        <w:t>期程原訂</w:t>
      </w:r>
      <w:proofErr w:type="gramEnd"/>
      <w:r>
        <w:t>94</w:t>
      </w:r>
      <w:r>
        <w:rPr>
          <w:rFonts w:hint="eastAsia"/>
        </w:rPr>
        <w:t>年至</w:t>
      </w:r>
      <w:r>
        <w:t>98</w:t>
      </w:r>
      <w:r>
        <w:rPr>
          <w:rFonts w:hint="eastAsia"/>
        </w:rPr>
        <w:t>年，</w:t>
      </w:r>
      <w:proofErr w:type="gramStart"/>
      <w:r>
        <w:rPr>
          <w:rFonts w:hint="eastAsia"/>
        </w:rPr>
        <w:t>嗣</w:t>
      </w:r>
      <w:proofErr w:type="gramEnd"/>
      <w:r>
        <w:t>94</w:t>
      </w:r>
      <w:r>
        <w:rPr>
          <w:rFonts w:hint="eastAsia"/>
        </w:rPr>
        <w:t>年度編列之特別預算</w:t>
      </w:r>
      <w:r>
        <w:t>100</w:t>
      </w:r>
      <w:r>
        <w:rPr>
          <w:rFonts w:hint="eastAsia"/>
        </w:rPr>
        <w:t>億元至</w:t>
      </w:r>
      <w:r>
        <w:t>94</w:t>
      </w:r>
      <w:r>
        <w:rPr>
          <w:rFonts w:hint="eastAsia"/>
        </w:rPr>
        <w:t>年</w:t>
      </w:r>
      <w:r>
        <w:lastRenderedPageBreak/>
        <w:t>12</w:t>
      </w:r>
      <w:r>
        <w:rPr>
          <w:rFonts w:hint="eastAsia"/>
        </w:rPr>
        <w:t>月</w:t>
      </w:r>
      <w:r>
        <w:t>28</w:t>
      </w:r>
      <w:r>
        <w:rPr>
          <w:rFonts w:hint="eastAsia"/>
        </w:rPr>
        <w:t>日始獲立法院解凍，並經行政院於</w:t>
      </w:r>
      <w:r>
        <w:t>95</w:t>
      </w:r>
      <w:r>
        <w:rPr>
          <w:rFonts w:hint="eastAsia"/>
        </w:rPr>
        <w:t>年</w:t>
      </w:r>
      <w:r>
        <w:t>1</w:t>
      </w:r>
      <w:r>
        <w:rPr>
          <w:rFonts w:hint="eastAsia"/>
        </w:rPr>
        <w:t>月</w:t>
      </w:r>
      <w:r>
        <w:t>24</w:t>
      </w:r>
      <w:r>
        <w:rPr>
          <w:rFonts w:hint="eastAsia"/>
        </w:rPr>
        <w:t>日</w:t>
      </w:r>
      <w:proofErr w:type="gramStart"/>
      <w:r>
        <w:rPr>
          <w:rFonts w:hint="eastAsia"/>
        </w:rPr>
        <w:t>院授主忠</w:t>
      </w:r>
      <w:proofErr w:type="gramEnd"/>
      <w:r>
        <w:rPr>
          <w:rFonts w:hint="eastAsia"/>
        </w:rPr>
        <w:t>五字第</w:t>
      </w:r>
      <w:r>
        <w:t>0950000513</w:t>
      </w:r>
      <w:r>
        <w:rPr>
          <w:rFonts w:hint="eastAsia"/>
        </w:rPr>
        <w:t>號函同意保留至</w:t>
      </w:r>
      <w:r>
        <w:t>95</w:t>
      </w:r>
      <w:r>
        <w:rPr>
          <w:rFonts w:hint="eastAsia"/>
        </w:rPr>
        <w:t>年執行，致計畫執行期程較原規劃遞延</w:t>
      </w:r>
      <w:r>
        <w:t>1</w:t>
      </w:r>
      <w:r>
        <w:rPr>
          <w:rFonts w:hint="eastAsia"/>
        </w:rPr>
        <w:t>年。</w:t>
      </w:r>
      <w:proofErr w:type="gramStart"/>
      <w:r>
        <w:rPr>
          <w:rFonts w:hint="eastAsia"/>
        </w:rPr>
        <w:t>惟</w:t>
      </w:r>
      <w:proofErr w:type="gramEnd"/>
      <w:r>
        <w:rPr>
          <w:rFonts w:hint="eastAsia"/>
        </w:rPr>
        <w:t>教育部並未立即函報行政院修正本計畫之執行期程第</w:t>
      </w:r>
      <w:r>
        <w:t>1</w:t>
      </w:r>
      <w:r>
        <w:rPr>
          <w:rFonts w:hint="eastAsia"/>
        </w:rPr>
        <w:t>期為</w:t>
      </w:r>
      <w:r>
        <w:t>95</w:t>
      </w:r>
      <w:r>
        <w:rPr>
          <w:rFonts w:hint="eastAsia"/>
        </w:rPr>
        <w:t>年至</w:t>
      </w:r>
      <w:r>
        <w:t>99</w:t>
      </w:r>
      <w:r>
        <w:rPr>
          <w:rFonts w:hint="eastAsia"/>
        </w:rPr>
        <w:t>年，第</w:t>
      </w:r>
      <w:r>
        <w:t>2</w:t>
      </w:r>
      <w:r>
        <w:rPr>
          <w:rFonts w:hint="eastAsia"/>
        </w:rPr>
        <w:t>期為</w:t>
      </w:r>
      <w:r>
        <w:t>100</w:t>
      </w:r>
      <w:r>
        <w:rPr>
          <w:rFonts w:hint="eastAsia"/>
        </w:rPr>
        <w:t>年至</w:t>
      </w:r>
      <w:r>
        <w:t>104</w:t>
      </w:r>
      <w:r>
        <w:rPr>
          <w:rFonts w:hint="eastAsia"/>
        </w:rPr>
        <w:t>年，</w:t>
      </w:r>
      <w:proofErr w:type="gramStart"/>
      <w:r>
        <w:rPr>
          <w:rFonts w:hint="eastAsia"/>
        </w:rPr>
        <w:t>迨</w:t>
      </w:r>
      <w:proofErr w:type="gramEnd"/>
      <w:r>
        <w:rPr>
          <w:rFonts w:hint="eastAsia"/>
        </w:rPr>
        <w:t>於</w:t>
      </w:r>
      <w:r>
        <w:t>97</w:t>
      </w:r>
      <w:r>
        <w:rPr>
          <w:rFonts w:hint="eastAsia"/>
        </w:rPr>
        <w:t>年</w:t>
      </w:r>
      <w:r>
        <w:t>7</w:t>
      </w:r>
      <w:r>
        <w:rPr>
          <w:rFonts w:hint="eastAsia"/>
        </w:rPr>
        <w:t>月</w:t>
      </w:r>
      <w:r>
        <w:t>25</w:t>
      </w:r>
      <w:r>
        <w:rPr>
          <w:rFonts w:hint="eastAsia"/>
        </w:rPr>
        <w:t>日始以台高字第</w:t>
      </w:r>
      <w:r>
        <w:t>0970142776</w:t>
      </w:r>
      <w:r>
        <w:rPr>
          <w:rFonts w:hint="eastAsia"/>
        </w:rPr>
        <w:t>號函報行政院修正本計畫之執行期程，而獲行政院</w:t>
      </w:r>
      <w:r>
        <w:t>97</w:t>
      </w:r>
      <w:r>
        <w:rPr>
          <w:rFonts w:hint="eastAsia"/>
        </w:rPr>
        <w:t>年</w:t>
      </w:r>
      <w:r>
        <w:t>8</w:t>
      </w:r>
      <w:r>
        <w:rPr>
          <w:rFonts w:hint="eastAsia"/>
        </w:rPr>
        <w:t>月</w:t>
      </w:r>
      <w:r>
        <w:t>27</w:t>
      </w:r>
      <w:r>
        <w:rPr>
          <w:rFonts w:hint="eastAsia"/>
        </w:rPr>
        <w:t>日院</w:t>
      </w:r>
      <w:proofErr w:type="gramStart"/>
      <w:r>
        <w:rPr>
          <w:rFonts w:hint="eastAsia"/>
        </w:rPr>
        <w:t>臺教字</w:t>
      </w:r>
      <w:proofErr w:type="gramEnd"/>
      <w:r>
        <w:rPr>
          <w:rFonts w:hint="eastAsia"/>
        </w:rPr>
        <w:t>第</w:t>
      </w:r>
      <w:r>
        <w:t>0970036775</w:t>
      </w:r>
      <w:r>
        <w:rPr>
          <w:rFonts w:hint="eastAsia"/>
        </w:rPr>
        <w:t>號函同意。顯見，教育部未能於計畫期程變更時適時修正計畫，核有未當。</w:t>
      </w:r>
      <w:bookmarkEnd w:id="47"/>
      <w:bookmarkEnd w:id="50"/>
      <w:bookmarkEnd w:id="51"/>
      <w:bookmarkEnd w:id="52"/>
    </w:p>
    <w:p w:rsidR="00A67115" w:rsidRDefault="00A67115">
      <w:pPr>
        <w:pStyle w:val="3"/>
        <w:ind w:left="1360" w:hanging="680"/>
        <w:rPr>
          <w:rFonts w:ascii="Times New Roman" w:hAnsi="Times New Roman" w:cs="Times New Roman"/>
        </w:rPr>
      </w:pPr>
      <w:bookmarkStart w:id="53" w:name="_Toc251055468"/>
      <w:bookmarkStart w:id="54" w:name="_Toc252381894"/>
      <w:bookmarkStart w:id="55" w:name="_Toc252969828"/>
      <w:bookmarkStart w:id="56" w:name="_Toc256174945"/>
      <w:bookmarkEnd w:id="48"/>
      <w:r>
        <w:rPr>
          <w:rFonts w:hint="eastAsia"/>
        </w:rPr>
        <w:t>綜上，計畫期程及申請內容變更時，教育部未能適時修正計畫，且本計畫之目的未清楚釐訂，</w:t>
      </w:r>
      <w:proofErr w:type="gramStart"/>
      <w:r>
        <w:rPr>
          <w:rFonts w:hint="eastAsia"/>
        </w:rPr>
        <w:t>均核有</w:t>
      </w:r>
      <w:proofErr w:type="gramEnd"/>
      <w:r>
        <w:rPr>
          <w:rFonts w:hint="eastAsia"/>
        </w:rPr>
        <w:t>欠妥。</w:t>
      </w:r>
      <w:bookmarkEnd w:id="53"/>
      <w:bookmarkEnd w:id="54"/>
      <w:bookmarkEnd w:id="55"/>
      <w:bookmarkEnd w:id="56"/>
    </w:p>
    <w:p w:rsidR="00A67115" w:rsidRDefault="00A67115">
      <w:pPr>
        <w:pStyle w:val="2"/>
        <w:rPr>
          <w:rFonts w:ascii="Times New Roman" w:hAnsi="Times New Roman" w:cs="Times New Roman"/>
        </w:rPr>
      </w:pPr>
      <w:bookmarkStart w:id="57" w:name="_Toc252381895"/>
      <w:bookmarkStart w:id="58" w:name="_Toc256174946"/>
      <w:r>
        <w:rPr>
          <w:rFonts w:hint="eastAsia"/>
        </w:rPr>
        <w:t>「發展國際一流大學及頂尖研究中心計畫」之目標定義有欠明確，核有未當：</w:t>
      </w:r>
      <w:bookmarkEnd w:id="42"/>
      <w:bookmarkEnd w:id="57"/>
      <w:bookmarkEnd w:id="58"/>
    </w:p>
    <w:p w:rsidR="00A67115" w:rsidRDefault="00A67115">
      <w:pPr>
        <w:pStyle w:val="3"/>
        <w:ind w:left="1360" w:hanging="680"/>
        <w:rPr>
          <w:rFonts w:ascii="Times New Roman" w:hAnsi="Times New Roman" w:cs="Times New Roman"/>
        </w:rPr>
      </w:pPr>
      <w:bookmarkStart w:id="59" w:name="_Toc250476384"/>
      <w:bookmarkStart w:id="60" w:name="_Toc251055461"/>
      <w:bookmarkStart w:id="61" w:name="_Toc252381896"/>
      <w:bookmarkStart w:id="62" w:name="_Toc252969830"/>
      <w:bookmarkStart w:id="63" w:name="_Toc256174947"/>
      <w:r>
        <w:rPr>
          <w:rFonts w:hint="eastAsia"/>
        </w:rPr>
        <w:t>按本計畫包括</w:t>
      </w:r>
      <w:r>
        <w:t>2</w:t>
      </w:r>
      <w:r>
        <w:rPr>
          <w:rFonts w:hint="eastAsia"/>
        </w:rPr>
        <w:t>項子計畫：「發展國際一流大學計畫」及「發展頂尖研究中心（領域）計畫」，前者之目標為在</w:t>
      </w:r>
      <w:r>
        <w:t>10</w:t>
      </w:r>
      <w:r>
        <w:rPr>
          <w:rFonts w:hint="eastAsia"/>
        </w:rPr>
        <w:t>年內至少有</w:t>
      </w:r>
      <w:r>
        <w:t>1</w:t>
      </w:r>
      <w:r>
        <w:rPr>
          <w:rFonts w:hint="eastAsia"/>
        </w:rPr>
        <w:t>所大學躋身國際一流大學之列（如居全世界大學排名前</w:t>
      </w:r>
      <w:r>
        <w:t>100</w:t>
      </w:r>
      <w:r>
        <w:rPr>
          <w:rFonts w:hint="eastAsia"/>
        </w:rPr>
        <w:t>名或比照美國大學排名居前</w:t>
      </w:r>
      <w:r>
        <w:t>80</w:t>
      </w:r>
      <w:r>
        <w:rPr>
          <w:rFonts w:hint="eastAsia"/>
        </w:rPr>
        <w:t>名，在</w:t>
      </w:r>
      <w:r>
        <w:t>15-20</w:t>
      </w:r>
      <w:r>
        <w:rPr>
          <w:rFonts w:hint="eastAsia"/>
        </w:rPr>
        <w:t>年內達世界前</w:t>
      </w:r>
      <w:r>
        <w:t>50</w:t>
      </w:r>
      <w:r>
        <w:rPr>
          <w:rFonts w:hint="eastAsia"/>
        </w:rPr>
        <w:t>名）；後者之目標則為在</w:t>
      </w:r>
      <w:r>
        <w:t>5</w:t>
      </w:r>
      <w:r>
        <w:rPr>
          <w:rFonts w:hint="eastAsia"/>
        </w:rPr>
        <w:t>年內，至少有</w:t>
      </w:r>
      <w:r>
        <w:t>10</w:t>
      </w:r>
      <w:r>
        <w:rPr>
          <w:rFonts w:hint="eastAsia"/>
        </w:rPr>
        <w:t>個研究中心或領域居亞洲一流。</w:t>
      </w:r>
      <w:bookmarkEnd w:id="59"/>
      <w:bookmarkEnd w:id="60"/>
      <w:bookmarkEnd w:id="61"/>
      <w:bookmarkEnd w:id="62"/>
      <w:bookmarkEnd w:id="63"/>
    </w:p>
    <w:p w:rsidR="00A67115" w:rsidRDefault="00A67115">
      <w:pPr>
        <w:pStyle w:val="3"/>
        <w:ind w:left="1360" w:hanging="680"/>
        <w:rPr>
          <w:rFonts w:ascii="Times New Roman" w:hAnsi="Times New Roman" w:cs="Times New Roman"/>
        </w:rPr>
      </w:pPr>
      <w:bookmarkStart w:id="64" w:name="_Toc250476385"/>
      <w:bookmarkStart w:id="65" w:name="_Toc251055462"/>
      <w:bookmarkStart w:id="66" w:name="_Toc252381897"/>
      <w:bookmarkStart w:id="67" w:name="_Toc252969831"/>
      <w:bookmarkStart w:id="68" w:name="_Toc256174948"/>
      <w:r>
        <w:rPr>
          <w:rFonts w:hint="eastAsia"/>
        </w:rPr>
        <w:t>查本計畫「全世界大學排名前</w:t>
      </w:r>
      <w:r>
        <w:t>100</w:t>
      </w:r>
      <w:r>
        <w:rPr>
          <w:rFonts w:hint="eastAsia"/>
        </w:rPr>
        <w:t>名」之目標部分，教育部於本院約</w:t>
      </w:r>
      <w:proofErr w:type="gramStart"/>
      <w:r>
        <w:rPr>
          <w:rFonts w:hint="eastAsia"/>
        </w:rPr>
        <w:t>詢</w:t>
      </w:r>
      <w:proofErr w:type="gramEnd"/>
      <w:r>
        <w:rPr>
          <w:rFonts w:hint="eastAsia"/>
        </w:rPr>
        <w:t>所提供之資料表示，因各種世界排名有其不同之評比重點，例如英國「</w:t>
      </w:r>
      <w:proofErr w:type="gramStart"/>
      <w:r>
        <w:rPr>
          <w:rFonts w:hint="eastAsia"/>
        </w:rPr>
        <w:t>泰晤士</w:t>
      </w:r>
      <w:proofErr w:type="gramEnd"/>
      <w:r>
        <w:rPr>
          <w:rFonts w:hint="eastAsia"/>
        </w:rPr>
        <w:t>高等教育增刊」著重在同儕評鑑，而上海交大評比指標則著重學術成就，學校會依其特性及具優勢之項目在不同的排名有不同之表現，且學校表現應以長期表現觀之，因此並未預設作為標準之特定排名，凡有助於學校學術地位、論文數、專利數、研究成果</w:t>
      </w:r>
      <w:r>
        <w:rPr>
          <w:rFonts w:hint="eastAsia"/>
        </w:rPr>
        <w:lastRenderedPageBreak/>
        <w:t>重要性等項目之提升者，均可作為衡量標準。</w:t>
      </w:r>
      <w:proofErr w:type="gramStart"/>
      <w:r>
        <w:rPr>
          <w:rFonts w:hint="eastAsia"/>
        </w:rPr>
        <w:t>惟</w:t>
      </w:r>
      <w:proofErr w:type="gramEnd"/>
      <w:r>
        <w:rPr>
          <w:rFonts w:hint="eastAsia"/>
        </w:rPr>
        <w:t>依據本院座談會結論指出，</w:t>
      </w:r>
      <w:r>
        <w:rPr>
          <w:rFonts w:hAnsi="標楷體" w:hint="eastAsia"/>
        </w:rPr>
        <w:t>「</w:t>
      </w:r>
      <w:r>
        <w:rPr>
          <w:rFonts w:hint="eastAsia"/>
        </w:rPr>
        <w:t>一流大學</w:t>
      </w:r>
      <w:r>
        <w:rPr>
          <w:rFonts w:hAnsi="標楷體" w:hint="eastAsia"/>
        </w:rPr>
        <w:t>」</w:t>
      </w:r>
      <w:r>
        <w:rPr>
          <w:rFonts w:hint="eastAsia"/>
        </w:rPr>
        <w:t>定義</w:t>
      </w:r>
      <w:proofErr w:type="gramStart"/>
      <w:r>
        <w:rPr>
          <w:rFonts w:hint="eastAsia"/>
        </w:rPr>
        <w:t>眾多，</w:t>
      </w:r>
      <w:proofErr w:type="gramEnd"/>
      <w:r>
        <w:rPr>
          <w:rFonts w:hint="eastAsia"/>
        </w:rPr>
        <w:t>各種質化量化定義不一而足，在世界各國數十種大學排名評比同時並存，各評比皆係依據其對「一流大學」之定義選定衡量指標，將</w:t>
      </w:r>
      <w:proofErr w:type="gramStart"/>
      <w:r>
        <w:rPr>
          <w:rFonts w:hint="eastAsia"/>
        </w:rPr>
        <w:t>該套量表</w:t>
      </w:r>
      <w:proofErr w:type="gramEnd"/>
      <w:r>
        <w:rPr>
          <w:rFonts w:hint="eastAsia"/>
        </w:rPr>
        <w:t>、計算公式適用其受評大學，加以計分排名。</w:t>
      </w:r>
      <w:bookmarkEnd w:id="64"/>
      <w:r>
        <w:rPr>
          <w:rFonts w:hint="eastAsia"/>
        </w:rPr>
        <w:t>且兩種最普遍的系統亦非全然公允，以此為目標是否妥適。顯見，教育部對於</w:t>
      </w:r>
      <w:r>
        <w:t xml:space="preserve"> </w:t>
      </w:r>
      <w:r>
        <w:rPr>
          <w:rFonts w:hAnsi="標楷體" w:hint="eastAsia"/>
        </w:rPr>
        <w:t>「</w:t>
      </w:r>
      <w:r>
        <w:rPr>
          <w:rFonts w:hint="eastAsia"/>
        </w:rPr>
        <w:t>一流大學</w:t>
      </w:r>
      <w:r>
        <w:rPr>
          <w:rFonts w:hAnsi="標楷體" w:hint="eastAsia"/>
        </w:rPr>
        <w:t>」之定義有欠明確。</w:t>
      </w:r>
      <w:bookmarkEnd w:id="65"/>
      <w:bookmarkEnd w:id="66"/>
      <w:bookmarkEnd w:id="67"/>
      <w:bookmarkEnd w:id="68"/>
    </w:p>
    <w:p w:rsidR="00A67115" w:rsidRDefault="00A67115">
      <w:pPr>
        <w:pStyle w:val="3"/>
        <w:ind w:left="1360" w:hanging="680"/>
        <w:rPr>
          <w:rFonts w:ascii="Times New Roman" w:hAnsi="Times New Roman" w:cs="Times New Roman"/>
        </w:rPr>
      </w:pPr>
      <w:bookmarkStart w:id="69" w:name="_Toc250476386"/>
      <w:bookmarkStart w:id="70" w:name="_Toc251055463"/>
      <w:bookmarkStart w:id="71" w:name="_Toc252381898"/>
      <w:bookmarkStart w:id="72" w:name="_Toc252969832"/>
      <w:bookmarkStart w:id="73" w:name="_Toc256174949"/>
      <w:r>
        <w:rPr>
          <w:rFonts w:hint="eastAsia"/>
        </w:rPr>
        <w:t>次查本計畫「</w:t>
      </w:r>
      <w:r>
        <w:t>5</w:t>
      </w:r>
      <w:r>
        <w:rPr>
          <w:rFonts w:hint="eastAsia"/>
        </w:rPr>
        <w:t>年內至少</w:t>
      </w:r>
      <w:r>
        <w:t>10</w:t>
      </w:r>
      <w:r>
        <w:rPr>
          <w:rFonts w:hint="eastAsia"/>
        </w:rPr>
        <w:t>個研究中心或領域居亞洲一流」之目標部分，教育部對於本院所</w:t>
      </w:r>
      <w:proofErr w:type="gramStart"/>
      <w:r>
        <w:rPr>
          <w:rFonts w:hint="eastAsia"/>
        </w:rPr>
        <w:t>詢</w:t>
      </w:r>
      <w:proofErr w:type="gramEnd"/>
      <w:r>
        <w:rPr>
          <w:rFonts w:hint="eastAsia"/>
        </w:rPr>
        <w:t>「亞洲一流之定義及標準」為何乙節，於本院</w:t>
      </w:r>
      <w:r>
        <w:t>98</w:t>
      </w:r>
      <w:r>
        <w:rPr>
          <w:rFonts w:hint="eastAsia"/>
        </w:rPr>
        <w:t>年</w:t>
      </w:r>
      <w:r>
        <w:t>10</w:t>
      </w:r>
      <w:r>
        <w:rPr>
          <w:rFonts w:hint="eastAsia"/>
        </w:rPr>
        <w:t>月</w:t>
      </w:r>
      <w:r>
        <w:t>12</w:t>
      </w:r>
      <w:r>
        <w:rPr>
          <w:rFonts w:hint="eastAsia"/>
        </w:rPr>
        <w:t>日約</w:t>
      </w:r>
      <w:proofErr w:type="gramStart"/>
      <w:r>
        <w:rPr>
          <w:rFonts w:hint="eastAsia"/>
        </w:rPr>
        <w:t>詢</w:t>
      </w:r>
      <w:proofErr w:type="gramEnd"/>
      <w:r>
        <w:rPr>
          <w:rFonts w:hint="eastAsia"/>
        </w:rPr>
        <w:t>時所提供之資料並未有明確之定義，僅表示係希望扶植我國大學具優勢及競爭力之領域，得以在亞洲甚至國際居領先地位，進而維持我國國際競爭力，至於衡量標準，則不限國際排名，凡學術地位、論文數、專利數、研究成果之重要性等項目，均可作為衡量之標準。該部</w:t>
      </w:r>
      <w:proofErr w:type="gramStart"/>
      <w:r>
        <w:rPr>
          <w:rFonts w:hint="eastAsia"/>
        </w:rPr>
        <w:t>嗣</w:t>
      </w:r>
      <w:proofErr w:type="gramEnd"/>
      <w:r>
        <w:rPr>
          <w:rFonts w:hint="eastAsia"/>
        </w:rPr>
        <w:t>於</w:t>
      </w:r>
      <w:r>
        <w:t>98</w:t>
      </w:r>
      <w:r>
        <w:rPr>
          <w:rFonts w:hint="eastAsia"/>
        </w:rPr>
        <w:t>年</w:t>
      </w:r>
      <w:r>
        <w:t>12</w:t>
      </w:r>
      <w:r>
        <w:rPr>
          <w:rFonts w:hint="eastAsia"/>
        </w:rPr>
        <w:t>月</w:t>
      </w:r>
      <w:r>
        <w:t>30</w:t>
      </w:r>
      <w:r>
        <w:rPr>
          <w:rFonts w:hint="eastAsia"/>
        </w:rPr>
        <w:t>日以台高（二）宇第</w:t>
      </w:r>
      <w:r>
        <w:t>0980227988</w:t>
      </w:r>
      <w:r>
        <w:rPr>
          <w:rFonts w:hint="eastAsia"/>
        </w:rPr>
        <w:t>號</w:t>
      </w:r>
      <w:proofErr w:type="gramStart"/>
      <w:r>
        <w:rPr>
          <w:rFonts w:hint="eastAsia"/>
        </w:rPr>
        <w:t>函復本院</w:t>
      </w:r>
      <w:proofErr w:type="gramEnd"/>
      <w:r>
        <w:rPr>
          <w:rFonts w:hint="eastAsia"/>
        </w:rPr>
        <w:t>表示，在進行機構或國家學術評量時，基本科學指標（</w:t>
      </w:r>
      <w:r>
        <w:t>Essential Science Indicators</w:t>
      </w:r>
      <w:r>
        <w:rPr>
          <w:rFonts w:hint="eastAsia"/>
        </w:rPr>
        <w:t>，簡稱</w:t>
      </w:r>
      <w:r>
        <w:t>ESI</w:t>
      </w:r>
      <w:r>
        <w:rPr>
          <w:rFonts w:hint="eastAsia"/>
        </w:rPr>
        <w:t>）能快速提供客觀數據，作為長期追蹤學術表現之用，故常被視為重要參考工具之</w:t>
      </w:r>
      <w:proofErr w:type="gramStart"/>
      <w:r>
        <w:rPr>
          <w:rFonts w:hint="eastAsia"/>
        </w:rPr>
        <w:t>一</w:t>
      </w:r>
      <w:proofErr w:type="gramEnd"/>
      <w:r>
        <w:rPr>
          <w:rFonts w:hint="eastAsia"/>
        </w:rPr>
        <w:t>。因此若以我國大學</w:t>
      </w:r>
      <w:r>
        <w:t>2009</w:t>
      </w:r>
      <w:r>
        <w:rPr>
          <w:rFonts w:hint="eastAsia"/>
        </w:rPr>
        <w:t>年在</w:t>
      </w:r>
      <w:r>
        <w:t>ESI</w:t>
      </w:r>
      <w:r>
        <w:rPr>
          <w:rFonts w:hint="eastAsia"/>
        </w:rPr>
        <w:t>所區分之</w:t>
      </w:r>
      <w:r>
        <w:t>21</w:t>
      </w:r>
      <w:r>
        <w:rPr>
          <w:rFonts w:hint="eastAsia"/>
        </w:rPr>
        <w:t>個領域，在亞洲大學排名前</w:t>
      </w:r>
      <w:r>
        <w:t>20</w:t>
      </w:r>
      <w:r>
        <w:rPr>
          <w:rFonts w:hint="eastAsia"/>
        </w:rPr>
        <w:t>名者，應可視為我國居亞洲一流之領域。顯見，本計畫初始對於「亞洲一流」之定義有欠明確，教育部遲至</w:t>
      </w:r>
      <w:r>
        <w:t>98</w:t>
      </w:r>
      <w:r>
        <w:rPr>
          <w:rFonts w:hint="eastAsia"/>
        </w:rPr>
        <w:t>年底始有較明確之說明。</w:t>
      </w:r>
      <w:bookmarkEnd w:id="69"/>
      <w:bookmarkEnd w:id="70"/>
      <w:bookmarkEnd w:id="71"/>
      <w:bookmarkEnd w:id="72"/>
      <w:bookmarkEnd w:id="73"/>
    </w:p>
    <w:p w:rsidR="00A67115" w:rsidRDefault="00A67115">
      <w:pPr>
        <w:pStyle w:val="3"/>
        <w:ind w:left="1360" w:hanging="680"/>
        <w:rPr>
          <w:rFonts w:ascii="Times New Roman" w:hAnsi="Times New Roman" w:cs="Times New Roman"/>
        </w:rPr>
      </w:pPr>
      <w:bookmarkStart w:id="74" w:name="_Toc250476387"/>
      <w:bookmarkStart w:id="75" w:name="_Toc251055464"/>
      <w:bookmarkStart w:id="76" w:name="_Toc252381899"/>
      <w:bookmarkStart w:id="77" w:name="_Toc252969833"/>
      <w:bookmarkStart w:id="78" w:name="_Toc256174950"/>
      <w:r>
        <w:rPr>
          <w:rFonts w:hint="eastAsia"/>
        </w:rPr>
        <w:t>綜上，本計畫訂定及修訂時，皆未能明確定義目標，目標定義不清，影響計畫之規劃及執行成效之考核，核有未當。</w:t>
      </w:r>
      <w:bookmarkEnd w:id="74"/>
      <w:bookmarkEnd w:id="75"/>
      <w:bookmarkEnd w:id="76"/>
      <w:bookmarkEnd w:id="77"/>
      <w:bookmarkEnd w:id="78"/>
    </w:p>
    <w:p w:rsidR="00A67115" w:rsidRDefault="00A67115">
      <w:pPr>
        <w:pStyle w:val="2"/>
        <w:ind w:left="1020" w:hanging="680"/>
        <w:rPr>
          <w:rFonts w:ascii="Times New Roman" w:hAnsi="Times New Roman" w:cs="Times New Roman"/>
        </w:rPr>
      </w:pPr>
      <w:bookmarkStart w:id="79" w:name="_Toc256174951"/>
      <w:bookmarkStart w:id="80" w:name="_Toc524902730"/>
      <w:bookmarkStart w:id="81" w:name="_Toc252381900"/>
      <w:bookmarkStart w:id="82" w:name="_Toc250476418"/>
      <w:r>
        <w:rPr>
          <w:rFonts w:hint="eastAsia"/>
        </w:rPr>
        <w:t>「發展國際一流大學及頂尖研究中心計畫」之諮詢委</w:t>
      </w:r>
      <w:r>
        <w:rPr>
          <w:rFonts w:hint="eastAsia"/>
        </w:rPr>
        <w:lastRenderedPageBreak/>
        <w:t>員、審議委員及審查小組委員之聘任未有一定之邏輯，領域配置不一致，部分委員出席率未達</w:t>
      </w:r>
      <w:r>
        <w:t>50</w:t>
      </w:r>
      <w:r>
        <w:rPr>
          <w:rFonts w:hint="eastAsia"/>
        </w:rPr>
        <w:t>％，核有欠妥：</w:t>
      </w:r>
      <w:bookmarkEnd w:id="79"/>
    </w:p>
    <w:p w:rsidR="00A67115" w:rsidRDefault="00A67115">
      <w:pPr>
        <w:pStyle w:val="3"/>
        <w:ind w:left="1360" w:hanging="680"/>
        <w:rPr>
          <w:rFonts w:ascii="Times New Roman" w:hAnsi="Times New Roman" w:cs="Times New Roman"/>
        </w:rPr>
      </w:pPr>
      <w:bookmarkStart w:id="83" w:name="_Toc252969835"/>
      <w:bookmarkStart w:id="84" w:name="_Toc256174952"/>
      <w:r>
        <w:rPr>
          <w:rFonts w:hint="eastAsia"/>
        </w:rPr>
        <w:t>教育部為執行本計畫，設有諮詢委員會、審議委員會及審查小組。諮詢委員會在訂定本計畫之目標、提供發展方向之建議、提供審議委員會有關審議標準及各項諮詢與建議，以及提供各校執行本計畫之諮詢及管考事項之建議等。審議委員會在</w:t>
      </w:r>
      <w:proofErr w:type="gramStart"/>
      <w:r>
        <w:rPr>
          <w:rFonts w:hint="eastAsia"/>
        </w:rPr>
        <w:t>研</w:t>
      </w:r>
      <w:proofErr w:type="gramEnd"/>
      <w:r>
        <w:rPr>
          <w:rFonts w:hint="eastAsia"/>
        </w:rPr>
        <w:t>訂本計畫之審議方式與審議指標，並進行各校申請計畫內容之實質審議，以及分配各校經費。第</w:t>
      </w:r>
      <w:r>
        <w:t>2</w:t>
      </w:r>
      <w:r>
        <w:rPr>
          <w:rFonts w:hint="eastAsia"/>
        </w:rPr>
        <w:t>梯次審議委員會決議外聘相關領域之專家學者，組成審查小組，協助審查各校計畫書之內容，並將其審查意見提供審議委員會參考，惟最後審議結果仍係由審議委員會決定。</w:t>
      </w:r>
      <w:bookmarkEnd w:id="83"/>
      <w:bookmarkEnd w:id="84"/>
    </w:p>
    <w:p w:rsidR="00A67115" w:rsidRDefault="00A67115">
      <w:pPr>
        <w:pStyle w:val="3"/>
        <w:ind w:left="1360" w:hanging="680"/>
        <w:rPr>
          <w:rFonts w:ascii="Times New Roman" w:hAnsi="Times New Roman" w:cs="Times New Roman"/>
        </w:rPr>
      </w:pPr>
      <w:bookmarkStart w:id="85" w:name="_Toc252969836"/>
      <w:bookmarkStart w:id="86" w:name="_Toc256174953"/>
      <w:r>
        <w:rPr>
          <w:rFonts w:hint="eastAsia"/>
        </w:rPr>
        <w:t>查本計畫聘任之諮詢委員、審議委員及審查小組委員，包括學術界與非學術界人士。諮詢委員及審查小組委員部分，學術界人士較多，諮詢委員多出</w:t>
      </w:r>
      <w:r>
        <w:t>10</w:t>
      </w:r>
      <w:r>
        <w:rPr>
          <w:rFonts w:hint="eastAsia"/>
        </w:rPr>
        <w:t>人</w:t>
      </w:r>
      <w:r>
        <w:t>(12</w:t>
      </w:r>
      <w:r>
        <w:rPr>
          <w:rFonts w:hint="eastAsia"/>
        </w:rPr>
        <w:t>人比</w:t>
      </w:r>
      <w:r>
        <w:t>2</w:t>
      </w:r>
      <w:r>
        <w:rPr>
          <w:rFonts w:hint="eastAsia"/>
        </w:rPr>
        <w:t>人</w:t>
      </w:r>
      <w:r>
        <w:t>)</w:t>
      </w:r>
      <w:r>
        <w:rPr>
          <w:rFonts w:hint="eastAsia"/>
        </w:rPr>
        <w:t>，審查小組委員多出</w:t>
      </w:r>
      <w:r>
        <w:t>6</w:t>
      </w:r>
      <w:r>
        <w:rPr>
          <w:rFonts w:hint="eastAsia"/>
        </w:rPr>
        <w:t>人</w:t>
      </w:r>
      <w:r>
        <w:t>(8</w:t>
      </w:r>
      <w:r>
        <w:rPr>
          <w:rFonts w:hint="eastAsia"/>
        </w:rPr>
        <w:t>人比</w:t>
      </w:r>
      <w:r>
        <w:t>2</w:t>
      </w:r>
      <w:r>
        <w:rPr>
          <w:rFonts w:hint="eastAsia"/>
        </w:rPr>
        <w:t>人</w:t>
      </w:r>
      <w:r>
        <w:t>)</w:t>
      </w:r>
      <w:r>
        <w:rPr>
          <w:rFonts w:hint="eastAsia"/>
        </w:rPr>
        <w:t>，但審議委員部分卻不一致，第</w:t>
      </w:r>
      <w:r>
        <w:t>1</w:t>
      </w:r>
      <w:r>
        <w:rPr>
          <w:rFonts w:hint="eastAsia"/>
        </w:rPr>
        <w:t>梯次之審議委員中，學術界人士超過非學術界人士達</w:t>
      </w:r>
      <w:r>
        <w:t>10</w:t>
      </w:r>
      <w:r>
        <w:rPr>
          <w:rFonts w:hint="eastAsia"/>
        </w:rPr>
        <w:t>人</w:t>
      </w:r>
      <w:r>
        <w:t>(13</w:t>
      </w:r>
      <w:r>
        <w:rPr>
          <w:rFonts w:hint="eastAsia"/>
        </w:rPr>
        <w:t>人比</w:t>
      </w:r>
      <w:r>
        <w:t>3</w:t>
      </w:r>
      <w:r>
        <w:rPr>
          <w:rFonts w:hint="eastAsia"/>
        </w:rPr>
        <w:t>人</w:t>
      </w:r>
      <w:r>
        <w:t>)</w:t>
      </w:r>
      <w:r>
        <w:rPr>
          <w:rFonts w:hint="eastAsia"/>
        </w:rPr>
        <w:t>，但第</w:t>
      </w:r>
      <w:r>
        <w:t>2</w:t>
      </w:r>
      <w:r>
        <w:rPr>
          <w:rFonts w:hint="eastAsia"/>
        </w:rPr>
        <w:t>梯次則相反，學術界</w:t>
      </w:r>
      <w:proofErr w:type="gramStart"/>
      <w:r>
        <w:rPr>
          <w:rFonts w:hint="eastAsia"/>
        </w:rPr>
        <w:t>人士較非學術界</w:t>
      </w:r>
      <w:proofErr w:type="gramEnd"/>
      <w:r>
        <w:rPr>
          <w:rFonts w:hint="eastAsia"/>
        </w:rPr>
        <w:t>人士為少</w:t>
      </w:r>
      <w:r>
        <w:t>(6</w:t>
      </w:r>
      <w:r>
        <w:rPr>
          <w:rFonts w:hint="eastAsia"/>
        </w:rPr>
        <w:t>人比</w:t>
      </w:r>
      <w:r>
        <w:t>9</w:t>
      </w:r>
      <w:r>
        <w:rPr>
          <w:rFonts w:hint="eastAsia"/>
        </w:rPr>
        <w:t>人</w:t>
      </w:r>
      <w:r>
        <w:t>)</w:t>
      </w:r>
      <w:r>
        <w:rPr>
          <w:rFonts w:hint="eastAsia"/>
        </w:rPr>
        <w:t>。另學術界委員中，領域之代表性在各期亦非一致，人文領域於每一委員會或小組之人數維持為</w:t>
      </w:r>
      <w:r>
        <w:t>3</w:t>
      </w:r>
      <w:r>
        <w:rPr>
          <w:rFonts w:hint="eastAsia"/>
        </w:rPr>
        <w:t>至</w:t>
      </w:r>
      <w:r>
        <w:t>4</w:t>
      </w:r>
      <w:r>
        <w:rPr>
          <w:rFonts w:hint="eastAsia"/>
        </w:rPr>
        <w:t>人，惟數理領域於第</w:t>
      </w:r>
      <w:r>
        <w:t>2</w:t>
      </w:r>
      <w:r>
        <w:rPr>
          <w:rFonts w:hint="eastAsia"/>
        </w:rPr>
        <w:t>梯次無人參與審議委員，且審查小組委員亦僅</w:t>
      </w:r>
      <w:r>
        <w:t>1</w:t>
      </w:r>
      <w:r>
        <w:rPr>
          <w:rFonts w:hint="eastAsia"/>
        </w:rPr>
        <w:t>人；生命科學領域除第</w:t>
      </w:r>
      <w:r>
        <w:t>1</w:t>
      </w:r>
      <w:r>
        <w:rPr>
          <w:rFonts w:hint="eastAsia"/>
        </w:rPr>
        <w:t>梯次審議委員達</w:t>
      </w:r>
      <w:r>
        <w:t>4</w:t>
      </w:r>
      <w:r>
        <w:rPr>
          <w:rFonts w:hint="eastAsia"/>
        </w:rPr>
        <w:t>人外，其餘委員會或小組之</w:t>
      </w:r>
      <w:proofErr w:type="gramStart"/>
      <w:r>
        <w:rPr>
          <w:rFonts w:hint="eastAsia"/>
        </w:rPr>
        <w:t>委員均僅為</w:t>
      </w:r>
      <w:proofErr w:type="gramEnd"/>
      <w:r>
        <w:t>1</w:t>
      </w:r>
      <w:r>
        <w:rPr>
          <w:rFonts w:hint="eastAsia"/>
        </w:rPr>
        <w:t>至</w:t>
      </w:r>
      <w:r>
        <w:t>2</w:t>
      </w:r>
      <w:r>
        <w:rPr>
          <w:rFonts w:hint="eastAsia"/>
        </w:rPr>
        <w:t>人；太空及物理領域部分，在第</w:t>
      </w:r>
      <w:r>
        <w:t>2</w:t>
      </w:r>
      <w:r>
        <w:rPr>
          <w:rFonts w:hint="eastAsia"/>
        </w:rPr>
        <w:t>梯次審議委員及諮詢</w:t>
      </w:r>
      <w:proofErr w:type="gramStart"/>
      <w:r>
        <w:rPr>
          <w:rFonts w:hint="eastAsia"/>
        </w:rPr>
        <w:t>委員均僅</w:t>
      </w:r>
      <w:proofErr w:type="gramEnd"/>
      <w:r>
        <w:t>1</w:t>
      </w:r>
      <w:r>
        <w:rPr>
          <w:rFonts w:hint="eastAsia"/>
        </w:rPr>
        <w:t>人，在第</w:t>
      </w:r>
      <w:r>
        <w:t>1</w:t>
      </w:r>
      <w:r>
        <w:rPr>
          <w:rFonts w:hint="eastAsia"/>
        </w:rPr>
        <w:t>梯次審議委員及審查</w:t>
      </w:r>
      <w:proofErr w:type="gramStart"/>
      <w:r>
        <w:rPr>
          <w:rFonts w:hint="eastAsia"/>
        </w:rPr>
        <w:t>小組均無代表</w:t>
      </w:r>
      <w:proofErr w:type="gramEnd"/>
      <w:r>
        <w:rPr>
          <w:rFonts w:hint="eastAsia"/>
        </w:rPr>
        <w:t>；在化學領域部分，第</w:t>
      </w:r>
      <w:r>
        <w:t>2</w:t>
      </w:r>
      <w:r>
        <w:rPr>
          <w:rFonts w:hint="eastAsia"/>
        </w:rPr>
        <w:t>梯次審議委員並無代表，其餘</w:t>
      </w:r>
      <w:r>
        <w:rPr>
          <w:rFonts w:hint="eastAsia"/>
        </w:rPr>
        <w:lastRenderedPageBreak/>
        <w:t>委員會及審查小組委員</w:t>
      </w:r>
      <w:proofErr w:type="gramStart"/>
      <w:r>
        <w:rPr>
          <w:rFonts w:hint="eastAsia"/>
        </w:rPr>
        <w:t>則均有</w:t>
      </w:r>
      <w:r>
        <w:t>1</w:t>
      </w:r>
      <w:r>
        <w:rPr>
          <w:rFonts w:hint="eastAsia"/>
        </w:rPr>
        <w:t>至</w:t>
      </w:r>
      <w:r>
        <w:t>2</w:t>
      </w:r>
      <w:proofErr w:type="gramEnd"/>
      <w:r>
        <w:rPr>
          <w:rFonts w:hint="eastAsia"/>
        </w:rPr>
        <w:t>人。又，各委員之發言機會及影響力恐非相同，如</w:t>
      </w:r>
      <w:r w:rsidR="0076420F">
        <w:rPr>
          <w:rFonts w:hint="eastAsia"/>
        </w:rPr>
        <w:t>林○億</w:t>
      </w:r>
      <w:r>
        <w:rPr>
          <w:rFonts w:hint="eastAsia"/>
        </w:rPr>
        <w:t>同時擔任第</w:t>
      </w:r>
      <w:r>
        <w:t>2</w:t>
      </w:r>
      <w:r>
        <w:rPr>
          <w:rFonts w:hint="eastAsia"/>
        </w:rPr>
        <w:t>梯次之審議委員及審查小組之委員；</w:t>
      </w:r>
      <w:r w:rsidR="0076420F">
        <w:rPr>
          <w:rFonts w:hint="eastAsia"/>
        </w:rPr>
        <w:t>吳○昆</w:t>
      </w:r>
      <w:r>
        <w:rPr>
          <w:rFonts w:hint="eastAsia"/>
        </w:rPr>
        <w:t>同時擔任諮詢委員及審查小組之委員。顯見本計畫審議委員、諮詢委員及審查小組委員之聘任未有一定之邏輯，領域配置亦不一致，部分領域未見代表，且有委員身兼委員會及小組成員，掌握之發言機會及影響力恐較其他成員為多。</w:t>
      </w:r>
      <w:bookmarkEnd w:id="85"/>
      <w:bookmarkEnd w:id="86"/>
    </w:p>
    <w:p w:rsidR="00A67115" w:rsidRDefault="00A67115">
      <w:pPr>
        <w:pStyle w:val="3"/>
        <w:ind w:left="1360" w:hanging="680"/>
        <w:rPr>
          <w:rFonts w:ascii="Times New Roman" w:hAnsi="Times New Roman" w:cs="Times New Roman"/>
        </w:rPr>
      </w:pPr>
      <w:bookmarkStart w:id="87" w:name="_Toc252969837"/>
      <w:bookmarkStart w:id="88" w:name="_Toc256174954"/>
      <w:r>
        <w:rPr>
          <w:rFonts w:hint="eastAsia"/>
        </w:rPr>
        <w:t>次查計畫諮詢委員、審議委員及審查小組委員平均</w:t>
      </w:r>
      <w:r>
        <w:t>3</w:t>
      </w:r>
      <w:r>
        <w:rPr>
          <w:rFonts w:hint="eastAsia"/>
        </w:rPr>
        <w:t>次會議出席</w:t>
      </w:r>
      <w:r>
        <w:t>2</w:t>
      </w:r>
      <w:r>
        <w:rPr>
          <w:rFonts w:hint="eastAsia"/>
        </w:rPr>
        <w:t>次</w:t>
      </w:r>
      <w:r>
        <w:rPr>
          <w:rFonts w:ascii="新細明體" w:hAnsi="新細明體" w:hint="eastAsia"/>
        </w:rPr>
        <w:t>，</w:t>
      </w:r>
      <w:r>
        <w:rPr>
          <w:rFonts w:hint="eastAsia"/>
        </w:rPr>
        <w:t>整體平均親自出席率僅</w:t>
      </w:r>
      <w:r>
        <w:t>67%</w:t>
      </w:r>
      <w:r>
        <w:rPr>
          <w:rFonts w:hint="eastAsia"/>
        </w:rPr>
        <w:t>，惟第</w:t>
      </w:r>
      <w:r>
        <w:t>1</w:t>
      </w:r>
      <w:r>
        <w:rPr>
          <w:rFonts w:hint="eastAsia"/>
        </w:rPr>
        <w:t>梯次審議委員中，</w:t>
      </w:r>
      <w:r w:rsidR="0076420F">
        <w:rPr>
          <w:rFonts w:hint="eastAsia"/>
        </w:rPr>
        <w:t>朱○武</w:t>
      </w:r>
      <w:r>
        <w:rPr>
          <w:rFonts w:ascii="新細明體" w:hAnsi="新細明體" w:hint="eastAsia"/>
        </w:rPr>
        <w:t>、</w:t>
      </w:r>
      <w:r w:rsidR="0076420F">
        <w:rPr>
          <w:rFonts w:hint="eastAsia"/>
        </w:rPr>
        <w:t>翁○惠</w:t>
      </w:r>
      <w:r>
        <w:rPr>
          <w:rFonts w:ascii="新細明體" w:hAnsi="新細明體" w:hint="eastAsia"/>
        </w:rPr>
        <w:t>、</w:t>
      </w:r>
      <w:r w:rsidR="0076420F">
        <w:rPr>
          <w:rFonts w:hint="eastAsia"/>
        </w:rPr>
        <w:t>何○一</w:t>
      </w:r>
      <w:r>
        <w:rPr>
          <w:rFonts w:ascii="新細明體" w:hAnsi="新細明體" w:hint="eastAsia"/>
        </w:rPr>
        <w:t>及</w:t>
      </w:r>
      <w:r w:rsidR="0076420F">
        <w:rPr>
          <w:rFonts w:hint="eastAsia"/>
        </w:rPr>
        <w:t>何○川</w:t>
      </w:r>
      <w:r>
        <w:rPr>
          <w:rFonts w:hint="eastAsia"/>
        </w:rPr>
        <w:t>於</w:t>
      </w:r>
      <w:r>
        <w:t>3</w:t>
      </w:r>
      <w:r>
        <w:rPr>
          <w:rFonts w:hint="eastAsia"/>
        </w:rPr>
        <w:t>次</w:t>
      </w:r>
      <w:r>
        <w:rPr>
          <w:rFonts w:ascii="新細明體" w:hAnsi="新細明體" w:hint="eastAsia"/>
        </w:rPr>
        <w:t>（</w:t>
      </w:r>
      <w:r>
        <w:t>94</w:t>
      </w:r>
      <w:r>
        <w:rPr>
          <w:rFonts w:hint="eastAsia"/>
        </w:rPr>
        <w:t>年</w:t>
      </w:r>
      <w:r>
        <w:t>4</w:t>
      </w:r>
      <w:r>
        <w:rPr>
          <w:rFonts w:hint="eastAsia"/>
        </w:rPr>
        <w:t>月</w:t>
      </w:r>
      <w:r>
        <w:t>9</w:t>
      </w:r>
      <w:r>
        <w:rPr>
          <w:rFonts w:hint="eastAsia"/>
        </w:rPr>
        <w:t>日</w:t>
      </w:r>
      <w:r>
        <w:rPr>
          <w:rFonts w:ascii="新細明體" w:hAnsi="新細明體" w:hint="eastAsia"/>
        </w:rPr>
        <w:t>、</w:t>
      </w:r>
      <w:r>
        <w:t>7</w:t>
      </w:r>
      <w:r>
        <w:rPr>
          <w:rFonts w:hint="eastAsia"/>
        </w:rPr>
        <w:t>月</w:t>
      </w:r>
      <w:r>
        <w:t>25</w:t>
      </w:r>
      <w:r>
        <w:rPr>
          <w:rFonts w:hint="eastAsia"/>
        </w:rPr>
        <w:t>日及</w:t>
      </w:r>
      <w:r>
        <w:t>10</w:t>
      </w:r>
      <w:r>
        <w:rPr>
          <w:rFonts w:hint="eastAsia"/>
        </w:rPr>
        <w:t>月</w:t>
      </w:r>
      <w:r>
        <w:t>9</w:t>
      </w:r>
      <w:r>
        <w:rPr>
          <w:rFonts w:hint="eastAsia"/>
        </w:rPr>
        <w:t>日</w:t>
      </w:r>
      <w:r>
        <w:rPr>
          <w:rFonts w:ascii="新細明體" w:hAnsi="新細明體" w:hint="eastAsia"/>
        </w:rPr>
        <w:t>）</w:t>
      </w:r>
      <w:r>
        <w:rPr>
          <w:rFonts w:hint="eastAsia"/>
        </w:rPr>
        <w:t>開會時，雖未親自出席，但都提供書面資料。以學術界委員與非學術界委員之出席情況相較，企業代表及學校行政委員出席較不踴躍，出席率較平均數為低，出席最不踴躍者為企業代表，平均出席率僅</w:t>
      </w:r>
      <w:r>
        <w:t>50%</w:t>
      </w:r>
      <w:r>
        <w:rPr>
          <w:rFonts w:hint="eastAsia"/>
        </w:rPr>
        <w:t>，</w:t>
      </w:r>
      <w:r w:rsidR="00824D36">
        <w:rPr>
          <w:rFonts w:hint="eastAsia"/>
        </w:rPr>
        <w:t>黃○雄</w:t>
      </w:r>
      <w:r>
        <w:rPr>
          <w:rFonts w:hint="eastAsia"/>
        </w:rPr>
        <w:t>及</w:t>
      </w:r>
      <w:r w:rsidR="00824D36">
        <w:rPr>
          <w:rFonts w:hint="eastAsia"/>
        </w:rPr>
        <w:t>黃○仁</w:t>
      </w:r>
      <w:r>
        <w:rPr>
          <w:rFonts w:hint="eastAsia"/>
        </w:rPr>
        <w:t>之出席率還未達</w:t>
      </w:r>
      <w:proofErr w:type="gramStart"/>
      <w:r>
        <w:t>3</w:t>
      </w:r>
      <w:r>
        <w:rPr>
          <w:rFonts w:hint="eastAsia"/>
        </w:rPr>
        <w:t>成</w:t>
      </w:r>
      <w:proofErr w:type="gramEnd"/>
      <w:r>
        <w:rPr>
          <w:rFonts w:hint="eastAsia"/>
        </w:rPr>
        <w:t>，</w:t>
      </w:r>
      <w:r w:rsidR="0076420F">
        <w:rPr>
          <w:rFonts w:hint="eastAsia"/>
        </w:rPr>
        <w:t>何○川</w:t>
      </w:r>
      <w:r>
        <w:rPr>
          <w:rFonts w:hint="eastAsia"/>
        </w:rPr>
        <w:t>則從未出席，</w:t>
      </w:r>
      <w:proofErr w:type="gramStart"/>
      <w:r>
        <w:rPr>
          <w:rFonts w:hint="eastAsia"/>
        </w:rPr>
        <w:t>惟</w:t>
      </w:r>
      <w:r w:rsidR="0076420F">
        <w:rPr>
          <w:rFonts w:hint="eastAsia"/>
        </w:rPr>
        <w:t>何○川</w:t>
      </w:r>
      <w:r>
        <w:rPr>
          <w:rFonts w:hint="eastAsia"/>
        </w:rPr>
        <w:t>雖</w:t>
      </w:r>
      <w:proofErr w:type="gramEnd"/>
      <w:r>
        <w:rPr>
          <w:rFonts w:hint="eastAsia"/>
        </w:rPr>
        <w:t>未親自出席，但提供書面意見。學校行政委員之出席率雖較企業代表為高，但僅</w:t>
      </w:r>
      <w:r>
        <w:t>57%</w:t>
      </w:r>
      <w:r>
        <w:rPr>
          <w:rFonts w:hint="eastAsia"/>
        </w:rPr>
        <w:t>，也低於整體平均數。相對地，機關首長之出席情況則相對踴躍，出席率較平均數高出</w:t>
      </w:r>
      <w:proofErr w:type="gramStart"/>
      <w:r>
        <w:t>3</w:t>
      </w:r>
      <w:r>
        <w:rPr>
          <w:rFonts w:hint="eastAsia"/>
        </w:rPr>
        <w:t>成</w:t>
      </w:r>
      <w:proofErr w:type="gramEnd"/>
      <w:r>
        <w:rPr>
          <w:rFonts w:hint="eastAsia"/>
        </w:rPr>
        <w:t>，達</w:t>
      </w:r>
      <w:r>
        <w:t>87%</w:t>
      </w:r>
      <w:r>
        <w:rPr>
          <w:rFonts w:hint="eastAsia"/>
        </w:rPr>
        <w:t>，</w:t>
      </w:r>
      <w:proofErr w:type="gramStart"/>
      <w:r>
        <w:rPr>
          <w:rFonts w:hint="eastAsia"/>
        </w:rPr>
        <w:t>其中</w:t>
      </w:r>
      <w:r w:rsidR="00824D36">
        <w:rPr>
          <w:rFonts w:hint="eastAsia"/>
        </w:rPr>
        <w:t>杜</w:t>
      </w:r>
      <w:proofErr w:type="gramEnd"/>
      <w:r w:rsidR="00824D36">
        <w:rPr>
          <w:rFonts w:hint="eastAsia"/>
        </w:rPr>
        <w:t>○勝</w:t>
      </w:r>
      <w:r>
        <w:rPr>
          <w:rFonts w:hint="eastAsia"/>
        </w:rPr>
        <w:t>、</w:t>
      </w:r>
      <w:r w:rsidR="00824D36">
        <w:rPr>
          <w:rFonts w:hint="eastAsia"/>
        </w:rPr>
        <w:t>陳○仁</w:t>
      </w:r>
      <w:r>
        <w:rPr>
          <w:rFonts w:hint="eastAsia"/>
        </w:rPr>
        <w:t>及</w:t>
      </w:r>
      <w:bookmarkStart w:id="89" w:name="_GoBack"/>
      <w:r w:rsidR="00824D36">
        <w:rPr>
          <w:rFonts w:hint="eastAsia"/>
        </w:rPr>
        <w:t>何○</w:t>
      </w:r>
      <w:proofErr w:type="gramStart"/>
      <w:r w:rsidR="00824D36">
        <w:rPr>
          <w:rFonts w:hint="eastAsia"/>
        </w:rPr>
        <w:t>玥</w:t>
      </w:r>
      <w:bookmarkEnd w:id="89"/>
      <w:proofErr w:type="gramEnd"/>
      <w:r>
        <w:rPr>
          <w:rFonts w:hint="eastAsia"/>
        </w:rPr>
        <w:t>均從未缺席。學術界委員中，參與程度最高者屬人文類，</w:t>
      </w:r>
      <w:r>
        <w:t>12</w:t>
      </w:r>
      <w:r>
        <w:rPr>
          <w:rFonts w:hint="eastAsia"/>
        </w:rPr>
        <w:t>位委員應出席</w:t>
      </w:r>
      <w:r>
        <w:t>48</w:t>
      </w:r>
      <w:r>
        <w:rPr>
          <w:rFonts w:hint="eastAsia"/>
        </w:rPr>
        <w:t>人次，其中全勤者高達</w:t>
      </w:r>
      <w:r>
        <w:t>8</w:t>
      </w:r>
      <w:r>
        <w:rPr>
          <w:rFonts w:hint="eastAsia"/>
        </w:rPr>
        <w:t>位，</w:t>
      </w:r>
      <w:r w:rsidR="0076420F">
        <w:rPr>
          <w:rFonts w:hint="eastAsia"/>
        </w:rPr>
        <w:t>林○億</w:t>
      </w:r>
      <w:r>
        <w:rPr>
          <w:rFonts w:hint="eastAsia"/>
        </w:rPr>
        <w:t>於第</w:t>
      </w:r>
      <w:r>
        <w:t>2</w:t>
      </w:r>
      <w:r>
        <w:rPr>
          <w:rFonts w:hint="eastAsia"/>
        </w:rPr>
        <w:t>梯次時同時擔任審議委員及審議小組成員，應出席人次達</w:t>
      </w:r>
      <w:r>
        <w:t>6</w:t>
      </w:r>
      <w:r>
        <w:rPr>
          <w:rFonts w:hint="eastAsia"/>
        </w:rPr>
        <w:t>次，在所有委員中最高，林委員亦從未缺席，請參考附表。</w:t>
      </w:r>
      <w:bookmarkEnd w:id="87"/>
      <w:bookmarkEnd w:id="88"/>
    </w:p>
    <w:p w:rsidR="00A67115" w:rsidRDefault="00A67115">
      <w:pPr>
        <w:pStyle w:val="3"/>
        <w:rPr>
          <w:rFonts w:ascii="新細明體" w:eastAsia="新細明體" w:hAnsi="Times New Roman" w:cstheme="minorBidi"/>
        </w:rPr>
      </w:pPr>
      <w:bookmarkStart w:id="90" w:name="_Toc252969838"/>
      <w:bookmarkStart w:id="91" w:name="_Toc256174955"/>
      <w:r>
        <w:rPr>
          <w:rFonts w:hint="eastAsia"/>
        </w:rPr>
        <w:t>綜上，本計畫審議委員、諮詢委員及審查小組委員之聘任未有一定之邏輯，領域配置不一致，有部分領域未有代表，還有委員身兼二職，發言之機會超</w:t>
      </w:r>
      <w:r>
        <w:rPr>
          <w:rFonts w:hint="eastAsia"/>
        </w:rPr>
        <w:lastRenderedPageBreak/>
        <w:t>過其他成員；</w:t>
      </w:r>
      <w:proofErr w:type="gramStart"/>
      <w:r>
        <w:rPr>
          <w:rFonts w:hint="eastAsia"/>
        </w:rPr>
        <w:t>此外，</w:t>
      </w:r>
      <w:proofErr w:type="gramEnd"/>
      <w:r>
        <w:rPr>
          <w:rFonts w:hint="eastAsia"/>
        </w:rPr>
        <w:t>又部分委員出席率未達</w:t>
      </w:r>
      <w:r>
        <w:t>50</w:t>
      </w:r>
      <w:r>
        <w:rPr>
          <w:rFonts w:hint="eastAsia"/>
        </w:rPr>
        <w:t>％，</w:t>
      </w:r>
      <w:proofErr w:type="gramStart"/>
      <w:r>
        <w:rPr>
          <w:rFonts w:hint="eastAsia"/>
        </w:rPr>
        <w:t>均核有</w:t>
      </w:r>
      <w:proofErr w:type="gramEnd"/>
      <w:r>
        <w:rPr>
          <w:rFonts w:hint="eastAsia"/>
        </w:rPr>
        <w:t>欠妥。</w:t>
      </w:r>
      <w:bookmarkEnd w:id="80"/>
      <w:bookmarkEnd w:id="90"/>
      <w:bookmarkEnd w:id="91"/>
    </w:p>
    <w:p w:rsidR="00A67115" w:rsidRDefault="00A67115">
      <w:pPr>
        <w:pStyle w:val="2"/>
        <w:rPr>
          <w:rFonts w:ascii="新細明體" w:eastAsia="新細明體" w:hAnsi="Times New Roman" w:cstheme="minorBidi"/>
        </w:rPr>
      </w:pPr>
      <w:bookmarkStart w:id="92" w:name="_Toc256174956"/>
      <w:r>
        <w:rPr>
          <w:rFonts w:hint="eastAsia"/>
        </w:rPr>
        <w:t>本計畫第一梯次之審議指標未具體，兩個梯次之指標未能考量不同學科之特性</w:t>
      </w:r>
      <w:r>
        <w:rPr>
          <w:rFonts w:ascii="新細明體" w:hAnsi="新細明體" w:hint="eastAsia"/>
        </w:rPr>
        <w:t>，且</w:t>
      </w:r>
      <w:r>
        <w:rPr>
          <w:rFonts w:hint="eastAsia"/>
        </w:rPr>
        <w:t>未納入學校畢業生對社會之貢獻，核有不當</w:t>
      </w:r>
      <w:r>
        <w:rPr>
          <w:rFonts w:ascii="新細明體" w:hAnsi="新細明體" w:hint="eastAsia"/>
        </w:rPr>
        <w:t>：</w:t>
      </w:r>
      <w:bookmarkEnd w:id="81"/>
      <w:bookmarkEnd w:id="92"/>
    </w:p>
    <w:p w:rsidR="00A67115" w:rsidRDefault="00A67115" w:rsidP="0076420F">
      <w:pPr>
        <w:pStyle w:val="3"/>
        <w:ind w:leftChars="200" w:left="1360" w:hangingChars="200" w:hanging="680"/>
        <w:rPr>
          <w:rFonts w:ascii="新細明體" w:eastAsia="新細明體" w:hAnsi="Times New Roman" w:cstheme="minorBidi"/>
        </w:rPr>
      </w:pPr>
      <w:bookmarkStart w:id="93" w:name="_Toc252381901"/>
      <w:bookmarkStart w:id="94" w:name="_Toc252969840"/>
      <w:bookmarkStart w:id="95" w:name="_Toc256174957"/>
      <w:r>
        <w:rPr>
          <w:rFonts w:ascii="新細明體" w:hAnsi="新細明體" w:hint="eastAsia"/>
        </w:rPr>
        <w:t>查本計畫第</w:t>
      </w:r>
      <w:r>
        <w:rPr>
          <w:rFonts w:ascii="新細明體" w:hAnsi="新細明體" w:cs="新細明體"/>
        </w:rPr>
        <w:t>1</w:t>
      </w:r>
      <w:r>
        <w:rPr>
          <w:rFonts w:ascii="新細明體" w:hAnsi="新細明體" w:hint="eastAsia"/>
        </w:rPr>
        <w:t>梯次之審議指標包括研究能量（含</w:t>
      </w:r>
      <w:r>
        <w:rPr>
          <w:rFonts w:hint="eastAsia"/>
        </w:rPr>
        <w:t>論文數及論文引用率</w:t>
      </w:r>
      <w:r>
        <w:rPr>
          <w:rFonts w:ascii="新細明體" w:hAnsi="新細明體" w:hint="eastAsia"/>
        </w:rPr>
        <w:t>）、學校規模（</w:t>
      </w:r>
      <w:r>
        <w:rPr>
          <w:rFonts w:hint="eastAsia"/>
        </w:rPr>
        <w:t>含學生人數</w:t>
      </w:r>
      <w:r>
        <w:rPr>
          <w:rFonts w:ascii="新細明體" w:hAnsi="新細明體" w:hint="eastAsia"/>
        </w:rPr>
        <w:t>）及計畫書之內容（含</w:t>
      </w:r>
      <w:r>
        <w:rPr>
          <w:rFonts w:hint="eastAsia"/>
        </w:rPr>
        <w:t>「學校經營管理與組織運作制度」、「學校基礎建設」及「學校提升教研績效之具體成果」等規劃</w:t>
      </w:r>
      <w:r>
        <w:rPr>
          <w:rFonts w:ascii="新細明體" w:hAnsi="新細明體" w:hint="eastAsia"/>
        </w:rPr>
        <w:t>）等，未見具體指標，</w:t>
      </w:r>
      <w:proofErr w:type="gramStart"/>
      <w:r>
        <w:rPr>
          <w:rFonts w:ascii="新細明體" w:hAnsi="新細明體" w:hint="eastAsia"/>
        </w:rPr>
        <w:t>未利運作</w:t>
      </w:r>
      <w:proofErr w:type="gramEnd"/>
      <w:r>
        <w:rPr>
          <w:rFonts w:ascii="新細明體" w:hAnsi="新細明體" w:hint="eastAsia"/>
        </w:rPr>
        <w:t>。</w:t>
      </w:r>
      <w:bookmarkEnd w:id="93"/>
      <w:bookmarkEnd w:id="94"/>
      <w:bookmarkEnd w:id="95"/>
    </w:p>
    <w:p w:rsidR="00A67115" w:rsidRDefault="00A67115" w:rsidP="0076420F">
      <w:pPr>
        <w:pStyle w:val="3"/>
        <w:ind w:leftChars="200" w:left="1360" w:hangingChars="200" w:hanging="680"/>
        <w:rPr>
          <w:rFonts w:ascii="新細明體" w:eastAsia="新細明體" w:hAnsi="Times New Roman" w:cstheme="minorBidi"/>
        </w:rPr>
      </w:pPr>
      <w:bookmarkStart w:id="96" w:name="_Toc252381902"/>
      <w:bookmarkStart w:id="97" w:name="_Toc252969841"/>
      <w:bookmarkStart w:id="98" w:name="_Toc256174958"/>
      <w:r>
        <w:rPr>
          <w:rFonts w:ascii="新細明體" w:hAnsi="新細明體" w:hint="eastAsia"/>
        </w:rPr>
        <w:t>復查</w:t>
      </w:r>
      <w:r>
        <w:rPr>
          <w:rFonts w:hAnsi="標楷體" w:hint="eastAsia"/>
        </w:rPr>
        <w:t>第</w:t>
      </w:r>
      <w:r>
        <w:rPr>
          <w:rFonts w:hAnsi="標楷體"/>
        </w:rPr>
        <w:t>2</w:t>
      </w:r>
      <w:r>
        <w:rPr>
          <w:rFonts w:hAnsi="標楷體" w:hint="eastAsia"/>
        </w:rPr>
        <w:t>梯次之</w:t>
      </w:r>
      <w:r>
        <w:rPr>
          <w:rFonts w:ascii="新細明體" w:hAnsi="新細明體" w:hint="eastAsia"/>
        </w:rPr>
        <w:t>審議指標，分為質化指標及量化指標，惟該等指標並未納入學校畢業生對社會之貢獻，而學校良</w:t>
      </w:r>
      <w:proofErr w:type="gramStart"/>
      <w:r>
        <w:rPr>
          <w:rFonts w:ascii="新細明體" w:hAnsi="新細明體" w:hint="eastAsia"/>
        </w:rPr>
        <w:t>窳</w:t>
      </w:r>
      <w:proofErr w:type="gramEnd"/>
      <w:r>
        <w:rPr>
          <w:rFonts w:ascii="新細明體" w:hAnsi="新細明體" w:hint="eastAsia"/>
        </w:rPr>
        <w:t>之判斷，首應</w:t>
      </w:r>
      <w:proofErr w:type="gramStart"/>
      <w:r>
        <w:rPr>
          <w:rFonts w:ascii="新細明體" w:hAnsi="新細明體" w:hint="eastAsia"/>
        </w:rPr>
        <w:t>繫</w:t>
      </w:r>
      <w:proofErr w:type="gramEnd"/>
      <w:r>
        <w:rPr>
          <w:rFonts w:ascii="新細明體" w:hAnsi="新細明體" w:hint="eastAsia"/>
        </w:rPr>
        <w:t>於其畢業生之優劣。</w:t>
      </w:r>
      <w:bookmarkEnd w:id="96"/>
      <w:bookmarkEnd w:id="97"/>
      <w:r>
        <w:rPr>
          <w:rFonts w:ascii="新細明體" w:hAnsi="新細明體" w:hint="eastAsia"/>
        </w:rPr>
        <w:t>依據本院座談會之結論指出，審議指標與教育部所定義何謂｢一流大學｣息息相關，能培養出好學生的學校即為一流大學，因此畢業生表現之相關指標亦應加以考量。</w:t>
      </w:r>
      <w:bookmarkEnd w:id="98"/>
    </w:p>
    <w:p w:rsidR="00A67115" w:rsidRDefault="00A67115" w:rsidP="0076420F">
      <w:pPr>
        <w:pStyle w:val="3"/>
        <w:ind w:leftChars="200" w:left="1360" w:hangingChars="200" w:hanging="680"/>
        <w:rPr>
          <w:rFonts w:ascii="新細明體" w:eastAsia="新細明體" w:hAnsi="Times New Roman" w:cstheme="minorBidi"/>
        </w:rPr>
      </w:pPr>
      <w:bookmarkStart w:id="99" w:name="_Toc252381903"/>
      <w:bookmarkStart w:id="100" w:name="_Toc252969842"/>
      <w:bookmarkStart w:id="101" w:name="_Toc256174959"/>
      <w:r>
        <w:rPr>
          <w:rFonts w:ascii="新細明體" w:hAnsi="新細明體" w:hint="eastAsia"/>
        </w:rPr>
        <w:t>依據本院座談會之結論指出，</w:t>
      </w:r>
      <w:r>
        <w:rPr>
          <w:rFonts w:hint="eastAsia"/>
        </w:rPr>
        <w:t>審查指標對於「學術」、「研究」之定義過於</w:t>
      </w:r>
      <w:r>
        <w:rPr>
          <w:rFonts w:ascii="新細明體" w:hAnsi="新細明體" w:hint="eastAsia"/>
        </w:rPr>
        <w:t>單元</w:t>
      </w:r>
      <w:r>
        <w:rPr>
          <w:rFonts w:hint="eastAsia"/>
        </w:rPr>
        <w:t>，偏重科學研究，審查指標之設計亦多就科學研究角度出發，</w:t>
      </w:r>
      <w:r>
        <w:rPr>
          <w:rFonts w:ascii="新細明體" w:hAnsi="新細明體" w:hint="eastAsia"/>
        </w:rPr>
        <w:t>在研究之量化指標部分，包括</w:t>
      </w:r>
      <w:r>
        <w:rPr>
          <w:rFonts w:hAnsi="標楷體" w:hint="eastAsia"/>
        </w:rPr>
        <w:t>學校發表之國內外重要期刊論文總數、學校發表之國內外重要期刊論文總數</w:t>
      </w:r>
      <w:r>
        <w:rPr>
          <w:rFonts w:hAnsi="標楷體"/>
        </w:rPr>
        <w:t>/</w:t>
      </w:r>
      <w:r>
        <w:rPr>
          <w:rFonts w:hAnsi="標楷體" w:hint="eastAsia"/>
        </w:rPr>
        <w:t>理工或人社專任教師數</w:t>
      </w:r>
      <w:r>
        <w:rPr>
          <w:rFonts w:hAnsi="標楷體"/>
        </w:rPr>
        <w:t>(</w:t>
      </w:r>
      <w:r>
        <w:rPr>
          <w:rFonts w:hAnsi="標楷體" w:hint="eastAsia"/>
        </w:rPr>
        <w:t>國際期刊論文平均數</w:t>
      </w:r>
      <w:r>
        <w:rPr>
          <w:rFonts w:hAnsi="標楷體"/>
        </w:rPr>
        <w:t>)</w:t>
      </w:r>
      <w:r>
        <w:rPr>
          <w:rFonts w:hAnsi="標楷體" w:hint="eastAsia"/>
        </w:rPr>
        <w:t>及學校發表之國內外重要期刊論文被引用總數</w:t>
      </w:r>
      <w:r>
        <w:rPr>
          <w:rFonts w:ascii="新細明體" w:hAnsi="新細明體" w:hint="eastAsia"/>
        </w:rPr>
        <w:t>，</w:t>
      </w:r>
      <w:r>
        <w:rPr>
          <w:rFonts w:hint="eastAsia"/>
        </w:rPr>
        <w:t>偏重</w:t>
      </w:r>
      <w:r>
        <w:t>SCI</w:t>
      </w:r>
      <w:r>
        <w:rPr>
          <w:rFonts w:hint="eastAsia"/>
        </w:rPr>
        <w:t>、</w:t>
      </w:r>
      <w:r>
        <w:t>SSCI</w:t>
      </w:r>
      <w:r>
        <w:rPr>
          <w:rFonts w:hint="eastAsia"/>
        </w:rPr>
        <w:t>等量化指標。</w:t>
      </w:r>
      <w:bookmarkEnd w:id="99"/>
      <w:bookmarkEnd w:id="100"/>
      <w:bookmarkEnd w:id="101"/>
    </w:p>
    <w:p w:rsidR="00A67115" w:rsidRDefault="00A67115" w:rsidP="0076420F">
      <w:pPr>
        <w:pStyle w:val="3"/>
        <w:ind w:leftChars="200" w:left="1360" w:hangingChars="200" w:hanging="680"/>
        <w:rPr>
          <w:rFonts w:ascii="新細明體" w:eastAsia="新細明體" w:hAnsi="Times New Roman" w:cstheme="minorBidi"/>
        </w:rPr>
      </w:pPr>
      <w:bookmarkStart w:id="102" w:name="_Toc252381904"/>
      <w:bookmarkStart w:id="103" w:name="_Toc252969843"/>
      <w:bookmarkStart w:id="104" w:name="_Toc256174960"/>
      <w:r>
        <w:rPr>
          <w:rFonts w:hint="eastAsia"/>
        </w:rPr>
        <w:t>自然界之現象，全球皆然，但社會科學則受地域特色之影響，各地不同。使用</w:t>
      </w:r>
      <w:r>
        <w:t>SCI</w:t>
      </w:r>
      <w:r>
        <w:rPr>
          <w:rFonts w:hint="eastAsia"/>
        </w:rPr>
        <w:t>作為判斷自然科學研究之績效，或許適當，但以</w:t>
      </w:r>
      <w:r>
        <w:t>SSCI</w:t>
      </w:r>
      <w:r>
        <w:rPr>
          <w:rFonts w:hint="eastAsia"/>
        </w:rPr>
        <w:t>判斷台灣與世界英語系國家社會科學研究相對成果之指標，則因</w:t>
      </w:r>
      <w:r>
        <w:rPr>
          <w:rFonts w:ascii="新細明體" w:hAnsi="新細明體" w:hint="eastAsia"/>
        </w:rPr>
        <w:t>社會文化及語言因地而異，東西方價值觀與文化並不</w:t>
      </w:r>
      <w:r>
        <w:rPr>
          <w:rFonts w:ascii="新細明體" w:hAnsi="新細明體" w:hint="eastAsia"/>
        </w:rPr>
        <w:lastRenderedPageBreak/>
        <w:t>同，加上作成</w:t>
      </w:r>
      <w:r>
        <w:t>SSCI</w:t>
      </w:r>
      <w:r>
        <w:rPr>
          <w:rFonts w:hint="eastAsia"/>
        </w:rPr>
        <w:t>等指標之機構多使用英文，僅適用於以英文發表之研究成果，選用</w:t>
      </w:r>
      <w:r>
        <w:t>SSCI</w:t>
      </w:r>
      <w:r>
        <w:rPr>
          <w:rFonts w:hint="eastAsia"/>
        </w:rPr>
        <w:t>未能考量社會科學之上述特性</w:t>
      </w:r>
      <w:r>
        <w:rPr>
          <w:rFonts w:ascii="新細明體" w:hAnsi="新細明體" w:hint="eastAsia"/>
        </w:rPr>
        <w:t>，致</w:t>
      </w:r>
      <w:r>
        <w:rPr>
          <w:rFonts w:hint="eastAsia"/>
        </w:rPr>
        <w:t>偏重人文領域</w:t>
      </w:r>
      <w:r>
        <w:t>(</w:t>
      </w:r>
      <w:r>
        <w:rPr>
          <w:rFonts w:hint="eastAsia"/>
        </w:rPr>
        <w:t>如政大</w:t>
      </w:r>
      <w:r>
        <w:t>)</w:t>
      </w:r>
      <w:r>
        <w:rPr>
          <w:rFonts w:ascii="新細明體" w:hAnsi="新細明體" w:hint="eastAsia"/>
        </w:rPr>
        <w:t>、</w:t>
      </w:r>
      <w:r>
        <w:rPr>
          <w:rFonts w:hint="eastAsia"/>
        </w:rPr>
        <w:t>藝術領域</w:t>
      </w:r>
      <w:r>
        <w:t>(</w:t>
      </w:r>
      <w:r>
        <w:rPr>
          <w:rFonts w:hint="eastAsia"/>
        </w:rPr>
        <w:t>如師大</w:t>
      </w:r>
      <w:r>
        <w:t>)</w:t>
      </w:r>
      <w:r>
        <w:rPr>
          <w:rFonts w:hint="eastAsia"/>
        </w:rPr>
        <w:t>的學校與設有醫學院、工程、生化學院之大學相較，即出現競爭不公平之現象，形同自根本剝奪多元學術領域</w:t>
      </w:r>
      <w:proofErr w:type="gramStart"/>
      <w:r>
        <w:rPr>
          <w:rFonts w:hint="eastAsia"/>
        </w:rPr>
        <w:t>如文創</w:t>
      </w:r>
      <w:proofErr w:type="gramEnd"/>
      <w:r>
        <w:rPr>
          <w:rFonts w:hint="eastAsia"/>
        </w:rPr>
        <w:t>、教育、生命倫理等獲本計畫補助之可能性，核有不當。</w:t>
      </w:r>
      <w:bookmarkEnd w:id="102"/>
      <w:bookmarkEnd w:id="103"/>
      <w:bookmarkEnd w:id="104"/>
    </w:p>
    <w:p w:rsidR="00A67115" w:rsidRDefault="00A67115">
      <w:pPr>
        <w:pStyle w:val="2"/>
        <w:ind w:left="1043"/>
        <w:rPr>
          <w:rFonts w:ascii="Times New Roman" w:hAnsi="Times New Roman" w:cs="Times New Roman"/>
        </w:rPr>
      </w:pPr>
      <w:bookmarkStart w:id="105" w:name="_Toc252381905"/>
      <w:bookmarkStart w:id="106" w:name="_Toc256174961"/>
      <w:r>
        <w:rPr>
          <w:rFonts w:hint="eastAsia"/>
        </w:rPr>
        <w:t>本計畫預算未依計畫所訂由特別</w:t>
      </w:r>
      <w:proofErr w:type="gramStart"/>
      <w:r>
        <w:rPr>
          <w:rFonts w:hint="eastAsia"/>
        </w:rPr>
        <w:t>預算足編</w:t>
      </w:r>
      <w:proofErr w:type="gramEnd"/>
      <w:r>
        <w:rPr>
          <w:rFonts w:hint="eastAsia"/>
        </w:rPr>
        <w:t>，勢必造成資源排擠，核有欠妥：</w:t>
      </w:r>
      <w:bookmarkEnd w:id="82"/>
      <w:bookmarkEnd w:id="105"/>
      <w:bookmarkEnd w:id="106"/>
    </w:p>
    <w:p w:rsidR="00A67115" w:rsidRDefault="00A67115">
      <w:pPr>
        <w:pStyle w:val="3"/>
        <w:ind w:left="1360" w:hanging="680"/>
        <w:rPr>
          <w:rFonts w:ascii="Times New Roman" w:hAnsi="Times New Roman" w:cs="Times New Roman"/>
        </w:rPr>
      </w:pPr>
      <w:bookmarkStart w:id="107" w:name="_Toc250476419"/>
      <w:bookmarkStart w:id="108" w:name="_Toc251055470"/>
      <w:bookmarkStart w:id="109" w:name="_Toc252381906"/>
      <w:bookmarkStart w:id="110" w:name="_Toc252969845"/>
      <w:bookmarkStart w:id="111" w:name="_Toc256174962"/>
      <w:r>
        <w:rPr>
          <w:rFonts w:hint="eastAsia"/>
        </w:rPr>
        <w:t>按「發展國際一流大學及頂尖研究中心計畫」</w:t>
      </w:r>
      <w:proofErr w:type="gramStart"/>
      <w:r>
        <w:rPr>
          <w:rFonts w:hint="eastAsia"/>
        </w:rPr>
        <w:t>柒</w:t>
      </w:r>
      <w:proofErr w:type="gramEnd"/>
      <w:r>
        <w:rPr>
          <w:rFonts w:hint="eastAsia"/>
        </w:rPr>
        <w:t>、計畫期程進度</w:t>
      </w:r>
      <w:proofErr w:type="gramStart"/>
      <w:r>
        <w:rPr>
          <w:rFonts w:hint="eastAsia"/>
        </w:rPr>
        <w:t>一</w:t>
      </w:r>
      <w:proofErr w:type="gramEnd"/>
      <w:r>
        <w:rPr>
          <w:rFonts w:hint="eastAsia"/>
        </w:rPr>
        <w:t>計畫期程說明略</w:t>
      </w:r>
      <w:proofErr w:type="gramStart"/>
      <w:r>
        <w:rPr>
          <w:rFonts w:hint="eastAsia"/>
        </w:rPr>
        <w:t>以</w:t>
      </w:r>
      <w:proofErr w:type="gramEnd"/>
      <w:r>
        <w:rPr>
          <w:rFonts w:hint="eastAsia"/>
        </w:rPr>
        <w:t>，打造國際一流大學、延攬優秀</w:t>
      </w:r>
      <w:proofErr w:type="gramStart"/>
      <w:r>
        <w:rPr>
          <w:rFonts w:hint="eastAsia"/>
        </w:rPr>
        <w:t>人才均應屬</w:t>
      </w:r>
      <w:proofErr w:type="gramEnd"/>
      <w:r>
        <w:rPr>
          <w:rFonts w:hint="eastAsia"/>
        </w:rPr>
        <w:t>長期投注之計畫，為持續發展國際一流大學，及提供誘因讓學校願意配合本計畫，政府承諾</w:t>
      </w:r>
      <w:r>
        <w:t>10</w:t>
      </w:r>
      <w:r>
        <w:rPr>
          <w:rFonts w:hint="eastAsia"/>
        </w:rPr>
        <w:t>年的經費支援，第</w:t>
      </w:r>
      <w:r>
        <w:t>1</w:t>
      </w:r>
      <w:r>
        <w:rPr>
          <w:rFonts w:hint="eastAsia"/>
        </w:rPr>
        <w:t>期</w:t>
      </w:r>
      <w:r>
        <w:t>5</w:t>
      </w:r>
      <w:r>
        <w:rPr>
          <w:rFonts w:hint="eastAsia"/>
        </w:rPr>
        <w:t>年由特別預算支應</w:t>
      </w:r>
      <w:r>
        <w:t>500</w:t>
      </w:r>
      <w:r>
        <w:rPr>
          <w:rFonts w:hint="eastAsia"/>
        </w:rPr>
        <w:t>億元，第</w:t>
      </w:r>
      <w:r>
        <w:t>2</w:t>
      </w:r>
      <w:r>
        <w:rPr>
          <w:rFonts w:hint="eastAsia"/>
        </w:rPr>
        <w:t>期</w:t>
      </w:r>
      <w:r>
        <w:t>5</w:t>
      </w:r>
      <w:r>
        <w:rPr>
          <w:rFonts w:hint="eastAsia"/>
        </w:rPr>
        <w:t>年所需經費則由教育部編列年度預算支應。</w:t>
      </w:r>
      <w:bookmarkEnd w:id="107"/>
      <w:bookmarkEnd w:id="108"/>
      <w:bookmarkEnd w:id="109"/>
      <w:bookmarkEnd w:id="110"/>
      <w:bookmarkEnd w:id="111"/>
    </w:p>
    <w:p w:rsidR="00A67115" w:rsidRDefault="00A67115">
      <w:pPr>
        <w:pStyle w:val="3"/>
        <w:ind w:left="1360" w:hanging="680"/>
        <w:rPr>
          <w:rFonts w:ascii="Times New Roman" w:hAnsi="Times New Roman" w:cs="Times New Roman"/>
        </w:rPr>
      </w:pPr>
      <w:bookmarkStart w:id="112" w:name="_Toc250476420"/>
      <w:bookmarkStart w:id="113" w:name="_Toc251055471"/>
      <w:bookmarkStart w:id="114" w:name="_Toc252381907"/>
      <w:bookmarkStart w:id="115" w:name="_Toc252969846"/>
      <w:bookmarkStart w:id="116" w:name="_Toc256174963"/>
      <w:r>
        <w:rPr>
          <w:rFonts w:hint="eastAsia"/>
        </w:rPr>
        <w:t>查本計畫第</w:t>
      </w:r>
      <w:r>
        <w:t>1</w:t>
      </w:r>
      <w:r>
        <w:rPr>
          <w:rFonts w:hint="eastAsia"/>
        </w:rPr>
        <w:t>期</w:t>
      </w:r>
      <w:r>
        <w:t>5</w:t>
      </w:r>
      <w:r>
        <w:rPr>
          <w:rFonts w:hint="eastAsia"/>
        </w:rPr>
        <w:t>年所需經費共計</w:t>
      </w:r>
      <w:r>
        <w:t>500</w:t>
      </w:r>
      <w:r>
        <w:rPr>
          <w:rFonts w:hint="eastAsia"/>
        </w:rPr>
        <w:t>億元，惟</w:t>
      </w:r>
      <w:r>
        <w:t>94</w:t>
      </w:r>
      <w:r>
        <w:rPr>
          <w:rFonts w:hint="eastAsia"/>
        </w:rPr>
        <w:t>年至</w:t>
      </w:r>
      <w:r>
        <w:t>97</w:t>
      </w:r>
      <w:r>
        <w:rPr>
          <w:rFonts w:hint="eastAsia"/>
        </w:rPr>
        <w:t>年僅以特別預算編列</w:t>
      </w:r>
      <w:r>
        <w:t>350</w:t>
      </w:r>
      <w:r>
        <w:rPr>
          <w:rFonts w:hint="eastAsia"/>
        </w:rPr>
        <w:t>億元，自</w:t>
      </w:r>
      <w:r>
        <w:t>98</w:t>
      </w:r>
      <w:r>
        <w:rPr>
          <w:rFonts w:hint="eastAsia"/>
        </w:rPr>
        <w:t>年度起，係以教育部年度預算支應，</w:t>
      </w:r>
      <w:r>
        <w:t>98</w:t>
      </w:r>
      <w:r>
        <w:rPr>
          <w:rFonts w:hint="eastAsia"/>
        </w:rPr>
        <w:t>年度僅編列</w:t>
      </w:r>
      <w:r>
        <w:t>50</w:t>
      </w:r>
      <w:r>
        <w:rPr>
          <w:rFonts w:hint="eastAsia"/>
        </w:rPr>
        <w:t>億元，</w:t>
      </w:r>
      <w:r>
        <w:t>99</w:t>
      </w:r>
      <w:r>
        <w:rPr>
          <w:rFonts w:hint="eastAsia"/>
        </w:rPr>
        <w:t>年度亦僅編列</w:t>
      </w:r>
      <w:r>
        <w:t>75</w:t>
      </w:r>
      <w:r>
        <w:rPr>
          <w:rFonts w:hint="eastAsia"/>
        </w:rPr>
        <w:t>億元，是以第</w:t>
      </w:r>
      <w:r>
        <w:t>1</w:t>
      </w:r>
      <w:r>
        <w:rPr>
          <w:rFonts w:hint="eastAsia"/>
        </w:rPr>
        <w:t>期計畫經費，由特別預算支應者僅</w:t>
      </w:r>
      <w:r>
        <w:t>350</w:t>
      </w:r>
      <w:r>
        <w:rPr>
          <w:rFonts w:hint="eastAsia"/>
        </w:rPr>
        <w:t>億元，由教育部年度預算支應者計</w:t>
      </w:r>
      <w:r>
        <w:t>125</w:t>
      </w:r>
      <w:r>
        <w:rPr>
          <w:rFonts w:hint="eastAsia"/>
        </w:rPr>
        <w:t>億元，合計</w:t>
      </w:r>
      <w:r>
        <w:t>475</w:t>
      </w:r>
      <w:r>
        <w:rPr>
          <w:rFonts w:hint="eastAsia"/>
        </w:rPr>
        <w:t>億元。該</w:t>
      </w:r>
      <w:proofErr w:type="gramStart"/>
      <w:r>
        <w:rPr>
          <w:rFonts w:hint="eastAsia"/>
        </w:rPr>
        <w:t>部於前揭以</w:t>
      </w:r>
      <w:proofErr w:type="gramEnd"/>
      <w:r>
        <w:rPr>
          <w:rFonts w:hint="eastAsia"/>
        </w:rPr>
        <w:t>台高（二）宇第</w:t>
      </w:r>
      <w:r>
        <w:t>0980227988</w:t>
      </w:r>
      <w:r>
        <w:rPr>
          <w:rFonts w:hint="eastAsia"/>
        </w:rPr>
        <w:t>號</w:t>
      </w:r>
      <w:proofErr w:type="gramStart"/>
      <w:r>
        <w:rPr>
          <w:rFonts w:hint="eastAsia"/>
        </w:rPr>
        <w:t>函復本院</w:t>
      </w:r>
      <w:proofErr w:type="gramEnd"/>
      <w:r>
        <w:rPr>
          <w:rFonts w:hint="eastAsia"/>
        </w:rPr>
        <w:t>表示，</w:t>
      </w:r>
      <w:r>
        <w:t>99</w:t>
      </w:r>
      <w:r>
        <w:rPr>
          <w:rFonts w:hint="eastAsia"/>
        </w:rPr>
        <w:t>年度所需經費為</w:t>
      </w:r>
      <w:r>
        <w:t>100</w:t>
      </w:r>
      <w:r>
        <w:rPr>
          <w:rFonts w:hint="eastAsia"/>
        </w:rPr>
        <w:t>億元，惟因</w:t>
      </w:r>
      <w:r>
        <w:t>98</w:t>
      </w:r>
      <w:r>
        <w:rPr>
          <w:rFonts w:hint="eastAsia"/>
        </w:rPr>
        <w:t>年全球經濟不景氣，因此政府整體財政收入減少，復以莫拉克風災所需之重建經費等額外支出；該部</w:t>
      </w:r>
      <w:proofErr w:type="gramStart"/>
      <w:r>
        <w:rPr>
          <w:rFonts w:hint="eastAsia"/>
        </w:rPr>
        <w:t>爰</w:t>
      </w:r>
      <w:proofErr w:type="gramEnd"/>
      <w:r>
        <w:rPr>
          <w:rFonts w:hint="eastAsia"/>
        </w:rPr>
        <w:t>於</w:t>
      </w:r>
      <w:r>
        <w:t>99</w:t>
      </w:r>
      <w:r>
        <w:rPr>
          <w:rFonts w:hint="eastAsia"/>
        </w:rPr>
        <w:t>年先行籌編本計畫預算</w:t>
      </w:r>
      <w:r>
        <w:t>75</w:t>
      </w:r>
      <w:r>
        <w:rPr>
          <w:rFonts w:hint="eastAsia"/>
        </w:rPr>
        <w:t>億元，其餘</w:t>
      </w:r>
      <w:r>
        <w:t>25</w:t>
      </w:r>
      <w:r>
        <w:rPr>
          <w:rFonts w:hint="eastAsia"/>
        </w:rPr>
        <w:t>億元將於下一年度回補各校。整體合計本計畫第</w:t>
      </w:r>
      <w:r>
        <w:t>1</w:t>
      </w:r>
      <w:r>
        <w:rPr>
          <w:rFonts w:hint="eastAsia"/>
        </w:rPr>
        <w:t>期仍係編列</w:t>
      </w:r>
      <w:r>
        <w:t>500</w:t>
      </w:r>
      <w:r>
        <w:rPr>
          <w:rFonts w:hint="eastAsia"/>
        </w:rPr>
        <w:t>億元。</w:t>
      </w:r>
      <w:bookmarkEnd w:id="112"/>
      <w:bookmarkEnd w:id="113"/>
      <w:bookmarkEnd w:id="114"/>
      <w:bookmarkEnd w:id="115"/>
      <w:bookmarkEnd w:id="116"/>
    </w:p>
    <w:p w:rsidR="00A67115" w:rsidRDefault="00A67115">
      <w:pPr>
        <w:pStyle w:val="3"/>
        <w:ind w:left="1360" w:hanging="680"/>
        <w:rPr>
          <w:rFonts w:ascii="Times New Roman" w:hAnsi="Times New Roman" w:cs="Times New Roman"/>
        </w:rPr>
      </w:pPr>
      <w:bookmarkStart w:id="117" w:name="_Toc250476421"/>
      <w:bookmarkStart w:id="118" w:name="_Toc251055472"/>
      <w:bookmarkStart w:id="119" w:name="_Toc252381908"/>
      <w:bookmarkStart w:id="120" w:name="_Toc252969847"/>
      <w:bookmarkStart w:id="121" w:name="_Toc256174964"/>
      <w:r>
        <w:rPr>
          <w:rFonts w:hint="eastAsia"/>
        </w:rPr>
        <w:t>惟本計畫既明指政府承諾</w:t>
      </w:r>
      <w:r>
        <w:t>10</w:t>
      </w:r>
      <w:r>
        <w:rPr>
          <w:rFonts w:hint="eastAsia"/>
        </w:rPr>
        <w:t>年之經費支援，第</w:t>
      </w:r>
      <w:r>
        <w:t>1</w:t>
      </w:r>
      <w:r>
        <w:rPr>
          <w:rFonts w:hint="eastAsia"/>
        </w:rPr>
        <w:lastRenderedPageBreak/>
        <w:t>期</w:t>
      </w:r>
      <w:r>
        <w:t>5</w:t>
      </w:r>
      <w:r>
        <w:rPr>
          <w:rFonts w:hint="eastAsia"/>
        </w:rPr>
        <w:t>年由特別預算支應</w:t>
      </w:r>
      <w:r>
        <w:t>500</w:t>
      </w:r>
      <w:r>
        <w:rPr>
          <w:rFonts w:hint="eastAsia"/>
        </w:rPr>
        <w:t>億元，則第</w:t>
      </w:r>
      <w:r>
        <w:t>1</w:t>
      </w:r>
      <w:r>
        <w:rPr>
          <w:rFonts w:hint="eastAsia"/>
        </w:rPr>
        <w:t>期計畫所需之經費自當由特別</w:t>
      </w:r>
      <w:proofErr w:type="gramStart"/>
      <w:r>
        <w:rPr>
          <w:rFonts w:hint="eastAsia"/>
        </w:rPr>
        <w:t>預算足編</w:t>
      </w:r>
      <w:proofErr w:type="gramEnd"/>
      <w:r>
        <w:rPr>
          <w:rFonts w:hint="eastAsia"/>
        </w:rPr>
        <w:t>，始不影響他項由教育部年度預算支應政策或計畫之施行。然自</w:t>
      </w:r>
      <w:r>
        <w:t>98</w:t>
      </w:r>
      <w:r>
        <w:rPr>
          <w:rFonts w:hint="eastAsia"/>
        </w:rPr>
        <w:t>年起，本計畫係教育部年度預算支應，惟此舉勢必造成教育資源之排擠，影響整體教育目標之達成，核有欠妥。</w:t>
      </w:r>
      <w:bookmarkEnd w:id="117"/>
      <w:bookmarkEnd w:id="118"/>
      <w:bookmarkEnd w:id="119"/>
      <w:bookmarkEnd w:id="120"/>
      <w:bookmarkEnd w:id="121"/>
    </w:p>
    <w:p w:rsidR="00A67115" w:rsidRDefault="00A67115">
      <w:pPr>
        <w:pStyle w:val="2"/>
        <w:rPr>
          <w:rFonts w:ascii="Times New Roman" w:hAnsi="Times New Roman" w:cs="Times New Roman"/>
        </w:rPr>
      </w:pPr>
      <w:bookmarkStart w:id="122" w:name="_Toc250476412"/>
      <w:bookmarkStart w:id="123" w:name="_Toc252381929"/>
      <w:bookmarkStart w:id="124" w:name="_Toc256174965"/>
      <w:r>
        <w:rPr>
          <w:rFonts w:hint="eastAsia"/>
        </w:rPr>
        <w:t>教育部執行本計畫，造成大學</w:t>
      </w:r>
      <w:r>
        <w:t>M</w:t>
      </w:r>
      <w:r>
        <w:rPr>
          <w:rFonts w:hint="eastAsia"/>
        </w:rPr>
        <w:t>型化趨勢之出現及重研究不重教學、服務之現象持續存在，核有不當：</w:t>
      </w:r>
      <w:bookmarkEnd w:id="122"/>
      <w:bookmarkEnd w:id="123"/>
      <w:bookmarkEnd w:id="124"/>
    </w:p>
    <w:p w:rsidR="00A67115" w:rsidRDefault="00A67115">
      <w:pPr>
        <w:pStyle w:val="3"/>
        <w:ind w:left="1360" w:hanging="680"/>
        <w:rPr>
          <w:rFonts w:ascii="Times New Roman" w:hAnsi="Times New Roman" w:cs="Times New Roman"/>
        </w:rPr>
      </w:pPr>
      <w:bookmarkStart w:id="125" w:name="_Toc250476413"/>
      <w:bookmarkStart w:id="126" w:name="_Toc251055494"/>
      <w:bookmarkStart w:id="127" w:name="_Toc252381930"/>
      <w:bookmarkStart w:id="128" w:name="_Toc252969869"/>
      <w:bookmarkStart w:id="129" w:name="_Toc256174966"/>
      <w:r>
        <w:rPr>
          <w:rFonts w:hint="eastAsia"/>
        </w:rPr>
        <w:t>教育部於本院約</w:t>
      </w:r>
      <w:proofErr w:type="gramStart"/>
      <w:r>
        <w:rPr>
          <w:rFonts w:hint="eastAsia"/>
        </w:rPr>
        <w:t>詢</w:t>
      </w:r>
      <w:proofErr w:type="gramEnd"/>
      <w:r>
        <w:rPr>
          <w:rFonts w:hint="eastAsia"/>
        </w:rPr>
        <w:t>提供之資料表示，本計畫係為引導績優大學發展，透過競爭性經費之</w:t>
      </w:r>
      <w:proofErr w:type="gramStart"/>
      <w:r>
        <w:rPr>
          <w:rFonts w:hint="eastAsia"/>
        </w:rPr>
        <w:t>挹</w:t>
      </w:r>
      <w:proofErr w:type="gramEnd"/>
      <w:r>
        <w:rPr>
          <w:rFonts w:hint="eastAsia"/>
        </w:rPr>
        <w:t>注，協助學校提升教學研究設備水準，進而使學校發展為國際一流大學，並帶動國內整體高等教育水準之提升。</w:t>
      </w:r>
      <w:bookmarkEnd w:id="125"/>
      <w:bookmarkEnd w:id="126"/>
      <w:bookmarkEnd w:id="127"/>
      <w:bookmarkEnd w:id="128"/>
      <w:bookmarkEnd w:id="129"/>
    </w:p>
    <w:p w:rsidR="00A67115" w:rsidRDefault="00A67115">
      <w:pPr>
        <w:pStyle w:val="3"/>
        <w:ind w:left="1360" w:hanging="680"/>
        <w:rPr>
          <w:rFonts w:ascii="Times New Roman" w:hAnsi="Times New Roman" w:cs="Times New Roman"/>
        </w:rPr>
      </w:pPr>
      <w:bookmarkStart w:id="130" w:name="_Toc250476414"/>
      <w:bookmarkStart w:id="131" w:name="_Toc251055495"/>
      <w:bookmarkStart w:id="132" w:name="_Toc252381931"/>
      <w:bookmarkStart w:id="133" w:name="_Toc252969870"/>
      <w:bookmarkStart w:id="134" w:name="_Toc256174967"/>
      <w:proofErr w:type="gramStart"/>
      <w:r>
        <w:rPr>
          <w:rFonts w:hint="eastAsia"/>
        </w:rPr>
        <w:t>惟</w:t>
      </w:r>
      <w:proofErr w:type="gramEnd"/>
      <w:r>
        <w:rPr>
          <w:rFonts w:hint="eastAsia"/>
        </w:rPr>
        <w:t>誠如本院座談會之結論，本計畫是個「贏者通吃」的政策，學校獲補助之經費大幅增加，即可吸引優秀教師前往任教，學生選填志願甚受此影響。是以本計畫執行結果，獲補助學校之經費大幅增加，校際間之資源差距日益趨大，此以核定各校補助經費總額創造新階級的方式，將形成不公平之競爭，造成大學「</w:t>
      </w:r>
      <w:r>
        <w:t>M</w:t>
      </w:r>
      <w:r>
        <w:rPr>
          <w:rFonts w:hint="eastAsia"/>
        </w:rPr>
        <w:t>型化」。同時，獲補助學校</w:t>
      </w:r>
      <w:proofErr w:type="gramStart"/>
      <w:r>
        <w:rPr>
          <w:rFonts w:hint="eastAsia"/>
        </w:rPr>
        <w:t>校</w:t>
      </w:r>
      <w:proofErr w:type="gramEnd"/>
      <w:r>
        <w:rPr>
          <w:rFonts w:hint="eastAsia"/>
        </w:rPr>
        <w:t>內亦可能因獲補助經費之分配不同，亦產生「</w:t>
      </w:r>
      <w:r>
        <w:t>M</w:t>
      </w:r>
      <w:r>
        <w:rPr>
          <w:rFonts w:hint="eastAsia"/>
        </w:rPr>
        <w:t>型化」之現象。</w:t>
      </w:r>
      <w:bookmarkEnd w:id="130"/>
      <w:bookmarkEnd w:id="131"/>
      <w:bookmarkEnd w:id="132"/>
      <w:bookmarkEnd w:id="133"/>
      <w:bookmarkEnd w:id="134"/>
    </w:p>
    <w:p w:rsidR="00A67115" w:rsidRDefault="00A67115">
      <w:pPr>
        <w:pStyle w:val="3"/>
        <w:ind w:left="1360" w:hanging="680"/>
        <w:rPr>
          <w:rFonts w:ascii="Times New Roman" w:hAnsi="Times New Roman" w:cs="Times New Roman"/>
        </w:rPr>
      </w:pPr>
      <w:bookmarkStart w:id="135" w:name="_Toc250476415"/>
      <w:bookmarkStart w:id="136" w:name="_Toc251055496"/>
      <w:bookmarkStart w:id="137" w:name="_Toc252381932"/>
      <w:bookmarkStart w:id="138" w:name="_Toc252969871"/>
      <w:bookmarkStart w:id="139" w:name="_Toc256174968"/>
      <w:r>
        <w:rPr>
          <w:rFonts w:hint="eastAsia"/>
        </w:rPr>
        <w:t>又本院座談會結論亦指出，本計畫整體走向及審查指標對於「學術」、「研究」之定義過於單元，僅注重科</w:t>
      </w:r>
      <w:proofErr w:type="gramStart"/>
      <w:r>
        <w:rPr>
          <w:rFonts w:hint="eastAsia"/>
        </w:rPr>
        <w:t>研</w:t>
      </w:r>
      <w:proofErr w:type="gramEnd"/>
      <w:r>
        <w:rPr>
          <w:rFonts w:hint="eastAsia"/>
        </w:rPr>
        <w:t>，審查指標之設計亦多就科</w:t>
      </w:r>
      <w:proofErr w:type="gramStart"/>
      <w:r>
        <w:rPr>
          <w:rFonts w:hint="eastAsia"/>
        </w:rPr>
        <w:t>研</w:t>
      </w:r>
      <w:proofErr w:type="gramEnd"/>
      <w:r>
        <w:rPr>
          <w:rFonts w:hint="eastAsia"/>
        </w:rPr>
        <w:t>角度出發，而偏重</w:t>
      </w:r>
      <w:r>
        <w:t>SCI</w:t>
      </w:r>
      <w:r>
        <w:rPr>
          <w:rFonts w:hint="eastAsia"/>
        </w:rPr>
        <w:t>、</w:t>
      </w:r>
      <w:r>
        <w:t>SSCI</w:t>
      </w:r>
      <w:r>
        <w:rPr>
          <w:rFonts w:hint="eastAsia"/>
        </w:rPr>
        <w:t>等量化指標。而為了爭取本計畫經費，以師範大學為例，原本不需要特別強調要寫論文、要研究，惟校長現在要老師要盡量去寫論文、發表論文，連科技大學的升等也是以論文為</w:t>
      </w:r>
      <w:proofErr w:type="gramStart"/>
      <w:r>
        <w:rPr>
          <w:rFonts w:hint="eastAsia"/>
        </w:rPr>
        <w:t>準</w:t>
      </w:r>
      <w:proofErr w:type="gramEnd"/>
      <w:r>
        <w:rPr>
          <w:rFonts w:hint="eastAsia"/>
        </w:rPr>
        <w:t>。是以本計畫影響學校走向研究型大學，致學校重研究而不重教學服務，影響大學整體之發展。</w:t>
      </w:r>
      <w:bookmarkEnd w:id="135"/>
      <w:bookmarkEnd w:id="136"/>
      <w:bookmarkEnd w:id="137"/>
      <w:bookmarkEnd w:id="138"/>
      <w:bookmarkEnd w:id="139"/>
    </w:p>
    <w:p w:rsidR="00A67115" w:rsidRDefault="00A67115">
      <w:pPr>
        <w:pStyle w:val="3"/>
        <w:ind w:left="1360" w:hanging="680"/>
        <w:rPr>
          <w:rFonts w:ascii="Times New Roman" w:hAnsi="Times New Roman" w:cs="Times New Roman"/>
        </w:rPr>
      </w:pPr>
      <w:bookmarkStart w:id="140" w:name="_Toc250476416"/>
      <w:bookmarkStart w:id="141" w:name="_Toc251055497"/>
      <w:bookmarkStart w:id="142" w:name="_Toc252381933"/>
      <w:bookmarkStart w:id="143" w:name="_Toc252969872"/>
      <w:bookmarkStart w:id="144" w:name="_Toc256174969"/>
      <w:r>
        <w:rPr>
          <w:rFonts w:hint="eastAsia"/>
        </w:rPr>
        <w:lastRenderedPageBreak/>
        <w:t>教育部於</w:t>
      </w:r>
      <w:r>
        <w:t>98</w:t>
      </w:r>
      <w:r>
        <w:rPr>
          <w:rFonts w:hint="eastAsia"/>
        </w:rPr>
        <w:t>年</w:t>
      </w:r>
      <w:r>
        <w:t>12</w:t>
      </w:r>
      <w:r>
        <w:rPr>
          <w:rFonts w:hint="eastAsia"/>
        </w:rPr>
        <w:t>月</w:t>
      </w:r>
      <w:r>
        <w:t>30</w:t>
      </w:r>
      <w:r>
        <w:rPr>
          <w:rFonts w:hint="eastAsia"/>
        </w:rPr>
        <w:t>日以台高（二）字第</w:t>
      </w:r>
      <w:r>
        <w:t>0980227988</w:t>
      </w:r>
      <w:r>
        <w:rPr>
          <w:rFonts w:hint="eastAsia"/>
        </w:rPr>
        <w:t>號</w:t>
      </w:r>
      <w:proofErr w:type="gramStart"/>
      <w:r>
        <w:rPr>
          <w:rFonts w:hint="eastAsia"/>
        </w:rPr>
        <w:t>函復本院</w:t>
      </w:r>
      <w:proofErr w:type="gramEnd"/>
      <w:r>
        <w:rPr>
          <w:rFonts w:hint="eastAsia"/>
        </w:rPr>
        <w:t>表示，為引導大學依其特性發展，該部推動多項競爭性經費，包括本計畫、獎勵教學卓越計畫、產學合作計畫等；在各項計畫中，必定有部分提出申請之學校未獲補助，</w:t>
      </w:r>
      <w:proofErr w:type="gramStart"/>
      <w:r>
        <w:rPr>
          <w:rFonts w:hint="eastAsia"/>
        </w:rPr>
        <w:t>然未獲得</w:t>
      </w:r>
      <w:proofErr w:type="gramEnd"/>
      <w:r>
        <w:rPr>
          <w:rFonts w:hint="eastAsia"/>
        </w:rPr>
        <w:t>補助，不代表該校辦學</w:t>
      </w:r>
      <w:proofErr w:type="gramStart"/>
      <w:r>
        <w:rPr>
          <w:rFonts w:hint="eastAsia"/>
        </w:rPr>
        <w:t>不</w:t>
      </w:r>
      <w:proofErr w:type="gramEnd"/>
      <w:r>
        <w:rPr>
          <w:rFonts w:hint="eastAsia"/>
        </w:rPr>
        <w:t>彰，僅係表示學校不符該計畫要求，而可朝其他符合學校特性之計畫方向發展。另該部每年均編列預算提供國立大學需求，以及私立大學獎助經費，使大學得以正常運作，並提供各項專案計畫經費，顯見未獲本計畫補助之學校，</w:t>
      </w:r>
      <w:proofErr w:type="gramStart"/>
      <w:r>
        <w:rPr>
          <w:rFonts w:hint="eastAsia"/>
        </w:rPr>
        <w:t>該部仍提供</w:t>
      </w:r>
      <w:proofErr w:type="gramEnd"/>
      <w:r>
        <w:rPr>
          <w:rFonts w:hint="eastAsia"/>
        </w:rPr>
        <w:t>資源以協助其發展。</w:t>
      </w:r>
      <w:bookmarkEnd w:id="140"/>
      <w:bookmarkEnd w:id="141"/>
      <w:bookmarkEnd w:id="142"/>
      <w:bookmarkEnd w:id="143"/>
      <w:bookmarkEnd w:id="144"/>
    </w:p>
    <w:p w:rsidR="00A67115" w:rsidRDefault="00A67115">
      <w:pPr>
        <w:pStyle w:val="3"/>
        <w:rPr>
          <w:rFonts w:ascii="Times New Roman" w:hAnsi="Times New Roman" w:cs="Times New Roman"/>
        </w:rPr>
      </w:pPr>
      <w:bookmarkStart w:id="145" w:name="_Toc250476417"/>
      <w:bookmarkStart w:id="146" w:name="_Toc251055498"/>
      <w:bookmarkStart w:id="147" w:name="_Toc252381934"/>
      <w:bookmarkStart w:id="148" w:name="_Toc252969873"/>
      <w:bookmarkStart w:id="149" w:name="_Toc256174970"/>
      <w:r>
        <w:rPr>
          <w:rFonts w:hint="eastAsia"/>
        </w:rPr>
        <w:t>綜上，教育部固然對未獲補助學校之發展提供協助，然因本計畫提供獲補助學校之經費甚</w:t>
      </w:r>
      <w:proofErr w:type="gramStart"/>
      <w:r>
        <w:rPr>
          <w:rFonts w:hint="eastAsia"/>
        </w:rPr>
        <w:t>鉅</w:t>
      </w:r>
      <w:proofErr w:type="gramEnd"/>
      <w:r>
        <w:rPr>
          <w:rFonts w:hint="eastAsia"/>
        </w:rPr>
        <w:t>，校際間資源差距日益趨大，仍造成大學</w:t>
      </w:r>
      <w:r>
        <w:t>M</w:t>
      </w:r>
      <w:r>
        <w:rPr>
          <w:rFonts w:hint="eastAsia"/>
        </w:rPr>
        <w:t>型化發展及影響學校走向之情事，學校重研究不重教學、服務之現象持續存在，核有不當。</w:t>
      </w:r>
      <w:bookmarkEnd w:id="145"/>
      <w:bookmarkEnd w:id="146"/>
      <w:bookmarkEnd w:id="147"/>
      <w:bookmarkEnd w:id="148"/>
      <w:bookmarkEnd w:id="149"/>
    </w:p>
    <w:p w:rsidR="00A67115" w:rsidRDefault="00A67115" w:rsidP="0076420F">
      <w:pPr>
        <w:pStyle w:val="12"/>
        <w:ind w:left="680" w:firstLine="680"/>
        <w:rPr>
          <w:rFonts w:ascii="Times New Roman" w:cstheme="minorBidi"/>
        </w:rPr>
      </w:pPr>
    </w:p>
    <w:p w:rsidR="00A67115" w:rsidRDefault="00A67115" w:rsidP="0076420F">
      <w:pPr>
        <w:pStyle w:val="12"/>
        <w:ind w:left="680" w:firstLine="680"/>
        <w:rPr>
          <w:rFonts w:ascii="Times New Roman" w:cstheme="minorBidi"/>
        </w:rPr>
      </w:pPr>
      <w:bookmarkStart w:id="150" w:name="_Toc524895648"/>
      <w:bookmarkStart w:id="151" w:name="_Toc524896194"/>
      <w:bookmarkStart w:id="152" w:name="_Toc524896224"/>
      <w:bookmarkStart w:id="153" w:name="_Toc524902734"/>
      <w:bookmarkStart w:id="154" w:name="_Toc525066148"/>
      <w:bookmarkStart w:id="155" w:name="_Toc525070839"/>
      <w:bookmarkStart w:id="156" w:name="_Toc525938379"/>
      <w:bookmarkStart w:id="157" w:name="_Toc525939227"/>
      <w:bookmarkStart w:id="158" w:name="_Toc525939732"/>
      <w:bookmarkStart w:id="159" w:name="_Toc529218272"/>
      <w:bookmarkEnd w:id="38"/>
      <w:r>
        <w:rPr>
          <w:rFonts w:ascii="Times New Roman" w:cstheme="minorBidi"/>
        </w:rPr>
        <w:br w:type="page"/>
      </w:r>
      <w:bookmarkStart w:id="160" w:name="_Toc529222689"/>
      <w:bookmarkStart w:id="161" w:name="_Toc529223111"/>
      <w:bookmarkStart w:id="162" w:name="_Toc529223862"/>
      <w:bookmarkStart w:id="163" w:name="_Toc529228265"/>
      <w:r>
        <w:rPr>
          <w:rFonts w:hint="eastAsia"/>
        </w:rPr>
        <w:lastRenderedPageBreak/>
        <w:t>綜上所述，教育部執行本計畫，計畫目的未清楚釐訂，目標定義有欠明確，且於計畫期程及申請內容變更時未適時修正計畫，復未依計畫所訂由特別</w:t>
      </w:r>
      <w:proofErr w:type="gramStart"/>
      <w:r>
        <w:rPr>
          <w:rFonts w:hint="eastAsia"/>
        </w:rPr>
        <w:t>預算足編預算</w:t>
      </w:r>
      <w:proofErr w:type="gramEnd"/>
      <w:r>
        <w:rPr>
          <w:rFonts w:hint="eastAsia"/>
        </w:rPr>
        <w:t>；各委員會及審查小組委員之聘任未有一致邏輯，領域配置不一致，且審議指標復未能考量不同學科之特性且未納入學校畢業生對社會之貢獻；計畫執行結果所及，造成大學</w:t>
      </w:r>
      <w:r>
        <w:t>M</w:t>
      </w:r>
      <w:r>
        <w:rPr>
          <w:rFonts w:hint="eastAsia"/>
        </w:rPr>
        <w:t>型化，並有影響學校走向之虞，</w:t>
      </w:r>
      <w:proofErr w:type="gramStart"/>
      <w:r>
        <w:rPr>
          <w:rFonts w:hint="eastAsia"/>
        </w:rPr>
        <w:t>爰</w:t>
      </w:r>
      <w:proofErr w:type="gramEnd"/>
      <w:r>
        <w:rPr>
          <w:rFonts w:hint="eastAsia"/>
        </w:rPr>
        <w:t>依監察法第</w:t>
      </w:r>
      <w:r>
        <w:t>24</w:t>
      </w:r>
      <w:r>
        <w:rPr>
          <w:rFonts w:hint="eastAsia"/>
        </w:rPr>
        <w:t>條提案糾正，移送行政院轉</w:t>
      </w:r>
      <w:proofErr w:type="gramStart"/>
      <w:r>
        <w:rPr>
          <w:rFonts w:hint="eastAsia"/>
        </w:rPr>
        <w:t>飭</w:t>
      </w:r>
      <w:proofErr w:type="gramEnd"/>
      <w:r>
        <w:rPr>
          <w:rFonts w:hint="eastAsia"/>
        </w:rPr>
        <w:t>所屬確實檢討改善</w:t>
      </w:r>
      <w:proofErr w:type="gramStart"/>
      <w:r>
        <w:rPr>
          <w:rFonts w:hint="eastAsia"/>
        </w:rPr>
        <w:t>見復。</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roofErr w:type="gramEnd"/>
    </w:p>
    <w:p w:rsidR="00A67115" w:rsidRDefault="00A67115" w:rsidP="008B42CE">
      <w:pPr>
        <w:ind w:leftChars="200" w:left="680" w:firstLineChars="200" w:firstLine="680"/>
        <w:rPr>
          <w:rFonts w:ascii="標楷體" w:cstheme="minorBidi"/>
          <w:kern w:val="0"/>
        </w:rPr>
      </w:pPr>
    </w:p>
    <w:sectPr w:rsidR="00A67115" w:rsidSect="00A67115">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CEF" w:rsidRDefault="00F31CEF">
      <w:pPr>
        <w:rPr>
          <w:rFonts w:cstheme="minorBidi"/>
        </w:rPr>
      </w:pPr>
      <w:r>
        <w:rPr>
          <w:rFonts w:cstheme="minorBidi"/>
        </w:rPr>
        <w:separator/>
      </w:r>
    </w:p>
  </w:endnote>
  <w:endnote w:type="continuationSeparator" w:id="0">
    <w:p w:rsidR="00F31CEF" w:rsidRDefault="00F31CEF">
      <w:pPr>
        <w:rPr>
          <w:rFonts w:cstheme="minorBidi"/>
        </w:rPr>
      </w:pPr>
      <w:r>
        <w:rPr>
          <w:rFonts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115" w:rsidRDefault="00A67115">
    <w:pPr>
      <w:pStyle w:val="ab"/>
      <w:framePr w:wrap="auto" w:vAnchor="text" w:hAnchor="margin" w:xAlign="center" w:y="1"/>
      <w:rPr>
        <w:rStyle w:val="a7"/>
        <w:rFonts w:cstheme="minorBidi"/>
        <w:sz w:val="24"/>
        <w:szCs w:val="24"/>
      </w:rPr>
    </w:pPr>
    <w:r>
      <w:rPr>
        <w:rStyle w:val="a7"/>
        <w:sz w:val="24"/>
        <w:szCs w:val="24"/>
      </w:rPr>
      <w:fldChar w:fldCharType="begin"/>
    </w:r>
    <w:r>
      <w:rPr>
        <w:rStyle w:val="a7"/>
        <w:sz w:val="24"/>
        <w:szCs w:val="24"/>
      </w:rPr>
      <w:instrText xml:space="preserve">PAGE  </w:instrText>
    </w:r>
    <w:r>
      <w:rPr>
        <w:rStyle w:val="a7"/>
        <w:sz w:val="24"/>
        <w:szCs w:val="24"/>
      </w:rPr>
      <w:fldChar w:fldCharType="separate"/>
    </w:r>
    <w:r w:rsidR="00824D36">
      <w:rPr>
        <w:rStyle w:val="a7"/>
        <w:noProof/>
        <w:sz w:val="24"/>
        <w:szCs w:val="24"/>
      </w:rPr>
      <w:t>11</w:t>
    </w:r>
    <w:r>
      <w:rPr>
        <w:rStyle w:val="a7"/>
        <w:sz w:val="24"/>
        <w:szCs w:val="24"/>
      </w:rPr>
      <w:fldChar w:fldCharType="end"/>
    </w:r>
  </w:p>
  <w:p w:rsidR="00A67115" w:rsidRDefault="00A67115">
    <w:pPr>
      <w:ind w:left="640" w:right="360" w:firstLine="448"/>
      <w:rPr>
        <w:rFonts w:cstheme="min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CEF" w:rsidRDefault="00F31CEF">
      <w:pPr>
        <w:rPr>
          <w:rFonts w:cstheme="minorBidi"/>
        </w:rPr>
      </w:pPr>
      <w:r>
        <w:rPr>
          <w:rFonts w:cstheme="minorBidi"/>
        </w:rPr>
        <w:separator/>
      </w:r>
    </w:p>
  </w:footnote>
  <w:footnote w:type="continuationSeparator" w:id="0">
    <w:p w:rsidR="00F31CEF" w:rsidRDefault="00F31CEF">
      <w:pPr>
        <w:rPr>
          <w:rFonts w:cstheme="minorBidi"/>
        </w:rPr>
      </w:pPr>
      <w:r>
        <w:rPr>
          <w:rFonts w:cstheme="minorBidi"/>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Ansi="Times New Roman" w:hint="eastAsia"/>
        <w:b w:val="0"/>
        <w:bCs w:val="0"/>
        <w:i w:val="0"/>
        <w:iCs w:val="0"/>
        <w:snapToGrid/>
        <w:spacing w:val="0"/>
        <w:w w:val="100"/>
        <w:position w:val="0"/>
        <w:sz w:val="32"/>
        <w:szCs w:val="32"/>
      </w:rPr>
    </w:lvl>
    <w:lvl w:ilvl="1">
      <w:start w:val="1"/>
      <w:numFmt w:val="taiwaneseCountingThousand"/>
      <w:pStyle w:val="2"/>
      <w:suff w:val="nothing"/>
      <w:lvlText w:val="%2、"/>
      <w:lvlJc w:val="left"/>
      <w:pPr>
        <w:ind w:left="1045" w:hanging="697"/>
      </w:pPr>
      <w:rPr>
        <w:rFonts w:ascii="標楷體" w:eastAsia="標楷體" w:hAnsi="Times New Roman" w:hint="eastAsia"/>
        <w:b w:val="0"/>
        <w:bCs w:val="0"/>
        <w:i w:val="0"/>
        <w:iCs w:val="0"/>
        <w:snapToGrid/>
        <w:spacing w:val="0"/>
        <w:w w:val="100"/>
        <w:position w:val="0"/>
        <w:sz w:val="32"/>
        <w:szCs w:val="32"/>
      </w:rPr>
    </w:lvl>
    <w:lvl w:ilvl="2">
      <w:start w:val="1"/>
      <w:numFmt w:val="taiwaneseCountingThousand"/>
      <w:pStyle w:val="3"/>
      <w:suff w:val="nothing"/>
      <w:lvlText w:val="(%3)"/>
      <w:lvlJc w:val="left"/>
      <w:pPr>
        <w:ind w:left="1393" w:hanging="697"/>
      </w:pPr>
      <w:rPr>
        <w:rFonts w:ascii="標楷體" w:eastAsia="標楷體" w:hAnsi="Times New Roman" w:hint="eastAsia"/>
        <w:b w:val="0"/>
        <w:bCs w:val="0"/>
        <w:i w:val="0"/>
        <w:iCs w:val="0"/>
        <w:spacing w:val="0"/>
        <w:w w:val="100"/>
        <w:position w:val="0"/>
        <w:sz w:val="32"/>
        <w:szCs w:val="32"/>
      </w:rPr>
    </w:lvl>
    <w:lvl w:ilvl="3">
      <w:start w:val="1"/>
      <w:numFmt w:val="decimalFullWidth"/>
      <w:pStyle w:val="4"/>
      <w:suff w:val="nothing"/>
      <w:lvlText w:val="%4、"/>
      <w:lvlJc w:val="left"/>
      <w:pPr>
        <w:ind w:left="1741" w:hanging="698"/>
      </w:pPr>
      <w:rPr>
        <w:rFonts w:ascii="標楷體" w:eastAsia="標楷體" w:hAnsi="Times New Roman" w:hint="eastAsia"/>
        <w:b w:val="0"/>
        <w:bCs w:val="0"/>
        <w:i w:val="0"/>
        <w:iCs w:val="0"/>
        <w:spacing w:val="0"/>
        <w:w w:val="100"/>
        <w:position w:val="0"/>
        <w:sz w:val="32"/>
        <w:szCs w:val="32"/>
      </w:rPr>
    </w:lvl>
    <w:lvl w:ilvl="4">
      <w:start w:val="1"/>
      <w:numFmt w:val="decimalFullWidth"/>
      <w:pStyle w:val="5"/>
      <w:suff w:val="nothing"/>
      <w:lvlText w:val="(%5)"/>
      <w:lvlJc w:val="left"/>
      <w:pPr>
        <w:ind w:left="2094" w:hanging="700"/>
      </w:pPr>
      <w:rPr>
        <w:rFonts w:ascii="標楷體" w:eastAsia="標楷體" w:hAnsi="Times New Roman" w:hint="eastAsia"/>
        <w:b w:val="0"/>
        <w:bCs w:val="0"/>
        <w:i w:val="0"/>
        <w:iCs w:val="0"/>
        <w:snapToGrid/>
        <w:spacing w:val="0"/>
        <w:w w:val="100"/>
        <w:position w:val="0"/>
        <w:sz w:val="32"/>
        <w:szCs w:val="32"/>
      </w:rPr>
    </w:lvl>
    <w:lvl w:ilvl="5">
      <w:start w:val="1"/>
      <w:numFmt w:val="decimalFullWidth"/>
      <w:pStyle w:val="6"/>
      <w:suff w:val="nothing"/>
      <w:lvlText w:val="&lt;%6&gt;"/>
      <w:lvlJc w:val="left"/>
      <w:pPr>
        <w:ind w:left="2441" w:hanging="697"/>
      </w:pPr>
      <w:rPr>
        <w:rFonts w:ascii="標楷體" w:eastAsia="標楷體" w:hAnsi="Times New Roman" w:hint="eastAsia"/>
        <w:b w:val="0"/>
        <w:bCs w:val="0"/>
        <w:i w:val="0"/>
        <w:iCs w:val="0"/>
        <w:snapToGrid/>
        <w:spacing w:val="0"/>
        <w:w w:val="100"/>
        <w:position w:val="0"/>
        <w:sz w:val="32"/>
        <w:szCs w:val="32"/>
      </w:rPr>
    </w:lvl>
    <w:lvl w:ilvl="6">
      <w:start w:val="1"/>
      <w:numFmt w:val="bullet"/>
      <w:pStyle w:val="7"/>
      <w:suff w:val="nothing"/>
      <w:lvlText w:val="․"/>
      <w:lvlJc w:val="left"/>
      <w:pPr>
        <w:ind w:left="2445" w:hanging="353"/>
      </w:pPr>
      <w:rPr>
        <w:rFonts w:ascii="標楷體" w:eastAsia="標楷體" w:hint="eastAsia"/>
        <w:b w:val="0"/>
        <w:bCs w:val="0"/>
        <w:i w:val="0"/>
        <w:iCs w:val="0"/>
        <w:snapToGrid/>
        <w:spacing w:val="0"/>
        <w:w w:val="100"/>
        <w:position w:val="0"/>
        <w:sz w:val="32"/>
        <w:szCs w:val="32"/>
      </w:rPr>
    </w:lvl>
    <w:lvl w:ilvl="7">
      <w:start w:val="1"/>
      <w:numFmt w:val="bullet"/>
      <w:pStyle w:val="8"/>
      <w:suff w:val="nothing"/>
      <w:lvlText w:val="◇"/>
      <w:lvlJc w:val="left"/>
      <w:pPr>
        <w:ind w:left="2787" w:hanging="349"/>
      </w:pPr>
      <w:rPr>
        <w:rFonts w:ascii="標楷體" w:eastAsia="標楷體" w:hint="eastAsia"/>
        <w:b w:val="0"/>
        <w:bCs w:val="0"/>
        <w:i w:val="0"/>
        <w:iCs w:val="0"/>
        <w:snapToGrid/>
        <w:spacing w:val="0"/>
        <w:w w:val="100"/>
        <w:position w:val="0"/>
        <w:sz w:val="32"/>
        <w:szCs w:val="32"/>
      </w:rPr>
    </w:lvl>
    <w:lvl w:ilvl="8">
      <w:start w:val="1"/>
      <w:numFmt w:val="decimal"/>
      <w:lvlText w:val="%1.%2.%3.%4.%5.%6.%7.%8.%9"/>
      <w:lvlJc w:val="left"/>
      <w:pPr>
        <w:tabs>
          <w:tab w:val="num" w:pos="6195"/>
        </w:tabs>
        <w:ind w:left="5015" w:hanging="1700"/>
      </w:pPr>
      <w:rPr>
        <w:rFonts w:ascii="Times New Roman" w:hAnsi="Times New Roman"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0"/>
  <w:doNotHyphenateCaps/>
  <w:drawingGridHorizontalSpacing w:val="170"/>
  <w:drawingGridVerticalSpacing w:val="457"/>
  <w:displayHorizontalDrawingGridEvery w:val="0"/>
  <w:characterSpacingControl w:val="compressPunctuation"/>
  <w:noLineBreaksAfter w:lang="zh-TW" w:val="'(7[bd{£¥‘“‵〈《「『【〔〝︵︷︹︻︽︿﹁﹏﹛﹝（｛"/>
  <w:noLineBreaksBefore w:lang="zh-TW" w:val="!'),.5:;?]c}¢·–—’”•‥…‧′╴、。〉》」』】〕〞︰︱︳︴︶︸︺︼︾﹀﹂﹄﹏﹐﹑﹒﹔﹕﹖﹗﹚﹜﹞！），．：；？］｜｝､"/>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115"/>
    <w:rsid w:val="0076420F"/>
    <w:rsid w:val="00824D36"/>
    <w:rsid w:val="008B42CE"/>
    <w:rsid w:val="00A67115"/>
    <w:rsid w:val="00F31C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pPr>
    <w:rPr>
      <w:rFonts w:ascii="Times New Roman" w:eastAsia="標楷體" w:hAnsi="Times New Roman" w:cs="Times New Roman"/>
      <w:sz w:val="32"/>
      <w:szCs w:val="32"/>
    </w:rPr>
  </w:style>
  <w:style w:type="paragraph" w:styleId="1">
    <w:name w:val="heading 1"/>
    <w:basedOn w:val="a"/>
    <w:link w:val="10"/>
    <w:uiPriority w:val="99"/>
    <w:qFormat/>
    <w:pPr>
      <w:numPr>
        <w:numId w:val="1"/>
      </w:numPr>
      <w:kinsoku w:val="0"/>
      <w:ind w:left="800" w:hangingChars="800" w:hanging="800"/>
      <w:jc w:val="both"/>
      <w:outlineLvl w:val="0"/>
    </w:pPr>
    <w:rPr>
      <w:rFonts w:ascii="標楷體" w:hAnsi="Arial" w:cs="標楷體"/>
      <w:kern w:val="0"/>
    </w:rPr>
  </w:style>
  <w:style w:type="paragraph" w:styleId="2">
    <w:name w:val="heading 2"/>
    <w:basedOn w:val="a"/>
    <w:link w:val="20"/>
    <w:uiPriority w:val="99"/>
    <w:qFormat/>
    <w:pPr>
      <w:numPr>
        <w:ilvl w:val="1"/>
        <w:numId w:val="1"/>
      </w:numPr>
      <w:jc w:val="both"/>
      <w:outlineLvl w:val="1"/>
    </w:pPr>
    <w:rPr>
      <w:rFonts w:ascii="標楷體" w:hAnsi="Arial" w:cs="標楷體"/>
      <w:kern w:val="0"/>
    </w:rPr>
  </w:style>
  <w:style w:type="paragraph" w:styleId="3">
    <w:name w:val="heading 3"/>
    <w:basedOn w:val="a"/>
    <w:link w:val="30"/>
    <w:uiPriority w:val="99"/>
    <w:qFormat/>
    <w:pPr>
      <w:numPr>
        <w:ilvl w:val="2"/>
        <w:numId w:val="1"/>
      </w:numPr>
      <w:jc w:val="both"/>
      <w:outlineLvl w:val="2"/>
    </w:pPr>
    <w:rPr>
      <w:rFonts w:ascii="標楷體" w:hAnsi="Arial" w:cs="標楷體"/>
      <w:kern w:val="0"/>
    </w:rPr>
  </w:style>
  <w:style w:type="paragraph" w:styleId="4">
    <w:name w:val="heading 4"/>
    <w:basedOn w:val="a"/>
    <w:link w:val="40"/>
    <w:uiPriority w:val="99"/>
    <w:qFormat/>
    <w:pPr>
      <w:numPr>
        <w:ilvl w:val="3"/>
        <w:numId w:val="1"/>
      </w:numPr>
      <w:jc w:val="both"/>
      <w:outlineLvl w:val="3"/>
    </w:pPr>
    <w:rPr>
      <w:rFonts w:ascii="標楷體" w:hAnsi="Arial" w:cs="標楷體"/>
    </w:rPr>
  </w:style>
  <w:style w:type="paragraph" w:styleId="5">
    <w:name w:val="heading 5"/>
    <w:basedOn w:val="a"/>
    <w:link w:val="50"/>
    <w:uiPriority w:val="99"/>
    <w:qFormat/>
    <w:pPr>
      <w:numPr>
        <w:ilvl w:val="4"/>
        <w:numId w:val="1"/>
      </w:numPr>
      <w:jc w:val="both"/>
      <w:outlineLvl w:val="4"/>
    </w:pPr>
    <w:rPr>
      <w:rFonts w:ascii="標楷體" w:hAnsi="Arial" w:cs="標楷體"/>
    </w:rPr>
  </w:style>
  <w:style w:type="paragraph" w:styleId="6">
    <w:name w:val="heading 6"/>
    <w:basedOn w:val="a"/>
    <w:link w:val="60"/>
    <w:uiPriority w:val="99"/>
    <w:qFormat/>
    <w:pPr>
      <w:numPr>
        <w:ilvl w:val="5"/>
        <w:numId w:val="1"/>
      </w:numPr>
      <w:tabs>
        <w:tab w:val="left" w:pos="2094"/>
      </w:tabs>
      <w:jc w:val="both"/>
      <w:outlineLvl w:val="5"/>
    </w:pPr>
    <w:rPr>
      <w:rFonts w:ascii="標楷體" w:hAnsi="Arial" w:cs="標楷體"/>
    </w:rPr>
  </w:style>
  <w:style w:type="paragraph" w:styleId="7">
    <w:name w:val="heading 7"/>
    <w:basedOn w:val="a"/>
    <w:link w:val="70"/>
    <w:uiPriority w:val="99"/>
    <w:qFormat/>
    <w:pPr>
      <w:numPr>
        <w:ilvl w:val="6"/>
        <w:numId w:val="1"/>
      </w:numPr>
      <w:jc w:val="both"/>
      <w:outlineLvl w:val="6"/>
    </w:pPr>
    <w:rPr>
      <w:rFonts w:ascii="標楷體" w:hAnsi="Arial" w:cs="標楷體"/>
    </w:rPr>
  </w:style>
  <w:style w:type="paragraph" w:styleId="8">
    <w:name w:val="heading 8"/>
    <w:basedOn w:val="a"/>
    <w:link w:val="80"/>
    <w:uiPriority w:val="99"/>
    <w:qFormat/>
    <w:pPr>
      <w:numPr>
        <w:ilvl w:val="7"/>
        <w:numId w:val="1"/>
      </w:numPr>
      <w:jc w:val="both"/>
      <w:outlineLvl w:val="7"/>
    </w:pPr>
    <w:rPr>
      <w:rFonts w:ascii="標楷體" w:hAnsi="Arial" w:cs="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67115"/>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A67115"/>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A67115"/>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sid w:val="00A67115"/>
    <w:rPr>
      <w:rFonts w:asciiTheme="majorHAnsi" w:eastAsiaTheme="majorEastAsia" w:hAnsiTheme="majorHAnsi" w:cstheme="majorBidi"/>
      <w:sz w:val="36"/>
      <w:szCs w:val="36"/>
    </w:rPr>
  </w:style>
  <w:style w:type="character" w:customStyle="1" w:styleId="50">
    <w:name w:val="標題 5 字元"/>
    <w:basedOn w:val="a0"/>
    <w:link w:val="5"/>
    <w:uiPriority w:val="9"/>
    <w:semiHidden/>
    <w:rsid w:val="00A67115"/>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sid w:val="00A67115"/>
    <w:rPr>
      <w:rFonts w:asciiTheme="majorHAnsi" w:eastAsiaTheme="majorEastAsia" w:hAnsiTheme="majorHAnsi" w:cstheme="majorBidi"/>
      <w:sz w:val="36"/>
      <w:szCs w:val="36"/>
    </w:rPr>
  </w:style>
  <w:style w:type="character" w:customStyle="1" w:styleId="70">
    <w:name w:val="標題 7 字元"/>
    <w:basedOn w:val="a0"/>
    <w:link w:val="7"/>
    <w:uiPriority w:val="9"/>
    <w:semiHidden/>
    <w:rsid w:val="00A67115"/>
    <w:rPr>
      <w:rFonts w:asciiTheme="majorHAnsi" w:eastAsiaTheme="majorEastAsia" w:hAnsiTheme="majorHAnsi" w:cstheme="majorBidi"/>
      <w:b/>
      <w:bCs/>
      <w:sz w:val="36"/>
      <w:szCs w:val="36"/>
    </w:rPr>
  </w:style>
  <w:style w:type="character" w:customStyle="1" w:styleId="80">
    <w:name w:val="標題 8 字元"/>
    <w:basedOn w:val="a0"/>
    <w:link w:val="8"/>
    <w:uiPriority w:val="9"/>
    <w:semiHidden/>
    <w:rsid w:val="00A67115"/>
    <w:rPr>
      <w:rFonts w:asciiTheme="majorHAnsi" w:eastAsiaTheme="majorEastAsia" w:hAnsiTheme="majorHAnsi" w:cstheme="majorBidi"/>
      <w:sz w:val="36"/>
      <w:szCs w:val="36"/>
    </w:rPr>
  </w:style>
  <w:style w:type="paragraph" w:customStyle="1" w:styleId="31">
    <w:name w:val="段落樣式3"/>
    <w:basedOn w:val="21"/>
    <w:uiPriority w:val="99"/>
    <w:pPr>
      <w:ind w:leftChars="400" w:left="400"/>
    </w:pPr>
  </w:style>
  <w:style w:type="paragraph" w:customStyle="1" w:styleId="21">
    <w:name w:val="段落樣式2"/>
    <w:basedOn w:val="a"/>
    <w:uiPriority w:val="99"/>
    <w:pPr>
      <w:tabs>
        <w:tab w:val="left" w:pos="567"/>
      </w:tabs>
      <w:ind w:leftChars="300" w:left="300" w:firstLineChars="200" w:firstLine="200"/>
      <w:jc w:val="both"/>
    </w:pPr>
    <w:rPr>
      <w:rFonts w:ascii="標楷體" w:cs="標楷體"/>
      <w:kern w:val="0"/>
    </w:rPr>
  </w:style>
  <w:style w:type="paragraph" w:customStyle="1" w:styleId="41">
    <w:name w:val="段落樣式4"/>
    <w:basedOn w:val="31"/>
    <w:uiPriority w:val="99"/>
    <w:pPr>
      <w:ind w:leftChars="500" w:left="500"/>
    </w:pPr>
  </w:style>
  <w:style w:type="paragraph" w:customStyle="1" w:styleId="51">
    <w:name w:val="段落樣式5"/>
    <w:basedOn w:val="41"/>
    <w:uiPriority w:val="99"/>
    <w:pPr>
      <w:ind w:leftChars="600" w:left="600"/>
    </w:pPr>
  </w:style>
  <w:style w:type="paragraph" w:customStyle="1" w:styleId="61">
    <w:name w:val="段落樣式6"/>
    <w:basedOn w:val="51"/>
    <w:uiPriority w:val="99"/>
    <w:pPr>
      <w:ind w:leftChars="700" w:left="700"/>
    </w:pPr>
  </w:style>
  <w:style w:type="paragraph" w:customStyle="1" w:styleId="71">
    <w:name w:val="段落樣式7"/>
    <w:basedOn w:val="61"/>
    <w:uiPriority w:val="99"/>
  </w:style>
  <w:style w:type="paragraph" w:customStyle="1" w:styleId="81">
    <w:name w:val="段落樣式8"/>
    <w:basedOn w:val="71"/>
    <w:uiPriority w:val="99"/>
    <w:pPr>
      <w:ind w:leftChars="800" w:left="800"/>
    </w:pPr>
  </w:style>
  <w:style w:type="paragraph" w:styleId="a3">
    <w:name w:val="Signature"/>
    <w:basedOn w:val="a"/>
    <w:link w:val="a4"/>
    <w:uiPriority w:val="99"/>
    <w:pPr>
      <w:spacing w:before="720" w:after="720"/>
      <w:ind w:left="7371"/>
    </w:pPr>
    <w:rPr>
      <w:rFonts w:ascii="標楷體" w:cs="標楷體"/>
      <w:b/>
      <w:bCs/>
      <w:spacing w:val="10"/>
      <w:sz w:val="36"/>
      <w:szCs w:val="36"/>
    </w:rPr>
  </w:style>
  <w:style w:type="character" w:customStyle="1" w:styleId="a4">
    <w:name w:val="簽名 字元"/>
    <w:basedOn w:val="a0"/>
    <w:link w:val="a3"/>
    <w:uiPriority w:val="99"/>
    <w:semiHidden/>
    <w:rsid w:val="00A67115"/>
    <w:rPr>
      <w:rFonts w:ascii="Times New Roman" w:eastAsia="標楷體" w:hAnsi="Times New Roman" w:cs="Times New Roman"/>
      <w:sz w:val="32"/>
      <w:szCs w:val="32"/>
    </w:rPr>
  </w:style>
  <w:style w:type="paragraph" w:styleId="a5">
    <w:name w:val="endnote text"/>
    <w:basedOn w:val="a"/>
    <w:link w:val="a6"/>
    <w:uiPriority w:val="99"/>
    <w:pPr>
      <w:spacing w:before="240"/>
      <w:ind w:left="1021" w:hanging="1021"/>
      <w:jc w:val="both"/>
    </w:pPr>
    <w:rPr>
      <w:rFonts w:ascii="標楷體" w:cs="標楷體"/>
      <w:spacing w:val="10"/>
    </w:rPr>
  </w:style>
  <w:style w:type="character" w:customStyle="1" w:styleId="a6">
    <w:name w:val="章節附註文字 字元"/>
    <w:basedOn w:val="a0"/>
    <w:link w:val="a5"/>
    <w:uiPriority w:val="99"/>
    <w:semiHidden/>
    <w:rsid w:val="00A67115"/>
    <w:rPr>
      <w:rFonts w:ascii="Times New Roman" w:eastAsia="標楷體" w:hAnsi="Times New Roman" w:cs="Times New Roman"/>
      <w:sz w:val="32"/>
      <w:szCs w:val="32"/>
    </w:rPr>
  </w:style>
  <w:style w:type="character" w:styleId="a7">
    <w:name w:val="page number"/>
    <w:basedOn w:val="a0"/>
    <w:uiPriority w:val="99"/>
    <w:rPr>
      <w:rFonts w:ascii="標楷體" w:eastAsia="標楷體" w:hAnsi="Times New Roman" w:cs="標楷體"/>
      <w:sz w:val="20"/>
      <w:szCs w:val="20"/>
    </w:rPr>
  </w:style>
  <w:style w:type="paragraph" w:styleId="11">
    <w:name w:val="toc 1"/>
    <w:basedOn w:val="a"/>
    <w:next w:val="a"/>
    <w:autoRedefine/>
    <w:uiPriority w:val="99"/>
    <w:pPr>
      <w:ind w:left="200" w:hangingChars="200" w:hanging="200"/>
      <w:jc w:val="both"/>
    </w:pPr>
    <w:rPr>
      <w:rFonts w:ascii="標楷體" w:cs="標楷體"/>
    </w:rPr>
  </w:style>
  <w:style w:type="paragraph" w:styleId="22">
    <w:name w:val="toc 2"/>
    <w:basedOn w:val="a"/>
    <w:next w:val="a"/>
    <w:autoRedefine/>
    <w:uiPriority w:val="99"/>
    <w:pPr>
      <w:ind w:leftChars="100" w:left="300" w:hangingChars="200" w:hanging="200"/>
      <w:jc w:val="both"/>
    </w:pPr>
    <w:rPr>
      <w:rFonts w:ascii="標楷體" w:cs="標楷體"/>
    </w:rPr>
  </w:style>
  <w:style w:type="paragraph" w:styleId="32">
    <w:name w:val="toc 3"/>
    <w:basedOn w:val="a"/>
    <w:next w:val="a"/>
    <w:autoRedefine/>
    <w:uiPriority w:val="99"/>
    <w:pPr>
      <w:ind w:leftChars="200" w:left="400" w:hangingChars="200" w:hanging="200"/>
      <w:jc w:val="both"/>
    </w:pPr>
    <w:rPr>
      <w:rFonts w:ascii="標楷體" w:cs="標楷體"/>
      <w:noProof/>
    </w:rPr>
  </w:style>
  <w:style w:type="paragraph" w:styleId="42">
    <w:name w:val="toc 4"/>
    <w:basedOn w:val="a"/>
    <w:next w:val="a"/>
    <w:autoRedefine/>
    <w:uiPriority w:val="99"/>
    <w:pPr>
      <w:kinsoku w:val="0"/>
      <w:ind w:leftChars="300" w:left="500" w:hangingChars="200" w:hanging="200"/>
      <w:jc w:val="both"/>
    </w:pPr>
    <w:rPr>
      <w:rFonts w:ascii="標楷體" w:cs="標楷體"/>
    </w:rPr>
  </w:style>
  <w:style w:type="paragraph" w:styleId="52">
    <w:name w:val="toc 5"/>
    <w:basedOn w:val="a"/>
    <w:next w:val="a"/>
    <w:autoRedefine/>
    <w:uiPriority w:val="99"/>
    <w:pPr>
      <w:kinsoku w:val="0"/>
      <w:ind w:leftChars="400" w:left="600" w:hangingChars="200" w:hanging="200"/>
      <w:jc w:val="both"/>
    </w:pPr>
    <w:rPr>
      <w:rFonts w:ascii="標楷體" w:cs="標楷體"/>
    </w:rPr>
  </w:style>
  <w:style w:type="paragraph" w:styleId="62">
    <w:name w:val="toc 6"/>
    <w:basedOn w:val="a"/>
    <w:next w:val="a"/>
    <w:autoRedefine/>
    <w:uiPriority w:val="99"/>
    <w:pPr>
      <w:ind w:leftChars="500" w:left="700" w:hangingChars="200" w:hanging="200"/>
    </w:pPr>
    <w:rPr>
      <w:rFonts w:ascii="標楷體" w:cs="標楷體"/>
    </w:rPr>
  </w:style>
  <w:style w:type="paragraph" w:styleId="72">
    <w:name w:val="toc 7"/>
    <w:basedOn w:val="a"/>
    <w:next w:val="a"/>
    <w:autoRedefine/>
    <w:uiPriority w:val="99"/>
    <w:pPr>
      <w:ind w:leftChars="600" w:left="700" w:hangingChars="100" w:hanging="100"/>
    </w:pPr>
    <w:rPr>
      <w:rFonts w:ascii="標楷體" w:cs="標楷體"/>
    </w:rPr>
  </w:style>
  <w:style w:type="paragraph" w:styleId="82">
    <w:name w:val="toc 8"/>
    <w:basedOn w:val="a"/>
    <w:next w:val="a"/>
    <w:autoRedefine/>
    <w:uiPriority w:val="99"/>
    <w:pPr>
      <w:ind w:leftChars="700" w:left="2792" w:hangingChars="100" w:hanging="349"/>
    </w:pPr>
    <w:rPr>
      <w:rFonts w:ascii="標楷體" w:cs="標楷體"/>
    </w:rPr>
  </w:style>
  <w:style w:type="paragraph" w:styleId="9">
    <w:name w:val="toc 9"/>
    <w:basedOn w:val="a"/>
    <w:next w:val="a"/>
    <w:autoRedefine/>
    <w:uiPriority w:val="99"/>
    <w:pPr>
      <w:ind w:leftChars="1600" w:left="3840"/>
    </w:pPr>
  </w:style>
  <w:style w:type="character" w:styleId="a8">
    <w:name w:val="Hyperlink"/>
    <w:basedOn w:val="a0"/>
    <w:uiPriority w:val="99"/>
    <w:rPr>
      <w:rFonts w:ascii="Times New Roman" w:hAnsi="Times New Roman" w:cs="Times New Roman"/>
      <w:color w:val="0000FF"/>
      <w:u w:val="single"/>
    </w:rPr>
  </w:style>
  <w:style w:type="paragraph" w:customStyle="1" w:styleId="12">
    <w:name w:val="段落樣式1"/>
    <w:basedOn w:val="a"/>
    <w:uiPriority w:val="99"/>
    <w:pPr>
      <w:tabs>
        <w:tab w:val="left" w:pos="567"/>
      </w:tabs>
      <w:kinsoku w:val="0"/>
      <w:ind w:leftChars="200" w:left="200" w:firstLineChars="200" w:firstLine="200"/>
      <w:jc w:val="both"/>
    </w:pPr>
    <w:rPr>
      <w:rFonts w:ascii="標楷體" w:cs="標楷體"/>
      <w:kern w:val="0"/>
    </w:rPr>
  </w:style>
  <w:style w:type="paragraph" w:customStyle="1" w:styleId="0">
    <w:name w:val="段落樣式0"/>
    <w:basedOn w:val="21"/>
    <w:uiPriority w:val="99"/>
    <w:pPr>
      <w:ind w:leftChars="200" w:left="200" w:firstLineChars="0" w:firstLine="0"/>
    </w:pPr>
  </w:style>
  <w:style w:type="paragraph" w:styleId="a9">
    <w:name w:val="header"/>
    <w:basedOn w:val="a"/>
    <w:link w:val="aa"/>
    <w:uiPriority w:val="99"/>
    <w:pPr>
      <w:tabs>
        <w:tab w:val="center" w:pos="4153"/>
        <w:tab w:val="right" w:pos="8306"/>
      </w:tabs>
      <w:snapToGrid w:val="0"/>
    </w:pPr>
    <w:rPr>
      <w:sz w:val="20"/>
      <w:szCs w:val="20"/>
    </w:rPr>
  </w:style>
  <w:style w:type="character" w:customStyle="1" w:styleId="aa">
    <w:name w:val="頁首 字元"/>
    <w:basedOn w:val="a0"/>
    <w:link w:val="a9"/>
    <w:uiPriority w:val="99"/>
    <w:semiHidden/>
    <w:rsid w:val="00A67115"/>
    <w:rPr>
      <w:rFonts w:ascii="Times New Roman" w:eastAsia="標楷體" w:hAnsi="Times New Roman" w:cs="Times New Roman"/>
      <w:sz w:val="20"/>
      <w:szCs w:val="20"/>
    </w:rPr>
  </w:style>
  <w:style w:type="paragraph" w:styleId="ab">
    <w:name w:val="footer"/>
    <w:basedOn w:val="a"/>
    <w:link w:val="ac"/>
    <w:uiPriority w:val="99"/>
    <w:pPr>
      <w:tabs>
        <w:tab w:val="center" w:pos="4153"/>
        <w:tab w:val="right" w:pos="8306"/>
      </w:tabs>
      <w:snapToGrid w:val="0"/>
    </w:pPr>
    <w:rPr>
      <w:sz w:val="20"/>
      <w:szCs w:val="20"/>
    </w:rPr>
  </w:style>
  <w:style w:type="character" w:customStyle="1" w:styleId="ac">
    <w:name w:val="頁尾 字元"/>
    <w:basedOn w:val="a0"/>
    <w:link w:val="ab"/>
    <w:uiPriority w:val="99"/>
    <w:semiHidden/>
    <w:rsid w:val="00A67115"/>
    <w:rPr>
      <w:rFonts w:ascii="Times New Roman" w:eastAsia="標楷體" w:hAnsi="Times New Roman" w:cs="Times New Roman"/>
      <w:sz w:val="20"/>
      <w:szCs w:val="20"/>
    </w:rPr>
  </w:style>
  <w:style w:type="paragraph" w:customStyle="1" w:styleId="ad">
    <w:name w:val="簽名日期"/>
    <w:basedOn w:val="a"/>
    <w:uiPriority w:val="99"/>
    <w:pPr>
      <w:kinsoku w:val="0"/>
      <w:jc w:val="distribute"/>
    </w:pPr>
    <w:rPr>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pPr>
    <w:rPr>
      <w:rFonts w:ascii="Times New Roman" w:eastAsia="標楷體" w:hAnsi="Times New Roman" w:cs="Times New Roman"/>
      <w:sz w:val="32"/>
      <w:szCs w:val="32"/>
    </w:rPr>
  </w:style>
  <w:style w:type="paragraph" w:styleId="1">
    <w:name w:val="heading 1"/>
    <w:basedOn w:val="a"/>
    <w:link w:val="10"/>
    <w:uiPriority w:val="99"/>
    <w:qFormat/>
    <w:pPr>
      <w:numPr>
        <w:numId w:val="1"/>
      </w:numPr>
      <w:kinsoku w:val="0"/>
      <w:ind w:left="800" w:hangingChars="800" w:hanging="800"/>
      <w:jc w:val="both"/>
      <w:outlineLvl w:val="0"/>
    </w:pPr>
    <w:rPr>
      <w:rFonts w:ascii="標楷體" w:hAnsi="Arial" w:cs="標楷體"/>
      <w:kern w:val="0"/>
    </w:rPr>
  </w:style>
  <w:style w:type="paragraph" w:styleId="2">
    <w:name w:val="heading 2"/>
    <w:basedOn w:val="a"/>
    <w:link w:val="20"/>
    <w:uiPriority w:val="99"/>
    <w:qFormat/>
    <w:pPr>
      <w:numPr>
        <w:ilvl w:val="1"/>
        <w:numId w:val="1"/>
      </w:numPr>
      <w:jc w:val="both"/>
      <w:outlineLvl w:val="1"/>
    </w:pPr>
    <w:rPr>
      <w:rFonts w:ascii="標楷體" w:hAnsi="Arial" w:cs="標楷體"/>
      <w:kern w:val="0"/>
    </w:rPr>
  </w:style>
  <w:style w:type="paragraph" w:styleId="3">
    <w:name w:val="heading 3"/>
    <w:basedOn w:val="a"/>
    <w:link w:val="30"/>
    <w:uiPriority w:val="99"/>
    <w:qFormat/>
    <w:pPr>
      <w:numPr>
        <w:ilvl w:val="2"/>
        <w:numId w:val="1"/>
      </w:numPr>
      <w:jc w:val="both"/>
      <w:outlineLvl w:val="2"/>
    </w:pPr>
    <w:rPr>
      <w:rFonts w:ascii="標楷體" w:hAnsi="Arial" w:cs="標楷體"/>
      <w:kern w:val="0"/>
    </w:rPr>
  </w:style>
  <w:style w:type="paragraph" w:styleId="4">
    <w:name w:val="heading 4"/>
    <w:basedOn w:val="a"/>
    <w:link w:val="40"/>
    <w:uiPriority w:val="99"/>
    <w:qFormat/>
    <w:pPr>
      <w:numPr>
        <w:ilvl w:val="3"/>
        <w:numId w:val="1"/>
      </w:numPr>
      <w:jc w:val="both"/>
      <w:outlineLvl w:val="3"/>
    </w:pPr>
    <w:rPr>
      <w:rFonts w:ascii="標楷體" w:hAnsi="Arial" w:cs="標楷體"/>
    </w:rPr>
  </w:style>
  <w:style w:type="paragraph" w:styleId="5">
    <w:name w:val="heading 5"/>
    <w:basedOn w:val="a"/>
    <w:link w:val="50"/>
    <w:uiPriority w:val="99"/>
    <w:qFormat/>
    <w:pPr>
      <w:numPr>
        <w:ilvl w:val="4"/>
        <w:numId w:val="1"/>
      </w:numPr>
      <w:jc w:val="both"/>
      <w:outlineLvl w:val="4"/>
    </w:pPr>
    <w:rPr>
      <w:rFonts w:ascii="標楷體" w:hAnsi="Arial" w:cs="標楷體"/>
    </w:rPr>
  </w:style>
  <w:style w:type="paragraph" w:styleId="6">
    <w:name w:val="heading 6"/>
    <w:basedOn w:val="a"/>
    <w:link w:val="60"/>
    <w:uiPriority w:val="99"/>
    <w:qFormat/>
    <w:pPr>
      <w:numPr>
        <w:ilvl w:val="5"/>
        <w:numId w:val="1"/>
      </w:numPr>
      <w:tabs>
        <w:tab w:val="left" w:pos="2094"/>
      </w:tabs>
      <w:jc w:val="both"/>
      <w:outlineLvl w:val="5"/>
    </w:pPr>
    <w:rPr>
      <w:rFonts w:ascii="標楷體" w:hAnsi="Arial" w:cs="標楷體"/>
    </w:rPr>
  </w:style>
  <w:style w:type="paragraph" w:styleId="7">
    <w:name w:val="heading 7"/>
    <w:basedOn w:val="a"/>
    <w:link w:val="70"/>
    <w:uiPriority w:val="99"/>
    <w:qFormat/>
    <w:pPr>
      <w:numPr>
        <w:ilvl w:val="6"/>
        <w:numId w:val="1"/>
      </w:numPr>
      <w:jc w:val="both"/>
      <w:outlineLvl w:val="6"/>
    </w:pPr>
    <w:rPr>
      <w:rFonts w:ascii="標楷體" w:hAnsi="Arial" w:cs="標楷體"/>
    </w:rPr>
  </w:style>
  <w:style w:type="paragraph" w:styleId="8">
    <w:name w:val="heading 8"/>
    <w:basedOn w:val="a"/>
    <w:link w:val="80"/>
    <w:uiPriority w:val="99"/>
    <w:qFormat/>
    <w:pPr>
      <w:numPr>
        <w:ilvl w:val="7"/>
        <w:numId w:val="1"/>
      </w:numPr>
      <w:jc w:val="both"/>
      <w:outlineLvl w:val="7"/>
    </w:pPr>
    <w:rPr>
      <w:rFonts w:ascii="標楷體" w:hAnsi="Arial" w:cs="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67115"/>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A67115"/>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A67115"/>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sid w:val="00A67115"/>
    <w:rPr>
      <w:rFonts w:asciiTheme="majorHAnsi" w:eastAsiaTheme="majorEastAsia" w:hAnsiTheme="majorHAnsi" w:cstheme="majorBidi"/>
      <w:sz w:val="36"/>
      <w:szCs w:val="36"/>
    </w:rPr>
  </w:style>
  <w:style w:type="character" w:customStyle="1" w:styleId="50">
    <w:name w:val="標題 5 字元"/>
    <w:basedOn w:val="a0"/>
    <w:link w:val="5"/>
    <w:uiPriority w:val="9"/>
    <w:semiHidden/>
    <w:rsid w:val="00A67115"/>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sid w:val="00A67115"/>
    <w:rPr>
      <w:rFonts w:asciiTheme="majorHAnsi" w:eastAsiaTheme="majorEastAsia" w:hAnsiTheme="majorHAnsi" w:cstheme="majorBidi"/>
      <w:sz w:val="36"/>
      <w:szCs w:val="36"/>
    </w:rPr>
  </w:style>
  <w:style w:type="character" w:customStyle="1" w:styleId="70">
    <w:name w:val="標題 7 字元"/>
    <w:basedOn w:val="a0"/>
    <w:link w:val="7"/>
    <w:uiPriority w:val="9"/>
    <w:semiHidden/>
    <w:rsid w:val="00A67115"/>
    <w:rPr>
      <w:rFonts w:asciiTheme="majorHAnsi" w:eastAsiaTheme="majorEastAsia" w:hAnsiTheme="majorHAnsi" w:cstheme="majorBidi"/>
      <w:b/>
      <w:bCs/>
      <w:sz w:val="36"/>
      <w:szCs w:val="36"/>
    </w:rPr>
  </w:style>
  <w:style w:type="character" w:customStyle="1" w:styleId="80">
    <w:name w:val="標題 8 字元"/>
    <w:basedOn w:val="a0"/>
    <w:link w:val="8"/>
    <w:uiPriority w:val="9"/>
    <w:semiHidden/>
    <w:rsid w:val="00A67115"/>
    <w:rPr>
      <w:rFonts w:asciiTheme="majorHAnsi" w:eastAsiaTheme="majorEastAsia" w:hAnsiTheme="majorHAnsi" w:cstheme="majorBidi"/>
      <w:sz w:val="36"/>
      <w:szCs w:val="36"/>
    </w:rPr>
  </w:style>
  <w:style w:type="paragraph" w:customStyle="1" w:styleId="31">
    <w:name w:val="段落樣式3"/>
    <w:basedOn w:val="21"/>
    <w:uiPriority w:val="99"/>
    <w:pPr>
      <w:ind w:leftChars="400" w:left="400"/>
    </w:pPr>
  </w:style>
  <w:style w:type="paragraph" w:customStyle="1" w:styleId="21">
    <w:name w:val="段落樣式2"/>
    <w:basedOn w:val="a"/>
    <w:uiPriority w:val="99"/>
    <w:pPr>
      <w:tabs>
        <w:tab w:val="left" w:pos="567"/>
      </w:tabs>
      <w:ind w:leftChars="300" w:left="300" w:firstLineChars="200" w:firstLine="200"/>
      <w:jc w:val="both"/>
    </w:pPr>
    <w:rPr>
      <w:rFonts w:ascii="標楷體" w:cs="標楷體"/>
      <w:kern w:val="0"/>
    </w:rPr>
  </w:style>
  <w:style w:type="paragraph" w:customStyle="1" w:styleId="41">
    <w:name w:val="段落樣式4"/>
    <w:basedOn w:val="31"/>
    <w:uiPriority w:val="99"/>
    <w:pPr>
      <w:ind w:leftChars="500" w:left="500"/>
    </w:pPr>
  </w:style>
  <w:style w:type="paragraph" w:customStyle="1" w:styleId="51">
    <w:name w:val="段落樣式5"/>
    <w:basedOn w:val="41"/>
    <w:uiPriority w:val="99"/>
    <w:pPr>
      <w:ind w:leftChars="600" w:left="600"/>
    </w:pPr>
  </w:style>
  <w:style w:type="paragraph" w:customStyle="1" w:styleId="61">
    <w:name w:val="段落樣式6"/>
    <w:basedOn w:val="51"/>
    <w:uiPriority w:val="99"/>
    <w:pPr>
      <w:ind w:leftChars="700" w:left="700"/>
    </w:pPr>
  </w:style>
  <w:style w:type="paragraph" w:customStyle="1" w:styleId="71">
    <w:name w:val="段落樣式7"/>
    <w:basedOn w:val="61"/>
    <w:uiPriority w:val="99"/>
  </w:style>
  <w:style w:type="paragraph" w:customStyle="1" w:styleId="81">
    <w:name w:val="段落樣式8"/>
    <w:basedOn w:val="71"/>
    <w:uiPriority w:val="99"/>
    <w:pPr>
      <w:ind w:leftChars="800" w:left="800"/>
    </w:pPr>
  </w:style>
  <w:style w:type="paragraph" w:styleId="a3">
    <w:name w:val="Signature"/>
    <w:basedOn w:val="a"/>
    <w:link w:val="a4"/>
    <w:uiPriority w:val="99"/>
    <w:pPr>
      <w:spacing w:before="720" w:after="720"/>
      <w:ind w:left="7371"/>
    </w:pPr>
    <w:rPr>
      <w:rFonts w:ascii="標楷體" w:cs="標楷體"/>
      <w:b/>
      <w:bCs/>
      <w:spacing w:val="10"/>
      <w:sz w:val="36"/>
      <w:szCs w:val="36"/>
    </w:rPr>
  </w:style>
  <w:style w:type="character" w:customStyle="1" w:styleId="a4">
    <w:name w:val="簽名 字元"/>
    <w:basedOn w:val="a0"/>
    <w:link w:val="a3"/>
    <w:uiPriority w:val="99"/>
    <w:semiHidden/>
    <w:rsid w:val="00A67115"/>
    <w:rPr>
      <w:rFonts w:ascii="Times New Roman" w:eastAsia="標楷體" w:hAnsi="Times New Roman" w:cs="Times New Roman"/>
      <w:sz w:val="32"/>
      <w:szCs w:val="32"/>
    </w:rPr>
  </w:style>
  <w:style w:type="paragraph" w:styleId="a5">
    <w:name w:val="endnote text"/>
    <w:basedOn w:val="a"/>
    <w:link w:val="a6"/>
    <w:uiPriority w:val="99"/>
    <w:pPr>
      <w:spacing w:before="240"/>
      <w:ind w:left="1021" w:hanging="1021"/>
      <w:jc w:val="both"/>
    </w:pPr>
    <w:rPr>
      <w:rFonts w:ascii="標楷體" w:cs="標楷體"/>
      <w:spacing w:val="10"/>
    </w:rPr>
  </w:style>
  <w:style w:type="character" w:customStyle="1" w:styleId="a6">
    <w:name w:val="章節附註文字 字元"/>
    <w:basedOn w:val="a0"/>
    <w:link w:val="a5"/>
    <w:uiPriority w:val="99"/>
    <w:semiHidden/>
    <w:rsid w:val="00A67115"/>
    <w:rPr>
      <w:rFonts w:ascii="Times New Roman" w:eastAsia="標楷體" w:hAnsi="Times New Roman" w:cs="Times New Roman"/>
      <w:sz w:val="32"/>
      <w:szCs w:val="32"/>
    </w:rPr>
  </w:style>
  <w:style w:type="character" w:styleId="a7">
    <w:name w:val="page number"/>
    <w:basedOn w:val="a0"/>
    <w:uiPriority w:val="99"/>
    <w:rPr>
      <w:rFonts w:ascii="標楷體" w:eastAsia="標楷體" w:hAnsi="Times New Roman" w:cs="標楷體"/>
      <w:sz w:val="20"/>
      <w:szCs w:val="20"/>
    </w:rPr>
  </w:style>
  <w:style w:type="paragraph" w:styleId="11">
    <w:name w:val="toc 1"/>
    <w:basedOn w:val="a"/>
    <w:next w:val="a"/>
    <w:autoRedefine/>
    <w:uiPriority w:val="99"/>
    <w:pPr>
      <w:ind w:left="200" w:hangingChars="200" w:hanging="200"/>
      <w:jc w:val="both"/>
    </w:pPr>
    <w:rPr>
      <w:rFonts w:ascii="標楷體" w:cs="標楷體"/>
    </w:rPr>
  </w:style>
  <w:style w:type="paragraph" w:styleId="22">
    <w:name w:val="toc 2"/>
    <w:basedOn w:val="a"/>
    <w:next w:val="a"/>
    <w:autoRedefine/>
    <w:uiPriority w:val="99"/>
    <w:pPr>
      <w:ind w:leftChars="100" w:left="300" w:hangingChars="200" w:hanging="200"/>
      <w:jc w:val="both"/>
    </w:pPr>
    <w:rPr>
      <w:rFonts w:ascii="標楷體" w:cs="標楷體"/>
    </w:rPr>
  </w:style>
  <w:style w:type="paragraph" w:styleId="32">
    <w:name w:val="toc 3"/>
    <w:basedOn w:val="a"/>
    <w:next w:val="a"/>
    <w:autoRedefine/>
    <w:uiPriority w:val="99"/>
    <w:pPr>
      <w:ind w:leftChars="200" w:left="400" w:hangingChars="200" w:hanging="200"/>
      <w:jc w:val="both"/>
    </w:pPr>
    <w:rPr>
      <w:rFonts w:ascii="標楷體" w:cs="標楷體"/>
      <w:noProof/>
    </w:rPr>
  </w:style>
  <w:style w:type="paragraph" w:styleId="42">
    <w:name w:val="toc 4"/>
    <w:basedOn w:val="a"/>
    <w:next w:val="a"/>
    <w:autoRedefine/>
    <w:uiPriority w:val="99"/>
    <w:pPr>
      <w:kinsoku w:val="0"/>
      <w:ind w:leftChars="300" w:left="500" w:hangingChars="200" w:hanging="200"/>
      <w:jc w:val="both"/>
    </w:pPr>
    <w:rPr>
      <w:rFonts w:ascii="標楷體" w:cs="標楷體"/>
    </w:rPr>
  </w:style>
  <w:style w:type="paragraph" w:styleId="52">
    <w:name w:val="toc 5"/>
    <w:basedOn w:val="a"/>
    <w:next w:val="a"/>
    <w:autoRedefine/>
    <w:uiPriority w:val="99"/>
    <w:pPr>
      <w:kinsoku w:val="0"/>
      <w:ind w:leftChars="400" w:left="600" w:hangingChars="200" w:hanging="200"/>
      <w:jc w:val="both"/>
    </w:pPr>
    <w:rPr>
      <w:rFonts w:ascii="標楷體" w:cs="標楷體"/>
    </w:rPr>
  </w:style>
  <w:style w:type="paragraph" w:styleId="62">
    <w:name w:val="toc 6"/>
    <w:basedOn w:val="a"/>
    <w:next w:val="a"/>
    <w:autoRedefine/>
    <w:uiPriority w:val="99"/>
    <w:pPr>
      <w:ind w:leftChars="500" w:left="700" w:hangingChars="200" w:hanging="200"/>
    </w:pPr>
    <w:rPr>
      <w:rFonts w:ascii="標楷體" w:cs="標楷體"/>
    </w:rPr>
  </w:style>
  <w:style w:type="paragraph" w:styleId="72">
    <w:name w:val="toc 7"/>
    <w:basedOn w:val="a"/>
    <w:next w:val="a"/>
    <w:autoRedefine/>
    <w:uiPriority w:val="99"/>
    <w:pPr>
      <w:ind w:leftChars="600" w:left="700" w:hangingChars="100" w:hanging="100"/>
    </w:pPr>
    <w:rPr>
      <w:rFonts w:ascii="標楷體" w:cs="標楷體"/>
    </w:rPr>
  </w:style>
  <w:style w:type="paragraph" w:styleId="82">
    <w:name w:val="toc 8"/>
    <w:basedOn w:val="a"/>
    <w:next w:val="a"/>
    <w:autoRedefine/>
    <w:uiPriority w:val="99"/>
    <w:pPr>
      <w:ind w:leftChars="700" w:left="2792" w:hangingChars="100" w:hanging="349"/>
    </w:pPr>
    <w:rPr>
      <w:rFonts w:ascii="標楷體" w:cs="標楷體"/>
    </w:rPr>
  </w:style>
  <w:style w:type="paragraph" w:styleId="9">
    <w:name w:val="toc 9"/>
    <w:basedOn w:val="a"/>
    <w:next w:val="a"/>
    <w:autoRedefine/>
    <w:uiPriority w:val="99"/>
    <w:pPr>
      <w:ind w:leftChars="1600" w:left="3840"/>
    </w:pPr>
  </w:style>
  <w:style w:type="character" w:styleId="a8">
    <w:name w:val="Hyperlink"/>
    <w:basedOn w:val="a0"/>
    <w:uiPriority w:val="99"/>
    <w:rPr>
      <w:rFonts w:ascii="Times New Roman" w:hAnsi="Times New Roman" w:cs="Times New Roman"/>
      <w:color w:val="0000FF"/>
      <w:u w:val="single"/>
    </w:rPr>
  </w:style>
  <w:style w:type="paragraph" w:customStyle="1" w:styleId="12">
    <w:name w:val="段落樣式1"/>
    <w:basedOn w:val="a"/>
    <w:uiPriority w:val="99"/>
    <w:pPr>
      <w:tabs>
        <w:tab w:val="left" w:pos="567"/>
      </w:tabs>
      <w:kinsoku w:val="0"/>
      <w:ind w:leftChars="200" w:left="200" w:firstLineChars="200" w:firstLine="200"/>
      <w:jc w:val="both"/>
    </w:pPr>
    <w:rPr>
      <w:rFonts w:ascii="標楷體" w:cs="標楷體"/>
      <w:kern w:val="0"/>
    </w:rPr>
  </w:style>
  <w:style w:type="paragraph" w:customStyle="1" w:styleId="0">
    <w:name w:val="段落樣式0"/>
    <w:basedOn w:val="21"/>
    <w:uiPriority w:val="99"/>
    <w:pPr>
      <w:ind w:leftChars="200" w:left="200" w:firstLineChars="0" w:firstLine="0"/>
    </w:pPr>
  </w:style>
  <w:style w:type="paragraph" w:styleId="a9">
    <w:name w:val="header"/>
    <w:basedOn w:val="a"/>
    <w:link w:val="aa"/>
    <w:uiPriority w:val="99"/>
    <w:pPr>
      <w:tabs>
        <w:tab w:val="center" w:pos="4153"/>
        <w:tab w:val="right" w:pos="8306"/>
      </w:tabs>
      <w:snapToGrid w:val="0"/>
    </w:pPr>
    <w:rPr>
      <w:sz w:val="20"/>
      <w:szCs w:val="20"/>
    </w:rPr>
  </w:style>
  <w:style w:type="character" w:customStyle="1" w:styleId="aa">
    <w:name w:val="頁首 字元"/>
    <w:basedOn w:val="a0"/>
    <w:link w:val="a9"/>
    <w:uiPriority w:val="99"/>
    <w:semiHidden/>
    <w:rsid w:val="00A67115"/>
    <w:rPr>
      <w:rFonts w:ascii="Times New Roman" w:eastAsia="標楷體" w:hAnsi="Times New Roman" w:cs="Times New Roman"/>
      <w:sz w:val="20"/>
      <w:szCs w:val="20"/>
    </w:rPr>
  </w:style>
  <w:style w:type="paragraph" w:styleId="ab">
    <w:name w:val="footer"/>
    <w:basedOn w:val="a"/>
    <w:link w:val="ac"/>
    <w:uiPriority w:val="99"/>
    <w:pPr>
      <w:tabs>
        <w:tab w:val="center" w:pos="4153"/>
        <w:tab w:val="right" w:pos="8306"/>
      </w:tabs>
      <w:snapToGrid w:val="0"/>
    </w:pPr>
    <w:rPr>
      <w:sz w:val="20"/>
      <w:szCs w:val="20"/>
    </w:rPr>
  </w:style>
  <w:style w:type="character" w:customStyle="1" w:styleId="ac">
    <w:name w:val="頁尾 字元"/>
    <w:basedOn w:val="a0"/>
    <w:link w:val="ab"/>
    <w:uiPriority w:val="99"/>
    <w:semiHidden/>
    <w:rsid w:val="00A67115"/>
    <w:rPr>
      <w:rFonts w:ascii="Times New Roman" w:eastAsia="標楷體" w:hAnsi="Times New Roman" w:cs="Times New Roman"/>
      <w:sz w:val="20"/>
      <w:szCs w:val="20"/>
    </w:rPr>
  </w:style>
  <w:style w:type="paragraph" w:customStyle="1" w:styleId="ad">
    <w:name w:val="簽名日期"/>
    <w:basedOn w:val="a"/>
    <w:uiPriority w:val="99"/>
    <w:pPr>
      <w:kinsoku w:val="0"/>
      <w:jc w:val="distribute"/>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938</Words>
  <Characters>5353</Characters>
  <Application>Microsoft Office Word</Application>
  <DocSecurity>0</DocSecurity>
  <Lines>44</Lines>
  <Paragraphs>12</Paragraphs>
  <ScaleCrop>false</ScaleCrop>
  <Company>cy</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stud01</cp:lastModifiedBy>
  <cp:revision>3</cp:revision>
  <cp:lastPrinted>2008-07-16T06:54:00Z</cp:lastPrinted>
  <dcterms:created xsi:type="dcterms:W3CDTF">2016-12-06T07:21:00Z</dcterms:created>
  <dcterms:modified xsi:type="dcterms:W3CDTF">2016-12-06T07:24:00Z</dcterms:modified>
</cp:coreProperties>
</file>