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FF6357" w:rsidRDefault="0025106C" w:rsidP="00F37D7B">
      <w:pPr>
        <w:pStyle w:val="af2"/>
      </w:pPr>
      <w:r w:rsidRPr="00FF6357">
        <w:rPr>
          <w:rFonts w:hint="eastAsia"/>
        </w:rPr>
        <w:t>糾正案文</w:t>
      </w:r>
    </w:p>
    <w:p w:rsidR="00E25849" w:rsidRPr="00FF6357" w:rsidRDefault="0025106C" w:rsidP="00F231DC">
      <w:pPr>
        <w:pStyle w:val="1"/>
      </w:pPr>
      <w:r w:rsidRPr="00FF6357">
        <w:rPr>
          <w:rFonts w:hint="eastAsia"/>
        </w:rPr>
        <w:t>被糾正機關：</w:t>
      </w:r>
      <w:r w:rsidR="00D74CBA">
        <w:rPr>
          <w:rFonts w:hint="eastAsia"/>
        </w:rPr>
        <w:t>內政部國土測繪中心、南投</w:t>
      </w:r>
      <w:r w:rsidR="00536D65">
        <w:rPr>
          <w:rFonts w:hint="eastAsia"/>
        </w:rPr>
        <w:t>縣</w:t>
      </w:r>
      <w:r w:rsidR="0056753A" w:rsidRPr="00FF6357">
        <w:rPr>
          <w:rFonts w:hint="eastAsia"/>
        </w:rPr>
        <w:t>政府</w:t>
      </w:r>
      <w:r w:rsidR="00D74CBA">
        <w:rPr>
          <w:rFonts w:hint="eastAsia"/>
        </w:rPr>
        <w:t>、南投縣水里地政事務所</w:t>
      </w:r>
      <w:r w:rsidRPr="00FF6357">
        <w:rPr>
          <w:rFonts w:hint="eastAsia"/>
        </w:rPr>
        <w:t>。</w:t>
      </w:r>
    </w:p>
    <w:p w:rsidR="00E25849" w:rsidRPr="00EF4A8D" w:rsidRDefault="0025106C" w:rsidP="00922059">
      <w:pPr>
        <w:pStyle w:val="1"/>
      </w:pPr>
      <w:r w:rsidRPr="00EF4A8D">
        <w:rPr>
          <w:rFonts w:hint="eastAsia"/>
        </w:rPr>
        <w:t>案　　　由：</w:t>
      </w:r>
      <w:r w:rsidR="00444CBF">
        <w:rPr>
          <w:rFonts w:hint="eastAsia"/>
        </w:rPr>
        <w:t>內政部</w:t>
      </w:r>
      <w:r w:rsidR="00444CBF" w:rsidRPr="00444CBF">
        <w:rPr>
          <w:rFonts w:hint="eastAsia"/>
        </w:rPr>
        <w:t>國土測繪中心及南投縣</w:t>
      </w:r>
      <w:proofErr w:type="gramStart"/>
      <w:r w:rsidR="00444CBF" w:rsidRPr="00444CBF">
        <w:rPr>
          <w:rFonts w:hint="eastAsia"/>
        </w:rPr>
        <w:t>政府於地籍</w:t>
      </w:r>
      <w:proofErr w:type="gramEnd"/>
      <w:r w:rsidR="00444CBF" w:rsidRPr="00444CBF">
        <w:rPr>
          <w:rFonts w:hint="eastAsia"/>
        </w:rPr>
        <w:t>圖重測時，未就</w:t>
      </w:r>
      <w:r w:rsidR="00444CBF">
        <w:rPr>
          <w:rFonts w:hint="eastAsia"/>
          <w:lang w:val="zh-TW"/>
        </w:rPr>
        <w:t>南投縣</w:t>
      </w:r>
      <w:r w:rsidR="009C23FD">
        <w:rPr>
          <w:rFonts w:hint="eastAsia"/>
          <w:lang w:val="zh-TW"/>
        </w:rPr>
        <w:t>○○</w:t>
      </w:r>
      <w:r w:rsidR="00444CBF">
        <w:rPr>
          <w:rFonts w:hint="eastAsia"/>
          <w:lang w:val="zh-TW"/>
        </w:rPr>
        <w:t>鄉</w:t>
      </w:r>
      <w:r w:rsidR="009C23FD">
        <w:rPr>
          <w:rFonts w:hint="eastAsia"/>
          <w:lang w:val="zh-TW"/>
        </w:rPr>
        <w:t>○○○</w:t>
      </w:r>
      <w:r w:rsidR="00444CBF">
        <w:rPr>
          <w:rFonts w:hint="eastAsia"/>
          <w:lang w:val="zh-TW"/>
        </w:rPr>
        <w:t>段</w:t>
      </w:r>
      <w:proofErr w:type="gramStart"/>
      <w:r w:rsidR="00444CBF" w:rsidRPr="00444CBF">
        <w:rPr>
          <w:rFonts w:hint="eastAsia"/>
        </w:rPr>
        <w:t>重測</w:t>
      </w:r>
      <w:proofErr w:type="gramEnd"/>
      <w:r w:rsidR="00444CBF" w:rsidRPr="00444CBF">
        <w:rPr>
          <w:rFonts w:hint="eastAsia"/>
        </w:rPr>
        <w:t>前174-1與174-4地號土地毗鄰之未登記土地，及時辦理土地所有權第一次登記</w:t>
      </w:r>
      <w:r w:rsidR="00444CBF">
        <w:rPr>
          <w:rFonts w:hint="eastAsia"/>
        </w:rPr>
        <w:t>；</w:t>
      </w:r>
      <w:r w:rsidR="00BD0577">
        <w:rPr>
          <w:rFonts w:hint="eastAsia"/>
        </w:rPr>
        <w:t>又</w:t>
      </w:r>
      <w:r w:rsidR="00444CBF">
        <w:rPr>
          <w:rFonts w:hint="eastAsia"/>
        </w:rPr>
        <w:t>法院</w:t>
      </w:r>
      <w:r w:rsidR="00444CBF" w:rsidRPr="00444CBF">
        <w:rPr>
          <w:rFonts w:hint="eastAsia"/>
        </w:rPr>
        <w:t>判決確定後，</w:t>
      </w:r>
      <w:r w:rsidR="00444CBF" w:rsidRPr="00444CBF">
        <w:rPr>
          <w:rFonts w:hAnsi="標楷體" w:hint="eastAsia"/>
          <w:szCs w:val="36"/>
          <w:lang w:val="zh-TW"/>
        </w:rPr>
        <w:t>各該土地註記</w:t>
      </w:r>
      <w:proofErr w:type="gramStart"/>
      <w:r w:rsidR="00444CBF" w:rsidRPr="00444CBF">
        <w:rPr>
          <w:rFonts w:hAnsi="標楷體" w:hint="eastAsia"/>
          <w:szCs w:val="36"/>
          <w:lang w:val="zh-TW"/>
        </w:rPr>
        <w:t>重測界址</w:t>
      </w:r>
      <w:proofErr w:type="gramEnd"/>
      <w:r w:rsidR="00444CBF" w:rsidRPr="00444CBF">
        <w:rPr>
          <w:rFonts w:hAnsi="標楷體" w:hint="eastAsia"/>
          <w:szCs w:val="36"/>
          <w:lang w:val="zh-TW"/>
        </w:rPr>
        <w:t>糾紛未解決之字樣，</w:t>
      </w:r>
      <w:r w:rsidR="00BD0577">
        <w:rPr>
          <w:rFonts w:hAnsi="標楷體" w:hint="eastAsia"/>
          <w:szCs w:val="36"/>
          <w:lang w:val="zh-TW"/>
        </w:rPr>
        <w:t>懸宕超過20年</w:t>
      </w:r>
      <w:r w:rsidR="00444CBF" w:rsidRPr="00444CBF">
        <w:rPr>
          <w:rFonts w:hAnsi="標楷體" w:hint="eastAsia"/>
          <w:szCs w:val="36"/>
          <w:lang w:val="zh-TW"/>
        </w:rPr>
        <w:t>始予註銷，</w:t>
      </w:r>
      <w:r w:rsidR="00444CBF" w:rsidRPr="00444CBF">
        <w:rPr>
          <w:rFonts w:hint="eastAsia"/>
        </w:rPr>
        <w:t>期間南投縣政府及</w:t>
      </w:r>
      <w:r w:rsidR="00BD0577">
        <w:rPr>
          <w:rFonts w:hint="eastAsia"/>
        </w:rPr>
        <w:t>南投縣</w:t>
      </w:r>
      <w:r w:rsidR="00444CBF" w:rsidRPr="00444CBF">
        <w:rPr>
          <w:rFonts w:hint="eastAsia"/>
        </w:rPr>
        <w:t>水里地</w:t>
      </w:r>
      <w:r w:rsidR="00BD0577">
        <w:rPr>
          <w:rFonts w:hint="eastAsia"/>
        </w:rPr>
        <w:t>政事務</w:t>
      </w:r>
      <w:r w:rsidR="00444CBF" w:rsidRPr="00444CBF">
        <w:rPr>
          <w:rFonts w:hint="eastAsia"/>
        </w:rPr>
        <w:t>所</w:t>
      </w:r>
      <w:r w:rsidR="00235991">
        <w:rPr>
          <w:rFonts w:hint="eastAsia"/>
        </w:rPr>
        <w:t>未</w:t>
      </w:r>
      <w:r w:rsidR="00444CBF" w:rsidRPr="00444CBF">
        <w:rPr>
          <w:rFonts w:hint="eastAsia"/>
        </w:rPr>
        <w:t>積極追蹤管控，</w:t>
      </w:r>
      <w:proofErr w:type="gramStart"/>
      <w:r w:rsidR="00444CBF" w:rsidRPr="00444CBF">
        <w:rPr>
          <w:rFonts w:hint="eastAsia"/>
        </w:rPr>
        <w:t>均核</w:t>
      </w:r>
      <w:proofErr w:type="gramEnd"/>
      <w:r w:rsidR="00444CBF" w:rsidRPr="00444CBF">
        <w:rPr>
          <w:rFonts w:hint="eastAsia"/>
        </w:rPr>
        <w:t>有違失</w:t>
      </w:r>
      <w:r w:rsidR="00922059" w:rsidRPr="00EF4A8D">
        <w:rPr>
          <w:rFonts w:hint="eastAsia"/>
        </w:rPr>
        <w:t>，</w:t>
      </w:r>
      <w:r w:rsidR="008B4841" w:rsidRPr="00EF4A8D">
        <w:rPr>
          <w:rFonts w:hint="eastAsia"/>
        </w:rPr>
        <w:t>爰依法提案糾正</w:t>
      </w:r>
      <w:r w:rsidRPr="00EF4A8D">
        <w:rPr>
          <w:rFonts w:hint="eastAsia"/>
        </w:rPr>
        <w:t>。</w:t>
      </w:r>
    </w:p>
    <w:p w:rsidR="00E25849" w:rsidRPr="000F7797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0F7797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Pr="007D3122" w:rsidRDefault="00D74CBA" w:rsidP="00413549">
      <w:pPr>
        <w:spacing w:afterLines="50" w:after="228" w:line="480" w:lineRule="exact"/>
        <w:ind w:leftChars="200" w:left="680" w:firstLineChars="200" w:firstLine="680"/>
        <w:rPr>
          <w:rFonts w:hAnsi="標楷體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3B1E6F">
        <w:rPr>
          <w:rFonts w:hAnsi="標楷體" w:hint="eastAsia"/>
        </w:rPr>
        <w:t>本案經函請</w:t>
      </w:r>
      <w:r>
        <w:rPr>
          <w:rFonts w:hAnsi="標楷體" w:hint="eastAsia"/>
        </w:rPr>
        <w:t>臺灣</w:t>
      </w:r>
      <w:proofErr w:type="gramStart"/>
      <w:r>
        <w:rPr>
          <w:rFonts w:hAnsi="標楷體" w:hint="eastAsia"/>
        </w:rPr>
        <w:t>臺</w:t>
      </w:r>
      <w:proofErr w:type="gramEnd"/>
      <w:r>
        <w:rPr>
          <w:rFonts w:hAnsi="標楷體" w:hint="eastAsia"/>
        </w:rPr>
        <w:t>中地方法院</w:t>
      </w:r>
      <w:r w:rsidRPr="003B1E6F">
        <w:rPr>
          <w:rFonts w:hAnsi="標楷體" w:hint="eastAsia"/>
        </w:rPr>
        <w:t>、</w:t>
      </w:r>
      <w:r>
        <w:rPr>
          <w:rFonts w:hAnsi="標楷體" w:hint="eastAsia"/>
        </w:rPr>
        <w:t>經濟部水利署</w:t>
      </w:r>
      <w:r w:rsidRPr="003B1E6F">
        <w:rPr>
          <w:rFonts w:hAnsi="標楷體" w:hint="eastAsia"/>
        </w:rPr>
        <w:t>、</w:t>
      </w:r>
      <w:r>
        <w:rPr>
          <w:rFonts w:hAnsi="標楷體" w:hint="eastAsia"/>
        </w:rPr>
        <w:t>內政部國土測繪中心（下稱國土測繪中心）</w:t>
      </w:r>
      <w:r>
        <w:rPr>
          <w:rStyle w:val="afc"/>
          <w:rFonts w:hAnsi="標楷體"/>
        </w:rPr>
        <w:footnoteReference w:id="1"/>
      </w:r>
      <w:r>
        <w:rPr>
          <w:rFonts w:hAnsi="標楷體" w:hint="eastAsia"/>
        </w:rPr>
        <w:t>、南投縣政府、南投縣水里地政事務所（下稱水里地所）</w:t>
      </w:r>
      <w:r w:rsidRPr="003B1E6F">
        <w:rPr>
          <w:rFonts w:hAnsi="標楷體" w:hint="eastAsia"/>
        </w:rPr>
        <w:t>及</w:t>
      </w:r>
      <w:r>
        <w:rPr>
          <w:rFonts w:hAnsi="標楷體" w:hint="eastAsia"/>
        </w:rPr>
        <w:t>財政部國有財產署（下稱國產署）</w:t>
      </w:r>
      <w:r w:rsidRPr="003B1E6F">
        <w:rPr>
          <w:rFonts w:hAnsi="標楷體" w:hint="eastAsia"/>
        </w:rPr>
        <w:t>查復</w:t>
      </w:r>
      <w:r>
        <w:rPr>
          <w:rFonts w:hAnsi="標楷體" w:hint="eastAsia"/>
        </w:rPr>
        <w:t>，再函請南投縣政府、經濟部水利署、國產署、內政部、國史館臺灣文獻館補充說明，嗣於民國（下同）111年7月25日前往現地履勘，111年8月30日約請內政部地政司、國土測繪中心、南投縣政府、水里地所等相關業務人員到院詢問，再於111年10月26日邀請專家學者辦理諮詢會議</w:t>
      </w:r>
      <w:r w:rsidR="007D3122" w:rsidRPr="007D3122">
        <w:rPr>
          <w:rFonts w:hAnsi="標楷體" w:hint="eastAsia"/>
        </w:rPr>
        <w:t>。</w:t>
      </w:r>
      <w:r w:rsidR="00233625" w:rsidRPr="007D3122">
        <w:rPr>
          <w:rFonts w:hAnsi="標楷體" w:hint="eastAsia"/>
          <w:szCs w:val="32"/>
        </w:rPr>
        <w:t>經調查發現，</w:t>
      </w:r>
      <w:r>
        <w:rPr>
          <w:rFonts w:hint="eastAsia"/>
        </w:rPr>
        <w:t>國土測繪中心、南投縣</w:t>
      </w:r>
      <w:r w:rsidRPr="00FF6357">
        <w:rPr>
          <w:rFonts w:hint="eastAsia"/>
        </w:rPr>
        <w:t>政府</w:t>
      </w:r>
      <w:r>
        <w:rPr>
          <w:rFonts w:hint="eastAsia"/>
        </w:rPr>
        <w:t>、水里地所</w:t>
      </w:r>
      <w:r w:rsidR="00151564" w:rsidRPr="007D3122">
        <w:rPr>
          <w:rFonts w:hAnsi="標楷體" w:hint="eastAsia"/>
          <w:szCs w:val="32"/>
        </w:rPr>
        <w:t>涉</w:t>
      </w:r>
      <w:r w:rsidR="001542E3" w:rsidRPr="007D3122">
        <w:rPr>
          <w:rFonts w:hAnsi="標楷體" w:hint="eastAsia"/>
          <w:szCs w:val="32"/>
        </w:rPr>
        <w:t>有違失，應予糾正促其注意改善</w:t>
      </w:r>
      <w:r w:rsidR="007666F5" w:rsidRPr="007D3122">
        <w:rPr>
          <w:rFonts w:hint="eastAsia"/>
          <w:bCs/>
        </w:rPr>
        <w:t>。茲</w:t>
      </w:r>
      <w:proofErr w:type="gramStart"/>
      <w:r w:rsidR="007666F5" w:rsidRPr="007D3122">
        <w:rPr>
          <w:rFonts w:hint="eastAsia"/>
          <w:bCs/>
        </w:rPr>
        <w:t>臚</w:t>
      </w:r>
      <w:proofErr w:type="gramEnd"/>
      <w:r w:rsidR="007666F5" w:rsidRPr="007D3122">
        <w:rPr>
          <w:rFonts w:hint="eastAsia"/>
          <w:bCs/>
        </w:rPr>
        <w:t>列事實與理由如下</w:t>
      </w:r>
      <w:r w:rsidR="00B83C6B" w:rsidRPr="007D3122">
        <w:rPr>
          <w:rFonts w:hAnsi="標楷體" w:hint="eastAsia"/>
          <w:spacing w:val="-6"/>
        </w:rPr>
        <w:t>：</w:t>
      </w:r>
    </w:p>
    <w:p w:rsidR="007D3122" w:rsidRPr="00D74CBA" w:rsidRDefault="00D74CBA" w:rsidP="007D3122">
      <w:pPr>
        <w:pStyle w:val="2"/>
        <w:spacing w:beforeLines="50" w:before="228"/>
        <w:ind w:left="1020" w:hanging="680"/>
        <w:rPr>
          <w:b w:val="0"/>
        </w:rPr>
      </w:pPr>
      <w:bookmarkStart w:id="41" w:name="_Toc524895646"/>
      <w:bookmarkStart w:id="42" w:name="_Toc524896192"/>
      <w:bookmarkStart w:id="43" w:name="_Toc524896222"/>
      <w:bookmarkStart w:id="44" w:name="_Toc524902729"/>
      <w:bookmarkStart w:id="45" w:name="_Toc525066145"/>
      <w:bookmarkStart w:id="46" w:name="_Toc525070836"/>
      <w:bookmarkStart w:id="47" w:name="_Toc525938376"/>
      <w:bookmarkStart w:id="48" w:name="_Toc525939224"/>
      <w:bookmarkStart w:id="49" w:name="_Toc525939729"/>
      <w:bookmarkStart w:id="50" w:name="_Toc529218269"/>
      <w:bookmarkEnd w:id="35"/>
      <w:bookmarkEnd w:id="36"/>
      <w:bookmarkEnd w:id="37"/>
      <w:bookmarkEnd w:id="38"/>
      <w:bookmarkEnd w:id="39"/>
      <w:bookmarkEnd w:id="40"/>
      <w:r w:rsidRPr="00D74CBA">
        <w:rPr>
          <w:rFonts w:hint="eastAsia"/>
          <w:lang w:val="zh-TW"/>
        </w:rPr>
        <w:t>原</w:t>
      </w:r>
      <w:r w:rsidRPr="00D74CBA">
        <w:rPr>
          <w:rFonts w:hint="eastAsia"/>
        </w:rPr>
        <w:t>臺灣省政府地政處測量總隊（即現今之國土測繪中</w:t>
      </w:r>
      <w:r w:rsidRPr="00D74CBA">
        <w:rPr>
          <w:rFonts w:hint="eastAsia"/>
        </w:rPr>
        <w:lastRenderedPageBreak/>
        <w:t>心）及南投縣政府未就</w:t>
      </w:r>
      <w:r w:rsidR="00D70699">
        <w:rPr>
          <w:rFonts w:hint="eastAsia"/>
        </w:rPr>
        <w:t>南投縣</w:t>
      </w:r>
      <w:r w:rsidR="009C23FD">
        <w:rPr>
          <w:rFonts w:hint="eastAsia"/>
        </w:rPr>
        <w:t>○○</w:t>
      </w:r>
      <w:r w:rsidR="00D70699">
        <w:rPr>
          <w:rFonts w:hint="eastAsia"/>
        </w:rPr>
        <w:t>鄉</w:t>
      </w:r>
      <w:r w:rsidR="009C23FD">
        <w:rPr>
          <w:rFonts w:hint="eastAsia"/>
        </w:rPr>
        <w:t>○○○</w:t>
      </w:r>
      <w:r w:rsidR="00D70699">
        <w:rPr>
          <w:rFonts w:hint="eastAsia"/>
        </w:rPr>
        <w:t>段</w:t>
      </w:r>
      <w:proofErr w:type="gramStart"/>
      <w:r w:rsidRPr="00D74CBA">
        <w:rPr>
          <w:rFonts w:hint="eastAsia"/>
        </w:rPr>
        <w:t>重測前</w:t>
      </w:r>
      <w:proofErr w:type="gramEnd"/>
      <w:r w:rsidRPr="00D74CBA">
        <w:rPr>
          <w:rFonts w:hint="eastAsia"/>
        </w:rPr>
        <w:t>174-1與174-4地號土地毗鄰之未登記土地，及時辦理土地所有權第一次登記，</w:t>
      </w:r>
      <w:r w:rsidRPr="00D74CBA">
        <w:rPr>
          <w:rFonts w:hAnsi="標楷體" w:hint="eastAsia"/>
          <w:szCs w:val="36"/>
          <w:lang w:val="zh-TW"/>
        </w:rPr>
        <w:t>致陳訴人認為其所毗鄰</w:t>
      </w:r>
      <w:proofErr w:type="gramStart"/>
      <w:r w:rsidRPr="00D74CBA">
        <w:rPr>
          <w:rFonts w:hAnsi="標楷體" w:hint="eastAsia"/>
          <w:szCs w:val="36"/>
          <w:lang w:val="zh-TW"/>
        </w:rPr>
        <w:t>者均係</w:t>
      </w:r>
      <w:proofErr w:type="gramEnd"/>
      <w:r w:rsidRPr="00D74CBA">
        <w:rPr>
          <w:rFonts w:hAnsi="標楷體" w:hint="eastAsia"/>
          <w:szCs w:val="36"/>
          <w:lang w:val="zh-TW"/>
        </w:rPr>
        <w:t>未登記土地，何來相對之當事人，故僅向法院提起返還無權占有土地之訴，而未提起確認經界之訴。衍生後續司法機關審理時，認為陳訴人收受調處筆錄後，既未對調處結果提起確認經界之訴，系爭174-1與174-4地號土地之界址，應以調處結果為</w:t>
      </w:r>
      <w:proofErr w:type="gramStart"/>
      <w:r w:rsidRPr="00D74CBA">
        <w:rPr>
          <w:rFonts w:hAnsi="標楷體" w:hint="eastAsia"/>
          <w:szCs w:val="36"/>
          <w:lang w:val="zh-TW"/>
        </w:rPr>
        <w:t>準</w:t>
      </w:r>
      <w:proofErr w:type="gramEnd"/>
      <w:r w:rsidRPr="00D74CBA">
        <w:rPr>
          <w:rFonts w:hAnsi="標楷體" w:hint="eastAsia"/>
          <w:szCs w:val="36"/>
          <w:lang w:val="zh-TW"/>
        </w:rPr>
        <w:t>，從而影響陳訴人權益，核有違失</w:t>
      </w:r>
      <w:r w:rsidR="007D3122" w:rsidRPr="00D74CBA">
        <w:rPr>
          <w:rFonts w:hint="eastAsia"/>
        </w:rPr>
        <w:t>。</w:t>
      </w:r>
    </w:p>
    <w:p w:rsidR="00D70699" w:rsidRDefault="00D70699" w:rsidP="001D2D7C">
      <w:pPr>
        <w:pStyle w:val="3"/>
        <w:numPr>
          <w:ilvl w:val="2"/>
          <w:numId w:val="1"/>
        </w:numPr>
        <w:rPr>
          <w:lang w:val="zh-TW"/>
        </w:rPr>
      </w:pPr>
      <w:r>
        <w:rPr>
          <w:rFonts w:hint="eastAsia"/>
          <w:lang w:val="zh-TW"/>
        </w:rPr>
        <w:t>查南投縣</w:t>
      </w:r>
      <w:r w:rsidR="009C23FD">
        <w:rPr>
          <w:rFonts w:hint="eastAsia"/>
          <w:lang w:val="zh-TW"/>
        </w:rPr>
        <w:t>○○</w:t>
      </w:r>
      <w:r>
        <w:rPr>
          <w:rFonts w:hint="eastAsia"/>
          <w:lang w:val="zh-TW"/>
        </w:rPr>
        <w:t>鄉</w:t>
      </w:r>
      <w:r w:rsidR="009C23FD">
        <w:rPr>
          <w:rFonts w:hint="eastAsia"/>
          <w:lang w:val="zh-TW"/>
        </w:rPr>
        <w:t>○○○</w:t>
      </w:r>
      <w:r>
        <w:rPr>
          <w:rFonts w:hint="eastAsia"/>
          <w:lang w:val="zh-TW"/>
        </w:rPr>
        <w:t>段（下同，且重測前後均為</w:t>
      </w:r>
      <w:r w:rsidR="009C23FD">
        <w:rPr>
          <w:rFonts w:hint="eastAsia"/>
          <w:lang w:val="zh-TW"/>
        </w:rPr>
        <w:t>○○○</w:t>
      </w:r>
      <w:r>
        <w:rPr>
          <w:rFonts w:hint="eastAsia"/>
          <w:lang w:val="zh-TW"/>
        </w:rPr>
        <w:t>段）551、554地號土地</w:t>
      </w:r>
      <w:proofErr w:type="gramStart"/>
      <w:r>
        <w:rPr>
          <w:rFonts w:hint="eastAsia"/>
          <w:lang w:val="zh-TW"/>
        </w:rPr>
        <w:t>重測前為</w:t>
      </w:r>
      <w:proofErr w:type="gramEnd"/>
      <w:r>
        <w:rPr>
          <w:rFonts w:hint="eastAsia"/>
          <w:lang w:val="zh-TW"/>
        </w:rPr>
        <w:t>174-1、174-4地號，其地籍圖前</w:t>
      </w:r>
      <w:r w:rsidRPr="00ED5E8A">
        <w:rPr>
          <w:rFonts w:hint="eastAsia"/>
        </w:rPr>
        <w:t>於49年間</w:t>
      </w:r>
      <w:r>
        <w:rPr>
          <w:rFonts w:hint="eastAsia"/>
        </w:rPr>
        <w:t>，曾</w:t>
      </w:r>
      <w:r w:rsidRPr="00ED5E8A">
        <w:rPr>
          <w:rFonts w:hint="eastAsia"/>
        </w:rPr>
        <w:t>因測量誤謬而辦理更正</w:t>
      </w:r>
      <w:r>
        <w:rPr>
          <w:rFonts w:hint="eastAsia"/>
        </w:rPr>
        <w:t>（相關</w:t>
      </w:r>
      <w:r w:rsidRPr="00ED5E8A">
        <w:rPr>
          <w:rFonts w:hint="eastAsia"/>
        </w:rPr>
        <w:t>更正資料已不存在</w:t>
      </w:r>
      <w:r>
        <w:rPr>
          <w:rFonts w:hint="eastAsia"/>
        </w:rPr>
        <w:t>）。</w:t>
      </w:r>
      <w:r w:rsidRPr="00ED5E8A">
        <w:rPr>
          <w:rFonts w:hint="eastAsia"/>
        </w:rPr>
        <w:t>而</w:t>
      </w:r>
      <w:r>
        <w:rPr>
          <w:rFonts w:hint="eastAsia"/>
        </w:rPr>
        <w:t>49年更正後之地籍圖，</w:t>
      </w:r>
      <w:r w:rsidRPr="00ED5E8A">
        <w:rPr>
          <w:rFonts w:hint="eastAsia"/>
        </w:rPr>
        <w:t>因</w:t>
      </w:r>
      <w:r>
        <w:rPr>
          <w:rFonts w:hint="eastAsia"/>
        </w:rPr>
        <w:t>陳訴人</w:t>
      </w:r>
      <w:r w:rsidRPr="00ED5E8A">
        <w:rPr>
          <w:rFonts w:hint="eastAsia"/>
        </w:rPr>
        <w:t>於76年2月</w:t>
      </w:r>
      <w:r>
        <w:rPr>
          <w:rFonts w:hint="eastAsia"/>
        </w:rPr>
        <w:t>14日</w:t>
      </w:r>
      <w:r w:rsidRPr="00ED5E8A">
        <w:rPr>
          <w:rFonts w:hint="eastAsia"/>
        </w:rPr>
        <w:t>向水里地所申請界址鑑定，經該所</w:t>
      </w:r>
      <w:r>
        <w:rPr>
          <w:rFonts w:hint="eastAsia"/>
        </w:rPr>
        <w:t>於76年2月23日派員實地測量，發現實施耕作範圍與地籍圖有出入，致當時未予埋設界標，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於76</w:t>
      </w:r>
      <w:r w:rsidRPr="00ED5E8A">
        <w:rPr>
          <w:rFonts w:hint="eastAsia"/>
        </w:rPr>
        <w:t>年5月</w:t>
      </w:r>
      <w:r>
        <w:rPr>
          <w:rFonts w:hint="eastAsia"/>
        </w:rPr>
        <w:t>再</w:t>
      </w:r>
      <w:r w:rsidRPr="00ED5E8A">
        <w:rPr>
          <w:rFonts w:hint="eastAsia"/>
        </w:rPr>
        <w:t>派員會同</w:t>
      </w:r>
      <w:r>
        <w:rPr>
          <w:rFonts w:hint="eastAsia"/>
        </w:rPr>
        <w:t>陳訴人依</w:t>
      </w:r>
      <w:r w:rsidRPr="00ED5E8A">
        <w:rPr>
          <w:rFonts w:hint="eastAsia"/>
        </w:rPr>
        <w:t>據49年更正後地籍圖於實地</w:t>
      </w:r>
      <w:proofErr w:type="gramStart"/>
      <w:r w:rsidRPr="00ED5E8A">
        <w:rPr>
          <w:rFonts w:hint="eastAsia"/>
        </w:rPr>
        <w:t>釘立</w:t>
      </w:r>
      <w:proofErr w:type="gramEnd"/>
      <w:r w:rsidRPr="00ED5E8A">
        <w:rPr>
          <w:rFonts w:hint="eastAsia"/>
        </w:rPr>
        <w:t>界標</w:t>
      </w:r>
      <w:r>
        <w:rPr>
          <w:rFonts w:hint="eastAsia"/>
        </w:rPr>
        <w:t>，</w:t>
      </w:r>
      <w:r w:rsidRPr="00ED5E8A">
        <w:rPr>
          <w:rFonts w:hint="eastAsia"/>
        </w:rPr>
        <w:t>惟毗鄰之耕作人及</w:t>
      </w:r>
      <w:r>
        <w:rPr>
          <w:rFonts w:hint="eastAsia"/>
        </w:rPr>
        <w:t>土地所有權人</w:t>
      </w:r>
      <w:r w:rsidRPr="00ED5E8A">
        <w:rPr>
          <w:rFonts w:hint="eastAsia"/>
        </w:rPr>
        <w:t>等</w:t>
      </w:r>
      <w:r>
        <w:rPr>
          <w:rFonts w:hint="eastAsia"/>
        </w:rPr>
        <w:t>不服該</w:t>
      </w:r>
      <w:r w:rsidRPr="00ED5E8A">
        <w:rPr>
          <w:rFonts w:hint="eastAsia"/>
        </w:rPr>
        <w:t>鑑界結果，提起訴願、再訴願，經</w:t>
      </w:r>
      <w:r>
        <w:rPr>
          <w:rFonts w:hint="eastAsia"/>
        </w:rPr>
        <w:t>前</w:t>
      </w:r>
      <w:r w:rsidRPr="00ED5E8A">
        <w:rPr>
          <w:rFonts w:hint="eastAsia"/>
        </w:rPr>
        <w:t>臺灣省政府</w:t>
      </w:r>
      <w:r>
        <w:rPr>
          <w:rFonts w:hint="eastAsia"/>
        </w:rPr>
        <w:t>7</w:t>
      </w:r>
      <w:r>
        <w:t>8</w:t>
      </w:r>
      <w:r>
        <w:rPr>
          <w:rFonts w:hint="eastAsia"/>
        </w:rPr>
        <w:t>府訴三字第1</w:t>
      </w:r>
      <w:r>
        <w:t>58352</w:t>
      </w:r>
      <w:r>
        <w:rPr>
          <w:rFonts w:hint="eastAsia"/>
        </w:rPr>
        <w:t>號再訴願決定書</w:t>
      </w:r>
      <w:r w:rsidRPr="00ED5E8A">
        <w:rPr>
          <w:rFonts w:hint="eastAsia"/>
        </w:rPr>
        <w:t>撤銷南投縣政府原訴願決定後，水里地所</w:t>
      </w:r>
      <w:r>
        <w:rPr>
          <w:rFonts w:hint="eastAsia"/>
        </w:rPr>
        <w:t>遂</w:t>
      </w:r>
      <w:r w:rsidRPr="00ED5E8A">
        <w:rPr>
          <w:rFonts w:hint="eastAsia"/>
        </w:rPr>
        <w:t>將該案函請</w:t>
      </w:r>
      <w:r>
        <w:rPr>
          <w:rFonts w:hint="eastAsia"/>
        </w:rPr>
        <w:t>原</w:t>
      </w:r>
      <w:r w:rsidRPr="00ED5E8A">
        <w:rPr>
          <w:rFonts w:hint="eastAsia"/>
        </w:rPr>
        <w:t>臺灣省政府地政處測量總隊就該區施以控制測量全面檢測，</w:t>
      </w:r>
      <w:r>
        <w:rPr>
          <w:rFonts w:hint="eastAsia"/>
        </w:rPr>
        <w:t>認為</w:t>
      </w:r>
      <w:r w:rsidRPr="00ED5E8A">
        <w:rPr>
          <w:rFonts w:hint="eastAsia"/>
        </w:rPr>
        <w:t>該49</w:t>
      </w:r>
      <w:r>
        <w:rPr>
          <w:rFonts w:hint="eastAsia"/>
        </w:rPr>
        <w:t>年</w:t>
      </w:r>
      <w:r w:rsidRPr="00ED5E8A">
        <w:rPr>
          <w:rFonts w:hint="eastAsia"/>
        </w:rPr>
        <w:t>更正</w:t>
      </w:r>
      <w:r>
        <w:rPr>
          <w:rFonts w:hint="eastAsia"/>
        </w:rPr>
        <w:t>之</w:t>
      </w:r>
      <w:r w:rsidRPr="00ED5E8A">
        <w:rPr>
          <w:rFonts w:hint="eastAsia"/>
        </w:rPr>
        <w:t>地籍圖</w:t>
      </w:r>
      <w:r>
        <w:rPr>
          <w:rFonts w:hint="eastAsia"/>
        </w:rPr>
        <w:t>與現地</w:t>
      </w:r>
      <w:r w:rsidRPr="00ED5E8A">
        <w:rPr>
          <w:rFonts w:hint="eastAsia"/>
        </w:rPr>
        <w:t>確有不符，</w:t>
      </w:r>
      <w:r>
        <w:rPr>
          <w:rFonts w:hint="eastAsia"/>
        </w:rPr>
        <w:t>前</w:t>
      </w:r>
      <w:r w:rsidRPr="00ED5E8A">
        <w:rPr>
          <w:rFonts w:hint="eastAsia"/>
        </w:rPr>
        <w:t>臺灣省政府因而將該區域列入81年度地籍圖</w:t>
      </w:r>
      <w:proofErr w:type="gramStart"/>
      <w:r w:rsidRPr="00ED5E8A">
        <w:rPr>
          <w:rFonts w:hint="eastAsia"/>
        </w:rPr>
        <w:t>重測區範</w:t>
      </w:r>
      <w:proofErr w:type="gramEnd"/>
      <w:r w:rsidRPr="00ED5E8A">
        <w:rPr>
          <w:rFonts w:hint="eastAsia"/>
        </w:rPr>
        <w:t>圍，辦理地籍圖重測</w:t>
      </w:r>
      <w:r>
        <w:rPr>
          <w:rFonts w:hint="eastAsia"/>
        </w:rPr>
        <w:t>（參見臺灣高等法院臺中分院86年度上更【二】字第89號民事判決理由四中段）。</w:t>
      </w:r>
    </w:p>
    <w:p w:rsidR="001D2D7C" w:rsidRDefault="001D2D7C" w:rsidP="001D2D7C">
      <w:pPr>
        <w:pStyle w:val="3"/>
        <w:numPr>
          <w:ilvl w:val="2"/>
          <w:numId w:val="1"/>
        </w:numPr>
        <w:rPr>
          <w:lang w:val="zh-TW"/>
        </w:rPr>
      </w:pPr>
      <w:r>
        <w:rPr>
          <w:rFonts w:hint="eastAsia"/>
          <w:lang w:val="zh-TW"/>
        </w:rPr>
        <w:t>按</w:t>
      </w:r>
      <w:r w:rsidRPr="00ED1C69">
        <w:rPr>
          <w:rFonts w:hint="eastAsia"/>
          <w:lang w:val="zh-TW"/>
        </w:rPr>
        <w:t>行為時（</w:t>
      </w:r>
      <w:r>
        <w:rPr>
          <w:rFonts w:hint="eastAsia"/>
          <w:lang w:val="zh-TW"/>
        </w:rPr>
        <w:t>內政部</w:t>
      </w:r>
      <w:r w:rsidRPr="00ED1C69">
        <w:rPr>
          <w:rFonts w:hint="eastAsia"/>
          <w:lang w:val="zh-TW"/>
        </w:rPr>
        <w:t>79年6月27日修正發布）地籍測量實施規則第207條規定：「（第1項）地籍圖重測時發現未經登記之土地，應另設地籍調查表，記明其四</w:t>
      </w:r>
      <w:r w:rsidRPr="00ED1C69">
        <w:rPr>
          <w:rFonts w:hint="eastAsia"/>
          <w:lang w:val="zh-TW"/>
        </w:rPr>
        <w:lastRenderedPageBreak/>
        <w:t>至、鄰地</w:t>
      </w:r>
      <w:proofErr w:type="gramStart"/>
      <w:r w:rsidRPr="00ED1C69">
        <w:rPr>
          <w:rFonts w:hint="eastAsia"/>
          <w:lang w:val="zh-TW"/>
        </w:rPr>
        <w:t>地</w:t>
      </w:r>
      <w:proofErr w:type="gramEnd"/>
      <w:r w:rsidRPr="00ED1C69">
        <w:rPr>
          <w:rFonts w:hint="eastAsia"/>
          <w:lang w:val="zh-TW"/>
        </w:rPr>
        <w:t>號、使用現況及其他有關事項。（第2項）前項未登記土地測量編號後，應辦理土地第一次登記。」</w:t>
      </w:r>
      <w:r>
        <w:rPr>
          <w:rFonts w:hint="eastAsia"/>
          <w:lang w:val="zh-TW"/>
        </w:rPr>
        <w:t>次按行為時土地法第53條規定：「</w:t>
      </w:r>
      <w:r w:rsidRPr="00085AB0">
        <w:rPr>
          <w:rFonts w:hint="eastAsia"/>
          <w:lang w:val="zh-TW"/>
        </w:rPr>
        <w:t>無保管或使用機關之公有土地，及因地籍整理而發現之公有土地，由</w:t>
      </w:r>
      <w:proofErr w:type="gramStart"/>
      <w:r w:rsidRPr="00085AB0">
        <w:rPr>
          <w:rFonts w:hint="eastAsia"/>
          <w:lang w:val="zh-TW"/>
        </w:rPr>
        <w:t>該管市縣</w:t>
      </w:r>
      <w:proofErr w:type="gramEnd"/>
      <w:r w:rsidRPr="00085AB0">
        <w:rPr>
          <w:rFonts w:hint="eastAsia"/>
          <w:lang w:val="zh-TW"/>
        </w:rPr>
        <w:t>地政機關逕為登記，其所有權人欄註明為國有。</w:t>
      </w:r>
      <w:r>
        <w:rPr>
          <w:rFonts w:hint="eastAsia"/>
          <w:lang w:val="zh-TW"/>
        </w:rPr>
        <w:t>」是</w:t>
      </w:r>
      <w:proofErr w:type="gramStart"/>
      <w:r>
        <w:rPr>
          <w:rFonts w:hint="eastAsia"/>
          <w:lang w:val="zh-TW"/>
        </w:rPr>
        <w:t>以</w:t>
      </w:r>
      <w:proofErr w:type="gramEnd"/>
      <w:r>
        <w:rPr>
          <w:rFonts w:hint="eastAsia"/>
          <w:lang w:val="zh-TW"/>
        </w:rPr>
        <w:t>，地籍圖重</w:t>
      </w:r>
      <w:proofErr w:type="gramStart"/>
      <w:r>
        <w:rPr>
          <w:rFonts w:hint="eastAsia"/>
          <w:lang w:val="zh-TW"/>
        </w:rPr>
        <w:t>測時倘發</w:t>
      </w:r>
      <w:proofErr w:type="gramEnd"/>
      <w:r>
        <w:rPr>
          <w:rFonts w:hint="eastAsia"/>
          <w:lang w:val="zh-TW"/>
        </w:rPr>
        <w:t>現未登記土地，應一併清理並依法測量後登記為國有，以健全地籍，便利公產管理及處分。</w:t>
      </w:r>
    </w:p>
    <w:p w:rsidR="001D2D7C" w:rsidRDefault="001D2D7C" w:rsidP="001D2D7C">
      <w:pPr>
        <w:pStyle w:val="3"/>
        <w:numPr>
          <w:ilvl w:val="2"/>
          <w:numId w:val="1"/>
        </w:numPr>
        <w:rPr>
          <w:lang w:val="zh-TW"/>
        </w:rPr>
      </w:pPr>
      <w:proofErr w:type="gramStart"/>
      <w:r>
        <w:rPr>
          <w:rFonts w:hint="eastAsia"/>
          <w:lang w:val="zh-TW"/>
        </w:rPr>
        <w:t>查重測前</w:t>
      </w:r>
      <w:proofErr w:type="gramEnd"/>
      <w:r>
        <w:rPr>
          <w:rFonts w:hint="eastAsia"/>
          <w:lang w:val="zh-TW"/>
        </w:rPr>
        <w:t>174、174-1、174-2、174-4地</w:t>
      </w:r>
      <w:proofErr w:type="gramStart"/>
      <w:r>
        <w:rPr>
          <w:rFonts w:hint="eastAsia"/>
          <w:lang w:val="zh-TW"/>
        </w:rPr>
        <w:t>號等筆土</w:t>
      </w:r>
      <w:proofErr w:type="gramEnd"/>
      <w:r>
        <w:rPr>
          <w:rFonts w:hint="eastAsia"/>
          <w:lang w:val="zh-TW"/>
        </w:rPr>
        <w:t>地係於</w:t>
      </w:r>
      <w:r w:rsidRPr="00C41E5A">
        <w:rPr>
          <w:rFonts w:hint="eastAsia"/>
          <w:b/>
          <w:lang w:val="zh-TW"/>
        </w:rPr>
        <w:t>80年10月3日</w:t>
      </w:r>
      <w:r>
        <w:rPr>
          <w:rFonts w:hint="eastAsia"/>
          <w:lang w:val="zh-TW"/>
        </w:rPr>
        <w:t>辦理地籍調查，因</w:t>
      </w:r>
      <w:proofErr w:type="gramStart"/>
      <w:r>
        <w:rPr>
          <w:rFonts w:hint="eastAsia"/>
          <w:lang w:val="zh-TW"/>
        </w:rPr>
        <w:t>雙方指界</w:t>
      </w:r>
      <w:proofErr w:type="gramEnd"/>
      <w:r>
        <w:rPr>
          <w:rFonts w:hint="eastAsia"/>
          <w:lang w:val="zh-TW"/>
        </w:rPr>
        <w:t>不一致，南投縣政府爰於</w:t>
      </w:r>
      <w:r w:rsidRPr="000216BF">
        <w:rPr>
          <w:rFonts w:hint="eastAsia"/>
          <w:b/>
          <w:lang w:val="zh-TW"/>
        </w:rPr>
        <w:t>81年2月11日</w:t>
      </w:r>
      <w:r>
        <w:rPr>
          <w:rFonts w:hint="eastAsia"/>
          <w:lang w:val="zh-TW"/>
        </w:rPr>
        <w:t>召開</w:t>
      </w:r>
      <w:r w:rsidR="009C23FD">
        <w:rPr>
          <w:rFonts w:hint="eastAsia"/>
          <w:lang w:val="zh-TW"/>
        </w:rPr>
        <w:t>○○</w:t>
      </w:r>
      <w:r>
        <w:rPr>
          <w:rFonts w:hint="eastAsia"/>
          <w:lang w:val="zh-TW"/>
        </w:rPr>
        <w:t>地籍圖</w:t>
      </w:r>
      <w:proofErr w:type="gramStart"/>
      <w:r>
        <w:rPr>
          <w:rFonts w:hint="eastAsia"/>
          <w:lang w:val="zh-TW"/>
        </w:rPr>
        <w:t>重測區土</w:t>
      </w:r>
      <w:proofErr w:type="gramEnd"/>
      <w:r>
        <w:rPr>
          <w:rFonts w:hint="eastAsia"/>
          <w:lang w:val="zh-TW"/>
        </w:rPr>
        <w:t>地界址糾紛協調會，該次會議</w:t>
      </w:r>
      <w:r>
        <w:rPr>
          <w:rFonts w:hint="eastAsia"/>
        </w:rPr>
        <w:t>因當事人無法達成協議，故由協調會依法調處，決議上述土地之界址，依所</w:t>
      </w:r>
      <w:proofErr w:type="gramStart"/>
      <w:r>
        <w:rPr>
          <w:rFonts w:hint="eastAsia"/>
        </w:rPr>
        <w:t>附地籍圖</w:t>
      </w:r>
      <w:proofErr w:type="gramEnd"/>
      <w:r>
        <w:rPr>
          <w:rFonts w:hint="eastAsia"/>
        </w:rPr>
        <w:t>界址位置據以辦理重測；各該界址位置，則請原臺灣省政府地政處</w:t>
      </w:r>
      <w:r w:rsidRPr="00ED4F94">
        <w:rPr>
          <w:rFonts w:hint="eastAsia"/>
          <w:lang w:val="zh-TW"/>
        </w:rPr>
        <w:t>測量總隊前往實地測定界址，埋設界標</w:t>
      </w:r>
      <w:r>
        <w:rPr>
          <w:rFonts w:hint="eastAsia"/>
          <w:lang w:val="zh-TW"/>
        </w:rPr>
        <w:t>。南投縣政</w:t>
      </w:r>
      <w:r w:rsidRPr="006339C9">
        <w:rPr>
          <w:rFonts w:hint="eastAsia"/>
          <w:lang w:val="zh-TW"/>
        </w:rPr>
        <w:t>府</w:t>
      </w:r>
      <w:proofErr w:type="gramStart"/>
      <w:r>
        <w:rPr>
          <w:rFonts w:hint="eastAsia"/>
          <w:lang w:val="zh-TW"/>
        </w:rPr>
        <w:t>嗣</w:t>
      </w:r>
      <w:proofErr w:type="gramEnd"/>
      <w:r>
        <w:rPr>
          <w:rFonts w:hint="eastAsia"/>
          <w:lang w:val="zh-TW"/>
        </w:rPr>
        <w:t>於</w:t>
      </w:r>
      <w:r w:rsidRPr="000216BF">
        <w:rPr>
          <w:rFonts w:hint="eastAsia"/>
          <w:b/>
          <w:lang w:val="zh-TW"/>
        </w:rPr>
        <w:t>81年2月27日</w:t>
      </w:r>
      <w:r w:rsidRPr="006339C9">
        <w:rPr>
          <w:rFonts w:hint="eastAsia"/>
          <w:lang w:val="zh-TW"/>
        </w:rPr>
        <w:t>將調處結果</w:t>
      </w:r>
      <w:r>
        <w:rPr>
          <w:rFonts w:hint="eastAsia"/>
          <w:lang w:val="zh-TW"/>
        </w:rPr>
        <w:t>函</w:t>
      </w:r>
      <w:r>
        <w:rPr>
          <w:rStyle w:val="afc"/>
          <w:lang w:val="zh-TW"/>
        </w:rPr>
        <w:footnoteReference w:id="2"/>
      </w:r>
      <w:r w:rsidRPr="006339C9">
        <w:rPr>
          <w:rFonts w:hint="eastAsia"/>
          <w:lang w:val="zh-TW"/>
        </w:rPr>
        <w:t>知</w:t>
      </w:r>
      <w:r>
        <w:rPr>
          <w:rFonts w:hint="eastAsia"/>
          <w:lang w:val="zh-TW"/>
        </w:rPr>
        <w:t>土地所有權人</w:t>
      </w:r>
      <w:r w:rsidRPr="006339C9">
        <w:rPr>
          <w:rFonts w:hint="eastAsia"/>
          <w:lang w:val="zh-TW"/>
        </w:rPr>
        <w:t>，並請</w:t>
      </w:r>
      <w:r>
        <w:rPr>
          <w:rFonts w:hint="eastAsia"/>
          <w:lang w:val="zh-TW"/>
        </w:rPr>
        <w:t>其等</w:t>
      </w:r>
      <w:r w:rsidRPr="006339C9">
        <w:rPr>
          <w:rFonts w:hint="eastAsia"/>
          <w:lang w:val="zh-TW"/>
        </w:rPr>
        <w:t>如不服該調處結果，應以相對之當事人為被告，向司法機關訴請確定土地界址。</w:t>
      </w:r>
      <w:r>
        <w:rPr>
          <w:rFonts w:hint="eastAsia"/>
          <w:lang w:val="zh-TW"/>
        </w:rPr>
        <w:t>再於</w:t>
      </w:r>
      <w:r w:rsidRPr="000216BF">
        <w:rPr>
          <w:rFonts w:hint="eastAsia"/>
          <w:b/>
          <w:lang w:val="zh-TW"/>
        </w:rPr>
        <w:t>8</w:t>
      </w:r>
      <w:r w:rsidRPr="000216BF">
        <w:rPr>
          <w:b/>
          <w:lang w:val="zh-TW"/>
        </w:rPr>
        <w:t>1</w:t>
      </w:r>
      <w:r w:rsidRPr="000216BF">
        <w:rPr>
          <w:rFonts w:hint="eastAsia"/>
          <w:b/>
          <w:lang w:val="zh-TW"/>
        </w:rPr>
        <w:t>年3月4日</w:t>
      </w:r>
      <w:r w:rsidRPr="00C41E5A">
        <w:rPr>
          <w:rFonts w:hint="eastAsia"/>
          <w:lang w:val="zh-TW"/>
        </w:rPr>
        <w:t>，由</w:t>
      </w:r>
      <w:r>
        <w:rPr>
          <w:rFonts w:hint="eastAsia"/>
          <w:lang w:val="zh-TW"/>
        </w:rPr>
        <w:t>原</w:t>
      </w:r>
      <w:r>
        <w:rPr>
          <w:rFonts w:hint="eastAsia"/>
        </w:rPr>
        <w:t>臺灣省政府地政處</w:t>
      </w:r>
      <w:r w:rsidRPr="00ED4F94">
        <w:rPr>
          <w:rFonts w:hint="eastAsia"/>
          <w:lang w:val="zh-TW"/>
        </w:rPr>
        <w:t>測量總隊</w:t>
      </w:r>
      <w:r>
        <w:rPr>
          <w:rFonts w:hint="eastAsia"/>
          <w:lang w:val="zh-TW"/>
        </w:rPr>
        <w:t>前往實地測定界址。水里地所</w:t>
      </w:r>
      <w:proofErr w:type="gramStart"/>
      <w:r>
        <w:rPr>
          <w:rFonts w:hint="eastAsia"/>
          <w:lang w:val="zh-TW"/>
        </w:rPr>
        <w:t>嗣</w:t>
      </w:r>
      <w:proofErr w:type="gramEnd"/>
      <w:r>
        <w:rPr>
          <w:rFonts w:hint="eastAsia"/>
          <w:lang w:val="zh-TW"/>
        </w:rPr>
        <w:t>於</w:t>
      </w:r>
      <w:r w:rsidRPr="008E5A7A">
        <w:rPr>
          <w:rFonts w:hint="eastAsia"/>
          <w:b/>
          <w:lang w:val="zh-TW"/>
        </w:rPr>
        <w:t>81年5月13日</w:t>
      </w:r>
      <w:r>
        <w:rPr>
          <w:rFonts w:hint="eastAsia"/>
          <w:lang w:val="zh-TW"/>
        </w:rPr>
        <w:t>辦理土地標示變更登記，將</w:t>
      </w:r>
      <w:proofErr w:type="gramStart"/>
      <w:r>
        <w:rPr>
          <w:rFonts w:hint="eastAsia"/>
          <w:lang w:val="zh-TW"/>
        </w:rPr>
        <w:t>重測</w:t>
      </w:r>
      <w:proofErr w:type="gramEnd"/>
      <w:r>
        <w:rPr>
          <w:rFonts w:hint="eastAsia"/>
          <w:lang w:val="zh-TW"/>
        </w:rPr>
        <w:t>前174地</w:t>
      </w:r>
      <w:proofErr w:type="gramStart"/>
      <w:r>
        <w:rPr>
          <w:rFonts w:hint="eastAsia"/>
          <w:lang w:val="zh-TW"/>
        </w:rPr>
        <w:t>號等筆土</w:t>
      </w:r>
      <w:proofErr w:type="gramEnd"/>
      <w:r>
        <w:rPr>
          <w:rFonts w:hint="eastAsia"/>
          <w:lang w:val="zh-TW"/>
        </w:rPr>
        <w:t>地分別登記為550地</w:t>
      </w:r>
      <w:proofErr w:type="gramStart"/>
      <w:r>
        <w:rPr>
          <w:rFonts w:hint="eastAsia"/>
          <w:lang w:val="zh-TW"/>
        </w:rPr>
        <w:t>號等筆土</w:t>
      </w:r>
      <w:proofErr w:type="gramEnd"/>
      <w:r>
        <w:rPr>
          <w:rFonts w:hint="eastAsia"/>
          <w:lang w:val="zh-TW"/>
        </w:rPr>
        <w:t>地（如表1），並因陳訴人不服調處結果，訴請法院審理，而於各該土地之其他登記事項欄位註記「本宗土地</w:t>
      </w:r>
      <w:proofErr w:type="gramStart"/>
      <w:r>
        <w:rPr>
          <w:rFonts w:hint="eastAsia"/>
          <w:lang w:val="zh-TW"/>
        </w:rPr>
        <w:t>重測界</w:t>
      </w:r>
      <w:proofErr w:type="gramEnd"/>
      <w:r>
        <w:rPr>
          <w:rFonts w:hint="eastAsia"/>
          <w:lang w:val="zh-TW"/>
        </w:rPr>
        <w:t>址糾紛未解決」。</w:t>
      </w:r>
    </w:p>
    <w:p w:rsidR="00D70699" w:rsidRDefault="00D70699">
      <w:pPr>
        <w:widowControl/>
        <w:overflowPunct/>
        <w:autoSpaceDE/>
        <w:autoSpaceDN/>
        <w:jc w:val="left"/>
        <w:rPr>
          <w:rFonts w:hAnsi="Arial"/>
          <w:b/>
          <w:bCs/>
          <w:kern w:val="32"/>
          <w:sz w:val="28"/>
          <w:szCs w:val="28"/>
          <w:lang w:val="zh-TW"/>
        </w:rPr>
      </w:pPr>
      <w:r>
        <w:rPr>
          <w:b/>
          <w:sz w:val="28"/>
          <w:szCs w:val="28"/>
          <w:lang w:val="zh-TW"/>
        </w:rPr>
        <w:br w:type="page"/>
      </w:r>
    </w:p>
    <w:p w:rsidR="001D2D7C" w:rsidRDefault="001D2D7C" w:rsidP="001D2D7C">
      <w:pPr>
        <w:pStyle w:val="3"/>
        <w:numPr>
          <w:ilvl w:val="0"/>
          <w:numId w:val="0"/>
        </w:numPr>
        <w:spacing w:beforeLines="50" w:before="228"/>
        <w:ind w:left="1361"/>
        <w:jc w:val="center"/>
        <w:rPr>
          <w:b/>
          <w:sz w:val="28"/>
          <w:szCs w:val="28"/>
          <w:lang w:val="zh-TW"/>
        </w:rPr>
      </w:pPr>
      <w:r w:rsidRPr="008E5A7A">
        <w:rPr>
          <w:rFonts w:hint="eastAsia"/>
          <w:b/>
          <w:sz w:val="28"/>
          <w:szCs w:val="28"/>
          <w:lang w:val="zh-TW"/>
        </w:rPr>
        <w:lastRenderedPageBreak/>
        <w:t>表</w:t>
      </w:r>
      <w:r>
        <w:rPr>
          <w:rFonts w:hint="eastAsia"/>
          <w:b/>
          <w:sz w:val="28"/>
          <w:szCs w:val="28"/>
          <w:lang w:val="zh-TW"/>
        </w:rPr>
        <w:t>1</w:t>
      </w:r>
      <w:r w:rsidRPr="008E5A7A">
        <w:rPr>
          <w:rFonts w:hint="eastAsia"/>
          <w:b/>
          <w:sz w:val="28"/>
          <w:szCs w:val="28"/>
          <w:lang w:val="zh-TW"/>
        </w:rPr>
        <w:t>、重測前後新舊地號對照表</w:t>
      </w:r>
    </w:p>
    <w:tbl>
      <w:tblPr>
        <w:tblStyle w:val="af6"/>
        <w:tblW w:w="0" w:type="auto"/>
        <w:tblInd w:w="1361" w:type="dxa"/>
        <w:tblLook w:val="04A0" w:firstRow="1" w:lastRow="0" w:firstColumn="1" w:lastColumn="0" w:noHBand="0" w:noVBand="1"/>
      </w:tblPr>
      <w:tblGrid>
        <w:gridCol w:w="3750"/>
        <w:gridCol w:w="3723"/>
      </w:tblGrid>
      <w:tr w:rsidR="001D2D7C" w:rsidTr="00CA3664">
        <w:trPr>
          <w:trHeight w:val="397"/>
        </w:trPr>
        <w:tc>
          <w:tcPr>
            <w:tcW w:w="3750" w:type="dxa"/>
            <w:shd w:val="clear" w:color="auto" w:fill="FDE9D9" w:themeFill="accent6" w:themeFillTint="33"/>
            <w:vAlign w:val="center"/>
          </w:tcPr>
          <w:p w:rsidR="001D2D7C" w:rsidRPr="008E5A7A" w:rsidRDefault="001D2D7C" w:rsidP="00CA3664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zh-TW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zh-TW"/>
              </w:rPr>
              <w:t>重測前</w:t>
            </w:r>
            <w:proofErr w:type="gramEnd"/>
            <w:r>
              <w:rPr>
                <w:rFonts w:hint="eastAsia"/>
                <w:sz w:val="28"/>
                <w:szCs w:val="28"/>
                <w:lang w:val="zh-TW"/>
              </w:rPr>
              <w:t>（</w:t>
            </w:r>
            <w:r w:rsidR="009C23FD">
              <w:rPr>
                <w:rFonts w:hint="eastAsia"/>
                <w:sz w:val="28"/>
                <w:szCs w:val="28"/>
                <w:lang w:val="zh-TW"/>
              </w:rPr>
              <w:t>○○○</w:t>
            </w:r>
            <w:r>
              <w:rPr>
                <w:rFonts w:hint="eastAsia"/>
                <w:sz w:val="28"/>
                <w:szCs w:val="28"/>
                <w:lang w:val="zh-TW"/>
              </w:rPr>
              <w:t>段）</w:t>
            </w:r>
          </w:p>
        </w:tc>
        <w:tc>
          <w:tcPr>
            <w:tcW w:w="3723" w:type="dxa"/>
            <w:shd w:val="clear" w:color="auto" w:fill="FDE9D9" w:themeFill="accent6" w:themeFillTint="33"/>
            <w:vAlign w:val="center"/>
          </w:tcPr>
          <w:p w:rsidR="001D2D7C" w:rsidRPr="008E5A7A" w:rsidRDefault="001D2D7C" w:rsidP="00CA3664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zh-TW"/>
              </w:rPr>
            </w:pPr>
            <w:r>
              <w:rPr>
                <w:rFonts w:hint="eastAsia"/>
                <w:sz w:val="28"/>
                <w:szCs w:val="28"/>
                <w:lang w:val="zh-TW"/>
              </w:rPr>
              <w:t>重測後（</w:t>
            </w:r>
            <w:r w:rsidR="009C23FD">
              <w:rPr>
                <w:rFonts w:hint="eastAsia"/>
                <w:sz w:val="28"/>
                <w:szCs w:val="28"/>
                <w:lang w:val="zh-TW"/>
              </w:rPr>
              <w:t>○○○</w:t>
            </w:r>
            <w:r>
              <w:rPr>
                <w:rFonts w:hint="eastAsia"/>
                <w:sz w:val="28"/>
                <w:szCs w:val="28"/>
                <w:lang w:val="zh-TW"/>
              </w:rPr>
              <w:t>段）</w:t>
            </w:r>
          </w:p>
        </w:tc>
      </w:tr>
      <w:tr w:rsidR="001D2D7C" w:rsidTr="00CA3664">
        <w:trPr>
          <w:trHeight w:val="397"/>
        </w:trPr>
        <w:tc>
          <w:tcPr>
            <w:tcW w:w="3750" w:type="dxa"/>
            <w:vAlign w:val="center"/>
          </w:tcPr>
          <w:p w:rsidR="001D2D7C" w:rsidRPr="008E5A7A" w:rsidRDefault="001D2D7C" w:rsidP="00CA3664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zh-TW"/>
              </w:rPr>
            </w:pPr>
            <w:r>
              <w:rPr>
                <w:rFonts w:hint="eastAsia"/>
                <w:sz w:val="28"/>
                <w:szCs w:val="28"/>
                <w:lang w:val="zh-TW"/>
              </w:rPr>
              <w:t>174</w:t>
            </w:r>
          </w:p>
        </w:tc>
        <w:tc>
          <w:tcPr>
            <w:tcW w:w="3723" w:type="dxa"/>
            <w:vAlign w:val="center"/>
          </w:tcPr>
          <w:p w:rsidR="001D2D7C" w:rsidRPr="008E5A7A" w:rsidRDefault="001D2D7C" w:rsidP="00CA3664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zh-TW"/>
              </w:rPr>
            </w:pPr>
            <w:r>
              <w:rPr>
                <w:rFonts w:hint="eastAsia"/>
                <w:sz w:val="28"/>
                <w:szCs w:val="28"/>
                <w:lang w:val="zh-TW"/>
              </w:rPr>
              <w:t>550</w:t>
            </w:r>
          </w:p>
        </w:tc>
      </w:tr>
      <w:tr w:rsidR="001D2D7C" w:rsidTr="00CA3664">
        <w:trPr>
          <w:trHeight w:val="397"/>
        </w:trPr>
        <w:tc>
          <w:tcPr>
            <w:tcW w:w="3750" w:type="dxa"/>
            <w:vAlign w:val="center"/>
          </w:tcPr>
          <w:p w:rsidR="001D2D7C" w:rsidRPr="008E5A7A" w:rsidRDefault="001D2D7C" w:rsidP="00CA3664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zh-TW"/>
              </w:rPr>
            </w:pPr>
            <w:r>
              <w:rPr>
                <w:rFonts w:hint="eastAsia"/>
                <w:sz w:val="28"/>
                <w:szCs w:val="28"/>
                <w:lang w:val="zh-TW"/>
              </w:rPr>
              <w:t>174-1</w:t>
            </w:r>
          </w:p>
        </w:tc>
        <w:tc>
          <w:tcPr>
            <w:tcW w:w="3723" w:type="dxa"/>
            <w:vAlign w:val="center"/>
          </w:tcPr>
          <w:p w:rsidR="001D2D7C" w:rsidRPr="008E5A7A" w:rsidRDefault="001D2D7C" w:rsidP="00CA3664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zh-TW"/>
              </w:rPr>
            </w:pPr>
            <w:r>
              <w:rPr>
                <w:rFonts w:hint="eastAsia"/>
                <w:sz w:val="28"/>
                <w:szCs w:val="28"/>
                <w:lang w:val="zh-TW"/>
              </w:rPr>
              <w:t>551</w:t>
            </w:r>
          </w:p>
        </w:tc>
      </w:tr>
      <w:tr w:rsidR="001D2D7C" w:rsidTr="00CA3664">
        <w:trPr>
          <w:trHeight w:val="397"/>
        </w:trPr>
        <w:tc>
          <w:tcPr>
            <w:tcW w:w="3750" w:type="dxa"/>
            <w:vAlign w:val="center"/>
          </w:tcPr>
          <w:p w:rsidR="001D2D7C" w:rsidRPr="008E5A7A" w:rsidRDefault="001D2D7C" w:rsidP="00CA3664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zh-TW"/>
              </w:rPr>
            </w:pPr>
            <w:r>
              <w:rPr>
                <w:rFonts w:hint="eastAsia"/>
                <w:sz w:val="28"/>
                <w:szCs w:val="28"/>
                <w:lang w:val="zh-TW"/>
              </w:rPr>
              <w:t>174-2</w:t>
            </w:r>
          </w:p>
        </w:tc>
        <w:tc>
          <w:tcPr>
            <w:tcW w:w="3723" w:type="dxa"/>
            <w:vAlign w:val="center"/>
          </w:tcPr>
          <w:p w:rsidR="001D2D7C" w:rsidRPr="008E5A7A" w:rsidRDefault="001D2D7C" w:rsidP="00CA3664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zh-TW"/>
              </w:rPr>
            </w:pPr>
            <w:r>
              <w:rPr>
                <w:rFonts w:hint="eastAsia"/>
                <w:sz w:val="28"/>
                <w:szCs w:val="28"/>
                <w:lang w:val="zh-TW"/>
              </w:rPr>
              <w:t>552</w:t>
            </w:r>
          </w:p>
        </w:tc>
      </w:tr>
      <w:tr w:rsidR="001D2D7C" w:rsidTr="00CA3664">
        <w:trPr>
          <w:trHeight w:val="397"/>
        </w:trPr>
        <w:tc>
          <w:tcPr>
            <w:tcW w:w="3750" w:type="dxa"/>
            <w:vAlign w:val="center"/>
          </w:tcPr>
          <w:p w:rsidR="001D2D7C" w:rsidRPr="008E5A7A" w:rsidRDefault="001D2D7C" w:rsidP="00CA3664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zh-TW"/>
              </w:rPr>
            </w:pPr>
            <w:r>
              <w:rPr>
                <w:rFonts w:hint="eastAsia"/>
                <w:sz w:val="28"/>
                <w:szCs w:val="28"/>
                <w:lang w:val="zh-TW"/>
              </w:rPr>
              <w:t>174-4</w:t>
            </w:r>
          </w:p>
        </w:tc>
        <w:tc>
          <w:tcPr>
            <w:tcW w:w="3723" w:type="dxa"/>
            <w:vAlign w:val="center"/>
          </w:tcPr>
          <w:p w:rsidR="001D2D7C" w:rsidRPr="008E5A7A" w:rsidRDefault="001D2D7C" w:rsidP="00CA3664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zh-TW"/>
              </w:rPr>
            </w:pPr>
            <w:r>
              <w:rPr>
                <w:rFonts w:hint="eastAsia"/>
                <w:sz w:val="28"/>
                <w:szCs w:val="28"/>
                <w:lang w:val="zh-TW"/>
              </w:rPr>
              <w:t>554</w:t>
            </w:r>
          </w:p>
        </w:tc>
      </w:tr>
    </w:tbl>
    <w:p w:rsidR="001D2D7C" w:rsidRPr="008E5A7A" w:rsidRDefault="001D2D7C" w:rsidP="001D2D7C">
      <w:pPr>
        <w:pStyle w:val="3"/>
        <w:numPr>
          <w:ilvl w:val="0"/>
          <w:numId w:val="0"/>
        </w:numPr>
        <w:spacing w:afterLines="50" w:after="228"/>
        <w:ind w:left="1361"/>
        <w:rPr>
          <w:sz w:val="24"/>
          <w:szCs w:val="24"/>
          <w:lang w:val="zh-TW"/>
        </w:rPr>
      </w:pPr>
      <w:r w:rsidRPr="008E5A7A">
        <w:rPr>
          <w:rFonts w:hint="eastAsia"/>
          <w:sz w:val="24"/>
          <w:szCs w:val="24"/>
          <w:lang w:val="zh-TW"/>
        </w:rPr>
        <w:t>資料來源：本</w:t>
      </w:r>
      <w:r w:rsidR="00D70699">
        <w:rPr>
          <w:rFonts w:hint="eastAsia"/>
          <w:sz w:val="24"/>
          <w:szCs w:val="24"/>
          <w:lang w:val="zh-TW"/>
        </w:rPr>
        <w:t>院</w:t>
      </w:r>
      <w:r w:rsidRPr="008E5A7A">
        <w:rPr>
          <w:rFonts w:hint="eastAsia"/>
          <w:sz w:val="24"/>
          <w:szCs w:val="24"/>
          <w:lang w:val="zh-TW"/>
        </w:rPr>
        <w:t>整理製作。</w:t>
      </w:r>
    </w:p>
    <w:p w:rsidR="001D2D7C" w:rsidRDefault="001D2D7C" w:rsidP="001D2D7C">
      <w:pPr>
        <w:pStyle w:val="3"/>
        <w:numPr>
          <w:ilvl w:val="2"/>
          <w:numId w:val="1"/>
        </w:numPr>
        <w:rPr>
          <w:lang w:val="zh-TW"/>
        </w:rPr>
      </w:pPr>
      <w:r>
        <w:rPr>
          <w:rFonts w:hint="eastAsia"/>
          <w:lang w:val="zh-TW"/>
        </w:rPr>
        <w:t>基於上述，80年地籍調查時，以及81年界址糾紛調處後，原</w:t>
      </w:r>
      <w:r w:rsidRPr="006339C9">
        <w:rPr>
          <w:rFonts w:hint="eastAsia"/>
          <w:lang w:val="zh-TW"/>
        </w:rPr>
        <w:t>臺灣省政府地政處測量總隊（</w:t>
      </w:r>
      <w:r>
        <w:rPr>
          <w:rFonts w:hint="eastAsia"/>
          <w:lang w:val="zh-TW"/>
        </w:rPr>
        <w:t>即</w:t>
      </w:r>
      <w:r w:rsidRPr="006339C9">
        <w:rPr>
          <w:rFonts w:hint="eastAsia"/>
          <w:lang w:val="zh-TW"/>
        </w:rPr>
        <w:t>現今國土測繪中心）及南投縣政府</w:t>
      </w:r>
      <w:r>
        <w:rPr>
          <w:rFonts w:hint="eastAsia"/>
          <w:lang w:val="zh-TW"/>
        </w:rPr>
        <w:t>理應發現上述土地毗鄰未登記土地，惟當時</w:t>
      </w:r>
      <w:proofErr w:type="gramStart"/>
      <w:r>
        <w:rPr>
          <w:rFonts w:hint="eastAsia"/>
          <w:lang w:val="zh-TW"/>
        </w:rPr>
        <w:t>卻未另設</w:t>
      </w:r>
      <w:proofErr w:type="gramEnd"/>
      <w:r>
        <w:rPr>
          <w:rFonts w:hint="eastAsia"/>
          <w:lang w:val="zh-TW"/>
        </w:rPr>
        <w:t>地籍調查表，未辦理土地所有權第一次登記。</w:t>
      </w:r>
      <w:r>
        <w:rPr>
          <w:rStyle w:val="afc"/>
          <w:lang w:val="zh-TW"/>
        </w:rPr>
        <w:footnoteReference w:id="3"/>
      </w:r>
      <w:r w:rsidRPr="006339C9">
        <w:rPr>
          <w:rFonts w:hint="eastAsia"/>
          <w:lang w:val="zh-TW"/>
        </w:rPr>
        <w:t>致陳訴人認為其所毗鄰</w:t>
      </w:r>
      <w:proofErr w:type="gramStart"/>
      <w:r w:rsidRPr="006339C9">
        <w:rPr>
          <w:rFonts w:hint="eastAsia"/>
          <w:lang w:val="zh-TW"/>
        </w:rPr>
        <w:t>者均係未</w:t>
      </w:r>
      <w:proofErr w:type="gramEnd"/>
      <w:r w:rsidRPr="006339C9">
        <w:rPr>
          <w:rFonts w:hint="eastAsia"/>
          <w:lang w:val="zh-TW"/>
        </w:rPr>
        <w:t>登記土地，何來相對之當事人，故僅</w:t>
      </w:r>
      <w:r>
        <w:rPr>
          <w:rFonts w:hint="eastAsia"/>
          <w:lang w:val="zh-TW"/>
        </w:rPr>
        <w:t>向法院</w:t>
      </w:r>
      <w:r w:rsidRPr="006339C9">
        <w:rPr>
          <w:rFonts w:hint="eastAsia"/>
          <w:lang w:val="zh-TW"/>
        </w:rPr>
        <w:t>提起返還無權占有土地之訴，而未提起確認經界之訴。衍生後續司法機關審理時，認為陳訴人收受調處筆錄後，既未對調處結果提起確認經界之訴，系爭174-1與174-4地號土地之界址，應以調</w:t>
      </w:r>
      <w:r>
        <w:rPr>
          <w:rFonts w:hint="eastAsia"/>
          <w:lang w:val="zh-TW"/>
        </w:rPr>
        <w:t>處</w:t>
      </w:r>
      <w:r w:rsidRPr="006339C9">
        <w:rPr>
          <w:rFonts w:hint="eastAsia"/>
          <w:lang w:val="zh-TW"/>
        </w:rPr>
        <w:t>結果為</w:t>
      </w:r>
      <w:proofErr w:type="gramStart"/>
      <w:r w:rsidRPr="006339C9">
        <w:rPr>
          <w:rFonts w:hint="eastAsia"/>
          <w:lang w:val="zh-TW"/>
        </w:rPr>
        <w:t>準</w:t>
      </w:r>
      <w:proofErr w:type="gramEnd"/>
      <w:r>
        <w:rPr>
          <w:rFonts w:hint="eastAsia"/>
          <w:lang w:val="zh-TW"/>
        </w:rPr>
        <w:t>（參見臺灣高等法院臺中分院86年度上更【二】字第8</w:t>
      </w:r>
      <w:r>
        <w:rPr>
          <w:lang w:val="zh-TW"/>
        </w:rPr>
        <w:t>9</w:t>
      </w:r>
      <w:r>
        <w:rPr>
          <w:rFonts w:hint="eastAsia"/>
          <w:lang w:val="zh-TW"/>
        </w:rPr>
        <w:t>號民事判決）</w:t>
      </w:r>
      <w:r w:rsidRPr="006339C9">
        <w:rPr>
          <w:rFonts w:hint="eastAsia"/>
          <w:lang w:val="zh-TW"/>
        </w:rPr>
        <w:t>，從而影響陳訴人權益</w:t>
      </w:r>
      <w:r>
        <w:rPr>
          <w:rFonts w:hint="eastAsia"/>
          <w:lang w:val="zh-TW"/>
        </w:rPr>
        <w:t>。</w:t>
      </w:r>
    </w:p>
    <w:p w:rsidR="001D2D7C" w:rsidRPr="00603415" w:rsidRDefault="001D2D7C" w:rsidP="001D2D7C">
      <w:pPr>
        <w:pStyle w:val="3"/>
        <w:numPr>
          <w:ilvl w:val="2"/>
          <w:numId w:val="1"/>
        </w:numPr>
        <w:rPr>
          <w:lang w:val="zh-TW"/>
        </w:rPr>
      </w:pPr>
      <w:r w:rsidRPr="00603415">
        <w:rPr>
          <w:rFonts w:hint="eastAsia"/>
          <w:lang w:val="zh-TW"/>
        </w:rPr>
        <w:t>針對</w:t>
      </w:r>
      <w:proofErr w:type="gramStart"/>
      <w:r w:rsidRPr="00603415">
        <w:rPr>
          <w:rFonts w:hint="eastAsia"/>
        </w:rPr>
        <w:t>重測前</w:t>
      </w:r>
      <w:proofErr w:type="gramEnd"/>
      <w:r w:rsidRPr="00603415">
        <w:rPr>
          <w:rFonts w:hint="eastAsia"/>
        </w:rPr>
        <w:t>174地</w:t>
      </w:r>
      <w:proofErr w:type="gramStart"/>
      <w:r w:rsidRPr="00603415">
        <w:rPr>
          <w:rFonts w:hint="eastAsia"/>
        </w:rPr>
        <w:t>號等筆土</w:t>
      </w:r>
      <w:proofErr w:type="gramEnd"/>
      <w:r w:rsidRPr="00603415">
        <w:rPr>
          <w:rFonts w:hint="eastAsia"/>
        </w:rPr>
        <w:t>地毗鄰未登記土地，惟</w:t>
      </w:r>
      <w:proofErr w:type="gramStart"/>
      <w:r w:rsidRPr="00603415">
        <w:rPr>
          <w:rFonts w:hint="eastAsia"/>
        </w:rPr>
        <w:t>當時未另</w:t>
      </w:r>
      <w:proofErr w:type="gramEnd"/>
      <w:r w:rsidRPr="00603415">
        <w:rPr>
          <w:rFonts w:hint="eastAsia"/>
        </w:rPr>
        <w:t>設地籍調查表，及時辦理土地所有權第一次登記等情，國土測繪中心</w:t>
      </w:r>
      <w:r>
        <w:rPr>
          <w:rFonts w:hint="eastAsia"/>
        </w:rPr>
        <w:t>雖</w:t>
      </w:r>
      <w:r w:rsidRPr="00603415">
        <w:rPr>
          <w:rFonts w:hint="eastAsia"/>
        </w:rPr>
        <w:t>稱，</w:t>
      </w:r>
      <w:proofErr w:type="gramStart"/>
      <w:r w:rsidRPr="00603415">
        <w:rPr>
          <w:rFonts w:hint="eastAsia"/>
        </w:rPr>
        <w:t>重測</w:t>
      </w:r>
      <w:proofErr w:type="gramEnd"/>
      <w:r w:rsidRPr="00603415">
        <w:rPr>
          <w:rFonts w:hint="eastAsia"/>
        </w:rPr>
        <w:t>前174地</w:t>
      </w:r>
      <w:proofErr w:type="gramStart"/>
      <w:r w:rsidRPr="00603415">
        <w:rPr>
          <w:rFonts w:hint="eastAsia"/>
        </w:rPr>
        <w:t>號等筆土</w:t>
      </w:r>
      <w:proofErr w:type="gramEnd"/>
      <w:r w:rsidRPr="00603415">
        <w:rPr>
          <w:rFonts w:hint="eastAsia"/>
        </w:rPr>
        <w:t>地因於重測期間發生界址糾紛尚未解決，在上開土地重測</w:t>
      </w:r>
      <w:proofErr w:type="gramStart"/>
      <w:r w:rsidRPr="00603415">
        <w:rPr>
          <w:rFonts w:hint="eastAsia"/>
        </w:rPr>
        <w:t>後界址</w:t>
      </w:r>
      <w:proofErr w:type="gramEnd"/>
      <w:r w:rsidRPr="00603415">
        <w:rPr>
          <w:rFonts w:hint="eastAsia"/>
        </w:rPr>
        <w:t>未確定之情形下，未登記土地之圖形及鄰地關係亦無法確定，致無法製作地籍調查表及辦理後續土地所有權第一次登記云云。</w:t>
      </w:r>
      <w:proofErr w:type="gramStart"/>
      <w:r w:rsidRPr="00603415">
        <w:rPr>
          <w:rFonts w:hint="eastAsia"/>
        </w:rPr>
        <w:t>惟查</w:t>
      </w:r>
      <w:proofErr w:type="gramEnd"/>
      <w:r w:rsidRPr="00603415">
        <w:rPr>
          <w:rFonts w:hint="eastAsia"/>
        </w:rPr>
        <w:t>，</w:t>
      </w:r>
      <w:r w:rsidRPr="00603415">
        <w:rPr>
          <w:rFonts w:hint="eastAsia"/>
        </w:rPr>
        <w:lastRenderedPageBreak/>
        <w:t>水里地所於101年間辦理667、668、669地號國有土地第一次測量、登記時，與其毗鄰之</w:t>
      </w:r>
      <w:proofErr w:type="gramStart"/>
      <w:r w:rsidRPr="00603415">
        <w:rPr>
          <w:rFonts w:hint="eastAsia"/>
        </w:rPr>
        <w:t>重測</w:t>
      </w:r>
      <w:proofErr w:type="gramEnd"/>
      <w:r w:rsidRPr="00603415">
        <w:rPr>
          <w:rFonts w:hint="eastAsia"/>
        </w:rPr>
        <w:t>前174地</w:t>
      </w:r>
      <w:proofErr w:type="gramStart"/>
      <w:r w:rsidRPr="00603415">
        <w:rPr>
          <w:rFonts w:hint="eastAsia"/>
        </w:rPr>
        <w:t>號等筆土</w:t>
      </w:r>
      <w:proofErr w:type="gramEnd"/>
      <w:r w:rsidRPr="00603415">
        <w:rPr>
          <w:rFonts w:hint="eastAsia"/>
        </w:rPr>
        <w:t>地，仍於公示之地籍資料上註記「本宗土地</w:t>
      </w:r>
      <w:proofErr w:type="gramStart"/>
      <w:r w:rsidRPr="00603415">
        <w:rPr>
          <w:rFonts w:hint="eastAsia"/>
        </w:rPr>
        <w:t>重測界</w:t>
      </w:r>
      <w:proofErr w:type="gramEnd"/>
      <w:r w:rsidRPr="00603415">
        <w:rPr>
          <w:rFonts w:hint="eastAsia"/>
        </w:rPr>
        <w:t>址糾紛未解決」等字樣，足供判斷並察覺重測後地</w:t>
      </w:r>
      <w:proofErr w:type="gramStart"/>
      <w:r w:rsidRPr="00603415">
        <w:rPr>
          <w:rFonts w:hint="eastAsia"/>
        </w:rPr>
        <w:t>籍圖經</w:t>
      </w:r>
      <w:proofErr w:type="gramEnd"/>
      <w:r w:rsidRPr="00603415">
        <w:rPr>
          <w:rFonts w:hint="eastAsia"/>
        </w:rPr>
        <w:t>界位置皆仍處於未確定之狀態，倘如國土測繪中心所言，在重測</w:t>
      </w:r>
      <w:proofErr w:type="gramStart"/>
      <w:r w:rsidRPr="00603415">
        <w:rPr>
          <w:rFonts w:hint="eastAsia"/>
        </w:rPr>
        <w:t>後界址</w:t>
      </w:r>
      <w:proofErr w:type="gramEnd"/>
      <w:r w:rsidRPr="00603415">
        <w:rPr>
          <w:rFonts w:hint="eastAsia"/>
        </w:rPr>
        <w:t>未確定之情形下，未登記土地之圖形及鄰地關係無法確定，致無法製作地籍調查表及辦理後續土地所有權第一次登記，則水里地所當時何</w:t>
      </w:r>
      <w:r>
        <w:rPr>
          <w:rFonts w:hint="eastAsia"/>
        </w:rPr>
        <w:t>能</w:t>
      </w:r>
      <w:r w:rsidRPr="00603415">
        <w:rPr>
          <w:rFonts w:hint="eastAsia"/>
        </w:rPr>
        <w:t>受理國有土地第一次測量</w:t>
      </w:r>
      <w:r>
        <w:rPr>
          <w:rFonts w:hint="eastAsia"/>
        </w:rPr>
        <w:t>及</w:t>
      </w:r>
      <w:r w:rsidRPr="00603415">
        <w:rPr>
          <w:rFonts w:hint="eastAsia"/>
        </w:rPr>
        <w:t>登記，國土測繪中心</w:t>
      </w:r>
      <w:r>
        <w:rPr>
          <w:rFonts w:hint="eastAsia"/>
        </w:rPr>
        <w:t>申</w:t>
      </w:r>
      <w:r w:rsidRPr="00603415">
        <w:rPr>
          <w:rFonts w:hint="eastAsia"/>
        </w:rPr>
        <w:t>辯之詞，難謂有理由。</w:t>
      </w:r>
    </w:p>
    <w:p w:rsidR="00151564" w:rsidRPr="001D2D7C" w:rsidRDefault="001D2D7C" w:rsidP="001D2D7C">
      <w:pPr>
        <w:pStyle w:val="3"/>
      </w:pPr>
      <w:r w:rsidRPr="001D2D7C">
        <w:rPr>
          <w:rFonts w:hAnsi="標楷體" w:hint="eastAsia"/>
        </w:rPr>
        <w:t>綜上所述，南投縣政府81年2月11日召開</w:t>
      </w:r>
      <w:r w:rsidR="009C23FD">
        <w:rPr>
          <w:rFonts w:hAnsi="標楷體" w:hint="eastAsia"/>
        </w:rPr>
        <w:t>○○</w:t>
      </w:r>
      <w:r w:rsidRPr="001D2D7C">
        <w:rPr>
          <w:rFonts w:hAnsi="標楷體" w:hint="eastAsia"/>
        </w:rPr>
        <w:t>地籍圖</w:t>
      </w:r>
      <w:proofErr w:type="gramStart"/>
      <w:r w:rsidRPr="001D2D7C">
        <w:rPr>
          <w:rFonts w:hAnsi="標楷體" w:hint="eastAsia"/>
        </w:rPr>
        <w:t>重測區土地</w:t>
      </w:r>
      <w:proofErr w:type="gramEnd"/>
      <w:r w:rsidRPr="001D2D7C">
        <w:rPr>
          <w:rFonts w:hAnsi="標楷體" w:hint="eastAsia"/>
        </w:rPr>
        <w:t>界址糾紛協調會後，於81年2月27日函送調處筆錄，並請土地所有權人如不服該調處結果，應以相對之當事人為被告，向司法機關訴請確定土地界址。惟原臺灣省政府地政處測量總隊及南投縣</w:t>
      </w:r>
      <w:proofErr w:type="gramStart"/>
      <w:r w:rsidRPr="001D2D7C">
        <w:rPr>
          <w:rFonts w:hAnsi="標楷體" w:hint="eastAsia"/>
        </w:rPr>
        <w:t>政府均未就重測</w:t>
      </w:r>
      <w:proofErr w:type="gramEnd"/>
      <w:r w:rsidRPr="001D2D7C">
        <w:rPr>
          <w:rFonts w:hAnsi="標楷體" w:hint="eastAsia"/>
        </w:rPr>
        <w:t>前174-1與174-4地號土地毗鄰之未登記土地，另設地籍調查表並辦理土地所有權第一次登記，致陳訴人認為其所毗鄰</w:t>
      </w:r>
      <w:proofErr w:type="gramStart"/>
      <w:r w:rsidRPr="001D2D7C">
        <w:rPr>
          <w:rFonts w:hAnsi="標楷體" w:hint="eastAsia"/>
        </w:rPr>
        <w:t>者均係</w:t>
      </w:r>
      <w:proofErr w:type="gramEnd"/>
      <w:r w:rsidRPr="001D2D7C">
        <w:rPr>
          <w:rFonts w:hAnsi="標楷體" w:hint="eastAsia"/>
        </w:rPr>
        <w:t>未登記土地，何來相對之當事人，故僅向法院提起返還無權占有土地之訴，而未提起確認經界之訴。衍生後續司法機關審理時，認為陳訴人收受調處筆錄後，既未對調處結果提起確認經界之訴，系爭174-1與174-4地號土地之界址，應以調處結果為</w:t>
      </w:r>
      <w:proofErr w:type="gramStart"/>
      <w:r w:rsidRPr="001D2D7C">
        <w:rPr>
          <w:rFonts w:hAnsi="標楷體" w:hint="eastAsia"/>
        </w:rPr>
        <w:t>準</w:t>
      </w:r>
      <w:proofErr w:type="gramEnd"/>
      <w:r w:rsidRPr="001D2D7C">
        <w:rPr>
          <w:rFonts w:hAnsi="標楷體" w:hint="eastAsia"/>
        </w:rPr>
        <w:t>，從而影響陳訴人權益，核有違失。</w:t>
      </w:r>
    </w:p>
    <w:p w:rsidR="002803D9" w:rsidRPr="001D2D7C" w:rsidRDefault="001D2D7C" w:rsidP="002803D9">
      <w:pPr>
        <w:pStyle w:val="2"/>
        <w:numPr>
          <w:ilvl w:val="1"/>
          <w:numId w:val="1"/>
        </w:numPr>
        <w:spacing w:beforeLines="50" w:before="228"/>
        <w:ind w:left="1020" w:hanging="680"/>
        <w:rPr>
          <w:b w:val="0"/>
        </w:rPr>
      </w:pPr>
      <w:r w:rsidRPr="001D2D7C">
        <w:rPr>
          <w:rFonts w:hint="eastAsia"/>
        </w:rPr>
        <w:t>水里地所係於81年5月辦理土地標示變更登記，將</w:t>
      </w:r>
      <w:proofErr w:type="gramStart"/>
      <w:r w:rsidRPr="001D2D7C">
        <w:rPr>
          <w:rFonts w:hint="eastAsia"/>
        </w:rPr>
        <w:t>重測前</w:t>
      </w:r>
      <w:proofErr w:type="gramEnd"/>
      <w:r w:rsidRPr="001D2D7C">
        <w:rPr>
          <w:rFonts w:hint="eastAsia"/>
        </w:rPr>
        <w:t>174地</w:t>
      </w:r>
      <w:proofErr w:type="gramStart"/>
      <w:r w:rsidRPr="001D2D7C">
        <w:rPr>
          <w:rFonts w:hint="eastAsia"/>
        </w:rPr>
        <w:t>號等筆土</w:t>
      </w:r>
      <w:proofErr w:type="gramEnd"/>
      <w:r w:rsidRPr="001D2D7C">
        <w:rPr>
          <w:rFonts w:hint="eastAsia"/>
        </w:rPr>
        <w:t>地分別登記為550地</w:t>
      </w:r>
      <w:proofErr w:type="gramStart"/>
      <w:r w:rsidRPr="001D2D7C">
        <w:rPr>
          <w:rFonts w:hint="eastAsia"/>
        </w:rPr>
        <w:t>號等筆土</w:t>
      </w:r>
      <w:proofErr w:type="gramEnd"/>
      <w:r w:rsidRPr="001D2D7C">
        <w:rPr>
          <w:rFonts w:hint="eastAsia"/>
        </w:rPr>
        <w:t>地，並於各該土地其他登記事項欄位註記「本宗土地</w:t>
      </w:r>
      <w:proofErr w:type="gramStart"/>
      <w:r w:rsidRPr="001D2D7C">
        <w:rPr>
          <w:rFonts w:hint="eastAsia"/>
        </w:rPr>
        <w:t>重測界</w:t>
      </w:r>
      <w:proofErr w:type="gramEnd"/>
      <w:r w:rsidRPr="001D2D7C">
        <w:rPr>
          <w:rFonts w:hint="eastAsia"/>
        </w:rPr>
        <w:t>址糾紛未解決」。</w:t>
      </w:r>
      <w:proofErr w:type="gramStart"/>
      <w:r w:rsidRPr="001D2D7C">
        <w:rPr>
          <w:rFonts w:hint="eastAsia"/>
        </w:rPr>
        <w:t>惟</w:t>
      </w:r>
      <w:proofErr w:type="gramEnd"/>
      <w:r w:rsidRPr="001D2D7C">
        <w:rPr>
          <w:rFonts w:hint="eastAsia"/>
        </w:rPr>
        <w:t>嗣後臺灣高等法院臺中分院業於89年4月判決確定，相關註記卻遲至111年1月</w:t>
      </w:r>
      <w:r w:rsidRPr="001D2D7C">
        <w:rPr>
          <w:rFonts w:hint="eastAsia"/>
        </w:rPr>
        <w:lastRenderedPageBreak/>
        <w:t>始予註銷，懸宕超過20年，期間未見南投縣政府與水里地所有何積極追蹤管控作為，核有消極怠失</w:t>
      </w:r>
      <w:r w:rsidR="002803D9" w:rsidRPr="001D2D7C">
        <w:rPr>
          <w:rFonts w:hint="eastAsia"/>
        </w:rPr>
        <w:t>。</w:t>
      </w:r>
    </w:p>
    <w:p w:rsidR="001D2D7C" w:rsidRPr="001D2D7C" w:rsidRDefault="001D2D7C" w:rsidP="001D2D7C">
      <w:pPr>
        <w:pStyle w:val="3"/>
        <w:numPr>
          <w:ilvl w:val="2"/>
          <w:numId w:val="1"/>
        </w:numPr>
      </w:pPr>
      <w:r>
        <w:rPr>
          <w:rFonts w:hint="eastAsia"/>
        </w:rPr>
        <w:t>承上</w:t>
      </w:r>
      <w:r w:rsidRPr="001D2D7C">
        <w:rPr>
          <w:rFonts w:hint="eastAsia"/>
        </w:rPr>
        <w:t>所述，水里地所係於81年5月13日辦理土地標示變更登記，將</w:t>
      </w:r>
      <w:proofErr w:type="gramStart"/>
      <w:r w:rsidRPr="001D2D7C">
        <w:rPr>
          <w:rFonts w:hint="eastAsia"/>
        </w:rPr>
        <w:t>重測前</w:t>
      </w:r>
      <w:proofErr w:type="gramEnd"/>
      <w:r w:rsidRPr="001D2D7C">
        <w:rPr>
          <w:rFonts w:hint="eastAsia"/>
        </w:rPr>
        <w:t>174地</w:t>
      </w:r>
      <w:proofErr w:type="gramStart"/>
      <w:r w:rsidRPr="001D2D7C">
        <w:rPr>
          <w:rFonts w:hint="eastAsia"/>
        </w:rPr>
        <w:t>號等筆土</w:t>
      </w:r>
      <w:proofErr w:type="gramEnd"/>
      <w:r w:rsidRPr="001D2D7C">
        <w:rPr>
          <w:rFonts w:hint="eastAsia"/>
        </w:rPr>
        <w:t>地分別登記為550地</w:t>
      </w:r>
      <w:proofErr w:type="gramStart"/>
      <w:r w:rsidRPr="001D2D7C">
        <w:rPr>
          <w:rFonts w:hint="eastAsia"/>
        </w:rPr>
        <w:t>號等筆土</w:t>
      </w:r>
      <w:proofErr w:type="gramEnd"/>
      <w:r w:rsidRPr="001D2D7C">
        <w:rPr>
          <w:rFonts w:hint="eastAsia"/>
        </w:rPr>
        <w:t>地，並於其他登記事項欄位註記「本宗土地</w:t>
      </w:r>
      <w:proofErr w:type="gramStart"/>
      <w:r w:rsidRPr="001D2D7C">
        <w:rPr>
          <w:rFonts w:hint="eastAsia"/>
        </w:rPr>
        <w:t>重測界</w:t>
      </w:r>
      <w:proofErr w:type="gramEnd"/>
      <w:r w:rsidRPr="001D2D7C">
        <w:rPr>
          <w:rFonts w:hint="eastAsia"/>
        </w:rPr>
        <w:t>址糾紛未解決」。</w:t>
      </w:r>
      <w:proofErr w:type="gramStart"/>
      <w:r w:rsidRPr="001D2D7C">
        <w:rPr>
          <w:rFonts w:hint="eastAsia"/>
        </w:rPr>
        <w:t>惟</w:t>
      </w:r>
      <w:proofErr w:type="gramEnd"/>
      <w:r w:rsidRPr="001D2D7C">
        <w:rPr>
          <w:rFonts w:hint="eastAsia"/>
        </w:rPr>
        <w:t>上述註記至109年12月底仍未註銷，而經陳訴人陳訴到院。</w:t>
      </w:r>
    </w:p>
    <w:p w:rsidR="001D2D7C" w:rsidRPr="001D2D7C" w:rsidRDefault="001D2D7C" w:rsidP="001D2D7C">
      <w:pPr>
        <w:pStyle w:val="3"/>
        <w:numPr>
          <w:ilvl w:val="2"/>
          <w:numId w:val="1"/>
        </w:numPr>
      </w:pPr>
      <w:r w:rsidRPr="001D2D7C">
        <w:rPr>
          <w:rFonts w:hint="eastAsia"/>
        </w:rPr>
        <w:t>經本院（監察業務處）函請南投縣</w:t>
      </w:r>
      <w:proofErr w:type="gramStart"/>
      <w:r w:rsidRPr="001D2D7C">
        <w:rPr>
          <w:rFonts w:hint="eastAsia"/>
        </w:rPr>
        <w:t>政府妥處</w:t>
      </w:r>
      <w:proofErr w:type="gramEnd"/>
      <w:r w:rsidRPr="001D2D7C">
        <w:rPr>
          <w:rFonts w:hint="eastAsia"/>
        </w:rPr>
        <w:t>，再經</w:t>
      </w:r>
      <w:proofErr w:type="gramStart"/>
      <w:r w:rsidRPr="001D2D7C">
        <w:rPr>
          <w:rFonts w:hint="eastAsia"/>
        </w:rPr>
        <w:t>該府轉</w:t>
      </w:r>
      <w:proofErr w:type="gramEnd"/>
      <w:r w:rsidRPr="001D2D7C">
        <w:rPr>
          <w:rFonts w:hint="eastAsia"/>
        </w:rPr>
        <w:t>請水里地所查明發現當時之重測程序尚有未完備之處，該所爰訂於110年8月18日辦理實地</w:t>
      </w:r>
      <w:proofErr w:type="gramStart"/>
      <w:r w:rsidRPr="001D2D7C">
        <w:rPr>
          <w:rFonts w:hint="eastAsia"/>
        </w:rPr>
        <w:t>協助指</w:t>
      </w:r>
      <w:proofErr w:type="gramEnd"/>
      <w:r w:rsidRPr="001D2D7C">
        <w:rPr>
          <w:rFonts w:hint="eastAsia"/>
        </w:rPr>
        <w:t>界，並經鄰地關係人提供81年10月28日臺灣臺中地方法院</w:t>
      </w:r>
      <w:proofErr w:type="gramStart"/>
      <w:r w:rsidRPr="001D2D7C">
        <w:rPr>
          <w:rFonts w:hint="eastAsia"/>
        </w:rPr>
        <w:t>81年度訴字第410</w:t>
      </w:r>
      <w:proofErr w:type="gramEnd"/>
      <w:r w:rsidRPr="001D2D7C">
        <w:rPr>
          <w:rFonts w:hint="eastAsia"/>
        </w:rPr>
        <w:t>號民事判決、8</w:t>
      </w:r>
      <w:r w:rsidRPr="001D2D7C">
        <w:t>5</w:t>
      </w:r>
      <w:r w:rsidRPr="001D2D7C">
        <w:rPr>
          <w:rFonts w:hint="eastAsia"/>
        </w:rPr>
        <w:t>年1月3日臺灣高等法院臺中分院84年度上更（一）字第1</w:t>
      </w:r>
      <w:r w:rsidRPr="001D2D7C">
        <w:t>8</w:t>
      </w:r>
      <w:r w:rsidRPr="001D2D7C">
        <w:rPr>
          <w:rFonts w:hint="eastAsia"/>
        </w:rPr>
        <w:t>號民事判決、8</w:t>
      </w:r>
      <w:r w:rsidRPr="001D2D7C">
        <w:t>9</w:t>
      </w:r>
      <w:r w:rsidRPr="001D2D7C">
        <w:rPr>
          <w:rFonts w:hint="eastAsia"/>
        </w:rPr>
        <w:t>年</w:t>
      </w:r>
      <w:r w:rsidRPr="001D2D7C">
        <w:t>4</w:t>
      </w:r>
      <w:r w:rsidRPr="001D2D7C">
        <w:rPr>
          <w:rFonts w:hint="eastAsia"/>
        </w:rPr>
        <w:t>月</w:t>
      </w:r>
      <w:r w:rsidRPr="001D2D7C">
        <w:t>11</w:t>
      </w:r>
      <w:r w:rsidRPr="001D2D7C">
        <w:rPr>
          <w:rFonts w:hint="eastAsia"/>
        </w:rPr>
        <w:t>日臺灣高等法院臺中分院8</w:t>
      </w:r>
      <w:r w:rsidRPr="001D2D7C">
        <w:t>6</w:t>
      </w:r>
      <w:r w:rsidRPr="001D2D7C">
        <w:rPr>
          <w:rFonts w:hint="eastAsia"/>
        </w:rPr>
        <w:t>年度上更（二）字第8</w:t>
      </w:r>
      <w:r w:rsidRPr="001D2D7C">
        <w:t>9</w:t>
      </w:r>
      <w:r w:rsidRPr="001D2D7C">
        <w:rPr>
          <w:rFonts w:hint="eastAsia"/>
        </w:rPr>
        <w:t>號民事判決與民事裁定等相關裁判書，</w:t>
      </w:r>
      <w:proofErr w:type="gramStart"/>
      <w:r w:rsidRPr="001D2D7C">
        <w:rPr>
          <w:rFonts w:hint="eastAsia"/>
        </w:rPr>
        <w:t>水里地所始發</w:t>
      </w:r>
      <w:proofErr w:type="gramEnd"/>
      <w:r w:rsidRPr="001D2D7C">
        <w:rPr>
          <w:rFonts w:hint="eastAsia"/>
        </w:rPr>
        <w:t>現陳訴人訴請法院審理之案件，業經臺灣高等法院臺中分院86年度上更（二）字第89號民事判決確定，該所遂以110年9月29日水地二字第1100005427號函通知陳訴人等，將110年8月18日所為實地測定界址應予作廢，並於110年10月21日重新辦理現場施測，嗣南投縣政府以</w:t>
      </w:r>
      <w:proofErr w:type="gramStart"/>
      <w:r w:rsidRPr="001D2D7C">
        <w:rPr>
          <w:rFonts w:hint="eastAsia"/>
        </w:rPr>
        <w:t>110年11月5日府地測</w:t>
      </w:r>
      <w:proofErr w:type="gramEnd"/>
      <w:r w:rsidRPr="001D2D7C">
        <w:rPr>
          <w:rFonts w:hint="eastAsia"/>
        </w:rPr>
        <w:t>字第1100249377號公告，自110年11月10日至110年12月10日</w:t>
      </w:r>
      <w:proofErr w:type="gramStart"/>
      <w:r w:rsidRPr="001D2D7C">
        <w:rPr>
          <w:rFonts w:hint="eastAsia"/>
        </w:rPr>
        <w:t>補辦重</w:t>
      </w:r>
      <w:proofErr w:type="gramEnd"/>
      <w:r w:rsidRPr="001D2D7C">
        <w:rPr>
          <w:rFonts w:hint="eastAsia"/>
        </w:rPr>
        <w:t>測公告事宜（重測結果於110年11月8日完成送達），並於111年1月3日辦理地籍圖重測土地標示變更登記完竣。目前550地</w:t>
      </w:r>
      <w:proofErr w:type="gramStart"/>
      <w:r w:rsidRPr="001D2D7C">
        <w:rPr>
          <w:rFonts w:hint="eastAsia"/>
        </w:rPr>
        <w:t>號等筆土地</w:t>
      </w:r>
      <w:proofErr w:type="gramEnd"/>
      <w:r w:rsidRPr="001D2D7C">
        <w:rPr>
          <w:rFonts w:hint="eastAsia"/>
        </w:rPr>
        <w:t>已完成</w:t>
      </w:r>
      <w:proofErr w:type="gramStart"/>
      <w:r w:rsidRPr="001D2D7C">
        <w:rPr>
          <w:rFonts w:hint="eastAsia"/>
        </w:rPr>
        <w:t>補辦地</w:t>
      </w:r>
      <w:proofErr w:type="gramEnd"/>
      <w:r w:rsidRPr="001D2D7C">
        <w:rPr>
          <w:rFonts w:hint="eastAsia"/>
        </w:rPr>
        <w:t>籍圖重測程序，並已將註記塗銷。</w:t>
      </w:r>
    </w:p>
    <w:p w:rsidR="001D2D7C" w:rsidRPr="001D2D7C" w:rsidRDefault="001D2D7C" w:rsidP="001D2D7C">
      <w:pPr>
        <w:pStyle w:val="3"/>
        <w:numPr>
          <w:ilvl w:val="2"/>
          <w:numId w:val="1"/>
        </w:numPr>
      </w:pPr>
      <w:r w:rsidRPr="001D2D7C">
        <w:rPr>
          <w:rFonts w:hint="eastAsia"/>
        </w:rPr>
        <w:t>針對</w:t>
      </w:r>
      <w:proofErr w:type="gramStart"/>
      <w:r w:rsidRPr="001D2D7C">
        <w:rPr>
          <w:rFonts w:hint="eastAsia"/>
        </w:rPr>
        <w:t>重測界址</w:t>
      </w:r>
      <w:proofErr w:type="gramEnd"/>
      <w:r w:rsidRPr="001D2D7C">
        <w:rPr>
          <w:rFonts w:hint="eastAsia"/>
        </w:rPr>
        <w:t>糾紛未解決土地如何追蹤列管一節，南投縣政府雖稱，為維護雙方土地所有權人之權益，年度</w:t>
      </w:r>
      <w:proofErr w:type="gramStart"/>
      <w:r w:rsidRPr="001D2D7C">
        <w:rPr>
          <w:rFonts w:hint="eastAsia"/>
        </w:rPr>
        <w:t>重測界</w:t>
      </w:r>
      <w:proofErr w:type="gramEnd"/>
      <w:r w:rsidRPr="001D2D7C">
        <w:rPr>
          <w:rFonts w:hint="eastAsia"/>
        </w:rPr>
        <w:t>址糾紛案件該</w:t>
      </w:r>
      <w:proofErr w:type="gramStart"/>
      <w:r w:rsidRPr="001D2D7C">
        <w:rPr>
          <w:rFonts w:hint="eastAsia"/>
        </w:rPr>
        <w:t>府均以</w:t>
      </w:r>
      <w:proofErr w:type="gramEnd"/>
      <w:r w:rsidRPr="001D2D7C">
        <w:rPr>
          <w:rFonts w:hint="eastAsia"/>
        </w:rPr>
        <w:t>當年度完成調</w:t>
      </w:r>
      <w:r w:rsidRPr="001D2D7C">
        <w:rPr>
          <w:rFonts w:hint="eastAsia"/>
        </w:rPr>
        <w:lastRenderedPageBreak/>
        <w:t>處為原則，但當事人如不服調處結果向司法機關提起訴訟，因司法機關與縣市政府間對於人民</w:t>
      </w:r>
      <w:proofErr w:type="gramStart"/>
      <w:r w:rsidRPr="001D2D7C">
        <w:rPr>
          <w:rFonts w:hint="eastAsia"/>
        </w:rPr>
        <w:t>相互間因土</w:t>
      </w:r>
      <w:proofErr w:type="gramEnd"/>
      <w:r w:rsidRPr="001D2D7C">
        <w:rPr>
          <w:rFonts w:hint="eastAsia"/>
        </w:rPr>
        <w:t>地界址發生糾紛之訴訟案，缺乏橫向聯繫法源規定，故僅能以當事人提供之判決確定結果作為後續</w:t>
      </w:r>
      <w:proofErr w:type="gramStart"/>
      <w:r w:rsidRPr="001D2D7C">
        <w:rPr>
          <w:rFonts w:hint="eastAsia"/>
        </w:rPr>
        <w:t>補辦重</w:t>
      </w:r>
      <w:proofErr w:type="gramEnd"/>
      <w:r w:rsidRPr="001D2D7C">
        <w:rPr>
          <w:rFonts w:hint="eastAsia"/>
        </w:rPr>
        <w:t>測依據云云。</w:t>
      </w:r>
      <w:proofErr w:type="gramStart"/>
      <w:r w:rsidRPr="001D2D7C">
        <w:rPr>
          <w:rFonts w:hint="eastAsia"/>
        </w:rPr>
        <w:t>惟查</w:t>
      </w:r>
      <w:proofErr w:type="gramEnd"/>
      <w:r w:rsidRPr="001D2D7C">
        <w:rPr>
          <w:rFonts w:hint="eastAsia"/>
        </w:rPr>
        <w:t>，水里地所於</w:t>
      </w:r>
      <w:proofErr w:type="gramStart"/>
      <w:r w:rsidRPr="001D2D7C">
        <w:rPr>
          <w:rFonts w:hint="eastAsia"/>
        </w:rPr>
        <w:t>81年5月辦竣土</w:t>
      </w:r>
      <w:proofErr w:type="gramEnd"/>
      <w:r w:rsidRPr="001D2D7C">
        <w:rPr>
          <w:rFonts w:hint="eastAsia"/>
        </w:rPr>
        <w:t>地標示變更登記後，僅於其他登記事項欄位註記</w:t>
      </w:r>
      <w:proofErr w:type="gramStart"/>
      <w:r w:rsidRPr="001D2D7C">
        <w:rPr>
          <w:rFonts w:hint="eastAsia"/>
        </w:rPr>
        <w:t>重測界</w:t>
      </w:r>
      <w:proofErr w:type="gramEnd"/>
      <w:r w:rsidRPr="001D2D7C">
        <w:rPr>
          <w:rFonts w:hint="eastAsia"/>
        </w:rPr>
        <w:t>址糾紛未解決等字樣，俟89年司法判決確定，相關註記竟仍懸宕超過20年未予註銷，迨陳訴人向本院陳訴後，遲至111年1月</w:t>
      </w:r>
      <w:proofErr w:type="gramStart"/>
      <w:r w:rsidRPr="001D2D7C">
        <w:rPr>
          <w:rFonts w:hint="eastAsia"/>
        </w:rPr>
        <w:t>水里地所始完</w:t>
      </w:r>
      <w:proofErr w:type="gramEnd"/>
      <w:r w:rsidRPr="001D2D7C">
        <w:rPr>
          <w:rFonts w:hint="eastAsia"/>
        </w:rPr>
        <w:t>成</w:t>
      </w:r>
      <w:proofErr w:type="gramStart"/>
      <w:r w:rsidRPr="001D2D7C">
        <w:rPr>
          <w:rFonts w:hint="eastAsia"/>
        </w:rPr>
        <w:t>補辦重</w:t>
      </w:r>
      <w:proofErr w:type="gramEnd"/>
      <w:r w:rsidRPr="001D2D7C">
        <w:rPr>
          <w:rFonts w:hint="eastAsia"/>
        </w:rPr>
        <w:t>測程序，註銷相關註記。期間南投縣政府與水里地所僅被動等候當事人提供司法判決，未見有何積極追蹤管控作為，自難辭消極</w:t>
      </w:r>
      <w:proofErr w:type="gramStart"/>
      <w:r w:rsidRPr="001D2D7C">
        <w:rPr>
          <w:rFonts w:hint="eastAsia"/>
        </w:rPr>
        <w:t>怠</w:t>
      </w:r>
      <w:proofErr w:type="gramEnd"/>
      <w:r w:rsidRPr="001D2D7C">
        <w:rPr>
          <w:rFonts w:hint="eastAsia"/>
        </w:rPr>
        <w:t>失之咎。</w:t>
      </w:r>
    </w:p>
    <w:p w:rsidR="001D2175" w:rsidRPr="001D2D7C" w:rsidRDefault="001D2D7C" w:rsidP="001D2D7C">
      <w:pPr>
        <w:pStyle w:val="3"/>
        <w:numPr>
          <w:ilvl w:val="2"/>
          <w:numId w:val="1"/>
        </w:numPr>
      </w:pPr>
      <w:r w:rsidRPr="001D2D7C">
        <w:rPr>
          <w:rFonts w:hint="eastAsia"/>
        </w:rPr>
        <w:t>綜上所述，水里地所係於81年5月13日辦理土地標示變更登記，將</w:t>
      </w:r>
      <w:proofErr w:type="gramStart"/>
      <w:r w:rsidRPr="001D2D7C">
        <w:rPr>
          <w:rFonts w:hint="eastAsia"/>
        </w:rPr>
        <w:t>重測前</w:t>
      </w:r>
      <w:proofErr w:type="gramEnd"/>
      <w:r w:rsidRPr="001D2D7C">
        <w:rPr>
          <w:rFonts w:hint="eastAsia"/>
        </w:rPr>
        <w:t>174地</w:t>
      </w:r>
      <w:proofErr w:type="gramStart"/>
      <w:r w:rsidRPr="001D2D7C">
        <w:rPr>
          <w:rFonts w:hint="eastAsia"/>
        </w:rPr>
        <w:t>號等筆土</w:t>
      </w:r>
      <w:proofErr w:type="gramEnd"/>
      <w:r w:rsidRPr="001D2D7C">
        <w:rPr>
          <w:rFonts w:hint="eastAsia"/>
        </w:rPr>
        <w:t>地分別登記為550地</w:t>
      </w:r>
      <w:proofErr w:type="gramStart"/>
      <w:r w:rsidRPr="001D2D7C">
        <w:rPr>
          <w:rFonts w:hint="eastAsia"/>
        </w:rPr>
        <w:t>號等筆土</w:t>
      </w:r>
      <w:proofErr w:type="gramEnd"/>
      <w:r w:rsidRPr="001D2D7C">
        <w:rPr>
          <w:rFonts w:hint="eastAsia"/>
        </w:rPr>
        <w:t>地，並於其他登記事項欄位註記「本宗土地</w:t>
      </w:r>
      <w:proofErr w:type="gramStart"/>
      <w:r w:rsidRPr="001D2D7C">
        <w:rPr>
          <w:rFonts w:hint="eastAsia"/>
        </w:rPr>
        <w:t>重測界</w:t>
      </w:r>
      <w:proofErr w:type="gramEnd"/>
      <w:r w:rsidRPr="001D2D7C">
        <w:rPr>
          <w:rFonts w:hint="eastAsia"/>
        </w:rPr>
        <w:t>址糾紛未解決」。上述註記至109年12月底仍未註銷，而經陳訴人陳訴到院。</w:t>
      </w:r>
      <w:proofErr w:type="gramStart"/>
      <w:r w:rsidRPr="001D2D7C">
        <w:rPr>
          <w:rFonts w:hint="eastAsia"/>
        </w:rPr>
        <w:t>嗣</w:t>
      </w:r>
      <w:proofErr w:type="gramEnd"/>
      <w:r w:rsidRPr="001D2D7C">
        <w:rPr>
          <w:rFonts w:hint="eastAsia"/>
        </w:rPr>
        <w:t>經水里地所發現當時之重測程序尚有未完備之處，爰訂於110年8月18日辦理</w:t>
      </w:r>
      <w:proofErr w:type="gramStart"/>
      <w:r w:rsidRPr="001D2D7C">
        <w:rPr>
          <w:rFonts w:hint="eastAsia"/>
        </w:rPr>
        <w:t>協助指</w:t>
      </w:r>
      <w:proofErr w:type="gramEnd"/>
      <w:r w:rsidRPr="001D2D7C">
        <w:rPr>
          <w:rFonts w:hint="eastAsia"/>
        </w:rPr>
        <w:t>界，並經鄰地關係人提供相關裁判書，</w:t>
      </w:r>
      <w:proofErr w:type="gramStart"/>
      <w:r w:rsidRPr="001D2D7C">
        <w:rPr>
          <w:rFonts w:hint="eastAsia"/>
        </w:rPr>
        <w:t>水里地所始發</w:t>
      </w:r>
      <w:proofErr w:type="gramEnd"/>
      <w:r w:rsidRPr="001D2D7C">
        <w:rPr>
          <w:rFonts w:hint="eastAsia"/>
        </w:rPr>
        <w:t>現陳訴人訴請法院審理之案件業經臺灣高等法院臺中分院89年4月11日86年度上更（二）字第89號民事判決確定，該所遂於110年9月29日函知陳訴人等，將110年8月18日實地測定界址予以作廢，並於110年10月21日重新辦理現場施測，嗣南投縣政府</w:t>
      </w:r>
      <w:proofErr w:type="gramStart"/>
      <w:r w:rsidRPr="001D2D7C">
        <w:rPr>
          <w:rFonts w:hint="eastAsia"/>
        </w:rPr>
        <w:t>補辦重</w:t>
      </w:r>
      <w:proofErr w:type="gramEnd"/>
      <w:r w:rsidRPr="001D2D7C">
        <w:rPr>
          <w:rFonts w:hint="eastAsia"/>
        </w:rPr>
        <w:t>測公告，再於111年1月3日辦理地籍圖重測土地標示變更登記完竣。上述司法判決於89年業已確定，相關註記卻懸</w:t>
      </w:r>
      <w:proofErr w:type="gramStart"/>
      <w:r w:rsidRPr="001D2D7C">
        <w:rPr>
          <w:rFonts w:hint="eastAsia"/>
        </w:rPr>
        <w:t>宕</w:t>
      </w:r>
      <w:proofErr w:type="gramEnd"/>
      <w:r w:rsidRPr="001D2D7C">
        <w:rPr>
          <w:rFonts w:hint="eastAsia"/>
        </w:rPr>
        <w:t>超過20年未予註銷，期間未見南投縣政府與水里地所有何積極追蹤管控作為，核有消極怠失</w:t>
      </w:r>
      <w:r w:rsidR="002803D9" w:rsidRPr="001D2D7C">
        <w:rPr>
          <w:rFonts w:hint="eastAsia"/>
        </w:rPr>
        <w:t>。</w:t>
      </w:r>
    </w:p>
    <w:p w:rsidR="001542E3" w:rsidRPr="00890821" w:rsidRDefault="001D2175" w:rsidP="001542E3">
      <w:pPr>
        <w:pStyle w:val="2"/>
        <w:numPr>
          <w:ilvl w:val="0"/>
          <w:numId w:val="0"/>
        </w:numPr>
        <w:spacing w:beforeLines="50" w:before="228"/>
        <w:ind w:left="1021" w:firstLineChars="200" w:firstLine="680"/>
        <w:rPr>
          <w:b w:val="0"/>
        </w:rPr>
      </w:pPr>
      <w:r w:rsidRPr="00890821">
        <w:rPr>
          <w:rFonts w:hAnsi="標楷體" w:hint="eastAsia"/>
          <w:b w:val="0"/>
          <w:szCs w:val="32"/>
        </w:rPr>
        <w:lastRenderedPageBreak/>
        <w:t>據</w:t>
      </w:r>
      <w:proofErr w:type="gramStart"/>
      <w:r w:rsidRPr="00890821">
        <w:rPr>
          <w:rFonts w:hAnsi="標楷體" w:hint="eastAsia"/>
          <w:b w:val="0"/>
          <w:szCs w:val="32"/>
        </w:rPr>
        <w:t>上論結</w:t>
      </w:r>
      <w:proofErr w:type="gramEnd"/>
      <w:r w:rsidR="001542E3" w:rsidRPr="00890821">
        <w:rPr>
          <w:rFonts w:hAnsi="標楷體" w:hint="eastAsia"/>
          <w:b w:val="0"/>
          <w:szCs w:val="32"/>
        </w:rPr>
        <w:t>，</w:t>
      </w:r>
      <w:r w:rsidR="00A120C2" w:rsidRPr="00890821">
        <w:rPr>
          <w:rFonts w:hint="eastAsia"/>
          <w:b w:val="0"/>
        </w:rPr>
        <w:t>國土測繪中心及南投縣</w:t>
      </w:r>
      <w:proofErr w:type="gramStart"/>
      <w:r w:rsidR="00A120C2" w:rsidRPr="00890821">
        <w:rPr>
          <w:rFonts w:hint="eastAsia"/>
          <w:b w:val="0"/>
        </w:rPr>
        <w:t>政府</w:t>
      </w:r>
      <w:r w:rsidR="00427875" w:rsidRPr="00890821">
        <w:rPr>
          <w:rFonts w:hint="eastAsia"/>
          <w:b w:val="0"/>
        </w:rPr>
        <w:t>於地</w:t>
      </w:r>
      <w:proofErr w:type="gramEnd"/>
      <w:r w:rsidR="00427875" w:rsidRPr="00890821">
        <w:rPr>
          <w:rFonts w:hint="eastAsia"/>
          <w:b w:val="0"/>
        </w:rPr>
        <w:t>籍圖重測時，</w:t>
      </w:r>
      <w:r w:rsidR="00A120C2" w:rsidRPr="00890821">
        <w:rPr>
          <w:rFonts w:hint="eastAsia"/>
          <w:b w:val="0"/>
        </w:rPr>
        <w:t>未就</w:t>
      </w:r>
      <w:proofErr w:type="gramStart"/>
      <w:r w:rsidR="00427875" w:rsidRPr="00890821">
        <w:rPr>
          <w:rFonts w:hint="eastAsia"/>
          <w:b w:val="0"/>
        </w:rPr>
        <w:t>重測</w:t>
      </w:r>
      <w:proofErr w:type="gramEnd"/>
      <w:r w:rsidR="00427875" w:rsidRPr="00890821">
        <w:rPr>
          <w:rFonts w:hint="eastAsia"/>
          <w:b w:val="0"/>
        </w:rPr>
        <w:t>前</w:t>
      </w:r>
      <w:r w:rsidR="00A120C2" w:rsidRPr="00890821">
        <w:rPr>
          <w:rFonts w:hint="eastAsia"/>
          <w:b w:val="0"/>
        </w:rPr>
        <w:t>174-1與174-4地號土地毗鄰之未登記土地，及時辦理土地所有權第一次登記</w:t>
      </w:r>
      <w:r w:rsidR="00890821" w:rsidRPr="00890821">
        <w:rPr>
          <w:rFonts w:hint="eastAsia"/>
          <w:b w:val="0"/>
        </w:rPr>
        <w:t>，</w:t>
      </w:r>
      <w:r w:rsidR="00890821" w:rsidRPr="00890821">
        <w:rPr>
          <w:rFonts w:hAnsi="標楷體" w:hint="eastAsia"/>
          <w:b w:val="0"/>
          <w:szCs w:val="36"/>
          <w:lang w:val="zh-TW"/>
        </w:rPr>
        <w:t>致陳訴人認為其所毗鄰</w:t>
      </w:r>
      <w:proofErr w:type="gramStart"/>
      <w:r w:rsidR="00890821" w:rsidRPr="00890821">
        <w:rPr>
          <w:rFonts w:hAnsi="標楷體" w:hint="eastAsia"/>
          <w:b w:val="0"/>
          <w:szCs w:val="36"/>
          <w:lang w:val="zh-TW"/>
        </w:rPr>
        <w:t>者均係</w:t>
      </w:r>
      <w:proofErr w:type="gramEnd"/>
      <w:r w:rsidR="00890821" w:rsidRPr="00890821">
        <w:rPr>
          <w:rFonts w:hAnsi="標楷體" w:hint="eastAsia"/>
          <w:b w:val="0"/>
          <w:szCs w:val="36"/>
          <w:lang w:val="zh-TW"/>
        </w:rPr>
        <w:t>未登記土地，僅向法院提起返還無權占有土地之訴，而未提起確認經界之訴。衍生後續司法機關審理時，認為陳訴人收受調處筆錄後，既未對調處結果提起確認經界之訴，系爭174-1與174-4地號土地之界址，應以調處結果為</w:t>
      </w:r>
      <w:proofErr w:type="gramStart"/>
      <w:r w:rsidR="00890821" w:rsidRPr="00890821">
        <w:rPr>
          <w:rFonts w:hAnsi="標楷體" w:hint="eastAsia"/>
          <w:b w:val="0"/>
          <w:szCs w:val="36"/>
          <w:lang w:val="zh-TW"/>
        </w:rPr>
        <w:t>準</w:t>
      </w:r>
      <w:proofErr w:type="gramEnd"/>
      <w:r w:rsidR="00890821" w:rsidRPr="00890821">
        <w:rPr>
          <w:rFonts w:hAnsi="標楷體" w:hint="eastAsia"/>
          <w:b w:val="0"/>
          <w:szCs w:val="36"/>
          <w:lang w:val="zh-TW"/>
        </w:rPr>
        <w:t>，從而影響陳訴人權益</w:t>
      </w:r>
      <w:r w:rsidR="008736DA" w:rsidRPr="00890821">
        <w:rPr>
          <w:rFonts w:hint="eastAsia"/>
          <w:b w:val="0"/>
        </w:rPr>
        <w:t>；</w:t>
      </w:r>
      <w:r w:rsidR="00890821" w:rsidRPr="00BD0577">
        <w:rPr>
          <w:rFonts w:hint="eastAsia"/>
          <w:b w:val="0"/>
        </w:rPr>
        <w:t>又</w:t>
      </w:r>
      <w:r w:rsidR="00890821" w:rsidRPr="00BD0577">
        <w:rPr>
          <w:rFonts w:hAnsi="標楷體" w:hint="eastAsia"/>
          <w:b w:val="0"/>
          <w:szCs w:val="36"/>
          <w:lang w:val="zh-TW"/>
        </w:rPr>
        <w:t>臺灣高等法院臺中分院</w:t>
      </w:r>
      <w:r w:rsidR="00890821" w:rsidRPr="00BD0577">
        <w:rPr>
          <w:rFonts w:hint="eastAsia"/>
          <w:b w:val="0"/>
        </w:rPr>
        <w:t>89年</w:t>
      </w:r>
      <w:r w:rsidR="008736DA" w:rsidRPr="00BD0577">
        <w:rPr>
          <w:rFonts w:hint="eastAsia"/>
          <w:b w:val="0"/>
        </w:rPr>
        <w:t>判決確定後，</w:t>
      </w:r>
      <w:r w:rsidR="00890821" w:rsidRPr="00BD0577">
        <w:rPr>
          <w:rFonts w:hAnsi="標楷體" w:hint="eastAsia"/>
          <w:b w:val="0"/>
          <w:szCs w:val="36"/>
          <w:lang w:val="zh-TW"/>
        </w:rPr>
        <w:t>各該土地註記「本宗土地</w:t>
      </w:r>
      <w:proofErr w:type="gramStart"/>
      <w:r w:rsidR="00890821" w:rsidRPr="00BD0577">
        <w:rPr>
          <w:rFonts w:hAnsi="標楷體" w:hint="eastAsia"/>
          <w:b w:val="0"/>
          <w:szCs w:val="36"/>
          <w:lang w:val="zh-TW"/>
        </w:rPr>
        <w:t>重測界址</w:t>
      </w:r>
      <w:proofErr w:type="gramEnd"/>
      <w:r w:rsidR="00890821" w:rsidRPr="00BD0577">
        <w:rPr>
          <w:rFonts w:hAnsi="標楷體" w:hint="eastAsia"/>
          <w:b w:val="0"/>
          <w:szCs w:val="36"/>
          <w:lang w:val="zh-TW"/>
        </w:rPr>
        <w:t>糾紛未解決」之字樣，卻遲至111年1月始予註銷，</w:t>
      </w:r>
      <w:r w:rsidR="008736DA" w:rsidRPr="00BD0577">
        <w:rPr>
          <w:rFonts w:hint="eastAsia"/>
          <w:b w:val="0"/>
        </w:rPr>
        <w:t>懸宕超過20年，期間未見南投縣政府及水里地所有何積極追蹤管控作業</w:t>
      </w:r>
      <w:r w:rsidR="008736DA" w:rsidRPr="00890821">
        <w:rPr>
          <w:rFonts w:hint="eastAsia"/>
          <w:b w:val="0"/>
        </w:rPr>
        <w:t>，</w:t>
      </w:r>
      <w:proofErr w:type="gramStart"/>
      <w:r w:rsidR="00890821" w:rsidRPr="00890821">
        <w:rPr>
          <w:rFonts w:hint="eastAsia"/>
          <w:b w:val="0"/>
        </w:rPr>
        <w:t>均</w:t>
      </w:r>
      <w:r w:rsidR="00444CBF">
        <w:rPr>
          <w:rFonts w:hint="eastAsia"/>
          <w:b w:val="0"/>
        </w:rPr>
        <w:t>核</w:t>
      </w:r>
      <w:proofErr w:type="gramEnd"/>
      <w:r w:rsidR="008736DA" w:rsidRPr="00890821">
        <w:rPr>
          <w:rFonts w:hint="eastAsia"/>
          <w:b w:val="0"/>
        </w:rPr>
        <w:t>有違失</w:t>
      </w:r>
      <w:r w:rsidR="00890821" w:rsidRPr="00890821">
        <w:rPr>
          <w:rFonts w:hint="eastAsia"/>
          <w:b w:val="0"/>
        </w:rPr>
        <w:t>，</w:t>
      </w:r>
      <w:r w:rsidR="001542E3" w:rsidRPr="00890821">
        <w:rPr>
          <w:rFonts w:hAnsi="標楷體" w:hint="eastAsia"/>
          <w:b w:val="0"/>
          <w:szCs w:val="32"/>
        </w:rPr>
        <w:t>爰依監察法第24條規定提案</w:t>
      </w:r>
      <w:r w:rsidR="001542E3" w:rsidRPr="00890821">
        <w:rPr>
          <w:rFonts w:hint="eastAsia"/>
          <w:b w:val="0"/>
        </w:rPr>
        <w:t>糾正，移送行政院</w:t>
      </w:r>
      <w:r w:rsidR="00E8603D" w:rsidRPr="00890821">
        <w:rPr>
          <w:rFonts w:hint="eastAsia"/>
          <w:b w:val="0"/>
        </w:rPr>
        <w:t>轉</w:t>
      </w:r>
      <w:r w:rsidR="001542E3" w:rsidRPr="00890821">
        <w:rPr>
          <w:rFonts w:hint="eastAsia"/>
          <w:b w:val="0"/>
        </w:rPr>
        <w:t>飭</w:t>
      </w:r>
      <w:r w:rsidR="00E8603D" w:rsidRPr="00890821">
        <w:rPr>
          <w:rFonts w:hint="eastAsia"/>
          <w:b w:val="0"/>
        </w:rPr>
        <w:t>所屬</w:t>
      </w:r>
      <w:r w:rsidR="001542E3" w:rsidRPr="00890821">
        <w:rPr>
          <w:rFonts w:hint="eastAsia"/>
          <w:b w:val="0"/>
        </w:rPr>
        <w:t>確實檢討改善</w:t>
      </w:r>
      <w:proofErr w:type="gramStart"/>
      <w:r w:rsidR="001542E3" w:rsidRPr="00890821">
        <w:rPr>
          <w:rFonts w:hint="eastAsia"/>
          <w:b w:val="0"/>
        </w:rPr>
        <w:t>見復</w:t>
      </w:r>
      <w:proofErr w:type="gramEnd"/>
      <w:r w:rsidR="001542E3" w:rsidRPr="00890821">
        <w:rPr>
          <w:rFonts w:hint="eastAsia"/>
          <w:b w:val="0"/>
        </w:rPr>
        <w:t>。</w:t>
      </w:r>
    </w:p>
    <w:p w:rsidR="00413549" w:rsidRPr="00D74CBA" w:rsidRDefault="00413549" w:rsidP="00346DAE">
      <w:pPr>
        <w:pStyle w:val="4"/>
        <w:numPr>
          <w:ilvl w:val="0"/>
          <w:numId w:val="0"/>
        </w:numPr>
        <w:ind w:left="1701" w:hanging="510"/>
        <w:rPr>
          <w:color w:val="FF0000"/>
        </w:rPr>
      </w:pPr>
    </w:p>
    <w:p w:rsidR="00413549" w:rsidRPr="00D74CBA" w:rsidRDefault="00413549" w:rsidP="00413549">
      <w:pPr>
        <w:spacing w:afterLines="50" w:after="228" w:line="480" w:lineRule="exact"/>
        <w:ind w:leftChars="200" w:left="680" w:firstLineChars="200" w:firstLine="680"/>
        <w:rPr>
          <w:color w:val="FF0000"/>
        </w:rPr>
      </w:pPr>
      <w:bookmarkStart w:id="51" w:name="_Toc52490273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413549" w:rsidRPr="00A120C2" w:rsidRDefault="00413549" w:rsidP="00DD0736">
      <w:pPr>
        <w:pStyle w:val="aa"/>
        <w:spacing w:beforeLines="50" w:before="228" w:after="0"/>
        <w:ind w:leftChars="1084" w:left="3687"/>
        <w:rPr>
          <w:rFonts w:hint="eastAsia"/>
          <w:b w:val="0"/>
          <w:bCs/>
          <w:snapToGrid/>
          <w:spacing w:val="12"/>
          <w:kern w:val="0"/>
          <w:sz w:val="40"/>
        </w:rPr>
      </w:pPr>
      <w:bookmarkStart w:id="52" w:name="_Toc524895649"/>
      <w:bookmarkStart w:id="53" w:name="_Toc524896195"/>
      <w:bookmarkStart w:id="54" w:name="_Toc524896225"/>
      <w:bookmarkEnd w:id="52"/>
      <w:bookmarkEnd w:id="53"/>
      <w:bookmarkEnd w:id="54"/>
      <w:r w:rsidRPr="00A120C2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DD0736">
        <w:rPr>
          <w:rFonts w:hint="eastAsia"/>
          <w:b w:val="0"/>
          <w:bCs/>
          <w:snapToGrid/>
          <w:spacing w:val="12"/>
          <w:kern w:val="0"/>
          <w:sz w:val="40"/>
        </w:rPr>
        <w:t>張菊芳</w:t>
      </w:r>
      <w:r w:rsidR="00DD0736">
        <w:rPr>
          <w:rFonts w:hAnsi="標楷體" w:hint="eastAsia"/>
          <w:b w:val="0"/>
          <w:bCs/>
          <w:snapToGrid/>
          <w:spacing w:val="12"/>
          <w:kern w:val="0"/>
          <w:sz w:val="40"/>
        </w:rPr>
        <w:t>、</w:t>
      </w:r>
      <w:r w:rsidR="00DD0736">
        <w:rPr>
          <w:rFonts w:hint="eastAsia"/>
          <w:b w:val="0"/>
          <w:bCs/>
          <w:snapToGrid/>
          <w:spacing w:val="12"/>
          <w:kern w:val="0"/>
          <w:sz w:val="40"/>
        </w:rPr>
        <w:t>施</w:t>
      </w:r>
      <w:bookmarkStart w:id="55" w:name="_GoBack"/>
      <w:bookmarkEnd w:id="55"/>
      <w:r w:rsidR="00DD0736">
        <w:rPr>
          <w:rFonts w:hint="eastAsia"/>
          <w:b w:val="0"/>
          <w:bCs/>
          <w:snapToGrid/>
          <w:spacing w:val="12"/>
          <w:kern w:val="0"/>
          <w:sz w:val="40"/>
        </w:rPr>
        <w:t>錦芳</w:t>
      </w:r>
      <w:bookmarkEnd w:id="51"/>
    </w:p>
    <w:sectPr w:rsidR="00413549" w:rsidRPr="00A120C2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143" w:rsidRDefault="00E37143">
      <w:r>
        <w:separator/>
      </w:r>
    </w:p>
  </w:endnote>
  <w:endnote w:type="continuationSeparator" w:id="0">
    <w:p w:rsidR="00E37143" w:rsidRDefault="00E3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AE9" w:rsidRDefault="00612AE9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92E9B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612AE9" w:rsidRDefault="00612AE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143" w:rsidRDefault="00E37143">
      <w:r>
        <w:separator/>
      </w:r>
    </w:p>
  </w:footnote>
  <w:footnote w:type="continuationSeparator" w:id="0">
    <w:p w:rsidR="00E37143" w:rsidRDefault="00E37143">
      <w:r>
        <w:continuationSeparator/>
      </w:r>
    </w:p>
  </w:footnote>
  <w:footnote w:id="1">
    <w:p w:rsidR="00D74CBA" w:rsidRDefault="00D74CBA" w:rsidP="00D74CBA">
      <w:pPr>
        <w:pStyle w:val="afa"/>
        <w:ind w:left="176" w:hangingChars="80" w:hanging="176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其前身為</w:t>
      </w:r>
      <w:r w:rsidRPr="00657172">
        <w:rPr>
          <w:rFonts w:hint="eastAsia"/>
        </w:rPr>
        <w:t>臺灣省政府地政處測量總隊</w:t>
      </w:r>
      <w:r>
        <w:rPr>
          <w:rFonts w:hint="eastAsia"/>
        </w:rPr>
        <w:t>，該測量總隊</w:t>
      </w:r>
      <w:r w:rsidRPr="00657172">
        <w:rPr>
          <w:rFonts w:hint="eastAsia"/>
        </w:rPr>
        <w:t>於</w:t>
      </w:r>
      <w:r w:rsidRPr="00657172">
        <w:rPr>
          <w:rFonts w:hint="eastAsia"/>
        </w:rPr>
        <w:t>81</w:t>
      </w:r>
      <w:r w:rsidRPr="00657172">
        <w:rPr>
          <w:rFonts w:hint="eastAsia"/>
        </w:rPr>
        <w:t>年</w:t>
      </w:r>
      <w:r w:rsidRPr="00657172">
        <w:rPr>
          <w:rFonts w:hint="eastAsia"/>
        </w:rPr>
        <w:t>7</w:t>
      </w:r>
      <w:r w:rsidRPr="00657172">
        <w:rPr>
          <w:rFonts w:hint="eastAsia"/>
        </w:rPr>
        <w:t>月改制為臺灣省政府地政處土地測量局，</w:t>
      </w:r>
      <w:r w:rsidRPr="00657172">
        <w:rPr>
          <w:rFonts w:hint="eastAsia"/>
        </w:rPr>
        <w:t>88</w:t>
      </w:r>
      <w:r w:rsidRPr="00657172">
        <w:rPr>
          <w:rFonts w:hint="eastAsia"/>
        </w:rPr>
        <w:t>年</w:t>
      </w:r>
      <w:r w:rsidRPr="00657172">
        <w:rPr>
          <w:rFonts w:hint="eastAsia"/>
        </w:rPr>
        <w:t>7</w:t>
      </w:r>
      <w:r w:rsidRPr="00657172">
        <w:rPr>
          <w:rFonts w:hint="eastAsia"/>
        </w:rPr>
        <w:t>月</w:t>
      </w:r>
      <w:proofErr w:type="gramStart"/>
      <w:r w:rsidRPr="00657172">
        <w:rPr>
          <w:rFonts w:hint="eastAsia"/>
        </w:rPr>
        <w:t>改隸為內政部土地測量局</w:t>
      </w:r>
      <w:proofErr w:type="gramEnd"/>
      <w:r w:rsidRPr="00657172">
        <w:rPr>
          <w:rFonts w:hint="eastAsia"/>
        </w:rPr>
        <w:t>，</w:t>
      </w:r>
      <w:r w:rsidRPr="00657172">
        <w:rPr>
          <w:rFonts w:hint="eastAsia"/>
        </w:rPr>
        <w:t>96</w:t>
      </w:r>
      <w:r w:rsidRPr="00657172">
        <w:rPr>
          <w:rFonts w:hint="eastAsia"/>
        </w:rPr>
        <w:t>年</w:t>
      </w:r>
      <w:r w:rsidRPr="00657172">
        <w:rPr>
          <w:rFonts w:hint="eastAsia"/>
        </w:rPr>
        <w:t>11</w:t>
      </w:r>
      <w:r w:rsidRPr="00657172">
        <w:rPr>
          <w:rFonts w:hint="eastAsia"/>
        </w:rPr>
        <w:t>月改制為國土測繪中心</w:t>
      </w:r>
      <w:r>
        <w:rPr>
          <w:rFonts w:hint="eastAsia"/>
        </w:rPr>
        <w:t>迄今</w:t>
      </w:r>
      <w:r w:rsidRPr="00657172">
        <w:rPr>
          <w:rFonts w:hint="eastAsia"/>
        </w:rPr>
        <w:t>。</w:t>
      </w:r>
    </w:p>
  </w:footnote>
  <w:footnote w:id="2">
    <w:p w:rsidR="001D2D7C" w:rsidRDefault="001D2D7C" w:rsidP="001D2D7C">
      <w:pPr>
        <w:pStyle w:val="afa"/>
      </w:pPr>
      <w:r>
        <w:rPr>
          <w:rStyle w:val="afc"/>
        </w:rPr>
        <w:footnoteRef/>
      </w:r>
      <w:r>
        <w:t xml:space="preserve"> </w:t>
      </w:r>
      <w:r w:rsidRPr="000216BF">
        <w:rPr>
          <w:rFonts w:hint="eastAsia"/>
        </w:rPr>
        <w:t>南投縣政府</w:t>
      </w:r>
      <w:r w:rsidRPr="000216BF">
        <w:rPr>
          <w:rFonts w:hint="eastAsia"/>
        </w:rPr>
        <w:t>81</w:t>
      </w:r>
      <w:r w:rsidRPr="000216BF">
        <w:rPr>
          <w:rFonts w:hint="eastAsia"/>
        </w:rPr>
        <w:t>年</w:t>
      </w:r>
      <w:r w:rsidRPr="000216BF">
        <w:rPr>
          <w:rFonts w:hint="eastAsia"/>
        </w:rPr>
        <w:t>2</w:t>
      </w:r>
      <w:r w:rsidRPr="000216BF">
        <w:rPr>
          <w:rFonts w:hint="eastAsia"/>
        </w:rPr>
        <w:t>月</w:t>
      </w:r>
      <w:r w:rsidRPr="000216BF">
        <w:rPr>
          <w:rFonts w:hint="eastAsia"/>
        </w:rPr>
        <w:t>27</w:t>
      </w:r>
      <w:r w:rsidRPr="000216BF">
        <w:rPr>
          <w:rFonts w:hint="eastAsia"/>
        </w:rPr>
        <w:t>日</w:t>
      </w:r>
      <w:r w:rsidRPr="000216BF">
        <w:rPr>
          <w:rFonts w:hint="eastAsia"/>
        </w:rPr>
        <w:t>81</w:t>
      </w:r>
      <w:proofErr w:type="gramStart"/>
      <w:r w:rsidRPr="000216BF">
        <w:rPr>
          <w:rFonts w:hint="eastAsia"/>
        </w:rPr>
        <w:t>投府地</w:t>
      </w:r>
      <w:proofErr w:type="gramEnd"/>
      <w:r w:rsidRPr="000216BF">
        <w:rPr>
          <w:rFonts w:hint="eastAsia"/>
        </w:rPr>
        <w:t>籍字第</w:t>
      </w:r>
      <w:r w:rsidRPr="000216BF">
        <w:rPr>
          <w:rFonts w:hint="eastAsia"/>
        </w:rPr>
        <w:t>20100</w:t>
      </w:r>
      <w:r w:rsidRPr="000216BF">
        <w:rPr>
          <w:rFonts w:hint="eastAsia"/>
        </w:rPr>
        <w:t>號函</w:t>
      </w:r>
      <w:r>
        <w:rPr>
          <w:rFonts w:hint="eastAsia"/>
        </w:rPr>
        <w:t>。</w:t>
      </w:r>
    </w:p>
  </w:footnote>
  <w:footnote w:id="3">
    <w:p w:rsidR="001D2D7C" w:rsidRDefault="001D2D7C" w:rsidP="00D70699">
      <w:pPr>
        <w:pStyle w:val="afa"/>
        <w:ind w:left="176" w:hangingChars="80" w:hanging="176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直至</w:t>
      </w:r>
      <w:r>
        <w:rPr>
          <w:rFonts w:hint="eastAsia"/>
        </w:rPr>
        <w:t>1</w:t>
      </w:r>
      <w:r>
        <w:t>01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月，</w:t>
      </w:r>
      <w:proofErr w:type="gramStart"/>
      <w:r>
        <w:rPr>
          <w:rFonts w:hint="eastAsia"/>
        </w:rPr>
        <w:t>因訴外人</w:t>
      </w:r>
      <w:proofErr w:type="gramEnd"/>
      <w:r>
        <w:rPr>
          <w:rFonts w:hint="eastAsia"/>
        </w:rPr>
        <w:t>向</w:t>
      </w:r>
      <w:r w:rsidRPr="001002DA">
        <w:rPr>
          <w:rFonts w:hint="eastAsia"/>
        </w:rPr>
        <w:t>當時財政部國有財產局臺灣中區辦事處南投分處（現已改制為財政部國有財產署中區分署南投辦事處，下稱南投辦事處）申請未登記土地辦理第一次登記</w:t>
      </w:r>
      <w:r>
        <w:rPr>
          <w:rFonts w:hint="eastAsia"/>
        </w:rPr>
        <w:t>，南投辦事處始於</w:t>
      </w:r>
      <w:r>
        <w:rPr>
          <w:rFonts w:hint="eastAsia"/>
        </w:rPr>
        <w:t>101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月向水里地所申請土地所有權第一次登記，並經該所</w:t>
      </w:r>
      <w:r>
        <w:rPr>
          <w:rFonts w:hint="eastAsia"/>
        </w:rPr>
        <w:t>101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日完成</w:t>
      </w:r>
      <w:r>
        <w:rPr>
          <w:rFonts w:hint="eastAsia"/>
        </w:rPr>
        <w:t>667</w:t>
      </w:r>
      <w:r>
        <w:rPr>
          <w:rFonts w:hint="eastAsia"/>
        </w:rPr>
        <w:t>、</w:t>
      </w:r>
      <w:r>
        <w:rPr>
          <w:rFonts w:hint="eastAsia"/>
        </w:rPr>
        <w:t>668</w:t>
      </w:r>
      <w:r>
        <w:rPr>
          <w:rFonts w:hint="eastAsia"/>
        </w:rPr>
        <w:t>、</w:t>
      </w:r>
      <w:r>
        <w:rPr>
          <w:rFonts w:hint="eastAsia"/>
        </w:rPr>
        <w:t>669</w:t>
      </w:r>
      <w:r>
        <w:rPr>
          <w:rFonts w:hint="eastAsia"/>
        </w:rPr>
        <w:t>地號等</w:t>
      </w:r>
      <w:r>
        <w:rPr>
          <w:rFonts w:hint="eastAsia"/>
        </w:rPr>
        <w:t>3</w:t>
      </w:r>
      <w:r>
        <w:rPr>
          <w:rFonts w:hint="eastAsia"/>
        </w:rPr>
        <w:t>筆國有土地之登記。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D6113D"/>
    <w:multiLevelType w:val="hybridMultilevel"/>
    <w:tmpl w:val="C24C73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991001"/>
    <w:multiLevelType w:val="hybridMultilevel"/>
    <w:tmpl w:val="58869F10"/>
    <w:lvl w:ilvl="0" w:tplc="93D283AA">
      <w:start w:val="1"/>
      <w:numFmt w:val="decimal"/>
      <w:lvlText w:val="%1、"/>
      <w:lvlJc w:val="left"/>
      <w:pPr>
        <w:ind w:left="5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ind w:left="4352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3"/>
  </w:num>
  <w:num w:numId="22">
    <w:abstractNumId w:val="6"/>
  </w:num>
  <w:num w:numId="23">
    <w:abstractNumId w:val="4"/>
  </w:num>
  <w:num w:numId="24">
    <w:abstractNumId w:val="7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9"/>
  </w:num>
  <w:num w:numId="29">
    <w:abstractNumId w:val="9"/>
  </w:num>
  <w:num w:numId="30">
    <w:abstractNumId w:val="5"/>
  </w:num>
  <w:num w:numId="31">
    <w:abstractNumId w:val="5"/>
  </w:num>
  <w:num w:numId="32">
    <w:abstractNumId w:val="2"/>
  </w:num>
  <w:num w:numId="33">
    <w:abstractNumId w:val="2"/>
  </w:num>
  <w:num w:numId="34">
    <w:abstractNumId w:val="2"/>
  </w:num>
  <w:num w:numId="35">
    <w:abstractNumId w:val="8"/>
  </w:num>
  <w:num w:numId="36">
    <w:abstractNumId w:val="2"/>
  </w:num>
  <w:num w:numId="3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 style="mso-width-relative:margin;mso-height-relative:margin" fill="f" fillcolor="white" stroke="f">
      <v:fill color="white" on="f"/>
      <v:stroke on="f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64384"/>
    <w:rsid w:val="000664D9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0363"/>
    <w:rsid w:val="000E6431"/>
    <w:rsid w:val="000F0D35"/>
    <w:rsid w:val="000F21A5"/>
    <w:rsid w:val="000F7797"/>
    <w:rsid w:val="00102B9F"/>
    <w:rsid w:val="00112637"/>
    <w:rsid w:val="0012001E"/>
    <w:rsid w:val="00126A55"/>
    <w:rsid w:val="00133F08"/>
    <w:rsid w:val="001345E6"/>
    <w:rsid w:val="001378B0"/>
    <w:rsid w:val="00142E00"/>
    <w:rsid w:val="00151564"/>
    <w:rsid w:val="00152793"/>
    <w:rsid w:val="001542E3"/>
    <w:rsid w:val="001545A9"/>
    <w:rsid w:val="001637C7"/>
    <w:rsid w:val="0016480E"/>
    <w:rsid w:val="00172A7D"/>
    <w:rsid w:val="00174297"/>
    <w:rsid w:val="001817B3"/>
    <w:rsid w:val="00183014"/>
    <w:rsid w:val="001959C2"/>
    <w:rsid w:val="001A7968"/>
    <w:rsid w:val="001B3483"/>
    <w:rsid w:val="001B3C1E"/>
    <w:rsid w:val="001B4494"/>
    <w:rsid w:val="001B776F"/>
    <w:rsid w:val="001C0D8B"/>
    <w:rsid w:val="001C0DA8"/>
    <w:rsid w:val="001D2175"/>
    <w:rsid w:val="001D2D7C"/>
    <w:rsid w:val="001E0D8A"/>
    <w:rsid w:val="001E67BA"/>
    <w:rsid w:val="001E74C2"/>
    <w:rsid w:val="001F2844"/>
    <w:rsid w:val="001F5A48"/>
    <w:rsid w:val="001F6260"/>
    <w:rsid w:val="00200007"/>
    <w:rsid w:val="002030A5"/>
    <w:rsid w:val="00203131"/>
    <w:rsid w:val="00210150"/>
    <w:rsid w:val="00212E88"/>
    <w:rsid w:val="00213C9C"/>
    <w:rsid w:val="0022009E"/>
    <w:rsid w:val="002227DC"/>
    <w:rsid w:val="0022425C"/>
    <w:rsid w:val="002246DE"/>
    <w:rsid w:val="00233625"/>
    <w:rsid w:val="00235991"/>
    <w:rsid w:val="002421B5"/>
    <w:rsid w:val="0025106C"/>
    <w:rsid w:val="00252BC4"/>
    <w:rsid w:val="00254014"/>
    <w:rsid w:val="0026504D"/>
    <w:rsid w:val="00273A2F"/>
    <w:rsid w:val="002803D9"/>
    <w:rsid w:val="00280986"/>
    <w:rsid w:val="00281ECE"/>
    <w:rsid w:val="002831C7"/>
    <w:rsid w:val="002840C6"/>
    <w:rsid w:val="00286B1B"/>
    <w:rsid w:val="002877CA"/>
    <w:rsid w:val="00294D55"/>
    <w:rsid w:val="00295174"/>
    <w:rsid w:val="00296172"/>
    <w:rsid w:val="00296B92"/>
    <w:rsid w:val="002A2C22"/>
    <w:rsid w:val="002B02EB"/>
    <w:rsid w:val="002C0602"/>
    <w:rsid w:val="002D5C16"/>
    <w:rsid w:val="002E69E7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46DAE"/>
    <w:rsid w:val="00352DB0"/>
    <w:rsid w:val="003572F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7C5B"/>
    <w:rsid w:val="003A5B7B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549"/>
    <w:rsid w:val="00413F83"/>
    <w:rsid w:val="0041490C"/>
    <w:rsid w:val="00416191"/>
    <w:rsid w:val="00416721"/>
    <w:rsid w:val="00421EF0"/>
    <w:rsid w:val="004224FA"/>
    <w:rsid w:val="00423D07"/>
    <w:rsid w:val="004255DB"/>
    <w:rsid w:val="00427875"/>
    <w:rsid w:val="0044135F"/>
    <w:rsid w:val="0044346F"/>
    <w:rsid w:val="00444CBF"/>
    <w:rsid w:val="0045119F"/>
    <w:rsid w:val="0046520A"/>
    <w:rsid w:val="004672AB"/>
    <w:rsid w:val="004714FE"/>
    <w:rsid w:val="00485CDE"/>
    <w:rsid w:val="004913FE"/>
    <w:rsid w:val="00495053"/>
    <w:rsid w:val="004A1F59"/>
    <w:rsid w:val="004A29BE"/>
    <w:rsid w:val="004A3225"/>
    <w:rsid w:val="004A33EE"/>
    <w:rsid w:val="004A3AA8"/>
    <w:rsid w:val="004B13C7"/>
    <w:rsid w:val="004B778F"/>
    <w:rsid w:val="004C5721"/>
    <w:rsid w:val="004C5DD4"/>
    <w:rsid w:val="004C736C"/>
    <w:rsid w:val="004D141F"/>
    <w:rsid w:val="004D58DC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36D65"/>
    <w:rsid w:val="005425E1"/>
    <w:rsid w:val="005427C5"/>
    <w:rsid w:val="00542CF6"/>
    <w:rsid w:val="00553C03"/>
    <w:rsid w:val="00563692"/>
    <w:rsid w:val="0056753A"/>
    <w:rsid w:val="00571349"/>
    <w:rsid w:val="00575AD2"/>
    <w:rsid w:val="005908B8"/>
    <w:rsid w:val="0059512E"/>
    <w:rsid w:val="005A6DD2"/>
    <w:rsid w:val="005C385D"/>
    <w:rsid w:val="005D3B20"/>
    <w:rsid w:val="005E5C68"/>
    <w:rsid w:val="005E65C0"/>
    <w:rsid w:val="005F0390"/>
    <w:rsid w:val="00612023"/>
    <w:rsid w:val="006128D2"/>
    <w:rsid w:val="00612AE9"/>
    <w:rsid w:val="00614190"/>
    <w:rsid w:val="00622A99"/>
    <w:rsid w:val="00622E67"/>
    <w:rsid w:val="00626EDC"/>
    <w:rsid w:val="00632CD9"/>
    <w:rsid w:val="006470EC"/>
    <w:rsid w:val="0065598E"/>
    <w:rsid w:val="00655AF2"/>
    <w:rsid w:val="006568BE"/>
    <w:rsid w:val="0066025D"/>
    <w:rsid w:val="006743FF"/>
    <w:rsid w:val="006773EC"/>
    <w:rsid w:val="00680504"/>
    <w:rsid w:val="00681CD9"/>
    <w:rsid w:val="00683E30"/>
    <w:rsid w:val="00687024"/>
    <w:rsid w:val="00687BE4"/>
    <w:rsid w:val="00696415"/>
    <w:rsid w:val="006D3691"/>
    <w:rsid w:val="006D68E7"/>
    <w:rsid w:val="006E2DCE"/>
    <w:rsid w:val="006F3563"/>
    <w:rsid w:val="006F3C0E"/>
    <w:rsid w:val="006F42B9"/>
    <w:rsid w:val="006F6103"/>
    <w:rsid w:val="00704E00"/>
    <w:rsid w:val="007209E7"/>
    <w:rsid w:val="00726182"/>
    <w:rsid w:val="00730564"/>
    <w:rsid w:val="00732329"/>
    <w:rsid w:val="007337CA"/>
    <w:rsid w:val="00734CE4"/>
    <w:rsid w:val="00735123"/>
    <w:rsid w:val="00741837"/>
    <w:rsid w:val="007453E6"/>
    <w:rsid w:val="0075243E"/>
    <w:rsid w:val="007666F5"/>
    <w:rsid w:val="00766F1D"/>
    <w:rsid w:val="0077309D"/>
    <w:rsid w:val="00774C16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3122"/>
    <w:rsid w:val="007D7881"/>
    <w:rsid w:val="007D7E3A"/>
    <w:rsid w:val="007E0E10"/>
    <w:rsid w:val="007E19FB"/>
    <w:rsid w:val="007E4768"/>
    <w:rsid w:val="007E4A1E"/>
    <w:rsid w:val="007E5BDD"/>
    <w:rsid w:val="007E6EF5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4CB3"/>
    <w:rsid w:val="008576BD"/>
    <w:rsid w:val="00857C8A"/>
    <w:rsid w:val="00860463"/>
    <w:rsid w:val="00861F03"/>
    <w:rsid w:val="008733DA"/>
    <w:rsid w:val="008736DA"/>
    <w:rsid w:val="008805DA"/>
    <w:rsid w:val="008850E4"/>
    <w:rsid w:val="00890821"/>
    <w:rsid w:val="008A12F5"/>
    <w:rsid w:val="008B1587"/>
    <w:rsid w:val="008B1B01"/>
    <w:rsid w:val="008B3BCD"/>
    <w:rsid w:val="008B4841"/>
    <w:rsid w:val="008B6DF8"/>
    <w:rsid w:val="008C106C"/>
    <w:rsid w:val="008C10F1"/>
    <w:rsid w:val="008C1E99"/>
    <w:rsid w:val="008D4820"/>
    <w:rsid w:val="008E0085"/>
    <w:rsid w:val="008E2AA6"/>
    <w:rsid w:val="008E311B"/>
    <w:rsid w:val="008F46E7"/>
    <w:rsid w:val="008F6F0B"/>
    <w:rsid w:val="00907BA7"/>
    <w:rsid w:val="0091064E"/>
    <w:rsid w:val="00911FC5"/>
    <w:rsid w:val="00922059"/>
    <w:rsid w:val="0092698C"/>
    <w:rsid w:val="00931A10"/>
    <w:rsid w:val="00947967"/>
    <w:rsid w:val="00961713"/>
    <w:rsid w:val="00965200"/>
    <w:rsid w:val="009668B3"/>
    <w:rsid w:val="00971471"/>
    <w:rsid w:val="009849C2"/>
    <w:rsid w:val="00984D24"/>
    <w:rsid w:val="009858EB"/>
    <w:rsid w:val="00992E9B"/>
    <w:rsid w:val="009B0046"/>
    <w:rsid w:val="009C1440"/>
    <w:rsid w:val="009C2107"/>
    <w:rsid w:val="009C23FD"/>
    <w:rsid w:val="009C5D9C"/>
    <w:rsid w:val="009C5D9E"/>
    <w:rsid w:val="009D2C3E"/>
    <w:rsid w:val="009E0625"/>
    <w:rsid w:val="009E3034"/>
    <w:rsid w:val="009E549F"/>
    <w:rsid w:val="009E796F"/>
    <w:rsid w:val="009F28A8"/>
    <w:rsid w:val="009F473E"/>
    <w:rsid w:val="009F682A"/>
    <w:rsid w:val="00A022BE"/>
    <w:rsid w:val="00A120C2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2E25"/>
    <w:rsid w:val="00AA42D5"/>
    <w:rsid w:val="00AB2FAB"/>
    <w:rsid w:val="00AB5C14"/>
    <w:rsid w:val="00AC1EE7"/>
    <w:rsid w:val="00AC333F"/>
    <w:rsid w:val="00AC585C"/>
    <w:rsid w:val="00AD1925"/>
    <w:rsid w:val="00AE067D"/>
    <w:rsid w:val="00AF0C86"/>
    <w:rsid w:val="00AF1181"/>
    <w:rsid w:val="00AF2F79"/>
    <w:rsid w:val="00AF4653"/>
    <w:rsid w:val="00AF7DB7"/>
    <w:rsid w:val="00B443E4"/>
    <w:rsid w:val="00B563EA"/>
    <w:rsid w:val="00B60E51"/>
    <w:rsid w:val="00B63A54"/>
    <w:rsid w:val="00B77D18"/>
    <w:rsid w:val="00B80594"/>
    <w:rsid w:val="00B8313A"/>
    <w:rsid w:val="00B83C6B"/>
    <w:rsid w:val="00B93503"/>
    <w:rsid w:val="00BA31E8"/>
    <w:rsid w:val="00BA55E0"/>
    <w:rsid w:val="00BA6BD4"/>
    <w:rsid w:val="00BB3752"/>
    <w:rsid w:val="00BB6103"/>
    <w:rsid w:val="00BB6688"/>
    <w:rsid w:val="00BC1A87"/>
    <w:rsid w:val="00BC26D4"/>
    <w:rsid w:val="00BC64F2"/>
    <w:rsid w:val="00BD0577"/>
    <w:rsid w:val="00BD7D5D"/>
    <w:rsid w:val="00BE6241"/>
    <w:rsid w:val="00BF1DDA"/>
    <w:rsid w:val="00BF2A42"/>
    <w:rsid w:val="00BF5CC7"/>
    <w:rsid w:val="00C03D8C"/>
    <w:rsid w:val="00C055EC"/>
    <w:rsid w:val="00C10DC9"/>
    <w:rsid w:val="00C12E7D"/>
    <w:rsid w:val="00C12FB3"/>
    <w:rsid w:val="00C17341"/>
    <w:rsid w:val="00C24EEF"/>
    <w:rsid w:val="00C25CF6"/>
    <w:rsid w:val="00C26C36"/>
    <w:rsid w:val="00C32768"/>
    <w:rsid w:val="00C431DF"/>
    <w:rsid w:val="00C456BD"/>
    <w:rsid w:val="00C50899"/>
    <w:rsid w:val="00C530DC"/>
    <w:rsid w:val="00C5350D"/>
    <w:rsid w:val="00C6123C"/>
    <w:rsid w:val="00C7084D"/>
    <w:rsid w:val="00C7315E"/>
    <w:rsid w:val="00C75895"/>
    <w:rsid w:val="00C83C9F"/>
    <w:rsid w:val="00C86866"/>
    <w:rsid w:val="00C9179B"/>
    <w:rsid w:val="00C94840"/>
    <w:rsid w:val="00CA32D1"/>
    <w:rsid w:val="00CA6AC8"/>
    <w:rsid w:val="00CB027F"/>
    <w:rsid w:val="00CB77F9"/>
    <w:rsid w:val="00CC6297"/>
    <w:rsid w:val="00CC7690"/>
    <w:rsid w:val="00CD1986"/>
    <w:rsid w:val="00CE2596"/>
    <w:rsid w:val="00CE4D5C"/>
    <w:rsid w:val="00CF05DA"/>
    <w:rsid w:val="00CF58EB"/>
    <w:rsid w:val="00D0106E"/>
    <w:rsid w:val="00D06383"/>
    <w:rsid w:val="00D20E85"/>
    <w:rsid w:val="00D24615"/>
    <w:rsid w:val="00D27557"/>
    <w:rsid w:val="00D33893"/>
    <w:rsid w:val="00D37842"/>
    <w:rsid w:val="00D42DC2"/>
    <w:rsid w:val="00D502FE"/>
    <w:rsid w:val="00D537E1"/>
    <w:rsid w:val="00D55BB2"/>
    <w:rsid w:val="00D56955"/>
    <w:rsid w:val="00D6091A"/>
    <w:rsid w:val="00D6695F"/>
    <w:rsid w:val="00D70699"/>
    <w:rsid w:val="00D74CBA"/>
    <w:rsid w:val="00D75644"/>
    <w:rsid w:val="00D77767"/>
    <w:rsid w:val="00D81656"/>
    <w:rsid w:val="00D83D87"/>
    <w:rsid w:val="00D86A30"/>
    <w:rsid w:val="00D953A4"/>
    <w:rsid w:val="00D97CB4"/>
    <w:rsid w:val="00D97DD4"/>
    <w:rsid w:val="00DA5A8A"/>
    <w:rsid w:val="00DB26CD"/>
    <w:rsid w:val="00DB3135"/>
    <w:rsid w:val="00DB441C"/>
    <w:rsid w:val="00DB44AF"/>
    <w:rsid w:val="00DB4C07"/>
    <w:rsid w:val="00DC1F58"/>
    <w:rsid w:val="00DC339B"/>
    <w:rsid w:val="00DC5D40"/>
    <w:rsid w:val="00DD0736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11ED5"/>
    <w:rsid w:val="00E21CC7"/>
    <w:rsid w:val="00E24D9E"/>
    <w:rsid w:val="00E2567F"/>
    <w:rsid w:val="00E25849"/>
    <w:rsid w:val="00E30BEA"/>
    <w:rsid w:val="00E3197E"/>
    <w:rsid w:val="00E342F8"/>
    <w:rsid w:val="00E351ED"/>
    <w:rsid w:val="00E37143"/>
    <w:rsid w:val="00E6034B"/>
    <w:rsid w:val="00E6549E"/>
    <w:rsid w:val="00E65EDE"/>
    <w:rsid w:val="00E70F81"/>
    <w:rsid w:val="00E77055"/>
    <w:rsid w:val="00E77460"/>
    <w:rsid w:val="00E83ABC"/>
    <w:rsid w:val="00E844F2"/>
    <w:rsid w:val="00E8603D"/>
    <w:rsid w:val="00E92FCB"/>
    <w:rsid w:val="00E92FFA"/>
    <w:rsid w:val="00EA147F"/>
    <w:rsid w:val="00EA4D5F"/>
    <w:rsid w:val="00EC3B19"/>
    <w:rsid w:val="00ED03AB"/>
    <w:rsid w:val="00ED0CAC"/>
    <w:rsid w:val="00ED1CD4"/>
    <w:rsid w:val="00ED1D2B"/>
    <w:rsid w:val="00ED64B5"/>
    <w:rsid w:val="00EE7CCA"/>
    <w:rsid w:val="00EF4A8D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85986"/>
    <w:rsid w:val="00F90F18"/>
    <w:rsid w:val="00F937E4"/>
    <w:rsid w:val="00F95EE7"/>
    <w:rsid w:val="00FA39E6"/>
    <w:rsid w:val="00FA7BC9"/>
    <w:rsid w:val="00FB378E"/>
    <w:rsid w:val="00FB37F1"/>
    <w:rsid w:val="00FB3AF8"/>
    <w:rsid w:val="00FB47C0"/>
    <w:rsid w:val="00FB501B"/>
    <w:rsid w:val="00FB7770"/>
    <w:rsid w:val="00FD3B91"/>
    <w:rsid w:val="00FD576B"/>
    <w:rsid w:val="00FD579E"/>
    <w:rsid w:val="00FE4516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="f" fillcolor="white" stroke="f">
      <v:fill color="white" on="f"/>
      <v:stroke on="f"/>
      <v:textbox style="mso-fit-shape-to-text:t" inset="0,0,0,0"/>
    </o:shapedefaults>
    <o:shapelayout v:ext="edit">
      <o:idmap v:ext="edit" data="1"/>
    </o:shapelayout>
  </w:shapeDefaults>
  <w:decimalSymbol w:val="."/>
  <w:listSeparator w:val=","/>
  <w14:docId w14:val="5411F4A9"/>
  <w15:docId w15:val="{1B59D270-BC2C-4234-9186-AFD27420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346DAE"/>
    <w:pPr>
      <w:overflowPunct/>
      <w:autoSpaceDE/>
      <w:autoSpaceDN/>
      <w:snapToGrid w:val="0"/>
      <w:jc w:val="left"/>
    </w:pPr>
    <w:rPr>
      <w:rFonts w:ascii="Times New Roman"/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346DAE"/>
    <w:rPr>
      <w:rFonts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346DAE"/>
    <w:rPr>
      <w:vertAlign w:val="superscript"/>
    </w:rPr>
  </w:style>
  <w:style w:type="character" w:customStyle="1" w:styleId="30">
    <w:name w:val="標題 3 字元"/>
    <w:basedOn w:val="a7"/>
    <w:link w:val="3"/>
    <w:rsid w:val="00B80594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"/>
    <w:basedOn w:val="a7"/>
    <w:link w:val="4"/>
    <w:rsid w:val="00151564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6099-9F54-40CA-8E5A-6FE442A7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8</Pages>
  <Words>694</Words>
  <Characters>3962</Characters>
  <Application>Microsoft Office Word</Application>
  <DocSecurity>0</DocSecurity>
  <Lines>33</Lines>
  <Paragraphs>9</Paragraphs>
  <ScaleCrop>false</ScaleCrop>
  <Company>cy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黃冠豪</dc:creator>
  <cp:lastModifiedBy>陳美如</cp:lastModifiedBy>
  <cp:revision>2</cp:revision>
  <cp:lastPrinted>2022-07-07T06:54:00Z</cp:lastPrinted>
  <dcterms:created xsi:type="dcterms:W3CDTF">2022-12-12T09:02:00Z</dcterms:created>
  <dcterms:modified xsi:type="dcterms:W3CDTF">2022-12-12T09:02:00Z</dcterms:modified>
</cp:coreProperties>
</file>