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C01DF" w14:textId="6CC357C6" w:rsidR="00D75644" w:rsidRPr="00C355BA" w:rsidRDefault="00D75644" w:rsidP="00F03CF9">
      <w:pPr>
        <w:pStyle w:val="af2"/>
        <w:rPr>
          <w:color w:val="000000" w:themeColor="text1"/>
        </w:rPr>
      </w:pPr>
      <w:r w:rsidRPr="00C355BA">
        <w:rPr>
          <w:rFonts w:hint="eastAsia"/>
          <w:color w:val="000000" w:themeColor="text1"/>
        </w:rPr>
        <w:t>調查</w:t>
      </w:r>
      <w:r w:rsidR="00C71A71">
        <w:rPr>
          <w:rFonts w:hint="eastAsia"/>
          <w:color w:val="000000" w:themeColor="text1"/>
        </w:rPr>
        <w:t>報告</w:t>
      </w:r>
    </w:p>
    <w:p w14:paraId="125D1A50" w14:textId="4397EA44" w:rsidR="00E25849" w:rsidRPr="00C355B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355B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A6434" w:rsidRPr="00EA6434">
        <w:rPr>
          <w:rFonts w:hint="eastAsia"/>
          <w:color w:val="000000" w:themeColor="text1"/>
        </w:rPr>
        <w:t>據訴</w:t>
      </w:r>
      <w:proofErr w:type="gramEnd"/>
      <w:r w:rsidR="00EA6434" w:rsidRPr="00EA6434">
        <w:rPr>
          <w:rFonts w:hint="eastAsia"/>
          <w:color w:val="000000" w:themeColor="text1"/>
        </w:rPr>
        <w:t>，臺灣高等法院臺中分院邱顯祥、林源森、廖純卿法官審理</w:t>
      </w:r>
      <w:proofErr w:type="gramStart"/>
      <w:r w:rsidR="00EA6434" w:rsidRPr="00EA6434">
        <w:rPr>
          <w:rFonts w:hint="eastAsia"/>
          <w:color w:val="000000" w:themeColor="text1"/>
        </w:rPr>
        <w:t>10</w:t>
      </w:r>
      <w:proofErr w:type="gramEnd"/>
      <w:r w:rsidR="00EA6434" w:rsidRPr="00EA6434">
        <w:rPr>
          <w:rFonts w:hint="eastAsia"/>
          <w:color w:val="000000" w:themeColor="text1"/>
        </w:rPr>
        <w:t>1年度重金上更（一）字第32號翁茂鍾等被訴違反證券交易法等案件，罔顧最高法院</w:t>
      </w:r>
      <w:proofErr w:type="gramStart"/>
      <w:r w:rsidR="00EA6434" w:rsidRPr="00EA6434">
        <w:rPr>
          <w:rFonts w:hint="eastAsia"/>
          <w:color w:val="000000" w:themeColor="text1"/>
        </w:rPr>
        <w:t>10</w:t>
      </w:r>
      <w:proofErr w:type="gramEnd"/>
      <w:r w:rsidR="00EA6434" w:rsidRPr="00EA6434">
        <w:rPr>
          <w:rFonts w:hint="eastAsia"/>
          <w:color w:val="000000" w:themeColor="text1"/>
        </w:rPr>
        <w:t>1年度台上字第4706號判決認同原審之犯罪事實，竟於103年5月21日將原判決認定之</w:t>
      </w:r>
      <w:proofErr w:type="gramStart"/>
      <w:r w:rsidR="00EA6434" w:rsidRPr="00EA6434">
        <w:rPr>
          <w:rFonts w:hint="eastAsia"/>
          <w:color w:val="000000" w:themeColor="text1"/>
        </w:rPr>
        <w:t>炒股罪撤</w:t>
      </w:r>
      <w:proofErr w:type="gramEnd"/>
      <w:r w:rsidR="00EA6434" w:rsidRPr="00EA6434">
        <w:rPr>
          <w:rFonts w:hint="eastAsia"/>
          <w:color w:val="000000" w:themeColor="text1"/>
        </w:rPr>
        <w:t>銷，改以違反商業</w:t>
      </w:r>
      <w:proofErr w:type="gramStart"/>
      <w:r w:rsidR="00EA6434" w:rsidRPr="00EA6434">
        <w:rPr>
          <w:rFonts w:hint="eastAsia"/>
          <w:color w:val="000000" w:themeColor="text1"/>
        </w:rPr>
        <w:t>會計法輕</w:t>
      </w:r>
      <w:proofErr w:type="gramEnd"/>
      <w:r w:rsidR="00EA6434" w:rsidRPr="00EA6434">
        <w:rPr>
          <w:rFonts w:hint="eastAsia"/>
          <w:color w:val="000000" w:themeColor="text1"/>
        </w:rPr>
        <w:t>判4個月結案；</w:t>
      </w:r>
      <w:proofErr w:type="gramStart"/>
      <w:r w:rsidR="00EA6434" w:rsidRPr="00EA6434">
        <w:rPr>
          <w:rFonts w:hint="eastAsia"/>
          <w:color w:val="000000" w:themeColor="text1"/>
        </w:rPr>
        <w:t>嗣</w:t>
      </w:r>
      <w:proofErr w:type="gramEnd"/>
      <w:r w:rsidR="00EA6434" w:rsidRPr="00EA6434">
        <w:rPr>
          <w:rFonts w:hint="eastAsia"/>
          <w:color w:val="000000" w:themeColor="text1"/>
        </w:rPr>
        <w:t>臺灣高等檢察署臺中檢察分署檢察官亦未依職權提起上訴，致該案確定，均涉嫌包庇被告</w:t>
      </w:r>
      <w:proofErr w:type="gramStart"/>
      <w:r w:rsidR="00EA6434" w:rsidRPr="00EA6434">
        <w:rPr>
          <w:rFonts w:hint="eastAsia"/>
          <w:color w:val="000000" w:themeColor="text1"/>
        </w:rPr>
        <w:t>等情</w:t>
      </w:r>
      <w:proofErr w:type="gramEnd"/>
      <w:r w:rsidR="00EA6434" w:rsidRPr="00EA6434">
        <w:rPr>
          <w:rFonts w:hint="eastAsia"/>
          <w:color w:val="000000" w:themeColor="text1"/>
        </w:rPr>
        <w:t>案。</w:t>
      </w:r>
    </w:p>
    <w:p w14:paraId="59663EFC" w14:textId="5E8A576E" w:rsidR="00E25849" w:rsidRPr="00C355BA" w:rsidRDefault="00E25849"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C355BA">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44C6C4B" w14:textId="77777777" w:rsidR="00EA6434" w:rsidRPr="00BF62EC" w:rsidRDefault="00EA6434" w:rsidP="00EA6434">
      <w:pPr>
        <w:pStyle w:val="10"/>
        <w:ind w:left="680" w:firstLine="680"/>
        <w:rPr>
          <w:color w:val="000000" w:themeColor="text1"/>
        </w:rPr>
      </w:pPr>
      <w:bookmarkStart w:id="59" w:name="_Toc524902730"/>
      <w:r w:rsidRPr="00BF62EC">
        <w:rPr>
          <w:rFonts w:hint="eastAsia"/>
          <w:color w:val="000000" w:themeColor="text1"/>
        </w:rPr>
        <w:t>被告翁茂</w:t>
      </w:r>
      <w:proofErr w:type="gramStart"/>
      <w:r w:rsidRPr="00BF62EC">
        <w:rPr>
          <w:rFonts w:hint="eastAsia"/>
          <w:color w:val="000000" w:themeColor="text1"/>
        </w:rPr>
        <w:t>鍾</w:t>
      </w:r>
      <w:proofErr w:type="gramEnd"/>
      <w:r w:rsidRPr="00BF62EC">
        <w:rPr>
          <w:rFonts w:hint="eastAsia"/>
          <w:color w:val="000000" w:themeColor="text1"/>
        </w:rPr>
        <w:t>等人前經臺灣臺中地方檢察署</w:t>
      </w:r>
      <w:r w:rsidRPr="00BF62EC">
        <w:rPr>
          <w:rFonts w:hAnsi="標楷體" w:hint="eastAsia"/>
          <w:color w:val="000000" w:themeColor="text1"/>
        </w:rPr>
        <w:t>(下稱</w:t>
      </w:r>
      <w:r w:rsidRPr="00BF62EC">
        <w:rPr>
          <w:rFonts w:hint="eastAsia"/>
          <w:color w:val="000000" w:themeColor="text1"/>
        </w:rPr>
        <w:t>臺中地檢署</w:t>
      </w:r>
      <w:r w:rsidRPr="00BF62EC">
        <w:rPr>
          <w:rFonts w:hAnsi="標楷體" w:hint="eastAsia"/>
          <w:color w:val="000000" w:themeColor="text1"/>
        </w:rPr>
        <w:t>)</w:t>
      </w:r>
      <w:r w:rsidRPr="00BF62EC">
        <w:rPr>
          <w:rFonts w:hint="eastAsia"/>
          <w:color w:val="000000" w:themeColor="text1"/>
          <w:kern w:val="2"/>
        </w:rPr>
        <w:t>以</w:t>
      </w:r>
      <w:r w:rsidRPr="00BF62EC">
        <w:rPr>
          <w:rFonts w:hAnsi="標楷體" w:hint="eastAsia"/>
          <w:color w:val="000000" w:themeColor="text1"/>
        </w:rPr>
        <w:t>違反證券交易法等罪(即</w:t>
      </w:r>
      <w:proofErr w:type="gramStart"/>
      <w:r w:rsidRPr="00BF62EC">
        <w:rPr>
          <w:rFonts w:hAnsi="標楷體" w:hint="eastAsia"/>
          <w:color w:val="000000" w:themeColor="text1"/>
        </w:rPr>
        <w:t>應華炒</w:t>
      </w:r>
      <w:proofErr w:type="gramEnd"/>
      <w:r w:rsidRPr="00BF62EC">
        <w:rPr>
          <w:rFonts w:hAnsi="標楷體" w:hint="eastAsia"/>
          <w:color w:val="000000" w:themeColor="text1"/>
        </w:rPr>
        <w:t>股案)，提起公訴，案經臺灣臺中地方法院、臺灣高等法院臺中分院(下稱臺中高分院)審理，第一、二審原均判決有罪，處有期徒刑捌年不等。被告不服，提起上訴，經最高法院</w:t>
      </w:r>
      <w:proofErr w:type="gramStart"/>
      <w:r w:rsidRPr="00BF62EC">
        <w:rPr>
          <w:rFonts w:hAnsi="標楷體" w:hint="eastAsia"/>
          <w:color w:val="000000" w:themeColor="text1"/>
        </w:rPr>
        <w:t>1</w:t>
      </w:r>
      <w:r w:rsidRPr="00BF62EC">
        <w:rPr>
          <w:rFonts w:hAnsi="標楷體"/>
          <w:color w:val="000000" w:themeColor="text1"/>
        </w:rPr>
        <w:t>01</w:t>
      </w:r>
      <w:proofErr w:type="gramEnd"/>
      <w:r w:rsidRPr="00BF62EC">
        <w:rPr>
          <w:rFonts w:hAnsi="標楷體" w:hint="eastAsia"/>
          <w:color w:val="000000" w:themeColor="text1"/>
        </w:rPr>
        <w:t>年度台上字第4706號判決發回更審，嗣臺中高分院</w:t>
      </w:r>
      <w:proofErr w:type="gramStart"/>
      <w:r w:rsidRPr="00BF62EC">
        <w:rPr>
          <w:rFonts w:hAnsi="標楷體" w:hint="eastAsia"/>
          <w:color w:val="000000" w:themeColor="text1"/>
        </w:rPr>
        <w:t>1</w:t>
      </w:r>
      <w:r w:rsidRPr="00BF62EC">
        <w:rPr>
          <w:rFonts w:hAnsi="標楷體"/>
          <w:color w:val="000000" w:themeColor="text1"/>
        </w:rPr>
        <w:t>0</w:t>
      </w:r>
      <w:proofErr w:type="gramEnd"/>
      <w:r w:rsidRPr="00BF62EC">
        <w:rPr>
          <w:rFonts w:hAnsi="標楷體"/>
          <w:color w:val="000000" w:themeColor="text1"/>
        </w:rPr>
        <w:t>1</w:t>
      </w:r>
      <w:r w:rsidRPr="00BF62EC">
        <w:rPr>
          <w:rFonts w:hAnsi="標楷體" w:hint="eastAsia"/>
          <w:color w:val="000000" w:themeColor="text1"/>
        </w:rPr>
        <w:t>年度重金上更(一)字第3</w:t>
      </w:r>
      <w:r w:rsidRPr="00BF62EC">
        <w:rPr>
          <w:rFonts w:hAnsi="標楷體"/>
          <w:color w:val="000000" w:themeColor="text1"/>
        </w:rPr>
        <w:t>2</w:t>
      </w:r>
      <w:r w:rsidRPr="00BF62EC">
        <w:rPr>
          <w:rFonts w:hAnsi="標楷體" w:hint="eastAsia"/>
          <w:color w:val="000000" w:themeColor="text1"/>
        </w:rPr>
        <w:t>號改依商業會計法</w:t>
      </w:r>
      <w:proofErr w:type="gramStart"/>
      <w:r w:rsidRPr="00BF62EC">
        <w:rPr>
          <w:rFonts w:hAnsi="標楷體" w:hint="eastAsia"/>
          <w:color w:val="000000" w:themeColor="text1"/>
        </w:rPr>
        <w:t>不實填</w:t>
      </w:r>
      <w:proofErr w:type="gramEnd"/>
      <w:r w:rsidRPr="00BF62EC">
        <w:rPr>
          <w:rFonts w:hAnsi="標楷體" w:hint="eastAsia"/>
          <w:color w:val="000000" w:themeColor="text1"/>
        </w:rPr>
        <w:t>製會計憑證罪，判處被告等人有期徒刑捌月，減為肆月，得易科罰金，檢察官起訴違反行為時證券交易法第155條第1項第3款、第4款、第6款(現為第7款)部分無罪，檢察官未再提起上訴，全案定讞。</w:t>
      </w:r>
      <w:proofErr w:type="gramStart"/>
      <w:r w:rsidRPr="00BF62EC">
        <w:rPr>
          <w:rFonts w:hAnsi="標楷體" w:hint="eastAsia"/>
          <w:color w:val="000000" w:themeColor="text1"/>
        </w:rPr>
        <w:t>嗣</w:t>
      </w:r>
      <w:proofErr w:type="gramEnd"/>
      <w:r w:rsidRPr="00BF62EC">
        <w:rPr>
          <w:rFonts w:hAnsi="標楷體" w:hint="eastAsia"/>
          <w:color w:val="000000" w:themeColor="text1"/>
        </w:rPr>
        <w:t>有民眾</w:t>
      </w:r>
      <w:r w:rsidRPr="00BF62EC">
        <w:rPr>
          <w:rFonts w:hint="eastAsia"/>
          <w:color w:val="000000" w:themeColor="text1"/>
        </w:rPr>
        <w:t>署名「臺灣高等法院臺中分院法官們」向本院匿名檢舉略以：最高法院發回</w:t>
      </w:r>
      <w:proofErr w:type="gramStart"/>
      <w:r w:rsidRPr="00BF62EC">
        <w:rPr>
          <w:rFonts w:hint="eastAsia"/>
          <w:color w:val="000000" w:themeColor="text1"/>
        </w:rPr>
        <w:t>臺</w:t>
      </w:r>
      <w:proofErr w:type="gramEnd"/>
      <w:r w:rsidRPr="00BF62EC">
        <w:rPr>
          <w:rFonts w:hint="eastAsia"/>
          <w:color w:val="000000" w:themeColor="text1"/>
        </w:rPr>
        <w:t>中高分院審理過程中，翁茂鍾疑似透過關說，更審判決乃將違反證券交易法部分以罪證不足改判無罪，檢察官竟詭異不再上訴等情。本院</w:t>
      </w:r>
      <w:proofErr w:type="gramStart"/>
      <w:r w:rsidRPr="00BF62EC">
        <w:rPr>
          <w:rFonts w:hint="eastAsia"/>
          <w:color w:val="000000" w:themeColor="text1"/>
        </w:rPr>
        <w:t>鑑</w:t>
      </w:r>
      <w:proofErr w:type="gramEnd"/>
      <w:r w:rsidRPr="00BF62EC">
        <w:rPr>
          <w:rFonts w:hint="eastAsia"/>
          <w:color w:val="000000" w:themeColor="text1"/>
        </w:rPr>
        <w:t>於前公務員懲戒委員會委員長石木欽因與翁茂鍾不當往來，經本院彈劾移送懲戒後，翁茂鍾應華炒股案更審判決究有無違背法令或再審事由引發社會關注，爰立案調查，</w:t>
      </w:r>
      <w:proofErr w:type="gramStart"/>
      <w:r w:rsidRPr="00BF62EC">
        <w:rPr>
          <w:rFonts w:hint="eastAsia"/>
          <w:color w:val="000000" w:themeColor="text1"/>
        </w:rPr>
        <w:t>法務部亦責</w:t>
      </w:r>
      <w:proofErr w:type="gramEnd"/>
      <w:r w:rsidRPr="00BF62EC">
        <w:rPr>
          <w:rFonts w:hint="eastAsia"/>
          <w:color w:val="000000" w:themeColor="text1"/>
        </w:rPr>
        <w:t>由</w:t>
      </w:r>
      <w:r w:rsidRPr="00BF62EC">
        <w:rPr>
          <w:rFonts w:hint="eastAsia"/>
          <w:color w:val="000000" w:themeColor="text1"/>
        </w:rPr>
        <w:lastRenderedPageBreak/>
        <w:t>臺灣高等檢察署於110年1月19日將</w:t>
      </w:r>
      <w:proofErr w:type="gramStart"/>
      <w:r w:rsidRPr="00BF62EC">
        <w:rPr>
          <w:rFonts w:hint="eastAsia"/>
          <w:color w:val="000000" w:themeColor="text1"/>
        </w:rPr>
        <w:t>應華炒</w:t>
      </w:r>
      <w:proofErr w:type="gramEnd"/>
      <w:r w:rsidRPr="00BF62EC">
        <w:rPr>
          <w:rFonts w:hint="eastAsia"/>
          <w:color w:val="000000" w:themeColor="text1"/>
        </w:rPr>
        <w:t>股案函發臺中地檢署重啟司法調查，刻由臺中地檢署以他字案件</w:t>
      </w:r>
      <w:r w:rsidRPr="00BF62EC">
        <w:rPr>
          <w:color w:val="000000" w:themeColor="text1"/>
        </w:rPr>
        <w:t>被告不詳</w:t>
      </w:r>
      <w:r w:rsidRPr="00BF62EC">
        <w:rPr>
          <w:rFonts w:hAnsi="標楷體" w:hint="eastAsia"/>
          <w:color w:val="000000" w:themeColor="text1"/>
        </w:rPr>
        <w:t>(</w:t>
      </w:r>
      <w:proofErr w:type="gramStart"/>
      <w:r w:rsidRPr="00BF62EC">
        <w:rPr>
          <w:rFonts w:hint="eastAsia"/>
          <w:color w:val="000000" w:themeColor="text1"/>
        </w:rPr>
        <w:t>11</w:t>
      </w:r>
      <w:proofErr w:type="gramEnd"/>
      <w:r w:rsidRPr="00BF62EC">
        <w:rPr>
          <w:rFonts w:hint="eastAsia"/>
          <w:color w:val="000000" w:themeColor="text1"/>
        </w:rPr>
        <w:t>0年度他字第6</w:t>
      </w:r>
      <w:r w:rsidRPr="00BF62EC">
        <w:rPr>
          <w:color w:val="000000" w:themeColor="text1"/>
        </w:rPr>
        <w:t>90</w:t>
      </w:r>
      <w:r w:rsidRPr="00BF62EC">
        <w:rPr>
          <w:rFonts w:hint="eastAsia"/>
          <w:color w:val="000000" w:themeColor="text1"/>
        </w:rPr>
        <w:t>號</w:t>
      </w:r>
      <w:r w:rsidRPr="00BF62EC">
        <w:rPr>
          <w:rFonts w:hAnsi="標楷體" w:hint="eastAsia"/>
          <w:color w:val="000000" w:themeColor="text1"/>
        </w:rPr>
        <w:t>)</w:t>
      </w:r>
      <w:r w:rsidRPr="00BF62EC">
        <w:rPr>
          <w:rFonts w:hint="eastAsia"/>
          <w:color w:val="000000" w:themeColor="text1"/>
        </w:rPr>
        <w:t>偵辦中，本院已函請法務部俟偵查終結後提供卷證資料供參。惟為避免案件久懸，本調查報告</w:t>
      </w:r>
      <w:proofErr w:type="gramStart"/>
      <w:r w:rsidRPr="00BF62EC">
        <w:rPr>
          <w:rFonts w:hint="eastAsia"/>
          <w:color w:val="000000" w:themeColor="text1"/>
        </w:rPr>
        <w:t>爰</w:t>
      </w:r>
      <w:proofErr w:type="gramEnd"/>
      <w:r w:rsidRPr="00BF62EC">
        <w:rPr>
          <w:rFonts w:hint="eastAsia"/>
          <w:color w:val="000000" w:themeColor="text1"/>
        </w:rPr>
        <w:t>就本案確定判決</w:t>
      </w:r>
      <w:r w:rsidRPr="00BF62EC">
        <w:rPr>
          <w:rFonts w:hAnsi="標楷體" w:hint="eastAsia"/>
          <w:color w:val="000000" w:themeColor="text1"/>
        </w:rPr>
        <w:t>(即臺中高分院</w:t>
      </w:r>
      <w:r w:rsidRPr="00BF62EC">
        <w:rPr>
          <w:rFonts w:hint="eastAsia"/>
          <w:color w:val="000000" w:themeColor="text1"/>
        </w:rPr>
        <w:t>更審判決</w:t>
      </w:r>
      <w:r w:rsidRPr="00BF62EC">
        <w:rPr>
          <w:rFonts w:hAnsi="標楷體" w:hint="eastAsia"/>
          <w:color w:val="000000" w:themeColor="text1"/>
        </w:rPr>
        <w:t>)</w:t>
      </w:r>
      <w:r w:rsidRPr="00BF62EC">
        <w:rPr>
          <w:rFonts w:hint="eastAsia"/>
          <w:color w:val="000000" w:themeColor="text1"/>
        </w:rPr>
        <w:t>有無判決違背法令，以及更審過程中是否有人關說疑義，就</w:t>
      </w:r>
      <w:proofErr w:type="gramStart"/>
      <w:r w:rsidRPr="00BF62EC">
        <w:rPr>
          <w:rFonts w:hint="eastAsia"/>
          <w:color w:val="000000" w:themeColor="text1"/>
        </w:rPr>
        <w:t>現階段</w:t>
      </w:r>
      <w:proofErr w:type="gramEnd"/>
      <w:r w:rsidRPr="00BF62EC">
        <w:rPr>
          <w:rFonts w:hint="eastAsia"/>
          <w:color w:val="000000" w:themeColor="text1"/>
        </w:rPr>
        <w:t>卷證資料先予調查，至於司法重啟偵查部分，後續偵查</w:t>
      </w:r>
      <w:proofErr w:type="gramStart"/>
      <w:r w:rsidRPr="00BF62EC">
        <w:rPr>
          <w:rFonts w:hint="eastAsia"/>
          <w:color w:val="000000" w:themeColor="text1"/>
        </w:rPr>
        <w:t>結果倘涉</w:t>
      </w:r>
      <w:proofErr w:type="gramEnd"/>
      <w:r w:rsidRPr="00BF62EC">
        <w:rPr>
          <w:rFonts w:hint="eastAsia"/>
          <w:color w:val="000000" w:themeColor="text1"/>
        </w:rPr>
        <w:t>有違失，將另行處理</w:t>
      </w:r>
      <w:r w:rsidRPr="00BF62EC">
        <w:rPr>
          <w:rFonts w:hAnsi="標楷體" w:hint="eastAsia"/>
          <w:color w:val="000000" w:themeColor="text1"/>
        </w:rPr>
        <w:t>。</w:t>
      </w:r>
      <w:r w:rsidRPr="00BF62EC">
        <w:rPr>
          <w:rFonts w:hint="eastAsia"/>
          <w:color w:val="000000" w:themeColor="text1"/>
        </w:rPr>
        <w:t>茲就調查意見詳述如下：</w:t>
      </w:r>
    </w:p>
    <w:p w14:paraId="72E34E5D" w14:textId="77777777" w:rsidR="00EA6434" w:rsidRPr="00BF62EC" w:rsidRDefault="00EA6434" w:rsidP="00EA6434">
      <w:pPr>
        <w:pStyle w:val="2"/>
        <w:numPr>
          <w:ilvl w:val="1"/>
          <w:numId w:val="1"/>
        </w:numPr>
        <w:ind w:left="1021"/>
        <w:rPr>
          <w:b/>
          <w:color w:val="000000" w:themeColor="text1"/>
        </w:rPr>
      </w:pPr>
      <w:bookmarkStart w:id="60" w:name="_Toc421794873"/>
      <w:bookmarkStart w:id="61" w:name="_Toc422834158"/>
      <w:proofErr w:type="gramStart"/>
      <w:r w:rsidRPr="00BF62EC">
        <w:rPr>
          <w:rFonts w:hint="eastAsia"/>
          <w:b/>
          <w:color w:val="000000" w:themeColor="text1"/>
        </w:rPr>
        <w:t>應華炒股</w:t>
      </w:r>
      <w:proofErr w:type="gramEnd"/>
      <w:r w:rsidRPr="00BF62EC">
        <w:rPr>
          <w:rFonts w:hint="eastAsia"/>
          <w:b/>
          <w:color w:val="000000" w:themeColor="text1"/>
        </w:rPr>
        <w:t>案被告等人謀議訂定底價，支付佣金委託作手操盤，</w:t>
      </w:r>
      <w:bookmarkStart w:id="62" w:name="_Hlk115001501"/>
      <w:r w:rsidRPr="00BF62EC">
        <w:rPr>
          <w:rFonts w:hint="eastAsia"/>
          <w:b/>
          <w:color w:val="000000" w:themeColor="text1"/>
        </w:rPr>
        <w:t>利用集團投資人帳戶買進賣出股票，明顯異於常情，與被告聲稱純為籌錢還債之說法未合，又監聽譯文顯示被告等人確有商談操縱買賣，且操盤期間價量分析異常，綜合各項事證判斷，是否具有操縱行為及意圖，</w:t>
      </w:r>
      <w:bookmarkEnd w:id="62"/>
      <w:proofErr w:type="gramStart"/>
      <w:r w:rsidRPr="00BF62EC">
        <w:rPr>
          <w:rFonts w:hint="eastAsia"/>
          <w:b/>
          <w:color w:val="000000" w:themeColor="text1"/>
        </w:rPr>
        <w:t>核屬有</w:t>
      </w:r>
      <w:proofErr w:type="gramEnd"/>
      <w:r w:rsidRPr="00BF62EC">
        <w:rPr>
          <w:rFonts w:hint="eastAsia"/>
          <w:b/>
          <w:color w:val="000000" w:themeColor="text1"/>
        </w:rPr>
        <w:t>疑，本案確定判決</w:t>
      </w:r>
      <w:r w:rsidRPr="00BF62EC">
        <w:rPr>
          <w:rFonts w:hAnsi="標楷體" w:hint="eastAsia"/>
          <w:b/>
          <w:color w:val="000000" w:themeColor="text1"/>
        </w:rPr>
        <w:t>（</w:t>
      </w:r>
      <w:r w:rsidRPr="00BF62EC">
        <w:rPr>
          <w:rFonts w:hint="eastAsia"/>
          <w:b/>
          <w:color w:val="000000" w:themeColor="text1"/>
        </w:rPr>
        <w:t>即臺中高分院更審判決</w:t>
      </w:r>
      <w:r w:rsidRPr="00BF62EC">
        <w:rPr>
          <w:rFonts w:hAnsi="標楷體" w:hint="eastAsia"/>
          <w:b/>
          <w:color w:val="000000" w:themeColor="text1"/>
        </w:rPr>
        <w:t>）遽以「賣股償債為真」、「應華公司股票為小型股成交量有限」等理由，認定被告主觀上無操縱意圖，與司法實務長期以來綜合客觀行為認定是否具有主觀不法意圖的判斷基準及學說見解有所不同，除</w:t>
      </w:r>
      <w:r w:rsidRPr="00BF62EC">
        <w:rPr>
          <w:rFonts w:hint="eastAsia"/>
          <w:b/>
          <w:color w:val="000000" w:themeColor="text1"/>
        </w:rPr>
        <w:t>有適用法則不當、理由不備等判決違背法令</w:t>
      </w:r>
      <w:bookmarkEnd w:id="60"/>
      <w:bookmarkEnd w:id="61"/>
      <w:r w:rsidRPr="00BF62EC">
        <w:rPr>
          <w:rFonts w:hint="eastAsia"/>
          <w:b/>
          <w:color w:val="000000" w:themeColor="text1"/>
        </w:rPr>
        <w:t>，相關爭議與統一適用法令有關，具有原則上重要性，</w:t>
      </w:r>
      <w:bookmarkStart w:id="63" w:name="_Hlk114999551"/>
      <w:r w:rsidRPr="00BF62EC">
        <w:rPr>
          <w:rFonts w:hint="eastAsia"/>
          <w:b/>
          <w:color w:val="000000" w:themeColor="text1"/>
        </w:rPr>
        <w:t>宜請法務部轉所屬研議提起非常上訴</w:t>
      </w:r>
      <w:bookmarkEnd w:id="63"/>
      <w:r w:rsidRPr="00BF62EC">
        <w:rPr>
          <w:rFonts w:hAnsi="標楷體" w:hint="eastAsia"/>
          <w:b/>
          <w:color w:val="000000" w:themeColor="text1"/>
        </w:rPr>
        <w:t>。</w:t>
      </w:r>
    </w:p>
    <w:p w14:paraId="15422CD1" w14:textId="77777777" w:rsidR="00EA6434" w:rsidRPr="00BF62EC" w:rsidRDefault="00EA6434" w:rsidP="00EA6434">
      <w:pPr>
        <w:pStyle w:val="3"/>
        <w:numPr>
          <w:ilvl w:val="2"/>
          <w:numId w:val="1"/>
        </w:numPr>
        <w:rPr>
          <w:rFonts w:hAnsi="標楷體"/>
          <w:color w:val="000000" w:themeColor="text1"/>
        </w:rPr>
      </w:pPr>
      <w:r w:rsidRPr="00BF62EC">
        <w:rPr>
          <w:rFonts w:hAnsi="標楷體" w:hint="eastAsia"/>
          <w:color w:val="000000" w:themeColor="text1"/>
        </w:rPr>
        <w:t>「</w:t>
      </w:r>
      <w:r w:rsidRPr="00BF62EC">
        <w:rPr>
          <w:rFonts w:hint="eastAsia"/>
          <w:color w:val="000000" w:themeColor="text1"/>
        </w:rPr>
        <w:t>判決不適用法則或適用不當者，為違背法令。</w:t>
      </w:r>
      <w:r w:rsidRPr="00BF62EC">
        <w:rPr>
          <w:rFonts w:hAnsi="標楷體" w:hint="eastAsia"/>
          <w:color w:val="000000" w:themeColor="text1"/>
        </w:rPr>
        <w:t>」</w:t>
      </w:r>
      <w:r w:rsidRPr="00BF62EC">
        <w:rPr>
          <w:rFonts w:ascii="新細明體" w:eastAsia="新細明體" w:hAnsi="新細明體" w:hint="eastAsia"/>
          <w:color w:val="000000" w:themeColor="text1"/>
        </w:rPr>
        <w:t>、</w:t>
      </w:r>
      <w:r w:rsidRPr="00BF62EC">
        <w:rPr>
          <w:rFonts w:hAnsi="標楷體" w:hint="eastAsia"/>
          <w:color w:val="000000" w:themeColor="text1"/>
        </w:rPr>
        <w:t>「有左列情形之</w:t>
      </w:r>
      <w:proofErr w:type="gramStart"/>
      <w:r w:rsidRPr="00BF62EC">
        <w:rPr>
          <w:rFonts w:hAnsi="標楷體" w:hint="eastAsia"/>
          <w:color w:val="000000" w:themeColor="text1"/>
        </w:rPr>
        <w:t>一</w:t>
      </w:r>
      <w:proofErr w:type="gramEnd"/>
      <w:r w:rsidRPr="00BF62EC">
        <w:rPr>
          <w:rFonts w:hAnsi="標楷體" w:hint="eastAsia"/>
          <w:color w:val="000000" w:themeColor="text1"/>
        </w:rPr>
        <w:t>者，其判決當然違背法令︰……十四、判決不載理由或所載理由矛盾者。」刑事訴訟法第3</w:t>
      </w:r>
      <w:r w:rsidRPr="00BF62EC">
        <w:rPr>
          <w:rFonts w:hAnsi="標楷體"/>
          <w:color w:val="000000" w:themeColor="text1"/>
        </w:rPr>
        <w:t>78</w:t>
      </w:r>
      <w:r w:rsidRPr="00BF62EC">
        <w:rPr>
          <w:rFonts w:hAnsi="標楷體" w:hint="eastAsia"/>
          <w:color w:val="000000" w:themeColor="text1"/>
        </w:rPr>
        <w:t>條、第379條第1</w:t>
      </w:r>
      <w:r w:rsidRPr="00BF62EC">
        <w:rPr>
          <w:rFonts w:hAnsi="標楷體"/>
          <w:color w:val="000000" w:themeColor="text1"/>
        </w:rPr>
        <w:t>4</w:t>
      </w:r>
      <w:r w:rsidRPr="00BF62EC">
        <w:rPr>
          <w:rFonts w:hAnsi="標楷體" w:hint="eastAsia"/>
          <w:color w:val="000000" w:themeColor="text1"/>
        </w:rPr>
        <w:t>款定有明文。</w:t>
      </w:r>
      <w:r w:rsidRPr="00BF62EC">
        <w:rPr>
          <w:rFonts w:hint="eastAsia"/>
          <w:color w:val="000000" w:themeColor="text1"/>
        </w:rPr>
        <w:t>無罪之判決，</w:t>
      </w:r>
      <w:proofErr w:type="gramStart"/>
      <w:r w:rsidRPr="00BF62EC">
        <w:rPr>
          <w:rFonts w:hint="eastAsia"/>
          <w:color w:val="000000" w:themeColor="text1"/>
        </w:rPr>
        <w:t>依法既應記載</w:t>
      </w:r>
      <w:proofErr w:type="gramEnd"/>
      <w:r w:rsidRPr="00BF62EC">
        <w:rPr>
          <w:rFonts w:hint="eastAsia"/>
          <w:color w:val="000000" w:themeColor="text1"/>
        </w:rPr>
        <w:t>其理由，則對於卷內不利之證據資料，如何不足以證明被告犯罪，自應詳述其理由，否則即有理由不備之違法</w:t>
      </w:r>
      <w:bookmarkStart w:id="64" w:name="_Hlk114751380"/>
      <w:r w:rsidRPr="00BF62EC">
        <w:rPr>
          <w:rFonts w:hAnsi="標楷體" w:hint="eastAsia"/>
          <w:color w:val="000000" w:themeColor="text1"/>
        </w:rPr>
        <w:t>(</w:t>
      </w:r>
      <w:r w:rsidRPr="00BF62EC">
        <w:rPr>
          <w:rFonts w:hAnsi="標楷體"/>
          <w:color w:val="000000" w:themeColor="text1"/>
        </w:rPr>
        <w:t>最高法院</w:t>
      </w:r>
      <w:proofErr w:type="gramStart"/>
      <w:r w:rsidRPr="00BF62EC">
        <w:rPr>
          <w:rFonts w:hAnsi="標楷體"/>
          <w:color w:val="000000" w:themeColor="text1"/>
        </w:rPr>
        <w:t>10</w:t>
      </w:r>
      <w:proofErr w:type="gramEnd"/>
      <w:r w:rsidRPr="00BF62EC">
        <w:rPr>
          <w:rFonts w:hAnsi="標楷體"/>
          <w:color w:val="000000" w:themeColor="text1"/>
        </w:rPr>
        <w:t>0年度台上字第597號判決</w:t>
      </w:r>
      <w:r w:rsidRPr="00BF62EC">
        <w:rPr>
          <w:rFonts w:hAnsi="標楷體" w:hint="eastAsia"/>
          <w:color w:val="000000" w:themeColor="text1"/>
        </w:rPr>
        <w:t>參照)</w:t>
      </w:r>
      <w:bookmarkEnd w:id="64"/>
      <w:r w:rsidRPr="00BF62EC">
        <w:rPr>
          <w:rFonts w:hint="eastAsia"/>
          <w:color w:val="000000" w:themeColor="text1"/>
        </w:rPr>
        <w:t>。</w:t>
      </w:r>
    </w:p>
    <w:p w14:paraId="26BDF81D" w14:textId="77777777" w:rsidR="00EA6434" w:rsidRPr="00BF62EC" w:rsidRDefault="00EA6434" w:rsidP="00EA6434">
      <w:pPr>
        <w:pStyle w:val="3"/>
        <w:numPr>
          <w:ilvl w:val="2"/>
          <w:numId w:val="1"/>
        </w:numPr>
        <w:rPr>
          <w:rFonts w:hAnsi="標楷體"/>
          <w:color w:val="000000" w:themeColor="text1"/>
        </w:rPr>
      </w:pPr>
      <w:r w:rsidRPr="00BF62EC">
        <w:rPr>
          <w:rFonts w:hint="eastAsia"/>
          <w:color w:val="000000" w:themeColor="text1"/>
        </w:rPr>
        <w:lastRenderedPageBreak/>
        <w:t>按本案行為時之證券交易法第1</w:t>
      </w:r>
      <w:r w:rsidRPr="00BF62EC">
        <w:rPr>
          <w:color w:val="000000" w:themeColor="text1"/>
        </w:rPr>
        <w:t>55</w:t>
      </w:r>
      <w:r w:rsidRPr="00BF62EC">
        <w:rPr>
          <w:rFonts w:hint="eastAsia"/>
          <w:color w:val="000000" w:themeColor="text1"/>
        </w:rPr>
        <w:t>條第1項第3款、第4款規定，不得有</w:t>
      </w:r>
      <w:r w:rsidRPr="00BF62EC">
        <w:rPr>
          <w:rFonts w:hAnsi="標楷體" w:hint="eastAsia"/>
          <w:color w:val="000000" w:themeColor="text1"/>
        </w:rPr>
        <w:t>「</w:t>
      </w:r>
      <w:r w:rsidRPr="00BF62EC">
        <w:rPr>
          <w:rFonts w:hint="eastAsia"/>
          <w:color w:val="000000" w:themeColor="text1"/>
        </w:rPr>
        <w:t>意圖抬高或壓低集中交易市場某種有價證券之交易價格</w:t>
      </w:r>
      <w:r w:rsidRPr="00BF62EC">
        <w:rPr>
          <w:rFonts w:hAnsi="標楷體" w:hint="eastAsia"/>
          <w:color w:val="000000" w:themeColor="text1"/>
        </w:rPr>
        <w:t>，</w:t>
      </w:r>
      <w:r w:rsidRPr="00BF62EC">
        <w:rPr>
          <w:rFonts w:hint="eastAsia"/>
          <w:color w:val="000000" w:themeColor="text1"/>
        </w:rPr>
        <w:t>與他人通謀</w:t>
      </w:r>
      <w:r w:rsidRPr="00BF62EC">
        <w:rPr>
          <w:rFonts w:hAnsi="標楷體" w:hint="eastAsia"/>
          <w:color w:val="000000" w:themeColor="text1"/>
        </w:rPr>
        <w:t>，</w:t>
      </w:r>
      <w:r w:rsidRPr="00BF62EC">
        <w:rPr>
          <w:rFonts w:hint="eastAsia"/>
          <w:color w:val="000000" w:themeColor="text1"/>
        </w:rPr>
        <w:t>以約定價格於自己出售，或購買有價證券時，使約定人同時為購買或出售之相對行為</w:t>
      </w:r>
      <w:r w:rsidRPr="00BF62EC">
        <w:rPr>
          <w:rFonts w:hAnsi="標楷體" w:hint="eastAsia"/>
          <w:color w:val="000000" w:themeColor="text1"/>
        </w:rPr>
        <w:t>」(</w:t>
      </w:r>
      <w:proofErr w:type="gramStart"/>
      <w:r w:rsidRPr="00BF62EC">
        <w:rPr>
          <w:rFonts w:hAnsi="標楷體" w:hint="eastAsia"/>
          <w:color w:val="000000" w:themeColor="text1"/>
        </w:rPr>
        <w:t>即對敲行為</w:t>
      </w:r>
      <w:proofErr w:type="gramEnd"/>
      <w:r w:rsidRPr="00BF62EC">
        <w:rPr>
          <w:rFonts w:hAnsi="標楷體" w:hint="eastAsia"/>
          <w:color w:val="000000" w:themeColor="text1"/>
        </w:rPr>
        <w:t>)、</w:t>
      </w:r>
      <w:r w:rsidRPr="00BF62EC">
        <w:rPr>
          <w:rFonts w:hint="eastAsia"/>
          <w:color w:val="000000" w:themeColor="text1"/>
        </w:rPr>
        <w:t>「</w:t>
      </w:r>
      <w:r w:rsidRPr="00BF62EC">
        <w:rPr>
          <w:color w:val="000000" w:themeColor="text1"/>
        </w:rPr>
        <w:t>意圖</w:t>
      </w:r>
      <w:r w:rsidRPr="00BF62EC">
        <w:rPr>
          <w:rFonts w:hint="eastAsia"/>
          <w:color w:val="000000" w:themeColor="text1"/>
        </w:rPr>
        <w:t>抬高或壓低集中交易市場某種有價證券之交易價格，自行或以</w:t>
      </w:r>
      <w:r w:rsidRPr="00BF62EC">
        <w:rPr>
          <w:rFonts w:hAnsi="標楷體" w:hint="eastAsia"/>
          <w:color w:val="000000" w:themeColor="text1"/>
        </w:rPr>
        <w:t>他人名義，對該有價證券，連續以高價買入或以低價賣出」(即連續交易)。關於行為人「</w:t>
      </w:r>
      <w:r w:rsidRPr="00BF62EC">
        <w:rPr>
          <w:rFonts w:hAnsi="標楷體"/>
          <w:color w:val="000000" w:themeColor="text1"/>
        </w:rPr>
        <w:t>意圖</w:t>
      </w:r>
      <w:r w:rsidRPr="00BF62EC">
        <w:rPr>
          <w:rFonts w:hAnsi="標楷體" w:hint="eastAsia"/>
          <w:color w:val="000000" w:themeColor="text1"/>
        </w:rPr>
        <w:t>抬高或壓低集中交易市場某種有價證券之交易價格」之主觀構成要件，係屬行為人之心中想法，通常未表現於外，又行為人大都否認有此不法意圖，必須依賴其客觀行為所顯現之具體情狀，加以綜合判斷(最高法院</w:t>
      </w:r>
      <w:proofErr w:type="gramStart"/>
      <w:r w:rsidRPr="00BF62EC">
        <w:rPr>
          <w:rFonts w:hAnsi="標楷體" w:hint="eastAsia"/>
          <w:color w:val="000000" w:themeColor="text1"/>
        </w:rPr>
        <w:t>101</w:t>
      </w:r>
      <w:proofErr w:type="gramEnd"/>
      <w:r w:rsidRPr="00BF62EC">
        <w:rPr>
          <w:rFonts w:hAnsi="標楷體" w:hint="eastAsia"/>
          <w:color w:val="000000" w:themeColor="text1"/>
        </w:rPr>
        <w:t>年度台上字第5026號判決參照，本案確定判決亦同此見解)。最高法院見解認為，「行為人主觀上是否具有上開意圖，應綜合行為人於買賣股票</w:t>
      </w:r>
      <w:r w:rsidRPr="00BF62EC">
        <w:rPr>
          <w:rFonts w:hAnsi="標楷體"/>
          <w:color w:val="000000" w:themeColor="text1"/>
        </w:rPr>
        <w:t>期間</w:t>
      </w:r>
      <w:r w:rsidRPr="00BF62EC">
        <w:rPr>
          <w:rFonts w:hAnsi="標楷體" w:hint="eastAsia"/>
          <w:color w:val="000000" w:themeColor="text1"/>
        </w:rPr>
        <w:t>：(</w:t>
      </w:r>
      <w:r w:rsidRPr="00BF62EC">
        <w:rPr>
          <w:rFonts w:hAnsi="標楷體"/>
          <w:color w:val="000000" w:themeColor="text1"/>
        </w:rPr>
        <w:t>1</w:t>
      </w:r>
      <w:r w:rsidRPr="00BF62EC">
        <w:rPr>
          <w:rFonts w:hAnsi="標楷體" w:hint="eastAsia"/>
          <w:color w:val="000000" w:themeColor="text1"/>
        </w:rPr>
        <w:t>)</w:t>
      </w:r>
      <w:r w:rsidRPr="00BF62EC">
        <w:rPr>
          <w:rFonts w:hAnsi="標楷體" w:cs="標楷體" w:hint="eastAsia"/>
          <w:color w:val="000000" w:themeColor="text1"/>
        </w:rPr>
        <w:t>股票之價、量變化是否背離集中</w:t>
      </w:r>
      <w:proofErr w:type="gramStart"/>
      <w:r w:rsidRPr="00BF62EC">
        <w:rPr>
          <w:rFonts w:hAnsi="標楷體" w:cs="標楷體" w:hint="eastAsia"/>
          <w:color w:val="000000" w:themeColor="text1"/>
        </w:rPr>
        <w:t>巿</w:t>
      </w:r>
      <w:proofErr w:type="gramEnd"/>
      <w:r w:rsidRPr="00BF62EC">
        <w:rPr>
          <w:rFonts w:hAnsi="標楷體" w:cs="標楷體" w:hint="eastAsia"/>
          <w:color w:val="000000" w:themeColor="text1"/>
        </w:rPr>
        <w:t>場走勢？(</w:t>
      </w:r>
      <w:r w:rsidRPr="00BF62EC">
        <w:rPr>
          <w:rFonts w:hAnsi="標楷體" w:cs="標楷體"/>
          <w:color w:val="000000" w:themeColor="text1"/>
        </w:rPr>
        <w:t>2</w:t>
      </w:r>
      <w:r w:rsidRPr="00BF62EC">
        <w:rPr>
          <w:rFonts w:hAnsi="標楷體" w:cs="標楷體" w:hint="eastAsia"/>
          <w:color w:val="000000" w:themeColor="text1"/>
        </w:rPr>
        <w:t>)股票之價、量變</w:t>
      </w:r>
      <w:r w:rsidRPr="00BF62EC">
        <w:rPr>
          <w:rFonts w:hAnsi="標楷體" w:hint="eastAsia"/>
          <w:color w:val="000000" w:themeColor="text1"/>
        </w:rPr>
        <w:t>化是否背離同類股股票走勢？(3)行</w:t>
      </w:r>
      <w:r w:rsidRPr="00BF62EC">
        <w:rPr>
          <w:rFonts w:hAnsi="標楷體" w:cs="標楷體" w:hint="eastAsia"/>
          <w:color w:val="000000" w:themeColor="text1"/>
        </w:rPr>
        <w:t>為人是否有以高於平均買價、</w:t>
      </w:r>
      <w:r w:rsidRPr="00BF62EC">
        <w:rPr>
          <w:rFonts w:hAnsi="標楷體" w:hint="eastAsia"/>
          <w:color w:val="000000" w:themeColor="text1"/>
        </w:rPr>
        <w:t>接近最高買價或以漲停價委託或以拉尾盤方式買入股票？(4)行</w:t>
      </w:r>
      <w:r w:rsidRPr="00BF62EC">
        <w:rPr>
          <w:rFonts w:hAnsi="標楷體" w:cs="標楷體" w:hint="eastAsia"/>
          <w:color w:val="000000" w:themeColor="text1"/>
        </w:rPr>
        <w:t>為</w:t>
      </w:r>
      <w:r w:rsidRPr="00BF62EC">
        <w:rPr>
          <w:rFonts w:hAnsi="標楷體" w:hint="eastAsia"/>
          <w:color w:val="000000" w:themeColor="text1"/>
        </w:rPr>
        <w:t>人有無利用</w:t>
      </w:r>
      <w:proofErr w:type="gramStart"/>
      <w:r w:rsidRPr="00BF62EC">
        <w:rPr>
          <w:rFonts w:hAnsi="標楷體" w:hint="eastAsia"/>
          <w:color w:val="000000" w:themeColor="text1"/>
        </w:rPr>
        <w:t>拉抬後之</w:t>
      </w:r>
      <w:proofErr w:type="gramEnd"/>
      <w:r w:rsidRPr="00BF62EC">
        <w:rPr>
          <w:rFonts w:hAnsi="標楷體" w:hint="eastAsia"/>
          <w:color w:val="000000" w:themeColor="text1"/>
        </w:rPr>
        <w:t>股票價格賣出系爭股票獲得鉅額利益？(5)行為人介入</w:t>
      </w:r>
      <w:proofErr w:type="gramStart"/>
      <w:r w:rsidRPr="00BF62EC">
        <w:rPr>
          <w:rFonts w:hAnsi="標楷體" w:hint="eastAsia"/>
          <w:color w:val="000000" w:themeColor="text1"/>
        </w:rPr>
        <w:t>期間，</w:t>
      </w:r>
      <w:proofErr w:type="gramEnd"/>
      <w:r w:rsidRPr="00BF62EC">
        <w:rPr>
          <w:rFonts w:hAnsi="標楷體" w:hint="eastAsia"/>
          <w:color w:val="000000" w:themeColor="text1"/>
        </w:rPr>
        <w:t>曾否以漲停價收盤？(6)</w:t>
      </w:r>
      <w:r w:rsidRPr="00BF62EC">
        <w:rPr>
          <w:rFonts w:hAnsi="標楷體" w:cs="標楷體" w:hint="eastAsia"/>
          <w:color w:val="000000" w:themeColor="text1"/>
        </w:rPr>
        <w:t>有無變態交易之情形？等</w:t>
      </w:r>
      <w:r w:rsidRPr="00BF62EC">
        <w:rPr>
          <w:rFonts w:hAnsi="標楷體" w:hint="eastAsia"/>
          <w:color w:val="000000" w:themeColor="text1"/>
        </w:rPr>
        <w:t>客觀之事實，</w:t>
      </w:r>
      <w:r w:rsidRPr="00BF62EC">
        <w:rPr>
          <w:rFonts w:hAnsi="標楷體"/>
          <w:color w:val="000000" w:themeColor="text1"/>
        </w:rPr>
        <w:t>予以</w:t>
      </w:r>
      <w:r w:rsidRPr="00BF62EC">
        <w:rPr>
          <w:rFonts w:hAnsi="標楷體" w:hint="eastAsia"/>
          <w:color w:val="000000" w:themeColor="text1"/>
        </w:rPr>
        <w:t>判斷之。」(</w:t>
      </w:r>
      <w:r w:rsidRPr="00BF62EC">
        <w:rPr>
          <w:rFonts w:hAnsi="標楷體"/>
          <w:color w:val="000000" w:themeColor="text1"/>
        </w:rPr>
        <w:t>最高法院</w:t>
      </w:r>
      <w:proofErr w:type="gramStart"/>
      <w:r w:rsidRPr="00BF62EC">
        <w:rPr>
          <w:rFonts w:hAnsi="標楷體"/>
          <w:color w:val="000000" w:themeColor="text1"/>
        </w:rPr>
        <w:t>100</w:t>
      </w:r>
      <w:proofErr w:type="gramEnd"/>
      <w:r w:rsidRPr="00BF62EC">
        <w:rPr>
          <w:rFonts w:hAnsi="標楷體"/>
          <w:color w:val="000000" w:themeColor="text1"/>
        </w:rPr>
        <w:t>年度台上字第597號判決</w:t>
      </w:r>
      <w:r w:rsidRPr="00BF62EC">
        <w:rPr>
          <w:rFonts w:hAnsi="標楷體" w:hint="eastAsia"/>
          <w:color w:val="000000" w:themeColor="text1"/>
        </w:rPr>
        <w:t>參照)。又依學者賴英照教授整理，司法實務上可能認定具有意圖之事證包括：(</w:t>
      </w:r>
      <w:r w:rsidRPr="00BF62EC">
        <w:rPr>
          <w:rFonts w:hAnsi="標楷體"/>
          <w:color w:val="000000" w:themeColor="text1"/>
        </w:rPr>
        <w:t>1</w:t>
      </w:r>
      <w:r w:rsidRPr="00BF62EC">
        <w:rPr>
          <w:rFonts w:hAnsi="標楷體" w:hint="eastAsia"/>
          <w:color w:val="000000" w:themeColor="text1"/>
        </w:rPr>
        <w:t>)</w:t>
      </w:r>
      <w:r w:rsidRPr="00BF62EC">
        <w:rPr>
          <w:rFonts w:hint="eastAsia"/>
          <w:color w:val="000000" w:themeColor="text1"/>
        </w:rPr>
        <w:t>短期內連續大量買賣特定股票，其成交量、值占當日該股票總成交值相當高之比例(10%~95%)</w:t>
      </w:r>
      <w:r w:rsidRPr="00BF62EC">
        <w:rPr>
          <w:rFonts w:hAnsi="標楷體" w:hint="eastAsia"/>
          <w:color w:val="000000" w:themeColor="text1"/>
        </w:rPr>
        <w:t>；(2)利用人頭或子公司，以相對委託、沖洗買賣或其他方式，連續大量買賣股票，製造交易熱絡假象；(3)以高於平均買價、接近最高買價或以當日最高價格為</w:t>
      </w:r>
      <w:r w:rsidRPr="00BF62EC">
        <w:rPr>
          <w:rFonts w:hAnsi="標楷體" w:hint="eastAsia"/>
          <w:color w:val="000000" w:themeColor="text1"/>
        </w:rPr>
        <w:lastRenderedPageBreak/>
        <w:t>限價委託，將股票維持在一定價位，並逐步拉抬，並於收盤前以漲停價委託買進；(4)選擇冷門股或小型股炒作，或雖非冷門股，但股價因炒作行為明顯變動，漲跌幅度遠超大盤指數</w:t>
      </w:r>
      <w:r w:rsidRPr="00BF62EC">
        <w:rPr>
          <w:rStyle w:val="afe"/>
          <w:rFonts w:hAnsi="標楷體"/>
          <w:color w:val="000000" w:themeColor="text1"/>
        </w:rPr>
        <w:footnoteReference w:id="1"/>
      </w:r>
      <w:r w:rsidRPr="00BF62EC">
        <w:rPr>
          <w:rFonts w:hAnsi="標楷體" w:hint="eastAsia"/>
          <w:color w:val="000000" w:themeColor="text1"/>
        </w:rPr>
        <w:t>。</w:t>
      </w:r>
    </w:p>
    <w:p w14:paraId="60E42E20" w14:textId="77777777" w:rsidR="00EA6434" w:rsidRPr="00BF62EC" w:rsidRDefault="00EA6434" w:rsidP="00EA6434">
      <w:pPr>
        <w:pStyle w:val="3"/>
        <w:numPr>
          <w:ilvl w:val="2"/>
          <w:numId w:val="1"/>
        </w:numPr>
        <w:rPr>
          <w:rFonts w:hAnsi="標楷體"/>
          <w:color w:val="000000" w:themeColor="text1"/>
        </w:rPr>
      </w:pPr>
      <w:r w:rsidRPr="00BF62EC">
        <w:rPr>
          <w:rFonts w:hAnsi="標楷體" w:hint="eastAsia"/>
          <w:color w:val="000000" w:themeColor="text1"/>
        </w:rPr>
        <w:t>本案更審判決於</w:t>
      </w:r>
      <w:bookmarkStart w:id="65" w:name="_Hlk114911617"/>
      <w:proofErr w:type="gramStart"/>
      <w:r w:rsidRPr="00BF62EC">
        <w:rPr>
          <w:rFonts w:hAnsi="標楷體" w:hint="eastAsia"/>
          <w:color w:val="000000" w:themeColor="text1"/>
        </w:rPr>
        <w:t>理由欄參</w:t>
      </w:r>
      <w:proofErr w:type="gramEnd"/>
      <w:r w:rsidRPr="00BF62EC">
        <w:rPr>
          <w:rFonts w:hAnsi="標楷體" w:hint="eastAsia"/>
          <w:color w:val="000000" w:themeColor="text1"/>
        </w:rPr>
        <w:t>、四</w:t>
      </w:r>
      <w:r w:rsidRPr="00BF62EC">
        <w:rPr>
          <w:rFonts w:ascii="新細明體" w:eastAsia="新細明體" w:hAnsi="新細明體" w:hint="eastAsia"/>
          <w:color w:val="000000" w:themeColor="text1"/>
        </w:rPr>
        <w:t>、</w:t>
      </w:r>
      <w:r w:rsidRPr="00BF62EC">
        <w:rPr>
          <w:rFonts w:hAnsi="標楷體" w:hint="eastAsia"/>
          <w:color w:val="000000" w:themeColor="text1"/>
        </w:rPr>
        <w:t>(四)、</w:t>
      </w:r>
      <w:bookmarkEnd w:id="65"/>
      <w:r w:rsidRPr="00BF62EC">
        <w:rPr>
          <w:rFonts w:hAnsi="標楷體"/>
          <w:color w:val="000000" w:themeColor="text1"/>
        </w:rPr>
        <w:t>5</w:t>
      </w:r>
      <w:r w:rsidRPr="00BF62EC">
        <w:rPr>
          <w:rFonts w:hAnsi="標楷體" w:hint="eastAsia"/>
          <w:color w:val="000000" w:themeColor="text1"/>
        </w:rPr>
        <w:t>.說明被告不成立證券交易法第155條第1項第3、4款操縱股價行為之理由係為：「被告等</w:t>
      </w:r>
      <w:proofErr w:type="gramStart"/>
      <w:r w:rsidRPr="00BF62EC">
        <w:rPr>
          <w:rFonts w:hAnsi="標楷體" w:hint="eastAsia"/>
          <w:color w:val="000000" w:themeColor="text1"/>
        </w:rPr>
        <w:t>所辯佳和</w:t>
      </w:r>
      <w:proofErr w:type="gramEnd"/>
      <w:r w:rsidRPr="00BF62EC">
        <w:rPr>
          <w:rFonts w:hAnsi="標楷體" w:hint="eastAsia"/>
          <w:color w:val="000000" w:themeColor="text1"/>
        </w:rPr>
        <w:t>集團委託被告蔡漢凱於94年8月18日起至同年10月間，在集中交易市場出售應華公司股票，係為籌措資金以清償佳和集團積欠之銀行債務，</w:t>
      </w:r>
      <w:proofErr w:type="gramStart"/>
      <w:r w:rsidRPr="00BF62EC">
        <w:rPr>
          <w:rFonts w:hAnsi="標楷體" w:hint="eastAsia"/>
          <w:color w:val="000000" w:themeColor="text1"/>
        </w:rPr>
        <w:t>其等僅單</w:t>
      </w:r>
      <w:proofErr w:type="gramEnd"/>
      <w:r w:rsidRPr="00BF62EC">
        <w:rPr>
          <w:rFonts w:hAnsi="標楷體" w:hint="eastAsia"/>
          <w:color w:val="000000" w:themeColor="text1"/>
        </w:rPr>
        <w:t>純出售股票籌措資金，並無抬高或壓低應華公司股票價格之主觀不法意圖，</w:t>
      </w:r>
      <w:r w:rsidRPr="00BF62EC">
        <w:rPr>
          <w:rFonts w:hAnsi="標楷體"/>
          <w:color w:val="000000" w:themeColor="text1"/>
        </w:rPr>
        <w:t>尚非無據</w:t>
      </w:r>
      <w:r w:rsidRPr="00BF62EC">
        <w:rPr>
          <w:rFonts w:hAnsi="標楷體" w:hint="eastAsia"/>
          <w:color w:val="000000" w:themeColor="text1"/>
        </w:rPr>
        <w:t>，應可採信。」</w:t>
      </w:r>
      <w:proofErr w:type="gramStart"/>
      <w:r w:rsidRPr="00BF62EC">
        <w:rPr>
          <w:rFonts w:hAnsi="標楷體" w:hint="eastAsia"/>
          <w:color w:val="000000" w:themeColor="text1"/>
        </w:rPr>
        <w:t>惟查</w:t>
      </w:r>
      <w:proofErr w:type="gramEnd"/>
      <w:r w:rsidRPr="00BF62EC">
        <w:rPr>
          <w:rFonts w:hAnsi="標楷體" w:hint="eastAsia"/>
          <w:color w:val="000000" w:themeColor="text1"/>
        </w:rPr>
        <w:t>，本案更審判決有下列適用法則不當、理由不備等違背法令：</w:t>
      </w:r>
    </w:p>
    <w:p w14:paraId="2CCA674E" w14:textId="77777777" w:rsidR="00EA6434" w:rsidRPr="00BF62EC" w:rsidRDefault="00EA6434" w:rsidP="00EA6434">
      <w:pPr>
        <w:pStyle w:val="4"/>
        <w:numPr>
          <w:ilvl w:val="3"/>
          <w:numId w:val="1"/>
        </w:numPr>
        <w:rPr>
          <w:b/>
          <w:bCs/>
          <w:color w:val="000000" w:themeColor="text1"/>
        </w:rPr>
      </w:pPr>
      <w:bookmarkStart w:id="66" w:name="_Hlk114826274"/>
      <w:r w:rsidRPr="00BF62EC">
        <w:rPr>
          <w:rFonts w:hint="eastAsia"/>
          <w:b/>
          <w:color w:val="000000" w:themeColor="text1"/>
        </w:rPr>
        <w:t>短期資金需求可能衍生操縱行為之動機</w:t>
      </w:r>
      <w:bookmarkEnd w:id="66"/>
      <w:r w:rsidRPr="00BF62EC">
        <w:rPr>
          <w:rFonts w:hint="eastAsia"/>
          <w:b/>
          <w:color w:val="000000" w:themeColor="text1"/>
        </w:rPr>
        <w:t>，</w:t>
      </w:r>
      <w:proofErr w:type="gramStart"/>
      <w:r w:rsidRPr="00BF62EC">
        <w:rPr>
          <w:rFonts w:hint="eastAsia"/>
          <w:b/>
          <w:color w:val="000000" w:themeColor="text1"/>
        </w:rPr>
        <w:t>遽</w:t>
      </w:r>
      <w:proofErr w:type="gramEnd"/>
      <w:r w:rsidRPr="00BF62EC">
        <w:rPr>
          <w:rFonts w:hint="eastAsia"/>
          <w:b/>
          <w:color w:val="000000" w:themeColor="text1"/>
        </w:rPr>
        <w:t>以</w:t>
      </w:r>
      <w:bookmarkStart w:id="67" w:name="_Hlk114833989"/>
      <w:r w:rsidRPr="00BF62EC">
        <w:rPr>
          <w:rFonts w:hint="eastAsia"/>
          <w:b/>
          <w:color w:val="000000" w:themeColor="text1"/>
        </w:rPr>
        <w:t>賣股償債為真，認定無拉抬股價意圖</w:t>
      </w:r>
      <w:bookmarkEnd w:id="67"/>
      <w:r w:rsidRPr="00BF62EC">
        <w:rPr>
          <w:rFonts w:hint="eastAsia"/>
          <w:b/>
          <w:color w:val="000000" w:themeColor="text1"/>
        </w:rPr>
        <w:t>，尚嫌率斷</w:t>
      </w:r>
    </w:p>
    <w:p w14:paraId="6BE9E177" w14:textId="77777777" w:rsidR="00EA6434" w:rsidRPr="00BF62EC" w:rsidRDefault="00EA6434" w:rsidP="00EA6434">
      <w:pPr>
        <w:pStyle w:val="32"/>
        <w:ind w:leftChars="500" w:left="1701" w:firstLine="680"/>
        <w:rPr>
          <w:color w:val="000000" w:themeColor="text1"/>
        </w:rPr>
      </w:pPr>
      <w:r w:rsidRPr="00BF62EC">
        <w:rPr>
          <w:rFonts w:hint="eastAsia"/>
          <w:color w:val="000000" w:themeColor="text1"/>
        </w:rPr>
        <w:t>本案更審判決於</w:t>
      </w:r>
      <w:proofErr w:type="gramStart"/>
      <w:r w:rsidRPr="00BF62EC">
        <w:rPr>
          <w:rFonts w:hint="eastAsia"/>
          <w:color w:val="000000" w:themeColor="text1"/>
        </w:rPr>
        <w:t>理由欄參</w:t>
      </w:r>
      <w:proofErr w:type="gramEnd"/>
      <w:r w:rsidRPr="00BF62EC">
        <w:rPr>
          <w:rFonts w:hint="eastAsia"/>
          <w:color w:val="000000" w:themeColor="text1"/>
        </w:rPr>
        <w:t>、四、(四)、2說明</w:t>
      </w:r>
      <w:r w:rsidRPr="00BF62EC">
        <w:rPr>
          <w:rFonts w:hAnsi="標楷體" w:hint="eastAsia"/>
          <w:color w:val="000000" w:themeColor="text1"/>
        </w:rPr>
        <w:t>「被告翁茂鍾、王嘉賓於出售佳和公司質押之應華公司股票後，已將所得價金清償第一銀行等情，顯見被告翁茂鍾、王嘉賓委託被告蔡漢凱出售該集團持有之應華公司股票之主觀意圖，</w:t>
      </w:r>
      <w:bookmarkStart w:id="68" w:name="_Hlk114919966"/>
      <w:r w:rsidRPr="00BF62EC">
        <w:rPr>
          <w:rFonts w:hAnsi="標楷體" w:hint="eastAsia"/>
          <w:color w:val="000000" w:themeColor="text1"/>
        </w:rPr>
        <w:t>確係為在短期內籌措資金清償債務</w:t>
      </w:r>
      <w:bookmarkEnd w:id="68"/>
      <w:r w:rsidRPr="00BF62EC">
        <w:rPr>
          <w:rFonts w:hAnsi="標楷體" w:hint="eastAsia"/>
          <w:color w:val="000000" w:themeColor="text1"/>
        </w:rPr>
        <w:t>。」等語。然而，</w:t>
      </w:r>
      <w:r w:rsidRPr="00BF62EC">
        <w:rPr>
          <w:rFonts w:hAnsi="標楷體" w:hint="eastAsia"/>
          <w:color w:val="000000" w:themeColor="text1"/>
          <w:u w:val="single"/>
        </w:rPr>
        <w:t>賣股償債縱使為真，此與行為人是否有操縱股價意圖係屬二事，償債或為賣股動機，而證券交易過程是否因短期資金需求而有操縱行為及意圖，始為爭點要件，有待詳查</w:t>
      </w:r>
      <w:r w:rsidRPr="00BF62EC">
        <w:rPr>
          <w:rFonts w:hAnsi="標楷體" w:hint="eastAsia"/>
          <w:color w:val="000000" w:themeColor="text1"/>
        </w:rPr>
        <w:t>。被告倘單純賣股籌錢，交由公司投資部門處理即可，惟依卷內資料，翁茂</w:t>
      </w:r>
      <w:proofErr w:type="gramStart"/>
      <w:r w:rsidRPr="00BF62EC">
        <w:rPr>
          <w:rFonts w:hAnsi="標楷體" w:hint="eastAsia"/>
          <w:color w:val="000000" w:themeColor="text1"/>
        </w:rPr>
        <w:t>鍾</w:t>
      </w:r>
      <w:proofErr w:type="gramEnd"/>
      <w:r w:rsidRPr="00BF62EC">
        <w:rPr>
          <w:rFonts w:hAnsi="標楷體" w:hint="eastAsia"/>
          <w:color w:val="000000" w:themeColor="text1"/>
        </w:rPr>
        <w:t>指派王嘉賓委託投顧蔡漢凱操盤，約定支付佣金，並利用集團投資人帳戶買賣應華公司股</w:t>
      </w:r>
      <w:r w:rsidRPr="00BF62EC">
        <w:rPr>
          <w:rFonts w:hAnsi="標楷體" w:hint="eastAsia"/>
          <w:color w:val="000000" w:themeColor="text1"/>
        </w:rPr>
        <w:lastRenderedPageBreak/>
        <w:t>票，經由該等客觀行為綜合判斷其主觀不法意圖，背後有無操縱行為及操縱意圖，</w:t>
      </w:r>
      <w:proofErr w:type="gramStart"/>
      <w:r w:rsidRPr="00BF62EC">
        <w:rPr>
          <w:rFonts w:hAnsi="標楷體" w:hint="eastAsia"/>
          <w:color w:val="000000" w:themeColor="text1"/>
        </w:rPr>
        <w:t>核屬有</w:t>
      </w:r>
      <w:proofErr w:type="gramEnd"/>
      <w:r w:rsidRPr="00BF62EC">
        <w:rPr>
          <w:rFonts w:hAnsi="標楷體" w:hint="eastAsia"/>
          <w:color w:val="000000" w:themeColor="text1"/>
        </w:rPr>
        <w:t>疑，本案更審判決對此明顯有違交易常態之情形未見任何論述，逕以賣股償債為真，認定無拉抬股價意圖，與經驗法則與論理法則有悖，而有適用法則不當之違背法令，就上開不利於被告之證據，且為影響判決之重要事項，未說明何以不足為被告不利之認定，遽行判決，亦有理由不備之違背法令。</w:t>
      </w:r>
    </w:p>
    <w:p w14:paraId="067B9309" w14:textId="77777777" w:rsidR="00EA6434" w:rsidRPr="00BF62EC" w:rsidRDefault="00EA6434" w:rsidP="00EA6434">
      <w:pPr>
        <w:pStyle w:val="4"/>
        <w:numPr>
          <w:ilvl w:val="3"/>
          <w:numId w:val="1"/>
        </w:numPr>
        <w:rPr>
          <w:b/>
          <w:bCs/>
          <w:color w:val="000000" w:themeColor="text1"/>
        </w:rPr>
      </w:pPr>
      <w:r w:rsidRPr="00BF62EC">
        <w:rPr>
          <w:rFonts w:hint="eastAsia"/>
          <w:b/>
          <w:bCs/>
          <w:color w:val="000000" w:themeColor="text1"/>
        </w:rPr>
        <w:t>支付佣金委託作手操盤，並利用集團投資人帳戶買賣股票，明顯異於常情，且操盤期間並非只出不進，與被告聲稱純為籌錢還債之說法未合</w:t>
      </w:r>
    </w:p>
    <w:p w14:paraId="4DC47D09" w14:textId="77777777" w:rsidR="00EA6434" w:rsidRPr="00BF62EC" w:rsidRDefault="00EA6434" w:rsidP="00EA6434">
      <w:pPr>
        <w:pStyle w:val="32"/>
        <w:ind w:leftChars="500" w:left="1701" w:firstLine="680"/>
        <w:rPr>
          <w:color w:val="000000" w:themeColor="text1"/>
        </w:rPr>
      </w:pPr>
      <w:r w:rsidRPr="00BF62EC">
        <w:rPr>
          <w:rFonts w:hint="eastAsia"/>
          <w:color w:val="000000" w:themeColor="text1"/>
        </w:rPr>
        <w:t>本案更審判決以被告確係為在短期內籌措資金清償債務，</w:t>
      </w:r>
      <w:proofErr w:type="gramStart"/>
      <w:r w:rsidRPr="00BF62EC">
        <w:rPr>
          <w:rFonts w:hint="eastAsia"/>
          <w:color w:val="000000" w:themeColor="text1"/>
        </w:rPr>
        <w:t>率認無</w:t>
      </w:r>
      <w:proofErr w:type="gramEnd"/>
      <w:r w:rsidRPr="00BF62EC">
        <w:rPr>
          <w:rFonts w:hint="eastAsia"/>
          <w:color w:val="000000" w:themeColor="text1"/>
        </w:rPr>
        <w:t>主觀上不法意圖，核有適用法則不當、理由不備等判決違背法令，已如前述。又退步言，倘被告</w:t>
      </w:r>
      <w:proofErr w:type="gramStart"/>
      <w:r w:rsidRPr="00BF62EC">
        <w:rPr>
          <w:rFonts w:hint="eastAsia"/>
          <w:color w:val="000000" w:themeColor="text1"/>
        </w:rPr>
        <w:t>所辯為真</w:t>
      </w:r>
      <w:proofErr w:type="gramEnd"/>
      <w:r w:rsidRPr="00BF62EC">
        <w:rPr>
          <w:rFonts w:hint="eastAsia"/>
          <w:color w:val="000000" w:themeColor="text1"/>
        </w:rPr>
        <w:t>，僅係單純賣股償債，</w:t>
      </w:r>
      <w:proofErr w:type="gramStart"/>
      <w:r w:rsidRPr="00BF62EC">
        <w:rPr>
          <w:rFonts w:hint="eastAsia"/>
          <w:color w:val="000000" w:themeColor="text1"/>
        </w:rPr>
        <w:t>則佳</w:t>
      </w:r>
      <w:proofErr w:type="gramEnd"/>
      <w:r w:rsidRPr="00BF62EC">
        <w:rPr>
          <w:rFonts w:hint="eastAsia"/>
          <w:color w:val="000000" w:themeColor="text1"/>
        </w:rPr>
        <w:t>和集團持有之應華公司股票理應</w:t>
      </w:r>
      <w:r w:rsidRPr="00BF62EC">
        <w:rPr>
          <w:rFonts w:hAnsi="標楷體" w:hint="eastAsia"/>
          <w:color w:val="000000" w:themeColor="text1"/>
        </w:rPr>
        <w:t>「</w:t>
      </w:r>
      <w:r w:rsidRPr="00BF62EC">
        <w:rPr>
          <w:rFonts w:hint="eastAsia"/>
          <w:color w:val="000000" w:themeColor="text1"/>
        </w:rPr>
        <w:t>只出不進</w:t>
      </w:r>
      <w:r w:rsidRPr="00BF62EC">
        <w:rPr>
          <w:rFonts w:hAnsi="標楷體" w:hint="eastAsia"/>
          <w:color w:val="000000" w:themeColor="text1"/>
        </w:rPr>
        <w:t>」</w:t>
      </w:r>
      <w:r w:rsidRPr="00BF62EC">
        <w:rPr>
          <w:rFonts w:hint="eastAsia"/>
          <w:color w:val="000000" w:themeColor="text1"/>
        </w:rPr>
        <w:t>。然依卷內證據，被告使用集團二及集團三之投資人帳戶於操盤期間買進、賣出應華公司股票，此與被告聲稱賣股純為籌錢還債之說法未合，本案更審判決就上開不利於被告之證據，未說明何以不足為被告不利之認定，</w:t>
      </w:r>
      <w:proofErr w:type="gramStart"/>
      <w:r w:rsidRPr="00BF62EC">
        <w:rPr>
          <w:rFonts w:hint="eastAsia"/>
          <w:color w:val="000000" w:themeColor="text1"/>
        </w:rPr>
        <w:t>遽</w:t>
      </w:r>
      <w:proofErr w:type="gramEnd"/>
      <w:r w:rsidRPr="00BF62EC">
        <w:rPr>
          <w:rFonts w:hint="eastAsia"/>
          <w:color w:val="000000" w:themeColor="text1"/>
        </w:rPr>
        <w:t>行判決，有判決理由不備之違法。</w:t>
      </w:r>
    </w:p>
    <w:p w14:paraId="05FDA807" w14:textId="77777777" w:rsidR="00EA6434" w:rsidRPr="00BF62EC" w:rsidRDefault="00EA6434" w:rsidP="00EA6434">
      <w:pPr>
        <w:pStyle w:val="4"/>
        <w:numPr>
          <w:ilvl w:val="3"/>
          <w:numId w:val="1"/>
        </w:numPr>
        <w:rPr>
          <w:b/>
          <w:bCs/>
          <w:color w:val="000000" w:themeColor="text1"/>
        </w:rPr>
      </w:pPr>
      <w:r w:rsidRPr="00BF62EC">
        <w:rPr>
          <w:rFonts w:hint="eastAsia"/>
          <w:b/>
          <w:bCs/>
          <w:color w:val="000000" w:themeColor="text1"/>
        </w:rPr>
        <w:t>最高法院見解認為，人為操縱使有價證券價格維持</w:t>
      </w:r>
      <w:proofErr w:type="gramStart"/>
      <w:r w:rsidRPr="00BF62EC">
        <w:rPr>
          <w:rFonts w:hint="eastAsia"/>
          <w:b/>
          <w:bCs/>
          <w:color w:val="000000" w:themeColor="text1"/>
        </w:rPr>
        <w:t>不</w:t>
      </w:r>
      <w:proofErr w:type="gramEnd"/>
      <w:r w:rsidRPr="00BF62EC">
        <w:rPr>
          <w:rFonts w:hint="eastAsia"/>
          <w:b/>
          <w:bCs/>
          <w:color w:val="000000" w:themeColor="text1"/>
        </w:rPr>
        <w:t>墜，即具抬高價格之實質效果；</w:t>
      </w:r>
      <w:r w:rsidRPr="00BF62EC">
        <w:rPr>
          <w:rFonts w:hAnsi="標楷體" w:hint="eastAsia"/>
          <w:b/>
          <w:bCs/>
          <w:color w:val="000000" w:themeColor="text1"/>
        </w:rPr>
        <w:t>又是否意在創造錯誤或使人誤信之交易熱絡表象、</w:t>
      </w:r>
      <w:proofErr w:type="gramStart"/>
      <w:r w:rsidRPr="00BF62EC">
        <w:rPr>
          <w:rFonts w:hAnsi="標楷體" w:hint="eastAsia"/>
          <w:b/>
          <w:bCs/>
          <w:color w:val="000000" w:themeColor="text1"/>
        </w:rPr>
        <w:t>誘</w:t>
      </w:r>
      <w:proofErr w:type="gramEnd"/>
      <w:r w:rsidRPr="00BF62EC">
        <w:rPr>
          <w:rFonts w:hAnsi="標楷體" w:hint="eastAsia"/>
          <w:b/>
          <w:bCs/>
          <w:color w:val="000000" w:themeColor="text1"/>
        </w:rPr>
        <w:t>使投資大眾跟進買賣或圖謀不法利益，固為重要之判斷因素，但究</w:t>
      </w:r>
      <w:proofErr w:type="gramStart"/>
      <w:r w:rsidRPr="00BF62EC">
        <w:rPr>
          <w:rFonts w:hAnsi="標楷體" w:hint="eastAsia"/>
          <w:b/>
          <w:bCs/>
          <w:color w:val="000000" w:themeColor="text1"/>
        </w:rPr>
        <w:t>非成罪與</w:t>
      </w:r>
      <w:proofErr w:type="gramEnd"/>
      <w:r w:rsidRPr="00BF62EC">
        <w:rPr>
          <w:rFonts w:hAnsi="標楷體" w:hint="eastAsia"/>
          <w:b/>
          <w:bCs/>
          <w:color w:val="000000" w:themeColor="text1"/>
        </w:rPr>
        <w:t>否之主觀構成要件要素。實務上，股本小的</w:t>
      </w:r>
      <w:proofErr w:type="gramStart"/>
      <w:r w:rsidRPr="00BF62EC">
        <w:rPr>
          <w:rFonts w:hAnsi="標楷體" w:hint="eastAsia"/>
          <w:b/>
          <w:bCs/>
          <w:color w:val="000000" w:themeColor="text1"/>
        </w:rPr>
        <w:t>股票本易遭</w:t>
      </w:r>
      <w:proofErr w:type="gramEnd"/>
      <w:r w:rsidRPr="00BF62EC">
        <w:rPr>
          <w:rFonts w:hAnsi="標楷體" w:hint="eastAsia"/>
          <w:b/>
          <w:bCs/>
          <w:color w:val="000000" w:themeColor="text1"/>
        </w:rPr>
        <w:t>選定炒作，本案被告等人</w:t>
      </w:r>
      <w:r w:rsidRPr="00BF62EC">
        <w:rPr>
          <w:rFonts w:hint="eastAsia"/>
          <w:b/>
          <w:bCs/>
          <w:color w:val="000000" w:themeColor="text1"/>
        </w:rPr>
        <w:t>謀議訂定底價委託操盤，操盤期間價量分析</w:t>
      </w:r>
      <w:r w:rsidRPr="00BF62EC">
        <w:rPr>
          <w:rFonts w:hint="eastAsia"/>
          <w:b/>
          <w:bCs/>
          <w:color w:val="000000" w:themeColor="text1"/>
        </w:rPr>
        <w:lastRenderedPageBreak/>
        <w:t>異常，更審判決遽以</w:t>
      </w:r>
      <w:r w:rsidRPr="00BF62EC">
        <w:rPr>
          <w:rFonts w:hAnsi="標楷體" w:hint="eastAsia"/>
          <w:b/>
          <w:bCs/>
          <w:color w:val="000000" w:themeColor="text1"/>
        </w:rPr>
        <w:t>「</w:t>
      </w:r>
      <w:r w:rsidRPr="00BF62EC">
        <w:rPr>
          <w:rFonts w:hint="eastAsia"/>
          <w:b/>
          <w:bCs/>
          <w:color w:val="000000" w:themeColor="text1"/>
        </w:rPr>
        <w:t>訂定底價售股與市場經濟無違</w:t>
      </w:r>
      <w:r w:rsidRPr="00BF62EC">
        <w:rPr>
          <w:rFonts w:hAnsi="標楷體" w:hint="eastAsia"/>
          <w:b/>
          <w:bCs/>
          <w:color w:val="000000" w:themeColor="text1"/>
        </w:rPr>
        <w:t>」</w:t>
      </w:r>
      <w:r w:rsidRPr="00BF62EC">
        <w:rPr>
          <w:rFonts w:hint="eastAsia"/>
          <w:b/>
          <w:bCs/>
          <w:color w:val="000000" w:themeColor="text1"/>
        </w:rPr>
        <w:t>及</w:t>
      </w:r>
      <w:r w:rsidRPr="00BF62EC">
        <w:rPr>
          <w:rFonts w:hAnsi="標楷體" w:hint="eastAsia"/>
          <w:b/>
          <w:bCs/>
          <w:color w:val="000000" w:themeColor="text1"/>
        </w:rPr>
        <w:t>「</w:t>
      </w:r>
      <w:r w:rsidRPr="00BF62EC">
        <w:rPr>
          <w:rFonts w:hint="eastAsia"/>
          <w:b/>
          <w:bCs/>
          <w:color w:val="000000" w:themeColor="text1"/>
        </w:rPr>
        <w:t>應華公司股票為小型股成交量有限</w:t>
      </w:r>
      <w:r w:rsidRPr="00BF62EC">
        <w:rPr>
          <w:rFonts w:hAnsi="標楷體" w:hint="eastAsia"/>
          <w:b/>
          <w:bCs/>
          <w:color w:val="000000" w:themeColor="text1"/>
        </w:rPr>
        <w:t>」</w:t>
      </w:r>
      <w:r w:rsidRPr="00BF62EC">
        <w:rPr>
          <w:rFonts w:hint="eastAsia"/>
          <w:b/>
          <w:bCs/>
          <w:color w:val="000000" w:themeColor="text1"/>
        </w:rPr>
        <w:t>推論被告無操縱股價意圖，顯有適用法則不當之判決違背法令</w:t>
      </w:r>
    </w:p>
    <w:p w14:paraId="6F23BB47" w14:textId="77777777" w:rsidR="00EA6434" w:rsidRPr="00BF62EC" w:rsidRDefault="00EA6434" w:rsidP="00EA6434">
      <w:pPr>
        <w:pStyle w:val="5"/>
        <w:numPr>
          <w:ilvl w:val="4"/>
          <w:numId w:val="1"/>
        </w:numPr>
        <w:ind w:left="2041"/>
        <w:rPr>
          <w:color w:val="000000" w:themeColor="text1"/>
        </w:rPr>
      </w:pPr>
      <w:r w:rsidRPr="00BF62EC">
        <w:rPr>
          <w:rFonts w:hint="eastAsia"/>
          <w:color w:val="000000" w:themeColor="text1"/>
        </w:rPr>
        <w:t>本案更審判決於</w:t>
      </w:r>
      <w:proofErr w:type="gramStart"/>
      <w:r w:rsidRPr="00BF62EC">
        <w:rPr>
          <w:rFonts w:hint="eastAsia"/>
          <w:color w:val="000000" w:themeColor="text1"/>
        </w:rPr>
        <w:t>理由欄參</w:t>
      </w:r>
      <w:proofErr w:type="gramEnd"/>
      <w:r w:rsidRPr="00BF62EC">
        <w:rPr>
          <w:rFonts w:hint="eastAsia"/>
          <w:color w:val="000000" w:themeColor="text1"/>
        </w:rPr>
        <w:t>、四、</w:t>
      </w:r>
      <w:r w:rsidRPr="00BF62EC">
        <w:rPr>
          <w:color w:val="000000" w:themeColor="text1"/>
        </w:rPr>
        <w:t>(</w:t>
      </w:r>
      <w:r w:rsidRPr="00BF62EC">
        <w:rPr>
          <w:rFonts w:hint="eastAsia"/>
          <w:color w:val="000000" w:themeColor="text1"/>
        </w:rPr>
        <w:t>四</w:t>
      </w:r>
      <w:r w:rsidRPr="00BF62EC">
        <w:rPr>
          <w:color w:val="000000" w:themeColor="text1"/>
        </w:rPr>
        <w:t>)</w:t>
      </w:r>
      <w:r w:rsidRPr="00BF62EC">
        <w:rPr>
          <w:rFonts w:hint="eastAsia"/>
          <w:color w:val="000000" w:themeColor="text1"/>
        </w:rPr>
        <w:t>、</w:t>
      </w:r>
      <w:r w:rsidRPr="00BF62EC">
        <w:rPr>
          <w:color w:val="000000" w:themeColor="text1"/>
        </w:rPr>
        <w:t>3</w:t>
      </w:r>
      <w:r w:rsidRPr="00BF62EC">
        <w:rPr>
          <w:rFonts w:hint="eastAsia"/>
          <w:color w:val="000000" w:themeColor="text1"/>
        </w:rPr>
        <w:t>、</w:t>
      </w:r>
      <w:r w:rsidRPr="00BF62EC">
        <w:rPr>
          <w:rFonts w:ascii="新細明體" w:eastAsia="新細明體" w:hAnsi="新細明體" w:cs="新細明體" w:hint="eastAsia"/>
          <w:color w:val="000000" w:themeColor="text1"/>
        </w:rPr>
        <w:t>②</w:t>
      </w:r>
      <w:r w:rsidRPr="00BF62EC">
        <w:rPr>
          <w:rFonts w:hAnsi="標楷體" w:cs="標楷體" w:hint="eastAsia"/>
          <w:color w:val="000000" w:themeColor="text1"/>
        </w:rPr>
        <w:t>說明「雖被告翁茂鍾、王嘉賓與被告蔡漢凱以每股新臺幣(下同)</w:t>
      </w:r>
      <w:r w:rsidRPr="00BF62EC">
        <w:rPr>
          <w:color w:val="000000" w:themeColor="text1"/>
        </w:rPr>
        <w:t>29</w:t>
      </w:r>
      <w:r w:rsidRPr="00BF62EC">
        <w:rPr>
          <w:rFonts w:hint="eastAsia"/>
          <w:color w:val="000000" w:themeColor="text1"/>
        </w:rPr>
        <w:t>元為底價出售應華公司股票，似有維持或壓低股價之意圖，然就賣方被告翁茂鍾、王嘉賓而言，其等解質股票，負有還款之壓力，且股票市場瞬息萬變，依市場經濟而言，如賣價過高，當然乏人問市，賣價過低，獲利又減少，是其等定出底價，要求被告蔡漢凱在底價以上售出股票，亦與市場經濟無違，亦難認其等有維持或壓低應華公司股票之意圖」，及於理由欄參、四、</w:t>
      </w:r>
      <w:r w:rsidRPr="00BF62EC">
        <w:rPr>
          <w:color w:val="000000" w:themeColor="text1"/>
        </w:rPr>
        <w:t>(</w:t>
      </w:r>
      <w:r w:rsidRPr="00BF62EC">
        <w:rPr>
          <w:rFonts w:hint="eastAsia"/>
          <w:color w:val="000000" w:themeColor="text1"/>
        </w:rPr>
        <w:t>四</w:t>
      </w:r>
      <w:r w:rsidRPr="00BF62EC">
        <w:rPr>
          <w:color w:val="000000" w:themeColor="text1"/>
        </w:rPr>
        <w:t>)</w:t>
      </w:r>
      <w:r w:rsidRPr="00BF62EC">
        <w:rPr>
          <w:rFonts w:hint="eastAsia"/>
          <w:color w:val="000000" w:themeColor="text1"/>
        </w:rPr>
        <w:t>、</w:t>
      </w:r>
      <w:r w:rsidRPr="00BF62EC">
        <w:rPr>
          <w:color w:val="000000" w:themeColor="text1"/>
        </w:rPr>
        <w:t>4</w:t>
      </w:r>
      <w:r w:rsidRPr="00BF62EC">
        <w:rPr>
          <w:rFonts w:hint="eastAsia"/>
          <w:color w:val="000000" w:themeColor="text1"/>
        </w:rPr>
        <w:t>、</w:t>
      </w:r>
      <w:r w:rsidRPr="00BF62EC">
        <w:rPr>
          <w:rFonts w:ascii="新細明體" w:eastAsia="新細明體" w:hAnsi="新細明體" w:cs="新細明體" w:hint="eastAsia"/>
          <w:color w:val="000000" w:themeColor="text1"/>
        </w:rPr>
        <w:t>①</w:t>
      </w:r>
      <w:r w:rsidRPr="00BF62EC">
        <w:rPr>
          <w:rFonts w:hAnsi="標楷體" w:cs="標楷體" w:hint="eastAsia"/>
          <w:color w:val="000000" w:themeColor="text1"/>
        </w:rPr>
        <w:t>說明「該公司股票相對為較小型之股票，市場成交量本即不高，且附表二集團二、三投資人於下單買賣時尚未收盤，於盤中當無法預見當日成交量，亦即無法知悉盤後其買賣股票所占當日成交量之多寡。因此實難以被告</w:t>
      </w:r>
      <w:r w:rsidRPr="00BF62EC">
        <w:rPr>
          <w:rFonts w:hint="eastAsia"/>
          <w:color w:val="000000" w:themeColor="text1"/>
        </w:rPr>
        <w:t>3人相關之集團二、三有上述買進或賣出成交數量占當日成交量比例逾20％以上或有影響股價向上或向下情形，即推論被告3人有操縱股價之主觀意圖，否則無異於無形中限制投資人投資特定股票之日期、比例及價格，而影響自由市場經濟」等語。</w:t>
      </w:r>
    </w:p>
    <w:p w14:paraId="48D48F79" w14:textId="77777777" w:rsidR="00EA6434" w:rsidRPr="00BF62EC" w:rsidRDefault="00EA6434" w:rsidP="00EA6434">
      <w:pPr>
        <w:pStyle w:val="5"/>
        <w:numPr>
          <w:ilvl w:val="4"/>
          <w:numId w:val="1"/>
        </w:numPr>
        <w:ind w:left="2041"/>
        <w:rPr>
          <w:color w:val="000000" w:themeColor="text1"/>
        </w:rPr>
      </w:pPr>
      <w:proofErr w:type="gramStart"/>
      <w:r w:rsidRPr="00BF62EC">
        <w:rPr>
          <w:rFonts w:hint="eastAsia"/>
          <w:color w:val="000000" w:themeColor="text1"/>
        </w:rPr>
        <w:t>惟查</w:t>
      </w:r>
      <w:proofErr w:type="gramEnd"/>
      <w:r w:rsidRPr="00BF62EC">
        <w:rPr>
          <w:rFonts w:hAnsi="標楷體" w:hint="eastAsia"/>
          <w:color w:val="000000" w:themeColor="text1"/>
        </w:rPr>
        <w:t>：</w:t>
      </w:r>
    </w:p>
    <w:p w14:paraId="1D90F864" w14:textId="77777777" w:rsidR="00EA6434" w:rsidRPr="00BF62EC" w:rsidRDefault="00EA6434" w:rsidP="00EA6434">
      <w:pPr>
        <w:pStyle w:val="6"/>
        <w:numPr>
          <w:ilvl w:val="5"/>
          <w:numId w:val="1"/>
        </w:numPr>
        <w:rPr>
          <w:bCs/>
          <w:color w:val="000000" w:themeColor="text1"/>
        </w:rPr>
      </w:pPr>
      <w:r w:rsidRPr="00BF62EC">
        <w:rPr>
          <w:rFonts w:hint="eastAsia"/>
          <w:color w:val="000000" w:themeColor="text1"/>
        </w:rPr>
        <w:t>維持股價之行為，看似並不符合「意圖抬高或壓低」交易價格之要件，惟依市場供需情形，若股價本應下跌，而以操縱之方式使其不跌，本身即為「抬高」價格之行為，而破</w:t>
      </w:r>
      <w:r w:rsidRPr="00BF62EC">
        <w:rPr>
          <w:rFonts w:hint="eastAsia"/>
          <w:color w:val="000000" w:themeColor="text1"/>
        </w:rPr>
        <w:lastRenderedPageBreak/>
        <w:t>壞自由市場之機能，與操縱股價無異（</w:t>
      </w:r>
      <w:proofErr w:type="gramStart"/>
      <w:r w:rsidRPr="00BF62EC">
        <w:rPr>
          <w:rFonts w:hint="eastAsia"/>
          <w:color w:val="000000" w:themeColor="text1"/>
        </w:rPr>
        <w:t>臺</w:t>
      </w:r>
      <w:proofErr w:type="gramEnd"/>
      <w:r w:rsidRPr="00BF62EC">
        <w:rPr>
          <w:rFonts w:hint="eastAsia"/>
          <w:color w:val="000000" w:themeColor="text1"/>
        </w:rPr>
        <w:t>中高分院93年度金上重更(二)字第56號判決參照）。最高法院</w:t>
      </w:r>
      <w:proofErr w:type="gramStart"/>
      <w:r w:rsidRPr="00BF62EC">
        <w:rPr>
          <w:rFonts w:hint="eastAsia"/>
          <w:color w:val="000000" w:themeColor="text1"/>
        </w:rPr>
        <w:t>103</w:t>
      </w:r>
      <w:proofErr w:type="gramEnd"/>
      <w:r w:rsidRPr="00BF62EC">
        <w:rPr>
          <w:rFonts w:hint="eastAsia"/>
          <w:color w:val="000000" w:themeColor="text1"/>
        </w:rPr>
        <w:t>年度台上字第1809號</w:t>
      </w:r>
      <w:proofErr w:type="gramStart"/>
      <w:r w:rsidRPr="00BF62EC">
        <w:rPr>
          <w:rFonts w:hint="eastAsia"/>
          <w:color w:val="000000" w:themeColor="text1"/>
        </w:rPr>
        <w:t>判決亦</w:t>
      </w:r>
      <w:proofErr w:type="gramEnd"/>
      <w:r w:rsidRPr="00BF62EC">
        <w:rPr>
          <w:rFonts w:hint="eastAsia"/>
          <w:color w:val="000000" w:themeColor="text1"/>
        </w:rPr>
        <w:t>謂：「證券交易法第155條第1項第4款之規定，所謂『連續』，係指於一定期間內連續多次之謂，不以逐日而毫無間斷為必要；所指『以高價買入』，亦不限於以漲停價買入，其以高於平均買價、接近最高買價，或以當日之最高價格買入等情形</w:t>
      </w:r>
      <w:proofErr w:type="gramStart"/>
      <w:r w:rsidRPr="00BF62EC">
        <w:rPr>
          <w:rFonts w:hint="eastAsia"/>
          <w:color w:val="000000" w:themeColor="text1"/>
        </w:rPr>
        <w:t>固均屬之</w:t>
      </w:r>
      <w:proofErr w:type="gramEnd"/>
      <w:r w:rsidRPr="00BF62EC">
        <w:rPr>
          <w:rFonts w:hint="eastAsia"/>
          <w:color w:val="000000" w:themeColor="text1"/>
        </w:rPr>
        <w:t>，甚至基於各種特定目的，</w:t>
      </w:r>
      <w:proofErr w:type="gramStart"/>
      <w:r w:rsidRPr="00BF62EC">
        <w:rPr>
          <w:rFonts w:hint="eastAsia"/>
          <w:color w:val="000000" w:themeColor="text1"/>
        </w:rPr>
        <w:t>舉如避</w:t>
      </w:r>
      <w:proofErr w:type="gramEnd"/>
      <w:r w:rsidRPr="00BF62EC">
        <w:rPr>
          <w:rFonts w:hint="eastAsia"/>
          <w:color w:val="000000" w:themeColor="text1"/>
        </w:rPr>
        <w:t>免供擔保之股票價格</w:t>
      </w:r>
      <w:proofErr w:type="gramStart"/>
      <w:r w:rsidRPr="00BF62EC">
        <w:rPr>
          <w:rFonts w:hint="eastAsia"/>
          <w:color w:val="000000" w:themeColor="text1"/>
        </w:rPr>
        <w:t>滑落致</w:t>
      </w:r>
      <w:proofErr w:type="gramEnd"/>
      <w:r w:rsidRPr="00BF62EC">
        <w:rPr>
          <w:rFonts w:hint="eastAsia"/>
          <w:color w:val="000000" w:themeColor="text1"/>
        </w:rPr>
        <w:t>遭斷頭，或為締造公司經營榮景以招徠投資等，而以各種交易手段操縱，不論其買入價格是否高於平均買價，</w:t>
      </w:r>
      <w:proofErr w:type="gramStart"/>
      <w:r w:rsidRPr="00BF62EC">
        <w:rPr>
          <w:rFonts w:hint="eastAsia"/>
          <w:color w:val="000000" w:themeColor="text1"/>
        </w:rPr>
        <w:t>既足</w:t>
      </w:r>
      <w:proofErr w:type="gramEnd"/>
      <w:r w:rsidRPr="00BF62EC">
        <w:rPr>
          <w:rFonts w:hint="eastAsia"/>
          <w:color w:val="000000" w:themeColor="text1"/>
        </w:rPr>
        <w:t>使特定有價證券價格維持於一定價位，以非法誘使他人買賣該特定有價證券之所謂護盤，其</w:t>
      </w:r>
      <w:r w:rsidRPr="00BF62EC">
        <w:rPr>
          <w:rFonts w:hint="eastAsia"/>
          <w:bCs/>
          <w:color w:val="000000" w:themeColor="text1"/>
          <w:u w:val="single"/>
        </w:rPr>
        <w:t>人為操縱使有價證券價格維持不墜，即具抬高價格之實質效果</w:t>
      </w:r>
      <w:r w:rsidRPr="00BF62EC">
        <w:rPr>
          <w:rFonts w:hint="eastAsia"/>
          <w:color w:val="000000" w:themeColor="text1"/>
        </w:rPr>
        <w:t>，且其雖與其他一般違法炒作，意在拉高倒貨、殺低進貨之目的有異，但破壞決定價格之市場自由機制，則無二致，應亦屬上開規定所禁止之高買證券違法炒作行為。」又最高法院</w:t>
      </w:r>
      <w:proofErr w:type="gramStart"/>
      <w:r w:rsidRPr="00BF62EC">
        <w:rPr>
          <w:rFonts w:hint="eastAsia"/>
          <w:color w:val="000000" w:themeColor="text1"/>
        </w:rPr>
        <w:t>103</w:t>
      </w:r>
      <w:proofErr w:type="gramEnd"/>
      <w:r w:rsidRPr="00BF62EC">
        <w:rPr>
          <w:rFonts w:hint="eastAsia"/>
          <w:color w:val="000000" w:themeColor="text1"/>
        </w:rPr>
        <w:t>年度台上字第3799號判決指出：「</w:t>
      </w:r>
      <w:r w:rsidRPr="00BF62EC">
        <w:rPr>
          <w:rFonts w:hint="eastAsia"/>
          <w:bCs/>
          <w:color w:val="000000" w:themeColor="text1"/>
          <w:u w:val="single"/>
        </w:rPr>
        <w:t>是否意在創造錯誤或使人誤信之交易熱絡表象、</w:t>
      </w:r>
      <w:proofErr w:type="gramStart"/>
      <w:r w:rsidRPr="00BF62EC">
        <w:rPr>
          <w:rFonts w:hint="eastAsia"/>
          <w:bCs/>
          <w:color w:val="000000" w:themeColor="text1"/>
          <w:u w:val="single"/>
        </w:rPr>
        <w:t>誘</w:t>
      </w:r>
      <w:proofErr w:type="gramEnd"/>
      <w:r w:rsidRPr="00BF62EC">
        <w:rPr>
          <w:rFonts w:hint="eastAsia"/>
          <w:bCs/>
          <w:color w:val="000000" w:themeColor="text1"/>
          <w:u w:val="single"/>
        </w:rPr>
        <w:t>使投資大眾跟進買賣或圖謀不法利益，</w:t>
      </w:r>
      <w:proofErr w:type="gramStart"/>
      <w:r w:rsidRPr="00BF62EC">
        <w:rPr>
          <w:rFonts w:hint="eastAsia"/>
          <w:bCs/>
          <w:color w:val="000000" w:themeColor="text1"/>
          <w:u w:val="single"/>
        </w:rPr>
        <w:t>固亦</w:t>
      </w:r>
      <w:proofErr w:type="gramEnd"/>
      <w:r w:rsidRPr="00BF62EC">
        <w:rPr>
          <w:rFonts w:hint="eastAsia"/>
          <w:bCs/>
          <w:color w:val="000000" w:themeColor="text1"/>
          <w:u w:val="single"/>
        </w:rPr>
        <w:t>為重要之判斷因素，但究非本</w:t>
      </w:r>
      <w:proofErr w:type="gramStart"/>
      <w:r w:rsidRPr="00BF62EC">
        <w:rPr>
          <w:rFonts w:hint="eastAsia"/>
          <w:bCs/>
          <w:color w:val="000000" w:themeColor="text1"/>
          <w:u w:val="single"/>
        </w:rPr>
        <w:t>條成</w:t>
      </w:r>
      <w:proofErr w:type="gramEnd"/>
      <w:r w:rsidRPr="00BF62EC">
        <w:rPr>
          <w:rFonts w:hint="eastAsia"/>
          <w:bCs/>
          <w:color w:val="000000" w:themeColor="text1"/>
          <w:u w:val="single"/>
        </w:rPr>
        <w:t>罪與否之主觀構成要件要素</w:t>
      </w:r>
      <w:r w:rsidRPr="00BF62EC">
        <w:rPr>
          <w:rFonts w:hint="eastAsia"/>
          <w:color w:val="000000" w:themeColor="text1"/>
        </w:rPr>
        <w:t>。蓋行為人高買、低賣行為之目的不一，</w:t>
      </w:r>
      <w:proofErr w:type="gramStart"/>
      <w:r w:rsidRPr="00BF62EC">
        <w:rPr>
          <w:rFonts w:hint="eastAsia"/>
          <w:color w:val="000000" w:themeColor="text1"/>
        </w:rPr>
        <w:t>誘</w:t>
      </w:r>
      <w:proofErr w:type="gramEnd"/>
      <w:r w:rsidRPr="00BF62EC">
        <w:rPr>
          <w:rFonts w:hint="eastAsia"/>
          <w:color w:val="000000" w:themeColor="text1"/>
        </w:rPr>
        <w:t>使投資大眾跟進買賣以圖謀不法利益固為多數炒作者之主要動機；然基於其他各種特定目的，例如為避免供擔保之有價證券價格</w:t>
      </w:r>
      <w:proofErr w:type="gramStart"/>
      <w:r w:rsidRPr="00BF62EC">
        <w:rPr>
          <w:rFonts w:hint="eastAsia"/>
          <w:color w:val="000000" w:themeColor="text1"/>
        </w:rPr>
        <w:t>滑落致遭</w:t>
      </w:r>
      <w:proofErr w:type="gramEnd"/>
      <w:r w:rsidRPr="00BF62EC">
        <w:rPr>
          <w:rFonts w:hint="eastAsia"/>
          <w:color w:val="000000" w:themeColor="text1"/>
        </w:rPr>
        <w:t>斷頭，或為締造公司經營榮景以招徠投資，或</w:t>
      </w:r>
      <w:r w:rsidRPr="00BF62EC">
        <w:rPr>
          <w:rFonts w:hint="eastAsia"/>
          <w:color w:val="000000" w:themeColor="text1"/>
        </w:rPr>
        <w:lastRenderedPageBreak/>
        <w:t>為順利取得銀行資金奧援，而維持特定有價證券於一定價格之護盤行為，</w:t>
      </w:r>
      <w:proofErr w:type="gramStart"/>
      <w:r w:rsidRPr="00BF62EC">
        <w:rPr>
          <w:rFonts w:hint="eastAsia"/>
          <w:color w:val="000000" w:themeColor="text1"/>
        </w:rPr>
        <w:t>同係</w:t>
      </w:r>
      <w:proofErr w:type="gramEnd"/>
      <w:r w:rsidRPr="00BF62EC">
        <w:rPr>
          <w:rFonts w:hint="eastAsia"/>
          <w:color w:val="000000" w:themeColor="text1"/>
        </w:rPr>
        <w:t>以人為操縱方式維持價格於不墜，具有抬高價格之實質效果，致集中交易市場行情有發生異常變動而影響市場秩序之危險。此雖與拉高倒貨、殺低進貨之炒作目的有異，行為人在主觀上不一定有坑殺其他投資人之意圖，但破壞決定價格之市場自由機制，則無二致，亦屬上開規定所禁止之高買證券違法炒作行為。」</w:t>
      </w:r>
    </w:p>
    <w:p w14:paraId="5D95C93A" w14:textId="77777777" w:rsidR="00EA6434" w:rsidRPr="00BF62EC" w:rsidRDefault="00EA6434" w:rsidP="00EA6434">
      <w:pPr>
        <w:pStyle w:val="6"/>
        <w:numPr>
          <w:ilvl w:val="5"/>
          <w:numId w:val="1"/>
        </w:numPr>
        <w:rPr>
          <w:bCs/>
          <w:color w:val="000000" w:themeColor="text1"/>
        </w:rPr>
      </w:pPr>
      <w:r w:rsidRPr="00BF62EC">
        <w:rPr>
          <w:rFonts w:hint="eastAsia"/>
          <w:bCs/>
          <w:color w:val="000000" w:themeColor="text1"/>
        </w:rPr>
        <w:t>股本大小與行為人是否有操縱意圖，並無必然關係，蓋股本小的股票所需炒作資金較少，實務</w:t>
      </w:r>
      <w:proofErr w:type="gramStart"/>
      <w:r w:rsidRPr="00BF62EC">
        <w:rPr>
          <w:rFonts w:hint="eastAsia"/>
          <w:bCs/>
          <w:color w:val="000000" w:themeColor="text1"/>
        </w:rPr>
        <w:t>上本易為</w:t>
      </w:r>
      <w:proofErr w:type="gramEnd"/>
      <w:r w:rsidRPr="00BF62EC">
        <w:rPr>
          <w:rFonts w:hint="eastAsia"/>
          <w:bCs/>
          <w:color w:val="000000" w:themeColor="text1"/>
        </w:rPr>
        <w:t>股市作手選定操縱之股票。</w:t>
      </w:r>
    </w:p>
    <w:p w14:paraId="5655990D" w14:textId="77777777" w:rsidR="00EA6434" w:rsidRPr="00BF62EC" w:rsidRDefault="00EA6434" w:rsidP="00EA6434">
      <w:pPr>
        <w:pStyle w:val="6"/>
        <w:numPr>
          <w:ilvl w:val="5"/>
          <w:numId w:val="1"/>
        </w:numPr>
        <w:rPr>
          <w:color w:val="000000" w:themeColor="text1"/>
        </w:rPr>
      </w:pPr>
      <w:r w:rsidRPr="00BF62EC">
        <w:rPr>
          <w:rFonts w:hint="eastAsia"/>
          <w:color w:val="000000" w:themeColor="text1"/>
        </w:rPr>
        <w:t>依卷內證據，本案被告委託專業投顧操盤，謀議訂定底價，支付佣金，並利用人頭帳戶買進、賣出股票，顯非正常交易情形。監聽譯文顯示，王嘉賓與</w:t>
      </w:r>
      <w:proofErr w:type="gramStart"/>
      <w:r w:rsidRPr="00BF62EC">
        <w:rPr>
          <w:rFonts w:hint="eastAsia"/>
          <w:color w:val="000000" w:themeColor="text1"/>
        </w:rPr>
        <w:t>蔡漢凱間的對話</w:t>
      </w:r>
      <w:proofErr w:type="gramEnd"/>
      <w:r w:rsidRPr="00BF62EC">
        <w:rPr>
          <w:rFonts w:hint="eastAsia"/>
          <w:color w:val="000000" w:themeColor="text1"/>
        </w:rPr>
        <w:t>內容</w:t>
      </w:r>
      <w:r w:rsidRPr="00BF62EC">
        <w:rPr>
          <w:rFonts w:hAnsi="標楷體" w:hint="eastAsia"/>
          <w:color w:val="000000" w:themeColor="text1"/>
        </w:rPr>
        <w:t>：</w:t>
      </w:r>
      <w:r w:rsidRPr="00BF62EC">
        <w:rPr>
          <w:color w:val="000000" w:themeColor="text1"/>
        </w:rPr>
        <w:t>94</w:t>
      </w:r>
      <w:r w:rsidRPr="00BF62EC">
        <w:rPr>
          <w:rFonts w:hint="eastAsia"/>
          <w:color w:val="000000" w:themeColor="text1"/>
        </w:rPr>
        <w:t>年8月1</w:t>
      </w:r>
      <w:r w:rsidRPr="00BF62EC">
        <w:rPr>
          <w:color w:val="000000" w:themeColor="text1"/>
        </w:rPr>
        <w:t>2</w:t>
      </w:r>
      <w:r w:rsidRPr="00BF62EC">
        <w:rPr>
          <w:rFonts w:hint="eastAsia"/>
          <w:color w:val="000000" w:themeColor="text1"/>
        </w:rPr>
        <w:t>日13時25分</w:t>
      </w:r>
      <w:r w:rsidRPr="00BF62EC">
        <w:rPr>
          <w:rFonts w:hAnsi="標楷體" w:hint="eastAsia"/>
          <w:color w:val="000000" w:themeColor="text1"/>
        </w:rPr>
        <w:t>「A：</w:t>
      </w:r>
      <w:proofErr w:type="gramStart"/>
      <w:r w:rsidRPr="00BF62EC">
        <w:rPr>
          <w:rFonts w:hAnsi="標楷體" w:hint="eastAsia"/>
          <w:color w:val="000000" w:themeColor="text1"/>
        </w:rPr>
        <w:t>蔡</w:t>
      </w:r>
      <w:proofErr w:type="gramEnd"/>
      <w:r w:rsidRPr="00BF62EC">
        <w:rPr>
          <w:rFonts w:hAnsi="標楷體" w:hint="eastAsia"/>
          <w:color w:val="000000" w:themeColor="text1"/>
        </w:rPr>
        <w:t>董，原則上可以的話就下禮拜可以開始做。B：好。那因為我們已經答應那個法人，由那幾位來先買第一筆，不管他們買多少，我一定讓他們先做開始，因為前一陣子答應他們的。」、94年8月12日14時29分「B：</w:t>
      </w:r>
      <w:proofErr w:type="gramStart"/>
      <w:r w:rsidRPr="00BF62EC">
        <w:rPr>
          <w:rFonts w:hAnsi="標楷體" w:hint="eastAsia"/>
          <w:color w:val="000000" w:themeColor="text1"/>
        </w:rPr>
        <w:t>一下子弄太</w:t>
      </w:r>
      <w:proofErr w:type="gramEnd"/>
      <w:r w:rsidRPr="00BF62EC">
        <w:rPr>
          <w:rFonts w:hAnsi="標楷體" w:hint="eastAsia"/>
          <w:color w:val="000000" w:themeColor="text1"/>
        </w:rPr>
        <w:t>大，對方會反應。我最大的任務就是，第一個、不能給人家發現，對方也不能知道，不能讓別人知道是誰買走這些股票，這是我最大的使命在這裡。A：那我馬上下午請『佳和』那邊去安排一下。」等語(參見本案更審判決附表</w:t>
      </w:r>
      <w:proofErr w:type="gramStart"/>
      <w:r w:rsidRPr="00BF62EC">
        <w:rPr>
          <w:rFonts w:hAnsi="標楷體" w:hint="eastAsia"/>
          <w:color w:val="000000" w:themeColor="text1"/>
        </w:rPr>
        <w:t>三</w:t>
      </w:r>
      <w:proofErr w:type="gramEnd"/>
      <w:r w:rsidRPr="00BF62EC">
        <w:rPr>
          <w:rFonts w:hAnsi="標楷體" w:hint="eastAsia"/>
          <w:color w:val="000000" w:themeColor="text1"/>
        </w:rPr>
        <w:t>編號3、4)，是否有操縱意圖，尚非無疑</w:t>
      </w:r>
      <w:r w:rsidRPr="00BF62EC">
        <w:rPr>
          <w:rFonts w:hint="eastAsia"/>
          <w:color w:val="000000" w:themeColor="text1"/>
        </w:rPr>
        <w:t>。又據財團法人中華民國證券櫃檯買賣中心(下稱櫃買中心)</w:t>
      </w:r>
      <w:proofErr w:type="gramStart"/>
      <w:r w:rsidRPr="00BF62EC">
        <w:rPr>
          <w:rFonts w:hint="eastAsia"/>
          <w:color w:val="000000" w:themeColor="text1"/>
        </w:rPr>
        <w:t>9</w:t>
      </w:r>
      <w:r w:rsidRPr="00BF62EC">
        <w:rPr>
          <w:color w:val="000000" w:themeColor="text1"/>
        </w:rPr>
        <w:t>9</w:t>
      </w:r>
      <w:r w:rsidRPr="00BF62EC">
        <w:rPr>
          <w:rFonts w:hint="eastAsia"/>
          <w:color w:val="000000" w:themeColor="text1"/>
        </w:rPr>
        <w:t>年7月20日函附之</w:t>
      </w:r>
      <w:proofErr w:type="gramEnd"/>
      <w:r w:rsidRPr="00BF62EC">
        <w:rPr>
          <w:rFonts w:hint="eastAsia"/>
          <w:color w:val="000000" w:themeColor="text1"/>
        </w:rPr>
        <w:t>分析意見書，</w:t>
      </w:r>
      <w:r w:rsidRPr="00BF62EC">
        <w:rPr>
          <w:rFonts w:hint="eastAsia"/>
          <w:color w:val="000000" w:themeColor="text1"/>
        </w:rPr>
        <w:lastRenderedPageBreak/>
        <w:t>應華公司股價自</w:t>
      </w:r>
      <w:r w:rsidRPr="00BF62EC">
        <w:rPr>
          <w:color w:val="000000" w:themeColor="text1"/>
        </w:rPr>
        <w:t>94</w:t>
      </w:r>
      <w:r w:rsidRPr="00BF62EC">
        <w:rPr>
          <w:rFonts w:hint="eastAsia"/>
          <w:color w:val="000000" w:themeColor="text1"/>
        </w:rPr>
        <w:t>年7月15日至94年10月31日，期間股價由27.4元上漲至</w:t>
      </w:r>
      <w:r w:rsidRPr="00BF62EC">
        <w:rPr>
          <w:color w:val="000000" w:themeColor="text1"/>
        </w:rPr>
        <w:t>39.0</w:t>
      </w:r>
      <w:r w:rsidRPr="00BF62EC">
        <w:rPr>
          <w:rFonts w:hint="eastAsia"/>
          <w:color w:val="000000" w:themeColor="text1"/>
        </w:rPr>
        <w:t>元，漲幅達</w:t>
      </w:r>
      <w:r w:rsidRPr="00BF62EC">
        <w:rPr>
          <w:color w:val="000000" w:themeColor="text1"/>
        </w:rPr>
        <w:t>42.34%</w:t>
      </w:r>
      <w:r w:rsidRPr="00BF62EC">
        <w:rPr>
          <w:rFonts w:hint="eastAsia"/>
          <w:color w:val="000000" w:themeColor="text1"/>
        </w:rPr>
        <w:t>，同期間電子類股跌幅為20.95%，櫃買加權股價指數跌幅為19.01%，該股票於分析期間內之價格變化情形與大盤及同類股指數比較有明顯背離之情形。該份分析意見書分析操盤期間成交買賣前5</w:t>
      </w:r>
      <w:r w:rsidRPr="00BF62EC">
        <w:rPr>
          <w:color w:val="000000" w:themeColor="text1"/>
        </w:rPr>
        <w:t>0</w:t>
      </w:r>
      <w:r w:rsidRPr="00BF62EC">
        <w:rPr>
          <w:rFonts w:hint="eastAsia"/>
          <w:color w:val="000000" w:themeColor="text1"/>
        </w:rPr>
        <w:t>名投資人明細表、較大投資人交易明細表、影響股價較大投資人</w:t>
      </w:r>
      <w:proofErr w:type="gramStart"/>
      <w:r w:rsidRPr="00BF62EC">
        <w:rPr>
          <w:rFonts w:hint="eastAsia"/>
          <w:color w:val="000000" w:themeColor="text1"/>
        </w:rPr>
        <w:t>及麗天投資</w:t>
      </w:r>
      <w:proofErr w:type="gramEnd"/>
      <w:r w:rsidRPr="00BF62EC">
        <w:rPr>
          <w:rFonts w:hint="eastAsia"/>
          <w:color w:val="000000" w:themeColor="text1"/>
        </w:rPr>
        <w:t>顧問公司</w:t>
      </w:r>
      <w:r w:rsidRPr="00BF62EC">
        <w:rPr>
          <w:rFonts w:hAnsi="標楷體" w:hint="eastAsia"/>
          <w:color w:val="000000" w:themeColor="text1"/>
        </w:rPr>
        <w:t>(</w:t>
      </w:r>
      <w:r w:rsidRPr="00BF62EC">
        <w:rPr>
          <w:rFonts w:hint="eastAsia"/>
          <w:color w:val="000000" w:themeColor="text1"/>
        </w:rPr>
        <w:t>下</w:t>
      </w:r>
      <w:proofErr w:type="gramStart"/>
      <w:r w:rsidRPr="00BF62EC">
        <w:rPr>
          <w:rFonts w:hint="eastAsia"/>
          <w:color w:val="000000" w:themeColor="text1"/>
        </w:rPr>
        <w:t>稱麗</w:t>
      </w:r>
      <w:proofErr w:type="gramEnd"/>
      <w:r w:rsidRPr="00BF62EC">
        <w:rPr>
          <w:rFonts w:hint="eastAsia"/>
          <w:color w:val="000000" w:themeColor="text1"/>
        </w:rPr>
        <w:t>天公司</w:t>
      </w:r>
      <w:r w:rsidRPr="00BF62EC">
        <w:rPr>
          <w:rFonts w:hAnsi="標楷體" w:hint="eastAsia"/>
          <w:color w:val="000000" w:themeColor="text1"/>
        </w:rPr>
        <w:t>)</w:t>
      </w:r>
      <w:r w:rsidRPr="00BF62EC">
        <w:rPr>
          <w:rFonts w:hint="eastAsia"/>
          <w:color w:val="000000" w:themeColor="text1"/>
        </w:rPr>
        <w:t>集團，核對投資人集團及其交易情形後指出</w:t>
      </w:r>
      <w:r w:rsidRPr="00BF62EC">
        <w:rPr>
          <w:rFonts w:hAnsi="標楷體" w:hint="eastAsia"/>
          <w:color w:val="000000" w:themeColor="text1"/>
        </w:rPr>
        <w:t>：</w:t>
      </w:r>
      <w:r w:rsidRPr="00BF62EC">
        <w:rPr>
          <w:rFonts w:hint="eastAsia"/>
          <w:bCs/>
          <w:color w:val="000000" w:themeColor="text1"/>
        </w:rPr>
        <w:t>集團二</w:t>
      </w:r>
      <w:proofErr w:type="gramStart"/>
      <w:r w:rsidRPr="00BF62EC">
        <w:rPr>
          <w:rFonts w:hint="eastAsia"/>
          <w:bCs/>
          <w:color w:val="000000" w:themeColor="text1"/>
        </w:rPr>
        <w:t>之麗天公司</w:t>
      </w:r>
      <w:proofErr w:type="gramEnd"/>
      <w:r w:rsidRPr="00BF62EC">
        <w:rPr>
          <w:rFonts w:hint="eastAsia"/>
          <w:bCs/>
          <w:color w:val="000000" w:themeColor="text1"/>
        </w:rPr>
        <w:t>等11名投資人於該</w:t>
      </w:r>
      <w:proofErr w:type="gramStart"/>
      <w:r w:rsidRPr="00BF62EC">
        <w:rPr>
          <w:rFonts w:hint="eastAsia"/>
          <w:bCs/>
          <w:color w:val="000000" w:themeColor="text1"/>
        </w:rPr>
        <w:t>期間</w:t>
      </w:r>
      <w:proofErr w:type="gramEnd"/>
      <w:r w:rsidRPr="00BF62EC">
        <w:rPr>
          <w:rFonts w:hint="eastAsia"/>
          <w:bCs/>
          <w:color w:val="000000" w:themeColor="text1"/>
        </w:rPr>
        <w:t>，合計買進1</w:t>
      </w:r>
      <w:r w:rsidRPr="00BF62EC">
        <w:rPr>
          <w:bCs/>
          <w:color w:val="000000" w:themeColor="text1"/>
        </w:rPr>
        <w:t>,</w:t>
      </w:r>
      <w:r w:rsidRPr="00BF62EC">
        <w:rPr>
          <w:rFonts w:hint="eastAsia"/>
          <w:bCs/>
          <w:color w:val="000000" w:themeColor="text1"/>
        </w:rPr>
        <w:t>109張、賣出1</w:t>
      </w:r>
      <w:r w:rsidRPr="00BF62EC">
        <w:rPr>
          <w:bCs/>
          <w:color w:val="000000" w:themeColor="text1"/>
        </w:rPr>
        <w:t>,</w:t>
      </w:r>
      <w:r w:rsidRPr="00BF62EC">
        <w:rPr>
          <w:rFonts w:hint="eastAsia"/>
          <w:bCs/>
          <w:color w:val="000000" w:themeColor="text1"/>
        </w:rPr>
        <w:t>084張，分別占分析期間應華股票總成交量18,506仟股之5.99%及5.86%，累積買超25仟股；計有14個營業日成交買進或賣出之成交量大於該有價證券各該日成交量20%以上之情形；另計有17個營業日委託買進影響股價向上及4個營業日委託賣出影響股價向下之情形</w:t>
      </w:r>
      <w:r w:rsidRPr="00BF62EC">
        <w:rPr>
          <w:rFonts w:hAnsi="標楷體" w:hint="eastAsia"/>
          <w:bCs/>
          <w:color w:val="000000" w:themeColor="text1"/>
        </w:rPr>
        <w:t>；</w:t>
      </w:r>
      <w:r w:rsidRPr="00BF62EC">
        <w:rPr>
          <w:rFonts w:hAnsi="標楷體" w:cs="標楷體" w:hint="eastAsia"/>
          <w:bCs/>
          <w:color w:val="000000" w:themeColor="text1"/>
        </w:rPr>
        <w:t>集團三之佳和公司</w:t>
      </w:r>
      <w:r w:rsidRPr="00BF62EC">
        <w:rPr>
          <w:rFonts w:hint="eastAsia"/>
          <w:bCs/>
          <w:color w:val="000000" w:themeColor="text1"/>
        </w:rPr>
        <w:t>等投資人於分析期間合計買進479.401仟股、賣出4</w:t>
      </w:r>
      <w:r w:rsidRPr="00BF62EC">
        <w:rPr>
          <w:bCs/>
          <w:color w:val="000000" w:themeColor="text1"/>
        </w:rPr>
        <w:t>,</w:t>
      </w:r>
      <w:r w:rsidRPr="00BF62EC">
        <w:rPr>
          <w:rFonts w:hint="eastAsia"/>
          <w:bCs/>
          <w:color w:val="000000" w:themeColor="text1"/>
        </w:rPr>
        <w:t>640.215仟股，分別占分析期間應華股票總成交量18,506仟股之2.59%及25.07%，累積賣超4,160.814仟股；並計有29個營業日成交買進或賣出之成交量大於該有價證券各該日成交量20%以上之情形，分別占其買進及賣出股數之25.87%、2.67%；另計有4個營業日委託賣出影響股價向下之情形，其中10月17日有明顯影響開盤價向下之情形。監聽譯文顯示被告等人確有商談操縱買賣，櫃買中心分析意見書</w:t>
      </w:r>
      <w:proofErr w:type="gramStart"/>
      <w:r w:rsidRPr="00BF62EC">
        <w:rPr>
          <w:rFonts w:hint="eastAsia"/>
          <w:bCs/>
          <w:color w:val="000000" w:themeColor="text1"/>
        </w:rPr>
        <w:t>亦指操盤</w:t>
      </w:r>
      <w:proofErr w:type="gramEnd"/>
      <w:r w:rsidRPr="00BF62EC">
        <w:rPr>
          <w:rFonts w:hint="eastAsia"/>
          <w:bCs/>
          <w:color w:val="000000" w:themeColor="text1"/>
        </w:rPr>
        <w:t>期間價量分析異常，綜合各項事證判斷，</w:t>
      </w:r>
      <w:r w:rsidRPr="00BF62EC">
        <w:rPr>
          <w:rFonts w:hint="eastAsia"/>
          <w:bCs/>
          <w:color w:val="000000" w:themeColor="text1"/>
        </w:rPr>
        <w:lastRenderedPageBreak/>
        <w:t>是否具有操縱行為及意圖，</w:t>
      </w:r>
      <w:proofErr w:type="gramStart"/>
      <w:r w:rsidRPr="00BF62EC">
        <w:rPr>
          <w:rFonts w:hint="eastAsia"/>
          <w:bCs/>
          <w:color w:val="000000" w:themeColor="text1"/>
        </w:rPr>
        <w:t>核屬有</w:t>
      </w:r>
      <w:proofErr w:type="gramEnd"/>
      <w:r w:rsidRPr="00BF62EC">
        <w:rPr>
          <w:rFonts w:hint="eastAsia"/>
          <w:bCs/>
          <w:color w:val="000000" w:themeColor="text1"/>
        </w:rPr>
        <w:t>疑。本案更審判決對於何以支付佣金委託作手操盤，並利用人頭帳戶</w:t>
      </w:r>
      <w:proofErr w:type="gramStart"/>
      <w:r w:rsidRPr="00BF62EC">
        <w:rPr>
          <w:rFonts w:hint="eastAsia"/>
          <w:bCs/>
          <w:color w:val="000000" w:themeColor="text1"/>
        </w:rPr>
        <w:t>誘</w:t>
      </w:r>
      <w:proofErr w:type="gramEnd"/>
      <w:r w:rsidRPr="00BF62EC">
        <w:rPr>
          <w:rFonts w:hint="eastAsia"/>
          <w:bCs/>
          <w:color w:val="000000" w:themeColor="text1"/>
        </w:rPr>
        <w:t>買、誘賣等破壞決定價格之市場自由機制的異常交易情形，未見合理論述，遽以應華公司股票為小型股本成交量有限等理由，推論無操縱股價之主觀意圖，與經驗法則或論理法則有悖，對於證券交易法第155條第1項第4款主觀構成要件之解釋適用，亦有適用法則不當之違背法令。</w:t>
      </w:r>
    </w:p>
    <w:p w14:paraId="2CDD5F8A" w14:textId="77777777" w:rsidR="00EA6434" w:rsidRPr="00BF62EC" w:rsidRDefault="00EA6434" w:rsidP="00EA6434">
      <w:pPr>
        <w:pStyle w:val="4"/>
        <w:numPr>
          <w:ilvl w:val="3"/>
          <w:numId w:val="1"/>
        </w:numPr>
        <w:rPr>
          <w:b/>
          <w:bCs/>
          <w:color w:val="000000" w:themeColor="text1"/>
        </w:rPr>
      </w:pPr>
      <w:r w:rsidRPr="00BF62EC">
        <w:rPr>
          <w:rFonts w:hint="eastAsia"/>
          <w:b/>
          <w:bCs/>
          <w:color w:val="000000" w:themeColor="text1"/>
        </w:rPr>
        <w:t>證券交易法第155條第1項各款禁止操縱行為之規定</w:t>
      </w:r>
      <w:proofErr w:type="gramStart"/>
      <w:r w:rsidRPr="00BF62EC">
        <w:rPr>
          <w:rFonts w:hint="eastAsia"/>
          <w:b/>
          <w:bCs/>
          <w:color w:val="000000" w:themeColor="text1"/>
        </w:rPr>
        <w:t>不</w:t>
      </w:r>
      <w:proofErr w:type="gramEnd"/>
      <w:r w:rsidRPr="00BF62EC">
        <w:rPr>
          <w:rFonts w:hint="eastAsia"/>
          <w:b/>
          <w:bCs/>
          <w:color w:val="000000" w:themeColor="text1"/>
        </w:rPr>
        <w:t>必然互斥，本案更審判決遽以</w:t>
      </w:r>
      <w:r w:rsidRPr="00BF62EC">
        <w:rPr>
          <w:rFonts w:hAnsi="標楷體" w:hint="eastAsia"/>
          <w:b/>
          <w:bCs/>
          <w:color w:val="000000" w:themeColor="text1"/>
        </w:rPr>
        <w:t>「</w:t>
      </w:r>
      <w:r w:rsidRPr="00BF62EC">
        <w:rPr>
          <w:rFonts w:hint="eastAsia"/>
          <w:b/>
          <w:bCs/>
          <w:color w:val="000000" w:themeColor="text1"/>
        </w:rPr>
        <w:t>合於第3、</w:t>
      </w:r>
      <w:r w:rsidRPr="00BF62EC">
        <w:rPr>
          <w:b/>
          <w:bCs/>
          <w:color w:val="000000" w:themeColor="text1"/>
        </w:rPr>
        <w:t>4</w:t>
      </w:r>
      <w:r w:rsidRPr="00BF62EC">
        <w:rPr>
          <w:rFonts w:hint="eastAsia"/>
          <w:b/>
          <w:bCs/>
          <w:color w:val="000000" w:themeColor="text1"/>
        </w:rPr>
        <w:t>款列舉之規定，</w:t>
      </w:r>
      <w:proofErr w:type="gramStart"/>
      <w:r w:rsidRPr="00BF62EC">
        <w:rPr>
          <w:rFonts w:hint="eastAsia"/>
          <w:b/>
          <w:bCs/>
          <w:color w:val="000000" w:themeColor="text1"/>
        </w:rPr>
        <w:t>不能更論</w:t>
      </w:r>
      <w:proofErr w:type="gramEnd"/>
      <w:r w:rsidRPr="00BF62EC">
        <w:rPr>
          <w:rFonts w:hint="eastAsia"/>
          <w:b/>
          <w:bCs/>
          <w:color w:val="000000" w:themeColor="text1"/>
        </w:rPr>
        <w:t>以行為時第6款</w:t>
      </w:r>
      <w:r w:rsidRPr="00BF62EC">
        <w:rPr>
          <w:rFonts w:hAnsi="標楷體" w:hint="eastAsia"/>
          <w:b/>
          <w:bCs/>
          <w:color w:val="000000" w:themeColor="text1"/>
        </w:rPr>
        <w:t>（</w:t>
      </w:r>
      <w:r w:rsidRPr="00BF62EC">
        <w:rPr>
          <w:rFonts w:hint="eastAsia"/>
          <w:b/>
          <w:bCs/>
          <w:color w:val="000000" w:themeColor="text1"/>
        </w:rPr>
        <w:t>現行第7款</w:t>
      </w:r>
      <w:r w:rsidRPr="00BF62EC">
        <w:rPr>
          <w:rFonts w:hAnsi="標楷體" w:hint="eastAsia"/>
          <w:b/>
          <w:bCs/>
          <w:color w:val="000000" w:themeColor="text1"/>
        </w:rPr>
        <w:t>）</w:t>
      </w:r>
      <w:r w:rsidRPr="00BF62EC">
        <w:rPr>
          <w:rFonts w:hint="eastAsia"/>
          <w:b/>
          <w:bCs/>
          <w:color w:val="000000" w:themeColor="text1"/>
        </w:rPr>
        <w:t>之罪</w:t>
      </w:r>
      <w:r w:rsidRPr="00BF62EC">
        <w:rPr>
          <w:rFonts w:hAnsi="標楷體" w:hint="eastAsia"/>
          <w:b/>
          <w:bCs/>
          <w:color w:val="000000" w:themeColor="text1"/>
        </w:rPr>
        <w:t>」</w:t>
      </w:r>
      <w:r w:rsidRPr="00BF62EC">
        <w:rPr>
          <w:rFonts w:hint="eastAsia"/>
          <w:b/>
          <w:bCs/>
          <w:color w:val="000000" w:themeColor="text1"/>
        </w:rPr>
        <w:t>，有適用法則不當、理由不備之違背法令</w:t>
      </w:r>
    </w:p>
    <w:p w14:paraId="43A7067A" w14:textId="77777777" w:rsidR="00EA6434" w:rsidRPr="00BF62EC" w:rsidRDefault="00EA6434" w:rsidP="00EA6434">
      <w:pPr>
        <w:pStyle w:val="32"/>
        <w:ind w:leftChars="500" w:left="1701" w:firstLine="680"/>
        <w:rPr>
          <w:rFonts w:hAnsi="標楷體"/>
          <w:color w:val="000000" w:themeColor="text1"/>
        </w:rPr>
      </w:pPr>
      <w:r w:rsidRPr="00BF62EC">
        <w:rPr>
          <w:rFonts w:hAnsi="標楷體" w:hint="eastAsia"/>
          <w:color w:val="000000" w:themeColor="text1"/>
        </w:rPr>
        <w:t>本案更審判決於</w:t>
      </w:r>
      <w:proofErr w:type="gramStart"/>
      <w:r w:rsidRPr="00BF62EC">
        <w:rPr>
          <w:rFonts w:hAnsi="標楷體" w:hint="eastAsia"/>
          <w:color w:val="000000" w:themeColor="text1"/>
        </w:rPr>
        <w:t>理由欄參</w:t>
      </w:r>
      <w:proofErr w:type="gramEnd"/>
      <w:r w:rsidRPr="00BF62EC">
        <w:rPr>
          <w:rFonts w:hAnsi="標楷體" w:hint="eastAsia"/>
          <w:color w:val="000000" w:themeColor="text1"/>
        </w:rPr>
        <w:t>、四、（五）說明「第3、4款就相對委託型、連續交易型之操縱股價為列舉之特別規定，而第6款則就操縱股價為概括之補充規定。若操縱股價行為合於同條項第3款至第4款之情形者，因其本質上已將操縱股價行為之觀念包含在內，自應優先適用各該款，即前第3款至第4款列舉之規定應優先於第6款之補充性規定，</w:t>
      </w:r>
      <w:proofErr w:type="gramStart"/>
      <w:r w:rsidRPr="00BF62EC">
        <w:rPr>
          <w:rFonts w:hAnsi="標楷體" w:hint="eastAsia"/>
          <w:color w:val="000000" w:themeColor="text1"/>
        </w:rPr>
        <w:t>不能更論以</w:t>
      </w:r>
      <w:proofErr w:type="gramEnd"/>
      <w:r w:rsidRPr="00BF62EC">
        <w:rPr>
          <w:rFonts w:hAnsi="標楷體" w:hint="eastAsia"/>
          <w:color w:val="000000" w:themeColor="text1"/>
        </w:rPr>
        <w:t>同條項第7款之罪，</w:t>
      </w:r>
      <w:proofErr w:type="gramStart"/>
      <w:r w:rsidRPr="00BF62EC">
        <w:rPr>
          <w:rFonts w:hAnsi="標楷體" w:hint="eastAsia"/>
          <w:color w:val="000000" w:themeColor="text1"/>
        </w:rPr>
        <w:t>始稱適</w:t>
      </w:r>
      <w:proofErr w:type="gramEnd"/>
      <w:r w:rsidRPr="00BF62EC">
        <w:rPr>
          <w:rFonts w:hAnsi="標楷體" w:hint="eastAsia"/>
          <w:color w:val="000000" w:themeColor="text1"/>
        </w:rPr>
        <w:t>法（最高法院95年度台上字第5487號判決參照）。公訴意旨認被告3人之所為，除違反修正前</w:t>
      </w:r>
      <w:bookmarkStart w:id="69" w:name="_Hlk114957736"/>
      <w:r w:rsidRPr="00BF62EC">
        <w:rPr>
          <w:rFonts w:hAnsi="標楷體" w:hint="eastAsia"/>
          <w:color w:val="000000" w:themeColor="text1"/>
        </w:rPr>
        <w:t>證券交易法第155條第1項第3、4款</w:t>
      </w:r>
      <w:bookmarkEnd w:id="69"/>
      <w:r w:rsidRPr="00BF62EC">
        <w:rPr>
          <w:rFonts w:hAnsi="標楷體" w:hint="eastAsia"/>
          <w:color w:val="000000" w:themeColor="text1"/>
        </w:rPr>
        <w:t>之規定外，亦涉犯同條項第6款之規定，即有誤會。</w:t>
      </w:r>
      <w:proofErr w:type="gramStart"/>
      <w:r w:rsidRPr="00BF62EC">
        <w:rPr>
          <w:rFonts w:hAnsi="標楷體" w:hint="eastAsia"/>
          <w:color w:val="000000" w:themeColor="text1"/>
        </w:rPr>
        <w:t>況本院既認</w:t>
      </w:r>
      <w:proofErr w:type="gramEnd"/>
      <w:r w:rsidRPr="00BF62EC">
        <w:rPr>
          <w:rFonts w:hAnsi="標楷體" w:hint="eastAsia"/>
          <w:color w:val="000000" w:themeColor="text1"/>
        </w:rPr>
        <w:t>定被告3人於本案主觀上並無影響證券交易價格之犯意，已如上述，亦難認定被告3人有違反95年1月11日修正前證券交易法第155第6款規定部分之犯行。」等語。</w:t>
      </w:r>
      <w:proofErr w:type="gramStart"/>
      <w:r w:rsidRPr="00BF62EC">
        <w:rPr>
          <w:rFonts w:hAnsi="標楷體" w:hint="eastAsia"/>
          <w:color w:val="000000" w:themeColor="text1"/>
        </w:rPr>
        <w:t>惟查</w:t>
      </w:r>
      <w:proofErr w:type="gramEnd"/>
      <w:r w:rsidRPr="00BF62EC">
        <w:rPr>
          <w:rFonts w:hAnsi="標楷體" w:hint="eastAsia"/>
          <w:color w:val="000000" w:themeColor="text1"/>
        </w:rPr>
        <w:t>，行為時之證券交易法第155</w:t>
      </w:r>
      <w:r w:rsidRPr="00BF62EC">
        <w:rPr>
          <w:rFonts w:hAnsi="標楷體" w:hint="eastAsia"/>
          <w:color w:val="000000" w:themeColor="text1"/>
        </w:rPr>
        <w:lastRenderedPageBreak/>
        <w:t>條第1項第6款規定：「直接或間接從事其他影響集中交易市場有價證券交易價格之操縱行為」，目的係為彌補前面</w:t>
      </w:r>
      <w:proofErr w:type="gramStart"/>
      <w:r w:rsidRPr="00BF62EC">
        <w:rPr>
          <w:rFonts w:hAnsi="標楷體" w:hint="eastAsia"/>
          <w:color w:val="000000" w:themeColor="text1"/>
        </w:rPr>
        <w:t>各款列示</w:t>
      </w:r>
      <w:proofErr w:type="gramEnd"/>
      <w:r w:rsidRPr="00BF62EC">
        <w:rPr>
          <w:rFonts w:hAnsi="標楷體" w:hint="eastAsia"/>
          <w:color w:val="000000" w:themeColor="text1"/>
        </w:rPr>
        <w:t>規定之不足，以免規範上有掛一漏萬之憾，從此觀點而論，只要出於影響證券價格之意思決定與意思活動所支配之影響證券價格之行為，如非屬同條項前面各款之操縱類型，似應皆可落入概括規定條款範圍內</w:t>
      </w:r>
      <w:r w:rsidRPr="00BF62EC">
        <w:rPr>
          <w:rStyle w:val="afe"/>
          <w:rFonts w:hAnsi="標楷體"/>
          <w:color w:val="000000" w:themeColor="text1"/>
        </w:rPr>
        <w:footnoteReference w:id="2"/>
      </w:r>
      <w:r w:rsidRPr="00BF62EC">
        <w:rPr>
          <w:rFonts w:hAnsi="標楷體" w:hint="eastAsia"/>
          <w:color w:val="000000" w:themeColor="text1"/>
        </w:rPr>
        <w:t>。學者賴英照亦認為，現行法下，各款間</w:t>
      </w:r>
      <w:proofErr w:type="gramStart"/>
      <w:r w:rsidRPr="00BF62EC">
        <w:rPr>
          <w:rFonts w:hAnsi="標楷體" w:hint="eastAsia"/>
          <w:color w:val="000000" w:themeColor="text1"/>
        </w:rPr>
        <w:t>不</w:t>
      </w:r>
      <w:proofErr w:type="gramEnd"/>
      <w:r w:rsidRPr="00BF62EC">
        <w:rPr>
          <w:rFonts w:hAnsi="標楷體" w:hint="eastAsia"/>
          <w:color w:val="000000" w:themeColor="text1"/>
        </w:rPr>
        <w:t>必然相互排斥，如何適用，應取決於犯罪事實，依個案認定</w:t>
      </w:r>
      <w:r w:rsidRPr="00BF62EC">
        <w:rPr>
          <w:rStyle w:val="afe"/>
          <w:rFonts w:hAnsi="標楷體"/>
          <w:color w:val="000000" w:themeColor="text1"/>
        </w:rPr>
        <w:footnoteReference w:id="3"/>
      </w:r>
      <w:r w:rsidRPr="00BF62EC">
        <w:rPr>
          <w:rFonts w:hAnsi="標楷體" w:hint="eastAsia"/>
          <w:color w:val="000000" w:themeColor="text1"/>
        </w:rPr>
        <w:t>。依本案卷內資料，就行為整體觀察，所涉操縱行為類型除相對委託、連續買賣之外，似有沖洗買賣，是有疑義者係為，行為時之證券交易法第</w:t>
      </w:r>
      <w:r w:rsidRPr="00BF62EC">
        <w:rPr>
          <w:rFonts w:hAnsi="標楷體"/>
          <w:color w:val="000000" w:themeColor="text1"/>
        </w:rPr>
        <w:t>155</w:t>
      </w:r>
      <w:r w:rsidRPr="00BF62EC">
        <w:rPr>
          <w:rFonts w:hAnsi="標楷體" w:hint="eastAsia"/>
          <w:color w:val="000000" w:themeColor="text1"/>
        </w:rPr>
        <w:t>條第1項第2款沖洗買賣於該法8</w:t>
      </w:r>
      <w:r w:rsidRPr="00BF62EC">
        <w:rPr>
          <w:rFonts w:hAnsi="標楷體"/>
          <w:color w:val="000000" w:themeColor="text1"/>
        </w:rPr>
        <w:t>9</w:t>
      </w:r>
      <w:r w:rsidRPr="00BF62EC">
        <w:rPr>
          <w:rFonts w:hAnsi="標楷體" w:hint="eastAsia"/>
          <w:color w:val="000000" w:themeColor="text1"/>
        </w:rPr>
        <w:t>年7月19日修正時已遭刪除（95年修正時又將沖洗買賣重植為現行第5款），是否仍可依第6款概括規定論處?對此，以往有法院認為禁止沖洗買賣雖遭刪除，惟如此操縱行為，仍應受到概括條款規範（臺灣</w:t>
      </w:r>
      <w:proofErr w:type="gramStart"/>
      <w:r w:rsidRPr="00BF62EC">
        <w:rPr>
          <w:rFonts w:hAnsi="標楷體" w:hint="eastAsia"/>
          <w:color w:val="000000" w:themeColor="text1"/>
        </w:rPr>
        <w:t>臺</w:t>
      </w:r>
      <w:proofErr w:type="gramEnd"/>
      <w:r w:rsidRPr="00BF62EC">
        <w:rPr>
          <w:rFonts w:hAnsi="標楷體" w:hint="eastAsia"/>
          <w:color w:val="000000" w:themeColor="text1"/>
        </w:rPr>
        <w:t>中地方法院</w:t>
      </w:r>
      <w:r w:rsidRPr="00BF62EC">
        <w:rPr>
          <w:rFonts w:hAnsi="標楷體"/>
          <w:color w:val="000000" w:themeColor="text1"/>
        </w:rPr>
        <w:t>88</w:t>
      </w:r>
      <w:r w:rsidRPr="00BF62EC">
        <w:rPr>
          <w:rFonts w:hAnsi="標楷體" w:hint="eastAsia"/>
          <w:color w:val="000000" w:themeColor="text1"/>
        </w:rPr>
        <w:t>年度訴字第5</w:t>
      </w:r>
      <w:r w:rsidRPr="00BF62EC">
        <w:rPr>
          <w:rFonts w:hAnsi="標楷體"/>
          <w:color w:val="000000" w:themeColor="text1"/>
        </w:rPr>
        <w:t>28</w:t>
      </w:r>
      <w:r w:rsidRPr="00BF62EC">
        <w:rPr>
          <w:rFonts w:hAnsi="標楷體" w:hint="eastAsia"/>
          <w:color w:val="000000" w:themeColor="text1"/>
        </w:rPr>
        <w:t>號判決參照），然有學者認為，立法者既已明白刪去此一操縱類型，不宜再適用概括條款加以制裁</w:t>
      </w:r>
      <w:r w:rsidRPr="00BF62EC">
        <w:rPr>
          <w:rStyle w:val="afe"/>
          <w:rFonts w:hAnsi="標楷體"/>
          <w:color w:val="000000" w:themeColor="text1"/>
        </w:rPr>
        <w:footnoteReference w:id="4"/>
      </w:r>
      <w:r w:rsidRPr="00BF62EC">
        <w:rPr>
          <w:rFonts w:hAnsi="標楷體" w:hint="eastAsia"/>
          <w:color w:val="000000" w:themeColor="text1"/>
        </w:rPr>
        <w:t>。本案更審判決對於本案何以不成立第3、4款，即不適用概括條款，論理有欠明確，未清楚說明本案於相對委託、連續買賣外，是否涉及沖洗買賣或其他類型操縱行為，故不適用第6款，核有適用法則不當、理由不備之違背法令。至於更審判決理由所稱被告於主觀上並無犯意，亦難認定有違反第6款規定等語，</w:t>
      </w:r>
      <w:proofErr w:type="gramStart"/>
      <w:r w:rsidRPr="00BF62EC">
        <w:rPr>
          <w:rFonts w:hAnsi="標楷體" w:hint="eastAsia"/>
          <w:color w:val="000000" w:themeColor="text1"/>
        </w:rPr>
        <w:t>經查更審</w:t>
      </w:r>
      <w:proofErr w:type="gramEnd"/>
      <w:r w:rsidRPr="00BF62EC">
        <w:rPr>
          <w:rFonts w:hAnsi="標楷體" w:hint="eastAsia"/>
          <w:color w:val="000000" w:themeColor="text1"/>
        </w:rPr>
        <w:t>判決</w:t>
      </w:r>
      <w:proofErr w:type="gramStart"/>
      <w:r w:rsidRPr="00BF62EC">
        <w:rPr>
          <w:rFonts w:hAnsi="標楷體" w:hint="eastAsia"/>
          <w:color w:val="000000" w:themeColor="text1"/>
        </w:rPr>
        <w:t>對於第</w:t>
      </w:r>
      <w:proofErr w:type="gramEnd"/>
      <w:r w:rsidRPr="00BF62EC">
        <w:rPr>
          <w:rFonts w:hAnsi="標楷體" w:hint="eastAsia"/>
          <w:color w:val="000000" w:themeColor="text1"/>
        </w:rPr>
        <w:t>3、</w:t>
      </w:r>
      <w:r w:rsidRPr="00BF62EC">
        <w:rPr>
          <w:rFonts w:hAnsi="標楷體"/>
          <w:color w:val="000000" w:themeColor="text1"/>
        </w:rPr>
        <w:t>4</w:t>
      </w:r>
      <w:r w:rsidRPr="00BF62EC">
        <w:rPr>
          <w:rFonts w:hAnsi="標楷體" w:hint="eastAsia"/>
          <w:color w:val="000000" w:themeColor="text1"/>
        </w:rPr>
        <w:t>款主觀構</w:t>
      </w:r>
      <w:r w:rsidRPr="00BF62EC">
        <w:rPr>
          <w:rFonts w:hAnsi="標楷體" w:hint="eastAsia"/>
          <w:color w:val="000000" w:themeColor="text1"/>
        </w:rPr>
        <w:lastRenderedPageBreak/>
        <w:t>成要件之認事用法，有適用法則不當、理由不備等違背法令情事，已如前述，自</w:t>
      </w:r>
      <w:proofErr w:type="gramStart"/>
      <w:r w:rsidRPr="00BF62EC">
        <w:rPr>
          <w:rFonts w:hAnsi="標楷體" w:hint="eastAsia"/>
          <w:color w:val="000000" w:themeColor="text1"/>
        </w:rPr>
        <w:t>難認屬</w:t>
      </w:r>
      <w:proofErr w:type="gramEnd"/>
      <w:r w:rsidRPr="00BF62EC">
        <w:rPr>
          <w:rFonts w:hAnsi="標楷體" w:hint="eastAsia"/>
          <w:color w:val="000000" w:themeColor="text1"/>
        </w:rPr>
        <w:t>有據。</w:t>
      </w:r>
    </w:p>
    <w:p w14:paraId="79B04BE3" w14:textId="77777777" w:rsidR="00EA6434" w:rsidRPr="00BF62EC" w:rsidRDefault="00EA6434" w:rsidP="00EA6434">
      <w:pPr>
        <w:pStyle w:val="3"/>
        <w:numPr>
          <w:ilvl w:val="2"/>
          <w:numId w:val="1"/>
        </w:numPr>
        <w:rPr>
          <w:color w:val="000000" w:themeColor="text1"/>
        </w:rPr>
      </w:pPr>
      <w:r w:rsidRPr="00BF62EC">
        <w:rPr>
          <w:rFonts w:hint="eastAsia"/>
          <w:color w:val="000000" w:themeColor="text1"/>
        </w:rPr>
        <w:t>綜上論述，</w:t>
      </w:r>
      <w:r w:rsidRPr="00BF62EC">
        <w:rPr>
          <w:rFonts w:hint="eastAsia"/>
          <w:bCs w:val="0"/>
          <w:color w:val="000000" w:themeColor="text1"/>
        </w:rPr>
        <w:t>應華炒股案被告翁茂</w:t>
      </w:r>
      <w:proofErr w:type="gramStart"/>
      <w:r w:rsidRPr="00BF62EC">
        <w:rPr>
          <w:rFonts w:hint="eastAsia"/>
          <w:bCs w:val="0"/>
          <w:color w:val="000000" w:themeColor="text1"/>
        </w:rPr>
        <w:t>鍾</w:t>
      </w:r>
      <w:proofErr w:type="gramEnd"/>
      <w:r w:rsidRPr="00BF62EC">
        <w:rPr>
          <w:rFonts w:hint="eastAsia"/>
          <w:bCs w:val="0"/>
          <w:color w:val="000000" w:themeColor="text1"/>
        </w:rPr>
        <w:t>等人謀議訂定底價，支付佣金委託作手操盤，利用集團投資人帳戶買進賣出股票，明顯異於常情，與被告聲稱純為籌錢還債之說法未合，且監聽譯文顯示被告等人確有商談操縱買賣，櫃買中心分析意見書</w:t>
      </w:r>
      <w:proofErr w:type="gramStart"/>
      <w:r w:rsidRPr="00BF62EC">
        <w:rPr>
          <w:rFonts w:hint="eastAsia"/>
          <w:bCs w:val="0"/>
          <w:color w:val="000000" w:themeColor="text1"/>
        </w:rPr>
        <w:t>亦指操</w:t>
      </w:r>
      <w:proofErr w:type="gramEnd"/>
      <w:r w:rsidRPr="00BF62EC">
        <w:rPr>
          <w:rFonts w:hint="eastAsia"/>
          <w:bCs w:val="0"/>
          <w:color w:val="000000" w:themeColor="text1"/>
        </w:rPr>
        <w:t>盤期間價量分析異常，綜合各項事證判斷，是否具有操縱行為及意圖，</w:t>
      </w:r>
      <w:proofErr w:type="gramStart"/>
      <w:r w:rsidRPr="00BF62EC">
        <w:rPr>
          <w:rFonts w:hint="eastAsia"/>
          <w:bCs w:val="0"/>
          <w:color w:val="000000" w:themeColor="text1"/>
        </w:rPr>
        <w:t>核屬有</w:t>
      </w:r>
      <w:proofErr w:type="gramEnd"/>
      <w:r w:rsidRPr="00BF62EC">
        <w:rPr>
          <w:rFonts w:hint="eastAsia"/>
          <w:bCs w:val="0"/>
          <w:color w:val="000000" w:themeColor="text1"/>
        </w:rPr>
        <w:t>疑，本案確定判決（即臺中高分院更審判決）遽以「賣股償債為真」、「應華公司股票為小型股成交量有限」等理由，認定被告主觀上無操縱市場意圖，與司法實務長期以來綜合客觀行為認定是否具有主觀不法意圖的判斷基準及學說見解有所不同，除有適用法則不當、理由不備等判決違背法令，有鑑於相關爭議與統一適用法令有關，具有原則上重要性，茲</w:t>
      </w:r>
      <w:r w:rsidRPr="00BF62EC">
        <w:rPr>
          <w:rFonts w:hint="eastAsia"/>
          <w:color w:val="000000" w:themeColor="text1"/>
        </w:rPr>
        <w:t>以被告翁茂鍾所涉應華炒股案與佳和炒股案</w:t>
      </w:r>
      <w:r w:rsidRPr="00BF62EC">
        <w:rPr>
          <w:rFonts w:hAnsi="標楷體" w:hint="eastAsia"/>
          <w:color w:val="000000" w:themeColor="text1"/>
        </w:rPr>
        <w:t>（</w:t>
      </w:r>
      <w:r w:rsidRPr="00BF62EC">
        <w:rPr>
          <w:rFonts w:hint="eastAsia"/>
          <w:color w:val="000000" w:themeColor="text1"/>
        </w:rPr>
        <w:t>參見臺灣高等法院</w:t>
      </w:r>
      <w:proofErr w:type="gramStart"/>
      <w:r w:rsidRPr="00BF62EC">
        <w:rPr>
          <w:rFonts w:hint="eastAsia"/>
          <w:color w:val="000000" w:themeColor="text1"/>
        </w:rPr>
        <w:t>10</w:t>
      </w:r>
      <w:proofErr w:type="gramEnd"/>
      <w:r w:rsidRPr="00BF62EC">
        <w:rPr>
          <w:rFonts w:hint="eastAsia"/>
          <w:color w:val="000000" w:themeColor="text1"/>
        </w:rPr>
        <w:t>0年度金上重訴字第24號判決</w:t>
      </w:r>
      <w:r w:rsidRPr="00BF62EC">
        <w:rPr>
          <w:rFonts w:hAnsi="標楷體" w:hint="eastAsia"/>
          <w:color w:val="000000" w:themeColor="text1"/>
        </w:rPr>
        <w:t>）</w:t>
      </w:r>
      <w:r w:rsidRPr="00BF62EC">
        <w:rPr>
          <w:rFonts w:hint="eastAsia"/>
          <w:color w:val="000000" w:themeColor="text1"/>
        </w:rPr>
        <w:t>為例，兩案手法相同、答辯理由相同，然法院對於主觀意圖之認定卻有截然不同之解讀，為期判決合法妥適，本案宜請法務部轉所屬研議提起非常上訴。</w:t>
      </w:r>
    </w:p>
    <w:p w14:paraId="7B5C2DEF" w14:textId="77777777" w:rsidR="00EA6434" w:rsidRPr="00BF62EC" w:rsidRDefault="00EA6434" w:rsidP="00EA6434">
      <w:pPr>
        <w:pStyle w:val="2"/>
        <w:numPr>
          <w:ilvl w:val="1"/>
          <w:numId w:val="1"/>
        </w:numPr>
        <w:ind w:left="1021"/>
        <w:rPr>
          <w:b/>
          <w:bCs w:val="0"/>
          <w:color w:val="000000" w:themeColor="text1"/>
        </w:rPr>
      </w:pPr>
      <w:r w:rsidRPr="00BF62EC">
        <w:rPr>
          <w:rFonts w:hint="eastAsia"/>
          <w:b/>
          <w:bCs w:val="0"/>
          <w:color w:val="000000" w:themeColor="text1"/>
        </w:rPr>
        <w:t>依本案確定判決（即</w:t>
      </w:r>
      <w:proofErr w:type="gramStart"/>
      <w:r w:rsidRPr="00BF62EC">
        <w:rPr>
          <w:rFonts w:hint="eastAsia"/>
          <w:b/>
          <w:bCs w:val="0"/>
          <w:color w:val="000000" w:themeColor="text1"/>
        </w:rPr>
        <w:t>臺</w:t>
      </w:r>
      <w:proofErr w:type="gramEnd"/>
      <w:r w:rsidRPr="00BF62EC">
        <w:rPr>
          <w:rFonts w:hint="eastAsia"/>
          <w:b/>
          <w:bCs w:val="0"/>
          <w:color w:val="000000" w:themeColor="text1"/>
        </w:rPr>
        <w:t>中高分院更審判決）所認定之事實，被告翁茂鍾等人為償還佳和集團債務而委託投顧公司操盤出售應華公司股票，協調</w:t>
      </w:r>
      <w:bookmarkStart w:id="70" w:name="_Hlk116475922"/>
      <w:r w:rsidRPr="00BF62EC">
        <w:rPr>
          <w:rFonts w:hint="eastAsia"/>
          <w:b/>
          <w:bCs w:val="0"/>
          <w:color w:val="000000" w:themeColor="text1"/>
        </w:rPr>
        <w:t>該集團旗下怡華實業股份有限公司、怡晉國際股份有限公司，及與該集團業務往來密切但</w:t>
      </w:r>
      <w:bookmarkEnd w:id="70"/>
      <w:r w:rsidRPr="00BF62EC">
        <w:rPr>
          <w:rFonts w:hint="eastAsia"/>
          <w:b/>
          <w:bCs w:val="0"/>
          <w:color w:val="000000" w:themeColor="text1"/>
        </w:rPr>
        <w:t>與債務無關</w:t>
      </w:r>
      <w:proofErr w:type="gramStart"/>
      <w:r w:rsidRPr="00BF62EC">
        <w:rPr>
          <w:rFonts w:hint="eastAsia"/>
          <w:b/>
          <w:bCs w:val="0"/>
          <w:color w:val="000000" w:themeColor="text1"/>
        </w:rPr>
        <w:t>之茂</w:t>
      </w:r>
      <w:proofErr w:type="gramEnd"/>
      <w:r w:rsidRPr="00BF62EC">
        <w:rPr>
          <w:rFonts w:hint="eastAsia"/>
          <w:b/>
          <w:bCs w:val="0"/>
          <w:color w:val="000000" w:themeColor="text1"/>
        </w:rPr>
        <w:t>豐紡織股份有限公司共同不實核銷佣金，</w:t>
      </w:r>
      <w:r w:rsidRPr="00BF62EC">
        <w:rPr>
          <w:b/>
          <w:bCs w:val="0"/>
          <w:color w:val="000000" w:themeColor="text1"/>
        </w:rPr>
        <w:t>本案</w:t>
      </w:r>
      <w:r w:rsidRPr="00BF62EC">
        <w:rPr>
          <w:rFonts w:hint="eastAsia"/>
          <w:b/>
          <w:bCs w:val="0"/>
          <w:color w:val="000000" w:themeColor="text1"/>
        </w:rPr>
        <w:t>確定</w:t>
      </w:r>
      <w:proofErr w:type="gramStart"/>
      <w:r w:rsidRPr="00BF62EC">
        <w:rPr>
          <w:rFonts w:hint="eastAsia"/>
          <w:b/>
          <w:bCs w:val="0"/>
          <w:color w:val="000000" w:themeColor="text1"/>
        </w:rPr>
        <w:t>判決僅論</w:t>
      </w:r>
      <w:proofErr w:type="gramEnd"/>
      <w:r w:rsidRPr="00BF62EC">
        <w:rPr>
          <w:rFonts w:hint="eastAsia"/>
          <w:b/>
          <w:bCs w:val="0"/>
          <w:color w:val="000000" w:themeColor="text1"/>
        </w:rPr>
        <w:t>以違反商業會計法</w:t>
      </w:r>
      <w:proofErr w:type="gramStart"/>
      <w:r w:rsidRPr="00BF62EC">
        <w:rPr>
          <w:rFonts w:hint="eastAsia"/>
          <w:b/>
          <w:bCs w:val="0"/>
          <w:color w:val="000000" w:themeColor="text1"/>
        </w:rPr>
        <w:t>不實填</w:t>
      </w:r>
      <w:proofErr w:type="gramEnd"/>
      <w:r w:rsidRPr="00BF62EC">
        <w:rPr>
          <w:rFonts w:hint="eastAsia"/>
          <w:b/>
          <w:bCs w:val="0"/>
          <w:color w:val="000000" w:themeColor="text1"/>
        </w:rPr>
        <w:t>製會計憑證罪，</w:t>
      </w:r>
      <w:proofErr w:type="gramStart"/>
      <w:r w:rsidRPr="00BF62EC">
        <w:rPr>
          <w:rFonts w:hint="eastAsia"/>
          <w:b/>
          <w:bCs w:val="0"/>
          <w:color w:val="000000" w:themeColor="text1"/>
        </w:rPr>
        <w:t>涉犯背</w:t>
      </w:r>
      <w:proofErr w:type="gramEnd"/>
      <w:r w:rsidRPr="00BF62EC">
        <w:rPr>
          <w:rFonts w:hint="eastAsia"/>
          <w:b/>
          <w:bCs w:val="0"/>
          <w:color w:val="000000" w:themeColor="text1"/>
        </w:rPr>
        <w:t>信罪部分漏未判決，核有「已受請求事項未予判決」之當然違背法令；檢察官對於案</w:t>
      </w:r>
      <w:proofErr w:type="gramStart"/>
      <w:r w:rsidRPr="00BF62EC">
        <w:rPr>
          <w:rFonts w:hint="eastAsia"/>
          <w:b/>
          <w:bCs w:val="0"/>
          <w:color w:val="000000" w:themeColor="text1"/>
        </w:rPr>
        <w:t>外人茂豐紡織</w:t>
      </w:r>
      <w:proofErr w:type="gramEnd"/>
      <w:r w:rsidRPr="00BF62EC">
        <w:rPr>
          <w:rFonts w:hint="eastAsia"/>
          <w:b/>
          <w:bCs w:val="0"/>
          <w:color w:val="000000" w:themeColor="text1"/>
        </w:rPr>
        <w:t>股份有限公司負責</w:t>
      </w:r>
      <w:r w:rsidRPr="00BF62EC">
        <w:rPr>
          <w:rFonts w:hint="eastAsia"/>
          <w:b/>
          <w:bCs w:val="0"/>
          <w:color w:val="000000" w:themeColor="text1"/>
        </w:rPr>
        <w:lastRenderedPageBreak/>
        <w:t>人及主管會計等人涉嫌背信罪部分，似亦漏未起訴</w:t>
      </w:r>
      <w:r w:rsidRPr="00BF62EC">
        <w:rPr>
          <w:rFonts w:hAnsi="標楷體" w:hint="eastAsia"/>
          <w:b/>
          <w:bCs w:val="0"/>
          <w:color w:val="000000" w:themeColor="text1"/>
        </w:rPr>
        <w:t>。</w:t>
      </w:r>
    </w:p>
    <w:p w14:paraId="1A5B2E60" w14:textId="77777777" w:rsidR="00EA6434" w:rsidRPr="00BF62EC" w:rsidRDefault="00EA6434" w:rsidP="00EA6434">
      <w:pPr>
        <w:pStyle w:val="3"/>
        <w:numPr>
          <w:ilvl w:val="2"/>
          <w:numId w:val="1"/>
        </w:numPr>
        <w:rPr>
          <w:color w:val="000000" w:themeColor="text1"/>
        </w:rPr>
      </w:pPr>
      <w:r w:rsidRPr="00BF62EC">
        <w:rPr>
          <w:rFonts w:hint="eastAsia"/>
          <w:color w:val="000000" w:themeColor="text1"/>
        </w:rPr>
        <w:t>除刑事訴訟法有特別規定外，已受請求之事項未予判決者，其判決當然違背法令，同法第379條第12款規定甚明。申言之，法院對於已經起訴之事實，須全部加以裁判，</w:t>
      </w:r>
      <w:proofErr w:type="gramStart"/>
      <w:r w:rsidRPr="00BF62EC">
        <w:rPr>
          <w:rFonts w:hint="eastAsia"/>
          <w:color w:val="000000" w:themeColor="text1"/>
        </w:rPr>
        <w:t>方屬適法</w:t>
      </w:r>
      <w:proofErr w:type="gramEnd"/>
      <w:r w:rsidRPr="00BF62EC">
        <w:rPr>
          <w:rFonts w:hint="eastAsia"/>
          <w:color w:val="000000" w:themeColor="text1"/>
        </w:rPr>
        <w:t>。法院對於起訴或上訴所請求審判之裁判上可分之數罪案件，如部分漏未判決，固可補行判決，以終結全部裁判程序；但對於一</w:t>
      </w:r>
      <w:proofErr w:type="gramStart"/>
      <w:r w:rsidRPr="00BF62EC">
        <w:rPr>
          <w:rFonts w:hint="eastAsia"/>
          <w:color w:val="000000" w:themeColor="text1"/>
        </w:rPr>
        <w:t>訴所請求</w:t>
      </w:r>
      <w:proofErr w:type="gramEnd"/>
      <w:r w:rsidRPr="00BF62EC">
        <w:rPr>
          <w:rFonts w:hint="eastAsia"/>
          <w:color w:val="000000" w:themeColor="text1"/>
        </w:rPr>
        <w:t>審判之裁判上不可分之單一性案件，如僅對一部分事實為終局判決，因訴訟關係已經消滅，對於其他部分事實，</w:t>
      </w:r>
      <w:proofErr w:type="gramStart"/>
      <w:r w:rsidRPr="00BF62EC">
        <w:rPr>
          <w:rFonts w:hint="eastAsia"/>
          <w:color w:val="000000" w:themeColor="text1"/>
        </w:rPr>
        <w:t>無從補為判</w:t>
      </w:r>
      <w:proofErr w:type="gramEnd"/>
      <w:r w:rsidRPr="00BF62EC">
        <w:rPr>
          <w:rFonts w:hint="eastAsia"/>
          <w:color w:val="000000" w:themeColor="text1"/>
        </w:rPr>
        <w:t>決，自屬刑事訴訟法第379條第12款所稱「已受請求事項未予判決」之當然違背法令</w:t>
      </w:r>
      <w:r w:rsidRPr="00BF62EC">
        <w:rPr>
          <w:rFonts w:hAnsi="標楷體" w:hint="eastAsia"/>
          <w:color w:val="000000" w:themeColor="text1"/>
        </w:rPr>
        <w:t>(</w:t>
      </w:r>
      <w:r w:rsidRPr="00BF62EC">
        <w:rPr>
          <w:rFonts w:hint="eastAsia"/>
          <w:color w:val="000000" w:themeColor="text1"/>
        </w:rPr>
        <w:t>最高法院</w:t>
      </w:r>
      <w:proofErr w:type="gramStart"/>
      <w:r w:rsidRPr="00BF62EC">
        <w:rPr>
          <w:rFonts w:hint="eastAsia"/>
          <w:color w:val="000000" w:themeColor="text1"/>
        </w:rPr>
        <w:t>10</w:t>
      </w:r>
      <w:proofErr w:type="gramEnd"/>
      <w:r w:rsidRPr="00BF62EC">
        <w:rPr>
          <w:rFonts w:hint="eastAsia"/>
          <w:color w:val="000000" w:themeColor="text1"/>
        </w:rPr>
        <w:t>5年度台上字第1</w:t>
      </w:r>
      <w:r w:rsidRPr="00BF62EC">
        <w:rPr>
          <w:color w:val="000000" w:themeColor="text1"/>
        </w:rPr>
        <w:t>356</w:t>
      </w:r>
      <w:r w:rsidRPr="00BF62EC">
        <w:rPr>
          <w:rFonts w:hint="eastAsia"/>
          <w:color w:val="000000" w:themeColor="text1"/>
        </w:rPr>
        <w:t>號判決參照</w:t>
      </w:r>
      <w:r w:rsidRPr="00BF62EC">
        <w:rPr>
          <w:rFonts w:hAnsi="標楷體" w:hint="eastAsia"/>
          <w:color w:val="000000" w:themeColor="text1"/>
        </w:rPr>
        <w:t>)</w:t>
      </w:r>
      <w:r w:rsidRPr="00BF62EC">
        <w:rPr>
          <w:rFonts w:hint="eastAsia"/>
          <w:color w:val="000000" w:themeColor="text1"/>
        </w:rPr>
        <w:t>。</w:t>
      </w:r>
    </w:p>
    <w:p w14:paraId="370ED8CA" w14:textId="77777777" w:rsidR="00EA6434" w:rsidRPr="00BF62EC" w:rsidRDefault="00EA6434" w:rsidP="00EA6434">
      <w:pPr>
        <w:pStyle w:val="3"/>
        <w:numPr>
          <w:ilvl w:val="2"/>
          <w:numId w:val="1"/>
        </w:numPr>
        <w:rPr>
          <w:color w:val="000000" w:themeColor="text1"/>
        </w:rPr>
      </w:pPr>
      <w:r w:rsidRPr="00BF62EC">
        <w:rPr>
          <w:rFonts w:hint="eastAsia"/>
          <w:color w:val="000000" w:themeColor="text1"/>
        </w:rPr>
        <w:t>依本案確定判決所認定之事實，翁茂</w:t>
      </w:r>
      <w:proofErr w:type="gramStart"/>
      <w:r w:rsidRPr="00BF62EC">
        <w:rPr>
          <w:rFonts w:hint="eastAsia"/>
          <w:color w:val="000000" w:themeColor="text1"/>
        </w:rPr>
        <w:t>鍾係佳</w:t>
      </w:r>
      <w:proofErr w:type="gramEnd"/>
      <w:r w:rsidRPr="00BF62EC">
        <w:rPr>
          <w:rFonts w:hint="eastAsia"/>
          <w:color w:val="000000" w:themeColor="text1"/>
        </w:rPr>
        <w:t>和實業股份有限公司（以下簡稱佳和公司）、怡華實業股份有限公司（以下簡稱怡華公司）、怡晉國際股份有限公司（以下簡稱怡晉公司）、佳園建設股份有限公司（以下簡稱佳園公司，以上4家公司屬佳和集團）之董事長，為商業會計法規定之商業負責人。翁茂</w:t>
      </w:r>
      <w:proofErr w:type="gramStart"/>
      <w:r w:rsidRPr="00BF62EC">
        <w:rPr>
          <w:rFonts w:hint="eastAsia"/>
          <w:color w:val="000000" w:themeColor="text1"/>
        </w:rPr>
        <w:t>鍾</w:t>
      </w:r>
      <w:proofErr w:type="gramEnd"/>
      <w:r w:rsidRPr="00BF62EC">
        <w:rPr>
          <w:rFonts w:hint="eastAsia"/>
          <w:color w:val="000000" w:themeColor="text1"/>
        </w:rPr>
        <w:t>指派王嘉賓與蔡漢凱聯絡，委託出售佳和集團</w:t>
      </w:r>
      <w:r w:rsidRPr="00BF62EC">
        <w:rPr>
          <w:color w:val="000000" w:themeColor="text1"/>
        </w:rPr>
        <w:t>持有</w:t>
      </w:r>
      <w:r w:rsidRPr="00BF62EC">
        <w:rPr>
          <w:rFonts w:hint="eastAsia"/>
          <w:color w:val="000000" w:themeColor="text1"/>
        </w:rPr>
        <w:t>之應華公司股票事宜，由王嘉賓與蔡漢凱約定，蔡漢凱</w:t>
      </w:r>
      <w:proofErr w:type="gramStart"/>
      <w:r w:rsidRPr="00BF62EC">
        <w:rPr>
          <w:rFonts w:hint="eastAsia"/>
          <w:color w:val="000000" w:themeColor="text1"/>
        </w:rPr>
        <w:t>經營麗天公</w:t>
      </w:r>
      <w:proofErr w:type="gramEnd"/>
      <w:r w:rsidRPr="00BF62EC">
        <w:rPr>
          <w:rFonts w:hint="eastAsia"/>
          <w:color w:val="000000" w:themeColor="text1"/>
        </w:rPr>
        <w:t>司依市場交易行情，以每股29元為底價出售應華公司股票，</w:t>
      </w:r>
      <w:proofErr w:type="gramStart"/>
      <w:r w:rsidRPr="00BF62EC">
        <w:rPr>
          <w:rFonts w:hint="eastAsia"/>
          <w:color w:val="000000" w:themeColor="text1"/>
        </w:rPr>
        <w:t>麗天公</w:t>
      </w:r>
      <w:proofErr w:type="gramEnd"/>
      <w:r w:rsidRPr="00BF62EC">
        <w:rPr>
          <w:rFonts w:hint="eastAsia"/>
          <w:color w:val="000000" w:themeColor="text1"/>
        </w:rPr>
        <w:t>司可獲取出售價額10%之報酬，如售出價格</w:t>
      </w:r>
      <w:proofErr w:type="gramStart"/>
      <w:r w:rsidRPr="00BF62EC">
        <w:rPr>
          <w:rFonts w:hint="eastAsia"/>
          <w:color w:val="000000" w:themeColor="text1"/>
        </w:rPr>
        <w:t>超逾每</w:t>
      </w:r>
      <w:proofErr w:type="gramEnd"/>
      <w:r w:rsidRPr="00BF62EC">
        <w:rPr>
          <w:rFonts w:hint="eastAsia"/>
          <w:color w:val="000000" w:themeColor="text1"/>
        </w:rPr>
        <w:t>股32元，至多可獲取3元之佣金報酬，於結算後報酬後，蔡漢凱再依王嘉賓指定之公司名稱及銷貨金額，開</w:t>
      </w:r>
      <w:proofErr w:type="gramStart"/>
      <w:r w:rsidRPr="00BF62EC">
        <w:rPr>
          <w:rFonts w:hint="eastAsia"/>
          <w:color w:val="000000" w:themeColor="text1"/>
        </w:rPr>
        <w:t>立麗</w:t>
      </w:r>
      <w:proofErr w:type="gramEnd"/>
      <w:r w:rsidRPr="00BF62EC">
        <w:rPr>
          <w:rFonts w:hint="eastAsia"/>
          <w:color w:val="000000" w:themeColor="text1"/>
        </w:rPr>
        <w:t>天公司統一發票寄送至王嘉賓指定之公司請領報酬，王嘉賓則依翁茂鍾指示與佳和公司總經理室副理魏廷芳，</w:t>
      </w:r>
      <w:proofErr w:type="gramStart"/>
      <w:r w:rsidRPr="00BF62EC">
        <w:rPr>
          <w:rFonts w:hint="eastAsia"/>
          <w:color w:val="000000" w:themeColor="text1"/>
        </w:rPr>
        <w:t>依佳</w:t>
      </w:r>
      <w:proofErr w:type="gramEnd"/>
      <w:r w:rsidRPr="00BF62EC">
        <w:rPr>
          <w:rFonts w:hint="eastAsia"/>
          <w:color w:val="000000" w:themeColor="text1"/>
        </w:rPr>
        <w:t>和集團旗下關係企業各公司之資金狀況，統籌協調出分別由怡晉公司、怡華公司</w:t>
      </w:r>
      <w:proofErr w:type="gramStart"/>
      <w:r w:rsidRPr="00BF62EC">
        <w:rPr>
          <w:rFonts w:hint="eastAsia"/>
          <w:color w:val="000000" w:themeColor="text1"/>
        </w:rPr>
        <w:t>及茂豐紡</w:t>
      </w:r>
      <w:proofErr w:type="gramEnd"/>
      <w:r w:rsidRPr="00BF62EC">
        <w:rPr>
          <w:rFonts w:hint="eastAsia"/>
          <w:color w:val="000000" w:themeColor="text1"/>
        </w:rPr>
        <w:t>織股份有</w:t>
      </w:r>
      <w:r w:rsidRPr="00BF62EC">
        <w:rPr>
          <w:rFonts w:hint="eastAsia"/>
          <w:color w:val="000000" w:themeColor="text1"/>
        </w:rPr>
        <w:lastRenderedPageBreak/>
        <w:t>限公司（下稱茂豐公司）支付，魏廷芳並經得與該集團業務往來密切</w:t>
      </w:r>
      <w:proofErr w:type="gramStart"/>
      <w:r w:rsidRPr="00BF62EC">
        <w:rPr>
          <w:rFonts w:hint="eastAsia"/>
          <w:color w:val="000000" w:themeColor="text1"/>
        </w:rPr>
        <w:t>之茂</w:t>
      </w:r>
      <w:proofErr w:type="gramEnd"/>
      <w:r w:rsidRPr="00BF62EC">
        <w:rPr>
          <w:rFonts w:hint="eastAsia"/>
          <w:color w:val="000000" w:themeColor="text1"/>
        </w:rPr>
        <w:t>豐公司董事長即商業負責人黃崇海及主辦會計人員之同意。</w:t>
      </w:r>
      <w:proofErr w:type="gramStart"/>
      <w:r w:rsidRPr="00BF62EC">
        <w:rPr>
          <w:rFonts w:hint="eastAsia"/>
          <w:color w:val="000000" w:themeColor="text1"/>
        </w:rPr>
        <w:t>麗天公司</w:t>
      </w:r>
      <w:proofErr w:type="gramEnd"/>
      <w:r w:rsidRPr="00BF62EC">
        <w:rPr>
          <w:rFonts w:hint="eastAsia"/>
          <w:color w:val="000000" w:themeColor="text1"/>
        </w:rPr>
        <w:t>之商業負責人蔡漢凱與怡晉公司、怡華公司之商業負責人翁茂鍾</w:t>
      </w:r>
      <w:proofErr w:type="gramStart"/>
      <w:r w:rsidRPr="00BF62EC">
        <w:rPr>
          <w:rFonts w:hint="eastAsia"/>
          <w:color w:val="000000" w:themeColor="text1"/>
        </w:rPr>
        <w:t>及其特</w:t>
      </w:r>
      <w:proofErr w:type="gramEnd"/>
      <w:r w:rsidRPr="00BF62EC">
        <w:rPr>
          <w:rFonts w:hint="eastAsia"/>
          <w:color w:val="000000" w:themeColor="text1"/>
        </w:rPr>
        <w:t>助王嘉賓，</w:t>
      </w:r>
      <w:proofErr w:type="gramStart"/>
      <w:r w:rsidRPr="00BF62EC">
        <w:rPr>
          <w:rFonts w:hint="eastAsia"/>
          <w:color w:val="000000" w:themeColor="text1"/>
        </w:rPr>
        <w:t>明知麗天公</w:t>
      </w:r>
      <w:proofErr w:type="gramEnd"/>
      <w:r w:rsidRPr="00BF62EC">
        <w:rPr>
          <w:rFonts w:hint="eastAsia"/>
          <w:color w:val="000000" w:themeColor="text1"/>
        </w:rPr>
        <w:t>司並無</w:t>
      </w:r>
      <w:proofErr w:type="gramStart"/>
      <w:r w:rsidRPr="00BF62EC">
        <w:rPr>
          <w:rFonts w:hint="eastAsia"/>
          <w:color w:val="000000" w:themeColor="text1"/>
        </w:rPr>
        <w:t>受茂</w:t>
      </w:r>
      <w:proofErr w:type="gramEnd"/>
      <w:r w:rsidRPr="00BF62EC">
        <w:rPr>
          <w:rFonts w:hint="eastAsia"/>
          <w:color w:val="000000" w:themeColor="text1"/>
        </w:rPr>
        <w:t>豐公司委任，亦無提供任何勞務，</w:t>
      </w:r>
      <w:proofErr w:type="gramStart"/>
      <w:r w:rsidRPr="00BF62EC">
        <w:rPr>
          <w:rFonts w:hint="eastAsia"/>
          <w:color w:val="000000" w:themeColor="text1"/>
        </w:rPr>
        <w:t>且麗</w:t>
      </w:r>
      <w:proofErr w:type="gramEnd"/>
      <w:r w:rsidRPr="00BF62EC">
        <w:rPr>
          <w:rFonts w:hint="eastAsia"/>
          <w:color w:val="000000" w:themeColor="text1"/>
        </w:rPr>
        <w:t>天公司代怡晉公司、怡華公司所出售之應華公司股票僅179仟股（張）、608仟股（張），以每股最多3元之佣金報酬計算，需</w:t>
      </w:r>
      <w:proofErr w:type="gramStart"/>
      <w:r w:rsidRPr="00BF62EC">
        <w:rPr>
          <w:rFonts w:hint="eastAsia"/>
          <w:color w:val="000000" w:themeColor="text1"/>
        </w:rPr>
        <w:t>支付麗天公</w:t>
      </w:r>
      <w:proofErr w:type="gramEnd"/>
      <w:r w:rsidRPr="00BF62EC">
        <w:rPr>
          <w:rFonts w:hint="eastAsia"/>
          <w:color w:val="000000" w:themeColor="text1"/>
        </w:rPr>
        <w:t>司53萬7,000元及182萬4</w:t>
      </w:r>
      <w:r w:rsidRPr="00BF62EC">
        <w:rPr>
          <w:color w:val="000000" w:themeColor="text1"/>
        </w:rPr>
        <w:t>,</w:t>
      </w:r>
      <w:r w:rsidRPr="00BF62EC">
        <w:rPr>
          <w:rFonts w:hint="eastAsia"/>
          <w:color w:val="000000" w:themeColor="text1"/>
        </w:rPr>
        <w:t>000元之報酬。翁茂</w:t>
      </w:r>
      <w:proofErr w:type="gramStart"/>
      <w:r w:rsidRPr="00BF62EC">
        <w:rPr>
          <w:rFonts w:hint="eastAsia"/>
          <w:color w:val="000000" w:themeColor="text1"/>
        </w:rPr>
        <w:t>鍾</w:t>
      </w:r>
      <w:proofErr w:type="gramEnd"/>
      <w:r w:rsidRPr="00BF62EC">
        <w:rPr>
          <w:rFonts w:hint="eastAsia"/>
          <w:color w:val="000000" w:themeColor="text1"/>
        </w:rPr>
        <w:t>、王嘉賓及蔡漢凱為求順利支付或領取上開報酬，竟共同基於商業負責人明知為不實之事項，而填製會計憑證或記入</w:t>
      </w:r>
      <w:proofErr w:type="gramStart"/>
      <w:r w:rsidRPr="00BF62EC">
        <w:rPr>
          <w:rFonts w:hint="eastAsia"/>
          <w:color w:val="000000" w:themeColor="text1"/>
        </w:rPr>
        <w:t>帳</w:t>
      </w:r>
      <w:proofErr w:type="gramEnd"/>
      <w:r w:rsidRPr="00BF62EC">
        <w:rPr>
          <w:rFonts w:hint="eastAsia"/>
          <w:color w:val="000000" w:themeColor="text1"/>
        </w:rPr>
        <w:t>冊之概括</w:t>
      </w:r>
      <w:r w:rsidRPr="00BF62EC">
        <w:rPr>
          <w:color w:val="000000" w:themeColor="text1"/>
        </w:rPr>
        <w:t>犯意聯絡</w:t>
      </w:r>
      <w:r w:rsidRPr="00BF62EC">
        <w:rPr>
          <w:rFonts w:hint="eastAsia"/>
          <w:color w:val="000000" w:themeColor="text1"/>
        </w:rPr>
        <w:t>，並經由王嘉賓之聯絡，而與魏廷芳、</w:t>
      </w:r>
      <w:proofErr w:type="gramStart"/>
      <w:r w:rsidRPr="00BF62EC">
        <w:rPr>
          <w:rFonts w:hint="eastAsia"/>
          <w:color w:val="000000" w:themeColor="text1"/>
        </w:rPr>
        <w:t>茂豐公</w:t>
      </w:r>
      <w:proofErr w:type="gramEnd"/>
      <w:r w:rsidRPr="00BF62EC">
        <w:rPr>
          <w:rFonts w:hint="eastAsia"/>
          <w:color w:val="000000" w:themeColor="text1"/>
        </w:rPr>
        <w:t>司董事長即商業負責人黃崇海、主辦會計呂家豪共同基於明知為不實之事項，而填製會計憑證或記入</w:t>
      </w:r>
      <w:proofErr w:type="gramStart"/>
      <w:r w:rsidRPr="00BF62EC">
        <w:rPr>
          <w:rFonts w:hint="eastAsia"/>
          <w:color w:val="000000" w:themeColor="text1"/>
        </w:rPr>
        <w:t>帳</w:t>
      </w:r>
      <w:proofErr w:type="gramEnd"/>
      <w:r w:rsidRPr="00BF62EC">
        <w:rPr>
          <w:rFonts w:hint="eastAsia"/>
          <w:color w:val="000000" w:themeColor="text1"/>
        </w:rPr>
        <w:t>冊之</w:t>
      </w:r>
      <w:r w:rsidRPr="00BF62EC">
        <w:rPr>
          <w:color w:val="000000" w:themeColor="text1"/>
        </w:rPr>
        <w:t>概括犯意</w:t>
      </w:r>
      <w:r w:rsidRPr="00BF62EC">
        <w:rPr>
          <w:rFonts w:hint="eastAsia"/>
          <w:color w:val="000000" w:themeColor="text1"/>
        </w:rPr>
        <w:t>聯絡，由蔡漢凱連續開立不實發票會計憑證，寄送上開怡晉公司、怡華公司、</w:t>
      </w:r>
      <w:proofErr w:type="gramStart"/>
      <w:r w:rsidRPr="00BF62EC">
        <w:rPr>
          <w:rFonts w:hint="eastAsia"/>
          <w:color w:val="000000" w:themeColor="text1"/>
        </w:rPr>
        <w:t>茂豐公</w:t>
      </w:r>
      <w:proofErr w:type="gramEnd"/>
      <w:r w:rsidRPr="00BF62EC">
        <w:rPr>
          <w:rFonts w:hint="eastAsia"/>
          <w:color w:val="000000" w:themeColor="text1"/>
        </w:rPr>
        <w:t>司之主辦會計，使之得連續於不詳時間，將不實發票金額記入</w:t>
      </w:r>
      <w:proofErr w:type="gramStart"/>
      <w:r w:rsidRPr="00BF62EC">
        <w:rPr>
          <w:rFonts w:hint="eastAsia"/>
          <w:color w:val="000000" w:themeColor="text1"/>
        </w:rPr>
        <w:t>帳</w:t>
      </w:r>
      <w:proofErr w:type="gramEnd"/>
      <w:r w:rsidRPr="00BF62EC">
        <w:rPr>
          <w:rFonts w:hint="eastAsia"/>
          <w:color w:val="000000" w:themeColor="text1"/>
        </w:rPr>
        <w:t>冊之支出項目，</w:t>
      </w:r>
      <w:proofErr w:type="gramStart"/>
      <w:r w:rsidRPr="00BF62EC">
        <w:rPr>
          <w:rFonts w:hint="eastAsia"/>
          <w:color w:val="000000" w:themeColor="text1"/>
        </w:rPr>
        <w:t>使麗天公</w:t>
      </w:r>
      <w:proofErr w:type="gramEnd"/>
      <w:r w:rsidRPr="00BF62EC">
        <w:rPr>
          <w:rFonts w:hint="eastAsia"/>
          <w:color w:val="000000" w:themeColor="text1"/>
        </w:rPr>
        <w:t>司以開立不實銷貨發票予怡晉公司計26萬2</w:t>
      </w:r>
      <w:r w:rsidRPr="00BF62EC">
        <w:rPr>
          <w:color w:val="000000" w:themeColor="text1"/>
        </w:rPr>
        <w:t>,</w:t>
      </w:r>
      <w:r w:rsidRPr="00BF62EC">
        <w:rPr>
          <w:rFonts w:hint="eastAsia"/>
          <w:color w:val="000000" w:themeColor="text1"/>
        </w:rPr>
        <w:t>000元（含營業稅）、怡華公司142萬6</w:t>
      </w:r>
      <w:r w:rsidRPr="00BF62EC">
        <w:rPr>
          <w:color w:val="000000" w:themeColor="text1"/>
        </w:rPr>
        <w:t>,</w:t>
      </w:r>
      <w:r w:rsidRPr="00BF62EC">
        <w:rPr>
          <w:rFonts w:hint="eastAsia"/>
          <w:color w:val="000000" w:themeColor="text1"/>
        </w:rPr>
        <w:t>000元</w:t>
      </w:r>
      <w:proofErr w:type="gramStart"/>
      <w:r w:rsidRPr="00BF62EC">
        <w:rPr>
          <w:rFonts w:hint="eastAsia"/>
          <w:color w:val="000000" w:themeColor="text1"/>
        </w:rPr>
        <w:t>及茂豐公</w:t>
      </w:r>
      <w:proofErr w:type="gramEnd"/>
      <w:r w:rsidRPr="00BF62EC">
        <w:rPr>
          <w:rFonts w:hint="eastAsia"/>
          <w:color w:val="000000" w:themeColor="text1"/>
        </w:rPr>
        <w:t>司622萬6</w:t>
      </w:r>
      <w:r w:rsidRPr="00BF62EC">
        <w:rPr>
          <w:color w:val="000000" w:themeColor="text1"/>
        </w:rPr>
        <w:t>,</w:t>
      </w:r>
      <w:r w:rsidRPr="00BF62EC">
        <w:rPr>
          <w:rFonts w:hint="eastAsia"/>
          <w:color w:val="000000" w:themeColor="text1"/>
        </w:rPr>
        <w:t>123元（含營業稅），及真實發票予怡晉公司13萬8</w:t>
      </w:r>
      <w:r w:rsidRPr="00BF62EC">
        <w:rPr>
          <w:color w:val="000000" w:themeColor="text1"/>
        </w:rPr>
        <w:t>,</w:t>
      </w:r>
      <w:r w:rsidRPr="00BF62EC">
        <w:rPr>
          <w:rFonts w:hint="eastAsia"/>
          <w:color w:val="000000" w:themeColor="text1"/>
        </w:rPr>
        <w:t>000元（含營業稅）、怡華公司114萬元（含營業稅）之方式，給付蔡漢凱經營</w:t>
      </w:r>
      <w:proofErr w:type="gramStart"/>
      <w:r w:rsidRPr="00BF62EC">
        <w:rPr>
          <w:rFonts w:hint="eastAsia"/>
          <w:color w:val="000000" w:themeColor="text1"/>
        </w:rPr>
        <w:t>之麗天公</w:t>
      </w:r>
      <w:proofErr w:type="gramEnd"/>
      <w:r w:rsidRPr="00BF62EC">
        <w:rPr>
          <w:rFonts w:hint="eastAsia"/>
          <w:color w:val="000000" w:themeColor="text1"/>
        </w:rPr>
        <w:t>司受託出售股票所得佣金報酬。</w:t>
      </w:r>
    </w:p>
    <w:p w14:paraId="4F9F94E6" w14:textId="77777777" w:rsidR="00EA6434" w:rsidRPr="00BF62EC" w:rsidRDefault="00EA6434" w:rsidP="00EA6434">
      <w:pPr>
        <w:pStyle w:val="3"/>
        <w:numPr>
          <w:ilvl w:val="2"/>
          <w:numId w:val="1"/>
        </w:numPr>
        <w:rPr>
          <w:color w:val="000000" w:themeColor="text1"/>
        </w:rPr>
      </w:pPr>
      <w:r w:rsidRPr="00BF62EC">
        <w:rPr>
          <w:rFonts w:hint="eastAsia"/>
          <w:color w:val="000000" w:themeColor="text1"/>
        </w:rPr>
        <w:t>本案確定判決就前開犯罪事實論以違反商業會計法之</w:t>
      </w:r>
      <w:proofErr w:type="gramStart"/>
      <w:r w:rsidRPr="00BF62EC">
        <w:rPr>
          <w:rFonts w:hint="eastAsia"/>
          <w:color w:val="000000" w:themeColor="text1"/>
        </w:rPr>
        <w:t>不實填製</w:t>
      </w:r>
      <w:proofErr w:type="gramEnd"/>
      <w:r w:rsidRPr="00BF62EC">
        <w:rPr>
          <w:rFonts w:hint="eastAsia"/>
          <w:color w:val="000000" w:themeColor="text1"/>
        </w:rPr>
        <w:t>會計憑證罪，固無疑義，惟被告翁茂鍾等人為求順利支付</w:t>
      </w:r>
      <w:proofErr w:type="gramStart"/>
      <w:r w:rsidRPr="00BF62EC">
        <w:rPr>
          <w:rFonts w:hint="eastAsia"/>
          <w:color w:val="000000" w:themeColor="text1"/>
        </w:rPr>
        <w:t>給麗</w:t>
      </w:r>
      <w:proofErr w:type="gramEnd"/>
      <w:r w:rsidRPr="00BF62EC">
        <w:rPr>
          <w:rFonts w:hint="eastAsia"/>
          <w:color w:val="000000" w:themeColor="text1"/>
        </w:rPr>
        <w:t>天公司操盤佣金，統籌協調該集團旗下怡華公司、怡晉公司及與該集團業務往來密切但與佳和集團債務無關</w:t>
      </w:r>
      <w:proofErr w:type="gramStart"/>
      <w:r w:rsidRPr="00BF62EC">
        <w:rPr>
          <w:rFonts w:hint="eastAsia"/>
          <w:color w:val="000000" w:themeColor="text1"/>
        </w:rPr>
        <w:t>之茂</w:t>
      </w:r>
      <w:proofErr w:type="gramEnd"/>
      <w:r w:rsidRPr="00BF62EC">
        <w:rPr>
          <w:rFonts w:hint="eastAsia"/>
          <w:color w:val="000000" w:themeColor="text1"/>
        </w:rPr>
        <w:t>豐公司共同不</w:t>
      </w:r>
      <w:r w:rsidRPr="00BF62EC">
        <w:rPr>
          <w:rFonts w:hint="eastAsia"/>
          <w:color w:val="000000" w:themeColor="text1"/>
        </w:rPr>
        <w:lastRenderedPageBreak/>
        <w:t>實核銷佣金部分，另涉刑法第3</w:t>
      </w:r>
      <w:r w:rsidRPr="00BF62EC">
        <w:rPr>
          <w:color w:val="000000" w:themeColor="text1"/>
        </w:rPr>
        <w:t>42</w:t>
      </w:r>
      <w:r w:rsidRPr="00BF62EC">
        <w:rPr>
          <w:rFonts w:hint="eastAsia"/>
          <w:color w:val="000000" w:themeColor="text1"/>
        </w:rPr>
        <w:t>條第1項之背信罪嫌，本案確定判決未予論罪，核有刑事訴訟法第379條第12款所稱「已受請求事項未予判決」之當然違背法令；又檢察官對於案</w:t>
      </w:r>
      <w:proofErr w:type="gramStart"/>
      <w:r w:rsidRPr="00BF62EC">
        <w:rPr>
          <w:rFonts w:hint="eastAsia"/>
          <w:color w:val="000000" w:themeColor="text1"/>
        </w:rPr>
        <w:t>外人茂豐公司</w:t>
      </w:r>
      <w:proofErr w:type="gramEnd"/>
      <w:r w:rsidRPr="00BF62EC">
        <w:rPr>
          <w:rFonts w:hint="eastAsia"/>
          <w:color w:val="000000" w:themeColor="text1"/>
        </w:rPr>
        <w:t>負責人及主管會計涉嫌背信罪部分，似亦漏未起訴。</w:t>
      </w:r>
    </w:p>
    <w:p w14:paraId="38201B64" w14:textId="77777777" w:rsidR="00EA6434" w:rsidRPr="00BF62EC" w:rsidRDefault="00EA6434" w:rsidP="00EA6434">
      <w:pPr>
        <w:pStyle w:val="2"/>
        <w:numPr>
          <w:ilvl w:val="1"/>
          <w:numId w:val="1"/>
        </w:numPr>
        <w:ind w:left="1021"/>
        <w:rPr>
          <w:b/>
          <w:bCs w:val="0"/>
          <w:color w:val="000000" w:themeColor="text1"/>
        </w:rPr>
      </w:pPr>
      <w:r w:rsidRPr="00BF62EC">
        <w:rPr>
          <w:rFonts w:hint="eastAsia"/>
          <w:b/>
          <w:bCs w:val="0"/>
          <w:color w:val="000000" w:themeColor="text1"/>
        </w:rPr>
        <w:t>本案</w:t>
      </w:r>
      <w:proofErr w:type="gramStart"/>
      <w:r w:rsidRPr="00BF62EC">
        <w:rPr>
          <w:rFonts w:hint="eastAsia"/>
          <w:b/>
          <w:bCs w:val="0"/>
          <w:color w:val="000000" w:themeColor="text1"/>
        </w:rPr>
        <w:t>臺</w:t>
      </w:r>
      <w:proofErr w:type="gramEnd"/>
      <w:r w:rsidRPr="00BF62EC">
        <w:rPr>
          <w:rFonts w:hint="eastAsia"/>
          <w:b/>
          <w:bCs w:val="0"/>
          <w:color w:val="000000" w:themeColor="text1"/>
        </w:rPr>
        <w:t>中高分院更審判決書未於</w:t>
      </w:r>
      <w:proofErr w:type="gramStart"/>
      <w:r w:rsidRPr="00BF62EC">
        <w:rPr>
          <w:rFonts w:hint="eastAsia"/>
          <w:b/>
          <w:bCs w:val="0"/>
          <w:color w:val="000000" w:themeColor="text1"/>
        </w:rPr>
        <w:t>理由欄末</w:t>
      </w:r>
      <w:proofErr w:type="gramEnd"/>
      <w:r w:rsidRPr="00BF62EC">
        <w:rPr>
          <w:rFonts w:hint="eastAsia"/>
          <w:b/>
          <w:bCs w:val="0"/>
          <w:color w:val="000000" w:themeColor="text1"/>
        </w:rPr>
        <w:t>段記載到庭執行職務之檢察官及於判決書</w:t>
      </w:r>
      <w:proofErr w:type="gramStart"/>
      <w:r w:rsidRPr="00BF62EC">
        <w:rPr>
          <w:rFonts w:hint="eastAsia"/>
          <w:b/>
          <w:bCs w:val="0"/>
          <w:color w:val="000000" w:themeColor="text1"/>
        </w:rPr>
        <w:t>文末載</w:t>
      </w:r>
      <w:proofErr w:type="gramEnd"/>
      <w:r w:rsidRPr="00BF62EC">
        <w:rPr>
          <w:rFonts w:hint="eastAsia"/>
          <w:b/>
          <w:bCs w:val="0"/>
          <w:color w:val="000000" w:themeColor="text1"/>
        </w:rPr>
        <w:t>明法院全稱，與司法院訂定之刑事判決書格式範例未臻一致，有關判決書格式體例統一問題，宜請司法院研</w:t>
      </w:r>
      <w:proofErr w:type="gramStart"/>
      <w:r w:rsidRPr="00BF62EC">
        <w:rPr>
          <w:rFonts w:hint="eastAsia"/>
          <w:b/>
          <w:bCs w:val="0"/>
          <w:color w:val="000000" w:themeColor="text1"/>
        </w:rPr>
        <w:t>議妥</w:t>
      </w:r>
      <w:proofErr w:type="gramEnd"/>
      <w:r w:rsidRPr="00BF62EC">
        <w:rPr>
          <w:rFonts w:hint="eastAsia"/>
          <w:b/>
          <w:bCs w:val="0"/>
          <w:color w:val="000000" w:themeColor="text1"/>
        </w:rPr>
        <w:t>處。</w:t>
      </w:r>
    </w:p>
    <w:p w14:paraId="42C78B04" w14:textId="77777777" w:rsidR="00EA6434" w:rsidRPr="00BF62EC" w:rsidRDefault="00EA6434" w:rsidP="00EA6434">
      <w:pPr>
        <w:pStyle w:val="3"/>
        <w:numPr>
          <w:ilvl w:val="2"/>
          <w:numId w:val="1"/>
        </w:numPr>
        <w:rPr>
          <w:color w:val="000000" w:themeColor="text1"/>
        </w:rPr>
      </w:pPr>
      <w:r w:rsidRPr="00BF62EC">
        <w:rPr>
          <w:rFonts w:hint="eastAsia"/>
          <w:color w:val="000000" w:themeColor="text1"/>
        </w:rPr>
        <w:t>81年11月10日司法院</w:t>
      </w:r>
      <w:proofErr w:type="gramStart"/>
      <w:r w:rsidRPr="00BF62EC">
        <w:rPr>
          <w:rFonts w:hint="eastAsia"/>
          <w:color w:val="000000" w:themeColor="text1"/>
        </w:rPr>
        <w:t>院</w:t>
      </w:r>
      <w:proofErr w:type="gramEnd"/>
      <w:r w:rsidRPr="00BF62EC">
        <w:rPr>
          <w:rFonts w:hint="eastAsia"/>
          <w:color w:val="000000" w:themeColor="text1"/>
        </w:rPr>
        <w:t>臺廳二字第18760號函修正發布之</w:t>
      </w:r>
      <w:r w:rsidRPr="00BF62EC">
        <w:rPr>
          <w:rFonts w:hAnsi="標楷體" w:hint="eastAsia"/>
          <w:color w:val="000000" w:themeColor="text1"/>
        </w:rPr>
        <w:t>「</w:t>
      </w:r>
      <w:r w:rsidRPr="00BF62EC">
        <w:rPr>
          <w:color w:val="000000" w:themeColor="text1"/>
        </w:rPr>
        <w:t>刑事訴訟簡化判決書製作方式暨簡易程序案件判決格式</w:t>
      </w:r>
      <w:r w:rsidRPr="00BF62EC">
        <w:rPr>
          <w:rFonts w:hAnsi="標楷體" w:hint="eastAsia"/>
          <w:color w:val="000000" w:themeColor="text1"/>
        </w:rPr>
        <w:t>」訂定之刑事判決簡化例示，判決書</w:t>
      </w:r>
      <w:proofErr w:type="gramStart"/>
      <w:r w:rsidRPr="00BF62EC">
        <w:rPr>
          <w:rFonts w:hAnsi="標楷體" w:hint="eastAsia"/>
          <w:color w:val="000000" w:themeColor="text1"/>
        </w:rPr>
        <w:t>理由欄末</w:t>
      </w:r>
      <w:proofErr w:type="gramEnd"/>
      <w:r w:rsidRPr="00BF62EC">
        <w:rPr>
          <w:rFonts w:hAnsi="標楷體" w:hint="eastAsia"/>
          <w:color w:val="000000" w:themeColor="text1"/>
        </w:rPr>
        <w:t>段應記載「本案經檢察官○○○到庭執行職務」，判決書</w:t>
      </w:r>
      <w:proofErr w:type="gramStart"/>
      <w:r w:rsidRPr="00BF62EC">
        <w:rPr>
          <w:rFonts w:hAnsi="標楷體" w:hint="eastAsia"/>
          <w:color w:val="000000" w:themeColor="text1"/>
        </w:rPr>
        <w:t>文末應記</w:t>
      </w:r>
      <w:proofErr w:type="gramEnd"/>
      <w:r w:rsidRPr="00BF62EC">
        <w:rPr>
          <w:rFonts w:hAnsi="標楷體" w:hint="eastAsia"/>
          <w:color w:val="000000" w:themeColor="text1"/>
        </w:rPr>
        <w:t>載「○○○○法院刑事第○庭」等字樣。</w:t>
      </w:r>
    </w:p>
    <w:p w14:paraId="7C2D016D" w14:textId="77777777" w:rsidR="00EA6434" w:rsidRPr="00BF62EC" w:rsidRDefault="00EA6434" w:rsidP="00EA6434">
      <w:pPr>
        <w:pStyle w:val="3"/>
        <w:numPr>
          <w:ilvl w:val="2"/>
          <w:numId w:val="1"/>
        </w:numPr>
        <w:rPr>
          <w:color w:val="000000" w:themeColor="text1"/>
        </w:rPr>
      </w:pPr>
      <w:r w:rsidRPr="00BF62EC">
        <w:rPr>
          <w:rFonts w:hAnsi="標楷體" w:hint="eastAsia"/>
          <w:color w:val="000000" w:themeColor="text1"/>
        </w:rPr>
        <w:t>經查本案本案</w:t>
      </w:r>
      <w:proofErr w:type="gramStart"/>
      <w:r w:rsidRPr="00BF62EC">
        <w:rPr>
          <w:rFonts w:hAnsi="標楷體" w:hint="eastAsia"/>
          <w:color w:val="000000" w:themeColor="text1"/>
        </w:rPr>
        <w:t>臺</w:t>
      </w:r>
      <w:proofErr w:type="gramEnd"/>
      <w:r w:rsidRPr="00BF62EC">
        <w:rPr>
          <w:rFonts w:hAnsi="標楷體" w:hint="eastAsia"/>
          <w:color w:val="000000" w:themeColor="text1"/>
        </w:rPr>
        <w:t>中高分院更審判決書並未於理由欄記載到庭執行職務之檢察官，判決書</w:t>
      </w:r>
      <w:proofErr w:type="gramStart"/>
      <w:r w:rsidRPr="00BF62EC">
        <w:rPr>
          <w:rFonts w:hAnsi="標楷體" w:hint="eastAsia"/>
          <w:color w:val="000000" w:themeColor="text1"/>
        </w:rPr>
        <w:t>文末僅</w:t>
      </w:r>
      <w:proofErr w:type="gramEnd"/>
      <w:r w:rsidRPr="00BF62EC">
        <w:rPr>
          <w:rFonts w:hAnsi="標楷體" w:hint="eastAsia"/>
          <w:color w:val="000000" w:themeColor="text1"/>
        </w:rPr>
        <w:t>載承辦法庭「刑事第二庭」未載法院全稱，雖尚不影響判決書之效力，惟</w:t>
      </w:r>
      <w:r w:rsidRPr="00BF62EC">
        <w:rPr>
          <w:rFonts w:hint="eastAsia"/>
          <w:color w:val="000000" w:themeColor="text1"/>
        </w:rPr>
        <w:t>與司法院訂定之刑事判決書格式範例未臻一致，有關判決書格式體例統一問題，宜請司法院研</w:t>
      </w:r>
      <w:proofErr w:type="gramStart"/>
      <w:r w:rsidRPr="00BF62EC">
        <w:rPr>
          <w:rFonts w:hint="eastAsia"/>
          <w:color w:val="000000" w:themeColor="text1"/>
        </w:rPr>
        <w:t>議妥</w:t>
      </w:r>
      <w:proofErr w:type="gramEnd"/>
      <w:r w:rsidRPr="00BF62EC">
        <w:rPr>
          <w:rFonts w:hint="eastAsia"/>
          <w:color w:val="000000" w:themeColor="text1"/>
        </w:rPr>
        <w:t>處</w:t>
      </w:r>
      <w:r w:rsidRPr="00BF62EC">
        <w:rPr>
          <w:rFonts w:hAnsi="標楷體" w:hint="eastAsia"/>
          <w:color w:val="000000" w:themeColor="text1"/>
        </w:rPr>
        <w:t>。</w:t>
      </w:r>
    </w:p>
    <w:p w14:paraId="659C9ECB" w14:textId="77777777" w:rsidR="00EA6434" w:rsidRPr="00BF62EC" w:rsidRDefault="00EA6434" w:rsidP="00EA6434">
      <w:pPr>
        <w:pStyle w:val="2"/>
        <w:numPr>
          <w:ilvl w:val="1"/>
          <w:numId w:val="1"/>
        </w:numPr>
        <w:ind w:left="1021"/>
        <w:rPr>
          <w:b/>
          <w:color w:val="000000" w:themeColor="text1"/>
        </w:rPr>
      </w:pPr>
      <w:r w:rsidRPr="00BF62EC">
        <w:rPr>
          <w:rFonts w:hint="eastAsia"/>
          <w:b/>
          <w:color w:val="000000" w:themeColor="text1"/>
        </w:rPr>
        <w:t>本院前請司法院、法務部行政調查，及本院前案調查時詢問承辦法官與檢察官，尚未發現本案更審過程涉有民眾匿名檢舉所稱關說請託之實據，惟檢察機關既已重啟偵查，後續仍請法務部督促所屬儘速偵查終結，並提供卷證資料供本院參酌。</w:t>
      </w:r>
    </w:p>
    <w:p w14:paraId="4484B6AD" w14:textId="77777777" w:rsidR="00EA6434" w:rsidRPr="00BF62EC" w:rsidRDefault="00EA6434" w:rsidP="00EA6434">
      <w:pPr>
        <w:pStyle w:val="21"/>
        <w:ind w:left="1020" w:firstLine="680"/>
        <w:rPr>
          <w:color w:val="000000" w:themeColor="text1"/>
        </w:rPr>
      </w:pPr>
      <w:r w:rsidRPr="00BF62EC">
        <w:rPr>
          <w:rFonts w:hint="eastAsia"/>
          <w:color w:val="000000" w:themeColor="text1"/>
        </w:rPr>
        <w:t>有關本案</w:t>
      </w:r>
      <w:proofErr w:type="gramStart"/>
      <w:r w:rsidRPr="00BF62EC">
        <w:rPr>
          <w:rFonts w:hint="eastAsia"/>
          <w:color w:val="000000" w:themeColor="text1"/>
        </w:rPr>
        <w:t>臺</w:t>
      </w:r>
      <w:proofErr w:type="gramEnd"/>
      <w:r w:rsidRPr="00BF62EC">
        <w:rPr>
          <w:rFonts w:hint="eastAsia"/>
          <w:color w:val="000000" w:themeColor="text1"/>
        </w:rPr>
        <w:t>中高分院更審過程是否涉有民眾匿名檢舉所稱關說疑義，本院前請司法院、法務部本於職權調查在案，上開機關行政調查</w:t>
      </w:r>
      <w:proofErr w:type="gramStart"/>
      <w:r w:rsidRPr="00BF62EC">
        <w:rPr>
          <w:rFonts w:hint="eastAsia"/>
          <w:color w:val="000000" w:themeColor="text1"/>
        </w:rPr>
        <w:t>結果均</w:t>
      </w:r>
      <w:proofErr w:type="gramEnd"/>
      <w:r w:rsidRPr="00BF62EC">
        <w:rPr>
          <w:rFonts w:hint="eastAsia"/>
          <w:color w:val="000000" w:themeColor="text1"/>
        </w:rPr>
        <w:t>稱，尚未發現</w:t>
      </w:r>
      <w:r w:rsidRPr="00BF62EC">
        <w:rPr>
          <w:rFonts w:hint="eastAsia"/>
          <w:color w:val="000000" w:themeColor="text1"/>
        </w:rPr>
        <w:lastRenderedPageBreak/>
        <w:t>承辦人員有接受關說請託或包庇情事</w:t>
      </w:r>
      <w:r w:rsidRPr="00BF62EC">
        <w:rPr>
          <w:rStyle w:val="afe"/>
          <w:color w:val="000000" w:themeColor="text1"/>
        </w:rPr>
        <w:footnoteReference w:id="5"/>
      </w:r>
      <w:r w:rsidRPr="00BF62EC">
        <w:rPr>
          <w:rFonts w:hint="eastAsia"/>
          <w:color w:val="000000" w:themeColor="text1"/>
        </w:rPr>
        <w:t>。另查，本院前於109年</w:t>
      </w:r>
      <w:r w:rsidRPr="00BF62EC">
        <w:rPr>
          <w:color w:val="000000" w:themeColor="text1"/>
        </w:rPr>
        <w:t>2</w:t>
      </w:r>
      <w:r w:rsidRPr="00BF62EC">
        <w:rPr>
          <w:rFonts w:hint="eastAsia"/>
          <w:color w:val="000000" w:themeColor="text1"/>
        </w:rPr>
        <w:t>月</w:t>
      </w:r>
      <w:r w:rsidRPr="00BF62EC">
        <w:rPr>
          <w:color w:val="000000" w:themeColor="text1"/>
        </w:rPr>
        <w:t>21</w:t>
      </w:r>
      <w:r w:rsidRPr="00BF62EC">
        <w:rPr>
          <w:rFonts w:hint="eastAsia"/>
          <w:color w:val="000000" w:themeColor="text1"/>
        </w:rPr>
        <w:t>日詢問</w:t>
      </w:r>
      <w:proofErr w:type="gramStart"/>
      <w:r w:rsidRPr="00BF62EC">
        <w:rPr>
          <w:rFonts w:hint="eastAsia"/>
          <w:color w:val="000000" w:themeColor="text1"/>
        </w:rPr>
        <w:t>臺</w:t>
      </w:r>
      <w:proofErr w:type="gramEnd"/>
      <w:r w:rsidRPr="00BF62EC">
        <w:rPr>
          <w:rFonts w:hint="eastAsia"/>
          <w:color w:val="000000" w:themeColor="text1"/>
        </w:rPr>
        <w:t>中地檢署起訴檢察官及臺中高分院原二審(97年度金上訴字第1937號)承審法官</w:t>
      </w:r>
      <w:r w:rsidRPr="00BF62EC">
        <w:rPr>
          <w:rFonts w:hAnsi="標楷體" w:hint="eastAsia"/>
          <w:color w:val="000000" w:themeColor="text1"/>
        </w:rPr>
        <w:t>；</w:t>
      </w:r>
      <w:r w:rsidRPr="00BF62EC">
        <w:rPr>
          <w:rFonts w:hint="eastAsia"/>
          <w:color w:val="000000" w:themeColor="text1"/>
        </w:rPr>
        <w:t>109年</w:t>
      </w:r>
      <w:r w:rsidRPr="00BF62EC">
        <w:rPr>
          <w:color w:val="000000" w:themeColor="text1"/>
        </w:rPr>
        <w:t>4</w:t>
      </w:r>
      <w:r w:rsidRPr="00BF62EC">
        <w:rPr>
          <w:rFonts w:hint="eastAsia"/>
          <w:color w:val="000000" w:themeColor="text1"/>
        </w:rPr>
        <w:t>月</w:t>
      </w:r>
      <w:r w:rsidRPr="00BF62EC">
        <w:rPr>
          <w:color w:val="000000" w:themeColor="text1"/>
        </w:rPr>
        <w:t>8</w:t>
      </w:r>
      <w:r w:rsidRPr="00BF62EC">
        <w:rPr>
          <w:rFonts w:hint="eastAsia"/>
          <w:color w:val="000000" w:themeColor="text1"/>
        </w:rPr>
        <w:t>日詢問</w:t>
      </w:r>
      <w:proofErr w:type="gramStart"/>
      <w:r w:rsidRPr="00BF62EC">
        <w:rPr>
          <w:rFonts w:hint="eastAsia"/>
          <w:color w:val="000000" w:themeColor="text1"/>
        </w:rPr>
        <w:t>臺</w:t>
      </w:r>
      <w:proofErr w:type="gramEnd"/>
      <w:r w:rsidRPr="00BF62EC">
        <w:rPr>
          <w:rFonts w:hint="eastAsia"/>
          <w:color w:val="000000" w:themeColor="text1"/>
        </w:rPr>
        <w:t>中高分院更審法官、臺中</w:t>
      </w:r>
      <w:proofErr w:type="gramStart"/>
      <w:r w:rsidRPr="00BF62EC">
        <w:rPr>
          <w:rFonts w:hint="eastAsia"/>
          <w:color w:val="000000" w:themeColor="text1"/>
        </w:rPr>
        <w:t>高分檢蒞</w:t>
      </w:r>
      <w:proofErr w:type="gramEnd"/>
      <w:r w:rsidRPr="00BF62EC">
        <w:rPr>
          <w:rFonts w:hint="eastAsia"/>
          <w:color w:val="000000" w:themeColor="text1"/>
        </w:rPr>
        <w:t>庭檢察官、臺中地檢署蒞庭檢察官</w:t>
      </w:r>
      <w:r w:rsidRPr="00BF62EC">
        <w:rPr>
          <w:rFonts w:hAnsi="標楷體" w:hint="eastAsia"/>
          <w:color w:val="000000" w:themeColor="text1"/>
        </w:rPr>
        <w:t>；</w:t>
      </w:r>
      <w:r w:rsidRPr="00BF62EC">
        <w:rPr>
          <w:rFonts w:hint="eastAsia"/>
          <w:color w:val="000000" w:themeColor="text1"/>
        </w:rPr>
        <w:t>109年</w:t>
      </w:r>
      <w:r w:rsidRPr="00BF62EC">
        <w:rPr>
          <w:color w:val="000000" w:themeColor="text1"/>
        </w:rPr>
        <w:t>5</w:t>
      </w:r>
      <w:r w:rsidRPr="00BF62EC">
        <w:rPr>
          <w:rFonts w:hint="eastAsia"/>
          <w:color w:val="000000" w:themeColor="text1"/>
        </w:rPr>
        <w:t>月</w:t>
      </w:r>
      <w:r w:rsidRPr="00BF62EC">
        <w:rPr>
          <w:color w:val="000000" w:themeColor="text1"/>
        </w:rPr>
        <w:t>11</w:t>
      </w:r>
      <w:r w:rsidRPr="00BF62EC">
        <w:rPr>
          <w:rFonts w:hint="eastAsia"/>
          <w:color w:val="000000" w:themeColor="text1"/>
        </w:rPr>
        <w:t>日詢問</w:t>
      </w:r>
      <w:proofErr w:type="gramStart"/>
      <w:r w:rsidRPr="00BF62EC">
        <w:rPr>
          <w:rFonts w:hint="eastAsia"/>
          <w:color w:val="000000" w:themeColor="text1"/>
        </w:rPr>
        <w:t>臺</w:t>
      </w:r>
      <w:proofErr w:type="gramEnd"/>
      <w:r w:rsidRPr="00BF62EC">
        <w:rPr>
          <w:rFonts w:hint="eastAsia"/>
          <w:color w:val="000000" w:themeColor="text1"/>
        </w:rPr>
        <w:t>中高分院原更審審理法官</w:t>
      </w:r>
      <w:r w:rsidRPr="00BF62EC">
        <w:rPr>
          <w:color w:val="000000" w:themeColor="text1"/>
          <w:vertAlign w:val="superscript"/>
        </w:rPr>
        <w:footnoteReference w:id="6"/>
      </w:r>
      <w:r w:rsidRPr="00BF62EC">
        <w:rPr>
          <w:rFonts w:hint="eastAsia"/>
          <w:color w:val="000000" w:themeColor="text1"/>
        </w:rPr>
        <w:t>等人，亦尚未發現關說請託情事。</w:t>
      </w:r>
      <w:proofErr w:type="gramStart"/>
      <w:r w:rsidRPr="00BF62EC">
        <w:rPr>
          <w:rFonts w:hint="eastAsia"/>
          <w:color w:val="000000" w:themeColor="text1"/>
        </w:rPr>
        <w:t>惟</w:t>
      </w:r>
      <w:proofErr w:type="gramEnd"/>
      <w:r w:rsidRPr="00BF62EC">
        <w:rPr>
          <w:rFonts w:hint="eastAsia"/>
          <w:color w:val="000000" w:themeColor="text1"/>
        </w:rPr>
        <w:t>檢察機關已重啟偵查，後續仍請法務部督促所屬儘速偵查終結，並提供卷證資料供本院參酌。</w:t>
      </w:r>
    </w:p>
    <w:p w14:paraId="3E1A1223" w14:textId="641066EE" w:rsidR="00EA6434" w:rsidRDefault="00EA6434">
      <w:pPr>
        <w:widowControl/>
        <w:overflowPunct/>
        <w:autoSpaceDE/>
        <w:autoSpaceDN/>
        <w:jc w:val="left"/>
        <w:rPr>
          <w:color w:val="000000" w:themeColor="text1"/>
          <w:kern w:val="32"/>
        </w:rPr>
      </w:pPr>
      <w:r>
        <w:rPr>
          <w:color w:val="000000" w:themeColor="text1"/>
        </w:rPr>
        <w:br w:type="page"/>
      </w:r>
    </w:p>
    <w:p w14:paraId="50CFBC64" w14:textId="79B45525" w:rsidR="00E25849" w:rsidRPr="00C355BA" w:rsidRDefault="00FD4000" w:rsidP="004E05A1">
      <w:pPr>
        <w:pStyle w:val="1"/>
        <w:ind w:left="2380" w:hanging="2380"/>
        <w:rPr>
          <w:color w:val="000000" w:themeColor="text1"/>
        </w:rPr>
      </w:pPr>
      <w:bookmarkStart w:id="71" w:name="_Toc524895648"/>
      <w:bookmarkStart w:id="72" w:name="_Toc524896194"/>
      <w:bookmarkStart w:id="73" w:name="_Toc524896224"/>
      <w:bookmarkStart w:id="74" w:name="_Toc524902734"/>
      <w:bookmarkStart w:id="75" w:name="_Toc525066148"/>
      <w:bookmarkStart w:id="76" w:name="_Toc525070839"/>
      <w:bookmarkStart w:id="77" w:name="_Toc525938379"/>
      <w:bookmarkStart w:id="78" w:name="_Toc525939227"/>
      <w:bookmarkStart w:id="79" w:name="_Toc525939732"/>
      <w:bookmarkStart w:id="80" w:name="_Toc529218272"/>
      <w:bookmarkStart w:id="81" w:name="_Toc529222689"/>
      <w:bookmarkStart w:id="82" w:name="_Toc529223111"/>
      <w:bookmarkStart w:id="83" w:name="_Toc529223862"/>
      <w:bookmarkStart w:id="84" w:name="_Toc529228265"/>
      <w:bookmarkStart w:id="85" w:name="_Toc2400395"/>
      <w:bookmarkStart w:id="86" w:name="_Toc4316189"/>
      <w:bookmarkStart w:id="87" w:name="_Toc4473330"/>
      <w:bookmarkStart w:id="88" w:name="_Toc69556897"/>
      <w:bookmarkStart w:id="89" w:name="_Toc69556946"/>
      <w:bookmarkStart w:id="90" w:name="_Toc69609820"/>
      <w:bookmarkStart w:id="91" w:name="_Toc70241816"/>
      <w:bookmarkStart w:id="92" w:name="_Toc70242205"/>
      <w:bookmarkStart w:id="93" w:name="_Toc421794875"/>
      <w:bookmarkStart w:id="94" w:name="_Toc422834160"/>
      <w:bookmarkEnd w:id="59"/>
      <w:r w:rsidRPr="00C355BA">
        <w:rPr>
          <w:rFonts w:hint="eastAsia"/>
          <w:color w:val="000000" w:themeColor="text1"/>
        </w:rPr>
        <w:lastRenderedPageBreak/>
        <w:t>處理辦法：</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8304243" w14:textId="77777777" w:rsidR="00EA6434" w:rsidRPr="00EA6434" w:rsidRDefault="00EA6434" w:rsidP="00EA6434">
      <w:pPr>
        <w:pStyle w:val="2"/>
        <w:rPr>
          <w:color w:val="000000" w:themeColor="text1"/>
        </w:rPr>
      </w:pPr>
      <w:bookmarkStart w:id="95" w:name="_Toc524895649"/>
      <w:bookmarkStart w:id="96" w:name="_Toc524896195"/>
      <w:bookmarkStart w:id="97" w:name="_Toc524896225"/>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Start w:id="109" w:name="_Toc70241818"/>
      <w:bookmarkStart w:id="110" w:name="_Toc70242207"/>
      <w:bookmarkEnd w:id="95"/>
      <w:bookmarkEnd w:id="96"/>
      <w:bookmarkEnd w:id="97"/>
      <w:r w:rsidRPr="00EA6434">
        <w:rPr>
          <w:rFonts w:hint="eastAsia"/>
          <w:color w:val="000000" w:themeColor="text1"/>
        </w:rPr>
        <w:t>調查意見一、二，函請法務部轉最高檢察署檢察總長</w:t>
      </w:r>
      <w:proofErr w:type="gramStart"/>
      <w:r w:rsidRPr="00EA6434">
        <w:rPr>
          <w:rFonts w:hint="eastAsia"/>
          <w:color w:val="000000" w:themeColor="text1"/>
        </w:rPr>
        <w:t>研</w:t>
      </w:r>
      <w:proofErr w:type="gramEnd"/>
      <w:r w:rsidRPr="00EA6434">
        <w:rPr>
          <w:rFonts w:hint="eastAsia"/>
          <w:color w:val="000000" w:themeColor="text1"/>
        </w:rPr>
        <w:t>提非常上訴，並就被告翁茂</w:t>
      </w:r>
      <w:proofErr w:type="gramStart"/>
      <w:r w:rsidRPr="00EA6434">
        <w:rPr>
          <w:rFonts w:hint="eastAsia"/>
          <w:color w:val="000000" w:themeColor="text1"/>
        </w:rPr>
        <w:t>鍾</w:t>
      </w:r>
      <w:proofErr w:type="gramEnd"/>
      <w:r w:rsidRPr="00EA6434">
        <w:rPr>
          <w:rFonts w:hint="eastAsia"/>
          <w:color w:val="000000" w:themeColor="text1"/>
        </w:rPr>
        <w:t>等人及案</w:t>
      </w:r>
      <w:proofErr w:type="gramStart"/>
      <w:r w:rsidRPr="00EA6434">
        <w:rPr>
          <w:rFonts w:hint="eastAsia"/>
          <w:color w:val="000000" w:themeColor="text1"/>
        </w:rPr>
        <w:t>外人茂豐紡織</w:t>
      </w:r>
      <w:proofErr w:type="gramEnd"/>
      <w:r w:rsidRPr="00EA6434">
        <w:rPr>
          <w:rFonts w:hint="eastAsia"/>
          <w:color w:val="000000" w:themeColor="text1"/>
        </w:rPr>
        <w:t>股份有限公司負責人及主辦會計是否漏未起訴背信罪嫌部分一併</w:t>
      </w:r>
      <w:proofErr w:type="gramStart"/>
      <w:r w:rsidRPr="00EA6434">
        <w:rPr>
          <w:rFonts w:hint="eastAsia"/>
          <w:color w:val="000000" w:themeColor="text1"/>
        </w:rPr>
        <w:t>研議妥處</w:t>
      </w:r>
      <w:proofErr w:type="gramEnd"/>
      <w:r w:rsidRPr="00EA6434">
        <w:rPr>
          <w:rFonts w:hint="eastAsia"/>
          <w:color w:val="000000" w:themeColor="text1"/>
        </w:rPr>
        <w:t>，並將</w:t>
      </w:r>
      <w:proofErr w:type="gramStart"/>
      <w:r w:rsidRPr="00EA6434">
        <w:rPr>
          <w:rFonts w:hint="eastAsia"/>
          <w:color w:val="000000" w:themeColor="text1"/>
        </w:rPr>
        <w:t>研</w:t>
      </w:r>
      <w:proofErr w:type="gramEnd"/>
      <w:r w:rsidRPr="00EA6434">
        <w:rPr>
          <w:rFonts w:hint="eastAsia"/>
          <w:color w:val="000000" w:themeColor="text1"/>
        </w:rPr>
        <w:t>議辦理情形</w:t>
      </w:r>
      <w:proofErr w:type="gramStart"/>
      <w:r w:rsidRPr="00EA6434">
        <w:rPr>
          <w:rFonts w:hint="eastAsia"/>
          <w:color w:val="000000" w:themeColor="text1"/>
        </w:rPr>
        <w:t>函復本院</w:t>
      </w:r>
      <w:proofErr w:type="gramEnd"/>
      <w:r w:rsidRPr="00EA6434">
        <w:rPr>
          <w:rFonts w:hint="eastAsia"/>
          <w:color w:val="000000" w:themeColor="text1"/>
        </w:rPr>
        <w:t>。</w:t>
      </w:r>
    </w:p>
    <w:p w14:paraId="0E6AD291" w14:textId="77777777" w:rsidR="00EA6434" w:rsidRPr="00EA6434" w:rsidRDefault="00EA6434" w:rsidP="00EA6434">
      <w:pPr>
        <w:pStyle w:val="2"/>
        <w:rPr>
          <w:color w:val="000000" w:themeColor="text1"/>
        </w:rPr>
      </w:pPr>
      <w:r w:rsidRPr="00EA6434">
        <w:rPr>
          <w:rFonts w:hint="eastAsia"/>
          <w:color w:val="000000" w:themeColor="text1"/>
        </w:rPr>
        <w:t>調查意見</w:t>
      </w:r>
      <w:proofErr w:type="gramStart"/>
      <w:r w:rsidRPr="00EA6434">
        <w:rPr>
          <w:rFonts w:hint="eastAsia"/>
          <w:color w:val="000000" w:themeColor="text1"/>
        </w:rPr>
        <w:t>三</w:t>
      </w:r>
      <w:proofErr w:type="gramEnd"/>
      <w:r w:rsidRPr="00EA6434">
        <w:rPr>
          <w:rFonts w:hint="eastAsia"/>
          <w:color w:val="000000" w:themeColor="text1"/>
        </w:rPr>
        <w:t>，函請司法院</w:t>
      </w:r>
      <w:proofErr w:type="gramStart"/>
      <w:r w:rsidRPr="00EA6434">
        <w:rPr>
          <w:rFonts w:hint="eastAsia"/>
          <w:color w:val="000000" w:themeColor="text1"/>
        </w:rPr>
        <w:t>研</w:t>
      </w:r>
      <w:proofErr w:type="gramEnd"/>
      <w:r w:rsidRPr="00EA6434">
        <w:rPr>
          <w:rFonts w:hint="eastAsia"/>
          <w:color w:val="000000" w:themeColor="text1"/>
        </w:rPr>
        <w:t>處</w:t>
      </w:r>
      <w:proofErr w:type="gramStart"/>
      <w:r w:rsidRPr="00EA6434">
        <w:rPr>
          <w:rFonts w:hint="eastAsia"/>
          <w:color w:val="000000" w:themeColor="text1"/>
        </w:rPr>
        <w:t>見復。</w:t>
      </w:r>
      <w:proofErr w:type="gramEnd"/>
    </w:p>
    <w:p w14:paraId="331CD06E" w14:textId="4319988A" w:rsidR="00EA6434" w:rsidRDefault="00EA6434" w:rsidP="00EA6434">
      <w:pPr>
        <w:pStyle w:val="2"/>
        <w:rPr>
          <w:color w:val="000000" w:themeColor="text1"/>
        </w:rPr>
      </w:pPr>
      <w:r w:rsidRPr="00EA6434">
        <w:rPr>
          <w:rFonts w:hint="eastAsia"/>
          <w:color w:val="000000" w:themeColor="text1"/>
        </w:rPr>
        <w:t>調查意見四，函請法務部依法</w:t>
      </w:r>
      <w:proofErr w:type="gramStart"/>
      <w:r w:rsidRPr="00EA6434">
        <w:rPr>
          <w:rFonts w:hint="eastAsia"/>
          <w:color w:val="000000" w:themeColor="text1"/>
        </w:rPr>
        <w:t>妥處見復。</w:t>
      </w:r>
      <w:proofErr w:type="gramEnd"/>
    </w:p>
    <w:p w14:paraId="47FDACF1" w14:textId="06FF9761" w:rsidR="003479B7" w:rsidRPr="00887EFC" w:rsidRDefault="003479B7" w:rsidP="00EA6434">
      <w:pPr>
        <w:pStyle w:val="2"/>
      </w:pPr>
      <w:r w:rsidRPr="00887EFC">
        <w:rPr>
          <w:rFonts w:hint="eastAsia"/>
        </w:rPr>
        <w:t>調查意</w:t>
      </w:r>
      <w:bookmarkStart w:id="111" w:name="_GoBack"/>
      <w:bookmarkEnd w:id="111"/>
      <w:r w:rsidRPr="00887EFC">
        <w:rPr>
          <w:rFonts w:hint="eastAsia"/>
        </w:rPr>
        <w:t>見（含案由、處理辦法、調查委員姓名）上網公布。</w:t>
      </w:r>
    </w:p>
    <w:p w14:paraId="7D3BB1F4" w14:textId="0913364E" w:rsidR="00D45C72" w:rsidRPr="00C355BA" w:rsidRDefault="00D45C72" w:rsidP="00EA6434">
      <w:pPr>
        <w:pStyle w:val="2"/>
        <w:numPr>
          <w:ilvl w:val="0"/>
          <w:numId w:val="0"/>
        </w:numPr>
        <w:spacing w:beforeLines="25" w:before="114"/>
        <w:ind w:left="1020"/>
        <w:rPr>
          <w:color w:val="000000" w:themeColor="text1"/>
        </w:rPr>
      </w:pPr>
    </w:p>
    <w:bookmarkEnd w:id="98"/>
    <w:bookmarkEnd w:id="99"/>
    <w:bookmarkEnd w:id="100"/>
    <w:bookmarkEnd w:id="101"/>
    <w:bookmarkEnd w:id="102"/>
    <w:bookmarkEnd w:id="103"/>
    <w:bookmarkEnd w:id="104"/>
    <w:bookmarkEnd w:id="105"/>
    <w:bookmarkEnd w:id="106"/>
    <w:bookmarkEnd w:id="107"/>
    <w:bookmarkEnd w:id="108"/>
    <w:bookmarkEnd w:id="109"/>
    <w:bookmarkEnd w:id="110"/>
    <w:p w14:paraId="1B31D74A" w14:textId="3346C96D" w:rsidR="00E25849" w:rsidRPr="001F3214" w:rsidRDefault="00E25849" w:rsidP="001F3214">
      <w:pPr>
        <w:pStyle w:val="aa"/>
        <w:spacing w:beforeLines="50" w:before="228" w:after="0"/>
        <w:ind w:leftChars="1100" w:left="3742"/>
        <w:rPr>
          <w:b w:val="0"/>
          <w:bCs/>
          <w:snapToGrid/>
          <w:spacing w:val="12"/>
          <w:kern w:val="0"/>
          <w:sz w:val="40"/>
        </w:rPr>
      </w:pPr>
      <w:r w:rsidRPr="00C355BA">
        <w:rPr>
          <w:rFonts w:hint="eastAsia"/>
          <w:b w:val="0"/>
          <w:bCs/>
          <w:snapToGrid/>
          <w:color w:val="000000" w:themeColor="text1"/>
          <w:spacing w:val="12"/>
          <w:kern w:val="0"/>
          <w:sz w:val="40"/>
        </w:rPr>
        <w:t>調查委員：</w:t>
      </w:r>
      <w:r w:rsidR="00EA6434">
        <w:rPr>
          <w:rFonts w:hint="eastAsia"/>
          <w:b w:val="0"/>
          <w:bCs/>
          <w:snapToGrid/>
          <w:color w:val="000000" w:themeColor="text1"/>
          <w:spacing w:val="12"/>
          <w:kern w:val="0"/>
          <w:sz w:val="40"/>
        </w:rPr>
        <w:t>林國明</w:t>
      </w:r>
    </w:p>
    <w:p w14:paraId="7AB0D44F" w14:textId="0C414C47" w:rsidR="001F3214" w:rsidRDefault="001F3214" w:rsidP="00DB440A">
      <w:pPr>
        <w:pStyle w:val="aa"/>
        <w:spacing w:beforeLines="50" w:before="228" w:after="0"/>
        <w:ind w:leftChars="1136" w:left="3864"/>
        <w:rPr>
          <w:b w:val="0"/>
          <w:bCs/>
          <w:snapToGrid/>
          <w:spacing w:val="12"/>
          <w:kern w:val="0"/>
          <w:sz w:val="40"/>
        </w:rPr>
      </w:pPr>
      <w:r w:rsidRPr="001F3214">
        <w:rPr>
          <w:rFonts w:hint="eastAsia"/>
          <w:b w:val="0"/>
          <w:bCs/>
          <w:snapToGrid/>
          <w:spacing w:val="12"/>
          <w:kern w:val="0"/>
          <w:sz w:val="40"/>
        </w:rPr>
        <w:t xml:space="preserve">         </w:t>
      </w:r>
      <w:r w:rsidR="00EA6434">
        <w:rPr>
          <w:rFonts w:hint="eastAsia"/>
          <w:b w:val="0"/>
          <w:bCs/>
          <w:snapToGrid/>
          <w:spacing w:val="12"/>
          <w:kern w:val="0"/>
          <w:sz w:val="40"/>
        </w:rPr>
        <w:t>張菊芳</w:t>
      </w:r>
    </w:p>
    <w:p w14:paraId="4017E63B" w14:textId="49C7ED3A" w:rsidR="00EA6434" w:rsidRDefault="00EA6434" w:rsidP="00DB440A">
      <w:pPr>
        <w:pStyle w:val="aa"/>
        <w:spacing w:beforeLines="50" w:before="228" w:after="0"/>
        <w:ind w:leftChars="1136" w:left="3864"/>
        <w:rPr>
          <w:b w:val="0"/>
          <w:bCs/>
          <w:snapToGrid/>
          <w:spacing w:val="12"/>
          <w:kern w:val="0"/>
          <w:sz w:val="40"/>
        </w:rPr>
      </w:pPr>
      <w:r>
        <w:rPr>
          <w:rFonts w:hint="eastAsia"/>
          <w:b w:val="0"/>
          <w:bCs/>
          <w:snapToGrid/>
          <w:spacing w:val="12"/>
          <w:kern w:val="0"/>
          <w:sz w:val="40"/>
        </w:rPr>
        <w:t xml:space="preserve">         王麗珍</w:t>
      </w:r>
    </w:p>
    <w:p w14:paraId="15E4B957" w14:textId="48C43E15" w:rsidR="00EA6434" w:rsidRPr="001F3214" w:rsidRDefault="00EA6434" w:rsidP="00DB440A">
      <w:pPr>
        <w:pStyle w:val="aa"/>
        <w:spacing w:beforeLines="50" w:before="228" w:after="0"/>
        <w:ind w:leftChars="1136" w:left="3864"/>
        <w:rPr>
          <w:b w:val="0"/>
          <w:bCs/>
          <w:snapToGrid/>
          <w:spacing w:val="12"/>
          <w:kern w:val="0"/>
          <w:sz w:val="40"/>
        </w:rPr>
      </w:pPr>
      <w:r>
        <w:rPr>
          <w:rFonts w:hint="eastAsia"/>
          <w:b w:val="0"/>
          <w:bCs/>
          <w:snapToGrid/>
          <w:spacing w:val="12"/>
          <w:kern w:val="0"/>
          <w:sz w:val="40"/>
        </w:rPr>
        <w:t xml:space="preserve">         蘇麗瓊</w:t>
      </w:r>
    </w:p>
    <w:p w14:paraId="3A5C4138" w14:textId="52E1BBA6" w:rsidR="00643974" w:rsidRPr="00C355BA" w:rsidRDefault="00643974" w:rsidP="00770453">
      <w:pPr>
        <w:pStyle w:val="aa"/>
        <w:spacing w:beforeLines="50" w:before="228" w:afterLines="100" w:after="457"/>
        <w:ind w:leftChars="1100" w:left="3742"/>
        <w:rPr>
          <w:b w:val="0"/>
          <w:bCs/>
          <w:snapToGrid/>
          <w:color w:val="000000" w:themeColor="text1"/>
          <w:spacing w:val="12"/>
          <w:kern w:val="0"/>
          <w:sz w:val="40"/>
        </w:rPr>
      </w:pPr>
    </w:p>
    <w:p w14:paraId="02AE36D1" w14:textId="4433F9E9" w:rsidR="00E25849" w:rsidRPr="00C355BA" w:rsidRDefault="00E25849">
      <w:pPr>
        <w:pStyle w:val="af"/>
        <w:rPr>
          <w:rFonts w:hAnsi="標楷體"/>
          <w:bCs/>
          <w:color w:val="000000" w:themeColor="text1"/>
        </w:rPr>
      </w:pPr>
    </w:p>
    <w:sectPr w:rsidR="00E25849" w:rsidRPr="00C355B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BC87F" w14:textId="77777777" w:rsidR="00F21991" w:rsidRDefault="00F21991">
      <w:r>
        <w:separator/>
      </w:r>
    </w:p>
  </w:endnote>
  <w:endnote w:type="continuationSeparator" w:id="0">
    <w:p w14:paraId="23D4DDBC" w14:textId="77777777" w:rsidR="00F21991" w:rsidRDefault="00F2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B8F3" w14:textId="77777777" w:rsidR="00581BCC" w:rsidRDefault="00581BC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10E56">
      <w:rPr>
        <w:rStyle w:val="ac"/>
        <w:noProof/>
        <w:sz w:val="24"/>
      </w:rPr>
      <w:t>8</w:t>
    </w:r>
    <w:r>
      <w:rPr>
        <w:rStyle w:val="ac"/>
        <w:sz w:val="24"/>
      </w:rPr>
      <w:fldChar w:fldCharType="end"/>
    </w:r>
  </w:p>
  <w:p w14:paraId="787CF9DF" w14:textId="77777777" w:rsidR="00581BCC" w:rsidRDefault="00581BC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1270E" w14:textId="77777777" w:rsidR="00F21991" w:rsidRDefault="00F21991">
      <w:r>
        <w:separator/>
      </w:r>
    </w:p>
  </w:footnote>
  <w:footnote w:type="continuationSeparator" w:id="0">
    <w:p w14:paraId="01FEA6AE" w14:textId="77777777" w:rsidR="00F21991" w:rsidRDefault="00F21991">
      <w:r>
        <w:continuationSeparator/>
      </w:r>
    </w:p>
  </w:footnote>
  <w:footnote w:id="1">
    <w:p w14:paraId="3260D806" w14:textId="77777777" w:rsidR="00EA6434" w:rsidRPr="00BF62EC" w:rsidRDefault="00EA6434" w:rsidP="00EA6434">
      <w:pPr>
        <w:pStyle w:val="afc"/>
        <w:rPr>
          <w:color w:val="000000" w:themeColor="text1"/>
        </w:rPr>
      </w:pPr>
      <w:r w:rsidRPr="00BF62EC">
        <w:rPr>
          <w:rStyle w:val="afe"/>
          <w:color w:val="000000" w:themeColor="text1"/>
        </w:rPr>
        <w:footnoteRef/>
      </w:r>
      <w:r w:rsidRPr="00BF62EC">
        <w:rPr>
          <w:color w:val="000000" w:themeColor="text1"/>
        </w:rPr>
        <w:t xml:space="preserve"> </w:t>
      </w:r>
      <w:r w:rsidRPr="00BF62EC">
        <w:rPr>
          <w:rFonts w:hint="eastAsia"/>
          <w:color w:val="000000" w:themeColor="text1"/>
        </w:rPr>
        <w:t>賴英照，最新證券交易法解析，20</w:t>
      </w:r>
      <w:r w:rsidRPr="00BF62EC">
        <w:rPr>
          <w:color w:val="000000" w:themeColor="text1"/>
        </w:rPr>
        <w:t>20</w:t>
      </w:r>
      <w:r w:rsidRPr="00BF62EC">
        <w:rPr>
          <w:rFonts w:hint="eastAsia"/>
          <w:color w:val="000000" w:themeColor="text1"/>
        </w:rPr>
        <w:t>年4月，頁</w:t>
      </w:r>
      <w:r w:rsidRPr="00BF62EC">
        <w:rPr>
          <w:color w:val="000000" w:themeColor="text1"/>
        </w:rPr>
        <w:t>539</w:t>
      </w:r>
      <w:r w:rsidRPr="00BF62EC">
        <w:rPr>
          <w:rFonts w:hint="eastAsia"/>
          <w:color w:val="000000" w:themeColor="text1"/>
        </w:rPr>
        <w:t>以下。</w:t>
      </w:r>
    </w:p>
  </w:footnote>
  <w:footnote w:id="2">
    <w:p w14:paraId="484C3B77" w14:textId="77777777" w:rsidR="00EA6434" w:rsidRPr="00BF62EC" w:rsidRDefault="00EA6434" w:rsidP="00EA6434">
      <w:pPr>
        <w:pStyle w:val="afc"/>
        <w:rPr>
          <w:color w:val="000000" w:themeColor="text1"/>
        </w:rPr>
      </w:pPr>
      <w:r w:rsidRPr="00BF62EC">
        <w:rPr>
          <w:rStyle w:val="afe"/>
          <w:color w:val="000000" w:themeColor="text1"/>
        </w:rPr>
        <w:footnoteRef/>
      </w:r>
      <w:r w:rsidRPr="00BF62EC">
        <w:rPr>
          <w:color w:val="000000" w:themeColor="text1"/>
        </w:rPr>
        <w:t xml:space="preserve"> </w:t>
      </w:r>
      <w:r w:rsidRPr="00BF62EC">
        <w:rPr>
          <w:rFonts w:hint="eastAsia"/>
          <w:color w:val="000000" w:themeColor="text1"/>
        </w:rPr>
        <w:t>劉連煜，新證券交易法實例研習，</w:t>
      </w:r>
      <w:r w:rsidRPr="00BF62EC">
        <w:rPr>
          <w:color w:val="000000" w:themeColor="text1"/>
        </w:rPr>
        <w:t>2016</w:t>
      </w:r>
      <w:r w:rsidRPr="00BF62EC">
        <w:rPr>
          <w:rFonts w:hint="eastAsia"/>
          <w:color w:val="000000" w:themeColor="text1"/>
        </w:rPr>
        <w:t>年9月增訂第14版，頁</w:t>
      </w:r>
      <w:r w:rsidRPr="00BF62EC">
        <w:rPr>
          <w:color w:val="000000" w:themeColor="text1"/>
        </w:rPr>
        <w:t>611</w:t>
      </w:r>
      <w:r w:rsidRPr="00BF62EC">
        <w:rPr>
          <w:rFonts w:hint="eastAsia"/>
          <w:color w:val="000000" w:themeColor="text1"/>
        </w:rPr>
        <w:t>。</w:t>
      </w:r>
    </w:p>
  </w:footnote>
  <w:footnote w:id="3">
    <w:p w14:paraId="2F92238A" w14:textId="77777777" w:rsidR="00EA6434" w:rsidRPr="00BF62EC" w:rsidRDefault="00EA6434" w:rsidP="00EA6434">
      <w:pPr>
        <w:pStyle w:val="afc"/>
        <w:rPr>
          <w:color w:val="000000" w:themeColor="text1"/>
        </w:rPr>
      </w:pPr>
      <w:r w:rsidRPr="00BF62EC">
        <w:rPr>
          <w:rStyle w:val="afe"/>
          <w:color w:val="000000" w:themeColor="text1"/>
        </w:rPr>
        <w:footnoteRef/>
      </w:r>
      <w:r w:rsidRPr="00BF62EC">
        <w:rPr>
          <w:color w:val="000000" w:themeColor="text1"/>
        </w:rPr>
        <w:t xml:space="preserve"> </w:t>
      </w:r>
      <w:r w:rsidRPr="00BF62EC">
        <w:rPr>
          <w:rFonts w:hint="eastAsia"/>
          <w:color w:val="000000" w:themeColor="text1"/>
        </w:rPr>
        <w:t>賴英照，最新證券交易法解析，2006年2月初版，頁463。</w:t>
      </w:r>
      <w:r w:rsidRPr="00BF62EC">
        <w:rPr>
          <w:rFonts w:hAnsi="標楷體" w:hint="eastAsia"/>
          <w:color w:val="000000" w:themeColor="text1"/>
        </w:rPr>
        <w:t>(</w:t>
      </w:r>
      <w:r w:rsidRPr="00BF62EC">
        <w:rPr>
          <w:rFonts w:hint="eastAsia"/>
          <w:color w:val="000000" w:themeColor="text1"/>
        </w:rPr>
        <w:t>援引自劉連煜，同前註</w:t>
      </w:r>
      <w:r w:rsidRPr="00BF62EC">
        <w:rPr>
          <w:rFonts w:hAnsi="標楷體" w:hint="eastAsia"/>
          <w:color w:val="000000" w:themeColor="text1"/>
        </w:rPr>
        <w:t>)</w:t>
      </w:r>
    </w:p>
  </w:footnote>
  <w:footnote w:id="4">
    <w:p w14:paraId="146A40C6" w14:textId="77777777" w:rsidR="00EA6434" w:rsidRPr="00BF62EC" w:rsidRDefault="00EA6434" w:rsidP="00EA6434">
      <w:pPr>
        <w:pStyle w:val="afc"/>
        <w:rPr>
          <w:color w:val="000000" w:themeColor="text1"/>
        </w:rPr>
      </w:pPr>
      <w:r w:rsidRPr="00BF62EC">
        <w:rPr>
          <w:rStyle w:val="afe"/>
          <w:color w:val="000000" w:themeColor="text1"/>
        </w:rPr>
        <w:footnoteRef/>
      </w:r>
      <w:r w:rsidRPr="00BF62EC">
        <w:rPr>
          <w:color w:val="000000" w:themeColor="text1"/>
        </w:rPr>
        <w:t xml:space="preserve"> </w:t>
      </w:r>
      <w:r w:rsidRPr="00BF62EC">
        <w:rPr>
          <w:rFonts w:hint="eastAsia"/>
          <w:color w:val="000000" w:themeColor="text1"/>
        </w:rPr>
        <w:t>劉連煜，同前註，頁</w:t>
      </w:r>
      <w:r w:rsidRPr="00BF62EC">
        <w:rPr>
          <w:color w:val="000000" w:themeColor="text1"/>
        </w:rPr>
        <w:t>612</w:t>
      </w:r>
      <w:r w:rsidRPr="00BF62EC">
        <w:rPr>
          <w:rFonts w:hint="eastAsia"/>
          <w:color w:val="000000" w:themeColor="text1"/>
        </w:rPr>
        <w:t>。</w:t>
      </w:r>
    </w:p>
  </w:footnote>
  <w:footnote w:id="5">
    <w:p w14:paraId="4B43A506" w14:textId="77777777" w:rsidR="00EA6434" w:rsidRPr="00BF62EC" w:rsidRDefault="00EA6434" w:rsidP="00EA6434">
      <w:pPr>
        <w:pStyle w:val="afc"/>
        <w:rPr>
          <w:color w:val="000000" w:themeColor="text1"/>
        </w:rPr>
      </w:pPr>
      <w:r w:rsidRPr="00BF62EC">
        <w:rPr>
          <w:rStyle w:val="afe"/>
          <w:color w:val="000000" w:themeColor="text1"/>
        </w:rPr>
        <w:footnoteRef/>
      </w:r>
      <w:r w:rsidRPr="00BF62EC">
        <w:rPr>
          <w:color w:val="000000" w:themeColor="text1"/>
        </w:rPr>
        <w:t xml:space="preserve"> </w:t>
      </w:r>
      <w:r w:rsidRPr="00BF62EC">
        <w:rPr>
          <w:rFonts w:hint="eastAsia"/>
          <w:color w:val="000000" w:themeColor="text1"/>
        </w:rPr>
        <w:t>司法院108年7月23日院台政二字第1080019307號函；法務部108年7月29日法檢字第10800612560號函。</w:t>
      </w:r>
    </w:p>
  </w:footnote>
  <w:footnote w:id="6">
    <w:p w14:paraId="7D1EC0C0" w14:textId="77777777" w:rsidR="00EA6434" w:rsidRPr="00BF62EC" w:rsidRDefault="00EA6434" w:rsidP="00EA6434">
      <w:pPr>
        <w:pStyle w:val="afc"/>
        <w:jc w:val="both"/>
        <w:rPr>
          <w:color w:val="000000" w:themeColor="text1"/>
        </w:rPr>
      </w:pPr>
      <w:r w:rsidRPr="00BF62EC">
        <w:rPr>
          <w:rStyle w:val="afe"/>
          <w:color w:val="000000" w:themeColor="text1"/>
        </w:rPr>
        <w:footnoteRef/>
      </w:r>
      <w:r w:rsidRPr="00BF62EC">
        <w:rPr>
          <w:color w:val="000000" w:themeColor="text1"/>
        </w:rPr>
        <w:t xml:space="preserve"> </w:t>
      </w:r>
      <w:r w:rsidRPr="00BF62EC">
        <w:rPr>
          <w:rFonts w:hint="eastAsia"/>
          <w:color w:val="000000" w:themeColor="text1"/>
        </w:rPr>
        <w:t>臺中高分院101年度重金上更</w:t>
      </w:r>
      <w:r w:rsidRPr="00BF62EC">
        <w:rPr>
          <w:rFonts w:hAnsi="標楷體" w:hint="eastAsia"/>
          <w:color w:val="000000" w:themeColor="text1"/>
        </w:rPr>
        <w:t>(一)</w:t>
      </w:r>
      <w:r w:rsidRPr="00BF62EC">
        <w:rPr>
          <w:rFonts w:hint="eastAsia"/>
          <w:color w:val="000000" w:themeColor="text1"/>
        </w:rPr>
        <w:t>字第32號案件原由審判長邱顯祥、</w:t>
      </w:r>
      <w:r w:rsidRPr="00BF62EC">
        <w:rPr>
          <w:color w:val="000000" w:themeColor="text1"/>
        </w:rPr>
        <w:t>陪席</w:t>
      </w:r>
      <w:r w:rsidRPr="00BF62EC">
        <w:rPr>
          <w:rFonts w:hint="eastAsia"/>
          <w:color w:val="000000" w:themeColor="text1"/>
        </w:rPr>
        <w:t>法官王鏗普、</w:t>
      </w:r>
      <w:r w:rsidRPr="00BF62EC">
        <w:rPr>
          <w:color w:val="000000" w:themeColor="text1"/>
        </w:rPr>
        <w:t>受命</w:t>
      </w:r>
      <w:r w:rsidRPr="00BF62EC">
        <w:rPr>
          <w:rFonts w:hint="eastAsia"/>
          <w:color w:val="000000" w:themeColor="text1"/>
        </w:rPr>
        <w:t>法官姚勳昌審理，嗣因職務調動，改由審判長邱顯祥、</w:t>
      </w:r>
      <w:r w:rsidRPr="00BF62EC">
        <w:rPr>
          <w:color w:val="000000" w:themeColor="text1"/>
        </w:rPr>
        <w:t>陪席</w:t>
      </w:r>
      <w:r w:rsidRPr="00BF62EC">
        <w:rPr>
          <w:rFonts w:hint="eastAsia"/>
          <w:color w:val="000000" w:themeColor="text1"/>
        </w:rPr>
        <w:t>法官林源森、</w:t>
      </w:r>
      <w:r w:rsidRPr="00BF62EC">
        <w:rPr>
          <w:color w:val="000000" w:themeColor="text1"/>
        </w:rPr>
        <w:t>受命</w:t>
      </w:r>
      <w:r w:rsidRPr="00BF62EC">
        <w:rPr>
          <w:rFonts w:hint="eastAsia"/>
          <w:color w:val="000000" w:themeColor="text1"/>
        </w:rPr>
        <w:t>法官廖純卿審理。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3E090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544"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D461C6"/>
    <w:multiLevelType w:val="hybridMultilevel"/>
    <w:tmpl w:val="7750B9C8"/>
    <w:lvl w:ilvl="0" w:tplc="1D42CC12">
      <w:start w:val="1"/>
      <w:numFmt w:val="decimal"/>
      <w:lvlText w:val="%1."/>
      <w:lvlJc w:val="left"/>
      <w:pPr>
        <w:ind w:left="788" w:hanging="468"/>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977D0A"/>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077FF2"/>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B718BC"/>
    <w:multiLevelType w:val="hybridMultilevel"/>
    <w:tmpl w:val="2ED65428"/>
    <w:lvl w:ilvl="0" w:tplc="0E6A718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9"/>
  </w:num>
  <w:num w:numId="10">
    <w:abstractNumId w:val="5"/>
  </w:num>
  <w:num w:numId="11">
    <w:abstractNumId w:val="10"/>
  </w:num>
  <w:num w:numId="12">
    <w:abstractNumId w:val="8"/>
  </w:num>
  <w:num w:numId="13">
    <w:abstractNumId w:val="11"/>
  </w:num>
  <w:num w:numId="14">
    <w:abstractNumId w:val="3"/>
  </w:num>
  <w:num w:numId="15">
    <w:abstractNumId w:val="1"/>
  </w:num>
  <w:num w:numId="16">
    <w:abstractNumId w:val="1"/>
  </w:num>
  <w:num w:numId="17">
    <w:abstractNumId w:val="1"/>
  </w:num>
  <w:num w:numId="18">
    <w:abstractNumId w:val="1"/>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526"/>
    <w:rsid w:val="00005268"/>
    <w:rsid w:val="00006961"/>
    <w:rsid w:val="000112BF"/>
    <w:rsid w:val="00011F76"/>
    <w:rsid w:val="00012233"/>
    <w:rsid w:val="000155A3"/>
    <w:rsid w:val="0001698E"/>
    <w:rsid w:val="00017104"/>
    <w:rsid w:val="00017318"/>
    <w:rsid w:val="000218E2"/>
    <w:rsid w:val="000229AD"/>
    <w:rsid w:val="000238F9"/>
    <w:rsid w:val="000246F7"/>
    <w:rsid w:val="0002606C"/>
    <w:rsid w:val="00026B66"/>
    <w:rsid w:val="00030F64"/>
    <w:rsid w:val="0003114D"/>
    <w:rsid w:val="0003142A"/>
    <w:rsid w:val="00034957"/>
    <w:rsid w:val="00035803"/>
    <w:rsid w:val="00036D76"/>
    <w:rsid w:val="000373E9"/>
    <w:rsid w:val="00040892"/>
    <w:rsid w:val="00042D10"/>
    <w:rsid w:val="0005062B"/>
    <w:rsid w:val="000559F9"/>
    <w:rsid w:val="00057E45"/>
    <w:rsid w:val="00057F32"/>
    <w:rsid w:val="00062457"/>
    <w:rsid w:val="00062A25"/>
    <w:rsid w:val="00064435"/>
    <w:rsid w:val="00064B8B"/>
    <w:rsid w:val="00065C0A"/>
    <w:rsid w:val="0007032B"/>
    <w:rsid w:val="00071492"/>
    <w:rsid w:val="00073CB5"/>
    <w:rsid w:val="0007425C"/>
    <w:rsid w:val="000748D6"/>
    <w:rsid w:val="000754EB"/>
    <w:rsid w:val="000755EF"/>
    <w:rsid w:val="0007589D"/>
    <w:rsid w:val="00077553"/>
    <w:rsid w:val="00083ABA"/>
    <w:rsid w:val="00084E54"/>
    <w:rsid w:val="000851A2"/>
    <w:rsid w:val="0009167E"/>
    <w:rsid w:val="00091E3E"/>
    <w:rsid w:val="0009352E"/>
    <w:rsid w:val="0009524E"/>
    <w:rsid w:val="00095872"/>
    <w:rsid w:val="00095B95"/>
    <w:rsid w:val="00096B96"/>
    <w:rsid w:val="000A2F3F"/>
    <w:rsid w:val="000A4A82"/>
    <w:rsid w:val="000A5164"/>
    <w:rsid w:val="000B0B4A"/>
    <w:rsid w:val="000B279A"/>
    <w:rsid w:val="000B61D2"/>
    <w:rsid w:val="000B70A7"/>
    <w:rsid w:val="000B73DD"/>
    <w:rsid w:val="000C2354"/>
    <w:rsid w:val="000C495F"/>
    <w:rsid w:val="000D1E32"/>
    <w:rsid w:val="000D2DAD"/>
    <w:rsid w:val="000D53DF"/>
    <w:rsid w:val="000D66D9"/>
    <w:rsid w:val="000E6431"/>
    <w:rsid w:val="000F0EAA"/>
    <w:rsid w:val="000F182A"/>
    <w:rsid w:val="000F21A5"/>
    <w:rsid w:val="000F4FF5"/>
    <w:rsid w:val="00100192"/>
    <w:rsid w:val="00102B9F"/>
    <w:rsid w:val="001033A1"/>
    <w:rsid w:val="00104440"/>
    <w:rsid w:val="0010478F"/>
    <w:rsid w:val="0010576E"/>
    <w:rsid w:val="00110E56"/>
    <w:rsid w:val="0011161B"/>
    <w:rsid w:val="00111D3A"/>
    <w:rsid w:val="0011204A"/>
    <w:rsid w:val="001122B4"/>
    <w:rsid w:val="0011239B"/>
    <w:rsid w:val="00112637"/>
    <w:rsid w:val="00112ABC"/>
    <w:rsid w:val="00113FCE"/>
    <w:rsid w:val="00117B5E"/>
    <w:rsid w:val="0012001E"/>
    <w:rsid w:val="0012056E"/>
    <w:rsid w:val="00120CC8"/>
    <w:rsid w:val="00121CF3"/>
    <w:rsid w:val="00122C5D"/>
    <w:rsid w:val="0012464E"/>
    <w:rsid w:val="00124863"/>
    <w:rsid w:val="00124D8D"/>
    <w:rsid w:val="001257C5"/>
    <w:rsid w:val="00125EC6"/>
    <w:rsid w:val="00126A55"/>
    <w:rsid w:val="00131D84"/>
    <w:rsid w:val="00133F08"/>
    <w:rsid w:val="001345E6"/>
    <w:rsid w:val="001349E7"/>
    <w:rsid w:val="001375C6"/>
    <w:rsid w:val="001378B0"/>
    <w:rsid w:val="001405F9"/>
    <w:rsid w:val="00142E00"/>
    <w:rsid w:val="00143BCD"/>
    <w:rsid w:val="00145159"/>
    <w:rsid w:val="00146735"/>
    <w:rsid w:val="00146878"/>
    <w:rsid w:val="00146E52"/>
    <w:rsid w:val="00150631"/>
    <w:rsid w:val="00152448"/>
    <w:rsid w:val="00152793"/>
    <w:rsid w:val="00153B7E"/>
    <w:rsid w:val="00154098"/>
    <w:rsid w:val="001545A9"/>
    <w:rsid w:val="00156AAF"/>
    <w:rsid w:val="001575B6"/>
    <w:rsid w:val="00161460"/>
    <w:rsid w:val="00161965"/>
    <w:rsid w:val="00161C19"/>
    <w:rsid w:val="00163596"/>
    <w:rsid w:val="001637C7"/>
    <w:rsid w:val="00164518"/>
    <w:rsid w:val="0016480E"/>
    <w:rsid w:val="00165C5B"/>
    <w:rsid w:val="001716BA"/>
    <w:rsid w:val="00174297"/>
    <w:rsid w:val="00175996"/>
    <w:rsid w:val="00175D23"/>
    <w:rsid w:val="001779BA"/>
    <w:rsid w:val="00180E06"/>
    <w:rsid w:val="001811D6"/>
    <w:rsid w:val="00181476"/>
    <w:rsid w:val="001817B3"/>
    <w:rsid w:val="00183014"/>
    <w:rsid w:val="001837F6"/>
    <w:rsid w:val="00184BFF"/>
    <w:rsid w:val="001959C2"/>
    <w:rsid w:val="001A13D0"/>
    <w:rsid w:val="001A31FB"/>
    <w:rsid w:val="001A51E3"/>
    <w:rsid w:val="001A5E16"/>
    <w:rsid w:val="001A5FB7"/>
    <w:rsid w:val="001A64FF"/>
    <w:rsid w:val="001A7968"/>
    <w:rsid w:val="001A7ED9"/>
    <w:rsid w:val="001B02A1"/>
    <w:rsid w:val="001B03A5"/>
    <w:rsid w:val="001B2E98"/>
    <w:rsid w:val="001B3483"/>
    <w:rsid w:val="001B3C1E"/>
    <w:rsid w:val="001B4494"/>
    <w:rsid w:val="001B7ECF"/>
    <w:rsid w:val="001C0D7C"/>
    <w:rsid w:val="001C0D8B"/>
    <w:rsid w:val="001C0DA8"/>
    <w:rsid w:val="001C0DBD"/>
    <w:rsid w:val="001C1691"/>
    <w:rsid w:val="001C25F6"/>
    <w:rsid w:val="001C3C02"/>
    <w:rsid w:val="001C531D"/>
    <w:rsid w:val="001D44D5"/>
    <w:rsid w:val="001D4AD7"/>
    <w:rsid w:val="001D5D6F"/>
    <w:rsid w:val="001D657B"/>
    <w:rsid w:val="001E0D8A"/>
    <w:rsid w:val="001E1770"/>
    <w:rsid w:val="001E4F4A"/>
    <w:rsid w:val="001E67BA"/>
    <w:rsid w:val="001E74C2"/>
    <w:rsid w:val="001F13B1"/>
    <w:rsid w:val="001F14B5"/>
    <w:rsid w:val="001F3214"/>
    <w:rsid w:val="001F4F82"/>
    <w:rsid w:val="001F506E"/>
    <w:rsid w:val="001F5A48"/>
    <w:rsid w:val="001F6260"/>
    <w:rsid w:val="00200007"/>
    <w:rsid w:val="002030A5"/>
    <w:rsid w:val="00203131"/>
    <w:rsid w:val="0020656A"/>
    <w:rsid w:val="00207890"/>
    <w:rsid w:val="00207944"/>
    <w:rsid w:val="00212E88"/>
    <w:rsid w:val="00213C9C"/>
    <w:rsid w:val="002169C5"/>
    <w:rsid w:val="0022009E"/>
    <w:rsid w:val="0022085F"/>
    <w:rsid w:val="0022097D"/>
    <w:rsid w:val="00221717"/>
    <w:rsid w:val="00222590"/>
    <w:rsid w:val="0022276D"/>
    <w:rsid w:val="00223241"/>
    <w:rsid w:val="0022335B"/>
    <w:rsid w:val="0022425C"/>
    <w:rsid w:val="002246DE"/>
    <w:rsid w:val="00225C89"/>
    <w:rsid w:val="0023623E"/>
    <w:rsid w:val="00236473"/>
    <w:rsid w:val="002375B7"/>
    <w:rsid w:val="0024109C"/>
    <w:rsid w:val="002429E2"/>
    <w:rsid w:val="00251BC9"/>
    <w:rsid w:val="00252BC4"/>
    <w:rsid w:val="00254014"/>
    <w:rsid w:val="00254B39"/>
    <w:rsid w:val="0025727F"/>
    <w:rsid w:val="0026504D"/>
    <w:rsid w:val="00266C67"/>
    <w:rsid w:val="00267640"/>
    <w:rsid w:val="0027056A"/>
    <w:rsid w:val="00270671"/>
    <w:rsid w:val="002711EB"/>
    <w:rsid w:val="00271A83"/>
    <w:rsid w:val="00273A2F"/>
    <w:rsid w:val="00275B98"/>
    <w:rsid w:val="0027748C"/>
    <w:rsid w:val="00280986"/>
    <w:rsid w:val="00281ECE"/>
    <w:rsid w:val="002830F0"/>
    <w:rsid w:val="002831C7"/>
    <w:rsid w:val="00283660"/>
    <w:rsid w:val="00283FB4"/>
    <w:rsid w:val="002840C6"/>
    <w:rsid w:val="00294715"/>
    <w:rsid w:val="00295174"/>
    <w:rsid w:val="00296172"/>
    <w:rsid w:val="00296B92"/>
    <w:rsid w:val="00297699"/>
    <w:rsid w:val="002A09F4"/>
    <w:rsid w:val="002A1E79"/>
    <w:rsid w:val="002A2C22"/>
    <w:rsid w:val="002A2C64"/>
    <w:rsid w:val="002A6F7B"/>
    <w:rsid w:val="002B02EB"/>
    <w:rsid w:val="002B0C18"/>
    <w:rsid w:val="002B6716"/>
    <w:rsid w:val="002C0602"/>
    <w:rsid w:val="002C4119"/>
    <w:rsid w:val="002D49F2"/>
    <w:rsid w:val="002D5171"/>
    <w:rsid w:val="002D5C16"/>
    <w:rsid w:val="002D733A"/>
    <w:rsid w:val="002E0836"/>
    <w:rsid w:val="002E3DCB"/>
    <w:rsid w:val="002E7E34"/>
    <w:rsid w:val="002F18B5"/>
    <w:rsid w:val="002F2476"/>
    <w:rsid w:val="002F3A4C"/>
    <w:rsid w:val="002F3DFF"/>
    <w:rsid w:val="002F53A5"/>
    <w:rsid w:val="002F5E05"/>
    <w:rsid w:val="002F6129"/>
    <w:rsid w:val="002F62FF"/>
    <w:rsid w:val="002F7F52"/>
    <w:rsid w:val="0030198C"/>
    <w:rsid w:val="00301DF3"/>
    <w:rsid w:val="00303381"/>
    <w:rsid w:val="0030366F"/>
    <w:rsid w:val="003059B9"/>
    <w:rsid w:val="00305EC9"/>
    <w:rsid w:val="00306B56"/>
    <w:rsid w:val="00307A76"/>
    <w:rsid w:val="00312E07"/>
    <w:rsid w:val="003141E1"/>
    <w:rsid w:val="0031455E"/>
    <w:rsid w:val="00315A16"/>
    <w:rsid w:val="00315D6D"/>
    <w:rsid w:val="0031669A"/>
    <w:rsid w:val="00316DF7"/>
    <w:rsid w:val="00317053"/>
    <w:rsid w:val="0032109C"/>
    <w:rsid w:val="00322B45"/>
    <w:rsid w:val="003236B1"/>
    <w:rsid w:val="00323809"/>
    <w:rsid w:val="00323D41"/>
    <w:rsid w:val="00325414"/>
    <w:rsid w:val="00326E4A"/>
    <w:rsid w:val="003302F1"/>
    <w:rsid w:val="00330CE0"/>
    <w:rsid w:val="00331B69"/>
    <w:rsid w:val="00332032"/>
    <w:rsid w:val="003327D1"/>
    <w:rsid w:val="00332E7D"/>
    <w:rsid w:val="003332D2"/>
    <w:rsid w:val="00340671"/>
    <w:rsid w:val="00341405"/>
    <w:rsid w:val="003432D1"/>
    <w:rsid w:val="0034470E"/>
    <w:rsid w:val="0034591C"/>
    <w:rsid w:val="00345FCC"/>
    <w:rsid w:val="003479B7"/>
    <w:rsid w:val="00347A82"/>
    <w:rsid w:val="00352DB0"/>
    <w:rsid w:val="00355150"/>
    <w:rsid w:val="00361063"/>
    <w:rsid w:val="0036164E"/>
    <w:rsid w:val="0036302F"/>
    <w:rsid w:val="0037094A"/>
    <w:rsid w:val="00371ED3"/>
    <w:rsid w:val="00372277"/>
    <w:rsid w:val="0037249E"/>
    <w:rsid w:val="00372659"/>
    <w:rsid w:val="00372FFC"/>
    <w:rsid w:val="003731EC"/>
    <w:rsid w:val="00376302"/>
    <w:rsid w:val="0037728A"/>
    <w:rsid w:val="00380B7D"/>
    <w:rsid w:val="00380D81"/>
    <w:rsid w:val="00381A99"/>
    <w:rsid w:val="003824FE"/>
    <w:rsid w:val="003829C2"/>
    <w:rsid w:val="003830B2"/>
    <w:rsid w:val="00384724"/>
    <w:rsid w:val="003867AA"/>
    <w:rsid w:val="0039018D"/>
    <w:rsid w:val="003919B7"/>
    <w:rsid w:val="00391D57"/>
    <w:rsid w:val="00392292"/>
    <w:rsid w:val="003936FB"/>
    <w:rsid w:val="00393DF8"/>
    <w:rsid w:val="003944D0"/>
    <w:rsid w:val="00394F45"/>
    <w:rsid w:val="00395551"/>
    <w:rsid w:val="003A3623"/>
    <w:rsid w:val="003A5927"/>
    <w:rsid w:val="003A765B"/>
    <w:rsid w:val="003B1017"/>
    <w:rsid w:val="003B22D2"/>
    <w:rsid w:val="003B3C07"/>
    <w:rsid w:val="003B4890"/>
    <w:rsid w:val="003B6081"/>
    <w:rsid w:val="003B6775"/>
    <w:rsid w:val="003B7B31"/>
    <w:rsid w:val="003C4933"/>
    <w:rsid w:val="003C5744"/>
    <w:rsid w:val="003C5FE2"/>
    <w:rsid w:val="003C7D08"/>
    <w:rsid w:val="003D05FB"/>
    <w:rsid w:val="003D1B16"/>
    <w:rsid w:val="003D289D"/>
    <w:rsid w:val="003D3ED2"/>
    <w:rsid w:val="003D45BF"/>
    <w:rsid w:val="003D508A"/>
    <w:rsid w:val="003D537F"/>
    <w:rsid w:val="003D5691"/>
    <w:rsid w:val="003D688F"/>
    <w:rsid w:val="003D7B75"/>
    <w:rsid w:val="003E0208"/>
    <w:rsid w:val="003E4173"/>
    <w:rsid w:val="003E422A"/>
    <w:rsid w:val="003E4B57"/>
    <w:rsid w:val="003E5466"/>
    <w:rsid w:val="003E6BAE"/>
    <w:rsid w:val="003F27E1"/>
    <w:rsid w:val="003F3819"/>
    <w:rsid w:val="003F437A"/>
    <w:rsid w:val="003F5C2B"/>
    <w:rsid w:val="003F5CC6"/>
    <w:rsid w:val="003F7797"/>
    <w:rsid w:val="003F789C"/>
    <w:rsid w:val="004008E0"/>
    <w:rsid w:val="00401595"/>
    <w:rsid w:val="00402240"/>
    <w:rsid w:val="004023E9"/>
    <w:rsid w:val="0040454A"/>
    <w:rsid w:val="00404888"/>
    <w:rsid w:val="004138D4"/>
    <w:rsid w:val="00413F83"/>
    <w:rsid w:val="0041490C"/>
    <w:rsid w:val="00416191"/>
    <w:rsid w:val="00416721"/>
    <w:rsid w:val="00416B51"/>
    <w:rsid w:val="00416E0C"/>
    <w:rsid w:val="00420FF9"/>
    <w:rsid w:val="00421EF0"/>
    <w:rsid w:val="00422422"/>
    <w:rsid w:val="004224FA"/>
    <w:rsid w:val="00423D07"/>
    <w:rsid w:val="00427936"/>
    <w:rsid w:val="00427A58"/>
    <w:rsid w:val="00433C37"/>
    <w:rsid w:val="00435F8C"/>
    <w:rsid w:val="00440AAA"/>
    <w:rsid w:val="00442318"/>
    <w:rsid w:val="00443359"/>
    <w:rsid w:val="0044346F"/>
    <w:rsid w:val="00444166"/>
    <w:rsid w:val="00453FF6"/>
    <w:rsid w:val="00454B96"/>
    <w:rsid w:val="004620D9"/>
    <w:rsid w:val="004622BE"/>
    <w:rsid w:val="0046520A"/>
    <w:rsid w:val="004672AB"/>
    <w:rsid w:val="004714FE"/>
    <w:rsid w:val="004724D4"/>
    <w:rsid w:val="004743A8"/>
    <w:rsid w:val="00477BAA"/>
    <w:rsid w:val="00481393"/>
    <w:rsid w:val="00486B9C"/>
    <w:rsid w:val="00490057"/>
    <w:rsid w:val="004903C8"/>
    <w:rsid w:val="00491589"/>
    <w:rsid w:val="00493063"/>
    <w:rsid w:val="00494D5E"/>
    <w:rsid w:val="00495053"/>
    <w:rsid w:val="004A0177"/>
    <w:rsid w:val="004A1F59"/>
    <w:rsid w:val="004A29BE"/>
    <w:rsid w:val="004A3225"/>
    <w:rsid w:val="004A33EE"/>
    <w:rsid w:val="004A3AA8"/>
    <w:rsid w:val="004B13C7"/>
    <w:rsid w:val="004B1ABC"/>
    <w:rsid w:val="004B425D"/>
    <w:rsid w:val="004B6B6D"/>
    <w:rsid w:val="004B778F"/>
    <w:rsid w:val="004C0609"/>
    <w:rsid w:val="004C1179"/>
    <w:rsid w:val="004C639F"/>
    <w:rsid w:val="004D141F"/>
    <w:rsid w:val="004D2608"/>
    <w:rsid w:val="004D2742"/>
    <w:rsid w:val="004D6310"/>
    <w:rsid w:val="004D6E85"/>
    <w:rsid w:val="004E0062"/>
    <w:rsid w:val="004E05A1"/>
    <w:rsid w:val="004E0FF1"/>
    <w:rsid w:val="004E24FB"/>
    <w:rsid w:val="004E5254"/>
    <w:rsid w:val="004E704B"/>
    <w:rsid w:val="004E7F21"/>
    <w:rsid w:val="004F22D9"/>
    <w:rsid w:val="004F472A"/>
    <w:rsid w:val="004F5E57"/>
    <w:rsid w:val="004F617B"/>
    <w:rsid w:val="004F6710"/>
    <w:rsid w:val="004F6784"/>
    <w:rsid w:val="004F7D2C"/>
    <w:rsid w:val="00500C3E"/>
    <w:rsid w:val="00502500"/>
    <w:rsid w:val="00502849"/>
    <w:rsid w:val="0050307E"/>
    <w:rsid w:val="00504334"/>
    <w:rsid w:val="005044D7"/>
    <w:rsid w:val="0050498D"/>
    <w:rsid w:val="005051C7"/>
    <w:rsid w:val="00505C1B"/>
    <w:rsid w:val="005104D7"/>
    <w:rsid w:val="00510A29"/>
    <w:rsid w:val="00510B9E"/>
    <w:rsid w:val="0051271A"/>
    <w:rsid w:val="00515B7D"/>
    <w:rsid w:val="00517FC9"/>
    <w:rsid w:val="00520862"/>
    <w:rsid w:val="005237FA"/>
    <w:rsid w:val="005247D2"/>
    <w:rsid w:val="00524DBF"/>
    <w:rsid w:val="00530792"/>
    <w:rsid w:val="0053603E"/>
    <w:rsid w:val="00536BC2"/>
    <w:rsid w:val="00537A52"/>
    <w:rsid w:val="005425E1"/>
    <w:rsid w:val="005427C5"/>
    <w:rsid w:val="00542A2E"/>
    <w:rsid w:val="00542CF6"/>
    <w:rsid w:val="00543192"/>
    <w:rsid w:val="00543FDE"/>
    <w:rsid w:val="0054441F"/>
    <w:rsid w:val="00545411"/>
    <w:rsid w:val="00546C25"/>
    <w:rsid w:val="00547B0C"/>
    <w:rsid w:val="00552C46"/>
    <w:rsid w:val="00553321"/>
    <w:rsid w:val="00553B8D"/>
    <w:rsid w:val="00553C03"/>
    <w:rsid w:val="0055720F"/>
    <w:rsid w:val="00560DDA"/>
    <w:rsid w:val="0056163F"/>
    <w:rsid w:val="00562D35"/>
    <w:rsid w:val="00563692"/>
    <w:rsid w:val="00563BB7"/>
    <w:rsid w:val="00564F36"/>
    <w:rsid w:val="00566E69"/>
    <w:rsid w:val="00571679"/>
    <w:rsid w:val="0057470F"/>
    <w:rsid w:val="00574F6A"/>
    <w:rsid w:val="0057517D"/>
    <w:rsid w:val="005752EC"/>
    <w:rsid w:val="005776DB"/>
    <w:rsid w:val="0058030F"/>
    <w:rsid w:val="00581BCC"/>
    <w:rsid w:val="005822B0"/>
    <w:rsid w:val="005829FF"/>
    <w:rsid w:val="00582E79"/>
    <w:rsid w:val="00584235"/>
    <w:rsid w:val="005844E7"/>
    <w:rsid w:val="005908B8"/>
    <w:rsid w:val="005916AD"/>
    <w:rsid w:val="0059512E"/>
    <w:rsid w:val="0059585F"/>
    <w:rsid w:val="005A0E6B"/>
    <w:rsid w:val="005A60AD"/>
    <w:rsid w:val="005A6DD2"/>
    <w:rsid w:val="005B0BBB"/>
    <w:rsid w:val="005B2330"/>
    <w:rsid w:val="005B3F65"/>
    <w:rsid w:val="005B7AE5"/>
    <w:rsid w:val="005C385D"/>
    <w:rsid w:val="005C4869"/>
    <w:rsid w:val="005D2841"/>
    <w:rsid w:val="005D309C"/>
    <w:rsid w:val="005D3B20"/>
    <w:rsid w:val="005D424F"/>
    <w:rsid w:val="005D477A"/>
    <w:rsid w:val="005D71B7"/>
    <w:rsid w:val="005E0127"/>
    <w:rsid w:val="005E4759"/>
    <w:rsid w:val="005E5C68"/>
    <w:rsid w:val="005E6389"/>
    <w:rsid w:val="005E65C0"/>
    <w:rsid w:val="005F0390"/>
    <w:rsid w:val="005F1779"/>
    <w:rsid w:val="005F3CE2"/>
    <w:rsid w:val="005F432B"/>
    <w:rsid w:val="005F466E"/>
    <w:rsid w:val="005F4701"/>
    <w:rsid w:val="005F51A9"/>
    <w:rsid w:val="005F6FD3"/>
    <w:rsid w:val="005F7684"/>
    <w:rsid w:val="005F7B3F"/>
    <w:rsid w:val="00603B7D"/>
    <w:rsid w:val="00605810"/>
    <w:rsid w:val="006072CD"/>
    <w:rsid w:val="0061051B"/>
    <w:rsid w:val="00611A5A"/>
    <w:rsid w:val="00612023"/>
    <w:rsid w:val="00614190"/>
    <w:rsid w:val="00614FB5"/>
    <w:rsid w:val="00620021"/>
    <w:rsid w:val="00621E59"/>
    <w:rsid w:val="00622A99"/>
    <w:rsid w:val="00622B4E"/>
    <w:rsid w:val="00622E67"/>
    <w:rsid w:val="006245ED"/>
    <w:rsid w:val="00626B57"/>
    <w:rsid w:val="00626EDC"/>
    <w:rsid w:val="006330B3"/>
    <w:rsid w:val="00633238"/>
    <w:rsid w:val="00634149"/>
    <w:rsid w:val="00637F88"/>
    <w:rsid w:val="00640381"/>
    <w:rsid w:val="00641EAE"/>
    <w:rsid w:val="00641FCC"/>
    <w:rsid w:val="00643974"/>
    <w:rsid w:val="006452D3"/>
    <w:rsid w:val="0064611F"/>
    <w:rsid w:val="006470EC"/>
    <w:rsid w:val="0065069B"/>
    <w:rsid w:val="00651E9A"/>
    <w:rsid w:val="00652A6D"/>
    <w:rsid w:val="006542D6"/>
    <w:rsid w:val="006552CE"/>
    <w:rsid w:val="0065598E"/>
    <w:rsid w:val="00655AF2"/>
    <w:rsid w:val="00655BC5"/>
    <w:rsid w:val="006568BE"/>
    <w:rsid w:val="0066025D"/>
    <w:rsid w:val="0066091A"/>
    <w:rsid w:val="00661ED9"/>
    <w:rsid w:val="00662CC6"/>
    <w:rsid w:val="00665455"/>
    <w:rsid w:val="0067194B"/>
    <w:rsid w:val="00671BC0"/>
    <w:rsid w:val="00671F37"/>
    <w:rsid w:val="00671FA3"/>
    <w:rsid w:val="00674B07"/>
    <w:rsid w:val="00675A6C"/>
    <w:rsid w:val="006773EC"/>
    <w:rsid w:val="00680504"/>
    <w:rsid w:val="00681CD9"/>
    <w:rsid w:val="00681E28"/>
    <w:rsid w:val="00682BBA"/>
    <w:rsid w:val="00683E30"/>
    <w:rsid w:val="0068520C"/>
    <w:rsid w:val="00687024"/>
    <w:rsid w:val="0069265B"/>
    <w:rsid w:val="00693B66"/>
    <w:rsid w:val="00694C56"/>
    <w:rsid w:val="006954CF"/>
    <w:rsid w:val="00695E22"/>
    <w:rsid w:val="006A4635"/>
    <w:rsid w:val="006B1BA4"/>
    <w:rsid w:val="006B7093"/>
    <w:rsid w:val="006B7417"/>
    <w:rsid w:val="006B7732"/>
    <w:rsid w:val="006C1FF0"/>
    <w:rsid w:val="006C251C"/>
    <w:rsid w:val="006C664A"/>
    <w:rsid w:val="006D1C45"/>
    <w:rsid w:val="006D289D"/>
    <w:rsid w:val="006D31F9"/>
    <w:rsid w:val="006D3691"/>
    <w:rsid w:val="006D3EBC"/>
    <w:rsid w:val="006D428F"/>
    <w:rsid w:val="006D77AD"/>
    <w:rsid w:val="006E066C"/>
    <w:rsid w:val="006E09A1"/>
    <w:rsid w:val="006E105B"/>
    <w:rsid w:val="006E2C55"/>
    <w:rsid w:val="006E5EF0"/>
    <w:rsid w:val="006E65D4"/>
    <w:rsid w:val="006E6BE6"/>
    <w:rsid w:val="006F016A"/>
    <w:rsid w:val="006F3563"/>
    <w:rsid w:val="006F42B9"/>
    <w:rsid w:val="006F6103"/>
    <w:rsid w:val="006F7ED1"/>
    <w:rsid w:val="00702581"/>
    <w:rsid w:val="00703C02"/>
    <w:rsid w:val="00704718"/>
    <w:rsid w:val="00704E00"/>
    <w:rsid w:val="007075CE"/>
    <w:rsid w:val="00716C49"/>
    <w:rsid w:val="00716E33"/>
    <w:rsid w:val="007209E7"/>
    <w:rsid w:val="00720FFA"/>
    <w:rsid w:val="00722FA4"/>
    <w:rsid w:val="007238D5"/>
    <w:rsid w:val="00724A12"/>
    <w:rsid w:val="00726182"/>
    <w:rsid w:val="00727635"/>
    <w:rsid w:val="00727738"/>
    <w:rsid w:val="00732269"/>
    <w:rsid w:val="00732329"/>
    <w:rsid w:val="0073285B"/>
    <w:rsid w:val="007337CA"/>
    <w:rsid w:val="00734135"/>
    <w:rsid w:val="007341D2"/>
    <w:rsid w:val="00734CE4"/>
    <w:rsid w:val="00735123"/>
    <w:rsid w:val="007415FB"/>
    <w:rsid w:val="00741837"/>
    <w:rsid w:val="00741F0C"/>
    <w:rsid w:val="0074292E"/>
    <w:rsid w:val="0074323E"/>
    <w:rsid w:val="007450C4"/>
    <w:rsid w:val="007453E6"/>
    <w:rsid w:val="007476B4"/>
    <w:rsid w:val="00752C0F"/>
    <w:rsid w:val="0075531D"/>
    <w:rsid w:val="00755AC3"/>
    <w:rsid w:val="00770453"/>
    <w:rsid w:val="00770C6D"/>
    <w:rsid w:val="0077309D"/>
    <w:rsid w:val="00775AF9"/>
    <w:rsid w:val="007774EE"/>
    <w:rsid w:val="007804A5"/>
    <w:rsid w:val="00781822"/>
    <w:rsid w:val="00782660"/>
    <w:rsid w:val="00782D85"/>
    <w:rsid w:val="00783F21"/>
    <w:rsid w:val="007856A1"/>
    <w:rsid w:val="00786744"/>
    <w:rsid w:val="00787159"/>
    <w:rsid w:val="0079043A"/>
    <w:rsid w:val="007908BB"/>
    <w:rsid w:val="00791668"/>
    <w:rsid w:val="00791AA1"/>
    <w:rsid w:val="00792D96"/>
    <w:rsid w:val="007977E6"/>
    <w:rsid w:val="007A1B5E"/>
    <w:rsid w:val="007A3793"/>
    <w:rsid w:val="007A5AD3"/>
    <w:rsid w:val="007B0277"/>
    <w:rsid w:val="007B1414"/>
    <w:rsid w:val="007B3696"/>
    <w:rsid w:val="007B5A69"/>
    <w:rsid w:val="007B6D15"/>
    <w:rsid w:val="007C1BA2"/>
    <w:rsid w:val="007C203B"/>
    <w:rsid w:val="007C2840"/>
    <w:rsid w:val="007C2B48"/>
    <w:rsid w:val="007C37B0"/>
    <w:rsid w:val="007D20E9"/>
    <w:rsid w:val="007D305A"/>
    <w:rsid w:val="007D344E"/>
    <w:rsid w:val="007D391B"/>
    <w:rsid w:val="007D3983"/>
    <w:rsid w:val="007D5CF5"/>
    <w:rsid w:val="007D6F63"/>
    <w:rsid w:val="007D7881"/>
    <w:rsid w:val="007D7E3A"/>
    <w:rsid w:val="007E04BB"/>
    <w:rsid w:val="007E0E10"/>
    <w:rsid w:val="007E4156"/>
    <w:rsid w:val="007E4768"/>
    <w:rsid w:val="007E65D8"/>
    <w:rsid w:val="007E7408"/>
    <w:rsid w:val="007E777B"/>
    <w:rsid w:val="007E7812"/>
    <w:rsid w:val="007E79DC"/>
    <w:rsid w:val="007F16A4"/>
    <w:rsid w:val="007F1D70"/>
    <w:rsid w:val="007F2070"/>
    <w:rsid w:val="007F25D6"/>
    <w:rsid w:val="007F3463"/>
    <w:rsid w:val="007F45C0"/>
    <w:rsid w:val="007F4725"/>
    <w:rsid w:val="007F63C1"/>
    <w:rsid w:val="007F7DC1"/>
    <w:rsid w:val="00800C08"/>
    <w:rsid w:val="00800F51"/>
    <w:rsid w:val="0080190F"/>
    <w:rsid w:val="008053F5"/>
    <w:rsid w:val="00806912"/>
    <w:rsid w:val="00807593"/>
    <w:rsid w:val="00807AF7"/>
    <w:rsid w:val="00810198"/>
    <w:rsid w:val="00811453"/>
    <w:rsid w:val="00811975"/>
    <w:rsid w:val="00811B9E"/>
    <w:rsid w:val="0081400C"/>
    <w:rsid w:val="00814EDD"/>
    <w:rsid w:val="00815DA8"/>
    <w:rsid w:val="00820664"/>
    <w:rsid w:val="008207CF"/>
    <w:rsid w:val="0082194D"/>
    <w:rsid w:val="0082204B"/>
    <w:rsid w:val="008221F9"/>
    <w:rsid w:val="00823B39"/>
    <w:rsid w:val="00824E29"/>
    <w:rsid w:val="0082556B"/>
    <w:rsid w:val="00826EF5"/>
    <w:rsid w:val="00831693"/>
    <w:rsid w:val="008317DB"/>
    <w:rsid w:val="00834FD2"/>
    <w:rsid w:val="00840104"/>
    <w:rsid w:val="00840607"/>
    <w:rsid w:val="00840C1F"/>
    <w:rsid w:val="00840F97"/>
    <w:rsid w:val="008411C9"/>
    <w:rsid w:val="00841FC5"/>
    <w:rsid w:val="00842BFA"/>
    <w:rsid w:val="0084356A"/>
    <w:rsid w:val="00843D0F"/>
    <w:rsid w:val="0084496F"/>
    <w:rsid w:val="00845709"/>
    <w:rsid w:val="00845AB6"/>
    <w:rsid w:val="00853403"/>
    <w:rsid w:val="00853C26"/>
    <w:rsid w:val="00855FAB"/>
    <w:rsid w:val="00856D72"/>
    <w:rsid w:val="008571C2"/>
    <w:rsid w:val="008576BD"/>
    <w:rsid w:val="00860463"/>
    <w:rsid w:val="00867BE0"/>
    <w:rsid w:val="008733DA"/>
    <w:rsid w:val="008737E9"/>
    <w:rsid w:val="00874FC8"/>
    <w:rsid w:val="008757A0"/>
    <w:rsid w:val="00875FAA"/>
    <w:rsid w:val="00876A23"/>
    <w:rsid w:val="0087755F"/>
    <w:rsid w:val="00881672"/>
    <w:rsid w:val="008850E4"/>
    <w:rsid w:val="008856CA"/>
    <w:rsid w:val="008861A1"/>
    <w:rsid w:val="0088705F"/>
    <w:rsid w:val="00887EDF"/>
    <w:rsid w:val="00887EFC"/>
    <w:rsid w:val="008939AB"/>
    <w:rsid w:val="00893DE0"/>
    <w:rsid w:val="00894221"/>
    <w:rsid w:val="008A0B04"/>
    <w:rsid w:val="008A12F5"/>
    <w:rsid w:val="008A3943"/>
    <w:rsid w:val="008A3EF5"/>
    <w:rsid w:val="008A673F"/>
    <w:rsid w:val="008A6AC5"/>
    <w:rsid w:val="008A76D7"/>
    <w:rsid w:val="008B1587"/>
    <w:rsid w:val="008B1B01"/>
    <w:rsid w:val="008B3BCD"/>
    <w:rsid w:val="008B49BD"/>
    <w:rsid w:val="008B6DF8"/>
    <w:rsid w:val="008C106C"/>
    <w:rsid w:val="008C10F1"/>
    <w:rsid w:val="008C18D9"/>
    <w:rsid w:val="008C1926"/>
    <w:rsid w:val="008C1E99"/>
    <w:rsid w:val="008C59A2"/>
    <w:rsid w:val="008C622E"/>
    <w:rsid w:val="008C6388"/>
    <w:rsid w:val="008C6904"/>
    <w:rsid w:val="008D01A5"/>
    <w:rsid w:val="008D19A8"/>
    <w:rsid w:val="008E0085"/>
    <w:rsid w:val="008E2AA6"/>
    <w:rsid w:val="008E311B"/>
    <w:rsid w:val="008E4F17"/>
    <w:rsid w:val="008E7009"/>
    <w:rsid w:val="008F2B57"/>
    <w:rsid w:val="008F46E7"/>
    <w:rsid w:val="008F52F9"/>
    <w:rsid w:val="008F64CA"/>
    <w:rsid w:val="008F6F0B"/>
    <w:rsid w:val="008F7E4B"/>
    <w:rsid w:val="00900CEA"/>
    <w:rsid w:val="00902885"/>
    <w:rsid w:val="00906552"/>
    <w:rsid w:val="0090718A"/>
    <w:rsid w:val="00907BA7"/>
    <w:rsid w:val="0091064E"/>
    <w:rsid w:val="00911FC5"/>
    <w:rsid w:val="009132E2"/>
    <w:rsid w:val="0091503A"/>
    <w:rsid w:val="00915F08"/>
    <w:rsid w:val="009170D6"/>
    <w:rsid w:val="00923284"/>
    <w:rsid w:val="009265C8"/>
    <w:rsid w:val="00927AE7"/>
    <w:rsid w:val="0093086D"/>
    <w:rsid w:val="00931A10"/>
    <w:rsid w:val="00931DB8"/>
    <w:rsid w:val="00940BD0"/>
    <w:rsid w:val="00942779"/>
    <w:rsid w:val="0094330D"/>
    <w:rsid w:val="00947967"/>
    <w:rsid w:val="00950434"/>
    <w:rsid w:val="00955201"/>
    <w:rsid w:val="009638C9"/>
    <w:rsid w:val="00964E43"/>
    <w:rsid w:val="0096512B"/>
    <w:rsid w:val="00965200"/>
    <w:rsid w:val="00965BF3"/>
    <w:rsid w:val="0096634B"/>
    <w:rsid w:val="009668B3"/>
    <w:rsid w:val="00967143"/>
    <w:rsid w:val="009675C0"/>
    <w:rsid w:val="00971471"/>
    <w:rsid w:val="00973A7C"/>
    <w:rsid w:val="00975605"/>
    <w:rsid w:val="00975822"/>
    <w:rsid w:val="00975B7E"/>
    <w:rsid w:val="00977249"/>
    <w:rsid w:val="00983968"/>
    <w:rsid w:val="009849C2"/>
    <w:rsid w:val="00984D24"/>
    <w:rsid w:val="0098566B"/>
    <w:rsid w:val="009858EB"/>
    <w:rsid w:val="00995C34"/>
    <w:rsid w:val="009A19A4"/>
    <w:rsid w:val="009A2FC1"/>
    <w:rsid w:val="009A3F47"/>
    <w:rsid w:val="009A65A9"/>
    <w:rsid w:val="009A6B74"/>
    <w:rsid w:val="009B0046"/>
    <w:rsid w:val="009B4459"/>
    <w:rsid w:val="009B49DE"/>
    <w:rsid w:val="009B4BA8"/>
    <w:rsid w:val="009B6680"/>
    <w:rsid w:val="009C1440"/>
    <w:rsid w:val="009C2107"/>
    <w:rsid w:val="009C259E"/>
    <w:rsid w:val="009C432E"/>
    <w:rsid w:val="009C5D9E"/>
    <w:rsid w:val="009C600C"/>
    <w:rsid w:val="009D2C3E"/>
    <w:rsid w:val="009D33A7"/>
    <w:rsid w:val="009D44CD"/>
    <w:rsid w:val="009D4DCE"/>
    <w:rsid w:val="009D5E9C"/>
    <w:rsid w:val="009D5EA8"/>
    <w:rsid w:val="009D6F9D"/>
    <w:rsid w:val="009E0625"/>
    <w:rsid w:val="009E1F5B"/>
    <w:rsid w:val="009E3034"/>
    <w:rsid w:val="009E4ACC"/>
    <w:rsid w:val="009E4F7C"/>
    <w:rsid w:val="009E51B9"/>
    <w:rsid w:val="009E549F"/>
    <w:rsid w:val="009E5DFF"/>
    <w:rsid w:val="009E6BD9"/>
    <w:rsid w:val="009F28A8"/>
    <w:rsid w:val="009F33BE"/>
    <w:rsid w:val="009F3938"/>
    <w:rsid w:val="009F42BA"/>
    <w:rsid w:val="009F473E"/>
    <w:rsid w:val="009F5247"/>
    <w:rsid w:val="009F682A"/>
    <w:rsid w:val="009F6D91"/>
    <w:rsid w:val="009F71F8"/>
    <w:rsid w:val="00A022BE"/>
    <w:rsid w:val="00A07B4B"/>
    <w:rsid w:val="00A13FF8"/>
    <w:rsid w:val="00A16B44"/>
    <w:rsid w:val="00A17844"/>
    <w:rsid w:val="00A202FC"/>
    <w:rsid w:val="00A23A43"/>
    <w:rsid w:val="00A24C95"/>
    <w:rsid w:val="00A25478"/>
    <w:rsid w:val="00A2599A"/>
    <w:rsid w:val="00A26094"/>
    <w:rsid w:val="00A26CC5"/>
    <w:rsid w:val="00A26E32"/>
    <w:rsid w:val="00A27632"/>
    <w:rsid w:val="00A301BF"/>
    <w:rsid w:val="00A302B2"/>
    <w:rsid w:val="00A331B4"/>
    <w:rsid w:val="00A34189"/>
    <w:rsid w:val="00A3473A"/>
    <w:rsid w:val="00A3484E"/>
    <w:rsid w:val="00A3554F"/>
    <w:rsid w:val="00A356D3"/>
    <w:rsid w:val="00A36ADA"/>
    <w:rsid w:val="00A37C4D"/>
    <w:rsid w:val="00A40DA0"/>
    <w:rsid w:val="00A420B8"/>
    <w:rsid w:val="00A438D8"/>
    <w:rsid w:val="00A43C59"/>
    <w:rsid w:val="00A473F5"/>
    <w:rsid w:val="00A47D17"/>
    <w:rsid w:val="00A51F9D"/>
    <w:rsid w:val="00A5416A"/>
    <w:rsid w:val="00A54BCA"/>
    <w:rsid w:val="00A56D0E"/>
    <w:rsid w:val="00A575DE"/>
    <w:rsid w:val="00A610C0"/>
    <w:rsid w:val="00A639F4"/>
    <w:rsid w:val="00A64A83"/>
    <w:rsid w:val="00A65864"/>
    <w:rsid w:val="00A65FAE"/>
    <w:rsid w:val="00A66AD5"/>
    <w:rsid w:val="00A676FD"/>
    <w:rsid w:val="00A7437B"/>
    <w:rsid w:val="00A74AF1"/>
    <w:rsid w:val="00A77D91"/>
    <w:rsid w:val="00A77F8B"/>
    <w:rsid w:val="00A81A32"/>
    <w:rsid w:val="00A82D5C"/>
    <w:rsid w:val="00A835BD"/>
    <w:rsid w:val="00A848CF"/>
    <w:rsid w:val="00A91804"/>
    <w:rsid w:val="00A925D7"/>
    <w:rsid w:val="00A97B15"/>
    <w:rsid w:val="00AA01BD"/>
    <w:rsid w:val="00AA0420"/>
    <w:rsid w:val="00AA2559"/>
    <w:rsid w:val="00AA2DD6"/>
    <w:rsid w:val="00AA42D5"/>
    <w:rsid w:val="00AA515D"/>
    <w:rsid w:val="00AA774C"/>
    <w:rsid w:val="00AA7CBE"/>
    <w:rsid w:val="00AB2FAB"/>
    <w:rsid w:val="00AB5C14"/>
    <w:rsid w:val="00AB7DB2"/>
    <w:rsid w:val="00AC057F"/>
    <w:rsid w:val="00AC1EE7"/>
    <w:rsid w:val="00AC3036"/>
    <w:rsid w:val="00AC333F"/>
    <w:rsid w:val="00AC585C"/>
    <w:rsid w:val="00AC6B81"/>
    <w:rsid w:val="00AD13CF"/>
    <w:rsid w:val="00AD1925"/>
    <w:rsid w:val="00AD5C90"/>
    <w:rsid w:val="00AD6924"/>
    <w:rsid w:val="00AE067D"/>
    <w:rsid w:val="00AE11D7"/>
    <w:rsid w:val="00AE5533"/>
    <w:rsid w:val="00AF1181"/>
    <w:rsid w:val="00AF2F79"/>
    <w:rsid w:val="00AF4653"/>
    <w:rsid w:val="00AF4D9F"/>
    <w:rsid w:val="00AF4DEB"/>
    <w:rsid w:val="00AF7DB7"/>
    <w:rsid w:val="00B047B5"/>
    <w:rsid w:val="00B05364"/>
    <w:rsid w:val="00B067F5"/>
    <w:rsid w:val="00B071BF"/>
    <w:rsid w:val="00B10D02"/>
    <w:rsid w:val="00B13BAC"/>
    <w:rsid w:val="00B175A1"/>
    <w:rsid w:val="00B201E2"/>
    <w:rsid w:val="00B21A69"/>
    <w:rsid w:val="00B240CD"/>
    <w:rsid w:val="00B27001"/>
    <w:rsid w:val="00B277D0"/>
    <w:rsid w:val="00B27A58"/>
    <w:rsid w:val="00B30960"/>
    <w:rsid w:val="00B313DA"/>
    <w:rsid w:val="00B3381B"/>
    <w:rsid w:val="00B3480F"/>
    <w:rsid w:val="00B37133"/>
    <w:rsid w:val="00B4226E"/>
    <w:rsid w:val="00B42D23"/>
    <w:rsid w:val="00B443E4"/>
    <w:rsid w:val="00B46BA7"/>
    <w:rsid w:val="00B51646"/>
    <w:rsid w:val="00B5484D"/>
    <w:rsid w:val="00B563EA"/>
    <w:rsid w:val="00B56CDF"/>
    <w:rsid w:val="00B579C8"/>
    <w:rsid w:val="00B60E51"/>
    <w:rsid w:val="00B610FD"/>
    <w:rsid w:val="00B6213C"/>
    <w:rsid w:val="00B6214D"/>
    <w:rsid w:val="00B629C7"/>
    <w:rsid w:val="00B63A54"/>
    <w:rsid w:val="00B67434"/>
    <w:rsid w:val="00B6780F"/>
    <w:rsid w:val="00B71098"/>
    <w:rsid w:val="00B72FB7"/>
    <w:rsid w:val="00B77D18"/>
    <w:rsid w:val="00B818E8"/>
    <w:rsid w:val="00B8313A"/>
    <w:rsid w:val="00B8333B"/>
    <w:rsid w:val="00B85E96"/>
    <w:rsid w:val="00B874A7"/>
    <w:rsid w:val="00B90667"/>
    <w:rsid w:val="00B93503"/>
    <w:rsid w:val="00B93E73"/>
    <w:rsid w:val="00B94FD4"/>
    <w:rsid w:val="00B95C1E"/>
    <w:rsid w:val="00B963C6"/>
    <w:rsid w:val="00B97B12"/>
    <w:rsid w:val="00BA31E8"/>
    <w:rsid w:val="00BA55E0"/>
    <w:rsid w:val="00BA6BD4"/>
    <w:rsid w:val="00BA6C7A"/>
    <w:rsid w:val="00BB17D1"/>
    <w:rsid w:val="00BB36E0"/>
    <w:rsid w:val="00BB3752"/>
    <w:rsid w:val="00BB37C3"/>
    <w:rsid w:val="00BB6688"/>
    <w:rsid w:val="00BB6C2A"/>
    <w:rsid w:val="00BB7568"/>
    <w:rsid w:val="00BB75F2"/>
    <w:rsid w:val="00BC26D4"/>
    <w:rsid w:val="00BC2C9E"/>
    <w:rsid w:val="00BC6281"/>
    <w:rsid w:val="00BC7BEA"/>
    <w:rsid w:val="00BC7BF2"/>
    <w:rsid w:val="00BD088C"/>
    <w:rsid w:val="00BE0C80"/>
    <w:rsid w:val="00BE1360"/>
    <w:rsid w:val="00BE6D0E"/>
    <w:rsid w:val="00BE7B6E"/>
    <w:rsid w:val="00BF2A42"/>
    <w:rsid w:val="00BF44BD"/>
    <w:rsid w:val="00BF6EF3"/>
    <w:rsid w:val="00C018B1"/>
    <w:rsid w:val="00C03A5F"/>
    <w:rsid w:val="00C03D8C"/>
    <w:rsid w:val="00C03FC0"/>
    <w:rsid w:val="00C055EC"/>
    <w:rsid w:val="00C060C5"/>
    <w:rsid w:val="00C106AA"/>
    <w:rsid w:val="00C108A8"/>
    <w:rsid w:val="00C10DC9"/>
    <w:rsid w:val="00C120DA"/>
    <w:rsid w:val="00C12FB3"/>
    <w:rsid w:val="00C17341"/>
    <w:rsid w:val="00C201F1"/>
    <w:rsid w:val="00C211F7"/>
    <w:rsid w:val="00C22500"/>
    <w:rsid w:val="00C24EEF"/>
    <w:rsid w:val="00C251E0"/>
    <w:rsid w:val="00C257E7"/>
    <w:rsid w:val="00C25CF6"/>
    <w:rsid w:val="00C26C36"/>
    <w:rsid w:val="00C32768"/>
    <w:rsid w:val="00C355BA"/>
    <w:rsid w:val="00C35ACC"/>
    <w:rsid w:val="00C374A4"/>
    <w:rsid w:val="00C37551"/>
    <w:rsid w:val="00C37849"/>
    <w:rsid w:val="00C42C51"/>
    <w:rsid w:val="00C431DF"/>
    <w:rsid w:val="00C456BD"/>
    <w:rsid w:val="00C45A9F"/>
    <w:rsid w:val="00C460B3"/>
    <w:rsid w:val="00C46E6B"/>
    <w:rsid w:val="00C50970"/>
    <w:rsid w:val="00C530DC"/>
    <w:rsid w:val="00C5350D"/>
    <w:rsid w:val="00C538FB"/>
    <w:rsid w:val="00C53AA6"/>
    <w:rsid w:val="00C541C7"/>
    <w:rsid w:val="00C552DF"/>
    <w:rsid w:val="00C6049C"/>
    <w:rsid w:val="00C6123C"/>
    <w:rsid w:val="00C6311A"/>
    <w:rsid w:val="00C641B0"/>
    <w:rsid w:val="00C64AEF"/>
    <w:rsid w:val="00C6512C"/>
    <w:rsid w:val="00C65B2A"/>
    <w:rsid w:val="00C67236"/>
    <w:rsid w:val="00C67E36"/>
    <w:rsid w:val="00C7084D"/>
    <w:rsid w:val="00C71A71"/>
    <w:rsid w:val="00C7315E"/>
    <w:rsid w:val="00C73F8D"/>
    <w:rsid w:val="00C74224"/>
    <w:rsid w:val="00C74A1E"/>
    <w:rsid w:val="00C7529C"/>
    <w:rsid w:val="00C75895"/>
    <w:rsid w:val="00C769D1"/>
    <w:rsid w:val="00C81A1B"/>
    <w:rsid w:val="00C83C9F"/>
    <w:rsid w:val="00C86301"/>
    <w:rsid w:val="00C941AC"/>
    <w:rsid w:val="00C94242"/>
    <w:rsid w:val="00C94519"/>
    <w:rsid w:val="00C94840"/>
    <w:rsid w:val="00C951E1"/>
    <w:rsid w:val="00C953F9"/>
    <w:rsid w:val="00C96EF8"/>
    <w:rsid w:val="00CA0C28"/>
    <w:rsid w:val="00CA15B4"/>
    <w:rsid w:val="00CA2644"/>
    <w:rsid w:val="00CA4EE3"/>
    <w:rsid w:val="00CB027F"/>
    <w:rsid w:val="00CB1811"/>
    <w:rsid w:val="00CB1DB9"/>
    <w:rsid w:val="00CC0EBB"/>
    <w:rsid w:val="00CC2288"/>
    <w:rsid w:val="00CC3D7E"/>
    <w:rsid w:val="00CC5ACC"/>
    <w:rsid w:val="00CC6297"/>
    <w:rsid w:val="00CC7144"/>
    <w:rsid w:val="00CC7690"/>
    <w:rsid w:val="00CD1986"/>
    <w:rsid w:val="00CD3BEB"/>
    <w:rsid w:val="00CD3E2B"/>
    <w:rsid w:val="00CD4BA9"/>
    <w:rsid w:val="00CD54BF"/>
    <w:rsid w:val="00CD55C5"/>
    <w:rsid w:val="00CE4D5C"/>
    <w:rsid w:val="00CE7E38"/>
    <w:rsid w:val="00CF05DA"/>
    <w:rsid w:val="00CF58EB"/>
    <w:rsid w:val="00CF6FEC"/>
    <w:rsid w:val="00CF74B2"/>
    <w:rsid w:val="00CF7FE5"/>
    <w:rsid w:val="00D0106E"/>
    <w:rsid w:val="00D01090"/>
    <w:rsid w:val="00D04441"/>
    <w:rsid w:val="00D048A3"/>
    <w:rsid w:val="00D06383"/>
    <w:rsid w:val="00D06518"/>
    <w:rsid w:val="00D06D9C"/>
    <w:rsid w:val="00D07EA1"/>
    <w:rsid w:val="00D118A9"/>
    <w:rsid w:val="00D133FE"/>
    <w:rsid w:val="00D144BE"/>
    <w:rsid w:val="00D14A1D"/>
    <w:rsid w:val="00D14BCF"/>
    <w:rsid w:val="00D14D2E"/>
    <w:rsid w:val="00D15583"/>
    <w:rsid w:val="00D20E85"/>
    <w:rsid w:val="00D24615"/>
    <w:rsid w:val="00D26D3A"/>
    <w:rsid w:val="00D306E8"/>
    <w:rsid w:val="00D316CE"/>
    <w:rsid w:val="00D31924"/>
    <w:rsid w:val="00D32438"/>
    <w:rsid w:val="00D37842"/>
    <w:rsid w:val="00D42DC2"/>
    <w:rsid w:val="00D4302B"/>
    <w:rsid w:val="00D45C72"/>
    <w:rsid w:val="00D45E66"/>
    <w:rsid w:val="00D46B38"/>
    <w:rsid w:val="00D50AC9"/>
    <w:rsid w:val="00D51508"/>
    <w:rsid w:val="00D51A67"/>
    <w:rsid w:val="00D52852"/>
    <w:rsid w:val="00D537E1"/>
    <w:rsid w:val="00D54D27"/>
    <w:rsid w:val="00D55BB2"/>
    <w:rsid w:val="00D577B0"/>
    <w:rsid w:val="00D6091A"/>
    <w:rsid w:val="00D60D9A"/>
    <w:rsid w:val="00D616AD"/>
    <w:rsid w:val="00D61A8F"/>
    <w:rsid w:val="00D624C2"/>
    <w:rsid w:val="00D6605A"/>
    <w:rsid w:val="00D6695F"/>
    <w:rsid w:val="00D75644"/>
    <w:rsid w:val="00D75878"/>
    <w:rsid w:val="00D75B32"/>
    <w:rsid w:val="00D76AC1"/>
    <w:rsid w:val="00D81656"/>
    <w:rsid w:val="00D82352"/>
    <w:rsid w:val="00D83D87"/>
    <w:rsid w:val="00D848F6"/>
    <w:rsid w:val="00D84A6D"/>
    <w:rsid w:val="00D86A30"/>
    <w:rsid w:val="00D87537"/>
    <w:rsid w:val="00D90899"/>
    <w:rsid w:val="00D91CC2"/>
    <w:rsid w:val="00D91FED"/>
    <w:rsid w:val="00D951EB"/>
    <w:rsid w:val="00D97CB4"/>
    <w:rsid w:val="00D97DD4"/>
    <w:rsid w:val="00DA0CF4"/>
    <w:rsid w:val="00DA24C7"/>
    <w:rsid w:val="00DA4696"/>
    <w:rsid w:val="00DA4BDA"/>
    <w:rsid w:val="00DA5A8A"/>
    <w:rsid w:val="00DA7676"/>
    <w:rsid w:val="00DB1170"/>
    <w:rsid w:val="00DB26CD"/>
    <w:rsid w:val="00DB440A"/>
    <w:rsid w:val="00DB441C"/>
    <w:rsid w:val="00DB44AF"/>
    <w:rsid w:val="00DB5F68"/>
    <w:rsid w:val="00DB6946"/>
    <w:rsid w:val="00DB7060"/>
    <w:rsid w:val="00DB7AA2"/>
    <w:rsid w:val="00DC1EE0"/>
    <w:rsid w:val="00DC1F58"/>
    <w:rsid w:val="00DC209B"/>
    <w:rsid w:val="00DC339B"/>
    <w:rsid w:val="00DC4FB1"/>
    <w:rsid w:val="00DC5D40"/>
    <w:rsid w:val="00DC69A7"/>
    <w:rsid w:val="00DD2624"/>
    <w:rsid w:val="00DD30E9"/>
    <w:rsid w:val="00DD3D6F"/>
    <w:rsid w:val="00DD4C0D"/>
    <w:rsid w:val="00DD4F47"/>
    <w:rsid w:val="00DD515A"/>
    <w:rsid w:val="00DD5862"/>
    <w:rsid w:val="00DD7FBB"/>
    <w:rsid w:val="00DE0B9F"/>
    <w:rsid w:val="00DE2A9E"/>
    <w:rsid w:val="00DE3436"/>
    <w:rsid w:val="00DE35EF"/>
    <w:rsid w:val="00DE3B50"/>
    <w:rsid w:val="00DE4238"/>
    <w:rsid w:val="00DE657F"/>
    <w:rsid w:val="00DF1218"/>
    <w:rsid w:val="00DF286C"/>
    <w:rsid w:val="00DF2DA9"/>
    <w:rsid w:val="00DF2FCF"/>
    <w:rsid w:val="00DF37EF"/>
    <w:rsid w:val="00DF4BE8"/>
    <w:rsid w:val="00DF6462"/>
    <w:rsid w:val="00E02FA0"/>
    <w:rsid w:val="00E036DC"/>
    <w:rsid w:val="00E04C61"/>
    <w:rsid w:val="00E07E51"/>
    <w:rsid w:val="00E10454"/>
    <w:rsid w:val="00E112E5"/>
    <w:rsid w:val="00E11558"/>
    <w:rsid w:val="00E11A9E"/>
    <w:rsid w:val="00E122D8"/>
    <w:rsid w:val="00E12CC8"/>
    <w:rsid w:val="00E1390B"/>
    <w:rsid w:val="00E139F6"/>
    <w:rsid w:val="00E151AB"/>
    <w:rsid w:val="00E15352"/>
    <w:rsid w:val="00E172F3"/>
    <w:rsid w:val="00E21CC7"/>
    <w:rsid w:val="00E22F7C"/>
    <w:rsid w:val="00E23BF7"/>
    <w:rsid w:val="00E24034"/>
    <w:rsid w:val="00E24718"/>
    <w:rsid w:val="00E24B20"/>
    <w:rsid w:val="00E24D9E"/>
    <w:rsid w:val="00E25849"/>
    <w:rsid w:val="00E2607F"/>
    <w:rsid w:val="00E267E9"/>
    <w:rsid w:val="00E2701E"/>
    <w:rsid w:val="00E3197E"/>
    <w:rsid w:val="00E32B90"/>
    <w:rsid w:val="00E33F28"/>
    <w:rsid w:val="00E342F8"/>
    <w:rsid w:val="00E351ED"/>
    <w:rsid w:val="00E42B19"/>
    <w:rsid w:val="00E470CB"/>
    <w:rsid w:val="00E477D4"/>
    <w:rsid w:val="00E50456"/>
    <w:rsid w:val="00E517EC"/>
    <w:rsid w:val="00E534A4"/>
    <w:rsid w:val="00E56AF6"/>
    <w:rsid w:val="00E56BDD"/>
    <w:rsid w:val="00E60324"/>
    <w:rsid w:val="00E6034B"/>
    <w:rsid w:val="00E62682"/>
    <w:rsid w:val="00E62A34"/>
    <w:rsid w:val="00E63BFE"/>
    <w:rsid w:val="00E64388"/>
    <w:rsid w:val="00E6549E"/>
    <w:rsid w:val="00E6579A"/>
    <w:rsid w:val="00E65838"/>
    <w:rsid w:val="00E65EDE"/>
    <w:rsid w:val="00E66217"/>
    <w:rsid w:val="00E70E2B"/>
    <w:rsid w:val="00E70F81"/>
    <w:rsid w:val="00E716D2"/>
    <w:rsid w:val="00E71C0A"/>
    <w:rsid w:val="00E77055"/>
    <w:rsid w:val="00E77460"/>
    <w:rsid w:val="00E8177E"/>
    <w:rsid w:val="00E83ABC"/>
    <w:rsid w:val="00E83F6D"/>
    <w:rsid w:val="00E844F2"/>
    <w:rsid w:val="00E87EB3"/>
    <w:rsid w:val="00E87F07"/>
    <w:rsid w:val="00E90AD0"/>
    <w:rsid w:val="00E92120"/>
    <w:rsid w:val="00E921EE"/>
    <w:rsid w:val="00E92FCB"/>
    <w:rsid w:val="00E93577"/>
    <w:rsid w:val="00EA147F"/>
    <w:rsid w:val="00EA1D1C"/>
    <w:rsid w:val="00EA3506"/>
    <w:rsid w:val="00EA4A27"/>
    <w:rsid w:val="00EA4FA6"/>
    <w:rsid w:val="00EA63E7"/>
    <w:rsid w:val="00EA6434"/>
    <w:rsid w:val="00EB1A25"/>
    <w:rsid w:val="00EB47A3"/>
    <w:rsid w:val="00EB5CF7"/>
    <w:rsid w:val="00EC00EF"/>
    <w:rsid w:val="00EC2BF8"/>
    <w:rsid w:val="00EC7363"/>
    <w:rsid w:val="00EC7C17"/>
    <w:rsid w:val="00EC7F48"/>
    <w:rsid w:val="00ED03AB"/>
    <w:rsid w:val="00ED1963"/>
    <w:rsid w:val="00ED1CD4"/>
    <w:rsid w:val="00ED1D2B"/>
    <w:rsid w:val="00ED2EDF"/>
    <w:rsid w:val="00ED35CD"/>
    <w:rsid w:val="00ED5509"/>
    <w:rsid w:val="00ED64B5"/>
    <w:rsid w:val="00ED6E61"/>
    <w:rsid w:val="00EE0EA3"/>
    <w:rsid w:val="00EE249D"/>
    <w:rsid w:val="00EE32EA"/>
    <w:rsid w:val="00EE481E"/>
    <w:rsid w:val="00EE6F16"/>
    <w:rsid w:val="00EE7708"/>
    <w:rsid w:val="00EE7CCA"/>
    <w:rsid w:val="00EF2E28"/>
    <w:rsid w:val="00EF5AAA"/>
    <w:rsid w:val="00F00229"/>
    <w:rsid w:val="00F03CF9"/>
    <w:rsid w:val="00F03E84"/>
    <w:rsid w:val="00F0615D"/>
    <w:rsid w:val="00F06E53"/>
    <w:rsid w:val="00F11436"/>
    <w:rsid w:val="00F128ED"/>
    <w:rsid w:val="00F16A14"/>
    <w:rsid w:val="00F21991"/>
    <w:rsid w:val="00F21F16"/>
    <w:rsid w:val="00F24616"/>
    <w:rsid w:val="00F260BE"/>
    <w:rsid w:val="00F26A8C"/>
    <w:rsid w:val="00F30C0E"/>
    <w:rsid w:val="00F30EEE"/>
    <w:rsid w:val="00F31736"/>
    <w:rsid w:val="00F326BF"/>
    <w:rsid w:val="00F362D7"/>
    <w:rsid w:val="00F37D7B"/>
    <w:rsid w:val="00F40198"/>
    <w:rsid w:val="00F4149C"/>
    <w:rsid w:val="00F423F8"/>
    <w:rsid w:val="00F436B9"/>
    <w:rsid w:val="00F4535A"/>
    <w:rsid w:val="00F4580C"/>
    <w:rsid w:val="00F51E7E"/>
    <w:rsid w:val="00F527E5"/>
    <w:rsid w:val="00F5314C"/>
    <w:rsid w:val="00F5475F"/>
    <w:rsid w:val="00F5688C"/>
    <w:rsid w:val="00F60048"/>
    <w:rsid w:val="00F635DD"/>
    <w:rsid w:val="00F6391F"/>
    <w:rsid w:val="00F63DA9"/>
    <w:rsid w:val="00F6627B"/>
    <w:rsid w:val="00F67963"/>
    <w:rsid w:val="00F73114"/>
    <w:rsid w:val="00F7336E"/>
    <w:rsid w:val="00F734F2"/>
    <w:rsid w:val="00F75052"/>
    <w:rsid w:val="00F804D3"/>
    <w:rsid w:val="00F816CB"/>
    <w:rsid w:val="00F81CD2"/>
    <w:rsid w:val="00F82641"/>
    <w:rsid w:val="00F90F18"/>
    <w:rsid w:val="00F91A18"/>
    <w:rsid w:val="00F937E4"/>
    <w:rsid w:val="00F944E1"/>
    <w:rsid w:val="00F95EE7"/>
    <w:rsid w:val="00F9633B"/>
    <w:rsid w:val="00FA3245"/>
    <w:rsid w:val="00FA39E6"/>
    <w:rsid w:val="00FA437A"/>
    <w:rsid w:val="00FA5FD2"/>
    <w:rsid w:val="00FA7BC9"/>
    <w:rsid w:val="00FB378E"/>
    <w:rsid w:val="00FB37F1"/>
    <w:rsid w:val="00FB3951"/>
    <w:rsid w:val="00FB42FA"/>
    <w:rsid w:val="00FB47C0"/>
    <w:rsid w:val="00FB501B"/>
    <w:rsid w:val="00FB719A"/>
    <w:rsid w:val="00FB7770"/>
    <w:rsid w:val="00FB7C7B"/>
    <w:rsid w:val="00FC34B8"/>
    <w:rsid w:val="00FC3E97"/>
    <w:rsid w:val="00FC426B"/>
    <w:rsid w:val="00FD1109"/>
    <w:rsid w:val="00FD284E"/>
    <w:rsid w:val="00FD29C5"/>
    <w:rsid w:val="00FD3B91"/>
    <w:rsid w:val="00FD3C63"/>
    <w:rsid w:val="00FD4000"/>
    <w:rsid w:val="00FD521E"/>
    <w:rsid w:val="00FD576B"/>
    <w:rsid w:val="00FD579E"/>
    <w:rsid w:val="00FD6845"/>
    <w:rsid w:val="00FE2970"/>
    <w:rsid w:val="00FE4516"/>
    <w:rsid w:val="00FE6083"/>
    <w:rsid w:val="00FE64C8"/>
    <w:rsid w:val="00FE76FA"/>
    <w:rsid w:val="00FE7B29"/>
    <w:rsid w:val="00FF4323"/>
    <w:rsid w:val="00FF4489"/>
    <w:rsid w:val="00FF78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6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ind w:left="2041"/>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62CC6"/>
    <w:pPr>
      <w:snapToGrid w:val="0"/>
      <w:jc w:val="left"/>
    </w:pPr>
    <w:rPr>
      <w:sz w:val="20"/>
    </w:rPr>
  </w:style>
  <w:style w:type="character" w:customStyle="1" w:styleId="afd">
    <w:name w:val="註腳文字 字元"/>
    <w:basedOn w:val="a7"/>
    <w:link w:val="afc"/>
    <w:uiPriority w:val="99"/>
    <w:semiHidden/>
    <w:rsid w:val="00662CC6"/>
    <w:rPr>
      <w:rFonts w:ascii="標楷體" w:eastAsia="標楷體"/>
      <w:kern w:val="2"/>
    </w:rPr>
  </w:style>
  <w:style w:type="character" w:styleId="afe">
    <w:name w:val="footnote reference"/>
    <w:basedOn w:val="a7"/>
    <w:uiPriority w:val="99"/>
    <w:semiHidden/>
    <w:unhideWhenUsed/>
    <w:rsid w:val="00662CC6"/>
    <w:rPr>
      <w:vertAlign w:val="superscript"/>
    </w:rPr>
  </w:style>
  <w:style w:type="paragraph" w:styleId="aff">
    <w:name w:val="Body Text"/>
    <w:basedOn w:val="a6"/>
    <w:link w:val="aff0"/>
    <w:uiPriority w:val="99"/>
    <w:semiHidden/>
    <w:unhideWhenUsed/>
    <w:rsid w:val="00C374A4"/>
    <w:pPr>
      <w:spacing w:after="120"/>
    </w:pPr>
  </w:style>
  <w:style w:type="character" w:customStyle="1" w:styleId="aff0">
    <w:name w:val="本文 字元"/>
    <w:basedOn w:val="a7"/>
    <w:link w:val="aff"/>
    <w:uiPriority w:val="99"/>
    <w:semiHidden/>
    <w:rsid w:val="00C374A4"/>
    <w:rPr>
      <w:rFonts w:ascii="標楷體" w:eastAsia="標楷體"/>
      <w:kern w:val="2"/>
      <w:sz w:val="32"/>
    </w:rPr>
  </w:style>
  <w:style w:type="paragraph" w:styleId="HTML">
    <w:name w:val="HTML Preformatted"/>
    <w:basedOn w:val="a6"/>
    <w:link w:val="HTML0"/>
    <w:uiPriority w:val="99"/>
    <w:semiHidden/>
    <w:unhideWhenUsed/>
    <w:rsid w:val="0007589D"/>
    <w:rPr>
      <w:rFonts w:ascii="Courier New" w:hAnsi="Courier New" w:cs="Courier New"/>
      <w:sz w:val="20"/>
    </w:rPr>
  </w:style>
  <w:style w:type="character" w:customStyle="1" w:styleId="HTML0">
    <w:name w:val="HTML 預設格式 字元"/>
    <w:basedOn w:val="a7"/>
    <w:link w:val="HTML"/>
    <w:uiPriority w:val="99"/>
    <w:semiHidden/>
    <w:rsid w:val="0007589D"/>
    <w:rPr>
      <w:rFonts w:ascii="Courier New" w:eastAsia="標楷體" w:hAnsi="Courier New" w:cs="Courier New"/>
      <w:kern w:val="2"/>
    </w:rPr>
  </w:style>
  <w:style w:type="character" w:customStyle="1" w:styleId="30">
    <w:name w:val="標題 3 字元"/>
    <w:basedOn w:val="a7"/>
    <w:link w:val="3"/>
    <w:rsid w:val="005916A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69325110">
      <w:bodyDiv w:val="1"/>
      <w:marLeft w:val="0"/>
      <w:marRight w:val="0"/>
      <w:marTop w:val="0"/>
      <w:marBottom w:val="0"/>
      <w:divBdr>
        <w:top w:val="none" w:sz="0" w:space="0" w:color="auto"/>
        <w:left w:val="none" w:sz="0" w:space="0" w:color="auto"/>
        <w:bottom w:val="none" w:sz="0" w:space="0" w:color="auto"/>
        <w:right w:val="none" w:sz="0" w:space="0" w:color="auto"/>
      </w:divBdr>
    </w:div>
    <w:div w:id="1577323693">
      <w:bodyDiv w:val="1"/>
      <w:marLeft w:val="0"/>
      <w:marRight w:val="0"/>
      <w:marTop w:val="0"/>
      <w:marBottom w:val="0"/>
      <w:divBdr>
        <w:top w:val="none" w:sz="0" w:space="0" w:color="auto"/>
        <w:left w:val="none" w:sz="0" w:space="0" w:color="auto"/>
        <w:bottom w:val="none" w:sz="0" w:space="0" w:color="auto"/>
        <w:right w:val="none" w:sz="0" w:space="0" w:color="auto"/>
      </w:divBdr>
    </w:div>
    <w:div w:id="18203397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09B7-71DF-4ED2-AAFE-9220D3DA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2022-10-14T03:55:00Z</dcterms:created>
  <dcterms:modified xsi:type="dcterms:W3CDTF">2022-10-17T11:45:00Z</dcterms:modified>
  <cp:contentStatus/>
</cp:coreProperties>
</file>