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11014">
      <w:pPr>
        <w:pStyle w:val="a5"/>
        <w:kinsoku w:val="0"/>
        <w:spacing w:before="0"/>
        <w:ind w:leftChars="700" w:left="2381" w:firstLine="0"/>
        <w:rPr>
          <w:rFonts w:hint="eastAsia"/>
          <w:bCs/>
          <w:snapToGrid/>
          <w:color w:val="000000"/>
          <w:kern w:val="0"/>
          <w:sz w:val="40"/>
        </w:rPr>
      </w:pPr>
      <w:r>
        <w:rPr>
          <w:rFonts w:hint="eastAsia"/>
          <w:bCs/>
          <w:snapToGrid/>
          <w:color w:val="000000"/>
          <w:spacing w:val="200"/>
          <w:kern w:val="0"/>
          <w:sz w:val="40"/>
        </w:rPr>
        <w:t>糾正案文</w:t>
      </w:r>
    </w:p>
    <w:p w:rsidR="00000000" w:rsidRDefault="00C11014">
      <w:pPr>
        <w:pStyle w:val="1"/>
        <w:ind w:left="2721" w:hanging="2721"/>
        <w:rPr>
          <w:rFonts w:hint="eastAsia"/>
          <w:color w:val="000000"/>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color w:val="000000"/>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Ansi="標楷體" w:hint="eastAsia"/>
          <w:noProof/>
        </w:rPr>
        <w:t>嘉義縣溪口鄉公所</w:t>
      </w:r>
      <w:r>
        <w:rPr>
          <w:rFonts w:hint="eastAsia"/>
          <w:color w:val="000000"/>
        </w:rPr>
        <w:t>。</w:t>
      </w:r>
    </w:p>
    <w:p w:rsidR="00000000" w:rsidRDefault="00C11014">
      <w:pPr>
        <w:pStyle w:val="1"/>
        <w:ind w:left="2721" w:hanging="2721"/>
        <w:rPr>
          <w:rFonts w:hint="eastAsia"/>
          <w:color w:val="000000"/>
        </w:rPr>
      </w:pPr>
      <w:bookmarkStart w:id="14" w:name="_Toc529218255"/>
      <w:bookmarkStart w:id="15" w:name="_Toc529222678"/>
      <w:bookmarkStart w:id="16" w:name="_Toc529223100"/>
      <w:bookmarkStart w:id="17" w:name="_Toc529223851"/>
      <w:bookmarkStart w:id="18" w:name="_Toc529228247"/>
      <w:r>
        <w:rPr>
          <w:rFonts w:hint="eastAsia"/>
          <w:color w:val="000000"/>
        </w:rPr>
        <w:t>案　　　由：</w:t>
      </w:r>
      <w:bookmarkEnd w:id="14"/>
      <w:bookmarkEnd w:id="15"/>
      <w:bookmarkEnd w:id="16"/>
      <w:bookmarkEnd w:id="17"/>
      <w:bookmarkEnd w:id="18"/>
      <w:r>
        <w:rPr>
          <w:rFonts w:hAnsi="標楷體" w:hint="eastAsia"/>
        </w:rPr>
        <w:t>嘉義縣溪口鄉公所辦理「溪口鄉</w:t>
      </w:r>
      <w:proofErr w:type="gramStart"/>
      <w:r>
        <w:rPr>
          <w:rFonts w:hAnsi="標楷體" w:hint="eastAsia"/>
        </w:rPr>
        <w:t>游厝</w:t>
      </w:r>
      <w:proofErr w:type="gramEnd"/>
      <w:r>
        <w:rPr>
          <w:rFonts w:hAnsi="標楷體" w:hint="eastAsia"/>
        </w:rPr>
        <w:t>休閒運動園區計畫工程」、「溪口鄉公（兒）四開闢（第一期）工程」及「坪頂中排改善工程」之採購</w:t>
      </w:r>
      <w:r>
        <w:rPr>
          <w:rFonts w:hint="eastAsia"/>
          <w:color w:val="000000"/>
        </w:rPr>
        <w:t>，未能依</w:t>
      </w:r>
      <w:proofErr w:type="gramStart"/>
      <w:r>
        <w:rPr>
          <w:rFonts w:hint="eastAsia"/>
          <w:color w:val="000000"/>
        </w:rPr>
        <w:t>政府採購法妥處</w:t>
      </w:r>
      <w:proofErr w:type="gramEnd"/>
      <w:r>
        <w:rPr>
          <w:rFonts w:hint="eastAsia"/>
          <w:color w:val="000000"/>
        </w:rPr>
        <w:t>，且其</w:t>
      </w:r>
      <w:r>
        <w:rPr>
          <w:rFonts w:hint="eastAsia"/>
        </w:rPr>
        <w:t>測設監造服務採購事宜，亦有諸多疏失，</w:t>
      </w:r>
      <w:proofErr w:type="gramStart"/>
      <w:r>
        <w:rPr>
          <w:rFonts w:hint="eastAsia"/>
          <w:color w:val="000000"/>
          <w:kern w:val="2"/>
        </w:rPr>
        <w:t>均</w:t>
      </w:r>
      <w:r>
        <w:rPr>
          <w:rFonts w:hint="eastAsia"/>
          <w:color w:val="000000"/>
        </w:rPr>
        <w:t>核有</w:t>
      </w:r>
      <w:proofErr w:type="gramEnd"/>
      <w:r>
        <w:rPr>
          <w:rFonts w:hint="eastAsia"/>
          <w:color w:val="000000"/>
        </w:rPr>
        <w:t>違失</w:t>
      </w:r>
      <w:r>
        <w:rPr>
          <w:rFonts w:hint="eastAsia"/>
          <w:noProof/>
          <w:color w:val="000000"/>
        </w:rPr>
        <w:t>。</w:t>
      </w:r>
    </w:p>
    <w:p w:rsidR="00000000" w:rsidRDefault="00C11014">
      <w:pPr>
        <w:pStyle w:val="1"/>
        <w:ind w:left="2381" w:hangingChars="700" w:hanging="2381"/>
        <w:rPr>
          <w:rFonts w:hint="eastAsia"/>
          <w:color w:val="000000"/>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color w:val="000000"/>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000000" w:rsidRDefault="00C11014">
      <w:pPr>
        <w:pStyle w:val="11"/>
        <w:ind w:left="680" w:firstLine="680"/>
        <w:rPr>
          <w:rFonts w:hint="eastAsia"/>
          <w:bCs/>
          <w:color w:val="000000"/>
        </w:rPr>
      </w:pPr>
      <w:r>
        <w:rPr>
          <w:rFonts w:hAnsi="標楷體" w:hint="eastAsia"/>
          <w:bCs/>
        </w:rPr>
        <w:t>本案係審計</w:t>
      </w:r>
      <w:r>
        <w:rPr>
          <w:rFonts w:hAnsi="標楷體" w:hint="eastAsia"/>
        </w:rPr>
        <w:t>部</w:t>
      </w:r>
      <w:r>
        <w:rPr>
          <w:rFonts w:hAnsi="標楷體" w:hint="eastAsia"/>
          <w:szCs w:val="32"/>
        </w:rPr>
        <w:t>臺灣省嘉義縣審</w:t>
      </w:r>
      <w:r>
        <w:rPr>
          <w:rFonts w:hAnsi="標楷體"/>
          <w:szCs w:val="32"/>
        </w:rPr>
        <w:t>計室</w:t>
      </w:r>
      <w:r>
        <w:rPr>
          <w:rFonts w:hAnsi="標楷體" w:hint="eastAsia"/>
          <w:szCs w:val="32"/>
        </w:rPr>
        <w:t>（下稱審計部）</w:t>
      </w:r>
      <w:r>
        <w:rPr>
          <w:rFonts w:hAnsi="標楷體" w:cs="Arial" w:hint="eastAsia"/>
          <w:szCs w:val="32"/>
        </w:rPr>
        <w:t>派員稽查</w:t>
      </w:r>
      <w:r>
        <w:rPr>
          <w:rFonts w:hAnsi="標楷體" w:hint="eastAsia"/>
          <w:noProof/>
        </w:rPr>
        <w:t>嘉義縣溪口鄉公所</w:t>
      </w:r>
      <w:r>
        <w:rPr>
          <w:rFonts w:hAnsi="標楷體" w:hint="eastAsia"/>
        </w:rPr>
        <w:t>辦理「溪口鄉</w:t>
      </w:r>
      <w:proofErr w:type="gramStart"/>
      <w:r>
        <w:rPr>
          <w:rFonts w:hAnsi="標楷體" w:hint="eastAsia"/>
        </w:rPr>
        <w:t>游厝</w:t>
      </w:r>
      <w:proofErr w:type="gramEnd"/>
      <w:r>
        <w:rPr>
          <w:rFonts w:hAnsi="標楷體" w:hint="eastAsia"/>
        </w:rPr>
        <w:t>休閒運動園區計畫工程」，據報涉有財務上不法之行為</w:t>
      </w:r>
      <w:r>
        <w:rPr>
          <w:rFonts w:hAnsi="標楷體" w:hint="eastAsia"/>
          <w:bCs/>
        </w:rPr>
        <w:t>，</w:t>
      </w:r>
      <w:proofErr w:type="gramStart"/>
      <w:r>
        <w:rPr>
          <w:rFonts w:hAnsi="標楷體" w:hint="eastAsia"/>
        </w:rPr>
        <w:t>嗣</w:t>
      </w:r>
      <w:proofErr w:type="gramEnd"/>
      <w:r>
        <w:rPr>
          <w:rFonts w:hAnsi="標楷體" w:hint="eastAsia"/>
          <w:bCs/>
        </w:rPr>
        <w:t>由值日委員核批調查</w:t>
      </w:r>
      <w:r>
        <w:rPr>
          <w:rFonts w:hint="eastAsia"/>
          <w:bCs/>
        </w:rPr>
        <w:t>。</w:t>
      </w:r>
      <w:r>
        <w:rPr>
          <w:rFonts w:hAnsi="Arial" w:hint="eastAsia"/>
          <w:bCs/>
          <w:noProof/>
          <w:szCs w:val="52"/>
        </w:rPr>
        <w:t>案</w:t>
      </w:r>
      <w:r>
        <w:rPr>
          <w:rFonts w:hAnsi="標楷體" w:hint="eastAsia"/>
          <w:bCs/>
        </w:rPr>
        <w:t>經調</w:t>
      </w:r>
      <w:proofErr w:type="gramStart"/>
      <w:r>
        <w:rPr>
          <w:rFonts w:hAnsi="標楷體" w:hint="eastAsia"/>
          <w:bCs/>
        </w:rPr>
        <w:t>卷</w:t>
      </w:r>
      <w:r>
        <w:rPr>
          <w:rFonts w:hint="eastAsia"/>
          <w:bCs/>
        </w:rPr>
        <w:t>暨約詢</w:t>
      </w:r>
      <w:proofErr w:type="gramEnd"/>
      <w:r>
        <w:rPr>
          <w:rFonts w:hint="eastAsia"/>
          <w:bCs/>
        </w:rPr>
        <w:t>相關人員以</w:t>
      </w:r>
      <w:proofErr w:type="gramStart"/>
      <w:r>
        <w:rPr>
          <w:rFonts w:hint="eastAsia"/>
          <w:bCs/>
        </w:rPr>
        <w:t>釐</w:t>
      </w:r>
      <w:proofErr w:type="gramEnd"/>
      <w:r>
        <w:rPr>
          <w:rFonts w:hint="eastAsia"/>
          <w:bCs/>
        </w:rPr>
        <w:t>清案情，</w:t>
      </w:r>
      <w:r>
        <w:rPr>
          <w:rFonts w:hint="eastAsia"/>
        </w:rPr>
        <w:t>茲就本案調查發現之行政違失</w:t>
      </w:r>
      <w:proofErr w:type="gramStart"/>
      <w:r>
        <w:rPr>
          <w:rFonts w:hint="eastAsia"/>
        </w:rPr>
        <w:t>臚列如</w:t>
      </w:r>
      <w:proofErr w:type="gramEnd"/>
      <w:r>
        <w:rPr>
          <w:rFonts w:hint="eastAsia"/>
        </w:rPr>
        <w:t>下</w:t>
      </w:r>
      <w:r>
        <w:rPr>
          <w:rFonts w:hint="eastAsia"/>
          <w:bCs/>
        </w:rPr>
        <w:t>：</w:t>
      </w:r>
    </w:p>
    <w:p w:rsidR="00000000" w:rsidRDefault="00C11014">
      <w:pPr>
        <w:pStyle w:val="2"/>
        <w:ind w:left="1020" w:hanging="680"/>
        <w:rPr>
          <w:rFonts w:hAnsi="標楷體" w:hint="eastAsia"/>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bookmarkStart w:id="43" w:name="_Toc529222689"/>
      <w:bookmarkStart w:id="44" w:name="_Toc529223111"/>
      <w:bookmarkStart w:id="45" w:name="_Toc529223862"/>
      <w:bookmarkStart w:id="46" w:name="_Toc529228265"/>
      <w:r>
        <w:rPr>
          <w:rFonts w:hAnsi="標楷體" w:hint="eastAsia"/>
        </w:rPr>
        <w:t>嘉義縣溪口鄉公所</w:t>
      </w:r>
      <w:r>
        <w:rPr>
          <w:rFonts w:hAnsi="標楷體" w:hint="eastAsia"/>
        </w:rPr>
        <w:t>辦理「溪口鄉</w:t>
      </w:r>
      <w:proofErr w:type="gramStart"/>
      <w:r>
        <w:rPr>
          <w:rFonts w:hAnsi="標楷體" w:hint="eastAsia"/>
        </w:rPr>
        <w:t>游厝</w:t>
      </w:r>
      <w:proofErr w:type="gramEnd"/>
      <w:r>
        <w:rPr>
          <w:rFonts w:hAnsi="標楷體" w:hint="eastAsia"/>
        </w:rPr>
        <w:t>休閒運動園區計畫工程」、「溪口鄉公（兒）四開闢（第一期）工程」及「坪頂中排改善工程」之採購，對有足以影響採購公正之違法及不當行為，未能即時因應及</w:t>
      </w:r>
      <w:proofErr w:type="gramStart"/>
      <w:r>
        <w:rPr>
          <w:rFonts w:hAnsi="標楷體" w:hint="eastAsia"/>
        </w:rPr>
        <w:t>事後妥處，皆核</w:t>
      </w:r>
      <w:proofErr w:type="gramEnd"/>
      <w:r>
        <w:rPr>
          <w:rFonts w:hAnsi="標楷體" w:hint="eastAsia"/>
        </w:rPr>
        <w:t>有違失。</w:t>
      </w:r>
    </w:p>
    <w:p w:rsidR="00000000" w:rsidRDefault="00C11014">
      <w:pPr>
        <w:pStyle w:val="3"/>
        <w:rPr>
          <w:rFonts w:hint="eastAsia"/>
        </w:rPr>
      </w:pPr>
      <w:r>
        <w:rPr>
          <w:rFonts w:hint="eastAsia"/>
        </w:rPr>
        <w:t>據政府採購法第</w:t>
      </w:r>
      <w:r>
        <w:rPr>
          <w:rFonts w:hint="eastAsia"/>
        </w:rPr>
        <w:t>48</w:t>
      </w:r>
      <w:r>
        <w:rPr>
          <w:rFonts w:hint="eastAsia"/>
        </w:rPr>
        <w:t>條第</w:t>
      </w:r>
      <w:r>
        <w:rPr>
          <w:rFonts w:hint="eastAsia"/>
        </w:rPr>
        <w:t>1</w:t>
      </w:r>
      <w:r>
        <w:rPr>
          <w:rFonts w:hint="eastAsia"/>
        </w:rPr>
        <w:t>項，機關依本法規定辦理招標，除有下列情形之</w:t>
      </w:r>
      <w:proofErr w:type="gramStart"/>
      <w:r>
        <w:rPr>
          <w:rFonts w:hint="eastAsia"/>
        </w:rPr>
        <w:t>一</w:t>
      </w:r>
      <w:proofErr w:type="gramEnd"/>
      <w:r>
        <w:rPr>
          <w:rFonts w:hint="eastAsia"/>
        </w:rPr>
        <w:t>不予開標</w:t>
      </w:r>
      <w:proofErr w:type="gramStart"/>
      <w:r>
        <w:rPr>
          <w:rFonts w:hint="eastAsia"/>
        </w:rPr>
        <w:t>決標外</w:t>
      </w:r>
      <w:proofErr w:type="gramEnd"/>
      <w:r>
        <w:rPr>
          <w:rFonts w:hint="eastAsia"/>
        </w:rPr>
        <w:t>…</w:t>
      </w:r>
      <w:proofErr w:type="gramStart"/>
      <w:r>
        <w:rPr>
          <w:rFonts w:hint="eastAsia"/>
        </w:rPr>
        <w:t>…</w:t>
      </w:r>
      <w:proofErr w:type="gramEnd"/>
      <w:r>
        <w:rPr>
          <w:rFonts w:hint="eastAsia"/>
        </w:rPr>
        <w:t>二、發現有足以影響採購公正之違法或不當行為者…</w:t>
      </w:r>
      <w:proofErr w:type="gramStart"/>
      <w:r>
        <w:rPr>
          <w:rFonts w:hint="eastAsia"/>
        </w:rPr>
        <w:t>…</w:t>
      </w:r>
      <w:proofErr w:type="gramEnd"/>
      <w:r>
        <w:rPr>
          <w:rFonts w:hint="eastAsia"/>
        </w:rPr>
        <w:t>及同法第</w:t>
      </w:r>
      <w:r>
        <w:rPr>
          <w:rFonts w:hint="eastAsia"/>
        </w:rPr>
        <w:t>50</w:t>
      </w:r>
      <w:r>
        <w:rPr>
          <w:rFonts w:hint="eastAsia"/>
        </w:rPr>
        <w:t>條，投標廠商有下列情形之一，經機關於開標前發現者，其所投之標應不予開標；於開標後發現者，應不</w:t>
      </w:r>
      <w:proofErr w:type="gramStart"/>
      <w:r>
        <w:rPr>
          <w:rFonts w:hint="eastAsia"/>
        </w:rPr>
        <w:t>決標予該</w:t>
      </w:r>
      <w:proofErr w:type="gramEnd"/>
      <w:r>
        <w:rPr>
          <w:rFonts w:hint="eastAsia"/>
        </w:rPr>
        <w:t>廠商…</w:t>
      </w:r>
      <w:proofErr w:type="gramStart"/>
      <w:r>
        <w:rPr>
          <w:rFonts w:hint="eastAsia"/>
        </w:rPr>
        <w:t>…</w:t>
      </w:r>
      <w:proofErr w:type="gramEnd"/>
      <w:r>
        <w:rPr>
          <w:rFonts w:hint="eastAsia"/>
        </w:rPr>
        <w:t>五、不同投標廠商間之投標文件內容有重大異常關聯者…</w:t>
      </w:r>
      <w:proofErr w:type="gramStart"/>
      <w:r>
        <w:rPr>
          <w:rFonts w:hint="eastAsia"/>
        </w:rPr>
        <w:t>…</w:t>
      </w:r>
      <w:proofErr w:type="gramEnd"/>
      <w:r>
        <w:rPr>
          <w:rFonts w:hint="eastAsia"/>
        </w:rPr>
        <w:t>決標或簽約後發現得標廠</w:t>
      </w:r>
      <w:r>
        <w:rPr>
          <w:rFonts w:hint="eastAsia"/>
        </w:rPr>
        <w:t>商於決標前有前項情形者，應撤銷決標、終止契約或解除契約，並得追償損失。又據</w:t>
      </w:r>
      <w:r>
        <w:rPr>
          <w:rFonts w:hint="eastAsia"/>
          <w:szCs w:val="32"/>
        </w:rPr>
        <w:t>政府採購行為錯誤態樣第</w:t>
      </w:r>
      <w:r>
        <w:rPr>
          <w:rFonts w:hint="eastAsia"/>
          <w:szCs w:val="32"/>
        </w:rPr>
        <w:t>11</w:t>
      </w:r>
      <w:r>
        <w:rPr>
          <w:rFonts w:hint="eastAsia"/>
          <w:szCs w:val="32"/>
        </w:rPr>
        <w:t>點</w:t>
      </w:r>
      <w:r>
        <w:rPr>
          <w:rFonts w:hint="eastAsia"/>
          <w:szCs w:val="32"/>
        </w:rPr>
        <w:lastRenderedPageBreak/>
        <w:t>第</w:t>
      </w:r>
      <w:r>
        <w:rPr>
          <w:rFonts w:hint="eastAsia"/>
          <w:szCs w:val="32"/>
        </w:rPr>
        <w:t>3</w:t>
      </w:r>
      <w:r>
        <w:rPr>
          <w:rFonts w:hint="eastAsia"/>
          <w:szCs w:val="32"/>
        </w:rPr>
        <w:t>款</w:t>
      </w:r>
      <w:r>
        <w:rPr>
          <w:szCs w:val="32"/>
        </w:rPr>
        <w:t>：</w:t>
      </w:r>
      <w:r>
        <w:rPr>
          <w:rFonts w:hint="eastAsia"/>
        </w:rPr>
        <w:t>投標文件筆跡雷同；</w:t>
      </w:r>
      <w:r>
        <w:rPr>
          <w:rFonts w:hint="eastAsia"/>
          <w:szCs w:val="32"/>
        </w:rPr>
        <w:t>第</w:t>
      </w:r>
      <w:r>
        <w:rPr>
          <w:rFonts w:hint="eastAsia"/>
          <w:szCs w:val="32"/>
        </w:rPr>
        <w:t>9</w:t>
      </w:r>
      <w:r>
        <w:rPr>
          <w:rFonts w:hint="eastAsia"/>
          <w:szCs w:val="32"/>
        </w:rPr>
        <w:t>款：</w:t>
      </w:r>
      <w:r>
        <w:rPr>
          <w:rFonts w:hint="eastAsia"/>
        </w:rPr>
        <w:t>廠</w:t>
      </w:r>
      <w:proofErr w:type="gramStart"/>
      <w:r>
        <w:rPr>
          <w:rFonts w:hint="eastAsia"/>
        </w:rPr>
        <w:t>商標封內為</w:t>
      </w:r>
      <w:proofErr w:type="gramEnd"/>
      <w:r>
        <w:rPr>
          <w:rFonts w:hint="eastAsia"/>
        </w:rPr>
        <w:t>空白文件、無關文件或空無一物；第</w:t>
      </w:r>
      <w:r>
        <w:rPr>
          <w:rFonts w:hint="eastAsia"/>
        </w:rPr>
        <w:t>10</w:t>
      </w:r>
      <w:r>
        <w:rPr>
          <w:rFonts w:hint="eastAsia"/>
        </w:rPr>
        <w:t>款：明顯不符合資格條件之廠商參與投標等眾多異常情形，可能有圍標之</w:t>
      </w:r>
      <w:proofErr w:type="gramStart"/>
      <w:r>
        <w:rPr>
          <w:rFonts w:hint="eastAsia"/>
        </w:rPr>
        <w:t>嫌或宜注意</w:t>
      </w:r>
      <w:proofErr w:type="gramEnd"/>
      <w:r>
        <w:rPr>
          <w:rFonts w:hint="eastAsia"/>
        </w:rPr>
        <w:t>之現象。由上開法令規定可知，對有足以影響採購公正之違法及不當或投標</w:t>
      </w:r>
      <w:proofErr w:type="gramStart"/>
      <w:r>
        <w:rPr>
          <w:rFonts w:hint="eastAsia"/>
        </w:rPr>
        <w:t>廠商間有重大</w:t>
      </w:r>
      <w:proofErr w:type="gramEnd"/>
      <w:r>
        <w:rPr>
          <w:rFonts w:hint="eastAsia"/>
        </w:rPr>
        <w:t>異常關聯之圍標行為，皆應依</w:t>
      </w:r>
      <w:proofErr w:type="gramStart"/>
      <w:r>
        <w:rPr>
          <w:rFonts w:hint="eastAsia"/>
        </w:rPr>
        <w:t>規定妥處</w:t>
      </w:r>
      <w:proofErr w:type="gramEnd"/>
      <w:r>
        <w:rPr>
          <w:rFonts w:hint="eastAsia"/>
        </w:rPr>
        <w:t>。</w:t>
      </w:r>
    </w:p>
    <w:p w:rsidR="00000000" w:rsidRDefault="00C11014">
      <w:pPr>
        <w:pStyle w:val="3"/>
        <w:rPr>
          <w:rFonts w:hAnsi="標楷體" w:hint="eastAsia"/>
        </w:rPr>
      </w:pPr>
      <w:r>
        <w:rPr>
          <w:rFonts w:hAnsi="標楷體" w:hint="eastAsia"/>
        </w:rPr>
        <w:t>查「溪口鄉</w:t>
      </w:r>
      <w:proofErr w:type="gramStart"/>
      <w:r>
        <w:rPr>
          <w:rFonts w:hAnsi="標楷體" w:hint="eastAsia"/>
        </w:rPr>
        <w:t>游厝</w:t>
      </w:r>
      <w:proofErr w:type="gramEnd"/>
      <w:r>
        <w:rPr>
          <w:rFonts w:hAnsi="標楷體" w:hint="eastAsia"/>
        </w:rPr>
        <w:t>休閒運動園區計畫工程」於</w:t>
      </w:r>
      <w:r>
        <w:rPr>
          <w:rFonts w:hAnsi="標楷體" w:hint="eastAsia"/>
        </w:rPr>
        <w:t>94</w:t>
      </w:r>
      <w:r>
        <w:rPr>
          <w:rFonts w:hAnsi="標楷體" w:hint="eastAsia"/>
        </w:rPr>
        <w:t>年</w:t>
      </w:r>
      <w:r>
        <w:rPr>
          <w:rFonts w:hAnsi="標楷體" w:hint="eastAsia"/>
        </w:rPr>
        <w:t>11</w:t>
      </w:r>
      <w:r>
        <w:rPr>
          <w:rFonts w:hAnsi="標楷體" w:hint="eastAsia"/>
        </w:rPr>
        <w:t>月</w:t>
      </w:r>
      <w:r>
        <w:rPr>
          <w:rFonts w:hAnsi="標楷體" w:hint="eastAsia"/>
        </w:rPr>
        <w:t>24</w:t>
      </w:r>
      <w:r>
        <w:rPr>
          <w:rFonts w:hAnsi="標楷體" w:hint="eastAsia"/>
        </w:rPr>
        <w:t>日刊登於政府採購公報，開標日期為同年</w:t>
      </w:r>
      <w:r>
        <w:rPr>
          <w:rFonts w:hAnsi="標楷體" w:hint="eastAsia"/>
        </w:rPr>
        <w:t>12</w:t>
      </w:r>
      <w:r>
        <w:rPr>
          <w:rFonts w:hAnsi="標楷體" w:hint="eastAsia"/>
        </w:rPr>
        <w:t>月</w:t>
      </w:r>
      <w:r>
        <w:rPr>
          <w:rFonts w:hAnsi="標楷體" w:hint="eastAsia"/>
        </w:rPr>
        <w:t>12</w:t>
      </w:r>
      <w:r>
        <w:rPr>
          <w:rFonts w:hAnsi="標楷體" w:hint="eastAsia"/>
        </w:rPr>
        <w:t>日，分兩階段開標，計有</w:t>
      </w:r>
      <w:r>
        <w:rPr>
          <w:rFonts w:hAnsi="標楷體" w:hint="eastAsia"/>
        </w:rPr>
        <w:t>11</w:t>
      </w:r>
      <w:r>
        <w:rPr>
          <w:rFonts w:hAnsi="標楷體" w:hint="eastAsia"/>
        </w:rPr>
        <w:t>家廠商投標，</w:t>
      </w:r>
      <w:r>
        <w:rPr>
          <w:rFonts w:hAnsi="標楷體" w:hint="eastAsia"/>
        </w:rPr>
        <w:t>於第一階段開標，計有</w:t>
      </w:r>
      <w:r>
        <w:rPr>
          <w:rFonts w:hAnsi="標楷體" w:hint="eastAsia"/>
        </w:rPr>
        <w:t>5</w:t>
      </w:r>
      <w:r>
        <w:rPr>
          <w:rFonts w:hAnsi="標楷體" w:hint="eastAsia"/>
        </w:rPr>
        <w:t>家廠商投標文件基本資格不符，於第二階段開標，又有</w:t>
      </w:r>
      <w:r>
        <w:rPr>
          <w:rFonts w:hAnsi="標楷體" w:hint="eastAsia"/>
        </w:rPr>
        <w:t>1</w:t>
      </w:r>
      <w:r>
        <w:rPr>
          <w:rFonts w:hAnsi="標楷體" w:hint="eastAsia"/>
        </w:rPr>
        <w:t>家公司因工程標單塗改未蓋章為無效標，經開標結果由國農營造有限公司以新台幣（下同）</w:t>
      </w:r>
      <w:r>
        <w:rPr>
          <w:rFonts w:hAnsi="標楷體" w:hint="eastAsia"/>
        </w:rPr>
        <w:t>639</w:t>
      </w:r>
      <w:r>
        <w:rPr>
          <w:rFonts w:hAnsi="標楷體" w:hint="eastAsia"/>
        </w:rPr>
        <w:t>萬元低於底價</w:t>
      </w:r>
      <w:r>
        <w:rPr>
          <w:rFonts w:hAnsi="標楷體" w:hint="eastAsia"/>
        </w:rPr>
        <w:t>678</w:t>
      </w:r>
      <w:r>
        <w:rPr>
          <w:rFonts w:hAnsi="標楷體" w:hint="eastAsia"/>
        </w:rPr>
        <w:t>萬元得標，得標比為</w:t>
      </w:r>
      <w:r>
        <w:rPr>
          <w:rFonts w:hAnsi="標楷體" w:hint="eastAsia"/>
        </w:rPr>
        <w:t>94.2</w:t>
      </w:r>
      <w:proofErr w:type="gramStart"/>
      <w:r>
        <w:rPr>
          <w:rFonts w:hAnsi="標楷體" w:hint="eastAsia"/>
        </w:rPr>
        <w:t>﹪</w:t>
      </w:r>
      <w:proofErr w:type="gramEnd"/>
      <w:r>
        <w:rPr>
          <w:rFonts w:hAnsi="標楷體" w:hint="eastAsia"/>
        </w:rPr>
        <w:t>；「溪口鄉公（兒）四開闢（第一期）工程」於</w:t>
      </w:r>
      <w:r>
        <w:rPr>
          <w:rFonts w:hAnsi="標楷體" w:hint="eastAsia"/>
        </w:rPr>
        <w:t>94</w:t>
      </w:r>
      <w:r>
        <w:rPr>
          <w:rFonts w:hAnsi="標楷體" w:hint="eastAsia"/>
        </w:rPr>
        <w:t>年</w:t>
      </w:r>
      <w:r>
        <w:rPr>
          <w:rFonts w:hAnsi="標楷體" w:hint="eastAsia"/>
        </w:rPr>
        <w:t>11</w:t>
      </w:r>
      <w:r>
        <w:rPr>
          <w:rFonts w:hAnsi="標楷體" w:hint="eastAsia"/>
        </w:rPr>
        <w:t>月</w:t>
      </w:r>
      <w:r>
        <w:rPr>
          <w:rFonts w:hAnsi="標楷體" w:hint="eastAsia"/>
        </w:rPr>
        <w:t>24</w:t>
      </w:r>
      <w:r>
        <w:rPr>
          <w:rFonts w:hAnsi="標楷體" w:hint="eastAsia"/>
        </w:rPr>
        <w:t>日刊登於政府採購公報，開標日期為</w:t>
      </w:r>
      <w:r>
        <w:rPr>
          <w:rFonts w:hAnsi="標楷體" w:hint="eastAsia"/>
        </w:rPr>
        <w:t>94</w:t>
      </w:r>
      <w:r>
        <w:rPr>
          <w:rFonts w:hAnsi="標楷體" w:hint="eastAsia"/>
        </w:rPr>
        <w:t>年</w:t>
      </w:r>
      <w:r>
        <w:rPr>
          <w:rFonts w:hAnsi="標楷體" w:hint="eastAsia"/>
        </w:rPr>
        <w:t>12</w:t>
      </w:r>
      <w:r>
        <w:rPr>
          <w:rFonts w:hAnsi="標楷體" w:hint="eastAsia"/>
        </w:rPr>
        <w:t>月</w:t>
      </w:r>
      <w:r>
        <w:rPr>
          <w:rFonts w:hAnsi="標楷體" w:hint="eastAsia"/>
        </w:rPr>
        <w:t>12</w:t>
      </w:r>
      <w:r>
        <w:rPr>
          <w:rFonts w:hAnsi="標楷體" w:hint="eastAsia"/>
        </w:rPr>
        <w:t>日，分兩階段開標，計有</w:t>
      </w:r>
      <w:r>
        <w:rPr>
          <w:rFonts w:hAnsi="標楷體" w:hint="eastAsia"/>
        </w:rPr>
        <w:t>12</w:t>
      </w:r>
      <w:r>
        <w:rPr>
          <w:rFonts w:hAnsi="標楷體" w:hint="eastAsia"/>
        </w:rPr>
        <w:t>家廠商投標，於第一階段開標，計有</w:t>
      </w:r>
      <w:r>
        <w:rPr>
          <w:rFonts w:hAnsi="標楷體" w:hint="eastAsia"/>
        </w:rPr>
        <w:t>6</w:t>
      </w:r>
      <w:r>
        <w:rPr>
          <w:rFonts w:hAnsi="標楷體" w:hint="eastAsia"/>
        </w:rPr>
        <w:t>家廠商投標文件基本資格不符，於第二階段開標，又有</w:t>
      </w:r>
      <w:r>
        <w:rPr>
          <w:rFonts w:hAnsi="標楷體" w:hint="eastAsia"/>
        </w:rPr>
        <w:t>1</w:t>
      </w:r>
      <w:r>
        <w:rPr>
          <w:rFonts w:hAnsi="標楷體" w:hint="eastAsia"/>
        </w:rPr>
        <w:t>家公司因工程標單塗改未蓋章為無效標，經開標結果</w:t>
      </w:r>
      <w:proofErr w:type="gramStart"/>
      <w:r>
        <w:rPr>
          <w:rFonts w:hAnsi="標楷體" w:hint="eastAsia"/>
        </w:rPr>
        <w:t>由華記營造</w:t>
      </w:r>
      <w:proofErr w:type="gramEnd"/>
      <w:r>
        <w:rPr>
          <w:rFonts w:hAnsi="標楷體" w:hint="eastAsia"/>
        </w:rPr>
        <w:t>有限公司以</w:t>
      </w:r>
      <w:r>
        <w:rPr>
          <w:rFonts w:hAnsi="標楷體" w:hint="eastAsia"/>
        </w:rPr>
        <w:t>469</w:t>
      </w:r>
      <w:r>
        <w:rPr>
          <w:rFonts w:hAnsi="標楷體" w:hint="eastAsia"/>
        </w:rPr>
        <w:t>萬</w:t>
      </w:r>
      <w:r>
        <w:rPr>
          <w:rFonts w:hAnsi="標楷體" w:hint="eastAsia"/>
        </w:rPr>
        <w:t>3,500</w:t>
      </w:r>
      <w:r>
        <w:rPr>
          <w:rFonts w:hAnsi="標楷體" w:hint="eastAsia"/>
        </w:rPr>
        <w:t>元低於底</w:t>
      </w:r>
      <w:r>
        <w:rPr>
          <w:rFonts w:hAnsi="標楷體" w:hint="eastAsia"/>
        </w:rPr>
        <w:t>價</w:t>
      </w:r>
      <w:r>
        <w:rPr>
          <w:rFonts w:hAnsi="標楷體" w:hint="eastAsia"/>
        </w:rPr>
        <w:t>486</w:t>
      </w:r>
      <w:r>
        <w:rPr>
          <w:rFonts w:hAnsi="標楷體" w:hint="eastAsia"/>
        </w:rPr>
        <w:t>萬元得標，得標比為</w:t>
      </w:r>
      <w:r>
        <w:rPr>
          <w:rFonts w:hAnsi="標楷體" w:hint="eastAsia"/>
        </w:rPr>
        <w:t>96.5</w:t>
      </w:r>
      <w:proofErr w:type="gramStart"/>
      <w:r>
        <w:rPr>
          <w:rFonts w:hAnsi="標楷體" w:hint="eastAsia"/>
        </w:rPr>
        <w:t>﹪</w:t>
      </w:r>
      <w:proofErr w:type="gramEnd"/>
      <w:r>
        <w:rPr>
          <w:rFonts w:hAnsi="標楷體" w:hint="eastAsia"/>
        </w:rPr>
        <w:t>；「坪頂中排改善工程」於</w:t>
      </w:r>
      <w:r>
        <w:rPr>
          <w:rFonts w:hAnsi="標楷體" w:hint="eastAsia"/>
        </w:rPr>
        <w:t>94</w:t>
      </w:r>
      <w:r>
        <w:rPr>
          <w:rFonts w:hAnsi="標楷體" w:hint="eastAsia"/>
        </w:rPr>
        <w:t>年</w:t>
      </w:r>
      <w:r>
        <w:rPr>
          <w:rFonts w:hAnsi="標楷體" w:hint="eastAsia"/>
        </w:rPr>
        <w:t>11</w:t>
      </w:r>
      <w:r>
        <w:rPr>
          <w:rFonts w:hAnsi="標楷體" w:hint="eastAsia"/>
        </w:rPr>
        <w:t>月</w:t>
      </w:r>
      <w:r>
        <w:rPr>
          <w:rFonts w:hAnsi="標楷體" w:hint="eastAsia"/>
        </w:rPr>
        <w:t>24</w:t>
      </w:r>
      <w:r>
        <w:rPr>
          <w:rFonts w:hAnsi="標楷體" w:hint="eastAsia"/>
        </w:rPr>
        <w:t>日刊登於政府採購公報，開標日期為</w:t>
      </w:r>
      <w:r>
        <w:rPr>
          <w:rFonts w:hAnsi="標楷體" w:hint="eastAsia"/>
        </w:rPr>
        <w:t>94</w:t>
      </w:r>
      <w:r>
        <w:rPr>
          <w:rFonts w:hAnsi="標楷體" w:hint="eastAsia"/>
        </w:rPr>
        <w:t>年</w:t>
      </w:r>
      <w:r>
        <w:rPr>
          <w:rFonts w:hAnsi="標楷體" w:hint="eastAsia"/>
        </w:rPr>
        <w:t>12</w:t>
      </w:r>
      <w:r>
        <w:rPr>
          <w:rFonts w:hAnsi="標楷體" w:hint="eastAsia"/>
        </w:rPr>
        <w:t>月</w:t>
      </w:r>
      <w:r>
        <w:rPr>
          <w:rFonts w:hAnsi="標楷體" w:hint="eastAsia"/>
        </w:rPr>
        <w:t>12</w:t>
      </w:r>
      <w:r>
        <w:rPr>
          <w:rFonts w:hAnsi="標楷體" w:hint="eastAsia"/>
        </w:rPr>
        <w:t>日，分兩階段開標，計有</w:t>
      </w:r>
      <w:r>
        <w:rPr>
          <w:rFonts w:hAnsi="標楷體" w:hint="eastAsia"/>
        </w:rPr>
        <w:t>9</w:t>
      </w:r>
      <w:r>
        <w:rPr>
          <w:rFonts w:hAnsi="標楷體" w:hint="eastAsia"/>
        </w:rPr>
        <w:t>家廠商投標，於第一階段開標，計有</w:t>
      </w:r>
      <w:r>
        <w:rPr>
          <w:rFonts w:hAnsi="標楷體" w:hint="eastAsia"/>
        </w:rPr>
        <w:t>5</w:t>
      </w:r>
      <w:r>
        <w:rPr>
          <w:rFonts w:hAnsi="標楷體" w:hint="eastAsia"/>
        </w:rPr>
        <w:t>家廠商投標文件基本資格不符，經開標結果由國農營造有限公司以</w:t>
      </w:r>
      <w:r>
        <w:rPr>
          <w:rFonts w:hAnsi="標楷體" w:hint="eastAsia"/>
        </w:rPr>
        <w:t>689</w:t>
      </w:r>
      <w:r>
        <w:rPr>
          <w:rFonts w:hAnsi="標楷體" w:hint="eastAsia"/>
        </w:rPr>
        <w:t>萬</w:t>
      </w:r>
      <w:r>
        <w:rPr>
          <w:rFonts w:hAnsi="標楷體" w:hint="eastAsia"/>
        </w:rPr>
        <w:t>8,000</w:t>
      </w:r>
      <w:r>
        <w:rPr>
          <w:rFonts w:hAnsi="標楷體" w:hint="eastAsia"/>
        </w:rPr>
        <w:t>元低於底價</w:t>
      </w:r>
      <w:r>
        <w:rPr>
          <w:rFonts w:hAnsi="標楷體" w:hint="eastAsia"/>
        </w:rPr>
        <w:t>727</w:t>
      </w:r>
      <w:r>
        <w:rPr>
          <w:rFonts w:hAnsi="標楷體" w:hint="eastAsia"/>
        </w:rPr>
        <w:t>萬元得標，得標比為</w:t>
      </w:r>
      <w:r>
        <w:rPr>
          <w:rFonts w:hAnsi="標楷體" w:hint="eastAsia"/>
        </w:rPr>
        <w:t>94.88</w:t>
      </w:r>
      <w:proofErr w:type="gramStart"/>
      <w:r>
        <w:rPr>
          <w:rFonts w:hAnsi="標楷體" w:hint="eastAsia"/>
        </w:rPr>
        <w:t>﹪</w:t>
      </w:r>
      <w:proofErr w:type="gramEnd"/>
      <w:r>
        <w:rPr>
          <w:rFonts w:hAnsi="標楷體" w:hint="eastAsia"/>
        </w:rPr>
        <w:t>。由上開</w:t>
      </w:r>
      <w:r>
        <w:rPr>
          <w:rFonts w:hAnsi="標楷體" w:hint="eastAsia"/>
        </w:rPr>
        <w:t>3</w:t>
      </w:r>
      <w:r>
        <w:rPr>
          <w:rFonts w:hAnsi="標楷體" w:hint="eastAsia"/>
        </w:rPr>
        <w:t>項工程開標過程可知，皆有高達半數以上之廠商基本資格不符，</w:t>
      </w:r>
      <w:proofErr w:type="gramStart"/>
      <w:r>
        <w:rPr>
          <w:rFonts w:hAnsi="標楷體" w:hint="eastAsia"/>
        </w:rPr>
        <w:t>顯有陪標</w:t>
      </w:r>
      <w:proofErr w:type="gramEnd"/>
      <w:r>
        <w:rPr>
          <w:rFonts w:hAnsi="標楷體" w:hint="eastAsia"/>
        </w:rPr>
        <w:t>之嫌。</w:t>
      </w:r>
    </w:p>
    <w:p w:rsidR="00000000" w:rsidRDefault="00C11014">
      <w:pPr>
        <w:pStyle w:val="3"/>
        <w:rPr>
          <w:rFonts w:hAnsi="標楷體" w:hint="eastAsia"/>
        </w:rPr>
      </w:pPr>
      <w:proofErr w:type="gramStart"/>
      <w:r>
        <w:rPr>
          <w:rFonts w:hAnsi="標楷體" w:hint="eastAsia"/>
        </w:rPr>
        <w:lastRenderedPageBreak/>
        <w:t>又查上開</w:t>
      </w:r>
      <w:proofErr w:type="gramEnd"/>
      <w:r>
        <w:rPr>
          <w:rFonts w:hAnsi="標楷體" w:hint="eastAsia"/>
        </w:rPr>
        <w:t>3</w:t>
      </w:r>
      <w:r>
        <w:rPr>
          <w:rFonts w:hAnsi="標楷體" w:hint="eastAsia"/>
        </w:rPr>
        <w:t>項工程同於</w:t>
      </w:r>
      <w:r>
        <w:rPr>
          <w:rFonts w:hAnsi="標楷體" w:hint="eastAsia"/>
        </w:rPr>
        <w:t>94</w:t>
      </w:r>
      <w:r>
        <w:rPr>
          <w:rFonts w:hAnsi="標楷體" w:hint="eastAsia"/>
        </w:rPr>
        <w:t>年</w:t>
      </w:r>
      <w:r>
        <w:rPr>
          <w:rFonts w:hAnsi="標楷體" w:hint="eastAsia"/>
        </w:rPr>
        <w:t>12</w:t>
      </w:r>
      <w:r>
        <w:rPr>
          <w:rFonts w:hAnsi="標楷體" w:hint="eastAsia"/>
        </w:rPr>
        <w:t>月</w:t>
      </w:r>
      <w:r>
        <w:rPr>
          <w:rFonts w:hAnsi="標楷體" w:hint="eastAsia"/>
        </w:rPr>
        <w:t>12</w:t>
      </w:r>
      <w:r>
        <w:rPr>
          <w:rFonts w:hAnsi="標楷體" w:hint="eastAsia"/>
        </w:rPr>
        <w:t>日當日開標，據審計部、嘉義縣政府政風處及嘉義地檢署調查指出，發現分別有</w:t>
      </w:r>
      <w:r>
        <w:rPr>
          <w:rFonts w:hAnsi="標楷體" w:hint="eastAsia"/>
        </w:rPr>
        <w:t>5</w:t>
      </w:r>
      <w:r>
        <w:rPr>
          <w:rFonts w:hAnsi="標楷體" w:hint="eastAsia"/>
        </w:rPr>
        <w:t>家至</w:t>
      </w:r>
      <w:r>
        <w:rPr>
          <w:rFonts w:hAnsi="標楷體" w:hint="eastAsia"/>
        </w:rPr>
        <w:t>7</w:t>
      </w:r>
      <w:r>
        <w:rPr>
          <w:rFonts w:hAnsi="標楷體" w:hint="eastAsia"/>
        </w:rPr>
        <w:t>家廠商之投標</w:t>
      </w:r>
      <w:r>
        <w:rPr>
          <w:rFonts w:hAnsi="標楷體" w:hint="eastAsia"/>
        </w:rPr>
        <w:t>文件有廠商資格文件空白、缺漏或錯置於標單封等雷同不符規定之情事，且不合格廠商名單互有重複等情事及投標文件字體相似或標價字體幾乎相同等明顯圍標、陪標之情事。其事實如下表所示：</w:t>
      </w:r>
    </w:p>
    <w:tbl>
      <w:tblPr>
        <w:tblW w:w="83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308"/>
        <w:gridCol w:w="2380"/>
        <w:gridCol w:w="4678"/>
      </w:tblGrid>
      <w:tr w:rsidR="00000000">
        <w:trPr>
          <w:trHeight w:val="702"/>
          <w:jc w:val="center"/>
        </w:trPr>
        <w:tc>
          <w:tcPr>
            <w:tcW w:w="1308" w:type="dxa"/>
            <w:tcMar>
              <w:top w:w="17" w:type="dxa"/>
              <w:left w:w="17" w:type="dxa"/>
              <w:bottom w:w="0" w:type="dxa"/>
              <w:right w:w="17" w:type="dxa"/>
            </w:tcMar>
            <w:vAlign w:val="center"/>
          </w:tcPr>
          <w:p w:rsidR="00000000" w:rsidRDefault="00C11014">
            <w:pPr>
              <w:snapToGrid w:val="0"/>
              <w:spacing w:line="360" w:lineRule="exact"/>
              <w:jc w:val="center"/>
              <w:rPr>
                <w:rFonts w:ascii="標楷體" w:hAnsi="標楷體"/>
                <w:sz w:val="28"/>
              </w:rPr>
            </w:pPr>
            <w:r>
              <w:rPr>
                <w:rFonts w:ascii="標楷體" w:hAnsi="標楷體" w:hint="eastAsia"/>
                <w:sz w:val="28"/>
              </w:rPr>
              <w:t>標的名稱</w:t>
            </w:r>
          </w:p>
        </w:tc>
        <w:tc>
          <w:tcPr>
            <w:tcW w:w="2380" w:type="dxa"/>
            <w:tcMar>
              <w:top w:w="17" w:type="dxa"/>
              <w:left w:w="17" w:type="dxa"/>
              <w:bottom w:w="0" w:type="dxa"/>
              <w:right w:w="17" w:type="dxa"/>
            </w:tcMar>
            <w:vAlign w:val="center"/>
          </w:tcPr>
          <w:p w:rsidR="00000000" w:rsidRDefault="00C11014">
            <w:pPr>
              <w:snapToGrid w:val="0"/>
              <w:spacing w:line="360" w:lineRule="exact"/>
              <w:jc w:val="center"/>
              <w:rPr>
                <w:rFonts w:ascii="標楷體" w:hAnsi="標楷體"/>
                <w:sz w:val="28"/>
              </w:rPr>
            </w:pPr>
            <w:r>
              <w:rPr>
                <w:rFonts w:ascii="標楷體" w:hAnsi="標楷體" w:hint="eastAsia"/>
                <w:sz w:val="28"/>
              </w:rPr>
              <w:t>投標廠商名稱</w:t>
            </w:r>
          </w:p>
        </w:tc>
        <w:tc>
          <w:tcPr>
            <w:tcW w:w="4678" w:type="dxa"/>
            <w:tcMar>
              <w:top w:w="17" w:type="dxa"/>
              <w:left w:w="17" w:type="dxa"/>
              <w:bottom w:w="0" w:type="dxa"/>
              <w:right w:w="17" w:type="dxa"/>
            </w:tcMar>
            <w:vAlign w:val="center"/>
          </w:tcPr>
          <w:p w:rsidR="00000000" w:rsidRDefault="00C11014">
            <w:pPr>
              <w:snapToGrid w:val="0"/>
              <w:spacing w:line="360" w:lineRule="exact"/>
              <w:jc w:val="center"/>
              <w:rPr>
                <w:rFonts w:ascii="標楷體" w:hAnsi="標楷體" w:hint="eastAsia"/>
                <w:sz w:val="28"/>
              </w:rPr>
            </w:pPr>
            <w:proofErr w:type="gramStart"/>
            <w:r>
              <w:rPr>
                <w:rFonts w:ascii="標楷體" w:hAnsi="標楷體" w:hint="eastAsia"/>
                <w:sz w:val="28"/>
              </w:rPr>
              <w:t>疑</w:t>
            </w:r>
            <w:proofErr w:type="gramEnd"/>
            <w:r>
              <w:rPr>
                <w:rFonts w:ascii="標楷體" w:hAnsi="標楷體" w:hint="eastAsia"/>
                <w:sz w:val="28"/>
              </w:rPr>
              <w:t>有圍標、陪標之事實</w:t>
            </w:r>
          </w:p>
        </w:tc>
      </w:tr>
      <w:tr w:rsidR="00000000">
        <w:trPr>
          <w:trHeight w:val="702"/>
          <w:jc w:val="center"/>
        </w:trPr>
        <w:tc>
          <w:tcPr>
            <w:tcW w:w="1308" w:type="dxa"/>
            <w:tcMar>
              <w:top w:w="17" w:type="dxa"/>
              <w:left w:w="17" w:type="dxa"/>
              <w:bottom w:w="0" w:type="dxa"/>
              <w:right w:w="17" w:type="dxa"/>
            </w:tcMar>
            <w:vAlign w:val="center"/>
          </w:tcPr>
          <w:p w:rsidR="00000000" w:rsidRDefault="00C11014">
            <w:pPr>
              <w:snapToGrid w:val="0"/>
              <w:spacing w:line="360" w:lineRule="exact"/>
              <w:jc w:val="both"/>
              <w:rPr>
                <w:rFonts w:ascii="標楷體" w:hAnsi="標楷體"/>
                <w:sz w:val="28"/>
              </w:rPr>
            </w:pPr>
            <w:r>
              <w:rPr>
                <w:rFonts w:ascii="標楷體" w:hAnsi="標楷體" w:hint="eastAsia"/>
                <w:sz w:val="28"/>
              </w:rPr>
              <w:t>溪口鄉</w:t>
            </w:r>
            <w:proofErr w:type="gramStart"/>
            <w:r>
              <w:rPr>
                <w:rFonts w:ascii="標楷體" w:hAnsi="標楷體" w:hint="eastAsia"/>
                <w:sz w:val="28"/>
              </w:rPr>
              <w:t>游厝</w:t>
            </w:r>
            <w:proofErr w:type="gramEnd"/>
            <w:r>
              <w:rPr>
                <w:rFonts w:ascii="標楷體" w:hAnsi="標楷體" w:hint="eastAsia"/>
                <w:sz w:val="28"/>
              </w:rPr>
              <w:t>休閒運動園區計畫工程</w:t>
            </w:r>
          </w:p>
        </w:tc>
        <w:tc>
          <w:tcPr>
            <w:tcW w:w="2380" w:type="dxa"/>
            <w:tcMar>
              <w:top w:w="17" w:type="dxa"/>
              <w:left w:w="17" w:type="dxa"/>
              <w:bottom w:w="0" w:type="dxa"/>
              <w:right w:w="17" w:type="dxa"/>
            </w:tcMar>
            <w:vAlign w:val="center"/>
          </w:tcPr>
          <w:p w:rsidR="00000000" w:rsidRDefault="00C11014">
            <w:pPr>
              <w:snapToGrid w:val="0"/>
              <w:spacing w:line="360" w:lineRule="exact"/>
              <w:rPr>
                <w:rFonts w:ascii="標楷體" w:hAnsi="標楷體" w:hint="eastAsia"/>
                <w:sz w:val="28"/>
              </w:rPr>
            </w:pPr>
            <w:r>
              <w:rPr>
                <w:rFonts w:ascii="標楷體" w:hAnsi="標楷體" w:hint="eastAsia"/>
                <w:sz w:val="28"/>
              </w:rPr>
              <w:t>國農營造、</w:t>
            </w:r>
            <w:proofErr w:type="gramStart"/>
            <w:r>
              <w:rPr>
                <w:rFonts w:ascii="標楷體" w:hAnsi="標楷體" w:hint="eastAsia"/>
                <w:sz w:val="28"/>
              </w:rPr>
              <w:t>佳濃營造</w:t>
            </w:r>
            <w:proofErr w:type="gramEnd"/>
            <w:r>
              <w:rPr>
                <w:rFonts w:ascii="標楷體" w:hAnsi="標楷體" w:hint="eastAsia"/>
                <w:sz w:val="28"/>
              </w:rPr>
              <w:t>、東雄營造、</w:t>
            </w:r>
            <w:proofErr w:type="gramStart"/>
            <w:r>
              <w:rPr>
                <w:rFonts w:ascii="標楷體" w:hAnsi="標楷體" w:hint="eastAsia"/>
                <w:sz w:val="28"/>
              </w:rPr>
              <w:t>佑全營造</w:t>
            </w:r>
            <w:proofErr w:type="gramEnd"/>
            <w:r>
              <w:rPr>
                <w:rFonts w:ascii="標楷體" w:hAnsi="標楷體" w:hint="eastAsia"/>
                <w:sz w:val="28"/>
              </w:rPr>
              <w:t>、國興營造、順</w:t>
            </w:r>
            <w:proofErr w:type="gramStart"/>
            <w:r>
              <w:rPr>
                <w:rFonts w:ascii="標楷體" w:hAnsi="標楷體" w:hint="eastAsia"/>
                <w:sz w:val="28"/>
              </w:rPr>
              <w:t>凱</w:t>
            </w:r>
            <w:proofErr w:type="gramEnd"/>
            <w:r>
              <w:rPr>
                <w:rFonts w:ascii="標楷體" w:hAnsi="標楷體" w:hint="eastAsia"/>
                <w:sz w:val="28"/>
              </w:rPr>
              <w:t>營造、</w:t>
            </w:r>
          </w:p>
          <w:p w:rsidR="00000000" w:rsidRDefault="00C11014">
            <w:pPr>
              <w:snapToGrid w:val="0"/>
              <w:spacing w:line="360" w:lineRule="exact"/>
              <w:rPr>
                <w:rFonts w:ascii="標楷體" w:hAnsi="標楷體"/>
                <w:sz w:val="28"/>
              </w:rPr>
            </w:pPr>
            <w:proofErr w:type="gramStart"/>
            <w:r>
              <w:rPr>
                <w:rFonts w:ascii="標楷體" w:hAnsi="標楷體" w:hint="eastAsia"/>
                <w:sz w:val="28"/>
              </w:rPr>
              <w:t>華記營造</w:t>
            </w:r>
            <w:proofErr w:type="gramEnd"/>
            <w:r>
              <w:rPr>
                <w:rFonts w:ascii="標楷體" w:hAnsi="標楷體" w:hint="eastAsia"/>
                <w:sz w:val="28"/>
              </w:rPr>
              <w:t>、</w:t>
            </w:r>
            <w:proofErr w:type="gramStart"/>
            <w:r>
              <w:rPr>
                <w:rFonts w:ascii="標楷體" w:hAnsi="標楷體" w:hint="eastAsia"/>
                <w:sz w:val="28"/>
              </w:rPr>
              <w:t>洋伸營造</w:t>
            </w:r>
            <w:proofErr w:type="gramEnd"/>
            <w:r>
              <w:rPr>
                <w:rFonts w:ascii="標楷體" w:hAnsi="標楷體" w:hint="eastAsia"/>
                <w:sz w:val="28"/>
              </w:rPr>
              <w:t>、正龍營造、</w:t>
            </w:r>
            <w:proofErr w:type="gramStart"/>
            <w:r>
              <w:rPr>
                <w:rFonts w:ascii="標楷體" w:hAnsi="標楷體" w:hint="eastAsia"/>
                <w:sz w:val="28"/>
              </w:rPr>
              <w:t>豐利營造</w:t>
            </w:r>
            <w:proofErr w:type="gramEnd"/>
            <w:r>
              <w:rPr>
                <w:rFonts w:ascii="標楷體" w:hAnsi="標楷體" w:hint="eastAsia"/>
                <w:sz w:val="28"/>
              </w:rPr>
              <w:t>、新港營造</w:t>
            </w:r>
          </w:p>
        </w:tc>
        <w:tc>
          <w:tcPr>
            <w:tcW w:w="4678" w:type="dxa"/>
            <w:tcMar>
              <w:top w:w="17" w:type="dxa"/>
              <w:left w:w="17" w:type="dxa"/>
              <w:bottom w:w="0" w:type="dxa"/>
              <w:right w:w="17" w:type="dxa"/>
            </w:tcMar>
            <w:vAlign w:val="center"/>
          </w:tcPr>
          <w:p w:rsidR="00000000" w:rsidRDefault="00C11014">
            <w:pPr>
              <w:snapToGrid w:val="0"/>
              <w:spacing w:line="360" w:lineRule="exact"/>
              <w:rPr>
                <w:rFonts w:ascii="標楷體" w:hAnsi="標楷體" w:hint="eastAsia"/>
                <w:sz w:val="28"/>
              </w:rPr>
            </w:pPr>
            <w:r>
              <w:rPr>
                <w:rFonts w:ascii="標楷體" w:hAnsi="標楷體" w:hint="eastAsia"/>
                <w:sz w:val="28"/>
              </w:rPr>
              <w:t>基本資格不合：</w:t>
            </w:r>
          </w:p>
          <w:p w:rsidR="00000000" w:rsidRDefault="00C11014">
            <w:pPr>
              <w:pStyle w:val="22"/>
              <w:spacing w:line="360" w:lineRule="exact"/>
              <w:jc w:val="both"/>
              <w:rPr>
                <w:rFonts w:ascii="標楷體" w:eastAsia="標楷體" w:hAnsi="標楷體" w:hint="eastAsia"/>
                <w:sz w:val="28"/>
              </w:rPr>
            </w:pPr>
            <w:r>
              <w:rPr>
                <w:rFonts w:ascii="標楷體" w:eastAsia="標楷體" w:hAnsi="標楷體" w:hint="eastAsia"/>
                <w:sz w:val="28"/>
              </w:rPr>
              <w:t>東雄營造、</w:t>
            </w:r>
            <w:proofErr w:type="gramStart"/>
            <w:r>
              <w:rPr>
                <w:rFonts w:ascii="標楷體" w:eastAsia="標楷體" w:hAnsi="標楷體" w:hint="eastAsia"/>
                <w:sz w:val="28"/>
              </w:rPr>
              <w:t>佑全營造</w:t>
            </w:r>
            <w:proofErr w:type="gramEnd"/>
            <w:r>
              <w:rPr>
                <w:rFonts w:ascii="標楷體" w:eastAsia="標楷體" w:hAnsi="標楷體" w:hint="eastAsia"/>
                <w:sz w:val="28"/>
              </w:rPr>
              <w:t>、國興營造、順</w:t>
            </w:r>
            <w:proofErr w:type="gramStart"/>
            <w:r>
              <w:rPr>
                <w:rFonts w:ascii="標楷體" w:eastAsia="標楷體" w:hAnsi="標楷體" w:hint="eastAsia"/>
                <w:sz w:val="28"/>
              </w:rPr>
              <w:t>凱</w:t>
            </w:r>
            <w:proofErr w:type="gramEnd"/>
            <w:r>
              <w:rPr>
                <w:rFonts w:ascii="標楷體" w:eastAsia="標楷體" w:hAnsi="標楷體" w:hint="eastAsia"/>
                <w:sz w:val="28"/>
              </w:rPr>
              <w:t>營造（廠商資格文件為空白或標單封錯置）</w:t>
            </w:r>
          </w:p>
          <w:p w:rsidR="00000000" w:rsidRDefault="00C11014">
            <w:pPr>
              <w:snapToGrid w:val="0"/>
              <w:spacing w:line="360" w:lineRule="exact"/>
              <w:rPr>
                <w:rFonts w:ascii="標楷體" w:hAnsi="標楷體" w:hint="eastAsia"/>
                <w:sz w:val="28"/>
              </w:rPr>
            </w:pPr>
            <w:r>
              <w:rPr>
                <w:rFonts w:ascii="標楷體" w:hAnsi="標楷體" w:hint="eastAsia"/>
                <w:sz w:val="28"/>
              </w:rPr>
              <w:t>標單不合格廠商：</w:t>
            </w:r>
          </w:p>
          <w:p w:rsidR="00000000" w:rsidRDefault="00C11014">
            <w:pPr>
              <w:snapToGrid w:val="0"/>
              <w:spacing w:line="360" w:lineRule="exact"/>
              <w:rPr>
                <w:rFonts w:ascii="標楷體" w:hAnsi="標楷體" w:hint="eastAsia"/>
                <w:sz w:val="28"/>
              </w:rPr>
            </w:pPr>
            <w:proofErr w:type="gramStart"/>
            <w:r>
              <w:rPr>
                <w:rFonts w:ascii="標楷體" w:hAnsi="標楷體" w:hint="eastAsia"/>
                <w:sz w:val="28"/>
              </w:rPr>
              <w:t>洋伸營造</w:t>
            </w:r>
            <w:proofErr w:type="gramEnd"/>
            <w:r>
              <w:rPr>
                <w:rFonts w:ascii="標楷體" w:hAnsi="標楷體" w:hint="eastAsia"/>
                <w:sz w:val="28"/>
              </w:rPr>
              <w:t>（標單塗改未蓋章）</w:t>
            </w:r>
          </w:p>
          <w:p w:rsidR="00000000" w:rsidRDefault="00C11014">
            <w:pPr>
              <w:snapToGrid w:val="0"/>
              <w:spacing w:line="360" w:lineRule="exact"/>
              <w:rPr>
                <w:rFonts w:ascii="標楷體" w:hAnsi="標楷體" w:hint="eastAsia"/>
                <w:sz w:val="28"/>
              </w:rPr>
            </w:pPr>
            <w:r>
              <w:rPr>
                <w:rFonts w:ascii="標楷體" w:hAnsi="標楷體" w:hint="eastAsia"/>
                <w:sz w:val="28"/>
              </w:rPr>
              <w:t>字體相似或</w:t>
            </w:r>
            <w:r>
              <w:rPr>
                <w:rFonts w:ascii="標楷體" w:hAnsi="標楷體" w:hint="eastAsia"/>
                <w:sz w:val="28"/>
              </w:rPr>
              <w:t>相同：</w:t>
            </w:r>
          </w:p>
          <w:p w:rsidR="00000000" w:rsidRDefault="00C11014">
            <w:pPr>
              <w:snapToGrid w:val="0"/>
              <w:spacing w:line="360" w:lineRule="exact"/>
              <w:rPr>
                <w:rFonts w:ascii="標楷體" w:hAnsi="標楷體"/>
                <w:sz w:val="28"/>
              </w:rPr>
            </w:pPr>
            <w:proofErr w:type="gramStart"/>
            <w:r>
              <w:rPr>
                <w:rFonts w:ascii="標楷體" w:hAnsi="標楷體" w:hint="eastAsia"/>
                <w:sz w:val="28"/>
              </w:rPr>
              <w:t>佳濃營造</w:t>
            </w:r>
            <w:proofErr w:type="gramEnd"/>
            <w:r>
              <w:rPr>
                <w:rFonts w:ascii="標楷體" w:hAnsi="標楷體" w:hint="eastAsia"/>
                <w:sz w:val="28"/>
              </w:rPr>
              <w:t>、國農營造、</w:t>
            </w:r>
            <w:proofErr w:type="gramStart"/>
            <w:r>
              <w:rPr>
                <w:rFonts w:ascii="標楷體" w:hAnsi="標楷體" w:hint="eastAsia"/>
                <w:sz w:val="28"/>
              </w:rPr>
              <w:t>洋伸營造</w:t>
            </w:r>
            <w:proofErr w:type="gramEnd"/>
            <w:r>
              <w:rPr>
                <w:rFonts w:ascii="標楷體" w:hAnsi="標楷體" w:hint="eastAsia"/>
                <w:sz w:val="28"/>
              </w:rPr>
              <w:t>（字體相似）；新港營造與華記營造（字體幾乎相同）</w:t>
            </w:r>
          </w:p>
        </w:tc>
      </w:tr>
      <w:tr w:rsidR="00000000">
        <w:trPr>
          <w:trHeight w:val="702"/>
          <w:jc w:val="center"/>
        </w:trPr>
        <w:tc>
          <w:tcPr>
            <w:tcW w:w="1308" w:type="dxa"/>
            <w:tcMar>
              <w:top w:w="17" w:type="dxa"/>
              <w:left w:w="17" w:type="dxa"/>
              <w:bottom w:w="0" w:type="dxa"/>
              <w:right w:w="17" w:type="dxa"/>
            </w:tcMar>
            <w:vAlign w:val="center"/>
          </w:tcPr>
          <w:p w:rsidR="00000000" w:rsidRDefault="00C11014">
            <w:pPr>
              <w:snapToGrid w:val="0"/>
              <w:spacing w:line="360" w:lineRule="exact"/>
              <w:jc w:val="both"/>
              <w:rPr>
                <w:rFonts w:ascii="標楷體" w:hAnsi="標楷體"/>
                <w:sz w:val="28"/>
              </w:rPr>
            </w:pPr>
            <w:r>
              <w:rPr>
                <w:rFonts w:ascii="標楷體" w:hAnsi="標楷體" w:hint="eastAsia"/>
                <w:sz w:val="28"/>
              </w:rPr>
              <w:t>溪口鄉公</w:t>
            </w:r>
            <w:r>
              <w:rPr>
                <w:rFonts w:ascii="標楷體" w:hAnsi="標楷體"/>
                <w:sz w:val="28"/>
              </w:rPr>
              <w:t>(</w:t>
            </w:r>
            <w:r>
              <w:rPr>
                <w:rFonts w:ascii="標楷體" w:hAnsi="標楷體" w:hint="eastAsia"/>
                <w:sz w:val="28"/>
              </w:rPr>
              <w:t>兒</w:t>
            </w:r>
            <w:r>
              <w:rPr>
                <w:rFonts w:ascii="標楷體" w:hAnsi="標楷體"/>
                <w:sz w:val="28"/>
              </w:rPr>
              <w:t>)</w:t>
            </w:r>
            <w:r>
              <w:rPr>
                <w:rFonts w:ascii="標楷體" w:hAnsi="標楷體" w:hint="eastAsia"/>
                <w:sz w:val="28"/>
              </w:rPr>
              <w:t>四開闢</w:t>
            </w:r>
            <w:r>
              <w:rPr>
                <w:rFonts w:ascii="標楷體" w:hAnsi="標楷體"/>
                <w:sz w:val="28"/>
              </w:rPr>
              <w:t>(</w:t>
            </w:r>
            <w:r>
              <w:rPr>
                <w:rFonts w:ascii="標楷體" w:hAnsi="標楷體" w:hint="eastAsia"/>
                <w:sz w:val="28"/>
              </w:rPr>
              <w:t>第一期</w:t>
            </w:r>
            <w:r>
              <w:rPr>
                <w:rFonts w:ascii="標楷體" w:hAnsi="標楷體"/>
                <w:sz w:val="28"/>
              </w:rPr>
              <w:t>)</w:t>
            </w:r>
            <w:r>
              <w:rPr>
                <w:rFonts w:ascii="標楷體" w:hAnsi="標楷體" w:hint="eastAsia"/>
                <w:sz w:val="28"/>
              </w:rPr>
              <w:t>工程</w:t>
            </w:r>
          </w:p>
        </w:tc>
        <w:tc>
          <w:tcPr>
            <w:tcW w:w="2380" w:type="dxa"/>
            <w:tcMar>
              <w:top w:w="17" w:type="dxa"/>
              <w:left w:w="17" w:type="dxa"/>
              <w:bottom w:w="0" w:type="dxa"/>
              <w:right w:w="17" w:type="dxa"/>
            </w:tcMar>
            <w:vAlign w:val="center"/>
          </w:tcPr>
          <w:p w:rsidR="00000000" w:rsidRDefault="00C11014">
            <w:pPr>
              <w:snapToGrid w:val="0"/>
              <w:spacing w:line="360" w:lineRule="exact"/>
              <w:rPr>
                <w:rFonts w:ascii="標楷體" w:hAnsi="標楷體" w:hint="eastAsia"/>
                <w:sz w:val="28"/>
              </w:rPr>
            </w:pPr>
            <w:r>
              <w:rPr>
                <w:rFonts w:ascii="標楷體" w:hAnsi="標楷體" w:hint="eastAsia"/>
                <w:sz w:val="28"/>
              </w:rPr>
              <w:t>國農營造、</w:t>
            </w:r>
            <w:proofErr w:type="gramStart"/>
            <w:r>
              <w:rPr>
                <w:rFonts w:ascii="標楷體" w:hAnsi="標楷體" w:hint="eastAsia"/>
                <w:sz w:val="28"/>
              </w:rPr>
              <w:t>佳濃營造</w:t>
            </w:r>
            <w:proofErr w:type="gramEnd"/>
            <w:r>
              <w:rPr>
                <w:rFonts w:ascii="標楷體" w:hAnsi="標楷體" w:hint="eastAsia"/>
                <w:sz w:val="28"/>
              </w:rPr>
              <w:t>、東雄營造、</w:t>
            </w:r>
            <w:proofErr w:type="gramStart"/>
            <w:r>
              <w:rPr>
                <w:rFonts w:ascii="標楷體" w:hAnsi="標楷體" w:hint="eastAsia"/>
                <w:sz w:val="28"/>
              </w:rPr>
              <w:t>佑全營造</w:t>
            </w:r>
            <w:proofErr w:type="gramEnd"/>
            <w:r>
              <w:rPr>
                <w:rFonts w:ascii="標楷體" w:hAnsi="標楷體" w:hint="eastAsia"/>
                <w:sz w:val="28"/>
              </w:rPr>
              <w:t>、國興營造、順</w:t>
            </w:r>
            <w:proofErr w:type="gramStart"/>
            <w:r>
              <w:rPr>
                <w:rFonts w:ascii="標楷體" w:hAnsi="標楷體" w:hint="eastAsia"/>
                <w:sz w:val="28"/>
              </w:rPr>
              <w:t>凱</w:t>
            </w:r>
            <w:proofErr w:type="gramEnd"/>
            <w:r>
              <w:rPr>
                <w:rFonts w:ascii="標楷體" w:hAnsi="標楷體" w:hint="eastAsia"/>
                <w:sz w:val="28"/>
              </w:rPr>
              <w:t>營造、</w:t>
            </w:r>
          </w:p>
          <w:p w:rsidR="00000000" w:rsidRDefault="00C11014">
            <w:pPr>
              <w:snapToGrid w:val="0"/>
              <w:spacing w:line="360" w:lineRule="exact"/>
              <w:rPr>
                <w:rFonts w:ascii="標楷體" w:hAnsi="標楷體"/>
                <w:sz w:val="28"/>
              </w:rPr>
            </w:pPr>
            <w:r>
              <w:rPr>
                <w:rFonts w:ascii="標楷體" w:hAnsi="標楷體" w:hint="eastAsia"/>
                <w:sz w:val="28"/>
              </w:rPr>
              <w:t>華記營造、</w:t>
            </w:r>
            <w:proofErr w:type="gramStart"/>
            <w:r>
              <w:rPr>
                <w:rFonts w:ascii="標楷體" w:hAnsi="標楷體" w:hint="eastAsia"/>
                <w:sz w:val="28"/>
              </w:rPr>
              <w:t>洋伸營造</w:t>
            </w:r>
            <w:proofErr w:type="gramEnd"/>
            <w:r>
              <w:rPr>
                <w:rFonts w:ascii="標楷體" w:hAnsi="標楷體" w:hint="eastAsia"/>
                <w:sz w:val="28"/>
              </w:rPr>
              <w:t>、正龍土木、</w:t>
            </w:r>
            <w:proofErr w:type="gramStart"/>
            <w:r>
              <w:rPr>
                <w:rFonts w:ascii="標楷體" w:hAnsi="標楷體" w:hint="eastAsia"/>
                <w:sz w:val="28"/>
              </w:rPr>
              <w:t>豐利營造</w:t>
            </w:r>
            <w:proofErr w:type="gramEnd"/>
            <w:r>
              <w:rPr>
                <w:rFonts w:ascii="標楷體" w:hAnsi="標楷體" w:hint="eastAsia"/>
                <w:sz w:val="28"/>
              </w:rPr>
              <w:t>、新港營造、永豐土木</w:t>
            </w:r>
          </w:p>
        </w:tc>
        <w:tc>
          <w:tcPr>
            <w:tcW w:w="4678" w:type="dxa"/>
            <w:tcMar>
              <w:top w:w="17" w:type="dxa"/>
              <w:left w:w="17" w:type="dxa"/>
              <w:bottom w:w="0" w:type="dxa"/>
              <w:right w:w="17" w:type="dxa"/>
            </w:tcMar>
            <w:vAlign w:val="center"/>
          </w:tcPr>
          <w:p w:rsidR="00000000" w:rsidRDefault="00C11014">
            <w:pPr>
              <w:snapToGrid w:val="0"/>
              <w:spacing w:line="360" w:lineRule="exact"/>
              <w:rPr>
                <w:rFonts w:ascii="標楷體" w:hAnsi="標楷體" w:hint="eastAsia"/>
                <w:sz w:val="28"/>
              </w:rPr>
            </w:pPr>
            <w:r>
              <w:rPr>
                <w:rFonts w:ascii="標楷體" w:hAnsi="標楷體" w:hint="eastAsia"/>
                <w:sz w:val="28"/>
              </w:rPr>
              <w:t>基本資格不合：</w:t>
            </w:r>
          </w:p>
          <w:p w:rsidR="00000000" w:rsidRDefault="00C11014">
            <w:pPr>
              <w:pStyle w:val="22"/>
              <w:spacing w:line="360" w:lineRule="exact"/>
              <w:jc w:val="both"/>
              <w:rPr>
                <w:rFonts w:ascii="標楷體" w:eastAsia="標楷體" w:hAnsi="標楷體" w:hint="eastAsia"/>
                <w:sz w:val="28"/>
              </w:rPr>
            </w:pPr>
            <w:r>
              <w:rPr>
                <w:rFonts w:ascii="標楷體" w:eastAsia="標楷體" w:hAnsi="標楷體" w:hint="eastAsia"/>
                <w:sz w:val="28"/>
              </w:rPr>
              <w:t>東雄營造、</w:t>
            </w:r>
            <w:proofErr w:type="gramStart"/>
            <w:r>
              <w:rPr>
                <w:rFonts w:ascii="標楷體" w:eastAsia="標楷體" w:hAnsi="標楷體" w:hint="eastAsia"/>
                <w:sz w:val="28"/>
              </w:rPr>
              <w:t>佑全營造</w:t>
            </w:r>
            <w:proofErr w:type="gramEnd"/>
            <w:r>
              <w:rPr>
                <w:rFonts w:ascii="標楷體" w:eastAsia="標楷體" w:hAnsi="標楷體" w:hint="eastAsia"/>
                <w:sz w:val="28"/>
              </w:rPr>
              <w:t>、國興營造、順</w:t>
            </w:r>
            <w:proofErr w:type="gramStart"/>
            <w:r>
              <w:rPr>
                <w:rFonts w:ascii="標楷體" w:eastAsia="標楷體" w:hAnsi="標楷體" w:hint="eastAsia"/>
                <w:sz w:val="28"/>
              </w:rPr>
              <w:t>凱</w:t>
            </w:r>
            <w:proofErr w:type="gramEnd"/>
            <w:r>
              <w:rPr>
                <w:rFonts w:ascii="標楷體" w:eastAsia="標楷體" w:hAnsi="標楷體" w:hint="eastAsia"/>
                <w:sz w:val="28"/>
              </w:rPr>
              <w:t>營造、正龍土木（廠商資格文件為空白或標單封錯置）</w:t>
            </w:r>
          </w:p>
          <w:p w:rsidR="00000000" w:rsidRDefault="00C11014">
            <w:pPr>
              <w:snapToGrid w:val="0"/>
              <w:spacing w:line="360" w:lineRule="exact"/>
              <w:rPr>
                <w:rFonts w:ascii="標楷體" w:hAnsi="標楷體" w:hint="eastAsia"/>
                <w:sz w:val="28"/>
              </w:rPr>
            </w:pPr>
            <w:r>
              <w:rPr>
                <w:rFonts w:ascii="標楷體" w:hAnsi="標楷體" w:hint="eastAsia"/>
                <w:sz w:val="28"/>
              </w:rPr>
              <w:t>標單不合格廠商：</w:t>
            </w:r>
          </w:p>
          <w:p w:rsidR="00000000" w:rsidRDefault="00C11014">
            <w:pPr>
              <w:snapToGrid w:val="0"/>
              <w:spacing w:line="360" w:lineRule="exact"/>
              <w:rPr>
                <w:rFonts w:ascii="標楷體" w:hAnsi="標楷體" w:hint="eastAsia"/>
                <w:sz w:val="28"/>
              </w:rPr>
            </w:pPr>
            <w:proofErr w:type="gramStart"/>
            <w:r>
              <w:rPr>
                <w:rFonts w:ascii="標楷體" w:hAnsi="標楷體" w:hint="eastAsia"/>
                <w:sz w:val="28"/>
              </w:rPr>
              <w:t>洋伸營造</w:t>
            </w:r>
            <w:proofErr w:type="gramEnd"/>
            <w:r>
              <w:rPr>
                <w:rFonts w:ascii="標楷體" w:hAnsi="標楷體" w:hint="eastAsia"/>
                <w:sz w:val="28"/>
              </w:rPr>
              <w:t>（標單塗改未蓋章）</w:t>
            </w:r>
          </w:p>
          <w:p w:rsidR="00000000" w:rsidRDefault="00C11014">
            <w:pPr>
              <w:snapToGrid w:val="0"/>
              <w:spacing w:line="360" w:lineRule="exact"/>
              <w:rPr>
                <w:rFonts w:ascii="標楷體" w:hAnsi="標楷體" w:hint="eastAsia"/>
                <w:sz w:val="28"/>
              </w:rPr>
            </w:pPr>
            <w:r>
              <w:rPr>
                <w:rFonts w:ascii="標楷體" w:hAnsi="標楷體" w:hint="eastAsia"/>
                <w:sz w:val="28"/>
              </w:rPr>
              <w:t>字體相似或相同：</w:t>
            </w:r>
          </w:p>
          <w:p w:rsidR="00000000" w:rsidRDefault="00C11014">
            <w:pPr>
              <w:snapToGrid w:val="0"/>
              <w:spacing w:line="360" w:lineRule="exact"/>
              <w:rPr>
                <w:rFonts w:ascii="標楷體" w:hAnsi="標楷體"/>
                <w:sz w:val="28"/>
              </w:rPr>
            </w:pPr>
            <w:proofErr w:type="gramStart"/>
            <w:r>
              <w:rPr>
                <w:rFonts w:ascii="標楷體" w:hAnsi="標楷體" w:hint="eastAsia"/>
                <w:sz w:val="28"/>
              </w:rPr>
              <w:t>佳濃營造</w:t>
            </w:r>
            <w:proofErr w:type="gramEnd"/>
            <w:r>
              <w:rPr>
                <w:rFonts w:ascii="標楷體" w:hAnsi="標楷體" w:hint="eastAsia"/>
                <w:sz w:val="28"/>
              </w:rPr>
              <w:t>、國農營造、</w:t>
            </w:r>
            <w:proofErr w:type="gramStart"/>
            <w:r>
              <w:rPr>
                <w:rFonts w:ascii="標楷體" w:hAnsi="標楷體" w:hint="eastAsia"/>
                <w:sz w:val="28"/>
              </w:rPr>
              <w:t>洋伸營造</w:t>
            </w:r>
            <w:proofErr w:type="gramEnd"/>
            <w:r>
              <w:rPr>
                <w:rFonts w:ascii="標楷體" w:hAnsi="標楷體" w:hint="eastAsia"/>
                <w:sz w:val="28"/>
              </w:rPr>
              <w:t>（字體相似）；新港營造與華記營造（字體幾乎相同）</w:t>
            </w:r>
          </w:p>
        </w:tc>
      </w:tr>
      <w:tr w:rsidR="00000000">
        <w:trPr>
          <w:trHeight w:val="702"/>
          <w:jc w:val="center"/>
        </w:trPr>
        <w:tc>
          <w:tcPr>
            <w:tcW w:w="1308" w:type="dxa"/>
            <w:tcMar>
              <w:top w:w="17" w:type="dxa"/>
              <w:left w:w="17" w:type="dxa"/>
              <w:bottom w:w="0" w:type="dxa"/>
              <w:right w:w="17" w:type="dxa"/>
            </w:tcMar>
            <w:vAlign w:val="center"/>
          </w:tcPr>
          <w:p w:rsidR="00000000" w:rsidRDefault="00C11014">
            <w:pPr>
              <w:snapToGrid w:val="0"/>
              <w:spacing w:line="360" w:lineRule="exact"/>
              <w:jc w:val="both"/>
              <w:rPr>
                <w:rFonts w:ascii="標楷體" w:hAnsi="標楷體"/>
                <w:sz w:val="28"/>
              </w:rPr>
            </w:pPr>
            <w:r>
              <w:rPr>
                <w:rFonts w:ascii="標楷體" w:hAnsi="標楷體" w:hint="eastAsia"/>
                <w:sz w:val="28"/>
              </w:rPr>
              <w:t>坪頂中排復建工程</w:t>
            </w:r>
          </w:p>
        </w:tc>
        <w:tc>
          <w:tcPr>
            <w:tcW w:w="2380" w:type="dxa"/>
            <w:tcMar>
              <w:top w:w="17" w:type="dxa"/>
              <w:left w:w="17" w:type="dxa"/>
              <w:bottom w:w="0" w:type="dxa"/>
              <w:right w:w="17" w:type="dxa"/>
            </w:tcMar>
            <w:vAlign w:val="center"/>
          </w:tcPr>
          <w:p w:rsidR="00000000" w:rsidRDefault="00C11014">
            <w:pPr>
              <w:snapToGrid w:val="0"/>
              <w:spacing w:line="360" w:lineRule="exact"/>
              <w:rPr>
                <w:rFonts w:ascii="標楷體" w:hAnsi="標楷體"/>
                <w:sz w:val="28"/>
              </w:rPr>
            </w:pPr>
            <w:r>
              <w:rPr>
                <w:rFonts w:ascii="標楷體" w:hAnsi="標楷體" w:hint="eastAsia"/>
                <w:sz w:val="28"/>
              </w:rPr>
              <w:t>國農</w:t>
            </w:r>
            <w:r>
              <w:rPr>
                <w:rFonts w:ascii="標楷體" w:hAnsi="標楷體" w:hint="eastAsia"/>
                <w:sz w:val="28"/>
              </w:rPr>
              <w:t>營造、</w:t>
            </w:r>
            <w:proofErr w:type="gramStart"/>
            <w:r>
              <w:rPr>
                <w:rFonts w:ascii="標楷體" w:hAnsi="標楷體" w:hint="eastAsia"/>
                <w:sz w:val="28"/>
              </w:rPr>
              <w:t>佳濃營造</w:t>
            </w:r>
            <w:proofErr w:type="gramEnd"/>
            <w:r>
              <w:rPr>
                <w:rFonts w:ascii="標楷體" w:hAnsi="標楷體" w:hint="eastAsia"/>
                <w:sz w:val="28"/>
              </w:rPr>
              <w:t>、東雄營造、</w:t>
            </w:r>
            <w:proofErr w:type="gramStart"/>
            <w:r>
              <w:rPr>
                <w:rFonts w:ascii="標楷體" w:hAnsi="標楷體" w:hint="eastAsia"/>
                <w:sz w:val="28"/>
              </w:rPr>
              <w:t>佑全營造</w:t>
            </w:r>
            <w:proofErr w:type="gramEnd"/>
            <w:r>
              <w:rPr>
                <w:rFonts w:ascii="標楷體" w:hAnsi="標楷體" w:hint="eastAsia"/>
                <w:sz w:val="28"/>
              </w:rPr>
              <w:t>、國興營造、順</w:t>
            </w:r>
            <w:proofErr w:type="gramStart"/>
            <w:r>
              <w:rPr>
                <w:rFonts w:ascii="標楷體" w:hAnsi="標楷體" w:hint="eastAsia"/>
                <w:sz w:val="28"/>
              </w:rPr>
              <w:t>凱</w:t>
            </w:r>
            <w:proofErr w:type="gramEnd"/>
            <w:r>
              <w:rPr>
                <w:rFonts w:ascii="標楷體" w:hAnsi="標楷體" w:hint="eastAsia"/>
                <w:sz w:val="28"/>
              </w:rPr>
              <w:t>營造、</w:t>
            </w:r>
            <w:proofErr w:type="gramStart"/>
            <w:r>
              <w:rPr>
                <w:rFonts w:ascii="標楷體" w:hAnsi="標楷體" w:hint="eastAsia"/>
                <w:sz w:val="28"/>
              </w:rPr>
              <w:t>鴻業營造</w:t>
            </w:r>
            <w:proofErr w:type="gramEnd"/>
            <w:r>
              <w:rPr>
                <w:rFonts w:ascii="標楷體" w:hAnsi="標楷體" w:hint="eastAsia"/>
                <w:sz w:val="28"/>
              </w:rPr>
              <w:t>、欣榮營造、正良營造</w:t>
            </w:r>
          </w:p>
        </w:tc>
        <w:tc>
          <w:tcPr>
            <w:tcW w:w="4678" w:type="dxa"/>
            <w:tcMar>
              <w:top w:w="17" w:type="dxa"/>
              <w:left w:w="17" w:type="dxa"/>
              <w:bottom w:w="0" w:type="dxa"/>
              <w:right w:w="17" w:type="dxa"/>
            </w:tcMar>
            <w:vAlign w:val="center"/>
          </w:tcPr>
          <w:p w:rsidR="00000000" w:rsidRDefault="00C11014">
            <w:pPr>
              <w:snapToGrid w:val="0"/>
              <w:spacing w:line="360" w:lineRule="exact"/>
              <w:rPr>
                <w:rFonts w:ascii="標楷體" w:hAnsi="標楷體" w:hint="eastAsia"/>
                <w:sz w:val="28"/>
              </w:rPr>
            </w:pPr>
            <w:r>
              <w:rPr>
                <w:rFonts w:ascii="標楷體" w:hAnsi="標楷體" w:hint="eastAsia"/>
                <w:sz w:val="28"/>
              </w:rPr>
              <w:t>基本資格不合：</w:t>
            </w:r>
          </w:p>
          <w:p w:rsidR="00000000" w:rsidRDefault="00C11014">
            <w:pPr>
              <w:snapToGrid w:val="0"/>
              <w:spacing w:line="360" w:lineRule="exact"/>
              <w:rPr>
                <w:rFonts w:ascii="標楷體" w:hAnsi="標楷體" w:hint="eastAsia"/>
                <w:sz w:val="28"/>
              </w:rPr>
            </w:pPr>
            <w:r>
              <w:rPr>
                <w:rFonts w:ascii="標楷體" w:hAnsi="標楷體" w:hint="eastAsia"/>
                <w:sz w:val="28"/>
              </w:rPr>
              <w:t>東雄營造、</w:t>
            </w:r>
            <w:proofErr w:type="gramStart"/>
            <w:r>
              <w:rPr>
                <w:rFonts w:ascii="標楷體" w:hAnsi="標楷體" w:hint="eastAsia"/>
                <w:sz w:val="28"/>
              </w:rPr>
              <w:t>佑全營造</w:t>
            </w:r>
            <w:proofErr w:type="gramEnd"/>
            <w:r>
              <w:rPr>
                <w:rFonts w:ascii="標楷體" w:hAnsi="標楷體" w:hint="eastAsia"/>
                <w:sz w:val="28"/>
              </w:rPr>
              <w:t>、國興營造、順</w:t>
            </w:r>
            <w:proofErr w:type="gramStart"/>
            <w:r>
              <w:rPr>
                <w:rFonts w:ascii="標楷體" w:hAnsi="標楷體" w:hint="eastAsia"/>
                <w:sz w:val="28"/>
              </w:rPr>
              <w:t>凱</w:t>
            </w:r>
            <w:proofErr w:type="gramEnd"/>
            <w:r>
              <w:rPr>
                <w:rFonts w:ascii="標楷體" w:hAnsi="標楷體" w:hint="eastAsia"/>
                <w:sz w:val="28"/>
              </w:rPr>
              <w:t>營造（廠商資格文件為空白或標單封錯置）</w:t>
            </w:r>
          </w:p>
          <w:p w:rsidR="00000000" w:rsidRDefault="00C11014">
            <w:pPr>
              <w:snapToGrid w:val="0"/>
              <w:spacing w:line="360" w:lineRule="exact"/>
              <w:rPr>
                <w:rFonts w:ascii="標楷體" w:hAnsi="標楷體" w:hint="eastAsia"/>
                <w:sz w:val="28"/>
              </w:rPr>
            </w:pPr>
            <w:r>
              <w:rPr>
                <w:rFonts w:ascii="標楷體" w:hAnsi="標楷體" w:hint="eastAsia"/>
                <w:sz w:val="28"/>
              </w:rPr>
              <w:t>字體相似或相同：</w:t>
            </w:r>
          </w:p>
          <w:p w:rsidR="00000000" w:rsidRDefault="00C11014">
            <w:pPr>
              <w:pStyle w:val="22"/>
              <w:spacing w:line="360" w:lineRule="exact"/>
              <w:jc w:val="both"/>
              <w:rPr>
                <w:rFonts w:ascii="標楷體" w:eastAsia="標楷體" w:hAnsi="標楷體" w:hint="eastAsia"/>
                <w:sz w:val="28"/>
              </w:rPr>
            </w:pPr>
            <w:proofErr w:type="gramStart"/>
            <w:r>
              <w:rPr>
                <w:rFonts w:ascii="標楷體" w:eastAsia="標楷體" w:hAnsi="標楷體" w:hint="eastAsia"/>
                <w:sz w:val="28"/>
              </w:rPr>
              <w:t>佳濃營造</w:t>
            </w:r>
            <w:proofErr w:type="gramEnd"/>
            <w:r>
              <w:rPr>
                <w:rFonts w:ascii="標楷體" w:eastAsia="標楷體" w:hAnsi="標楷體" w:hint="eastAsia"/>
                <w:sz w:val="28"/>
              </w:rPr>
              <w:t>、國農營造（字體相似）</w:t>
            </w:r>
          </w:p>
        </w:tc>
      </w:tr>
    </w:tbl>
    <w:p w:rsidR="00000000" w:rsidRDefault="00C11014">
      <w:pPr>
        <w:rPr>
          <w:rFonts w:ascii="標楷體" w:hAnsi="標楷體" w:hint="eastAsia"/>
        </w:rPr>
      </w:pPr>
    </w:p>
    <w:p w:rsidR="00000000" w:rsidRDefault="00C11014">
      <w:pPr>
        <w:pStyle w:val="3"/>
        <w:rPr>
          <w:rFonts w:hAnsi="標楷體" w:hint="eastAsia"/>
        </w:rPr>
      </w:pPr>
      <w:r>
        <w:rPr>
          <w:rFonts w:hAnsi="標楷體" w:hint="eastAsia"/>
        </w:rPr>
        <w:t>針對上開</w:t>
      </w:r>
      <w:proofErr w:type="gramStart"/>
      <w:r>
        <w:rPr>
          <w:rFonts w:hAnsi="標楷體" w:hint="eastAsia"/>
        </w:rPr>
        <w:t>疑</w:t>
      </w:r>
      <w:proofErr w:type="gramEnd"/>
      <w:r>
        <w:rPr>
          <w:rFonts w:hAnsi="標楷體" w:hint="eastAsia"/>
        </w:rPr>
        <w:t>有圍標、陪標之事實，嘉義縣溪口鄉公所承辦人員於約詢時表示，上開</w:t>
      </w:r>
      <w:r>
        <w:rPr>
          <w:rFonts w:hAnsi="標楷體" w:hint="eastAsia"/>
        </w:rPr>
        <w:t>3</w:t>
      </w:r>
      <w:r>
        <w:rPr>
          <w:rFonts w:hAnsi="標楷體" w:hint="eastAsia"/>
        </w:rPr>
        <w:t>項工程同一天發包，因公所從未發生這般情形，且開標當天並無廠商提出異議或干擾開標作業，又上級補助款要求</w:t>
      </w:r>
      <w:r>
        <w:rPr>
          <w:rFonts w:hAnsi="標楷體" w:hint="eastAsia"/>
        </w:rPr>
        <w:t>94</w:t>
      </w:r>
      <w:r>
        <w:rPr>
          <w:rFonts w:hAnsi="標楷體" w:hint="eastAsia"/>
        </w:rPr>
        <w:t>年底限期發包之因素，故未能即時於開標現場進行</w:t>
      </w:r>
      <w:proofErr w:type="gramStart"/>
      <w:r>
        <w:rPr>
          <w:rFonts w:hAnsi="標楷體" w:hint="eastAsia"/>
        </w:rPr>
        <w:t>處置或亦未</w:t>
      </w:r>
      <w:proofErr w:type="gramEnd"/>
      <w:r>
        <w:rPr>
          <w:rFonts w:hAnsi="標楷體" w:hint="eastAsia"/>
        </w:rPr>
        <w:t>於開標後進行相關查證作為。</w:t>
      </w:r>
      <w:proofErr w:type="gramStart"/>
      <w:r>
        <w:rPr>
          <w:rFonts w:hAnsi="標楷體" w:hint="eastAsia"/>
        </w:rPr>
        <w:t>然上開</w:t>
      </w:r>
      <w:proofErr w:type="gramEnd"/>
      <w:r>
        <w:rPr>
          <w:rFonts w:hAnsi="標楷體" w:hint="eastAsia"/>
        </w:rPr>
        <w:t>3</w:t>
      </w:r>
      <w:r>
        <w:rPr>
          <w:rFonts w:hAnsi="標楷體" w:hint="eastAsia"/>
        </w:rPr>
        <w:t>項工程同一天發包</w:t>
      </w:r>
      <w:r>
        <w:rPr>
          <w:rFonts w:hAnsi="標楷體" w:hint="eastAsia"/>
        </w:rPr>
        <w:t>，又有相同之疑似圍標、陪標情事，對鄉公所所稱無法知悉乙節，</w:t>
      </w:r>
      <w:proofErr w:type="gramStart"/>
      <w:r>
        <w:rPr>
          <w:rFonts w:hAnsi="標楷體" w:hint="eastAsia"/>
        </w:rPr>
        <w:t>應屬飾卸</w:t>
      </w:r>
      <w:proofErr w:type="gramEnd"/>
      <w:r>
        <w:rPr>
          <w:rFonts w:hAnsi="標楷體" w:hint="eastAsia"/>
        </w:rPr>
        <w:t>之詞，顯見溪口鄉公所於辦理採購過程未能依政府採購法</w:t>
      </w:r>
      <w:proofErr w:type="gramStart"/>
      <w:r>
        <w:rPr>
          <w:rFonts w:hAnsi="標楷體" w:hint="eastAsia"/>
        </w:rPr>
        <w:t>予以妥處</w:t>
      </w:r>
      <w:proofErr w:type="gramEnd"/>
      <w:r>
        <w:rPr>
          <w:rFonts w:hAnsi="標楷體" w:hint="eastAsia"/>
        </w:rPr>
        <w:t>。</w:t>
      </w:r>
    </w:p>
    <w:p w:rsidR="00000000" w:rsidRDefault="00C11014">
      <w:pPr>
        <w:pStyle w:val="3"/>
        <w:rPr>
          <w:rFonts w:hAnsi="標楷體" w:hint="eastAsia"/>
        </w:rPr>
      </w:pPr>
      <w:r>
        <w:rPr>
          <w:rFonts w:hAnsi="標楷體" w:hint="eastAsia"/>
        </w:rPr>
        <w:t>綜上，嘉義縣溪口鄉公所在辦理「溪口鄉</w:t>
      </w:r>
      <w:proofErr w:type="gramStart"/>
      <w:r>
        <w:rPr>
          <w:rFonts w:hAnsi="標楷體" w:hint="eastAsia"/>
        </w:rPr>
        <w:t>游厝</w:t>
      </w:r>
      <w:proofErr w:type="gramEnd"/>
      <w:r>
        <w:rPr>
          <w:rFonts w:hAnsi="標楷體" w:hint="eastAsia"/>
        </w:rPr>
        <w:t>休閒運動園區計畫工程」、「溪口鄉公（兒）四開闢（第一期）工程」及「坪頂中排改善工程」之採購決標過程，同一天發包之</w:t>
      </w:r>
      <w:r>
        <w:rPr>
          <w:rFonts w:hAnsi="標楷體" w:hint="eastAsia"/>
        </w:rPr>
        <w:t>3</w:t>
      </w:r>
      <w:r>
        <w:rPr>
          <w:rFonts w:hAnsi="標楷體" w:hint="eastAsia"/>
        </w:rPr>
        <w:t>項工程，發生相同之足以影響採購公正之違法及不當或</w:t>
      </w:r>
      <w:proofErr w:type="gramStart"/>
      <w:r>
        <w:rPr>
          <w:rFonts w:hAnsi="標楷體" w:hint="eastAsia"/>
        </w:rPr>
        <w:t>廠商間有重大</w:t>
      </w:r>
      <w:proofErr w:type="gramEnd"/>
      <w:r>
        <w:rPr>
          <w:rFonts w:hAnsi="標楷體" w:hint="eastAsia"/>
        </w:rPr>
        <w:t>異常關聯之異常行為，</w:t>
      </w:r>
      <w:proofErr w:type="gramStart"/>
      <w:r>
        <w:rPr>
          <w:rFonts w:hAnsi="標楷體" w:hint="eastAsia"/>
        </w:rPr>
        <w:t>僅飾稱</w:t>
      </w:r>
      <w:proofErr w:type="gramEnd"/>
      <w:r>
        <w:rPr>
          <w:rFonts w:hAnsi="標楷體" w:hint="eastAsia"/>
        </w:rPr>
        <w:t>無法知情廠商違法行為，而未能依法即時採取因應措施或及事後查證</w:t>
      </w:r>
      <w:proofErr w:type="gramStart"/>
      <w:r>
        <w:rPr>
          <w:rFonts w:hAnsi="標楷體" w:hint="eastAsia"/>
        </w:rPr>
        <w:t>妥處，皆核</w:t>
      </w:r>
      <w:proofErr w:type="gramEnd"/>
      <w:r>
        <w:rPr>
          <w:rFonts w:hAnsi="標楷體" w:hint="eastAsia"/>
        </w:rPr>
        <w:t>有違失。</w:t>
      </w:r>
    </w:p>
    <w:p w:rsidR="00000000" w:rsidRDefault="00C11014">
      <w:pPr>
        <w:pStyle w:val="2"/>
        <w:rPr>
          <w:rFonts w:hint="eastAsia"/>
        </w:rPr>
      </w:pPr>
      <w:r>
        <w:rPr>
          <w:rFonts w:hint="eastAsia"/>
        </w:rPr>
        <w:t>嘉義縣溪口鄉公所辦理「溪口鄉</w:t>
      </w:r>
      <w:proofErr w:type="gramStart"/>
      <w:r>
        <w:rPr>
          <w:rFonts w:hint="eastAsia"/>
        </w:rPr>
        <w:t>游厝</w:t>
      </w:r>
      <w:proofErr w:type="gramEnd"/>
      <w:r>
        <w:rPr>
          <w:rFonts w:hint="eastAsia"/>
        </w:rPr>
        <w:t>休閒運動園區計畫工程」測設監造服</w:t>
      </w:r>
      <w:r>
        <w:rPr>
          <w:rFonts w:hint="eastAsia"/>
        </w:rPr>
        <w:t>務採購，核有不當認定廠商資格及採用限定尺寸器材，涉有</w:t>
      </w:r>
      <w:r>
        <w:rPr>
          <w:rFonts w:hint="eastAsia"/>
          <w:szCs w:val="32"/>
        </w:rPr>
        <w:t>規格</w:t>
      </w:r>
      <w:r>
        <w:rPr>
          <w:rFonts w:hint="eastAsia"/>
        </w:rPr>
        <w:t>綁標；辦理「溪口鄉公（兒）四開闢（第一期）工程」及「坪頂中排改善工程」</w:t>
      </w:r>
      <w:proofErr w:type="gramStart"/>
      <w:r>
        <w:rPr>
          <w:rFonts w:hint="eastAsia"/>
        </w:rPr>
        <w:t>之測設</w:t>
      </w:r>
      <w:proofErr w:type="gramEnd"/>
      <w:r>
        <w:rPr>
          <w:rFonts w:hint="eastAsia"/>
        </w:rPr>
        <w:t>監造服務採購，除有不當認定廠商資格，其經核定及公告之決標方式，亦前後不一，其採購事宜核有諸多疏失。</w:t>
      </w:r>
    </w:p>
    <w:p w:rsidR="00000000" w:rsidRDefault="00C11014">
      <w:pPr>
        <w:pStyle w:val="3"/>
        <w:rPr>
          <w:rFonts w:hint="eastAsia"/>
        </w:rPr>
      </w:pPr>
      <w:r>
        <w:rPr>
          <w:rFonts w:hint="eastAsia"/>
        </w:rPr>
        <w:t>查「溪口鄉</w:t>
      </w:r>
      <w:proofErr w:type="gramStart"/>
      <w:r>
        <w:rPr>
          <w:rFonts w:hint="eastAsia"/>
        </w:rPr>
        <w:t>游厝</w:t>
      </w:r>
      <w:proofErr w:type="gramEnd"/>
      <w:r>
        <w:rPr>
          <w:rFonts w:hint="eastAsia"/>
        </w:rPr>
        <w:t>休閒運動園區計畫工程」之委託測設</w:t>
      </w:r>
      <w:proofErr w:type="gramStart"/>
      <w:r>
        <w:rPr>
          <w:rFonts w:hint="eastAsia"/>
        </w:rPr>
        <w:t>監造標</w:t>
      </w:r>
      <w:proofErr w:type="gramEnd"/>
      <w:r>
        <w:rPr>
          <w:rFonts w:hint="eastAsia"/>
        </w:rPr>
        <w:t>，以訂有底價參考最有利標精神得標，</w:t>
      </w:r>
      <w:proofErr w:type="gramStart"/>
      <w:r>
        <w:rPr>
          <w:rFonts w:hint="eastAsia"/>
        </w:rPr>
        <w:t>採</w:t>
      </w:r>
      <w:proofErr w:type="gramEnd"/>
      <w:r>
        <w:rPr>
          <w:rFonts w:hint="eastAsia"/>
        </w:rPr>
        <w:t>公開評選方式進行，規定廠商資格為「技師事務所、技術顧問機構」，經</w:t>
      </w:r>
      <w:r>
        <w:rPr>
          <w:rFonts w:hint="eastAsia"/>
        </w:rPr>
        <w:t>94</w:t>
      </w:r>
      <w:r>
        <w:rPr>
          <w:rFonts w:hint="eastAsia"/>
        </w:rPr>
        <w:t>年</w:t>
      </w:r>
      <w:r>
        <w:rPr>
          <w:rFonts w:hint="eastAsia"/>
        </w:rPr>
        <w:t>9</w:t>
      </w:r>
      <w:r>
        <w:rPr>
          <w:rFonts w:hint="eastAsia"/>
        </w:rPr>
        <w:t>月</w:t>
      </w:r>
      <w:r>
        <w:rPr>
          <w:rFonts w:hint="eastAsia"/>
        </w:rPr>
        <w:t>27</w:t>
      </w:r>
      <w:r>
        <w:rPr>
          <w:rFonts w:hint="eastAsia"/>
        </w:rPr>
        <w:t>日開標，僅</w:t>
      </w:r>
      <w:r>
        <w:rPr>
          <w:rFonts w:hint="eastAsia"/>
        </w:rPr>
        <w:lastRenderedPageBreak/>
        <w:t>「李○</w:t>
      </w:r>
      <w:r>
        <w:rPr>
          <w:rFonts w:hint="eastAsia"/>
        </w:rPr>
        <w:t>源建築師事務所」一家投標，審標人員認定其資格符合，經符合基本資格廠商未達</w:t>
      </w:r>
      <w:r>
        <w:rPr>
          <w:rFonts w:hint="eastAsia"/>
        </w:rPr>
        <w:t>3</w:t>
      </w:r>
      <w:r>
        <w:rPr>
          <w:rFonts w:hint="eastAsia"/>
        </w:rPr>
        <w:t>家，簽准後，改以限制性招</w:t>
      </w:r>
      <w:r>
        <w:rPr>
          <w:rFonts w:hint="eastAsia"/>
        </w:rPr>
        <w:t>標方式辦理議價，最後以</w:t>
      </w:r>
      <w:r>
        <w:rPr>
          <w:rFonts w:hint="eastAsia"/>
        </w:rPr>
        <w:t>565,500</w:t>
      </w:r>
      <w:r>
        <w:rPr>
          <w:rFonts w:hint="eastAsia"/>
        </w:rPr>
        <w:t>元</w:t>
      </w:r>
      <w:r>
        <w:rPr>
          <w:rFonts w:hint="eastAsia"/>
        </w:rPr>
        <w:t xml:space="preserve"> (</w:t>
      </w:r>
      <w:r>
        <w:rPr>
          <w:rFonts w:hint="eastAsia"/>
        </w:rPr>
        <w:t>占總預算百分比</w:t>
      </w:r>
      <w:r>
        <w:rPr>
          <w:rFonts w:hint="eastAsia"/>
        </w:rPr>
        <w:t>7.8</w:t>
      </w:r>
      <w:r>
        <w:rPr>
          <w:rFonts w:hint="eastAsia"/>
        </w:rPr>
        <w:t>％，下同</w:t>
      </w:r>
      <w:r>
        <w:rPr>
          <w:rFonts w:hint="eastAsia"/>
        </w:rPr>
        <w:t>)</w:t>
      </w:r>
      <w:r>
        <w:rPr>
          <w:rFonts w:hint="eastAsia"/>
        </w:rPr>
        <w:t>得標，底價為</w:t>
      </w:r>
      <w:r>
        <w:rPr>
          <w:rFonts w:hint="eastAsia"/>
        </w:rPr>
        <w:t>638,000</w:t>
      </w:r>
      <w:r>
        <w:rPr>
          <w:rFonts w:hint="eastAsia"/>
        </w:rPr>
        <w:t>元</w:t>
      </w:r>
      <w:r>
        <w:rPr>
          <w:rFonts w:hint="eastAsia"/>
        </w:rPr>
        <w:t>(8.8</w:t>
      </w:r>
      <w:r>
        <w:rPr>
          <w:rFonts w:hint="eastAsia"/>
        </w:rPr>
        <w:t>％</w:t>
      </w:r>
      <w:r>
        <w:rPr>
          <w:rFonts w:hint="eastAsia"/>
        </w:rPr>
        <w:t>)</w:t>
      </w:r>
      <w:r>
        <w:rPr>
          <w:rFonts w:hint="eastAsia"/>
        </w:rPr>
        <w:t>。</w:t>
      </w:r>
      <w:proofErr w:type="gramStart"/>
      <w:r>
        <w:rPr>
          <w:rFonts w:hint="eastAsia"/>
        </w:rPr>
        <w:t>嗣</w:t>
      </w:r>
      <w:proofErr w:type="gramEnd"/>
      <w:r>
        <w:rPr>
          <w:rFonts w:hint="eastAsia"/>
        </w:rPr>
        <w:t>經審計部抽查</w:t>
      </w:r>
      <w:r>
        <w:rPr>
          <w:rFonts w:hint="eastAsia"/>
        </w:rPr>
        <w:t>95</w:t>
      </w:r>
      <w:r>
        <w:rPr>
          <w:rFonts w:hint="eastAsia"/>
        </w:rPr>
        <w:t>年財務收支審核通知，指建築師與技師分別依據建築師法及技師法等不同法令執行業務，招標公告已排除建築師事務所投標資格，開標時復針對個別建築師事務所進行審查並認定合格，</w:t>
      </w:r>
      <w:proofErr w:type="gramStart"/>
      <w:r>
        <w:rPr>
          <w:rFonts w:hint="eastAsia"/>
        </w:rPr>
        <w:t>前後核</w:t>
      </w:r>
      <w:proofErr w:type="gramEnd"/>
      <w:r>
        <w:rPr>
          <w:rFonts w:hint="eastAsia"/>
        </w:rPr>
        <w:t>有矛盾。</w:t>
      </w:r>
      <w:proofErr w:type="gramStart"/>
      <w:r>
        <w:rPr>
          <w:rFonts w:hint="eastAsia"/>
        </w:rPr>
        <w:t>嗣</w:t>
      </w:r>
      <w:proofErr w:type="gramEnd"/>
      <w:r>
        <w:rPr>
          <w:rFonts w:hint="eastAsia"/>
        </w:rPr>
        <w:t>溪口鄉公所函復審計部，經詢問行政院公共工程委員會釋疑，上開不當認定廠商投標資格，確由於承辦人員誤解，並請該鄉鄉長核示懲處，經批示僅以口頭告誡。顯見鄉公所確實有不當認定廠商投標資格，有違採購法公平合理原則</w:t>
      </w:r>
      <w:r>
        <w:rPr>
          <w:rFonts w:hint="eastAsia"/>
        </w:rPr>
        <w:t>。</w:t>
      </w:r>
    </w:p>
    <w:p w:rsidR="00000000" w:rsidRDefault="00C11014">
      <w:pPr>
        <w:pStyle w:val="3"/>
        <w:rPr>
          <w:rFonts w:hint="eastAsia"/>
        </w:rPr>
      </w:pPr>
      <w:r>
        <w:rPr>
          <w:rFonts w:hint="eastAsia"/>
        </w:rPr>
        <w:t>據政府採購法第</w:t>
      </w:r>
      <w:r>
        <w:rPr>
          <w:rFonts w:hint="eastAsia"/>
        </w:rPr>
        <w:t>26</w:t>
      </w:r>
      <w:r>
        <w:rPr>
          <w:rFonts w:hint="eastAsia"/>
        </w:rPr>
        <w:t>條第</w:t>
      </w:r>
      <w:r>
        <w:rPr>
          <w:rFonts w:hint="eastAsia"/>
        </w:rPr>
        <w:t>2</w:t>
      </w:r>
      <w:r>
        <w:rPr>
          <w:rFonts w:hint="eastAsia"/>
        </w:rPr>
        <w:t>項規定，</w:t>
      </w:r>
      <w:r>
        <w:t>機關所擬定、採用或適用之技術規格，其所標示之擬採購產品或服務之特性，諸如品質、性能、安全、尺寸、符號、術語、包裝、標誌及標示或生產程序、方法及評估之程序，在目的及效果上均不得限制競爭。</w:t>
      </w:r>
      <w:r>
        <w:rPr>
          <w:rFonts w:hint="eastAsia"/>
        </w:rPr>
        <w:t>同條第</w:t>
      </w:r>
      <w:r>
        <w:rPr>
          <w:rFonts w:hint="eastAsia"/>
        </w:rPr>
        <w:t>3</w:t>
      </w:r>
      <w:r>
        <w:rPr>
          <w:rFonts w:hint="eastAsia"/>
        </w:rPr>
        <w:t>項規定，</w:t>
      </w:r>
      <w:r>
        <w:t>招標文件不得要求或提及特定之商標或商名、專利、設計或型式、特定來源地、生產者或供應者。但無法以精確之方式說明招標要求，而已在招標文件內註明諸如「或同等品」字樣者，不在此限</w:t>
      </w:r>
      <w:r>
        <w:rPr>
          <w:rFonts w:hint="eastAsia"/>
        </w:rPr>
        <w:t>。查</w:t>
      </w:r>
      <w:r>
        <w:rPr>
          <w:rFonts w:hint="eastAsia"/>
          <w:szCs w:val="48"/>
        </w:rPr>
        <w:t>「溪口</w:t>
      </w:r>
      <w:r>
        <w:rPr>
          <w:rFonts w:hint="eastAsia"/>
        </w:rPr>
        <w:t>鄉</w:t>
      </w:r>
      <w:proofErr w:type="gramStart"/>
      <w:r>
        <w:rPr>
          <w:rFonts w:hint="eastAsia"/>
        </w:rPr>
        <w:t>游厝</w:t>
      </w:r>
      <w:proofErr w:type="gramEnd"/>
      <w:r>
        <w:rPr>
          <w:rFonts w:hint="eastAsia"/>
        </w:rPr>
        <w:t>休閒運動園區計畫工程」</w:t>
      </w:r>
      <w:proofErr w:type="gramStart"/>
      <w:r>
        <w:rPr>
          <w:rFonts w:hint="eastAsia"/>
        </w:rPr>
        <w:t>之遊具及</w:t>
      </w:r>
      <w:proofErr w:type="gramEnd"/>
      <w:r>
        <w:rPr>
          <w:rFonts w:hint="eastAsia"/>
        </w:rPr>
        <w:t>體健器材，於招標</w:t>
      </w:r>
      <w:proofErr w:type="gramStart"/>
      <w:r>
        <w:rPr>
          <w:rFonts w:hint="eastAsia"/>
        </w:rPr>
        <w:t>圖說圖號</w:t>
      </w:r>
      <w:r>
        <w:rPr>
          <w:rFonts w:hint="eastAsia"/>
        </w:rPr>
        <w:t>14</w:t>
      </w:r>
      <w:r>
        <w:rPr>
          <w:rFonts w:hint="eastAsia"/>
        </w:rPr>
        <w:t>至</w:t>
      </w:r>
      <w:r>
        <w:rPr>
          <w:rFonts w:hint="eastAsia"/>
        </w:rPr>
        <w:t>21</w:t>
      </w:r>
      <w:r>
        <w:rPr>
          <w:rFonts w:hint="eastAsia"/>
        </w:rPr>
        <w:t>頁</w:t>
      </w:r>
      <w:proofErr w:type="gramEnd"/>
      <w:r>
        <w:rPr>
          <w:rFonts w:hint="eastAsia"/>
        </w:rPr>
        <w:t>詳細規範</w:t>
      </w:r>
      <w:proofErr w:type="gramStart"/>
      <w:r>
        <w:rPr>
          <w:rFonts w:hint="eastAsia"/>
        </w:rPr>
        <w:t>各遊具</w:t>
      </w:r>
      <w:proofErr w:type="gramEnd"/>
      <w:r>
        <w:rPr>
          <w:rFonts w:hint="eastAsia"/>
        </w:rPr>
        <w:t>及體建器材</w:t>
      </w:r>
      <w:r>
        <w:rPr>
          <w:rFonts w:hint="eastAsia"/>
        </w:rPr>
        <w:t>應符合之材質、尺寸、規格、造型及圖案等，各該單項之</w:t>
      </w:r>
      <w:proofErr w:type="gramStart"/>
      <w:r>
        <w:rPr>
          <w:rFonts w:hint="eastAsia"/>
        </w:rPr>
        <w:t>器具均無容許</w:t>
      </w:r>
      <w:proofErr w:type="gramEnd"/>
      <w:r>
        <w:rPr>
          <w:rFonts w:hint="eastAsia"/>
        </w:rPr>
        <w:t>誤差，亦未允許採用同等品，而有規格綁標之情事，圖利廠商之嫌。</w:t>
      </w:r>
    </w:p>
    <w:p w:rsidR="00000000" w:rsidRDefault="00C11014">
      <w:pPr>
        <w:pStyle w:val="3"/>
        <w:rPr>
          <w:rFonts w:hint="eastAsia"/>
        </w:rPr>
      </w:pPr>
      <w:r>
        <w:rPr>
          <w:szCs w:val="48"/>
        </w:rPr>
        <w:t>「</w:t>
      </w:r>
      <w:r>
        <w:rPr>
          <w:rFonts w:hint="eastAsia"/>
        </w:rPr>
        <w:t>溪口鄉公（兒）四開闢（第一期）工程</w:t>
      </w:r>
      <w:r>
        <w:rPr>
          <w:szCs w:val="48"/>
        </w:rPr>
        <w:t>」</w:t>
      </w:r>
      <w:r>
        <w:rPr>
          <w:rFonts w:hint="eastAsia"/>
          <w:szCs w:val="48"/>
        </w:rPr>
        <w:t>委託測</w:t>
      </w:r>
      <w:r>
        <w:rPr>
          <w:rFonts w:hint="eastAsia"/>
          <w:szCs w:val="48"/>
        </w:rPr>
        <w:lastRenderedPageBreak/>
        <w:t>設監造服務採購招標公告，其公告廠商基本資格為「技師事務所、技術顧問機構」，</w:t>
      </w:r>
      <w:r>
        <w:rPr>
          <w:rFonts w:hint="eastAsia"/>
        </w:rPr>
        <w:t>經</w:t>
      </w:r>
      <w:r>
        <w:rPr>
          <w:rFonts w:hint="eastAsia"/>
        </w:rPr>
        <w:t>94</w:t>
      </w:r>
      <w:r>
        <w:rPr>
          <w:rFonts w:hint="eastAsia"/>
        </w:rPr>
        <w:t>年</w:t>
      </w:r>
      <w:r>
        <w:rPr>
          <w:rFonts w:hint="eastAsia"/>
        </w:rPr>
        <w:t>9</w:t>
      </w:r>
      <w:r>
        <w:rPr>
          <w:rFonts w:hint="eastAsia"/>
        </w:rPr>
        <w:t>月</w:t>
      </w:r>
      <w:r>
        <w:rPr>
          <w:rFonts w:hint="eastAsia"/>
        </w:rPr>
        <w:t>28</w:t>
      </w:r>
      <w:r>
        <w:rPr>
          <w:rFonts w:hint="eastAsia"/>
        </w:rPr>
        <w:t>日開標，僅「李○</w:t>
      </w:r>
      <w:r>
        <w:rPr>
          <w:rFonts w:hint="eastAsia"/>
        </w:rPr>
        <w:t>源建築師事務所」</w:t>
      </w:r>
      <w:r>
        <w:rPr>
          <w:rFonts w:hint="eastAsia"/>
          <w:szCs w:val="32"/>
        </w:rPr>
        <w:t>一家</w:t>
      </w:r>
      <w:r>
        <w:rPr>
          <w:rFonts w:hint="eastAsia"/>
        </w:rPr>
        <w:t>投標，審標人員認定其資格符合，經符合基本資格廠商未達</w:t>
      </w:r>
      <w:r>
        <w:rPr>
          <w:rFonts w:hint="eastAsia"/>
        </w:rPr>
        <w:t>3</w:t>
      </w:r>
      <w:r>
        <w:rPr>
          <w:rFonts w:hint="eastAsia"/>
        </w:rPr>
        <w:t>家，簽准後，改以限制性招標方式辦理議價，評選結果由李清源建築師事務所以</w:t>
      </w:r>
      <w:r>
        <w:rPr>
          <w:rFonts w:hint="eastAsia"/>
        </w:rPr>
        <w:t>395,000</w:t>
      </w:r>
      <w:r>
        <w:rPr>
          <w:rFonts w:hint="eastAsia"/>
        </w:rPr>
        <w:t>元</w:t>
      </w:r>
      <w:r>
        <w:rPr>
          <w:rFonts w:hint="eastAsia"/>
        </w:rPr>
        <w:t xml:space="preserve"> (7.9</w:t>
      </w:r>
      <w:r>
        <w:rPr>
          <w:rFonts w:hint="eastAsia"/>
        </w:rPr>
        <w:t>％</w:t>
      </w:r>
      <w:r>
        <w:rPr>
          <w:rFonts w:hint="eastAsia"/>
        </w:rPr>
        <w:t>)</w:t>
      </w:r>
      <w:r>
        <w:rPr>
          <w:rFonts w:hint="eastAsia"/>
        </w:rPr>
        <w:t>得標，其採購違失態樣亦同於「溪口鄉游厝休閒運動園區計畫工程」委託</w:t>
      </w:r>
      <w:r>
        <w:rPr>
          <w:rFonts w:hint="eastAsia"/>
        </w:rPr>
        <w:t>測設監造標，而有不當認定廠商投標資格之疏失。</w:t>
      </w:r>
    </w:p>
    <w:p w:rsidR="00000000" w:rsidRDefault="00C11014">
      <w:pPr>
        <w:pStyle w:val="3"/>
        <w:rPr>
          <w:rFonts w:hAnsi="標楷體" w:hint="eastAsia"/>
        </w:rPr>
      </w:pPr>
      <w:r>
        <w:rPr>
          <w:rFonts w:hAnsi="標楷體"/>
          <w:szCs w:val="32"/>
        </w:rPr>
        <w:t>「</w:t>
      </w:r>
      <w:r>
        <w:rPr>
          <w:rFonts w:hAnsi="標楷體" w:hint="eastAsia"/>
        </w:rPr>
        <w:t>溪口鄉公（兒）四開闢（第一期）工程</w:t>
      </w:r>
      <w:r>
        <w:rPr>
          <w:rFonts w:hAnsi="標楷體"/>
          <w:szCs w:val="32"/>
        </w:rPr>
        <w:t>」</w:t>
      </w:r>
      <w:r>
        <w:rPr>
          <w:rFonts w:hAnsi="標楷體" w:hint="eastAsia"/>
          <w:szCs w:val="32"/>
        </w:rPr>
        <w:t>委託測設監造服務於內部簽核，</w:t>
      </w:r>
      <w:proofErr w:type="gramStart"/>
      <w:r>
        <w:rPr>
          <w:rFonts w:hAnsi="標楷體" w:hint="eastAsia"/>
          <w:szCs w:val="32"/>
        </w:rPr>
        <w:t>採</w:t>
      </w:r>
      <w:proofErr w:type="gramEnd"/>
      <w:r>
        <w:rPr>
          <w:rFonts w:hAnsi="標楷體" w:hint="eastAsia"/>
          <w:szCs w:val="32"/>
        </w:rPr>
        <w:t>以</w:t>
      </w:r>
      <w:r>
        <w:rPr>
          <w:rFonts w:hAnsi="標楷體" w:hint="eastAsia"/>
        </w:rPr>
        <w:t>訂有底價之採購，合於招標文件規定，且在底價內之最低標為得標廠商為決標方式，</w:t>
      </w:r>
      <w:proofErr w:type="gramStart"/>
      <w:r>
        <w:rPr>
          <w:rFonts w:hAnsi="標楷體" w:hint="eastAsia"/>
        </w:rPr>
        <w:t>嗣</w:t>
      </w:r>
      <w:proofErr w:type="gramEnd"/>
      <w:r>
        <w:rPr>
          <w:rFonts w:hAnsi="標楷體" w:hint="eastAsia"/>
        </w:rPr>
        <w:t>於招標公告亦以訂有底價參考最低標得標為決標方式，然於決標公告卻以訂有底價參考最有利標精神得標為決標方式，實際決標方式則</w:t>
      </w:r>
      <w:proofErr w:type="gramStart"/>
      <w:r>
        <w:rPr>
          <w:rFonts w:hAnsi="標楷體" w:hint="eastAsia"/>
        </w:rPr>
        <w:t>採</w:t>
      </w:r>
      <w:proofErr w:type="gramEnd"/>
      <w:r>
        <w:rPr>
          <w:rFonts w:hAnsi="標楷體" w:hint="eastAsia"/>
        </w:rPr>
        <w:t>訂有底價參考最低標得標為決標方式；</w:t>
      </w:r>
      <w:r>
        <w:rPr>
          <w:rFonts w:hAnsi="標楷體"/>
          <w:szCs w:val="32"/>
        </w:rPr>
        <w:t>「</w:t>
      </w:r>
      <w:r>
        <w:rPr>
          <w:rFonts w:hAnsi="標楷體" w:hint="eastAsia"/>
        </w:rPr>
        <w:t>坪頂中排改善工程</w:t>
      </w:r>
      <w:r>
        <w:rPr>
          <w:rFonts w:hAnsi="標楷體"/>
          <w:szCs w:val="32"/>
        </w:rPr>
        <w:t>」</w:t>
      </w:r>
      <w:r>
        <w:rPr>
          <w:rFonts w:hAnsi="標楷體" w:hint="eastAsia"/>
          <w:szCs w:val="32"/>
        </w:rPr>
        <w:t>委託測設監造服務於內部簽核，</w:t>
      </w:r>
      <w:proofErr w:type="gramStart"/>
      <w:r>
        <w:rPr>
          <w:rFonts w:hAnsi="標楷體" w:hint="eastAsia"/>
          <w:szCs w:val="32"/>
        </w:rPr>
        <w:t>採</w:t>
      </w:r>
      <w:proofErr w:type="gramEnd"/>
      <w:r>
        <w:rPr>
          <w:rFonts w:hAnsi="標楷體" w:hint="eastAsia"/>
          <w:szCs w:val="32"/>
        </w:rPr>
        <w:t>以</w:t>
      </w:r>
      <w:r>
        <w:rPr>
          <w:rFonts w:hAnsi="標楷體" w:hint="eastAsia"/>
        </w:rPr>
        <w:t>訂有底價之採購，合於招標文件規定，且在底價內之最低標為得標廠商為決標方式，</w:t>
      </w:r>
      <w:proofErr w:type="gramStart"/>
      <w:r>
        <w:rPr>
          <w:rFonts w:hAnsi="標楷體" w:hint="eastAsia"/>
        </w:rPr>
        <w:t>嗣</w:t>
      </w:r>
      <w:proofErr w:type="gramEnd"/>
      <w:r>
        <w:rPr>
          <w:rFonts w:hAnsi="標楷體" w:hint="eastAsia"/>
        </w:rPr>
        <w:t>於招標公告則以訂有底價參考最有利標精神</w:t>
      </w:r>
      <w:r>
        <w:rPr>
          <w:rFonts w:hAnsi="標楷體" w:hint="eastAsia"/>
        </w:rPr>
        <w:t>得標為決標方式，然於決標公告亦以訂有底價參考最有利標精神得標為決標方式，實際決標方式則</w:t>
      </w:r>
      <w:proofErr w:type="gramStart"/>
      <w:r>
        <w:rPr>
          <w:rFonts w:hAnsi="標楷體" w:hint="eastAsia"/>
        </w:rPr>
        <w:t>採</w:t>
      </w:r>
      <w:proofErr w:type="gramEnd"/>
      <w:r>
        <w:rPr>
          <w:rFonts w:hAnsi="標楷體" w:hint="eastAsia"/>
        </w:rPr>
        <w:t>訂有底價參考最低標得標為決標方式。嘉義縣溪口鄉公所承辦人員於約詢時表示，一般勞務採購係由總務單位就勞務採購性質依慣例建檔使用並簽准公告事宜，惟</w:t>
      </w:r>
      <w:proofErr w:type="gramStart"/>
      <w:r>
        <w:rPr>
          <w:rFonts w:hAnsi="標楷體" w:hint="eastAsia"/>
        </w:rPr>
        <w:t>上開經核定</w:t>
      </w:r>
      <w:proofErr w:type="gramEnd"/>
      <w:r>
        <w:rPr>
          <w:rFonts w:hAnsi="標楷體" w:hint="eastAsia"/>
        </w:rPr>
        <w:t>及公告之決標方式，有前後不一之情事，</w:t>
      </w:r>
      <w:proofErr w:type="gramStart"/>
      <w:r>
        <w:rPr>
          <w:rFonts w:hAnsi="標楷體" w:hint="eastAsia"/>
        </w:rPr>
        <w:t>應屬勾選</w:t>
      </w:r>
      <w:proofErr w:type="gramEnd"/>
      <w:r>
        <w:rPr>
          <w:rFonts w:hAnsi="標楷體" w:hint="eastAsia"/>
        </w:rPr>
        <w:t>錯誤，係屬人為疏失。</w:t>
      </w:r>
    </w:p>
    <w:p w:rsidR="00000000" w:rsidRDefault="00C11014">
      <w:pPr>
        <w:pStyle w:val="3"/>
        <w:rPr>
          <w:rFonts w:hint="eastAsia"/>
          <w:bCs w:val="0"/>
          <w:color w:val="000000"/>
        </w:rPr>
      </w:pPr>
      <w:r>
        <w:rPr>
          <w:rFonts w:hint="eastAsia"/>
        </w:rPr>
        <w:t>綜上，嘉義縣溪口鄉公所辦理「溪口鄉</w:t>
      </w:r>
      <w:proofErr w:type="gramStart"/>
      <w:r>
        <w:rPr>
          <w:rFonts w:hint="eastAsia"/>
        </w:rPr>
        <w:t>游厝</w:t>
      </w:r>
      <w:proofErr w:type="gramEnd"/>
      <w:r>
        <w:rPr>
          <w:rFonts w:hint="eastAsia"/>
        </w:rPr>
        <w:t>休閒運動園區計畫工程」測設監造服務採購，限定投標資格為「技師事務所、技術顧問機構」，卻不當認定</w:t>
      </w:r>
      <w:r>
        <w:rPr>
          <w:rFonts w:hint="eastAsia"/>
        </w:rPr>
        <w:lastRenderedPageBreak/>
        <w:t>廠商資格，任由建築師事務所得標，且採用器材，限定尺寸，</w:t>
      </w:r>
      <w:proofErr w:type="gramStart"/>
      <w:r>
        <w:rPr>
          <w:rFonts w:hint="eastAsia"/>
        </w:rPr>
        <w:t>均無容許</w:t>
      </w:r>
      <w:proofErr w:type="gramEnd"/>
      <w:r>
        <w:rPr>
          <w:rFonts w:hint="eastAsia"/>
        </w:rPr>
        <w:t>誤差，亦未允</w:t>
      </w:r>
      <w:r>
        <w:rPr>
          <w:rFonts w:hint="eastAsia"/>
        </w:rPr>
        <w:t>許採用同等品，而有規格綁標之情事；辦理「溪口鄉公（兒）四開闢（第一期）工程」及「坪頂中排改善工程」</w:t>
      </w:r>
      <w:proofErr w:type="gramStart"/>
      <w:r>
        <w:rPr>
          <w:rFonts w:hint="eastAsia"/>
        </w:rPr>
        <w:t>之測設</w:t>
      </w:r>
      <w:proofErr w:type="gramEnd"/>
      <w:r>
        <w:rPr>
          <w:rFonts w:hint="eastAsia"/>
        </w:rPr>
        <w:t>監造服務採購，除同於「溪口鄉</w:t>
      </w:r>
      <w:proofErr w:type="gramStart"/>
      <w:r>
        <w:rPr>
          <w:rFonts w:hint="eastAsia"/>
        </w:rPr>
        <w:t>游厝</w:t>
      </w:r>
      <w:proofErr w:type="gramEnd"/>
      <w:r>
        <w:rPr>
          <w:rFonts w:hint="eastAsia"/>
        </w:rPr>
        <w:t>休閒運動園區計畫工程」委託測設</w:t>
      </w:r>
      <w:proofErr w:type="gramStart"/>
      <w:r>
        <w:rPr>
          <w:rFonts w:hint="eastAsia"/>
        </w:rPr>
        <w:t>監造標</w:t>
      </w:r>
      <w:proofErr w:type="gramEnd"/>
      <w:r>
        <w:rPr>
          <w:rFonts w:hint="eastAsia"/>
        </w:rPr>
        <w:t>，有不當認定廠商投標資格之錯誤態樣，另其經核定及公告之決標方式，亦因人為疏失，造成前後不一、相互矛盾，</w:t>
      </w:r>
      <w:proofErr w:type="gramStart"/>
      <w:r>
        <w:rPr>
          <w:rFonts w:hint="eastAsia"/>
        </w:rPr>
        <w:t>均核有</w:t>
      </w:r>
      <w:proofErr w:type="gramEnd"/>
      <w:r>
        <w:rPr>
          <w:rFonts w:hint="eastAsia"/>
        </w:rPr>
        <w:t>疏失。</w:t>
      </w:r>
    </w:p>
    <w:p w:rsidR="00000000" w:rsidRDefault="00C11014">
      <w:pPr>
        <w:pStyle w:val="3"/>
        <w:numPr>
          <w:ilvl w:val="0"/>
          <w:numId w:val="0"/>
        </w:numPr>
        <w:ind w:left="696"/>
        <w:rPr>
          <w:rFonts w:hint="eastAsia"/>
          <w:bCs w:val="0"/>
          <w:color w:val="000000"/>
        </w:rPr>
      </w:pPr>
    </w:p>
    <w:p w:rsidR="00000000" w:rsidRDefault="00C11014">
      <w:pPr>
        <w:pStyle w:val="3"/>
        <w:numPr>
          <w:ilvl w:val="0"/>
          <w:numId w:val="0"/>
        </w:numPr>
        <w:ind w:leftChars="405" w:left="1378" w:firstLineChars="100" w:firstLine="340"/>
        <w:rPr>
          <w:rFonts w:hint="eastAsia"/>
          <w:bCs w:val="0"/>
          <w:color w:val="000000"/>
        </w:rPr>
      </w:pPr>
      <w:r>
        <w:rPr>
          <w:rFonts w:hint="eastAsia"/>
          <w:bCs w:val="0"/>
          <w:color w:val="000000"/>
        </w:rPr>
        <w:t>綜上所述，</w:t>
      </w:r>
      <w:r>
        <w:rPr>
          <w:rFonts w:hint="eastAsia"/>
        </w:rPr>
        <w:t>嘉義縣溪口鄉公所辦理「溪口鄉</w:t>
      </w:r>
      <w:proofErr w:type="gramStart"/>
      <w:r>
        <w:rPr>
          <w:rFonts w:hint="eastAsia"/>
        </w:rPr>
        <w:t>游厝</w:t>
      </w:r>
      <w:proofErr w:type="gramEnd"/>
      <w:r>
        <w:rPr>
          <w:rFonts w:hint="eastAsia"/>
        </w:rPr>
        <w:t>休閒運動園區計畫工程」、「溪口鄉公（兒）四開闢（第一期）工程」及「坪頂中排改善工程」之採購，對有足以影響採購公正之違法及不當行為，未能即時因應及</w:t>
      </w:r>
      <w:proofErr w:type="gramStart"/>
      <w:r>
        <w:rPr>
          <w:rFonts w:hint="eastAsia"/>
        </w:rPr>
        <w:t>事後妥處</w:t>
      </w:r>
      <w:proofErr w:type="gramEnd"/>
      <w:r>
        <w:rPr>
          <w:rFonts w:hint="eastAsia"/>
        </w:rPr>
        <w:t>；辦理「溪口鄉</w:t>
      </w:r>
      <w:proofErr w:type="gramStart"/>
      <w:r>
        <w:rPr>
          <w:rFonts w:hint="eastAsia"/>
        </w:rPr>
        <w:t>游厝</w:t>
      </w:r>
      <w:proofErr w:type="gramEnd"/>
      <w:r>
        <w:rPr>
          <w:rFonts w:hint="eastAsia"/>
        </w:rPr>
        <w:t>休閒運動園</w:t>
      </w:r>
      <w:r>
        <w:rPr>
          <w:rFonts w:hint="eastAsia"/>
        </w:rPr>
        <w:t>區計畫工程」測設監造服務採購，核有不當認定廠商資格及採用限定尺寸器材，涉有</w:t>
      </w:r>
      <w:r>
        <w:rPr>
          <w:rFonts w:hint="eastAsia"/>
          <w:szCs w:val="32"/>
        </w:rPr>
        <w:t>規格</w:t>
      </w:r>
      <w:r>
        <w:rPr>
          <w:rFonts w:hint="eastAsia"/>
        </w:rPr>
        <w:t>綁標；辦理「溪口鄉公（兒）四開闢（第一期）工程」及「坪頂中排改善工程」</w:t>
      </w:r>
      <w:proofErr w:type="gramStart"/>
      <w:r>
        <w:rPr>
          <w:rFonts w:hint="eastAsia"/>
        </w:rPr>
        <w:t>之測設</w:t>
      </w:r>
      <w:proofErr w:type="gramEnd"/>
      <w:r>
        <w:rPr>
          <w:rFonts w:hint="eastAsia"/>
        </w:rPr>
        <w:t>監造服務採購，除有不當認定廠商資格，其經核定及公告之決標方式，亦前後不一</w:t>
      </w:r>
      <w:r>
        <w:rPr>
          <w:rFonts w:hint="eastAsia"/>
          <w:color w:val="000000"/>
        </w:rPr>
        <w:t>，</w:t>
      </w:r>
      <w:proofErr w:type="gramStart"/>
      <w:r>
        <w:rPr>
          <w:rFonts w:hint="eastAsia"/>
          <w:color w:val="000000"/>
          <w:kern w:val="2"/>
        </w:rPr>
        <w:t>均</w:t>
      </w:r>
      <w:r>
        <w:rPr>
          <w:rFonts w:hint="eastAsia"/>
          <w:color w:val="000000"/>
        </w:rPr>
        <w:t>核有</w:t>
      </w:r>
      <w:proofErr w:type="gramEnd"/>
      <w:r>
        <w:rPr>
          <w:rFonts w:hint="eastAsia"/>
          <w:color w:val="000000"/>
        </w:rPr>
        <w:t>違失</w:t>
      </w:r>
      <w:r>
        <w:rPr>
          <w:rFonts w:hint="eastAsia"/>
          <w:noProof/>
          <w:color w:val="000000"/>
        </w:rPr>
        <w:t>。</w:t>
      </w:r>
      <w:proofErr w:type="gramStart"/>
      <w:r>
        <w:rPr>
          <w:rFonts w:hint="eastAsia"/>
          <w:bCs w:val="0"/>
          <w:color w:val="000000"/>
        </w:rPr>
        <w:t>爰</w:t>
      </w:r>
      <w:proofErr w:type="gramEnd"/>
      <w:r>
        <w:rPr>
          <w:rFonts w:hint="eastAsia"/>
          <w:bCs w:val="0"/>
          <w:color w:val="000000"/>
        </w:rPr>
        <w:t>依監察法第</w:t>
      </w:r>
      <w:r>
        <w:rPr>
          <w:rFonts w:hint="eastAsia"/>
          <w:bCs w:val="0"/>
          <w:color w:val="000000"/>
        </w:rPr>
        <w:t>24</w:t>
      </w:r>
      <w:r>
        <w:rPr>
          <w:rFonts w:hint="eastAsia"/>
          <w:bCs w:val="0"/>
          <w:color w:val="000000"/>
        </w:rPr>
        <w:t>條提案糾正，送請行政院轉</w:t>
      </w:r>
      <w:proofErr w:type="gramStart"/>
      <w:r>
        <w:rPr>
          <w:rFonts w:hint="eastAsia"/>
          <w:bCs w:val="0"/>
          <w:color w:val="000000"/>
        </w:rPr>
        <w:t>飭</w:t>
      </w:r>
      <w:proofErr w:type="gramEnd"/>
      <w:r>
        <w:rPr>
          <w:rFonts w:hint="eastAsia"/>
          <w:bCs w:val="0"/>
          <w:color w:val="000000"/>
        </w:rPr>
        <w:t>所屬確實檢討改善</w:t>
      </w:r>
      <w:proofErr w:type="gramStart"/>
      <w:r>
        <w:rPr>
          <w:rFonts w:hint="eastAsia"/>
          <w:bCs w:val="0"/>
          <w:color w:val="000000"/>
        </w:rPr>
        <w:t>見復。</w:t>
      </w:r>
      <w:bookmarkEnd w:id="33"/>
      <w:bookmarkEnd w:id="34"/>
      <w:bookmarkEnd w:id="35"/>
      <w:bookmarkEnd w:id="36"/>
      <w:bookmarkEnd w:id="37"/>
      <w:bookmarkEnd w:id="38"/>
      <w:bookmarkEnd w:id="39"/>
      <w:bookmarkEnd w:id="40"/>
      <w:bookmarkEnd w:id="41"/>
      <w:bookmarkEnd w:id="42"/>
      <w:bookmarkEnd w:id="43"/>
      <w:bookmarkEnd w:id="44"/>
      <w:bookmarkEnd w:id="45"/>
      <w:bookmarkEnd w:id="46"/>
      <w:proofErr w:type="gramEnd"/>
    </w:p>
    <w:p w:rsidR="00000000" w:rsidRDefault="00C11014">
      <w:pPr>
        <w:ind w:leftChars="200" w:left="680" w:firstLineChars="200" w:firstLine="680"/>
        <w:rPr>
          <w:rFonts w:ascii="標楷體" w:hint="eastAsia"/>
          <w:bCs/>
          <w:color w:val="000000"/>
          <w:kern w:val="0"/>
        </w:rPr>
      </w:pPr>
    </w:p>
    <w:p w:rsidR="00000000" w:rsidRDefault="00C11014">
      <w:pPr>
        <w:jc w:val="distribute"/>
        <w:rPr>
          <w:rFonts w:hint="eastAsia"/>
          <w:color w:val="000000"/>
          <w:kern w:val="0"/>
        </w:rPr>
      </w:pPr>
      <w:bookmarkStart w:id="47" w:name="_Toc524895649"/>
      <w:bookmarkStart w:id="48" w:name="_Toc524896195"/>
      <w:bookmarkStart w:id="49" w:name="_Toc524896225"/>
      <w:bookmarkEnd w:id="47"/>
      <w:bookmarkEnd w:id="48"/>
      <w:bookmarkEnd w:id="49"/>
    </w:p>
    <w:sectPr w:rsidR="00000000">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C11014">
      <w:r>
        <w:separator/>
      </w:r>
    </w:p>
  </w:endnote>
  <w:endnote w:type="continuationSeparator" w:id="1">
    <w:p w:rsidR="00000000" w:rsidRDefault="00C1101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11014">
    <w:pPr>
      <w:framePr w:wrap="around" w:vAnchor="text" w:hAnchor="margin" w:xAlign="center" w:y="1"/>
      <w:ind w:left="640" w:firstLine="400"/>
      <w:textDirection w:val="btLr"/>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000000" w:rsidRDefault="00C11014">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11014">
    <w:pPr>
      <w:pStyle w:val="a9"/>
      <w:framePr w:wrap="around" w:vAnchor="text" w:hAnchor="margin" w:xAlign="center" w:y="1"/>
      <w:rPr>
        <w:rStyle w:val="a6"/>
        <w:sz w:val="24"/>
      </w:rPr>
    </w:pPr>
    <w:r>
      <w:rPr>
        <w:rStyle w:val="a6"/>
        <w:sz w:val="24"/>
      </w:rPr>
      <w:fldChar w:fldCharType="begin"/>
    </w:r>
    <w:r>
      <w:rPr>
        <w:rStyle w:val="a6"/>
        <w:sz w:val="24"/>
      </w:rPr>
      <w:instrText xml:space="preserve">PAGE  </w:instrText>
    </w:r>
    <w:r>
      <w:rPr>
        <w:rStyle w:val="a6"/>
        <w:sz w:val="24"/>
      </w:rPr>
      <w:fldChar w:fldCharType="separate"/>
    </w:r>
    <w:r>
      <w:rPr>
        <w:rStyle w:val="a6"/>
        <w:noProof/>
        <w:sz w:val="24"/>
      </w:rPr>
      <w:t>7</w:t>
    </w:r>
    <w:r>
      <w:rPr>
        <w:rStyle w:val="a6"/>
        <w:sz w:val="24"/>
      </w:rPr>
      <w:fldChar w:fldCharType="end"/>
    </w:r>
  </w:p>
  <w:p w:rsidR="00000000" w:rsidRDefault="00C11014">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C11014">
      <w:r>
        <w:separator/>
      </w:r>
    </w:p>
  </w:footnote>
  <w:footnote w:type="continuationSeparator" w:id="1">
    <w:p w:rsidR="00000000" w:rsidRDefault="00C110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font6"/>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pStyle w:val="9"/>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attachedTemplate r:id="rId1"/>
  <w:doNotTrackMoves/>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1014"/>
    <w:rsid w:val="00C1101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rFonts w:eastAsia="標楷體"/>
      <w:kern w:val="2"/>
      <w:sz w:val="32"/>
    </w:rPr>
  </w:style>
  <w:style w:type="paragraph" w:styleId="1">
    <w:name w:val="heading 1"/>
    <w:basedOn w:val="a0"/>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0"/>
    <w:qFormat/>
    <w:pPr>
      <w:numPr>
        <w:ilvl w:val="1"/>
        <w:numId w:val="1"/>
      </w:numPr>
      <w:jc w:val="both"/>
      <w:outlineLvl w:val="1"/>
    </w:pPr>
    <w:rPr>
      <w:rFonts w:ascii="標楷體" w:hAnsi="Arial"/>
      <w:bCs/>
      <w:kern w:val="0"/>
      <w:szCs w:val="48"/>
    </w:rPr>
  </w:style>
  <w:style w:type="paragraph" w:styleId="3">
    <w:name w:val="heading 3"/>
    <w:basedOn w:val="a0"/>
    <w:qFormat/>
    <w:pPr>
      <w:numPr>
        <w:ilvl w:val="2"/>
        <w:numId w:val="1"/>
      </w:numPr>
      <w:jc w:val="both"/>
      <w:outlineLvl w:val="2"/>
    </w:pPr>
    <w:rPr>
      <w:rFonts w:ascii="標楷體" w:hAnsi="Arial"/>
      <w:bCs/>
      <w:kern w:val="0"/>
      <w:szCs w:val="36"/>
    </w:rPr>
  </w:style>
  <w:style w:type="paragraph" w:styleId="4">
    <w:name w:val="heading 4"/>
    <w:basedOn w:val="a0"/>
    <w:qFormat/>
    <w:pPr>
      <w:numPr>
        <w:ilvl w:val="3"/>
        <w:numId w:val="1"/>
      </w:numPr>
      <w:jc w:val="both"/>
      <w:outlineLvl w:val="3"/>
    </w:pPr>
    <w:rPr>
      <w:rFonts w:ascii="標楷體" w:hAnsi="Arial"/>
      <w:szCs w:val="36"/>
    </w:rPr>
  </w:style>
  <w:style w:type="paragraph" w:styleId="5">
    <w:name w:val="heading 5"/>
    <w:basedOn w:val="a0"/>
    <w:qFormat/>
    <w:pPr>
      <w:numPr>
        <w:ilvl w:val="4"/>
        <w:numId w:val="1"/>
      </w:numPr>
      <w:jc w:val="both"/>
      <w:outlineLvl w:val="4"/>
    </w:pPr>
    <w:rPr>
      <w:rFonts w:ascii="標楷體" w:hAnsi="Arial"/>
      <w:bCs/>
      <w:szCs w:val="36"/>
    </w:rPr>
  </w:style>
  <w:style w:type="paragraph" w:styleId="6">
    <w:name w:val="heading 6"/>
    <w:basedOn w:val="a0"/>
    <w:qFormat/>
    <w:pPr>
      <w:numPr>
        <w:ilvl w:val="5"/>
        <w:numId w:val="1"/>
      </w:numPr>
      <w:tabs>
        <w:tab w:val="left" w:pos="2094"/>
      </w:tabs>
      <w:jc w:val="both"/>
      <w:outlineLvl w:val="5"/>
    </w:pPr>
    <w:rPr>
      <w:rFonts w:ascii="標楷體" w:hAnsi="Arial"/>
      <w:szCs w:val="36"/>
    </w:rPr>
  </w:style>
  <w:style w:type="paragraph" w:styleId="7">
    <w:name w:val="heading 7"/>
    <w:basedOn w:val="a0"/>
    <w:qFormat/>
    <w:pPr>
      <w:numPr>
        <w:ilvl w:val="6"/>
        <w:numId w:val="1"/>
      </w:numPr>
      <w:jc w:val="both"/>
      <w:outlineLvl w:val="6"/>
    </w:pPr>
    <w:rPr>
      <w:rFonts w:ascii="標楷體" w:hAnsi="Arial"/>
      <w:bCs/>
      <w:szCs w:val="36"/>
    </w:rPr>
  </w:style>
  <w:style w:type="paragraph" w:styleId="8">
    <w:name w:val="heading 8"/>
    <w:basedOn w:val="a0"/>
    <w:qFormat/>
    <w:pPr>
      <w:numPr>
        <w:ilvl w:val="7"/>
        <w:numId w:val="1"/>
      </w:numPr>
      <w:jc w:val="both"/>
      <w:outlineLvl w:val="7"/>
    </w:pPr>
    <w:rPr>
      <w:rFonts w:ascii="標楷體" w:hAnsi="Arial"/>
      <w:szCs w:val="36"/>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0"/>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4">
    <w:name w:val="Signature"/>
    <w:basedOn w:val="a0"/>
    <w:semiHidden/>
    <w:pPr>
      <w:spacing w:before="720" w:after="720"/>
      <w:ind w:left="7371"/>
    </w:pPr>
    <w:rPr>
      <w:rFonts w:ascii="標楷體"/>
      <w:b/>
      <w:snapToGrid w:val="0"/>
      <w:spacing w:val="10"/>
      <w:sz w:val="36"/>
    </w:rPr>
  </w:style>
  <w:style w:type="paragraph" w:styleId="a5">
    <w:name w:val="endnote text"/>
    <w:basedOn w:val="a0"/>
    <w:semiHidden/>
    <w:pPr>
      <w:spacing w:before="240"/>
      <w:ind w:left="1021" w:hanging="1021"/>
      <w:jc w:val="both"/>
    </w:pPr>
    <w:rPr>
      <w:rFonts w:ascii="標楷體"/>
      <w:snapToGrid w:val="0"/>
      <w:spacing w:val="10"/>
    </w:rPr>
  </w:style>
  <w:style w:type="character" w:styleId="a6">
    <w:name w:val="page number"/>
    <w:basedOn w:val="a1"/>
    <w:semiHidden/>
    <w:rPr>
      <w:rFonts w:ascii="標楷體" w:eastAsia="標楷體"/>
      <w:sz w:val="20"/>
    </w:rPr>
  </w:style>
  <w:style w:type="paragraph" w:styleId="10">
    <w:name w:val="toc 1"/>
    <w:basedOn w:val="a0"/>
    <w:next w:val="a0"/>
    <w:semiHidden/>
    <w:pPr>
      <w:ind w:left="200" w:hangingChars="200" w:hanging="200"/>
      <w:jc w:val="both"/>
    </w:pPr>
    <w:rPr>
      <w:rFonts w:ascii="標楷體"/>
    </w:rPr>
  </w:style>
  <w:style w:type="paragraph" w:styleId="21">
    <w:name w:val="toc 2"/>
    <w:basedOn w:val="a0"/>
    <w:next w:val="a0"/>
    <w:autoRedefine/>
    <w:semiHidden/>
    <w:pPr>
      <w:ind w:leftChars="100" w:left="300" w:hangingChars="200" w:hanging="200"/>
      <w:jc w:val="both"/>
    </w:pPr>
    <w:rPr>
      <w:rFonts w:ascii="標楷體"/>
    </w:rPr>
  </w:style>
  <w:style w:type="paragraph" w:styleId="31">
    <w:name w:val="toc 3"/>
    <w:basedOn w:val="a0"/>
    <w:next w:val="a0"/>
    <w:semiHidden/>
    <w:pPr>
      <w:ind w:leftChars="200" w:left="400" w:hangingChars="200" w:hanging="200"/>
      <w:jc w:val="both"/>
    </w:pPr>
    <w:rPr>
      <w:rFonts w:ascii="標楷體"/>
      <w:noProof/>
    </w:rPr>
  </w:style>
  <w:style w:type="paragraph" w:styleId="41">
    <w:name w:val="toc 4"/>
    <w:basedOn w:val="a0"/>
    <w:next w:val="a0"/>
    <w:semiHidden/>
    <w:pPr>
      <w:kinsoku w:val="0"/>
      <w:ind w:leftChars="300" w:left="500" w:hangingChars="200" w:hanging="200"/>
      <w:jc w:val="both"/>
    </w:pPr>
    <w:rPr>
      <w:rFonts w:ascii="標楷體"/>
    </w:rPr>
  </w:style>
  <w:style w:type="paragraph" w:styleId="51">
    <w:name w:val="toc 5"/>
    <w:basedOn w:val="a0"/>
    <w:next w:val="a0"/>
    <w:autoRedefine/>
    <w:semiHidden/>
    <w:pPr>
      <w:kinsoku w:val="0"/>
      <w:ind w:leftChars="400" w:left="600" w:hangingChars="200" w:hanging="200"/>
      <w:jc w:val="both"/>
    </w:pPr>
    <w:rPr>
      <w:rFonts w:ascii="標楷體"/>
    </w:rPr>
  </w:style>
  <w:style w:type="paragraph" w:styleId="61">
    <w:name w:val="toc 6"/>
    <w:basedOn w:val="a0"/>
    <w:next w:val="a0"/>
    <w:autoRedefine/>
    <w:semiHidden/>
    <w:pPr>
      <w:ind w:leftChars="500" w:left="700" w:hangingChars="200" w:hanging="200"/>
    </w:pPr>
    <w:rPr>
      <w:rFonts w:ascii="標楷體"/>
    </w:rPr>
  </w:style>
  <w:style w:type="paragraph" w:styleId="71">
    <w:name w:val="toc 7"/>
    <w:basedOn w:val="a0"/>
    <w:next w:val="a0"/>
    <w:autoRedefine/>
    <w:semiHidden/>
    <w:pPr>
      <w:ind w:leftChars="600" w:left="700" w:hangingChars="100" w:hanging="100"/>
    </w:pPr>
    <w:rPr>
      <w:rFonts w:ascii="標楷體"/>
    </w:rPr>
  </w:style>
  <w:style w:type="paragraph" w:styleId="81">
    <w:name w:val="toc 8"/>
    <w:basedOn w:val="a0"/>
    <w:next w:val="a0"/>
    <w:autoRedefine/>
    <w:semiHidden/>
    <w:pPr>
      <w:ind w:leftChars="700" w:left="2792" w:hangingChars="100" w:hanging="349"/>
    </w:pPr>
    <w:rPr>
      <w:rFonts w:ascii="標楷體"/>
    </w:rPr>
  </w:style>
  <w:style w:type="paragraph" w:styleId="90">
    <w:name w:val="toc 9"/>
    <w:basedOn w:val="a0"/>
    <w:next w:val="a0"/>
    <w:autoRedefine/>
    <w:semiHidden/>
    <w:pPr>
      <w:ind w:leftChars="1600" w:left="3840"/>
    </w:pPr>
  </w:style>
  <w:style w:type="character" w:styleId="a7">
    <w:name w:val="Hyperlink"/>
    <w:basedOn w:val="a1"/>
    <w:semiHidden/>
    <w:rPr>
      <w:color w:val="0000FF"/>
      <w:u w:val="single"/>
    </w:rPr>
  </w:style>
  <w:style w:type="paragraph" w:customStyle="1" w:styleId="11">
    <w:name w:val="段落樣式1"/>
    <w:basedOn w:val="a0"/>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8">
    <w:name w:val="header"/>
    <w:basedOn w:val="a0"/>
    <w:semiHidden/>
    <w:pPr>
      <w:tabs>
        <w:tab w:val="center" w:pos="4153"/>
        <w:tab w:val="right" w:pos="8306"/>
      </w:tabs>
      <w:snapToGrid w:val="0"/>
    </w:pPr>
    <w:rPr>
      <w:sz w:val="20"/>
    </w:rPr>
  </w:style>
  <w:style w:type="paragraph" w:styleId="a9">
    <w:name w:val="footer"/>
    <w:basedOn w:val="a0"/>
    <w:semiHidden/>
    <w:pPr>
      <w:tabs>
        <w:tab w:val="center" w:pos="4153"/>
        <w:tab w:val="right" w:pos="8306"/>
      </w:tabs>
      <w:snapToGrid w:val="0"/>
    </w:pPr>
    <w:rPr>
      <w:sz w:val="20"/>
    </w:rPr>
  </w:style>
  <w:style w:type="paragraph" w:customStyle="1" w:styleId="aa">
    <w:name w:val="簽名日期"/>
    <w:basedOn w:val="a0"/>
    <w:pPr>
      <w:kinsoku w:val="0"/>
      <w:jc w:val="distribute"/>
    </w:pPr>
    <w:rPr>
      <w:kern w:val="0"/>
    </w:rPr>
  </w:style>
  <w:style w:type="paragraph" w:customStyle="1" w:styleId="ab">
    <w:name w:val="表樣式"/>
    <w:basedOn w:val="a0"/>
    <w:next w:val="a0"/>
    <w:pPr>
      <w:numPr>
        <w:numId w:val="2"/>
      </w:numPr>
      <w:jc w:val="both"/>
    </w:pPr>
    <w:rPr>
      <w:rFonts w:ascii="標楷體"/>
      <w:kern w:val="0"/>
    </w:rPr>
  </w:style>
  <w:style w:type="paragraph" w:customStyle="1" w:styleId="a">
    <w:name w:val="圖樣式"/>
    <w:basedOn w:val="a0"/>
    <w:next w:val="a0"/>
    <w:pPr>
      <w:numPr>
        <w:numId w:val="3"/>
      </w:numPr>
      <w:tabs>
        <w:tab w:val="clear" w:pos="1440"/>
      </w:tabs>
      <w:ind w:left="400" w:hangingChars="400" w:hanging="400"/>
      <w:jc w:val="both"/>
    </w:pPr>
    <w:rPr>
      <w:rFonts w:ascii="標楷體"/>
    </w:rPr>
  </w:style>
  <w:style w:type="paragraph" w:customStyle="1" w:styleId="9">
    <w:name w:val="標題9"/>
    <w:basedOn w:val="a0"/>
    <w:pPr>
      <w:numPr>
        <w:ilvl w:val="8"/>
        <w:numId w:val="1"/>
      </w:numPr>
    </w:pPr>
  </w:style>
  <w:style w:type="paragraph" w:customStyle="1" w:styleId="xl32">
    <w:name w:val="xl32"/>
    <w:basedOn w:val="a0"/>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0"/>
    <w:pPr>
      <w:widowControl/>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font6">
    <w:name w:val="font6"/>
    <w:basedOn w:val="a0"/>
    <w:pPr>
      <w:widowControl/>
      <w:spacing w:before="100" w:beforeAutospacing="1" w:after="100" w:afterAutospacing="1"/>
    </w:pPr>
    <w:rPr>
      <w:rFonts w:ascii="新細明體" w:eastAsia="新細明體" w:hAnsi="新細明體" w:cs="Arial Unicode MS" w:hint="eastAsia"/>
      <w:kern w:val="0"/>
      <w:sz w:val="20"/>
    </w:rPr>
  </w:style>
  <w:style w:type="paragraph" w:styleId="22">
    <w:name w:val="Body Text 2"/>
    <w:basedOn w:val="a0"/>
    <w:semiHidden/>
    <w:pPr>
      <w:spacing w:line="320" w:lineRule="exact"/>
      <w:jc w:val="center"/>
    </w:pPr>
    <w:rPr>
      <w:rFonts w:eastAsia="全真楷書"/>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08\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2</TotalTime>
  <Pages>7</Pages>
  <Words>4141</Words>
  <Characters>110</Characters>
  <Application>Microsoft Office Word</Application>
  <DocSecurity>0</DocSecurity>
  <Lines>1</Lines>
  <Paragraphs>8</Paragraphs>
  <ScaleCrop>false</ScaleCrop>
  <HeadingPairs>
    <vt:vector size="2" baseType="variant">
      <vt:variant>
        <vt:lpstr>標題</vt:lpstr>
      </vt:variant>
      <vt:variant>
        <vt:i4>1</vt:i4>
      </vt:variant>
    </vt:vector>
  </HeadingPairs>
  <TitlesOfParts>
    <vt:vector size="1" baseType="lpstr">
      <vt:lpstr>監察院監察調查處「調查報告格式範本」說明資料       2001/9/4</vt:lpstr>
    </vt:vector>
  </TitlesOfParts>
  <Company>cy</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dc:creator>
  <cp:keywords/>
  <dc:description/>
  <cp:lastModifiedBy>user</cp:lastModifiedBy>
  <cp:revision>2</cp:revision>
  <cp:lastPrinted>2009-09-10T01:39:00Z</cp:lastPrinted>
  <dcterms:created xsi:type="dcterms:W3CDTF">2016-12-07T14:51:00Z</dcterms:created>
  <dcterms:modified xsi:type="dcterms:W3CDTF">2016-12-07T14:51:00Z</dcterms:modified>
</cp:coreProperties>
</file>