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D75644" w:rsidRPr="009533D7" w:rsidRDefault="00D75644" w:rsidP="00F37D7B">
      <w:pPr>
        <w:pStyle w:val="af4"/>
        <w:rPr>
          <w:color w:val="000000" w:themeColor="text1"/>
        </w:rPr>
      </w:pPr>
      <w:r w:rsidRPr="009533D7">
        <w:rPr>
          <w:rFonts w:hint="eastAsia"/>
          <w:color w:val="000000" w:themeColor="text1"/>
        </w:rPr>
        <w:t>調查報告</w:t>
      </w:r>
    </w:p>
    <w:p w:rsidR="00E25849" w:rsidRPr="009533D7"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533D7">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547B0" w:rsidRPr="009533D7">
        <w:rPr>
          <w:rFonts w:hint="eastAsia"/>
          <w:color w:val="000000" w:themeColor="text1"/>
        </w:rPr>
        <w:t>為使食品安全管理制度得以順利推動，衛生福利部對於現行法規需時常視食品安全風險、國際間食品標示及消費者期待等因素適時檢討，惟檢討過程中，</w:t>
      </w:r>
      <w:r w:rsidR="000424AC" w:rsidRPr="009533D7">
        <w:rPr>
          <w:rFonts w:hint="eastAsia"/>
          <w:color w:val="000000" w:themeColor="text1"/>
        </w:rPr>
        <w:t>衛生福利部</w:t>
      </w:r>
      <w:r w:rsidR="00F547B0" w:rsidRPr="009533D7">
        <w:rPr>
          <w:rFonts w:hint="eastAsia"/>
          <w:color w:val="000000" w:themeColor="text1"/>
        </w:rPr>
        <w:t>食品藥物管理署召集相關業者召開說明會議是否為必要程序？對於業者意見參</w:t>
      </w:r>
      <w:proofErr w:type="gramStart"/>
      <w:r w:rsidR="00F547B0" w:rsidRPr="009533D7">
        <w:rPr>
          <w:rFonts w:hint="eastAsia"/>
          <w:color w:val="000000" w:themeColor="text1"/>
        </w:rPr>
        <w:t>採</w:t>
      </w:r>
      <w:proofErr w:type="gramEnd"/>
      <w:r w:rsidR="00F547B0" w:rsidRPr="009533D7">
        <w:rPr>
          <w:rFonts w:hint="eastAsia"/>
          <w:color w:val="000000" w:themeColor="text1"/>
        </w:rPr>
        <w:t>之衡量依據為何？業者權益與消費者食安、健康保障如何權衡、決定？究內部作業程序規定是否合宜？</w:t>
      </w:r>
      <w:r w:rsidR="000424AC" w:rsidRPr="009533D7">
        <w:rPr>
          <w:rFonts w:hint="eastAsia"/>
          <w:color w:val="000000" w:themeColor="text1"/>
        </w:rPr>
        <w:t>其中</w:t>
      </w:r>
      <w:r w:rsidR="00F547B0" w:rsidRPr="009533D7">
        <w:rPr>
          <w:rFonts w:hint="eastAsia"/>
          <w:color w:val="000000" w:themeColor="text1"/>
        </w:rPr>
        <w:t>國際癌症</w:t>
      </w:r>
      <w:r w:rsidR="00C65C96" w:rsidRPr="009533D7">
        <w:rPr>
          <w:rFonts w:hint="eastAsia"/>
          <w:color w:val="000000" w:themeColor="text1"/>
        </w:rPr>
        <w:t>研究</w:t>
      </w:r>
      <w:r w:rsidR="00F547B0" w:rsidRPr="009533D7">
        <w:rPr>
          <w:rFonts w:hint="eastAsia"/>
          <w:color w:val="000000" w:themeColor="text1"/>
        </w:rPr>
        <w:t>中心已</w:t>
      </w:r>
      <w:r w:rsidR="00B55E4A" w:rsidRPr="009533D7">
        <w:rPr>
          <w:rFonts w:hint="eastAsia"/>
          <w:color w:val="000000" w:themeColor="text1"/>
        </w:rPr>
        <w:t>於西元2000年</w:t>
      </w:r>
      <w:r w:rsidR="00F547B0" w:rsidRPr="009533D7">
        <w:rPr>
          <w:rFonts w:hint="eastAsia"/>
          <w:color w:val="000000" w:themeColor="text1"/>
        </w:rPr>
        <w:t>將「縮水甘油脂肪酸酯」列為</w:t>
      </w:r>
      <w:r w:rsidR="00C65C96" w:rsidRPr="009533D7">
        <w:rPr>
          <w:rFonts w:hint="eastAsia"/>
          <w:color w:val="000000" w:themeColor="text1"/>
        </w:rPr>
        <w:t>2A</w:t>
      </w:r>
      <w:r w:rsidR="00F547B0" w:rsidRPr="009533D7">
        <w:rPr>
          <w:rFonts w:hint="eastAsia"/>
          <w:color w:val="000000" w:themeColor="text1"/>
        </w:rPr>
        <w:t>級致癌物質，</w:t>
      </w:r>
      <w:r w:rsidR="00B55E4A" w:rsidRPr="009533D7">
        <w:rPr>
          <w:rFonts w:hint="eastAsia"/>
          <w:color w:val="000000" w:themeColor="text1"/>
        </w:rPr>
        <w:t xml:space="preserve"> </w:t>
      </w:r>
      <w:r w:rsidR="00D5667D" w:rsidRPr="009533D7">
        <w:rPr>
          <w:rFonts w:hint="eastAsia"/>
          <w:color w:val="000000" w:themeColor="text1"/>
        </w:rPr>
        <w:t>2018</w:t>
      </w:r>
      <w:r w:rsidR="00F547B0" w:rsidRPr="009533D7">
        <w:rPr>
          <w:rFonts w:hint="eastAsia"/>
          <w:color w:val="000000" w:themeColor="text1"/>
        </w:rPr>
        <w:t>年歐洲食品安全局已明確規範其於食品中之限量標準，</w:t>
      </w:r>
      <w:proofErr w:type="gramStart"/>
      <w:r w:rsidR="00F547B0" w:rsidRPr="009533D7">
        <w:rPr>
          <w:rFonts w:hint="eastAsia"/>
          <w:color w:val="000000" w:themeColor="text1"/>
        </w:rPr>
        <w:t>食藥署</w:t>
      </w:r>
      <w:proofErr w:type="gramEnd"/>
      <w:r w:rsidR="00F547B0" w:rsidRPr="009533D7">
        <w:rPr>
          <w:rFonts w:hint="eastAsia"/>
          <w:color w:val="000000" w:themeColor="text1"/>
        </w:rPr>
        <w:t>原預定於</w:t>
      </w:r>
      <w:r w:rsidR="00B55E4A" w:rsidRPr="009533D7">
        <w:rPr>
          <w:rFonts w:hint="eastAsia"/>
          <w:color w:val="000000" w:themeColor="text1"/>
        </w:rPr>
        <w:t>民國</w:t>
      </w:r>
      <w:r w:rsidR="00F547B0" w:rsidRPr="009533D7">
        <w:rPr>
          <w:rFonts w:hint="eastAsia"/>
          <w:color w:val="000000" w:themeColor="text1"/>
        </w:rPr>
        <w:t>108年10月預告食品中「縮水甘油脂肪酸酯」限量標準，惟</w:t>
      </w:r>
      <w:r w:rsidR="000424AC" w:rsidRPr="009533D7">
        <w:rPr>
          <w:rFonts w:hint="eastAsia"/>
          <w:color w:val="000000" w:themeColor="text1"/>
        </w:rPr>
        <w:t>疑因召開產業聯盟說明會後</w:t>
      </w:r>
      <w:r w:rsidR="00F547B0" w:rsidRPr="009533D7">
        <w:rPr>
          <w:rFonts w:hint="eastAsia"/>
          <w:color w:val="000000" w:themeColor="text1"/>
        </w:rPr>
        <w:t>決定暫不訂定，究相關原因為何？為確保國人飲食安全，</w:t>
      </w:r>
      <w:proofErr w:type="gramStart"/>
      <w:r w:rsidR="00F547B0" w:rsidRPr="009533D7">
        <w:rPr>
          <w:rFonts w:hint="eastAsia"/>
          <w:color w:val="000000" w:themeColor="text1"/>
        </w:rPr>
        <w:t>均有深入</w:t>
      </w:r>
      <w:proofErr w:type="gramEnd"/>
      <w:r w:rsidR="00F547B0" w:rsidRPr="009533D7">
        <w:rPr>
          <w:rFonts w:hint="eastAsia"/>
          <w:color w:val="000000" w:themeColor="text1"/>
        </w:rPr>
        <w:t>瞭解之必要案。</w:t>
      </w:r>
    </w:p>
    <w:p w:rsidR="00E25849" w:rsidRPr="009533D7" w:rsidRDefault="000424AC" w:rsidP="000141EF">
      <w:pPr>
        <w:pStyle w:val="1"/>
        <w:spacing w:line="460" w:lineRule="exact"/>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9533D7">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92A42" w:rsidRPr="009533D7" w:rsidRDefault="00792A42" w:rsidP="00C8597A">
      <w:pPr>
        <w:pStyle w:val="11"/>
        <w:ind w:left="680" w:firstLine="680"/>
        <w:rPr>
          <w:color w:val="000000" w:themeColor="text1"/>
        </w:rPr>
      </w:pPr>
      <w:bookmarkStart w:id="49" w:name="_Toc524902730"/>
      <w:r w:rsidRPr="009533D7">
        <w:rPr>
          <w:rFonts w:hint="eastAsia"/>
          <w:color w:val="000000" w:themeColor="text1"/>
        </w:rPr>
        <w:t>為使食品安全管理制度得以順利推動，衛生福利部（下稱衛福部）對於現行法規需時常視食品安全風險、國際間食品標示及消費者期待等因素適時檢討，惟檢討過程中，</w:t>
      </w:r>
      <w:proofErr w:type="gramStart"/>
      <w:r w:rsidRPr="009533D7">
        <w:rPr>
          <w:rFonts w:hint="eastAsia"/>
          <w:color w:val="000000" w:themeColor="text1"/>
        </w:rPr>
        <w:t>衛福部</w:t>
      </w:r>
      <w:proofErr w:type="gramEnd"/>
      <w:r w:rsidRPr="009533D7">
        <w:rPr>
          <w:rFonts w:hint="eastAsia"/>
          <w:color w:val="000000" w:themeColor="text1"/>
        </w:rPr>
        <w:t>食品藥物管理署（下稱食藥署）召集相關業者召開說明會議是否為必要程序？對於業者意見參</w:t>
      </w:r>
      <w:proofErr w:type="gramStart"/>
      <w:r w:rsidRPr="009533D7">
        <w:rPr>
          <w:rFonts w:hint="eastAsia"/>
          <w:color w:val="000000" w:themeColor="text1"/>
        </w:rPr>
        <w:t>採</w:t>
      </w:r>
      <w:proofErr w:type="gramEnd"/>
      <w:r w:rsidRPr="009533D7">
        <w:rPr>
          <w:rFonts w:hint="eastAsia"/>
          <w:color w:val="000000" w:themeColor="text1"/>
        </w:rPr>
        <w:t>之衡量依據為何？業者權益與消費者食安、健康保障如何權衡、決定？究內部作業程序規定是否合宜？其中</w:t>
      </w:r>
      <w:r w:rsidRPr="009533D7">
        <w:rPr>
          <w:rFonts w:hint="eastAsia"/>
          <w:color w:val="000000" w:themeColor="text1"/>
          <w:u w:val="single"/>
        </w:rPr>
        <w:t>國際癌症</w:t>
      </w:r>
      <w:r w:rsidR="00D530A3" w:rsidRPr="009533D7">
        <w:rPr>
          <w:rFonts w:hint="eastAsia"/>
          <w:color w:val="000000" w:themeColor="text1"/>
          <w:u w:val="single"/>
        </w:rPr>
        <w:t>研究</w:t>
      </w:r>
      <w:r w:rsidRPr="009533D7">
        <w:rPr>
          <w:rFonts w:hint="eastAsia"/>
          <w:color w:val="000000" w:themeColor="text1"/>
          <w:u w:val="single"/>
        </w:rPr>
        <w:t>中心</w:t>
      </w:r>
      <w:r w:rsidR="00D530A3" w:rsidRPr="009533D7">
        <w:rPr>
          <w:rFonts w:hint="eastAsia"/>
          <w:color w:val="000000" w:themeColor="text1"/>
          <w:u w:val="single"/>
        </w:rPr>
        <w:t>(International Agency for Research in Cancer, 下稱IARC</w:t>
      </w:r>
      <w:proofErr w:type="gramStart"/>
      <w:r w:rsidR="00D530A3" w:rsidRPr="009533D7">
        <w:rPr>
          <w:rFonts w:hint="eastAsia"/>
          <w:color w:val="000000" w:themeColor="text1"/>
          <w:u w:val="single"/>
        </w:rPr>
        <w:t>）</w:t>
      </w:r>
      <w:proofErr w:type="gramEnd"/>
      <w:r w:rsidRPr="009533D7">
        <w:rPr>
          <w:rFonts w:hint="eastAsia"/>
          <w:color w:val="000000" w:themeColor="text1"/>
          <w:u w:val="single"/>
        </w:rPr>
        <w:t>已</w:t>
      </w:r>
      <w:r w:rsidR="00C360E3" w:rsidRPr="009533D7">
        <w:rPr>
          <w:rFonts w:hint="eastAsia"/>
          <w:color w:val="000000" w:themeColor="text1"/>
          <w:u w:val="single"/>
        </w:rPr>
        <w:t>於西元</w:t>
      </w:r>
      <w:r w:rsidR="00990E68">
        <w:rPr>
          <w:rFonts w:hint="eastAsia"/>
          <w:color w:val="000000" w:themeColor="text1"/>
          <w:u w:val="single"/>
        </w:rPr>
        <w:t>(本報告涉及國外年份，均以西元表示，下同</w:t>
      </w:r>
      <w:r w:rsidR="00990E68">
        <w:rPr>
          <w:color w:val="000000" w:themeColor="text1"/>
          <w:u w:val="single"/>
        </w:rPr>
        <w:t>)</w:t>
      </w:r>
      <w:r w:rsidR="00C360E3" w:rsidRPr="009533D7">
        <w:rPr>
          <w:rFonts w:hint="eastAsia"/>
          <w:color w:val="000000" w:themeColor="text1"/>
          <w:u w:val="single"/>
        </w:rPr>
        <w:t>2000年</w:t>
      </w:r>
      <w:r w:rsidRPr="009533D7">
        <w:rPr>
          <w:rFonts w:hint="eastAsia"/>
          <w:color w:val="000000" w:themeColor="text1"/>
          <w:u w:val="single"/>
        </w:rPr>
        <w:t>將「縮水甘油脂肪酸酯」(Glycidyl fatty acid esters,下稱GEs)列</w:t>
      </w:r>
      <w:r w:rsidRPr="009533D7">
        <w:rPr>
          <w:rFonts w:hint="eastAsia"/>
          <w:color w:val="000000" w:themeColor="text1"/>
          <w:u w:val="single"/>
        </w:rPr>
        <w:lastRenderedPageBreak/>
        <w:t>為</w:t>
      </w:r>
      <w:r w:rsidR="00C65C96" w:rsidRPr="009533D7">
        <w:rPr>
          <w:rFonts w:hint="eastAsia"/>
          <w:color w:val="000000" w:themeColor="text1"/>
          <w:u w:val="single"/>
        </w:rPr>
        <w:t>2A級</w:t>
      </w:r>
      <w:r w:rsidRPr="009533D7">
        <w:rPr>
          <w:rFonts w:hint="eastAsia"/>
          <w:color w:val="000000" w:themeColor="text1"/>
          <w:u w:val="single"/>
        </w:rPr>
        <w:t>致癌物質，</w:t>
      </w:r>
      <w:r w:rsidR="00D5667D" w:rsidRPr="009533D7">
        <w:rPr>
          <w:rFonts w:hint="eastAsia"/>
          <w:color w:val="000000" w:themeColor="text1"/>
          <w:u w:val="single"/>
        </w:rPr>
        <w:t>2018</w:t>
      </w:r>
      <w:r w:rsidRPr="009533D7">
        <w:rPr>
          <w:rFonts w:hint="eastAsia"/>
          <w:color w:val="000000" w:themeColor="text1"/>
          <w:u w:val="single"/>
        </w:rPr>
        <w:t>年歐洲食品安全局已明確規範其於食品中之限量標準</w:t>
      </w:r>
      <w:r w:rsidRPr="009533D7">
        <w:rPr>
          <w:rFonts w:hint="eastAsia"/>
          <w:color w:val="000000" w:themeColor="text1"/>
        </w:rPr>
        <w:t>，</w:t>
      </w:r>
      <w:proofErr w:type="gramStart"/>
      <w:r w:rsidRPr="009533D7">
        <w:rPr>
          <w:rFonts w:hint="eastAsia"/>
          <w:color w:val="000000" w:themeColor="text1"/>
        </w:rPr>
        <w:t>食藥</w:t>
      </w:r>
      <w:proofErr w:type="gramEnd"/>
      <w:r w:rsidRPr="009533D7">
        <w:rPr>
          <w:rFonts w:hint="eastAsia"/>
          <w:color w:val="000000" w:themeColor="text1"/>
        </w:rPr>
        <w:t>署原預定於</w:t>
      </w:r>
      <w:r w:rsidR="00D5667D" w:rsidRPr="009533D7">
        <w:rPr>
          <w:rFonts w:hint="eastAsia"/>
          <w:color w:val="000000" w:themeColor="text1"/>
        </w:rPr>
        <w:t>民國(下同)</w:t>
      </w:r>
      <w:r w:rsidRPr="009533D7">
        <w:rPr>
          <w:rFonts w:hint="eastAsia"/>
          <w:color w:val="000000" w:themeColor="text1"/>
        </w:rPr>
        <w:t>108年10月預告食品中</w:t>
      </w:r>
      <w:r w:rsidR="00D5667D" w:rsidRPr="009533D7">
        <w:rPr>
          <w:rFonts w:hint="eastAsia"/>
          <w:color w:val="000000" w:themeColor="text1"/>
        </w:rPr>
        <w:t>GE</w:t>
      </w:r>
      <w:r w:rsidR="00D5667D" w:rsidRPr="009533D7">
        <w:rPr>
          <w:color w:val="000000" w:themeColor="text1"/>
        </w:rPr>
        <w:t>s</w:t>
      </w:r>
      <w:r w:rsidRPr="009533D7">
        <w:rPr>
          <w:rFonts w:hint="eastAsia"/>
          <w:color w:val="000000" w:themeColor="text1"/>
        </w:rPr>
        <w:t>限量標準，惟疑因召開產業聯盟說明會後決定暫不訂定，究相關原因為何？為確保國人飲食安全，</w:t>
      </w:r>
      <w:proofErr w:type="gramStart"/>
      <w:r w:rsidRPr="009533D7">
        <w:rPr>
          <w:rFonts w:hint="eastAsia"/>
          <w:color w:val="000000" w:themeColor="text1"/>
        </w:rPr>
        <w:t>均有深入</w:t>
      </w:r>
      <w:proofErr w:type="gramEnd"/>
      <w:r w:rsidRPr="009533D7">
        <w:rPr>
          <w:rFonts w:hint="eastAsia"/>
          <w:color w:val="000000" w:themeColor="text1"/>
        </w:rPr>
        <w:t>瞭解之必要案。</w:t>
      </w:r>
    </w:p>
    <w:p w:rsidR="00792A42" w:rsidRPr="009533D7" w:rsidRDefault="00792A42" w:rsidP="00C8597A">
      <w:pPr>
        <w:pStyle w:val="11"/>
        <w:ind w:left="680" w:firstLine="680"/>
        <w:rPr>
          <w:color w:val="000000" w:themeColor="text1"/>
        </w:rPr>
      </w:pPr>
      <w:r w:rsidRPr="009533D7">
        <w:rPr>
          <w:rFonts w:hint="eastAsia"/>
          <w:color w:val="000000" w:themeColor="text1"/>
        </w:rPr>
        <w:t>案經本院向</w:t>
      </w:r>
      <w:proofErr w:type="gramStart"/>
      <w:r w:rsidRPr="009533D7">
        <w:rPr>
          <w:rFonts w:hint="eastAsia"/>
          <w:color w:val="000000" w:themeColor="text1"/>
        </w:rPr>
        <w:t>衛福部</w:t>
      </w:r>
      <w:proofErr w:type="gramEnd"/>
      <w:r w:rsidRPr="009533D7">
        <w:rPr>
          <w:rFonts w:hint="eastAsia"/>
          <w:color w:val="000000" w:themeColor="text1"/>
        </w:rPr>
        <w:t>、銓敘部、內政部及財政部臺北國稅局等調閱相關卷證，並就GE</w:t>
      </w:r>
      <w:r w:rsidRPr="009533D7">
        <w:rPr>
          <w:color w:val="000000" w:themeColor="text1"/>
        </w:rPr>
        <w:t>s</w:t>
      </w:r>
      <w:r w:rsidRPr="009533D7">
        <w:rPr>
          <w:rFonts w:hint="eastAsia"/>
          <w:color w:val="000000" w:themeColor="text1"/>
        </w:rPr>
        <w:t>安全議題等辦理2場次諮詢會議，再就相關爭點於111年2月23日詢問</w:t>
      </w:r>
      <w:proofErr w:type="gramStart"/>
      <w:r w:rsidRPr="009533D7">
        <w:rPr>
          <w:rFonts w:hint="eastAsia"/>
          <w:color w:val="000000" w:themeColor="text1"/>
        </w:rPr>
        <w:t>衛福部</w:t>
      </w:r>
      <w:proofErr w:type="gramEnd"/>
      <w:r w:rsidRPr="009533D7">
        <w:rPr>
          <w:rFonts w:hint="eastAsia"/>
          <w:color w:val="000000" w:themeColor="text1"/>
        </w:rPr>
        <w:t>薛政務次長、</w:t>
      </w:r>
      <w:proofErr w:type="gramStart"/>
      <w:r w:rsidRPr="009533D7">
        <w:rPr>
          <w:rFonts w:hint="eastAsia"/>
          <w:color w:val="000000" w:themeColor="text1"/>
        </w:rPr>
        <w:t>食藥署</w:t>
      </w:r>
      <w:proofErr w:type="gramEnd"/>
      <w:r w:rsidRPr="009533D7">
        <w:rPr>
          <w:rFonts w:hint="eastAsia"/>
          <w:color w:val="000000" w:themeColor="text1"/>
        </w:rPr>
        <w:t>吳署長及相關主管人員，</w:t>
      </w:r>
      <w:r w:rsidR="00990E68">
        <w:rPr>
          <w:rFonts w:hint="eastAsia"/>
          <w:color w:val="000000" w:themeColor="text1"/>
        </w:rPr>
        <w:t>業</w:t>
      </w:r>
      <w:proofErr w:type="gramStart"/>
      <w:r w:rsidRPr="009533D7">
        <w:rPr>
          <w:rFonts w:hint="eastAsia"/>
          <w:color w:val="000000" w:themeColor="text1"/>
        </w:rPr>
        <w:t>調查竣</w:t>
      </w:r>
      <w:proofErr w:type="gramEnd"/>
      <w:r w:rsidRPr="009533D7">
        <w:rPr>
          <w:rFonts w:hint="eastAsia"/>
          <w:color w:val="000000" w:themeColor="text1"/>
        </w:rPr>
        <w:t>事，茲陳述調查意見如下：</w:t>
      </w:r>
    </w:p>
    <w:p w:rsidR="003D6EF7" w:rsidRPr="009533D7" w:rsidRDefault="003D6EF7" w:rsidP="000141EF">
      <w:pPr>
        <w:pStyle w:val="2"/>
        <w:spacing w:line="460" w:lineRule="exact"/>
        <w:rPr>
          <w:b/>
          <w:color w:val="000000" w:themeColor="text1"/>
        </w:rPr>
      </w:pPr>
      <w:proofErr w:type="gramStart"/>
      <w:r w:rsidRPr="009533D7">
        <w:rPr>
          <w:rFonts w:hint="eastAsia"/>
          <w:b/>
          <w:color w:val="000000" w:themeColor="text1"/>
        </w:rPr>
        <w:t>衛福部原</w:t>
      </w:r>
      <w:proofErr w:type="gramEnd"/>
      <w:r w:rsidRPr="009533D7">
        <w:rPr>
          <w:rFonts w:hint="eastAsia"/>
          <w:b/>
          <w:color w:val="000000" w:themeColor="text1"/>
        </w:rPr>
        <w:t>預定於108年10月預告修正「食品中污染物質及毒素衛生標準」有關GEs限量標準，卻因</w:t>
      </w:r>
      <w:proofErr w:type="gramStart"/>
      <w:r w:rsidRPr="009533D7">
        <w:rPr>
          <w:rFonts w:hint="eastAsia"/>
          <w:b/>
          <w:color w:val="000000" w:themeColor="text1"/>
        </w:rPr>
        <w:t>食藥</w:t>
      </w:r>
      <w:proofErr w:type="gramEnd"/>
      <w:r w:rsidRPr="009533D7">
        <w:rPr>
          <w:rFonts w:hint="eastAsia"/>
          <w:b/>
          <w:color w:val="000000" w:themeColor="text1"/>
        </w:rPr>
        <w:t>署召開產業聯盟說明會後，因業者提案即暫不訂定，</w:t>
      </w:r>
      <w:r w:rsidR="00641F09" w:rsidRPr="009533D7">
        <w:rPr>
          <w:rFonts w:hint="eastAsia"/>
          <w:b/>
          <w:color w:val="000000" w:themeColor="text1"/>
        </w:rPr>
        <w:t>延遲一年於</w:t>
      </w:r>
      <w:r w:rsidRPr="009533D7">
        <w:rPr>
          <w:rFonts w:hint="eastAsia"/>
          <w:b/>
          <w:color w:val="000000" w:themeColor="text1"/>
        </w:rPr>
        <w:t>109年10月21日始行法規命令之預告程序，顯非基於通盤考量不同利害關係人意見，有違食品風險管制應進行風險溝通機制之意旨，應檢討改進。</w:t>
      </w:r>
    </w:p>
    <w:p w:rsidR="00B171B1" w:rsidRPr="009533D7" w:rsidRDefault="00B171B1" w:rsidP="00B171B1">
      <w:pPr>
        <w:pStyle w:val="3"/>
        <w:spacing w:line="460" w:lineRule="exact"/>
        <w:rPr>
          <w:color w:val="000000" w:themeColor="text1"/>
        </w:rPr>
      </w:pPr>
      <w:r w:rsidRPr="009533D7">
        <w:rPr>
          <w:rFonts w:hint="eastAsia"/>
          <w:color w:val="000000" w:themeColor="text1"/>
          <w:u w:val="single"/>
        </w:rPr>
        <w:t>由於市面上琳瑯滿目的加工食品，幾乎都含有棕櫚油，尤其是泡麵、烘焙食品及零食餅乾等，在油脂的使用上，</w:t>
      </w:r>
      <w:proofErr w:type="gramStart"/>
      <w:r w:rsidRPr="009533D7">
        <w:rPr>
          <w:rFonts w:hint="eastAsia"/>
          <w:color w:val="000000" w:themeColor="text1"/>
          <w:u w:val="single"/>
        </w:rPr>
        <w:t>9成</w:t>
      </w:r>
      <w:proofErr w:type="gramEnd"/>
      <w:r w:rsidRPr="009533D7">
        <w:rPr>
          <w:rFonts w:hint="eastAsia"/>
          <w:color w:val="000000" w:themeColor="text1"/>
          <w:u w:val="single"/>
        </w:rPr>
        <w:t>以上都是使用棕櫚油</w:t>
      </w:r>
      <w:r w:rsidRPr="0051278D">
        <w:rPr>
          <w:rFonts w:hint="eastAsia"/>
          <w:color w:val="000000" w:themeColor="text1"/>
        </w:rPr>
        <w:t>，</w:t>
      </w:r>
      <w:r w:rsidRPr="009533D7">
        <w:rPr>
          <w:rFonts w:hint="eastAsia"/>
          <w:color w:val="000000" w:themeColor="text1"/>
        </w:rPr>
        <w:t>且依食品安全衛生管理法（下稱食安法）有關食品標示</w:t>
      </w:r>
      <w:r w:rsidR="000A256B" w:rsidRPr="009533D7">
        <w:rPr>
          <w:rFonts w:hint="eastAsia"/>
          <w:color w:val="000000" w:themeColor="text1"/>
        </w:rPr>
        <w:t>規定</w:t>
      </w:r>
      <w:r w:rsidR="000A256B" w:rsidRPr="009533D7">
        <w:rPr>
          <w:rStyle w:val="aff1"/>
          <w:color w:val="000000" w:themeColor="text1"/>
        </w:rPr>
        <w:footnoteReference w:id="1"/>
      </w:r>
      <w:r w:rsidRPr="009533D7">
        <w:rPr>
          <w:rFonts w:hint="eastAsia"/>
          <w:color w:val="000000" w:themeColor="text1"/>
        </w:rPr>
        <w:t>，</w:t>
      </w:r>
      <w:r w:rsidR="000A256B" w:rsidRPr="009533D7">
        <w:rPr>
          <w:rFonts w:hint="eastAsia"/>
          <w:color w:val="000000" w:themeColor="text1"/>
        </w:rPr>
        <w:t>須</w:t>
      </w:r>
      <w:r w:rsidRPr="009533D7">
        <w:rPr>
          <w:rFonts w:hint="eastAsia"/>
          <w:color w:val="000000" w:themeColor="text1"/>
        </w:rPr>
        <w:t>依食品成分比例含量多寡，由高至低分別標示，而</w:t>
      </w:r>
      <w:proofErr w:type="gramStart"/>
      <w:r w:rsidRPr="009533D7">
        <w:rPr>
          <w:rFonts w:hint="eastAsia"/>
          <w:color w:val="000000" w:themeColor="text1"/>
          <w:u w:val="single"/>
        </w:rPr>
        <w:t>棕櫚油於</w:t>
      </w:r>
      <w:proofErr w:type="gramEnd"/>
      <w:r w:rsidRPr="009533D7">
        <w:rPr>
          <w:rFonts w:hint="eastAsia"/>
          <w:color w:val="000000" w:themeColor="text1"/>
          <w:u w:val="single"/>
        </w:rPr>
        <w:t>各食品標示</w:t>
      </w:r>
      <w:r w:rsidR="008E51D2" w:rsidRPr="009533D7">
        <w:rPr>
          <w:rFonts w:hint="eastAsia"/>
          <w:color w:val="000000" w:themeColor="text1"/>
          <w:u w:val="single"/>
        </w:rPr>
        <w:t>順位，</w:t>
      </w:r>
      <w:r w:rsidRPr="009533D7">
        <w:rPr>
          <w:rFonts w:hint="eastAsia"/>
          <w:color w:val="000000" w:themeColor="text1"/>
          <w:u w:val="single"/>
        </w:rPr>
        <w:t>大多名列前茅</w:t>
      </w:r>
      <w:r w:rsidRPr="009533D7">
        <w:rPr>
          <w:rFonts w:hint="eastAsia"/>
          <w:color w:val="000000" w:themeColor="text1"/>
        </w:rPr>
        <w:t>，幾為重要成分之一。</w:t>
      </w:r>
      <w:proofErr w:type="gramStart"/>
      <w:r w:rsidRPr="009533D7">
        <w:rPr>
          <w:rFonts w:hint="eastAsia"/>
          <w:color w:val="000000" w:themeColor="text1"/>
        </w:rPr>
        <w:t>此外，</w:t>
      </w:r>
      <w:proofErr w:type="gramEnd"/>
      <w:r w:rsidRPr="009533D7">
        <w:rPr>
          <w:rFonts w:hint="eastAsia"/>
          <w:color w:val="000000" w:themeColor="text1"/>
        </w:rPr>
        <w:t>速食餐廳販售的</w:t>
      </w:r>
      <w:r w:rsidRPr="009533D7">
        <w:rPr>
          <w:rFonts w:hint="eastAsia"/>
          <w:color w:val="000000" w:themeColor="text1"/>
          <w:u w:val="single"/>
        </w:rPr>
        <w:t>薯條、漢堡等產品，也都使用棕櫚油製造</w:t>
      </w:r>
      <w:r w:rsidRPr="009533D7">
        <w:rPr>
          <w:rFonts w:hint="eastAsia"/>
          <w:color w:val="000000" w:themeColor="text1"/>
        </w:rPr>
        <w:t>，即棕櫚油廣泛</w:t>
      </w:r>
      <w:r w:rsidRPr="009533D7">
        <w:rPr>
          <w:rFonts w:hint="eastAsia"/>
          <w:color w:val="000000" w:themeColor="text1"/>
          <w:spacing w:val="-4"/>
        </w:rPr>
        <w:t>存在於食品中，</w:t>
      </w:r>
      <w:r w:rsidRPr="009533D7">
        <w:rPr>
          <w:rFonts w:hint="eastAsia"/>
          <w:color w:val="000000" w:themeColor="text1"/>
          <w:spacing w:val="-4"/>
          <w:u w:val="single"/>
        </w:rPr>
        <w:t>因此訂定食品中GE</w:t>
      </w:r>
      <w:r w:rsidRPr="009533D7">
        <w:rPr>
          <w:color w:val="000000" w:themeColor="text1"/>
          <w:spacing w:val="-4"/>
          <w:u w:val="single"/>
        </w:rPr>
        <w:t>s</w:t>
      </w:r>
      <w:r w:rsidRPr="009533D7">
        <w:rPr>
          <w:rFonts w:hint="eastAsia"/>
          <w:color w:val="000000" w:themeColor="text1"/>
          <w:spacing w:val="-4"/>
          <w:u w:val="single"/>
        </w:rPr>
        <w:t>限量有其必要性</w:t>
      </w:r>
      <w:r w:rsidRPr="009533D7">
        <w:rPr>
          <w:rFonts w:hint="eastAsia"/>
          <w:color w:val="000000" w:themeColor="text1"/>
          <w:spacing w:val="-4"/>
        </w:rPr>
        <w:t>。</w:t>
      </w:r>
      <w:proofErr w:type="gramStart"/>
      <w:r w:rsidRPr="009533D7">
        <w:rPr>
          <w:rFonts w:hint="eastAsia"/>
          <w:color w:val="000000" w:themeColor="text1"/>
          <w:spacing w:val="-4"/>
        </w:rPr>
        <w:t>惟食藥署上開訂</w:t>
      </w:r>
      <w:proofErr w:type="gramEnd"/>
      <w:r w:rsidRPr="009533D7">
        <w:rPr>
          <w:rFonts w:hint="eastAsia"/>
          <w:color w:val="000000" w:themeColor="text1"/>
          <w:spacing w:val="-4"/>
        </w:rPr>
        <w:t>定規範GEs標準之消息經媒體披露及大幅報導後，引起各相關食品產業界之高度關注。</w:t>
      </w:r>
    </w:p>
    <w:p w:rsidR="00B171B1" w:rsidRPr="009533D7" w:rsidRDefault="00B171B1" w:rsidP="00B171B1">
      <w:pPr>
        <w:pStyle w:val="3"/>
        <w:spacing w:line="460" w:lineRule="exact"/>
        <w:rPr>
          <w:color w:val="000000" w:themeColor="text1"/>
        </w:rPr>
      </w:pPr>
      <w:r w:rsidRPr="009533D7">
        <w:rPr>
          <w:rFonts w:hint="eastAsia"/>
          <w:color w:val="000000" w:themeColor="text1"/>
        </w:rPr>
        <w:lastRenderedPageBreak/>
        <w:t>經查，</w:t>
      </w:r>
      <w:r w:rsidRPr="009533D7">
        <w:rPr>
          <w:rFonts w:hint="eastAsia"/>
          <w:color w:val="000000" w:themeColor="text1"/>
          <w:u w:val="single"/>
        </w:rPr>
        <w:t>棕櫚油中含有豐富的甘油二酯，約占總成分4至12%，在加熱脫臭過程中，甘油二</w:t>
      </w:r>
      <w:proofErr w:type="gramStart"/>
      <w:r w:rsidRPr="009533D7">
        <w:rPr>
          <w:rFonts w:hint="eastAsia"/>
          <w:color w:val="000000" w:themeColor="text1"/>
          <w:u w:val="single"/>
        </w:rPr>
        <w:t>酯經高溫</w:t>
      </w:r>
      <w:proofErr w:type="gramEnd"/>
      <w:r w:rsidRPr="009533D7">
        <w:rPr>
          <w:rFonts w:hint="eastAsia"/>
          <w:color w:val="000000" w:themeColor="text1"/>
          <w:u w:val="single"/>
        </w:rPr>
        <w:t>（&gt;200℃）加工後會形成GE</w:t>
      </w:r>
      <w:r w:rsidRPr="009533D7">
        <w:rPr>
          <w:color w:val="000000" w:themeColor="text1"/>
          <w:u w:val="single"/>
        </w:rPr>
        <w:t>s</w:t>
      </w:r>
      <w:r w:rsidRPr="009533D7">
        <w:rPr>
          <w:rFonts w:hint="eastAsia"/>
          <w:color w:val="000000" w:themeColor="text1"/>
          <w:u w:val="single"/>
        </w:rPr>
        <w:t>，進入人體胃腸道中會水解成縮水甘油，縮水甘油具有毒性，為Group 2A(極有可能為人類致癌物)級</w:t>
      </w:r>
      <w:r w:rsidRPr="009533D7">
        <w:rPr>
          <w:rFonts w:hint="eastAsia"/>
          <w:color w:val="000000" w:themeColor="text1"/>
        </w:rPr>
        <w:t>；歐洲食品安全局更於2018年發布之2018/290 COMMISSION REGULATION規章，訂定限量標準，基於維護國人食品安全，我國</w:t>
      </w:r>
      <w:proofErr w:type="gramStart"/>
      <w:r w:rsidRPr="009533D7">
        <w:rPr>
          <w:rFonts w:hint="eastAsia"/>
          <w:color w:val="000000" w:themeColor="text1"/>
          <w:u w:val="single"/>
        </w:rPr>
        <w:t>食藥署</w:t>
      </w:r>
      <w:proofErr w:type="gramEnd"/>
      <w:r w:rsidRPr="009533D7">
        <w:rPr>
          <w:rFonts w:hint="eastAsia"/>
          <w:color w:val="000000" w:themeColor="text1"/>
          <w:u w:val="single"/>
        </w:rPr>
        <w:t>於108年l月29日提送食品中污染物質及毒素衛生標準中GEs之修正書</w:t>
      </w:r>
      <w:proofErr w:type="gramStart"/>
      <w:r w:rsidRPr="009533D7">
        <w:rPr>
          <w:rFonts w:hint="eastAsia"/>
          <w:color w:val="000000" w:themeColor="text1"/>
          <w:u w:val="single"/>
        </w:rPr>
        <w:t>審案件</w:t>
      </w:r>
      <w:proofErr w:type="gramEnd"/>
      <w:r w:rsidRPr="009533D7">
        <w:rPr>
          <w:rFonts w:hint="eastAsia"/>
          <w:color w:val="000000" w:themeColor="text1"/>
          <w:u w:val="single"/>
        </w:rPr>
        <w:t>予「食品衛生安全與營養諮議會」委員書面審查</w:t>
      </w:r>
      <w:r w:rsidRPr="009533D7">
        <w:rPr>
          <w:rFonts w:hint="eastAsia"/>
          <w:color w:val="000000" w:themeColor="text1"/>
        </w:rPr>
        <w:t>，後於108年3月5日經「食品衛生安全與營養諮議會」審查決議，開始研議對食品中G</w:t>
      </w:r>
      <w:r w:rsidRPr="009533D7">
        <w:rPr>
          <w:color w:val="000000" w:themeColor="text1"/>
        </w:rPr>
        <w:t>E</w:t>
      </w:r>
      <w:r w:rsidRPr="009533D7">
        <w:rPr>
          <w:rFonts w:hint="eastAsia"/>
          <w:color w:val="000000" w:themeColor="text1"/>
        </w:rPr>
        <w:t>s含量進行管控。</w:t>
      </w:r>
    </w:p>
    <w:p w:rsidR="00B171B1" w:rsidRPr="009533D7" w:rsidRDefault="00B171B1" w:rsidP="00B171B1">
      <w:pPr>
        <w:pStyle w:val="3"/>
        <w:rPr>
          <w:color w:val="000000" w:themeColor="text1"/>
        </w:rPr>
      </w:pPr>
      <w:proofErr w:type="gramStart"/>
      <w:r w:rsidRPr="009533D7">
        <w:rPr>
          <w:rFonts w:hint="eastAsia"/>
          <w:color w:val="000000" w:themeColor="text1"/>
        </w:rPr>
        <w:t>食藥署</w:t>
      </w:r>
      <w:proofErr w:type="gramEnd"/>
      <w:r w:rsidRPr="009533D7">
        <w:rPr>
          <w:rFonts w:hint="eastAsia"/>
          <w:color w:val="000000" w:themeColor="text1"/>
        </w:rPr>
        <w:t>於109年l月14日召開「食品產業聯盟溝通會議」，</w:t>
      </w:r>
      <w:r w:rsidRPr="009533D7">
        <w:rPr>
          <w:rFonts w:hint="eastAsia"/>
          <w:color w:val="000000" w:themeColor="text1"/>
          <w:u w:val="single"/>
        </w:rPr>
        <w:t>由食品業者組成之「食品產業聯盟」</w:t>
      </w:r>
      <w:proofErr w:type="gramStart"/>
      <w:r w:rsidRPr="009533D7">
        <w:rPr>
          <w:rFonts w:hint="eastAsia"/>
          <w:color w:val="000000" w:themeColor="text1"/>
          <w:u w:val="single"/>
        </w:rPr>
        <w:t>向食藥</w:t>
      </w:r>
      <w:proofErr w:type="gramEnd"/>
      <w:r w:rsidRPr="009533D7">
        <w:rPr>
          <w:rFonts w:hint="eastAsia"/>
          <w:color w:val="000000" w:themeColor="text1"/>
          <w:u w:val="single"/>
        </w:rPr>
        <w:t>署提出「有關擬增訂棕櫚油縮水甘油脂肪酸酯之限量規定草案之建議」</w:t>
      </w:r>
      <w:r w:rsidRPr="009533D7">
        <w:rPr>
          <w:rFonts w:hint="eastAsia"/>
          <w:color w:val="000000" w:themeColor="text1"/>
        </w:rPr>
        <w:t>，對於進口油脂之GEs污染問題，仍需借助與進口國之雙邊溝通以自源頭減少污染量，且國內尋找及測試替代油脂亦尚需時間等因素，</w:t>
      </w:r>
      <w:r w:rsidRPr="009533D7">
        <w:rPr>
          <w:rFonts w:hint="eastAsia"/>
          <w:color w:val="000000" w:themeColor="text1"/>
          <w:u w:val="single"/>
        </w:rPr>
        <w:t>因此建議應提供緩衝期以利各界因應，爰該署未依原規劃期程(108年10月)辦理預告程序</w:t>
      </w:r>
      <w:r w:rsidRPr="009533D7">
        <w:rPr>
          <w:rFonts w:hint="eastAsia"/>
          <w:color w:val="000000" w:themeColor="text1"/>
        </w:rPr>
        <w:t>；</w:t>
      </w:r>
      <w:proofErr w:type="gramStart"/>
      <w:r w:rsidRPr="009533D7">
        <w:rPr>
          <w:rFonts w:hint="eastAsia"/>
          <w:color w:val="000000" w:themeColor="text1"/>
        </w:rPr>
        <w:t>並遲至</w:t>
      </w:r>
      <w:proofErr w:type="gramEnd"/>
      <w:r w:rsidRPr="009533D7">
        <w:rPr>
          <w:rFonts w:hint="eastAsia"/>
          <w:color w:val="000000" w:themeColor="text1"/>
        </w:rPr>
        <w:t>109年10月21日始預告「食品中污染物質及毒素衛生標準」第6條、第5條附表三修正草案，經6</w:t>
      </w:r>
      <w:r w:rsidRPr="009533D7">
        <w:rPr>
          <w:color w:val="000000" w:themeColor="text1"/>
        </w:rPr>
        <w:t>0</w:t>
      </w:r>
      <w:r w:rsidRPr="009533D7">
        <w:rPr>
          <w:rFonts w:hint="eastAsia"/>
          <w:color w:val="000000" w:themeColor="text1"/>
        </w:rPr>
        <w:t>日評論期間後，</w:t>
      </w:r>
      <w:r w:rsidRPr="009533D7">
        <w:rPr>
          <w:rFonts w:hint="eastAsia"/>
          <w:color w:val="000000" w:themeColor="text1"/>
          <w:u w:val="single"/>
        </w:rPr>
        <w:t>於110年2月4日發布修正上開規定，針對嬰兒配方食品、較大嬰兒配方輔助食品及特殊醫療用途嬰/幼兒配方食品，提出GEs限量標準，自110年7月1日起實施。另就食用油品部分，GEs限量標準，則自113年1月1日起實施</w:t>
      </w:r>
      <w:r w:rsidRPr="009533D7">
        <w:rPr>
          <w:rFonts w:hint="eastAsia"/>
          <w:color w:val="000000" w:themeColor="text1"/>
        </w:rPr>
        <w:t>。</w:t>
      </w:r>
    </w:p>
    <w:p w:rsidR="0059227F" w:rsidRPr="009533D7" w:rsidRDefault="009D7EF7" w:rsidP="000141EF">
      <w:pPr>
        <w:pStyle w:val="3"/>
        <w:spacing w:line="460" w:lineRule="exact"/>
        <w:rPr>
          <w:color w:val="000000" w:themeColor="text1"/>
        </w:rPr>
      </w:pPr>
      <w:r w:rsidRPr="009533D7">
        <w:rPr>
          <w:rFonts w:hint="eastAsia"/>
          <w:color w:val="000000" w:themeColor="text1"/>
        </w:rPr>
        <w:t>依</w:t>
      </w:r>
      <w:r w:rsidR="00B9558D" w:rsidRPr="009533D7">
        <w:rPr>
          <w:rFonts w:hint="eastAsia"/>
          <w:color w:val="000000" w:themeColor="text1"/>
        </w:rPr>
        <w:t>《經濟社會與文化權利國際公約》</w:t>
      </w:r>
      <w:r w:rsidR="00791DAD" w:rsidRPr="009533D7">
        <w:rPr>
          <w:rFonts w:hint="eastAsia"/>
          <w:color w:val="000000" w:themeColor="text1"/>
        </w:rPr>
        <w:t>（下稱經社文公約）</w:t>
      </w:r>
      <w:r w:rsidR="00B9558D" w:rsidRPr="009533D7">
        <w:rPr>
          <w:rFonts w:hint="eastAsia"/>
          <w:color w:val="000000" w:themeColor="text1"/>
        </w:rPr>
        <w:t>第11條第1項前段規定：「本公約締約國確認人人有權享受其本人及家屬所需之適當生活程度，包</w:t>
      </w:r>
      <w:r w:rsidR="00B9558D" w:rsidRPr="009533D7">
        <w:rPr>
          <w:rFonts w:hint="eastAsia"/>
          <w:color w:val="000000" w:themeColor="text1"/>
        </w:rPr>
        <w:lastRenderedPageBreak/>
        <w:t>括適當之衣食住及不斷改善之生活環境。」根據第12號一般性意見，</w:t>
      </w:r>
      <w:r w:rsidR="00791DAD" w:rsidRPr="009533D7">
        <w:rPr>
          <w:rFonts w:hint="eastAsia"/>
          <w:color w:val="000000" w:themeColor="text1"/>
        </w:rPr>
        <w:t>委員會認為</w:t>
      </w:r>
      <w:r w:rsidR="00B9558D" w:rsidRPr="009533D7">
        <w:rPr>
          <w:rFonts w:hint="eastAsia"/>
          <w:color w:val="000000" w:themeColor="text1"/>
        </w:rPr>
        <w:t>本段規定即蘊含「適足糧食權」</w:t>
      </w:r>
      <w:r w:rsidR="003C5925" w:rsidRPr="009533D7">
        <w:rPr>
          <w:rFonts w:hint="eastAsia"/>
          <w:color w:val="000000" w:themeColor="text1"/>
        </w:rPr>
        <w:t>係</w:t>
      </w:r>
      <w:r w:rsidR="00B9558D" w:rsidRPr="009533D7">
        <w:rPr>
          <w:rFonts w:hint="eastAsia"/>
          <w:color w:val="000000" w:themeColor="text1"/>
        </w:rPr>
        <w:t>受</w:t>
      </w:r>
      <w:proofErr w:type="gramStart"/>
      <w:r w:rsidR="00791DAD" w:rsidRPr="009533D7">
        <w:rPr>
          <w:rFonts w:hint="eastAsia"/>
          <w:color w:val="000000" w:themeColor="text1"/>
        </w:rPr>
        <w:t>經社文公約</w:t>
      </w:r>
      <w:proofErr w:type="gramEnd"/>
      <w:r w:rsidR="00B9558D" w:rsidRPr="009533D7">
        <w:rPr>
          <w:rFonts w:hint="eastAsia"/>
          <w:color w:val="000000" w:themeColor="text1"/>
        </w:rPr>
        <w:t>所保障，</w:t>
      </w:r>
      <w:r w:rsidR="00791DAD" w:rsidRPr="009533D7">
        <w:rPr>
          <w:rFonts w:hint="eastAsia"/>
          <w:color w:val="000000" w:themeColor="text1"/>
        </w:rPr>
        <w:t>而且適足糧食權</w:t>
      </w:r>
      <w:r w:rsidR="003C5925" w:rsidRPr="009533D7">
        <w:rPr>
          <w:rFonts w:hint="eastAsia"/>
          <w:color w:val="000000" w:themeColor="text1"/>
        </w:rPr>
        <w:t>內含亦</w:t>
      </w:r>
      <w:r w:rsidR="00791DAD" w:rsidRPr="009533D7">
        <w:rPr>
          <w:rFonts w:hint="eastAsia"/>
          <w:color w:val="000000" w:themeColor="text1"/>
        </w:rPr>
        <w:t>包含了確保食品不得含有毒害物質的「食品安全」，</w:t>
      </w:r>
      <w:r w:rsidR="003C5925" w:rsidRPr="009533D7">
        <w:rPr>
          <w:rFonts w:hint="eastAsia"/>
          <w:color w:val="000000" w:themeColor="text1"/>
        </w:rPr>
        <w:t>而且賦予國家保護義務，亦即應要求政府和民營部門都採取保護措施，以防止食品在糧食製造</w:t>
      </w:r>
      <w:proofErr w:type="gramStart"/>
      <w:r w:rsidR="003C5925" w:rsidRPr="009533D7">
        <w:rPr>
          <w:rFonts w:hint="eastAsia"/>
          <w:color w:val="000000" w:themeColor="text1"/>
        </w:rPr>
        <w:t>供給鏈各階</w:t>
      </w:r>
      <w:proofErr w:type="gramEnd"/>
      <w:r w:rsidR="003C5925" w:rsidRPr="009533D7">
        <w:rPr>
          <w:rFonts w:hint="eastAsia"/>
          <w:color w:val="000000" w:themeColor="text1"/>
        </w:rPr>
        <w:t>段因摻雜摻假和</w:t>
      </w:r>
      <w:r w:rsidR="003C5925" w:rsidRPr="009533D7">
        <w:rPr>
          <w:color w:val="000000" w:themeColor="text1"/>
        </w:rPr>
        <w:t>(</w:t>
      </w:r>
      <w:r w:rsidR="003C5925" w:rsidRPr="009533D7">
        <w:rPr>
          <w:rFonts w:hint="eastAsia"/>
          <w:color w:val="000000" w:themeColor="text1"/>
        </w:rPr>
        <w:t>或</w:t>
      </w:r>
      <w:r w:rsidR="003C5925" w:rsidRPr="009533D7">
        <w:rPr>
          <w:color w:val="000000" w:themeColor="text1"/>
        </w:rPr>
        <w:t>)</w:t>
      </w:r>
      <w:r w:rsidR="003C5925" w:rsidRPr="009533D7">
        <w:rPr>
          <w:rFonts w:hint="eastAsia"/>
          <w:color w:val="000000" w:themeColor="text1"/>
        </w:rPr>
        <w:t>因環境衛生問題或處置不當而受到污染</w:t>
      </w:r>
      <w:r w:rsidR="003C5925" w:rsidRPr="009533D7">
        <w:rPr>
          <w:rStyle w:val="aff1"/>
          <w:color w:val="000000" w:themeColor="text1"/>
        </w:rPr>
        <w:footnoteReference w:id="2"/>
      </w:r>
      <w:r w:rsidR="003C5925" w:rsidRPr="009533D7">
        <w:rPr>
          <w:rFonts w:hint="eastAsia"/>
          <w:color w:val="000000" w:themeColor="text1"/>
        </w:rPr>
        <w:t>。</w:t>
      </w:r>
    </w:p>
    <w:p w:rsidR="003C5925" w:rsidRPr="009533D7" w:rsidRDefault="003C5925" w:rsidP="000141EF">
      <w:pPr>
        <w:pStyle w:val="3"/>
        <w:spacing w:line="460" w:lineRule="exact"/>
        <w:rPr>
          <w:color w:val="000000" w:themeColor="text1"/>
        </w:rPr>
      </w:pPr>
      <w:r w:rsidRPr="009533D7">
        <w:rPr>
          <w:rFonts w:hint="eastAsia"/>
          <w:color w:val="000000" w:themeColor="text1"/>
        </w:rPr>
        <w:t>而所謂食品「安全」</w:t>
      </w:r>
      <w:r w:rsidR="001F2552" w:rsidRPr="009533D7">
        <w:rPr>
          <w:rFonts w:hint="eastAsia"/>
          <w:color w:val="000000" w:themeColor="text1"/>
        </w:rPr>
        <w:t>，</w:t>
      </w:r>
      <w:r w:rsidRPr="009533D7">
        <w:rPr>
          <w:rFonts w:hint="eastAsia"/>
          <w:color w:val="000000" w:themeColor="text1"/>
        </w:rPr>
        <w:t>並不單純狹隘地僅指涉衛生狀態、</w:t>
      </w:r>
      <w:proofErr w:type="gramStart"/>
      <w:r w:rsidRPr="009533D7">
        <w:rPr>
          <w:rFonts w:hint="eastAsia"/>
          <w:color w:val="000000" w:themeColor="text1"/>
        </w:rPr>
        <w:t>食源性</w:t>
      </w:r>
      <w:proofErr w:type="gramEnd"/>
      <w:r w:rsidRPr="009533D7">
        <w:rPr>
          <w:rFonts w:hint="eastAsia"/>
          <w:color w:val="000000" w:themeColor="text1"/>
        </w:rPr>
        <w:t>風險與健康危害，更涵蓋為求食品安全之實現，所須確保之各類制度性要求（如風險評估諮議制度、科學檢驗與實驗室基礎建設、公平交易與市場秩序、供應鏈安全、標示與資訊揭露、透明決策程序等），與</w:t>
      </w:r>
      <w:r w:rsidRPr="009533D7">
        <w:rPr>
          <w:rFonts w:hint="eastAsia"/>
          <w:b/>
          <w:color w:val="000000" w:themeColor="text1"/>
        </w:rPr>
        <w:t>各方利害關係人之參與</w:t>
      </w:r>
      <w:r w:rsidRPr="009533D7">
        <w:rPr>
          <w:rStyle w:val="aff1"/>
          <w:color w:val="000000" w:themeColor="text1"/>
        </w:rPr>
        <w:footnoteReference w:id="3"/>
      </w:r>
      <w:r w:rsidRPr="009533D7">
        <w:rPr>
          <w:rFonts w:hint="eastAsia"/>
          <w:color w:val="000000" w:themeColor="text1"/>
        </w:rPr>
        <w:t>。</w:t>
      </w:r>
      <w:r w:rsidR="003117D2" w:rsidRPr="009533D7">
        <w:rPr>
          <w:rFonts w:hint="eastAsia"/>
          <w:color w:val="000000" w:themeColor="text1"/>
        </w:rPr>
        <w:t>而且</w:t>
      </w:r>
      <w:r w:rsidR="00165B50" w:rsidRPr="009533D7">
        <w:rPr>
          <w:rFonts w:hint="eastAsia"/>
          <w:color w:val="000000" w:themeColor="text1"/>
        </w:rPr>
        <w:t>食品安全之風險管制</w:t>
      </w:r>
      <w:r w:rsidR="003117D2" w:rsidRPr="009533D7">
        <w:rPr>
          <w:rFonts w:hint="eastAsia"/>
          <w:color w:val="000000" w:themeColor="text1"/>
        </w:rPr>
        <w:t>上</w:t>
      </w:r>
      <w:r w:rsidR="00165B50" w:rsidRPr="009533D7">
        <w:rPr>
          <w:rFonts w:hint="eastAsia"/>
          <w:color w:val="000000" w:themeColor="text1"/>
        </w:rPr>
        <w:t>，由於相關科學知識經驗之不確定</w:t>
      </w:r>
      <w:r w:rsidR="003117D2" w:rsidRPr="009533D7">
        <w:rPr>
          <w:rFonts w:hint="eastAsia"/>
          <w:color w:val="000000" w:themeColor="text1"/>
        </w:rPr>
        <w:t>，對於如何進行風險管制，</w:t>
      </w:r>
      <w:r w:rsidR="003117D2" w:rsidRPr="009533D7">
        <w:rPr>
          <w:rFonts w:hint="eastAsia"/>
          <w:b/>
          <w:color w:val="000000" w:themeColor="text1"/>
        </w:rPr>
        <w:t>如何使科技專業人員、企業、人民等風險相關人員之意見，得以充分反映於</w:t>
      </w:r>
      <w:r w:rsidR="00666CA8" w:rsidRPr="009533D7">
        <w:rPr>
          <w:rFonts w:hint="eastAsia"/>
          <w:b/>
          <w:color w:val="000000" w:themeColor="text1"/>
        </w:rPr>
        <w:t>法</w:t>
      </w:r>
      <w:r w:rsidR="003117D2" w:rsidRPr="009533D7">
        <w:rPr>
          <w:rFonts w:hint="eastAsia"/>
          <w:b/>
          <w:color w:val="000000" w:themeColor="text1"/>
        </w:rPr>
        <w:t>規範</w:t>
      </w:r>
      <w:r w:rsidR="00666CA8" w:rsidRPr="009533D7">
        <w:rPr>
          <w:rFonts w:hint="eastAsia"/>
          <w:b/>
          <w:color w:val="000000" w:themeColor="text1"/>
        </w:rPr>
        <w:t>之</w:t>
      </w:r>
      <w:r w:rsidR="003117D2" w:rsidRPr="009533D7">
        <w:rPr>
          <w:rFonts w:hint="eastAsia"/>
          <w:b/>
          <w:color w:val="000000" w:themeColor="text1"/>
        </w:rPr>
        <w:t>訂定程序，</w:t>
      </w:r>
      <w:r w:rsidR="00666CA8" w:rsidRPr="009533D7">
        <w:rPr>
          <w:rFonts w:hint="eastAsia"/>
          <w:b/>
          <w:color w:val="000000" w:themeColor="text1"/>
        </w:rPr>
        <w:t>即</w:t>
      </w:r>
      <w:r w:rsidR="003117D2" w:rsidRPr="009533D7">
        <w:rPr>
          <w:rFonts w:hint="eastAsia"/>
          <w:b/>
          <w:color w:val="000000" w:themeColor="text1"/>
        </w:rPr>
        <w:t>屬重要</w:t>
      </w:r>
      <w:r w:rsidR="003117D2" w:rsidRPr="009533D7">
        <w:rPr>
          <w:rFonts w:hint="eastAsia"/>
          <w:color w:val="000000" w:themeColor="text1"/>
        </w:rPr>
        <w:t>，即有必要建立</w:t>
      </w:r>
      <w:r w:rsidR="003117D2" w:rsidRPr="009533D7">
        <w:rPr>
          <w:rFonts w:hint="eastAsia"/>
          <w:b/>
          <w:color w:val="000000" w:themeColor="text1"/>
        </w:rPr>
        <w:t>風險溝通機制</w:t>
      </w:r>
      <w:r w:rsidR="003117D2" w:rsidRPr="009533D7">
        <w:rPr>
          <w:rFonts w:hint="eastAsia"/>
          <w:color w:val="000000" w:themeColor="text1"/>
        </w:rPr>
        <w:t>以及其相關配套之程序設計</w:t>
      </w:r>
      <w:r w:rsidR="003117D2" w:rsidRPr="009533D7">
        <w:rPr>
          <w:rStyle w:val="aff1"/>
          <w:color w:val="000000" w:themeColor="text1"/>
        </w:rPr>
        <w:footnoteReference w:id="4"/>
      </w:r>
      <w:r w:rsidR="003117D2" w:rsidRPr="009533D7">
        <w:rPr>
          <w:rFonts w:hint="eastAsia"/>
          <w:color w:val="000000" w:themeColor="text1"/>
        </w:rPr>
        <w:t>。</w:t>
      </w:r>
    </w:p>
    <w:p w:rsidR="00DF22A9" w:rsidRPr="009533D7" w:rsidRDefault="00DF22A9" w:rsidP="000141EF">
      <w:pPr>
        <w:pStyle w:val="3"/>
        <w:spacing w:line="460" w:lineRule="exact"/>
        <w:rPr>
          <w:color w:val="000000" w:themeColor="text1"/>
        </w:rPr>
      </w:pPr>
      <w:r w:rsidRPr="009533D7">
        <w:rPr>
          <w:rFonts w:hint="eastAsia"/>
          <w:color w:val="000000" w:themeColor="text1"/>
        </w:rPr>
        <w:t>在</w:t>
      </w:r>
      <w:r w:rsidR="00275BDA" w:rsidRPr="009533D7">
        <w:rPr>
          <w:rFonts w:hint="eastAsia"/>
          <w:color w:val="000000" w:themeColor="text1"/>
        </w:rPr>
        <w:t>食安法</w:t>
      </w:r>
      <w:r w:rsidR="004E03F1" w:rsidRPr="009533D7">
        <w:rPr>
          <w:rFonts w:hint="eastAsia"/>
          <w:color w:val="000000" w:themeColor="text1"/>
        </w:rPr>
        <w:t>之</w:t>
      </w:r>
      <w:r w:rsidR="00616157" w:rsidRPr="009533D7">
        <w:rPr>
          <w:rFonts w:hint="eastAsia"/>
          <w:color w:val="000000" w:themeColor="text1"/>
        </w:rPr>
        <w:t>法規命令</w:t>
      </w:r>
      <w:r w:rsidR="00D5667D" w:rsidRPr="009533D7">
        <w:rPr>
          <w:rFonts w:hint="eastAsia"/>
          <w:color w:val="000000" w:themeColor="text1"/>
        </w:rPr>
        <w:t>的</w:t>
      </w:r>
      <w:r w:rsidR="00616157" w:rsidRPr="009533D7">
        <w:rPr>
          <w:rFonts w:hint="eastAsia"/>
          <w:color w:val="000000" w:themeColor="text1"/>
        </w:rPr>
        <w:t>訂定程序上</w:t>
      </w:r>
      <w:r w:rsidR="004E03F1" w:rsidRPr="009533D7">
        <w:rPr>
          <w:rFonts w:hint="eastAsia"/>
          <w:color w:val="000000" w:themeColor="text1"/>
        </w:rPr>
        <w:t>，除須經食品</w:t>
      </w:r>
      <w:r w:rsidR="00D5667D" w:rsidRPr="009533D7">
        <w:rPr>
          <w:rFonts w:hint="eastAsia"/>
          <w:color w:val="000000" w:themeColor="text1"/>
        </w:rPr>
        <w:t>「</w:t>
      </w:r>
      <w:r w:rsidR="004E03F1" w:rsidRPr="009533D7">
        <w:rPr>
          <w:rFonts w:hint="eastAsia"/>
          <w:color w:val="000000" w:themeColor="text1"/>
        </w:rPr>
        <w:t>衛生安全與營養</w:t>
      </w:r>
      <w:proofErr w:type="gramStart"/>
      <w:r w:rsidR="004E03F1" w:rsidRPr="009533D7">
        <w:rPr>
          <w:rFonts w:hint="eastAsia"/>
          <w:color w:val="000000" w:themeColor="text1"/>
        </w:rPr>
        <w:t>諮</w:t>
      </w:r>
      <w:proofErr w:type="gramEnd"/>
      <w:r w:rsidR="004E03F1" w:rsidRPr="009533D7">
        <w:rPr>
          <w:rFonts w:hint="eastAsia"/>
          <w:color w:val="000000" w:themeColor="text1"/>
        </w:rPr>
        <w:t>議會</w:t>
      </w:r>
      <w:r w:rsidR="00D5667D" w:rsidRPr="009533D7">
        <w:rPr>
          <w:rFonts w:hint="eastAsia"/>
          <w:color w:val="000000" w:themeColor="text1"/>
        </w:rPr>
        <w:t>」</w:t>
      </w:r>
      <w:r w:rsidR="004E03F1" w:rsidRPr="009533D7">
        <w:rPr>
          <w:rFonts w:hint="eastAsia"/>
          <w:color w:val="000000" w:themeColor="text1"/>
        </w:rPr>
        <w:t>之各領域</w:t>
      </w:r>
      <w:r w:rsidR="004E03F1" w:rsidRPr="009533D7">
        <w:rPr>
          <w:rStyle w:val="aff1"/>
          <w:color w:val="000000" w:themeColor="text1"/>
        </w:rPr>
        <w:footnoteReference w:id="5"/>
      </w:r>
      <w:r w:rsidR="004E03F1" w:rsidRPr="009533D7">
        <w:rPr>
          <w:rFonts w:hint="eastAsia"/>
          <w:color w:val="000000" w:themeColor="text1"/>
        </w:rPr>
        <w:t>專精學者進行專家審查外，</w:t>
      </w:r>
      <w:r w:rsidR="00616157" w:rsidRPr="009533D7">
        <w:rPr>
          <w:rFonts w:hint="eastAsia"/>
          <w:color w:val="000000" w:themeColor="text1"/>
        </w:rPr>
        <w:t>為落實民意參與，避免過去法規訂</w:t>
      </w:r>
      <w:proofErr w:type="gramStart"/>
      <w:r w:rsidR="00616157" w:rsidRPr="009533D7">
        <w:rPr>
          <w:rFonts w:hint="eastAsia"/>
          <w:color w:val="000000" w:themeColor="text1"/>
        </w:rPr>
        <w:t>定均由行</w:t>
      </w:r>
      <w:proofErr w:type="gramEnd"/>
      <w:r w:rsidR="00616157" w:rsidRPr="009533D7">
        <w:rPr>
          <w:rFonts w:hint="eastAsia"/>
          <w:color w:val="000000" w:themeColor="text1"/>
        </w:rPr>
        <w:t>政機關自行決定而易被指摘為「黑箱作業」，故於行政程序法第154條規定，法規命令訂定程序，應行</w:t>
      </w:r>
      <w:r w:rsidR="00616157" w:rsidRPr="009533D7">
        <w:rPr>
          <w:rFonts w:hint="eastAsia"/>
          <w:color w:val="000000" w:themeColor="text1"/>
        </w:rPr>
        <w:lastRenderedPageBreak/>
        <w:t>公告程序，公告周知，使任何</w:t>
      </w:r>
      <w:proofErr w:type="gramStart"/>
      <w:r w:rsidR="00616157" w:rsidRPr="009533D7">
        <w:rPr>
          <w:rFonts w:hint="eastAsia"/>
          <w:color w:val="000000" w:themeColor="text1"/>
        </w:rPr>
        <w:t>人均得表</w:t>
      </w:r>
      <w:proofErr w:type="gramEnd"/>
      <w:r w:rsidR="00616157" w:rsidRPr="009533D7">
        <w:rPr>
          <w:rFonts w:hint="eastAsia"/>
          <w:color w:val="000000" w:themeColor="text1"/>
        </w:rPr>
        <w:t>示意見</w:t>
      </w:r>
      <w:r w:rsidR="00616157" w:rsidRPr="009533D7">
        <w:rPr>
          <w:rStyle w:val="aff1"/>
          <w:color w:val="000000" w:themeColor="text1"/>
        </w:rPr>
        <w:footnoteReference w:id="6"/>
      </w:r>
      <w:r w:rsidR="00616157" w:rsidRPr="009533D7">
        <w:rPr>
          <w:rFonts w:hint="eastAsia"/>
          <w:color w:val="000000" w:themeColor="text1"/>
        </w:rPr>
        <w:t>，在食安法授權訂定相關管制標準之法規命令時，即應透過行政程序法規定，落實</w:t>
      </w:r>
      <w:r w:rsidR="001407D7" w:rsidRPr="009533D7">
        <w:rPr>
          <w:rFonts w:hint="eastAsia"/>
          <w:color w:val="000000" w:themeColor="text1"/>
        </w:rPr>
        <w:t>預告程序之</w:t>
      </w:r>
      <w:r w:rsidR="00616157" w:rsidRPr="009533D7">
        <w:rPr>
          <w:rFonts w:hint="eastAsia"/>
          <w:color w:val="000000" w:themeColor="text1"/>
        </w:rPr>
        <w:t>民意參與，</w:t>
      </w:r>
      <w:r w:rsidR="002C21E3" w:rsidRPr="009533D7">
        <w:rPr>
          <w:rFonts w:hint="eastAsia"/>
          <w:color w:val="000000" w:themeColor="text1"/>
        </w:rPr>
        <w:t>因</w:t>
      </w:r>
      <w:r w:rsidR="00616157" w:rsidRPr="009533D7">
        <w:rPr>
          <w:rFonts w:hint="eastAsia"/>
          <w:color w:val="000000" w:themeColor="text1"/>
        </w:rPr>
        <w:t>食品製造業者、消費者團體、其他領域專家等利害關係人或團體參與預告程序，建立風險溝通機制，</w:t>
      </w:r>
      <w:r w:rsidR="001407D7" w:rsidRPr="009533D7">
        <w:rPr>
          <w:rFonts w:hint="eastAsia"/>
          <w:color w:val="000000" w:themeColor="text1"/>
        </w:rPr>
        <w:t>而</w:t>
      </w:r>
      <w:r w:rsidR="00616157" w:rsidRPr="009533D7">
        <w:rPr>
          <w:rFonts w:hint="eastAsia"/>
          <w:color w:val="000000" w:themeColor="text1"/>
        </w:rPr>
        <w:t>透過此一制度，</w:t>
      </w:r>
      <w:r w:rsidR="001407D7" w:rsidRPr="009533D7">
        <w:rPr>
          <w:rFonts w:hint="eastAsia"/>
          <w:color w:val="000000" w:themeColor="text1"/>
        </w:rPr>
        <w:t>進行風險管控，並維護食品安全，確保國民健康。</w:t>
      </w:r>
      <w:r w:rsidR="00BC2D01" w:rsidRPr="009533D7">
        <w:rPr>
          <w:rFonts w:hint="eastAsia"/>
          <w:color w:val="000000" w:themeColor="text1"/>
        </w:rPr>
        <w:t>又如主管機關認為</w:t>
      </w:r>
      <w:r w:rsidR="0053260D" w:rsidRPr="009533D7">
        <w:rPr>
          <w:rFonts w:hint="eastAsia"/>
          <w:color w:val="000000" w:themeColor="text1"/>
        </w:rPr>
        <w:t>暫</w:t>
      </w:r>
      <w:r w:rsidR="00BC2D01" w:rsidRPr="009533D7">
        <w:rPr>
          <w:rFonts w:hint="eastAsia"/>
          <w:color w:val="000000" w:themeColor="text1"/>
        </w:rPr>
        <w:t>不以法規命令之預告程序，另</w:t>
      </w:r>
      <w:r w:rsidR="00D51CBF" w:rsidRPr="009533D7">
        <w:rPr>
          <w:rFonts w:hint="eastAsia"/>
          <w:color w:val="000000" w:themeColor="text1"/>
        </w:rPr>
        <w:t>先</w:t>
      </w:r>
      <w:r w:rsidR="00BC2D01" w:rsidRPr="009533D7">
        <w:rPr>
          <w:rFonts w:hint="eastAsia"/>
          <w:color w:val="000000" w:themeColor="text1"/>
        </w:rPr>
        <w:t>以</w:t>
      </w:r>
      <w:proofErr w:type="gramStart"/>
      <w:r w:rsidR="00BC2D01" w:rsidRPr="009533D7">
        <w:rPr>
          <w:rFonts w:hint="eastAsia"/>
          <w:color w:val="000000" w:themeColor="text1"/>
        </w:rPr>
        <w:t>研</w:t>
      </w:r>
      <w:proofErr w:type="gramEnd"/>
      <w:r w:rsidR="00BC2D01" w:rsidRPr="009533D7">
        <w:rPr>
          <w:rFonts w:hint="eastAsia"/>
          <w:color w:val="000000" w:themeColor="text1"/>
        </w:rPr>
        <w:t>商會議、公聽會或聽證程序辦理，進行不同利害關係人意見之蒐集，仍應尊重行政機關合義務性職權裁量，惟仍須廣泛蒐集不同立場意見為要，以落實風險溝通機制。</w:t>
      </w:r>
    </w:p>
    <w:p w:rsidR="00BD4F93" w:rsidRPr="009533D7" w:rsidRDefault="005B5A8B" w:rsidP="000141EF">
      <w:pPr>
        <w:pStyle w:val="3"/>
        <w:spacing w:line="460" w:lineRule="exact"/>
        <w:rPr>
          <w:color w:val="000000" w:themeColor="text1"/>
        </w:rPr>
      </w:pPr>
      <w:proofErr w:type="gramStart"/>
      <w:r w:rsidRPr="009533D7">
        <w:rPr>
          <w:rFonts w:hint="eastAsia"/>
          <w:color w:val="000000" w:themeColor="text1"/>
        </w:rPr>
        <w:t>食藥署</w:t>
      </w:r>
      <w:proofErr w:type="gramEnd"/>
      <w:r w:rsidRPr="009533D7">
        <w:rPr>
          <w:rFonts w:hint="eastAsia"/>
          <w:color w:val="000000" w:themeColor="text1"/>
        </w:rPr>
        <w:t>針對GEs限量標準</w:t>
      </w:r>
      <w:r w:rsidR="00A338B2" w:rsidRPr="009533D7">
        <w:rPr>
          <w:rFonts w:hint="eastAsia"/>
          <w:color w:val="000000" w:themeColor="text1"/>
        </w:rPr>
        <w:t>之管制</w:t>
      </w:r>
      <w:r w:rsidRPr="009533D7">
        <w:rPr>
          <w:rFonts w:hint="eastAsia"/>
          <w:color w:val="000000" w:themeColor="text1"/>
        </w:rPr>
        <w:t>，本應於108年10月辦理</w:t>
      </w:r>
      <w:r w:rsidR="00A338B2" w:rsidRPr="009533D7">
        <w:rPr>
          <w:rFonts w:hint="eastAsia"/>
          <w:color w:val="000000" w:themeColor="text1"/>
        </w:rPr>
        <w:t>法規命令之</w:t>
      </w:r>
      <w:r w:rsidRPr="009533D7">
        <w:rPr>
          <w:rFonts w:hint="eastAsia"/>
          <w:color w:val="000000" w:themeColor="text1"/>
        </w:rPr>
        <w:t>預告程序，因食品業者組成食品產業聯盟向該署提案，即推遲至109年10月21日再行預告程序，</w:t>
      </w:r>
      <w:r w:rsidR="002F76ED" w:rsidRPr="009533D7">
        <w:rPr>
          <w:rFonts w:hint="eastAsia"/>
          <w:color w:val="000000" w:themeColor="text1"/>
        </w:rPr>
        <w:t>而食品業者所稱</w:t>
      </w:r>
      <w:r w:rsidR="00BD4F93" w:rsidRPr="009533D7">
        <w:rPr>
          <w:rFonts w:hint="eastAsia"/>
          <w:color w:val="000000" w:themeColor="text1"/>
        </w:rPr>
        <w:t>「</w:t>
      </w:r>
      <w:r w:rsidR="002F76ED" w:rsidRPr="009533D7">
        <w:rPr>
          <w:rFonts w:hint="eastAsia"/>
          <w:color w:val="000000" w:themeColor="text1"/>
        </w:rPr>
        <w:t>與進口國之雙邊溝通以自源頭減少污染量</w:t>
      </w:r>
      <w:r w:rsidR="00BD4F93" w:rsidRPr="009533D7">
        <w:rPr>
          <w:rFonts w:hint="eastAsia"/>
          <w:color w:val="000000" w:themeColor="text1"/>
        </w:rPr>
        <w:t>」</w:t>
      </w:r>
      <w:r w:rsidR="002F76ED" w:rsidRPr="009533D7">
        <w:rPr>
          <w:rFonts w:hint="eastAsia"/>
          <w:color w:val="000000" w:themeColor="text1"/>
        </w:rPr>
        <w:t>，</w:t>
      </w:r>
      <w:r w:rsidR="001F2552" w:rsidRPr="009533D7">
        <w:rPr>
          <w:rFonts w:hint="eastAsia"/>
          <w:color w:val="000000" w:themeColor="text1"/>
        </w:rPr>
        <w:t>本院</w:t>
      </w:r>
      <w:r w:rsidR="00BD4F93" w:rsidRPr="009533D7">
        <w:rPr>
          <w:rFonts w:hint="eastAsia"/>
          <w:color w:val="000000" w:themeColor="text1"/>
        </w:rPr>
        <w:t>綜合</w:t>
      </w:r>
      <w:proofErr w:type="gramStart"/>
      <w:r w:rsidR="002F76ED" w:rsidRPr="009533D7">
        <w:rPr>
          <w:rFonts w:hint="eastAsia"/>
          <w:color w:val="000000" w:themeColor="text1"/>
        </w:rPr>
        <w:t>衛福部</w:t>
      </w:r>
      <w:proofErr w:type="gramEnd"/>
      <w:r w:rsidR="00BD4F93" w:rsidRPr="009533D7">
        <w:rPr>
          <w:rFonts w:hint="eastAsia"/>
          <w:color w:val="000000" w:themeColor="text1"/>
        </w:rPr>
        <w:t>查復意旨</w:t>
      </w:r>
      <w:r w:rsidR="002F76ED" w:rsidRPr="009533D7">
        <w:rPr>
          <w:rFonts w:hint="eastAsia"/>
          <w:color w:val="000000" w:themeColor="text1"/>
        </w:rPr>
        <w:t>，</w:t>
      </w:r>
      <w:r w:rsidR="00BD4F93" w:rsidRPr="009533D7">
        <w:rPr>
          <w:rFonts w:hint="eastAsia"/>
          <w:color w:val="000000" w:themeColor="text1"/>
        </w:rPr>
        <w:t>係因我國輸入的棕櫚油以馬來西亞為最主要供應國，占</w:t>
      </w:r>
      <w:proofErr w:type="gramStart"/>
      <w:r w:rsidR="00BD4F93" w:rsidRPr="009533D7">
        <w:rPr>
          <w:rFonts w:hint="eastAsia"/>
          <w:color w:val="000000" w:themeColor="text1"/>
        </w:rPr>
        <w:t>棕櫚油總輸</w:t>
      </w:r>
      <w:proofErr w:type="gramEnd"/>
      <w:r w:rsidR="00BD4F93" w:rsidRPr="009533D7">
        <w:rPr>
          <w:rFonts w:hint="eastAsia"/>
          <w:color w:val="000000" w:themeColor="text1"/>
        </w:rPr>
        <w:t>入重量97.46-98.18%，即我國</w:t>
      </w:r>
      <w:r w:rsidR="002C21E3" w:rsidRPr="009533D7">
        <w:rPr>
          <w:rFonts w:hint="eastAsia"/>
          <w:color w:val="000000" w:themeColor="text1"/>
        </w:rPr>
        <w:t>輸</w:t>
      </w:r>
      <w:r w:rsidR="00BD4F93" w:rsidRPr="009533D7">
        <w:rPr>
          <w:rFonts w:hint="eastAsia"/>
          <w:color w:val="000000" w:themeColor="text1"/>
        </w:rPr>
        <w:t>入棕櫚油之來源，幾乎均來自馬來西亞。而且我國對棕櫚油之需求量大，但只能仰賴進口，難以對源頭管制製程進而降低GEs之含量，且我國輸入量相較其他國家</w:t>
      </w:r>
      <w:proofErr w:type="gramStart"/>
      <w:r w:rsidR="00BD4F93" w:rsidRPr="009533D7">
        <w:rPr>
          <w:rFonts w:hint="eastAsia"/>
          <w:color w:val="000000" w:themeColor="text1"/>
        </w:rPr>
        <w:t>巿</w:t>
      </w:r>
      <w:proofErr w:type="gramEnd"/>
      <w:r w:rsidR="00BD4F93" w:rsidRPr="009533D7">
        <w:rPr>
          <w:rFonts w:hint="eastAsia"/>
          <w:color w:val="000000" w:themeColor="text1"/>
        </w:rPr>
        <w:t>場低，不易要求輸出國改善產品問題或訂定標準管控。</w:t>
      </w:r>
      <w:r w:rsidR="00641F09" w:rsidRPr="009533D7">
        <w:rPr>
          <w:rFonts w:hint="eastAsia"/>
          <w:color w:val="000000" w:themeColor="text1"/>
        </w:rPr>
        <w:t>然，</w:t>
      </w:r>
      <w:r w:rsidR="00BD4F93" w:rsidRPr="009533D7">
        <w:rPr>
          <w:rFonts w:hint="eastAsia"/>
          <w:color w:val="000000" w:themeColor="text1"/>
          <w:u w:val="single"/>
        </w:rPr>
        <w:t>馬來西亞自</w:t>
      </w:r>
      <w:r w:rsidR="00BD4F93" w:rsidRPr="009533D7">
        <w:rPr>
          <w:color w:val="000000" w:themeColor="text1"/>
          <w:u w:val="single"/>
        </w:rPr>
        <w:t>2009</w:t>
      </w:r>
      <w:r w:rsidR="00BD4F93" w:rsidRPr="009533D7">
        <w:rPr>
          <w:rFonts w:hint="eastAsia"/>
          <w:color w:val="000000" w:themeColor="text1"/>
          <w:u w:val="single"/>
        </w:rPr>
        <w:t>年起即已參考</w:t>
      </w:r>
      <w:r w:rsidR="00BD4F93" w:rsidRPr="009533D7">
        <w:rPr>
          <w:color w:val="000000" w:themeColor="text1"/>
          <w:u w:val="single"/>
        </w:rPr>
        <w:t>Codex</w:t>
      </w:r>
      <w:r w:rsidR="00BD4F93" w:rsidRPr="009533D7">
        <w:rPr>
          <w:rFonts w:hint="eastAsia"/>
          <w:color w:val="000000" w:themeColor="text1"/>
          <w:u w:val="single"/>
        </w:rPr>
        <w:t>準則，輔導業者進行減量操作，目前自</w:t>
      </w:r>
      <w:r w:rsidR="002D02B1">
        <w:rPr>
          <w:rFonts w:hint="eastAsia"/>
          <w:color w:val="000000" w:themeColor="text1"/>
          <w:u w:val="single"/>
        </w:rPr>
        <w:t>馬來西亞</w:t>
      </w:r>
      <w:r w:rsidR="00BD4F93" w:rsidRPr="009533D7">
        <w:rPr>
          <w:rFonts w:hint="eastAsia"/>
          <w:color w:val="000000" w:themeColor="text1"/>
          <w:u w:val="single"/>
        </w:rPr>
        <w:t>出口至歐盟之棕櫚油，均可符合歐盟標準。至</w:t>
      </w:r>
      <w:r w:rsidR="00BD4F93" w:rsidRPr="009533D7">
        <w:rPr>
          <w:color w:val="000000" w:themeColor="text1"/>
          <w:spacing w:val="-2"/>
          <w:u w:val="single"/>
        </w:rPr>
        <w:t>2023</w:t>
      </w:r>
      <w:r w:rsidR="00BD4F93" w:rsidRPr="009533D7">
        <w:rPr>
          <w:rFonts w:hint="eastAsia"/>
          <w:color w:val="000000" w:themeColor="text1"/>
          <w:spacing w:val="-2"/>
          <w:u w:val="single"/>
        </w:rPr>
        <w:t>年</w:t>
      </w:r>
      <w:r w:rsidR="00BD4F93" w:rsidRPr="009533D7">
        <w:rPr>
          <w:color w:val="000000" w:themeColor="text1"/>
          <w:spacing w:val="-2"/>
          <w:u w:val="single"/>
        </w:rPr>
        <w:t>l</w:t>
      </w:r>
      <w:r w:rsidR="00BD4F93" w:rsidRPr="009533D7">
        <w:rPr>
          <w:rFonts w:hint="eastAsia"/>
          <w:color w:val="000000" w:themeColor="text1"/>
          <w:spacing w:val="-2"/>
          <w:u w:val="single"/>
        </w:rPr>
        <w:t>月</w:t>
      </w:r>
      <w:r w:rsidR="00BD4F93" w:rsidRPr="009533D7">
        <w:rPr>
          <w:color w:val="000000" w:themeColor="text1"/>
          <w:spacing w:val="-2"/>
          <w:u w:val="single"/>
        </w:rPr>
        <w:t>1</w:t>
      </w:r>
      <w:r w:rsidR="00BD4F93" w:rsidRPr="009533D7">
        <w:rPr>
          <w:rFonts w:hint="eastAsia"/>
          <w:color w:val="000000" w:themeColor="text1"/>
          <w:spacing w:val="-2"/>
          <w:u w:val="single"/>
        </w:rPr>
        <w:t>日起，該國生產之所有棕櫚</w:t>
      </w:r>
      <w:proofErr w:type="gramStart"/>
      <w:r w:rsidR="00BD4F93" w:rsidRPr="009533D7">
        <w:rPr>
          <w:rFonts w:hint="eastAsia"/>
          <w:color w:val="000000" w:themeColor="text1"/>
          <w:spacing w:val="-2"/>
          <w:u w:val="single"/>
        </w:rPr>
        <w:t>油均將強制</w:t>
      </w:r>
      <w:proofErr w:type="gramEnd"/>
      <w:r w:rsidR="00BD4F93" w:rsidRPr="009533D7">
        <w:rPr>
          <w:rFonts w:hint="eastAsia"/>
          <w:color w:val="000000" w:themeColor="text1"/>
          <w:spacing w:val="-2"/>
          <w:u w:val="single"/>
        </w:rPr>
        <w:t>須符合歐盟標準</w:t>
      </w:r>
      <w:r w:rsidR="00BD4F93" w:rsidRPr="009533D7">
        <w:rPr>
          <w:rFonts w:hint="eastAsia"/>
          <w:color w:val="000000" w:themeColor="text1"/>
          <w:spacing w:val="-2"/>
        </w:rPr>
        <w:t>。</w:t>
      </w:r>
      <w:proofErr w:type="gramStart"/>
      <w:r w:rsidR="00BD4F93" w:rsidRPr="009533D7">
        <w:rPr>
          <w:rFonts w:hint="eastAsia"/>
          <w:color w:val="000000" w:themeColor="text1"/>
          <w:spacing w:val="-2"/>
        </w:rPr>
        <w:t>鑑</w:t>
      </w:r>
      <w:proofErr w:type="gramEnd"/>
      <w:r w:rsidR="00BD4F93" w:rsidRPr="009533D7">
        <w:rPr>
          <w:rFonts w:hint="eastAsia"/>
          <w:color w:val="000000" w:themeColor="text1"/>
          <w:spacing w:val="-2"/>
        </w:rPr>
        <w:t>於</w:t>
      </w:r>
      <w:proofErr w:type="gramStart"/>
      <w:r w:rsidR="00BD4F93" w:rsidRPr="009533D7">
        <w:rPr>
          <w:rFonts w:hint="eastAsia"/>
          <w:color w:val="000000" w:themeColor="text1"/>
          <w:spacing w:val="-2"/>
        </w:rPr>
        <w:t>棕櫚油屬國</w:t>
      </w:r>
      <w:proofErr w:type="gramEnd"/>
      <w:r w:rsidR="00BD4F93" w:rsidRPr="009533D7">
        <w:rPr>
          <w:rFonts w:hint="eastAsia"/>
          <w:color w:val="000000" w:themeColor="text1"/>
          <w:spacing w:val="-2"/>
        </w:rPr>
        <w:t>際大宗期貨貿易物品，業者尚有進口之庫存量須加以再製(二次精</w:t>
      </w:r>
      <w:r w:rsidR="00BD4F93" w:rsidRPr="009533D7">
        <w:rPr>
          <w:rFonts w:hint="eastAsia"/>
          <w:color w:val="000000" w:themeColor="text1"/>
          <w:spacing w:val="-2"/>
        </w:rPr>
        <w:lastRenderedPageBreak/>
        <w:t>煉)等需求，故仍須提供業者適當之實施緩衝期。</w:t>
      </w:r>
    </w:p>
    <w:p w:rsidR="00641F09" w:rsidRPr="009533D7" w:rsidRDefault="00F21BD1" w:rsidP="000141EF">
      <w:pPr>
        <w:pStyle w:val="3"/>
        <w:spacing w:line="460" w:lineRule="exact"/>
        <w:rPr>
          <w:color w:val="000000" w:themeColor="text1"/>
        </w:rPr>
      </w:pPr>
      <w:proofErr w:type="gramStart"/>
      <w:r w:rsidRPr="009533D7">
        <w:rPr>
          <w:rFonts w:hint="eastAsia"/>
          <w:color w:val="000000" w:themeColor="text1"/>
          <w:u w:val="single"/>
        </w:rPr>
        <w:t>食藥署</w:t>
      </w:r>
      <w:proofErr w:type="gramEnd"/>
      <w:r w:rsidR="00BD4F93" w:rsidRPr="009533D7">
        <w:rPr>
          <w:rFonts w:hint="eastAsia"/>
          <w:color w:val="000000" w:themeColor="text1"/>
          <w:u w:val="single"/>
        </w:rPr>
        <w:t>推遲GEs限量標準之管制，</w:t>
      </w:r>
      <w:r w:rsidR="00BD4F93" w:rsidRPr="009533D7">
        <w:rPr>
          <w:rFonts w:hint="eastAsia"/>
          <w:b/>
          <w:color w:val="000000" w:themeColor="text1"/>
          <w:u w:val="single"/>
        </w:rPr>
        <w:t>主因</w:t>
      </w:r>
      <w:r w:rsidR="002C21E3" w:rsidRPr="009533D7">
        <w:rPr>
          <w:rFonts w:hint="eastAsia"/>
          <w:b/>
          <w:color w:val="000000" w:themeColor="text1"/>
          <w:u w:val="single"/>
        </w:rPr>
        <w:t>即為</w:t>
      </w:r>
      <w:r w:rsidR="00BD4F93" w:rsidRPr="009533D7">
        <w:rPr>
          <w:rFonts w:hint="eastAsia"/>
          <w:b/>
          <w:color w:val="000000" w:themeColor="text1"/>
          <w:u w:val="single"/>
        </w:rPr>
        <w:t>食品業者以期貨購入之棕櫚油尚有庫存，須有適當緩衝期，</w:t>
      </w:r>
      <w:r w:rsidR="00BC627F" w:rsidRPr="009533D7">
        <w:rPr>
          <w:rFonts w:hint="eastAsia"/>
          <w:b/>
          <w:color w:val="000000" w:themeColor="text1"/>
          <w:u w:val="single"/>
        </w:rPr>
        <w:t>並應從源頭輸出國加以管制，</w:t>
      </w:r>
      <w:r w:rsidR="00BD4F93" w:rsidRPr="009533D7">
        <w:rPr>
          <w:rFonts w:hint="eastAsia"/>
          <w:b/>
          <w:color w:val="000000" w:themeColor="text1"/>
          <w:u w:val="single"/>
        </w:rPr>
        <w:t>以</w:t>
      </w:r>
      <w:r w:rsidR="00D0679E" w:rsidRPr="009533D7">
        <w:rPr>
          <w:rFonts w:hint="eastAsia"/>
          <w:b/>
          <w:color w:val="000000" w:themeColor="text1"/>
          <w:u w:val="single"/>
        </w:rPr>
        <w:t>維護</w:t>
      </w:r>
      <w:r w:rsidR="00BD4F93" w:rsidRPr="009533D7">
        <w:rPr>
          <w:rFonts w:hint="eastAsia"/>
          <w:b/>
          <w:color w:val="000000" w:themeColor="text1"/>
          <w:u w:val="single"/>
        </w:rPr>
        <w:t>業者權益</w:t>
      </w:r>
      <w:r w:rsidR="00BD4F93" w:rsidRPr="009533D7">
        <w:rPr>
          <w:rFonts w:hint="eastAsia"/>
          <w:color w:val="000000" w:themeColor="text1"/>
          <w:u w:val="single"/>
        </w:rPr>
        <w:t>。</w:t>
      </w:r>
      <w:proofErr w:type="gramStart"/>
      <w:r w:rsidR="007C4776" w:rsidRPr="009533D7">
        <w:rPr>
          <w:rFonts w:hint="eastAsia"/>
          <w:color w:val="000000" w:themeColor="text1"/>
          <w:u w:val="single"/>
        </w:rPr>
        <w:t>然</w:t>
      </w:r>
      <w:r w:rsidR="002C21E3" w:rsidRPr="009533D7">
        <w:rPr>
          <w:rFonts w:hint="eastAsia"/>
          <w:color w:val="000000" w:themeColor="text1"/>
          <w:u w:val="single"/>
        </w:rPr>
        <w:t>查</w:t>
      </w:r>
      <w:proofErr w:type="gramEnd"/>
      <w:r w:rsidR="002C21E3" w:rsidRPr="009533D7">
        <w:rPr>
          <w:rFonts w:hint="eastAsia"/>
          <w:color w:val="000000" w:themeColor="text1"/>
          <w:u w:val="single"/>
        </w:rPr>
        <w:t>，</w:t>
      </w:r>
      <w:r w:rsidR="007C4776" w:rsidRPr="009533D7">
        <w:rPr>
          <w:rFonts w:hint="eastAsia"/>
          <w:color w:val="000000" w:themeColor="text1"/>
          <w:u w:val="single"/>
        </w:rPr>
        <w:t>G</w:t>
      </w:r>
      <w:r w:rsidR="007C4776" w:rsidRPr="009533D7">
        <w:rPr>
          <w:color w:val="000000" w:themeColor="text1"/>
          <w:u w:val="single"/>
        </w:rPr>
        <w:t>E</w:t>
      </w:r>
      <w:r w:rsidR="007C4776" w:rsidRPr="009533D7">
        <w:rPr>
          <w:rFonts w:hint="eastAsia"/>
          <w:color w:val="000000" w:themeColor="text1"/>
          <w:u w:val="single"/>
        </w:rPr>
        <w:t>s為2</w:t>
      </w:r>
      <w:r w:rsidR="007C4776" w:rsidRPr="009533D7">
        <w:rPr>
          <w:color w:val="000000" w:themeColor="text1"/>
          <w:u w:val="single"/>
        </w:rPr>
        <w:t>A</w:t>
      </w:r>
      <w:r w:rsidR="002C21E3" w:rsidRPr="009533D7">
        <w:rPr>
          <w:rFonts w:hint="eastAsia"/>
          <w:color w:val="000000" w:themeColor="text1"/>
          <w:u w:val="single"/>
        </w:rPr>
        <w:t>級</w:t>
      </w:r>
      <w:r w:rsidR="007C4776" w:rsidRPr="009533D7">
        <w:rPr>
          <w:rFonts w:hint="eastAsia"/>
          <w:color w:val="000000" w:themeColor="text1"/>
          <w:u w:val="single"/>
        </w:rPr>
        <w:t>致癌物，</w:t>
      </w:r>
      <w:r w:rsidR="002C21E3" w:rsidRPr="009533D7">
        <w:rPr>
          <w:rFonts w:hint="eastAsia"/>
          <w:color w:val="000000" w:themeColor="text1"/>
          <w:u w:val="single"/>
        </w:rPr>
        <w:t>本有</w:t>
      </w:r>
      <w:r w:rsidR="007C4776" w:rsidRPr="009533D7">
        <w:rPr>
          <w:rFonts w:hint="eastAsia"/>
          <w:color w:val="000000" w:themeColor="text1"/>
          <w:u w:val="single"/>
        </w:rPr>
        <w:t>食品安全風險管控</w:t>
      </w:r>
      <w:r w:rsidR="002C21E3" w:rsidRPr="009533D7">
        <w:rPr>
          <w:rFonts w:hint="eastAsia"/>
          <w:color w:val="000000" w:themeColor="text1"/>
          <w:u w:val="single"/>
        </w:rPr>
        <w:t>必要</w:t>
      </w:r>
      <w:r w:rsidR="007C4776" w:rsidRPr="009533D7">
        <w:rPr>
          <w:rFonts w:hint="eastAsia"/>
          <w:color w:val="000000" w:themeColor="text1"/>
        </w:rPr>
        <w:t>，不</w:t>
      </w:r>
      <w:r w:rsidR="00BC627F" w:rsidRPr="009533D7">
        <w:rPr>
          <w:rFonts w:hint="eastAsia"/>
          <w:color w:val="000000" w:themeColor="text1"/>
        </w:rPr>
        <w:t>應僅</w:t>
      </w:r>
      <w:r w:rsidR="007C4776" w:rsidRPr="009533D7">
        <w:rPr>
          <w:rFonts w:hint="eastAsia"/>
          <w:color w:val="000000" w:themeColor="text1"/>
        </w:rPr>
        <w:t>偏重於業者權益維護，而忽視其他利害關係人的聲音，</w:t>
      </w:r>
      <w:proofErr w:type="gramStart"/>
      <w:r w:rsidR="007C4776" w:rsidRPr="009533D7">
        <w:rPr>
          <w:rFonts w:hint="eastAsia"/>
          <w:color w:val="000000" w:themeColor="text1"/>
        </w:rPr>
        <w:t>食藥署</w:t>
      </w:r>
      <w:proofErr w:type="gramEnd"/>
      <w:r w:rsidR="007C4776" w:rsidRPr="009533D7">
        <w:rPr>
          <w:rFonts w:hint="eastAsia"/>
          <w:color w:val="000000" w:themeColor="text1"/>
        </w:rPr>
        <w:t>本應透過法規命令之預告程序，蒐集各方意見，並得視情況舉行公聽會，卻僅因食品業者代表提案建議，即率然推遲法規命令草案之公告程序，</w:t>
      </w:r>
      <w:r w:rsidR="00C125A1" w:rsidRPr="009533D7">
        <w:rPr>
          <w:rFonts w:hint="eastAsia"/>
          <w:color w:val="000000" w:themeColor="text1"/>
        </w:rPr>
        <w:t>欠缺其他利害關係人參與，而與行政程序法第154條規定，透過預告程序之民意參與，以蒐集各</w:t>
      </w:r>
      <w:r w:rsidR="002C21E3" w:rsidRPr="009533D7">
        <w:rPr>
          <w:rFonts w:hint="eastAsia"/>
          <w:color w:val="000000" w:themeColor="text1"/>
        </w:rPr>
        <w:t>方</w:t>
      </w:r>
      <w:r w:rsidR="00C125A1" w:rsidRPr="009533D7">
        <w:rPr>
          <w:rFonts w:hint="eastAsia"/>
          <w:color w:val="000000" w:themeColor="text1"/>
        </w:rPr>
        <w:t>不同意見，落實風險溝通機制之意旨，有所違背。</w:t>
      </w:r>
    </w:p>
    <w:p w:rsidR="00641F09" w:rsidRPr="009533D7" w:rsidRDefault="002C21E3" w:rsidP="00582E16">
      <w:pPr>
        <w:pStyle w:val="32"/>
        <w:ind w:left="1361" w:firstLine="680"/>
        <w:rPr>
          <w:color w:val="000000" w:themeColor="text1"/>
        </w:rPr>
      </w:pPr>
      <w:r w:rsidRPr="009533D7">
        <w:rPr>
          <w:rFonts w:hint="eastAsia"/>
          <w:color w:val="000000" w:themeColor="text1"/>
        </w:rPr>
        <w:t>況且</w:t>
      </w:r>
      <w:r w:rsidR="00F21BD1" w:rsidRPr="009533D7">
        <w:rPr>
          <w:rFonts w:hint="eastAsia"/>
          <w:color w:val="000000" w:themeColor="text1"/>
        </w:rPr>
        <w:t>，</w:t>
      </w:r>
      <w:r w:rsidR="00F21BD1" w:rsidRPr="009533D7">
        <w:rPr>
          <w:rFonts w:hint="eastAsia"/>
          <w:color w:val="000000" w:themeColor="text1"/>
          <w:u w:val="single"/>
        </w:rPr>
        <w:t>根據本院諮詢專家學者表示，</w:t>
      </w:r>
      <w:r w:rsidR="00D0679E" w:rsidRPr="009533D7">
        <w:rPr>
          <w:rFonts w:hint="eastAsia"/>
          <w:color w:val="000000" w:themeColor="text1"/>
          <w:u w:val="single"/>
        </w:rPr>
        <w:t>嬰幼兒肝、腎發育不完全，相較於一般成人的排毒功能較弱</w:t>
      </w:r>
      <w:r w:rsidR="00D0679E" w:rsidRPr="009533D7">
        <w:rPr>
          <w:rFonts w:hint="eastAsia"/>
          <w:color w:val="000000" w:themeColor="text1"/>
        </w:rPr>
        <w:t>，本應優先特別保護嬰幼兒，嬰幼兒風險比大人多，因為體積小，暴露在有毒物質</w:t>
      </w:r>
      <w:r w:rsidR="00990E68">
        <w:rPr>
          <w:rFonts w:hint="eastAsia"/>
          <w:color w:val="000000" w:themeColor="text1"/>
        </w:rPr>
        <w:t>風險</w:t>
      </w:r>
      <w:r w:rsidR="00D0679E" w:rsidRPr="009533D7">
        <w:rPr>
          <w:rFonts w:hint="eastAsia"/>
          <w:color w:val="000000" w:themeColor="text1"/>
        </w:rPr>
        <w:t>就會提高</w:t>
      </w:r>
      <w:r w:rsidR="00F21BD1" w:rsidRPr="009533D7">
        <w:rPr>
          <w:rFonts w:hint="eastAsia"/>
          <w:color w:val="000000" w:themeColor="text1"/>
        </w:rPr>
        <w:t>。所以</w:t>
      </w:r>
      <w:r w:rsidRPr="009533D7">
        <w:rPr>
          <w:rFonts w:hint="eastAsia"/>
          <w:color w:val="000000" w:themeColor="text1"/>
        </w:rPr>
        <w:t>針對</w:t>
      </w:r>
      <w:r w:rsidR="00F21BD1" w:rsidRPr="009533D7">
        <w:rPr>
          <w:rFonts w:hint="eastAsia"/>
          <w:color w:val="000000" w:themeColor="text1"/>
        </w:rPr>
        <w:t>嬰幼兒食品之GEs限量標準管制</w:t>
      </w:r>
      <w:r w:rsidRPr="009533D7">
        <w:rPr>
          <w:rFonts w:hint="eastAsia"/>
          <w:color w:val="000000" w:themeColor="text1"/>
        </w:rPr>
        <w:t>議題</w:t>
      </w:r>
      <w:r w:rsidR="00F21BD1" w:rsidRPr="009533D7">
        <w:rPr>
          <w:rFonts w:hint="eastAsia"/>
          <w:color w:val="000000" w:themeColor="text1"/>
        </w:rPr>
        <w:t>，在業者權益維護與嬰幼兒身體健康權的價值取捨，本應優先考量維護嬰幼兒身體健康權</w:t>
      </w:r>
      <w:r w:rsidR="00641F09" w:rsidRPr="009533D7">
        <w:rPr>
          <w:rFonts w:hint="eastAsia"/>
          <w:color w:val="000000" w:themeColor="text1"/>
        </w:rPr>
        <w:t>，然卻因</w:t>
      </w:r>
      <w:r w:rsidR="007D6FF8" w:rsidRPr="009533D7">
        <w:rPr>
          <w:rFonts w:hint="eastAsia"/>
          <w:color w:val="000000" w:themeColor="text1"/>
        </w:rPr>
        <w:t>考量業者權益</w:t>
      </w:r>
      <w:r w:rsidR="00641F09" w:rsidRPr="009533D7">
        <w:rPr>
          <w:rFonts w:hint="eastAsia"/>
          <w:color w:val="000000" w:themeColor="text1"/>
        </w:rPr>
        <w:t>因素，嬰兒配方食品、較大嬰兒配方輔助食品及特殊醫療用途嬰/幼兒配方食品之GE</w:t>
      </w:r>
      <w:r w:rsidR="00641F09" w:rsidRPr="009533D7">
        <w:rPr>
          <w:color w:val="000000" w:themeColor="text1"/>
        </w:rPr>
        <w:t>s</w:t>
      </w:r>
      <w:r w:rsidR="00641F09" w:rsidRPr="009533D7">
        <w:rPr>
          <w:rFonts w:hint="eastAsia"/>
          <w:color w:val="000000" w:themeColor="text1"/>
        </w:rPr>
        <w:t>限量標準，亦隨之延遲一年</w:t>
      </w:r>
      <w:r w:rsidR="009E251E" w:rsidRPr="009533D7">
        <w:rPr>
          <w:rFonts w:hint="eastAsia"/>
          <w:color w:val="000000" w:themeColor="text1"/>
        </w:rPr>
        <w:t>於110年7月1日才得以實施。</w:t>
      </w:r>
    </w:p>
    <w:p w:rsidR="00BC627F" w:rsidRPr="009533D7" w:rsidRDefault="00BC2D01" w:rsidP="00582E16">
      <w:pPr>
        <w:pStyle w:val="32"/>
        <w:ind w:left="1361" w:firstLine="680"/>
        <w:rPr>
          <w:color w:val="000000" w:themeColor="text1"/>
        </w:rPr>
      </w:pPr>
      <w:proofErr w:type="gramStart"/>
      <w:r w:rsidRPr="009533D7">
        <w:rPr>
          <w:rFonts w:hint="eastAsia"/>
          <w:color w:val="000000" w:themeColor="text1"/>
        </w:rPr>
        <w:t>又</w:t>
      </w:r>
      <w:r w:rsidR="00BC627F" w:rsidRPr="009533D7">
        <w:rPr>
          <w:rFonts w:hint="eastAsia"/>
          <w:color w:val="000000" w:themeColor="text1"/>
        </w:rPr>
        <w:t>衛福部雖</w:t>
      </w:r>
      <w:proofErr w:type="gramEnd"/>
      <w:r w:rsidR="00BC627F" w:rsidRPr="009533D7">
        <w:rPr>
          <w:rFonts w:hint="eastAsia"/>
          <w:color w:val="000000" w:themeColor="text1"/>
        </w:rPr>
        <w:t>表示，</w:t>
      </w:r>
      <w:proofErr w:type="gramStart"/>
      <w:r w:rsidR="00BC627F" w:rsidRPr="009533D7">
        <w:rPr>
          <w:rFonts w:hint="eastAsia"/>
          <w:color w:val="000000" w:themeColor="text1"/>
        </w:rPr>
        <w:t>食藥署於</w:t>
      </w:r>
      <w:proofErr w:type="gramEnd"/>
      <w:r w:rsidR="00BC627F" w:rsidRPr="009533D7">
        <w:rPr>
          <w:rFonts w:hint="eastAsia"/>
          <w:color w:val="000000" w:themeColor="text1"/>
        </w:rPr>
        <w:t>研擬訂定衛生標準過程中，如涉及須進一步與相關食品產業、消費者團體或專家學者溝通等需求者，</w:t>
      </w:r>
      <w:proofErr w:type="gramStart"/>
      <w:r w:rsidR="00BC627F" w:rsidRPr="009533D7">
        <w:rPr>
          <w:rFonts w:hint="eastAsia"/>
          <w:color w:val="000000" w:themeColor="text1"/>
        </w:rPr>
        <w:t>均會</w:t>
      </w:r>
      <w:proofErr w:type="gramEnd"/>
      <w:r w:rsidR="00BC627F" w:rsidRPr="009533D7">
        <w:rPr>
          <w:rFonts w:hint="eastAsia"/>
          <w:color w:val="000000" w:themeColor="text1"/>
        </w:rPr>
        <w:t>視議題內容、所涉產業及團體類別等，召開相關說明或研商會議，以蒐集各界意見、形成共識或政策之宣導。例如該署為針對嬰幼兒食品優先納入GEs之管制前，即曾召開前開業者說明會議。至於邀請對象之擇定</w:t>
      </w:r>
      <w:r w:rsidR="00BC627F" w:rsidRPr="009533D7">
        <w:rPr>
          <w:rFonts w:hint="eastAsia"/>
          <w:color w:val="000000" w:themeColor="text1"/>
        </w:rPr>
        <w:lastRenderedPageBreak/>
        <w:t>方式，均實際依議題內容邀請相關領域或有利害關係之機關團體等語，</w:t>
      </w:r>
      <w:proofErr w:type="gramStart"/>
      <w:r w:rsidR="00BC627F" w:rsidRPr="009533D7">
        <w:rPr>
          <w:rFonts w:hint="eastAsia"/>
          <w:color w:val="000000" w:themeColor="text1"/>
          <w:u w:val="single"/>
        </w:rPr>
        <w:t>然食藥署僅</w:t>
      </w:r>
      <w:proofErr w:type="gramEnd"/>
      <w:r w:rsidRPr="009533D7">
        <w:rPr>
          <w:rFonts w:hint="eastAsia"/>
          <w:color w:val="000000" w:themeColor="text1"/>
          <w:u w:val="single"/>
        </w:rPr>
        <w:t>召開業者說明會議，即</w:t>
      </w:r>
      <w:r w:rsidR="00BC627F" w:rsidRPr="009533D7">
        <w:rPr>
          <w:rFonts w:hint="eastAsia"/>
          <w:color w:val="000000" w:themeColor="text1"/>
          <w:u w:val="single"/>
        </w:rPr>
        <w:t>因食品業者提案建議，暫緩G</w:t>
      </w:r>
      <w:r w:rsidR="00BC627F" w:rsidRPr="009533D7">
        <w:rPr>
          <w:color w:val="000000" w:themeColor="text1"/>
          <w:u w:val="single"/>
        </w:rPr>
        <w:t>E</w:t>
      </w:r>
      <w:r w:rsidR="00BC627F" w:rsidRPr="009533D7">
        <w:rPr>
          <w:rFonts w:hint="eastAsia"/>
          <w:color w:val="000000" w:themeColor="text1"/>
          <w:u w:val="single"/>
        </w:rPr>
        <w:t>s限量管制標準修正草案之公告，裁量仍</w:t>
      </w:r>
      <w:proofErr w:type="gramStart"/>
      <w:r w:rsidR="00BC627F" w:rsidRPr="009533D7">
        <w:rPr>
          <w:rFonts w:hint="eastAsia"/>
          <w:color w:val="000000" w:themeColor="text1"/>
          <w:u w:val="single"/>
        </w:rPr>
        <w:t>嫌疏</w:t>
      </w:r>
      <w:proofErr w:type="gramEnd"/>
      <w:r w:rsidR="00BC627F" w:rsidRPr="009533D7">
        <w:rPr>
          <w:rFonts w:hint="eastAsia"/>
          <w:color w:val="000000" w:themeColor="text1"/>
          <w:u w:val="single"/>
        </w:rPr>
        <w:t>略</w:t>
      </w:r>
      <w:r w:rsidRPr="009533D7">
        <w:rPr>
          <w:rFonts w:hint="eastAsia"/>
          <w:color w:val="000000" w:themeColor="text1"/>
          <w:u w:val="single"/>
        </w:rPr>
        <w:t>，不符合風險溝通機制需廣納各界意見之制度設計</w:t>
      </w:r>
      <w:r w:rsidR="00BC627F" w:rsidRPr="009533D7">
        <w:rPr>
          <w:rFonts w:hint="eastAsia"/>
          <w:color w:val="000000" w:themeColor="text1"/>
        </w:rPr>
        <w:t>。</w:t>
      </w:r>
    </w:p>
    <w:p w:rsidR="000F4ADD" w:rsidRPr="009533D7" w:rsidRDefault="000F4ADD" w:rsidP="000F4ADD">
      <w:pPr>
        <w:pStyle w:val="42"/>
        <w:ind w:leftChars="417" w:left="1418" w:firstLine="680"/>
        <w:rPr>
          <w:color w:val="000000" w:themeColor="text1"/>
        </w:rPr>
      </w:pPr>
      <w:r w:rsidRPr="009533D7">
        <w:rPr>
          <w:rFonts w:hint="eastAsia"/>
          <w:color w:val="000000" w:themeColor="text1"/>
        </w:rPr>
        <w:t>查「食品產業聯盟溝通會議」出席的產業代表，並無任何消費者代表，且關於該次會議發言實情，</w:t>
      </w:r>
      <w:proofErr w:type="gramStart"/>
      <w:r w:rsidRPr="009533D7">
        <w:rPr>
          <w:rFonts w:hint="eastAsia"/>
          <w:color w:val="000000" w:themeColor="text1"/>
        </w:rPr>
        <w:t>衛福部竟</w:t>
      </w:r>
      <w:proofErr w:type="gramEnd"/>
      <w:r w:rsidRPr="009533D7">
        <w:rPr>
          <w:rFonts w:hint="eastAsia"/>
          <w:color w:val="000000" w:themeColor="text1"/>
        </w:rPr>
        <w:t>查復表示：「無會議錄音</w:t>
      </w:r>
      <w:proofErr w:type="gramStart"/>
      <w:r w:rsidRPr="009533D7">
        <w:rPr>
          <w:rFonts w:hint="eastAsia"/>
          <w:color w:val="000000" w:themeColor="text1"/>
        </w:rPr>
        <w:t>及逐字稿可</w:t>
      </w:r>
      <w:proofErr w:type="gramEnd"/>
      <w:r w:rsidRPr="009533D7">
        <w:rPr>
          <w:rFonts w:hint="eastAsia"/>
          <w:color w:val="000000" w:themeColor="text1"/>
        </w:rPr>
        <w:t>提供」</w:t>
      </w:r>
      <w:r w:rsidR="00990E68">
        <w:rPr>
          <w:rFonts w:hint="eastAsia"/>
          <w:color w:val="000000" w:themeColor="text1"/>
        </w:rPr>
        <w:t>云云</w:t>
      </w:r>
      <w:r w:rsidRPr="009533D7">
        <w:rPr>
          <w:rFonts w:hint="eastAsia"/>
          <w:color w:val="000000" w:themeColor="text1"/>
        </w:rPr>
        <w:t>，此乃攸關消費者食品安全的會議，但消費者及政府立法、監察體系卻無從追蹤、監督，然關於醬油法規的修正，該署卻有完整的產業溝通相關會議之錄音檔案，可見「食品產業聯盟溝通會議」欠缺透明度，此等選擇性作法，亦難杜絕外界疑義。</w:t>
      </w:r>
    </w:p>
    <w:p w:rsidR="000F4ADD" w:rsidRPr="009533D7" w:rsidRDefault="000F4ADD" w:rsidP="000F4ADD">
      <w:pPr>
        <w:pStyle w:val="42"/>
        <w:ind w:leftChars="417" w:left="1418" w:firstLine="680"/>
        <w:rPr>
          <w:color w:val="000000" w:themeColor="text1"/>
        </w:rPr>
      </w:pPr>
      <w:r w:rsidRPr="009533D7">
        <w:rPr>
          <w:rFonts w:hint="eastAsia"/>
          <w:color w:val="000000" w:themeColor="text1"/>
        </w:rPr>
        <w:t>有關GE</w:t>
      </w:r>
      <w:r w:rsidRPr="009533D7">
        <w:rPr>
          <w:color w:val="000000" w:themeColor="text1"/>
        </w:rPr>
        <w:t>s</w:t>
      </w:r>
      <w:r w:rsidRPr="009533D7">
        <w:rPr>
          <w:rFonts w:hint="eastAsia"/>
          <w:color w:val="000000" w:themeColor="text1"/>
        </w:rPr>
        <w:t>的限量規定事宜，</w:t>
      </w:r>
      <w:proofErr w:type="gramStart"/>
      <w:r w:rsidRPr="009533D7">
        <w:rPr>
          <w:rFonts w:hint="eastAsia"/>
          <w:color w:val="000000" w:themeColor="text1"/>
        </w:rPr>
        <w:t>食藥署</w:t>
      </w:r>
      <w:proofErr w:type="gramEnd"/>
      <w:r w:rsidRPr="009533D7">
        <w:rPr>
          <w:rFonts w:hint="eastAsia"/>
          <w:color w:val="000000" w:themeColor="text1"/>
        </w:rPr>
        <w:t>或許經過周全考</w:t>
      </w:r>
      <w:r w:rsidRPr="009533D7">
        <w:rPr>
          <w:rFonts w:hint="eastAsia"/>
          <w:color w:val="000000" w:themeColor="text1"/>
          <w:spacing w:val="-4"/>
        </w:rPr>
        <w:t>量，但以決策時序而論，確實於產業聯盟會議後取消原預公告程序，也易引起民眾對於</w:t>
      </w:r>
      <w:proofErr w:type="gramStart"/>
      <w:r w:rsidRPr="009533D7">
        <w:rPr>
          <w:rFonts w:hint="eastAsia"/>
          <w:color w:val="000000" w:themeColor="text1"/>
          <w:spacing w:val="-4"/>
        </w:rPr>
        <w:t>食藥</w:t>
      </w:r>
      <w:proofErr w:type="gramEnd"/>
      <w:r w:rsidRPr="009533D7">
        <w:rPr>
          <w:rFonts w:hint="eastAsia"/>
          <w:color w:val="000000" w:themeColor="text1"/>
          <w:spacing w:val="-4"/>
        </w:rPr>
        <w:t>署立場之誤解，因此關於會議透明度問題，有待該署改善。</w:t>
      </w:r>
    </w:p>
    <w:p w:rsidR="00DF22A9" w:rsidRPr="009533D7" w:rsidRDefault="001F2552" w:rsidP="000141EF">
      <w:pPr>
        <w:pStyle w:val="3"/>
        <w:spacing w:line="460" w:lineRule="exact"/>
        <w:rPr>
          <w:color w:val="000000" w:themeColor="text1"/>
        </w:rPr>
      </w:pPr>
      <w:r w:rsidRPr="009533D7">
        <w:rPr>
          <w:rFonts w:hint="eastAsia"/>
          <w:color w:val="000000" w:themeColor="text1"/>
        </w:rPr>
        <w:t>綜上，</w:t>
      </w:r>
      <w:proofErr w:type="gramStart"/>
      <w:r w:rsidRPr="009533D7">
        <w:rPr>
          <w:rFonts w:hint="eastAsia"/>
          <w:color w:val="000000" w:themeColor="text1"/>
        </w:rPr>
        <w:t>衛福部原</w:t>
      </w:r>
      <w:proofErr w:type="gramEnd"/>
      <w:r w:rsidRPr="009533D7">
        <w:rPr>
          <w:rFonts w:hint="eastAsia"/>
          <w:color w:val="000000" w:themeColor="text1"/>
        </w:rPr>
        <w:t>預定於108年10月預告修正「食品中污染物質及毒素衛生標準」有關GEs限量標準，卻因</w:t>
      </w:r>
      <w:proofErr w:type="gramStart"/>
      <w:r w:rsidRPr="009533D7">
        <w:rPr>
          <w:rFonts w:hint="eastAsia"/>
          <w:color w:val="000000" w:themeColor="text1"/>
        </w:rPr>
        <w:t>食藥</w:t>
      </w:r>
      <w:proofErr w:type="gramEnd"/>
      <w:r w:rsidRPr="009533D7">
        <w:rPr>
          <w:rFonts w:hint="eastAsia"/>
          <w:color w:val="000000" w:themeColor="text1"/>
        </w:rPr>
        <w:t>署召開產業聯盟說明會後，因業者提案即暫不訂定，</w:t>
      </w:r>
      <w:r w:rsidR="00BC6108" w:rsidRPr="009533D7">
        <w:rPr>
          <w:rFonts w:hint="eastAsia"/>
          <w:color w:val="000000" w:themeColor="text1"/>
        </w:rPr>
        <w:t>延遲一年</w:t>
      </w:r>
      <w:r w:rsidRPr="009533D7">
        <w:rPr>
          <w:rFonts w:hint="eastAsia"/>
          <w:color w:val="000000" w:themeColor="text1"/>
        </w:rPr>
        <w:t>至109年10月21日始行法規命令之預告程序，顯非基於通盤考量不同利害關係人意見，有違食品風險管制應進行風險溝通機制之意旨，應檢討改進。</w:t>
      </w:r>
    </w:p>
    <w:p w:rsidR="00C65C96" w:rsidRPr="009533D7" w:rsidRDefault="00C65C96" w:rsidP="000141EF">
      <w:pPr>
        <w:pStyle w:val="2"/>
        <w:spacing w:line="460" w:lineRule="exact"/>
        <w:rPr>
          <w:b/>
          <w:color w:val="000000" w:themeColor="text1"/>
        </w:rPr>
      </w:pPr>
      <w:r w:rsidRPr="009533D7">
        <w:rPr>
          <w:rFonts w:hint="eastAsia"/>
          <w:b/>
          <w:color w:val="000000" w:themeColor="text1"/>
        </w:rPr>
        <w:t>關於嬰兒配方食品、較大嬰兒配方輔助食品及特殊醫療用途嬰/幼兒配方食品之GE</w:t>
      </w:r>
      <w:r w:rsidRPr="009533D7">
        <w:rPr>
          <w:b/>
          <w:color w:val="000000" w:themeColor="text1"/>
        </w:rPr>
        <w:t>s</w:t>
      </w:r>
      <w:r w:rsidRPr="009533D7">
        <w:rPr>
          <w:rFonts w:hint="eastAsia"/>
          <w:b/>
          <w:color w:val="000000" w:themeColor="text1"/>
        </w:rPr>
        <w:t>限量標準，已自110年7月1日實施；至於食用油脂中GEs之限量標準，終於111年1月26日預公告，自113年1月1日實施，</w:t>
      </w:r>
      <w:proofErr w:type="gramStart"/>
      <w:r w:rsidRPr="009533D7">
        <w:rPr>
          <w:rFonts w:hint="eastAsia"/>
          <w:b/>
          <w:color w:val="000000" w:themeColor="text1"/>
        </w:rPr>
        <w:t>食藥署允</w:t>
      </w:r>
      <w:proofErr w:type="gramEnd"/>
      <w:r w:rsidRPr="009533D7">
        <w:rPr>
          <w:rFonts w:hint="eastAsia"/>
          <w:b/>
          <w:color w:val="000000" w:themeColor="text1"/>
        </w:rPr>
        <w:t>應儘速完成法制作業程序；另由於食用油脂中GEs之限量標準規定，</w:t>
      </w:r>
      <w:proofErr w:type="gramStart"/>
      <w:r w:rsidRPr="009533D7">
        <w:rPr>
          <w:rFonts w:hint="eastAsia"/>
          <w:b/>
          <w:color w:val="000000" w:themeColor="text1"/>
        </w:rPr>
        <w:t>衛福部</w:t>
      </w:r>
      <w:proofErr w:type="gramEnd"/>
      <w:r w:rsidRPr="009533D7">
        <w:rPr>
          <w:rFonts w:hint="eastAsia"/>
          <w:b/>
          <w:color w:val="000000" w:themeColor="text1"/>
        </w:rPr>
        <w:t>預計自113年1月1日才實施，因</w:t>
      </w:r>
      <w:r w:rsidRPr="009533D7">
        <w:rPr>
          <w:rFonts w:hint="eastAsia"/>
          <w:b/>
          <w:color w:val="000000" w:themeColor="text1"/>
        </w:rPr>
        <w:lastRenderedPageBreak/>
        <w:t>IARC已將GE</w:t>
      </w:r>
      <w:r w:rsidRPr="009533D7">
        <w:rPr>
          <w:b/>
          <w:color w:val="000000" w:themeColor="text1"/>
        </w:rPr>
        <w:t>s</w:t>
      </w:r>
      <w:r w:rsidRPr="009533D7">
        <w:rPr>
          <w:rFonts w:hint="eastAsia"/>
          <w:b/>
          <w:color w:val="000000" w:themeColor="text1"/>
        </w:rPr>
        <w:t>列為2A級致癌物質，為避免不符合歐盟標準</w:t>
      </w:r>
      <w:r w:rsidR="007D6FF8" w:rsidRPr="009533D7">
        <w:rPr>
          <w:rFonts w:hint="eastAsia"/>
          <w:b/>
          <w:color w:val="000000" w:themeColor="text1"/>
        </w:rPr>
        <w:t>油品</w:t>
      </w:r>
      <w:r w:rsidRPr="009533D7">
        <w:rPr>
          <w:rFonts w:hint="eastAsia"/>
          <w:b/>
          <w:color w:val="000000" w:themeColor="text1"/>
        </w:rPr>
        <w:t>轉輸入至我國，</w:t>
      </w:r>
      <w:proofErr w:type="gramStart"/>
      <w:r w:rsidRPr="009533D7">
        <w:rPr>
          <w:rFonts w:hint="eastAsia"/>
          <w:b/>
          <w:color w:val="000000" w:themeColor="text1"/>
        </w:rPr>
        <w:t>食藥</w:t>
      </w:r>
      <w:proofErr w:type="gramEnd"/>
      <w:r w:rsidRPr="009533D7">
        <w:rPr>
          <w:rFonts w:hint="eastAsia"/>
          <w:b/>
          <w:color w:val="000000" w:themeColor="text1"/>
        </w:rPr>
        <w:t>署應</w:t>
      </w:r>
      <w:r w:rsidR="003D605A" w:rsidRPr="009533D7">
        <w:rPr>
          <w:rFonts w:hint="eastAsia"/>
          <w:b/>
          <w:color w:val="000000" w:themeColor="text1"/>
        </w:rPr>
        <w:t>加強追蹤宣導、</w:t>
      </w:r>
      <w:r w:rsidRPr="009533D7">
        <w:rPr>
          <w:rFonts w:hint="eastAsia"/>
          <w:b/>
          <w:color w:val="000000" w:themeColor="text1"/>
        </w:rPr>
        <w:t>採取相關配套管理措施</w:t>
      </w:r>
      <w:r w:rsidR="003D605A" w:rsidRPr="009533D7">
        <w:rPr>
          <w:rFonts w:hint="eastAsia"/>
          <w:b/>
          <w:color w:val="000000" w:themeColor="text1"/>
        </w:rPr>
        <w:t>，並</w:t>
      </w:r>
      <w:r w:rsidRPr="009533D7">
        <w:rPr>
          <w:rFonts w:hint="eastAsia"/>
          <w:b/>
          <w:color w:val="000000" w:themeColor="text1"/>
        </w:rPr>
        <w:t>輔導國內業者二次精煉等加工作業</w:t>
      </w:r>
      <w:r w:rsidR="003D605A" w:rsidRPr="009533D7">
        <w:rPr>
          <w:rFonts w:hint="eastAsia"/>
          <w:b/>
          <w:color w:val="000000" w:themeColor="text1"/>
        </w:rPr>
        <w:t>、</w:t>
      </w:r>
      <w:r w:rsidRPr="009533D7">
        <w:rPr>
          <w:rFonts w:hint="eastAsia"/>
          <w:b/>
          <w:color w:val="000000" w:themeColor="text1"/>
        </w:rPr>
        <w:t>減少GE</w:t>
      </w:r>
      <w:r w:rsidRPr="009533D7">
        <w:rPr>
          <w:b/>
          <w:color w:val="000000" w:themeColor="text1"/>
        </w:rPr>
        <w:t>s</w:t>
      </w:r>
      <w:r w:rsidRPr="009533D7">
        <w:rPr>
          <w:rFonts w:hint="eastAsia"/>
          <w:b/>
          <w:color w:val="000000" w:themeColor="text1"/>
        </w:rPr>
        <w:t>含量，以確保國人飲食安全。</w:t>
      </w:r>
    </w:p>
    <w:p w:rsidR="003C5925" w:rsidRPr="009533D7" w:rsidRDefault="00DF7D04" w:rsidP="000141EF">
      <w:pPr>
        <w:pStyle w:val="3"/>
        <w:spacing w:line="460" w:lineRule="exact"/>
        <w:rPr>
          <w:color w:val="000000" w:themeColor="text1"/>
        </w:rPr>
      </w:pPr>
      <w:proofErr w:type="gramStart"/>
      <w:r w:rsidRPr="009533D7">
        <w:rPr>
          <w:rFonts w:hint="eastAsia"/>
          <w:color w:val="000000" w:themeColor="text1"/>
        </w:rPr>
        <w:t>按食安</w:t>
      </w:r>
      <w:proofErr w:type="gramEnd"/>
      <w:r w:rsidRPr="009533D7">
        <w:rPr>
          <w:rFonts w:hint="eastAsia"/>
          <w:color w:val="000000" w:themeColor="text1"/>
        </w:rPr>
        <w:t>法第15條第1項第3款規定，食品或食品添加物有毒或含有害人體健康之物質或異物者，不得製造、加工、調配、包裝、運送、貯存、販賣、輸入、輸出、作為贈品或公開陳列。同法第17條規定：「販賣之食品、食品</w:t>
      </w:r>
      <w:proofErr w:type="gramStart"/>
      <w:r w:rsidRPr="009533D7">
        <w:rPr>
          <w:rFonts w:hint="eastAsia"/>
          <w:color w:val="000000" w:themeColor="text1"/>
        </w:rPr>
        <w:t>用洗潔劑</w:t>
      </w:r>
      <w:proofErr w:type="gramEnd"/>
      <w:r w:rsidRPr="009533D7">
        <w:rPr>
          <w:rFonts w:hint="eastAsia"/>
          <w:color w:val="000000" w:themeColor="text1"/>
        </w:rPr>
        <w:t>及其器具、容器或包裝，應符合衛生安全及品質之標準；其標準由中央主管機關定之。」</w:t>
      </w:r>
      <w:r w:rsidR="00D44660" w:rsidRPr="009533D7">
        <w:rPr>
          <w:rFonts w:hint="eastAsia"/>
          <w:color w:val="000000" w:themeColor="text1"/>
        </w:rPr>
        <w:t>據</w:t>
      </w:r>
      <w:r w:rsidRPr="009533D7">
        <w:rPr>
          <w:rFonts w:hint="eastAsia"/>
          <w:color w:val="000000" w:themeColor="text1"/>
        </w:rPr>
        <w:t>此，</w:t>
      </w:r>
      <w:proofErr w:type="gramStart"/>
      <w:r w:rsidR="00247278" w:rsidRPr="009533D7">
        <w:rPr>
          <w:rFonts w:hint="eastAsia"/>
          <w:color w:val="000000" w:themeColor="text1"/>
        </w:rPr>
        <w:t>衛福部訂</w:t>
      </w:r>
      <w:proofErr w:type="gramEnd"/>
      <w:r w:rsidR="00247278" w:rsidRPr="009533D7">
        <w:rPr>
          <w:rFonts w:hint="eastAsia"/>
          <w:color w:val="000000" w:themeColor="text1"/>
        </w:rPr>
        <w:t>定</w:t>
      </w:r>
      <w:r w:rsidRPr="009533D7">
        <w:rPr>
          <w:rFonts w:hint="eastAsia"/>
          <w:color w:val="000000" w:themeColor="text1"/>
        </w:rPr>
        <w:t>「</w:t>
      </w:r>
      <w:r w:rsidRPr="009533D7">
        <w:rPr>
          <w:rFonts w:hint="eastAsia"/>
          <w:color w:val="000000" w:themeColor="text1"/>
        </w:rPr>
        <w:tab/>
        <w:t>食品中污染物質及毒素衛生標準</w:t>
      </w:r>
      <w:r w:rsidR="00247278" w:rsidRPr="009533D7">
        <w:rPr>
          <w:rFonts w:hint="eastAsia"/>
          <w:color w:val="000000" w:themeColor="text1"/>
        </w:rPr>
        <w:t>」，規範食品中所含污染物質及毒素之限量。</w:t>
      </w:r>
      <w:r w:rsidR="00D44660" w:rsidRPr="009533D7">
        <w:rPr>
          <w:rFonts w:hint="eastAsia"/>
          <w:color w:val="000000" w:themeColor="text1"/>
        </w:rPr>
        <w:t>是</w:t>
      </w:r>
      <w:proofErr w:type="gramStart"/>
      <w:r w:rsidR="00D44660" w:rsidRPr="009533D7">
        <w:rPr>
          <w:rFonts w:hint="eastAsia"/>
          <w:color w:val="000000" w:themeColor="text1"/>
        </w:rPr>
        <w:t>衛福部應</w:t>
      </w:r>
      <w:proofErr w:type="gramEnd"/>
      <w:r w:rsidR="00D44660" w:rsidRPr="009533D7">
        <w:rPr>
          <w:rFonts w:hint="eastAsia"/>
          <w:color w:val="000000" w:themeColor="text1"/>
        </w:rPr>
        <w:t>本於職責，適時就國際認定具致癌風險之食品，主動研議訂定相關管理規範，以確保國人飲食安全。</w:t>
      </w:r>
    </w:p>
    <w:p w:rsidR="00D44660" w:rsidRPr="009533D7" w:rsidRDefault="007450B7" w:rsidP="000141EF">
      <w:pPr>
        <w:pStyle w:val="3"/>
        <w:spacing w:line="460" w:lineRule="exact"/>
        <w:rPr>
          <w:color w:val="000000" w:themeColor="text1"/>
        </w:rPr>
      </w:pPr>
      <w:r w:rsidRPr="009533D7">
        <w:rPr>
          <w:color w:val="000000" w:themeColor="text1"/>
        </w:rPr>
        <w:t>IARC</w:t>
      </w:r>
      <w:r w:rsidR="00D44660" w:rsidRPr="009533D7">
        <w:rPr>
          <w:rFonts w:hint="eastAsia"/>
          <w:color w:val="000000" w:themeColor="text1"/>
        </w:rPr>
        <w:t>已將GE</w:t>
      </w:r>
      <w:r w:rsidR="00D44660" w:rsidRPr="009533D7">
        <w:rPr>
          <w:color w:val="000000" w:themeColor="text1"/>
        </w:rPr>
        <w:t>s</w:t>
      </w:r>
      <w:r w:rsidR="00D44660" w:rsidRPr="009533D7">
        <w:rPr>
          <w:rFonts w:hAnsi="標楷體" w:hint="eastAsia"/>
          <w:color w:val="000000" w:themeColor="text1"/>
        </w:rPr>
        <w:t>列為Group 2A(極有可能為人類致癌物)級</w:t>
      </w:r>
      <w:r w:rsidR="00D44660" w:rsidRPr="009533D7">
        <w:rPr>
          <w:rFonts w:hint="eastAsia"/>
          <w:color w:val="000000" w:themeColor="text1"/>
        </w:rPr>
        <w:t>；歐洲食品安全局於2018年發布之2018/290 COMMISSION REGULATION規章，表示縮水甘油具基因</w:t>
      </w:r>
      <w:r w:rsidR="00EE3CF4" w:rsidRPr="009533D7">
        <w:rPr>
          <w:rFonts w:hint="eastAsia"/>
          <w:color w:val="000000" w:themeColor="text1"/>
        </w:rPr>
        <w:t>毒性</w:t>
      </w:r>
      <w:r w:rsidR="00D44660" w:rsidRPr="009533D7">
        <w:rPr>
          <w:rFonts w:hint="eastAsia"/>
          <w:color w:val="000000" w:themeColor="text1"/>
        </w:rPr>
        <w:t>及致癌性，因而訂定</w:t>
      </w:r>
      <w:r w:rsidR="004109B7" w:rsidRPr="009533D7">
        <w:rPr>
          <w:rFonts w:hint="eastAsia"/>
          <w:color w:val="000000" w:themeColor="text1"/>
        </w:rPr>
        <w:t>GE</w:t>
      </w:r>
      <w:r w:rsidR="004109B7" w:rsidRPr="009533D7">
        <w:rPr>
          <w:color w:val="000000" w:themeColor="text1"/>
        </w:rPr>
        <w:t>s</w:t>
      </w:r>
      <w:r w:rsidR="00D44660" w:rsidRPr="009533D7">
        <w:rPr>
          <w:rFonts w:hint="eastAsia"/>
          <w:color w:val="000000" w:themeColor="text1"/>
        </w:rPr>
        <w:t>於植物油、嬰兒配方食品、嬰幼兒特殊食品中之限量要求，詳如下表。</w:t>
      </w:r>
    </w:p>
    <w:p w:rsidR="00D44660" w:rsidRPr="009533D7" w:rsidRDefault="00D44660" w:rsidP="00D44660">
      <w:pPr>
        <w:pStyle w:val="a4"/>
        <w:ind w:left="1985" w:hanging="709"/>
        <w:rPr>
          <w:color w:val="000000" w:themeColor="text1"/>
        </w:rPr>
      </w:pPr>
      <w:r w:rsidRPr="009533D7">
        <w:rPr>
          <w:rFonts w:hint="eastAsia"/>
          <w:color w:val="000000" w:themeColor="text1"/>
        </w:rPr>
        <w:t>歐洲食品安全局2018/290 COMMISSION REGULATION規章關於食品中縮水甘油之限量規定</w:t>
      </w:r>
    </w:p>
    <w:tbl>
      <w:tblPr>
        <w:tblStyle w:val="af9"/>
        <w:tblW w:w="0" w:type="auto"/>
        <w:tblInd w:w="1361" w:type="dxa"/>
        <w:tblLook w:val="04A0" w:firstRow="1" w:lastRow="0" w:firstColumn="1" w:lastColumn="0" w:noHBand="0" w:noVBand="1"/>
      </w:tblPr>
      <w:tblGrid>
        <w:gridCol w:w="580"/>
        <w:gridCol w:w="4229"/>
        <w:gridCol w:w="2664"/>
      </w:tblGrid>
      <w:tr w:rsidR="00B24A57" w:rsidRPr="009533D7" w:rsidTr="00D44660">
        <w:tc>
          <w:tcPr>
            <w:tcW w:w="590" w:type="dxa"/>
          </w:tcPr>
          <w:p w:rsidR="00D44660" w:rsidRPr="009533D7" w:rsidRDefault="00D44660" w:rsidP="00D44660">
            <w:pPr>
              <w:pStyle w:val="3"/>
              <w:numPr>
                <w:ilvl w:val="0"/>
                <w:numId w:val="0"/>
              </w:numPr>
              <w:rPr>
                <w:color w:val="000000" w:themeColor="text1"/>
                <w:sz w:val="28"/>
                <w:szCs w:val="28"/>
              </w:rPr>
            </w:pPr>
          </w:p>
        </w:tc>
        <w:tc>
          <w:tcPr>
            <w:tcW w:w="4392" w:type="dxa"/>
          </w:tcPr>
          <w:p w:rsidR="00D44660" w:rsidRPr="009533D7" w:rsidRDefault="00D44660" w:rsidP="00D44660">
            <w:pPr>
              <w:pStyle w:val="3"/>
              <w:numPr>
                <w:ilvl w:val="0"/>
                <w:numId w:val="0"/>
              </w:numPr>
              <w:jc w:val="center"/>
              <w:rPr>
                <w:color w:val="000000" w:themeColor="text1"/>
                <w:sz w:val="28"/>
                <w:szCs w:val="28"/>
              </w:rPr>
            </w:pPr>
            <w:r w:rsidRPr="009533D7">
              <w:rPr>
                <w:rFonts w:hint="eastAsia"/>
                <w:color w:val="000000" w:themeColor="text1"/>
                <w:sz w:val="28"/>
                <w:szCs w:val="28"/>
              </w:rPr>
              <w:t>食品</w:t>
            </w:r>
          </w:p>
        </w:tc>
        <w:tc>
          <w:tcPr>
            <w:tcW w:w="2717" w:type="dxa"/>
          </w:tcPr>
          <w:p w:rsidR="00D44660" w:rsidRPr="009533D7" w:rsidRDefault="00D44660" w:rsidP="00D44660">
            <w:pPr>
              <w:pStyle w:val="3"/>
              <w:numPr>
                <w:ilvl w:val="0"/>
                <w:numId w:val="0"/>
              </w:numPr>
              <w:jc w:val="center"/>
              <w:rPr>
                <w:color w:val="000000" w:themeColor="text1"/>
                <w:sz w:val="28"/>
                <w:szCs w:val="28"/>
              </w:rPr>
            </w:pPr>
            <w:r w:rsidRPr="009533D7">
              <w:rPr>
                <w:rFonts w:hint="eastAsia"/>
                <w:color w:val="000000" w:themeColor="text1"/>
                <w:sz w:val="28"/>
                <w:szCs w:val="28"/>
              </w:rPr>
              <w:t>限量</w:t>
            </w:r>
          </w:p>
          <w:p w:rsidR="00D44660" w:rsidRPr="009533D7" w:rsidRDefault="00D44660" w:rsidP="00D44660">
            <w:pPr>
              <w:pStyle w:val="3"/>
              <w:numPr>
                <w:ilvl w:val="0"/>
                <w:numId w:val="0"/>
              </w:numPr>
              <w:jc w:val="center"/>
              <w:rPr>
                <w:color w:val="000000" w:themeColor="text1"/>
                <w:sz w:val="28"/>
                <w:szCs w:val="28"/>
              </w:rPr>
            </w:pPr>
            <w:r w:rsidRPr="009533D7">
              <w:rPr>
                <w:rFonts w:hint="eastAsia"/>
                <w:color w:val="000000" w:themeColor="text1"/>
                <w:sz w:val="28"/>
                <w:szCs w:val="28"/>
              </w:rPr>
              <w:t>(微克/千克)</w:t>
            </w:r>
          </w:p>
        </w:tc>
      </w:tr>
      <w:tr w:rsidR="00B24A57" w:rsidRPr="009533D7" w:rsidTr="00D44660">
        <w:tc>
          <w:tcPr>
            <w:tcW w:w="590" w:type="dxa"/>
          </w:tcPr>
          <w:p w:rsidR="00D44660" w:rsidRPr="009533D7" w:rsidRDefault="00D44660" w:rsidP="00D44660">
            <w:pPr>
              <w:pStyle w:val="3"/>
              <w:numPr>
                <w:ilvl w:val="0"/>
                <w:numId w:val="0"/>
              </w:numPr>
              <w:rPr>
                <w:color w:val="000000" w:themeColor="text1"/>
                <w:sz w:val="28"/>
                <w:szCs w:val="28"/>
              </w:rPr>
            </w:pPr>
            <w:r w:rsidRPr="009533D7">
              <w:rPr>
                <w:rFonts w:hint="eastAsia"/>
                <w:color w:val="000000" w:themeColor="text1"/>
                <w:sz w:val="28"/>
                <w:szCs w:val="28"/>
              </w:rPr>
              <w:t>1</w:t>
            </w:r>
          </w:p>
        </w:tc>
        <w:tc>
          <w:tcPr>
            <w:tcW w:w="4392" w:type="dxa"/>
          </w:tcPr>
          <w:p w:rsidR="00D44660" w:rsidRPr="009533D7" w:rsidRDefault="00D44660" w:rsidP="00D44660">
            <w:pPr>
              <w:pStyle w:val="3"/>
              <w:numPr>
                <w:ilvl w:val="0"/>
                <w:numId w:val="0"/>
              </w:numPr>
              <w:rPr>
                <w:color w:val="000000" w:themeColor="text1"/>
                <w:sz w:val="28"/>
                <w:szCs w:val="28"/>
              </w:rPr>
            </w:pPr>
            <w:r w:rsidRPr="009533D7">
              <w:rPr>
                <w:rFonts w:hint="eastAsia"/>
                <w:color w:val="000000" w:themeColor="text1"/>
                <w:sz w:val="28"/>
                <w:szCs w:val="28"/>
              </w:rPr>
              <w:t>直接食用或供加工用途之植物油及脂肪</w:t>
            </w:r>
          </w:p>
        </w:tc>
        <w:tc>
          <w:tcPr>
            <w:tcW w:w="2717" w:type="dxa"/>
            <w:vAlign w:val="center"/>
          </w:tcPr>
          <w:p w:rsidR="00D44660" w:rsidRPr="009533D7" w:rsidRDefault="00D44660" w:rsidP="00D44660">
            <w:pPr>
              <w:pStyle w:val="3"/>
              <w:numPr>
                <w:ilvl w:val="0"/>
                <w:numId w:val="0"/>
              </w:numPr>
              <w:jc w:val="center"/>
              <w:rPr>
                <w:color w:val="000000" w:themeColor="text1"/>
                <w:sz w:val="28"/>
                <w:szCs w:val="28"/>
              </w:rPr>
            </w:pPr>
            <w:r w:rsidRPr="009533D7">
              <w:rPr>
                <w:rFonts w:hint="eastAsia"/>
                <w:color w:val="000000" w:themeColor="text1"/>
                <w:sz w:val="28"/>
                <w:szCs w:val="28"/>
              </w:rPr>
              <w:t>1</w:t>
            </w:r>
            <w:r w:rsidR="00990E68">
              <w:rPr>
                <w:color w:val="000000" w:themeColor="text1"/>
                <w:sz w:val="28"/>
                <w:szCs w:val="28"/>
              </w:rPr>
              <w:t>,</w:t>
            </w:r>
            <w:r w:rsidRPr="009533D7">
              <w:rPr>
                <w:rFonts w:hint="eastAsia"/>
                <w:color w:val="000000" w:themeColor="text1"/>
                <w:sz w:val="28"/>
                <w:szCs w:val="28"/>
              </w:rPr>
              <w:t>000</w:t>
            </w:r>
          </w:p>
        </w:tc>
      </w:tr>
      <w:tr w:rsidR="00B24A57" w:rsidRPr="009533D7" w:rsidTr="00D44660">
        <w:tc>
          <w:tcPr>
            <w:tcW w:w="590" w:type="dxa"/>
          </w:tcPr>
          <w:p w:rsidR="00D44660" w:rsidRPr="009533D7" w:rsidRDefault="00D44660" w:rsidP="00D44660">
            <w:pPr>
              <w:pStyle w:val="3"/>
              <w:numPr>
                <w:ilvl w:val="0"/>
                <w:numId w:val="0"/>
              </w:numPr>
              <w:rPr>
                <w:color w:val="000000" w:themeColor="text1"/>
                <w:sz w:val="28"/>
                <w:szCs w:val="28"/>
              </w:rPr>
            </w:pPr>
            <w:r w:rsidRPr="009533D7">
              <w:rPr>
                <w:rFonts w:hint="eastAsia"/>
                <w:color w:val="000000" w:themeColor="text1"/>
                <w:sz w:val="28"/>
                <w:szCs w:val="28"/>
              </w:rPr>
              <w:t>2</w:t>
            </w:r>
          </w:p>
        </w:tc>
        <w:tc>
          <w:tcPr>
            <w:tcW w:w="4392" w:type="dxa"/>
          </w:tcPr>
          <w:p w:rsidR="00D44660" w:rsidRPr="009533D7" w:rsidRDefault="00D44660" w:rsidP="00D44660">
            <w:pPr>
              <w:pStyle w:val="3"/>
              <w:numPr>
                <w:ilvl w:val="0"/>
                <w:numId w:val="0"/>
              </w:numPr>
              <w:rPr>
                <w:color w:val="000000" w:themeColor="text1"/>
                <w:sz w:val="28"/>
                <w:szCs w:val="28"/>
              </w:rPr>
            </w:pPr>
            <w:r w:rsidRPr="009533D7">
              <w:rPr>
                <w:rFonts w:hint="eastAsia"/>
                <w:color w:val="000000" w:themeColor="text1"/>
                <w:sz w:val="28"/>
                <w:szCs w:val="28"/>
              </w:rPr>
              <w:t>提供為生產嬰幼兒副食品及嬰幼兒穀類輔助食品之植物油及脂肪</w:t>
            </w:r>
          </w:p>
        </w:tc>
        <w:tc>
          <w:tcPr>
            <w:tcW w:w="2717" w:type="dxa"/>
            <w:vAlign w:val="center"/>
          </w:tcPr>
          <w:p w:rsidR="00D44660" w:rsidRPr="009533D7" w:rsidRDefault="00D44660" w:rsidP="00D44660">
            <w:pPr>
              <w:pStyle w:val="3"/>
              <w:numPr>
                <w:ilvl w:val="0"/>
                <w:numId w:val="0"/>
              </w:numPr>
              <w:jc w:val="center"/>
              <w:rPr>
                <w:color w:val="000000" w:themeColor="text1"/>
                <w:sz w:val="28"/>
                <w:szCs w:val="28"/>
              </w:rPr>
            </w:pPr>
            <w:r w:rsidRPr="009533D7">
              <w:rPr>
                <w:rFonts w:hint="eastAsia"/>
                <w:color w:val="000000" w:themeColor="text1"/>
                <w:sz w:val="28"/>
                <w:szCs w:val="28"/>
              </w:rPr>
              <w:t>500</w:t>
            </w:r>
          </w:p>
        </w:tc>
      </w:tr>
      <w:tr w:rsidR="00B24A57" w:rsidRPr="009533D7" w:rsidTr="00D44660">
        <w:tc>
          <w:tcPr>
            <w:tcW w:w="590" w:type="dxa"/>
            <w:vMerge w:val="restart"/>
          </w:tcPr>
          <w:p w:rsidR="00D44660" w:rsidRPr="009533D7" w:rsidRDefault="00D44660" w:rsidP="00D44660">
            <w:pPr>
              <w:pStyle w:val="3"/>
              <w:numPr>
                <w:ilvl w:val="0"/>
                <w:numId w:val="0"/>
              </w:numPr>
              <w:rPr>
                <w:color w:val="000000" w:themeColor="text1"/>
                <w:sz w:val="28"/>
                <w:szCs w:val="28"/>
              </w:rPr>
            </w:pPr>
            <w:r w:rsidRPr="009533D7">
              <w:rPr>
                <w:rFonts w:hint="eastAsia"/>
                <w:color w:val="000000" w:themeColor="text1"/>
                <w:sz w:val="28"/>
                <w:szCs w:val="28"/>
              </w:rPr>
              <w:t>3</w:t>
            </w:r>
          </w:p>
        </w:tc>
        <w:tc>
          <w:tcPr>
            <w:tcW w:w="4392" w:type="dxa"/>
          </w:tcPr>
          <w:p w:rsidR="00D44660" w:rsidRPr="009533D7" w:rsidRDefault="00D44660" w:rsidP="00D44660">
            <w:pPr>
              <w:pStyle w:val="3"/>
              <w:numPr>
                <w:ilvl w:val="0"/>
                <w:numId w:val="0"/>
              </w:numPr>
              <w:rPr>
                <w:color w:val="000000" w:themeColor="text1"/>
                <w:sz w:val="28"/>
                <w:szCs w:val="28"/>
              </w:rPr>
            </w:pPr>
            <w:r w:rsidRPr="009533D7">
              <w:rPr>
                <w:rFonts w:hint="eastAsia"/>
                <w:color w:val="000000" w:themeColor="text1"/>
                <w:sz w:val="28"/>
                <w:szCs w:val="28"/>
              </w:rPr>
              <w:t>嬰兒配方食品、較大嬰兒配方輔助食品及特殊醫療用途嬰兒配方食品</w:t>
            </w:r>
          </w:p>
        </w:tc>
        <w:tc>
          <w:tcPr>
            <w:tcW w:w="2717" w:type="dxa"/>
          </w:tcPr>
          <w:p w:rsidR="00D44660" w:rsidRPr="009533D7" w:rsidRDefault="00D44660" w:rsidP="00D44660">
            <w:pPr>
              <w:pStyle w:val="3"/>
              <w:numPr>
                <w:ilvl w:val="0"/>
                <w:numId w:val="0"/>
              </w:numPr>
              <w:rPr>
                <w:color w:val="000000" w:themeColor="text1"/>
                <w:sz w:val="28"/>
                <w:szCs w:val="28"/>
              </w:rPr>
            </w:pPr>
          </w:p>
        </w:tc>
      </w:tr>
      <w:tr w:rsidR="00B24A57" w:rsidRPr="009533D7" w:rsidTr="00D44660">
        <w:tc>
          <w:tcPr>
            <w:tcW w:w="590" w:type="dxa"/>
            <w:vMerge/>
          </w:tcPr>
          <w:p w:rsidR="00D44660" w:rsidRPr="009533D7" w:rsidRDefault="00D44660" w:rsidP="00D44660">
            <w:pPr>
              <w:pStyle w:val="3"/>
              <w:numPr>
                <w:ilvl w:val="0"/>
                <w:numId w:val="0"/>
              </w:numPr>
              <w:rPr>
                <w:color w:val="000000" w:themeColor="text1"/>
                <w:sz w:val="28"/>
                <w:szCs w:val="28"/>
              </w:rPr>
            </w:pPr>
          </w:p>
        </w:tc>
        <w:tc>
          <w:tcPr>
            <w:tcW w:w="4392" w:type="dxa"/>
          </w:tcPr>
          <w:p w:rsidR="00D44660" w:rsidRPr="009533D7" w:rsidRDefault="00D44660" w:rsidP="00D44660">
            <w:pPr>
              <w:pStyle w:val="3"/>
              <w:numPr>
                <w:ilvl w:val="0"/>
                <w:numId w:val="0"/>
              </w:numPr>
              <w:rPr>
                <w:color w:val="000000" w:themeColor="text1"/>
                <w:sz w:val="28"/>
                <w:szCs w:val="28"/>
              </w:rPr>
            </w:pPr>
            <w:r w:rsidRPr="009533D7">
              <w:rPr>
                <w:rFonts w:hint="eastAsia"/>
                <w:color w:val="000000" w:themeColor="text1"/>
                <w:sz w:val="28"/>
                <w:szCs w:val="28"/>
              </w:rPr>
              <w:t xml:space="preserve">    粉狀</w:t>
            </w:r>
          </w:p>
        </w:tc>
        <w:tc>
          <w:tcPr>
            <w:tcW w:w="2717" w:type="dxa"/>
          </w:tcPr>
          <w:p w:rsidR="00D44660" w:rsidRPr="009533D7" w:rsidRDefault="00D44660" w:rsidP="00D44660">
            <w:pPr>
              <w:pStyle w:val="3"/>
              <w:numPr>
                <w:ilvl w:val="0"/>
                <w:numId w:val="0"/>
              </w:numPr>
              <w:rPr>
                <w:color w:val="000000" w:themeColor="text1"/>
                <w:sz w:val="28"/>
                <w:szCs w:val="28"/>
              </w:rPr>
            </w:pPr>
            <w:r w:rsidRPr="009533D7">
              <w:rPr>
                <w:rFonts w:hint="eastAsia"/>
                <w:color w:val="000000" w:themeColor="text1"/>
                <w:sz w:val="28"/>
                <w:szCs w:val="28"/>
              </w:rPr>
              <w:t>75(2019年7月1日下修至50)</w:t>
            </w:r>
          </w:p>
        </w:tc>
      </w:tr>
      <w:tr w:rsidR="00B24A57" w:rsidRPr="009533D7" w:rsidTr="00D44660">
        <w:tc>
          <w:tcPr>
            <w:tcW w:w="590" w:type="dxa"/>
            <w:vMerge/>
          </w:tcPr>
          <w:p w:rsidR="00D44660" w:rsidRPr="009533D7" w:rsidRDefault="00D44660" w:rsidP="00D44660">
            <w:pPr>
              <w:pStyle w:val="3"/>
              <w:numPr>
                <w:ilvl w:val="0"/>
                <w:numId w:val="0"/>
              </w:numPr>
              <w:rPr>
                <w:color w:val="000000" w:themeColor="text1"/>
                <w:sz w:val="28"/>
                <w:szCs w:val="28"/>
              </w:rPr>
            </w:pPr>
          </w:p>
        </w:tc>
        <w:tc>
          <w:tcPr>
            <w:tcW w:w="4392" w:type="dxa"/>
          </w:tcPr>
          <w:p w:rsidR="00D44660" w:rsidRPr="009533D7" w:rsidRDefault="00D44660" w:rsidP="00D44660">
            <w:pPr>
              <w:pStyle w:val="3"/>
              <w:numPr>
                <w:ilvl w:val="0"/>
                <w:numId w:val="0"/>
              </w:numPr>
              <w:rPr>
                <w:color w:val="000000" w:themeColor="text1"/>
                <w:sz w:val="28"/>
                <w:szCs w:val="28"/>
              </w:rPr>
            </w:pPr>
            <w:r w:rsidRPr="009533D7">
              <w:rPr>
                <w:rFonts w:hint="eastAsia"/>
                <w:color w:val="000000" w:themeColor="text1"/>
                <w:sz w:val="28"/>
                <w:szCs w:val="28"/>
              </w:rPr>
              <w:t xml:space="preserve">    液狀</w:t>
            </w:r>
          </w:p>
        </w:tc>
        <w:tc>
          <w:tcPr>
            <w:tcW w:w="2717" w:type="dxa"/>
          </w:tcPr>
          <w:p w:rsidR="00D44660" w:rsidRPr="009533D7" w:rsidRDefault="00D44660" w:rsidP="00D44660">
            <w:pPr>
              <w:pStyle w:val="3"/>
              <w:numPr>
                <w:ilvl w:val="0"/>
                <w:numId w:val="0"/>
              </w:numPr>
              <w:rPr>
                <w:color w:val="000000" w:themeColor="text1"/>
                <w:sz w:val="28"/>
                <w:szCs w:val="28"/>
              </w:rPr>
            </w:pPr>
            <w:r w:rsidRPr="009533D7">
              <w:rPr>
                <w:rFonts w:hint="eastAsia"/>
                <w:color w:val="000000" w:themeColor="text1"/>
                <w:sz w:val="28"/>
                <w:szCs w:val="28"/>
              </w:rPr>
              <w:t>10.0(2019年7月1日下修至6.0)</w:t>
            </w:r>
          </w:p>
        </w:tc>
      </w:tr>
    </w:tbl>
    <w:p w:rsidR="00D44660" w:rsidRPr="009533D7" w:rsidRDefault="00D44660" w:rsidP="007001D9">
      <w:pPr>
        <w:pStyle w:val="3"/>
        <w:numPr>
          <w:ilvl w:val="0"/>
          <w:numId w:val="0"/>
        </w:numPr>
        <w:spacing w:line="320" w:lineRule="exact"/>
        <w:ind w:left="1361"/>
        <w:rPr>
          <w:color w:val="000000" w:themeColor="text1"/>
          <w:sz w:val="24"/>
          <w:szCs w:val="24"/>
        </w:rPr>
      </w:pPr>
      <w:r w:rsidRPr="009533D7">
        <w:rPr>
          <w:rFonts w:hint="eastAsia"/>
          <w:color w:val="000000" w:themeColor="text1"/>
          <w:sz w:val="24"/>
          <w:szCs w:val="24"/>
        </w:rPr>
        <w:t>資料來源：official Journal the European Union/COMMISSION REGULATION 2018/290</w:t>
      </w:r>
    </w:p>
    <w:p w:rsidR="00D44660" w:rsidRPr="009533D7" w:rsidRDefault="00D44660" w:rsidP="00782987">
      <w:pPr>
        <w:rPr>
          <w:color w:val="000000" w:themeColor="text1"/>
        </w:rPr>
      </w:pPr>
    </w:p>
    <w:p w:rsidR="006B75BC" w:rsidRPr="009533D7" w:rsidRDefault="00EF1552" w:rsidP="00FB1C49">
      <w:pPr>
        <w:pStyle w:val="3"/>
        <w:rPr>
          <w:color w:val="000000" w:themeColor="text1"/>
        </w:rPr>
      </w:pPr>
      <w:r w:rsidRPr="009533D7">
        <w:rPr>
          <w:rFonts w:hint="eastAsia"/>
          <w:color w:val="000000" w:themeColor="text1"/>
        </w:rPr>
        <w:t>我國輸入食用油脂以棕櫚油為</w:t>
      </w:r>
      <w:r w:rsidR="00CC1C03" w:rsidRPr="009533D7">
        <w:rPr>
          <w:rFonts w:hint="eastAsia"/>
          <w:color w:val="000000" w:themeColor="text1"/>
        </w:rPr>
        <w:t>最</w:t>
      </w:r>
      <w:proofErr w:type="gramStart"/>
      <w:r w:rsidRPr="009533D7">
        <w:rPr>
          <w:rFonts w:hint="eastAsia"/>
          <w:color w:val="000000" w:themeColor="text1"/>
        </w:rPr>
        <w:t>大宗，</w:t>
      </w:r>
      <w:proofErr w:type="gramEnd"/>
      <w:r w:rsidR="007801C0" w:rsidRPr="009533D7">
        <w:rPr>
          <w:rFonts w:hint="eastAsia"/>
          <w:color w:val="000000" w:themeColor="text1"/>
        </w:rPr>
        <w:t>108-110年輸入量逐年增加，分別達</w:t>
      </w:r>
      <w:r w:rsidR="007801C0" w:rsidRPr="009533D7">
        <w:rPr>
          <w:color w:val="000000" w:themeColor="text1"/>
        </w:rPr>
        <w:t>17</w:t>
      </w:r>
      <w:r w:rsidR="007801C0" w:rsidRPr="009533D7">
        <w:rPr>
          <w:rFonts w:hint="eastAsia"/>
          <w:color w:val="000000" w:themeColor="text1"/>
        </w:rPr>
        <w:t>萬</w:t>
      </w:r>
      <w:r w:rsidR="007801C0" w:rsidRPr="009533D7">
        <w:rPr>
          <w:color w:val="000000" w:themeColor="text1"/>
        </w:rPr>
        <w:t>2,426</w:t>
      </w:r>
      <w:r w:rsidR="007801C0" w:rsidRPr="009533D7">
        <w:rPr>
          <w:rFonts w:hint="eastAsia"/>
          <w:color w:val="000000" w:themeColor="text1"/>
        </w:rPr>
        <w:t>公噸、</w:t>
      </w:r>
      <w:r w:rsidR="007801C0" w:rsidRPr="009533D7">
        <w:rPr>
          <w:color w:val="000000" w:themeColor="text1"/>
        </w:rPr>
        <w:t>17</w:t>
      </w:r>
      <w:r w:rsidR="007801C0" w:rsidRPr="009533D7">
        <w:rPr>
          <w:rFonts w:hint="eastAsia"/>
          <w:color w:val="000000" w:themeColor="text1"/>
        </w:rPr>
        <w:t>萬</w:t>
      </w:r>
      <w:r w:rsidR="007801C0" w:rsidRPr="009533D7">
        <w:rPr>
          <w:color w:val="000000" w:themeColor="text1"/>
        </w:rPr>
        <w:t>7,945</w:t>
      </w:r>
      <w:r w:rsidR="007801C0" w:rsidRPr="009533D7">
        <w:rPr>
          <w:rFonts w:hint="eastAsia"/>
          <w:color w:val="000000" w:themeColor="text1"/>
        </w:rPr>
        <w:t>公噸及</w:t>
      </w:r>
      <w:r w:rsidR="007801C0" w:rsidRPr="009533D7">
        <w:rPr>
          <w:color w:val="000000" w:themeColor="text1"/>
        </w:rPr>
        <w:t>18</w:t>
      </w:r>
      <w:r w:rsidR="007801C0" w:rsidRPr="009533D7">
        <w:rPr>
          <w:rFonts w:hint="eastAsia"/>
          <w:color w:val="000000" w:themeColor="text1"/>
        </w:rPr>
        <w:t>萬</w:t>
      </w:r>
      <w:r w:rsidR="007801C0" w:rsidRPr="009533D7">
        <w:rPr>
          <w:color w:val="000000" w:themeColor="text1"/>
        </w:rPr>
        <w:t>423</w:t>
      </w:r>
      <w:r w:rsidR="007801C0" w:rsidRPr="009533D7">
        <w:rPr>
          <w:rFonts w:hint="eastAsia"/>
          <w:color w:val="000000" w:themeColor="text1"/>
        </w:rPr>
        <w:t>公噸，</w:t>
      </w:r>
      <w:r w:rsidRPr="009533D7">
        <w:rPr>
          <w:rFonts w:hint="eastAsia"/>
          <w:color w:val="000000" w:themeColor="text1"/>
        </w:rPr>
        <w:t>近5年(106-110年)占我國輸入重量59.72-64.21%，平均約63%</w:t>
      </w:r>
      <w:r w:rsidR="007801C0" w:rsidRPr="009533D7">
        <w:rPr>
          <w:rFonts w:hint="eastAsia"/>
          <w:color w:val="000000" w:themeColor="text1"/>
        </w:rPr>
        <w:t>。輸入量第二大者則為</w:t>
      </w:r>
      <w:proofErr w:type="gramStart"/>
      <w:r w:rsidR="007801C0" w:rsidRPr="009533D7">
        <w:rPr>
          <w:rFonts w:hint="eastAsia"/>
          <w:color w:val="000000" w:themeColor="text1"/>
        </w:rPr>
        <w:t>油菜子油</w:t>
      </w:r>
      <w:proofErr w:type="gramEnd"/>
      <w:r w:rsidR="007801C0" w:rsidRPr="009533D7">
        <w:rPr>
          <w:rFonts w:hint="eastAsia"/>
          <w:color w:val="000000" w:themeColor="text1"/>
        </w:rPr>
        <w:t>，占我國輸入重量10.77-</w:t>
      </w:r>
      <w:r w:rsidR="00CC1C03" w:rsidRPr="009533D7">
        <w:rPr>
          <w:rFonts w:hint="eastAsia"/>
          <w:color w:val="000000" w:themeColor="text1"/>
        </w:rPr>
        <w:t>12.00</w:t>
      </w:r>
      <w:r w:rsidR="007801C0" w:rsidRPr="009533D7">
        <w:rPr>
          <w:rFonts w:hint="eastAsia"/>
          <w:color w:val="000000" w:themeColor="text1"/>
        </w:rPr>
        <w:t>%，但與棕櫚油之輸入量仍有極大差距，詳如下表。要言之，</w:t>
      </w:r>
      <w:r w:rsidR="007801C0" w:rsidRPr="009533D7">
        <w:rPr>
          <w:rFonts w:hint="eastAsia"/>
          <w:color w:val="000000" w:themeColor="text1"/>
          <w:u w:val="single"/>
        </w:rPr>
        <w:t>我國</w:t>
      </w:r>
      <w:r w:rsidRPr="009533D7">
        <w:rPr>
          <w:rFonts w:hint="eastAsia"/>
          <w:color w:val="000000" w:themeColor="text1"/>
          <w:u w:val="single"/>
        </w:rPr>
        <w:t>輸入的油脂中，超過六成</w:t>
      </w:r>
      <w:r w:rsidR="007801C0" w:rsidRPr="009533D7">
        <w:rPr>
          <w:rFonts w:hint="eastAsia"/>
          <w:color w:val="000000" w:themeColor="text1"/>
          <w:u w:val="single"/>
        </w:rPr>
        <w:t>為棕櫚油，可見棕櫚油在國內的使用量極為龐大</w:t>
      </w:r>
      <w:r w:rsidR="007801C0" w:rsidRPr="009533D7">
        <w:rPr>
          <w:rFonts w:hint="eastAsia"/>
          <w:color w:val="000000" w:themeColor="text1"/>
        </w:rPr>
        <w:t>。</w:t>
      </w:r>
    </w:p>
    <w:p w:rsidR="00CC1C03" w:rsidRPr="009533D7" w:rsidRDefault="00CC1C03" w:rsidP="00043304">
      <w:pPr>
        <w:pStyle w:val="a4"/>
        <w:ind w:left="2410"/>
        <w:jc w:val="center"/>
        <w:rPr>
          <w:color w:val="000000" w:themeColor="text1"/>
        </w:rPr>
      </w:pPr>
      <w:r w:rsidRPr="009533D7">
        <w:rPr>
          <w:rFonts w:hint="eastAsia"/>
          <w:color w:val="000000" w:themeColor="text1"/>
        </w:rPr>
        <w:t>106-110年主要輸入食用油脂情形</w:t>
      </w:r>
    </w:p>
    <w:p w:rsidR="00CC1C03" w:rsidRPr="009533D7" w:rsidRDefault="00CC1C03" w:rsidP="00CC1C03">
      <w:pPr>
        <w:ind w:right="260"/>
        <w:jc w:val="right"/>
        <w:rPr>
          <w:color w:val="000000" w:themeColor="text1"/>
          <w:sz w:val="24"/>
          <w:szCs w:val="24"/>
        </w:rPr>
      </w:pPr>
      <w:r w:rsidRPr="009533D7">
        <w:rPr>
          <w:rFonts w:hint="eastAsia"/>
          <w:color w:val="000000" w:themeColor="text1"/>
          <w:sz w:val="24"/>
          <w:szCs w:val="24"/>
        </w:rPr>
        <w:t>單位：公噸；%</w:t>
      </w:r>
    </w:p>
    <w:tbl>
      <w:tblPr>
        <w:tblStyle w:val="af9"/>
        <w:tblW w:w="0" w:type="auto"/>
        <w:tblInd w:w="1701" w:type="dxa"/>
        <w:tblLook w:val="04A0" w:firstRow="1" w:lastRow="0" w:firstColumn="1" w:lastColumn="0" w:noHBand="0" w:noVBand="1"/>
      </w:tblPr>
      <w:tblGrid>
        <w:gridCol w:w="988"/>
        <w:gridCol w:w="2024"/>
        <w:gridCol w:w="2198"/>
        <w:gridCol w:w="1540"/>
      </w:tblGrid>
      <w:tr w:rsidR="00B24A57" w:rsidRPr="009533D7" w:rsidTr="00FB1C49">
        <w:trPr>
          <w:trHeight w:val="368"/>
        </w:trPr>
        <w:tc>
          <w:tcPr>
            <w:tcW w:w="988" w:type="dxa"/>
          </w:tcPr>
          <w:p w:rsidR="00CC1C03" w:rsidRPr="009533D7" w:rsidRDefault="00CC1C03" w:rsidP="00FB1C49">
            <w:pPr>
              <w:pStyle w:val="4"/>
              <w:numPr>
                <w:ilvl w:val="0"/>
                <w:numId w:val="0"/>
              </w:numPr>
              <w:rPr>
                <w:rFonts w:hAnsi="標楷體" w:cs="HiddenHorzOCR"/>
                <w:color w:val="000000" w:themeColor="text1"/>
                <w:kern w:val="0"/>
                <w:sz w:val="28"/>
                <w:szCs w:val="28"/>
              </w:rPr>
            </w:pPr>
          </w:p>
        </w:tc>
        <w:tc>
          <w:tcPr>
            <w:tcW w:w="2024" w:type="dxa"/>
          </w:tcPr>
          <w:p w:rsidR="00CC1C03" w:rsidRPr="009533D7" w:rsidRDefault="00CC1C03" w:rsidP="00FB1C49">
            <w:pPr>
              <w:pStyle w:val="4"/>
              <w:numPr>
                <w:ilvl w:val="0"/>
                <w:numId w:val="0"/>
              </w:numPr>
              <w:jc w:val="center"/>
              <w:rPr>
                <w:rFonts w:hAnsi="標楷體"/>
                <w:color w:val="000000" w:themeColor="text1"/>
                <w:sz w:val="28"/>
                <w:szCs w:val="28"/>
              </w:rPr>
            </w:pPr>
            <w:r w:rsidRPr="009533D7">
              <w:rPr>
                <w:rFonts w:hAnsi="標楷體" w:cs="HiddenHorzOCR" w:hint="eastAsia"/>
                <w:color w:val="000000" w:themeColor="text1"/>
                <w:kern w:val="0"/>
                <w:sz w:val="28"/>
                <w:szCs w:val="28"/>
              </w:rPr>
              <w:t>食用油脂類別</w:t>
            </w:r>
          </w:p>
        </w:tc>
        <w:tc>
          <w:tcPr>
            <w:tcW w:w="2198" w:type="dxa"/>
          </w:tcPr>
          <w:p w:rsidR="00CC1C03" w:rsidRPr="009533D7" w:rsidRDefault="00CC1C03" w:rsidP="00FB1C49">
            <w:pPr>
              <w:pStyle w:val="4"/>
              <w:numPr>
                <w:ilvl w:val="0"/>
                <w:numId w:val="0"/>
              </w:numPr>
              <w:jc w:val="center"/>
              <w:rPr>
                <w:rFonts w:hAnsi="標楷體" w:cs="HiddenHorzOCR"/>
                <w:color w:val="000000" w:themeColor="text1"/>
                <w:kern w:val="0"/>
                <w:sz w:val="28"/>
                <w:szCs w:val="28"/>
              </w:rPr>
            </w:pPr>
            <w:r w:rsidRPr="009533D7">
              <w:rPr>
                <w:rFonts w:hAnsi="標楷體" w:cs="HiddenHorzOCR" w:hint="eastAsia"/>
                <w:color w:val="000000" w:themeColor="text1"/>
                <w:kern w:val="0"/>
                <w:sz w:val="28"/>
                <w:szCs w:val="28"/>
              </w:rPr>
              <w:t>輸入重量</w:t>
            </w:r>
          </w:p>
          <w:p w:rsidR="00CC1C03" w:rsidRPr="009533D7" w:rsidRDefault="00CC1C03" w:rsidP="00FB1C49">
            <w:pPr>
              <w:pStyle w:val="4"/>
              <w:numPr>
                <w:ilvl w:val="0"/>
                <w:numId w:val="0"/>
              </w:numPr>
              <w:jc w:val="center"/>
              <w:rPr>
                <w:rFonts w:hAnsi="標楷體"/>
                <w:color w:val="000000" w:themeColor="text1"/>
                <w:sz w:val="28"/>
                <w:szCs w:val="28"/>
              </w:rPr>
            </w:pPr>
            <w:r w:rsidRPr="009533D7">
              <w:rPr>
                <w:rFonts w:hAnsi="標楷體" w:cs="HiddenHorzOCR" w:hint="eastAsia"/>
                <w:color w:val="000000" w:themeColor="text1"/>
                <w:kern w:val="0"/>
                <w:sz w:val="28"/>
                <w:szCs w:val="28"/>
              </w:rPr>
              <w:t>（公噸）</w:t>
            </w:r>
          </w:p>
        </w:tc>
        <w:tc>
          <w:tcPr>
            <w:tcW w:w="1540" w:type="dxa"/>
          </w:tcPr>
          <w:p w:rsidR="00CC1C03" w:rsidRPr="009533D7" w:rsidRDefault="00CC1C03" w:rsidP="00FB1C49">
            <w:pPr>
              <w:pStyle w:val="4"/>
              <w:numPr>
                <w:ilvl w:val="0"/>
                <w:numId w:val="0"/>
              </w:numPr>
              <w:jc w:val="center"/>
              <w:rPr>
                <w:rFonts w:hAnsi="標楷體" w:cs="HiddenHorzOCR"/>
                <w:color w:val="000000" w:themeColor="text1"/>
                <w:kern w:val="0"/>
                <w:sz w:val="28"/>
                <w:szCs w:val="28"/>
              </w:rPr>
            </w:pPr>
            <w:r w:rsidRPr="009533D7">
              <w:rPr>
                <w:rFonts w:hAnsi="標楷體" w:cs="HiddenHorzOCR" w:hint="eastAsia"/>
                <w:color w:val="000000" w:themeColor="text1"/>
                <w:kern w:val="0"/>
                <w:sz w:val="28"/>
                <w:szCs w:val="28"/>
              </w:rPr>
              <w:t>占率</w:t>
            </w:r>
          </w:p>
          <w:p w:rsidR="00CC1C03" w:rsidRPr="009533D7" w:rsidRDefault="00CC1C03" w:rsidP="00FB1C49">
            <w:pPr>
              <w:pStyle w:val="4"/>
              <w:numPr>
                <w:ilvl w:val="0"/>
                <w:numId w:val="0"/>
              </w:numPr>
              <w:jc w:val="center"/>
              <w:rPr>
                <w:rFonts w:hAnsi="標楷體"/>
                <w:color w:val="000000" w:themeColor="text1"/>
                <w:sz w:val="28"/>
                <w:szCs w:val="28"/>
              </w:rPr>
            </w:pPr>
            <w:r w:rsidRPr="009533D7">
              <w:rPr>
                <w:rFonts w:hAnsi="標楷體" w:hint="eastAsia"/>
                <w:color w:val="000000" w:themeColor="text1"/>
                <w:sz w:val="28"/>
                <w:szCs w:val="28"/>
              </w:rPr>
              <w:t>(%)</w:t>
            </w:r>
          </w:p>
        </w:tc>
      </w:tr>
      <w:tr w:rsidR="00B24A57" w:rsidRPr="009533D7" w:rsidTr="00FB1C49">
        <w:trPr>
          <w:trHeight w:val="181"/>
        </w:trPr>
        <w:tc>
          <w:tcPr>
            <w:tcW w:w="988" w:type="dxa"/>
            <w:vMerge w:val="restart"/>
          </w:tcPr>
          <w:p w:rsidR="00CC1C03" w:rsidRPr="009533D7" w:rsidRDefault="00CC1C03" w:rsidP="00FB1C49">
            <w:pPr>
              <w:pStyle w:val="4"/>
              <w:numPr>
                <w:ilvl w:val="0"/>
                <w:numId w:val="0"/>
              </w:numPr>
              <w:rPr>
                <w:rFonts w:hAnsi="標楷體" w:cs="HiddenHorzOCR"/>
                <w:color w:val="000000" w:themeColor="text1"/>
                <w:kern w:val="0"/>
                <w:sz w:val="28"/>
                <w:szCs w:val="28"/>
              </w:rPr>
            </w:pPr>
            <w:r w:rsidRPr="009533D7">
              <w:rPr>
                <w:rFonts w:hAnsi="標楷體" w:cs="HiddenHorzOCR" w:hint="eastAsia"/>
                <w:color w:val="000000" w:themeColor="text1"/>
                <w:kern w:val="0"/>
                <w:sz w:val="28"/>
                <w:szCs w:val="28"/>
              </w:rPr>
              <w:t>106年</w:t>
            </w:r>
          </w:p>
        </w:tc>
        <w:tc>
          <w:tcPr>
            <w:tcW w:w="2024" w:type="dxa"/>
          </w:tcPr>
          <w:p w:rsidR="00CC1C03" w:rsidRPr="009533D7" w:rsidRDefault="00CC1C03" w:rsidP="00FB1C49">
            <w:pPr>
              <w:pStyle w:val="4"/>
              <w:numPr>
                <w:ilvl w:val="0"/>
                <w:numId w:val="0"/>
              </w:numPr>
              <w:rPr>
                <w:rFonts w:hAnsi="標楷體"/>
                <w:color w:val="000000" w:themeColor="text1"/>
                <w:sz w:val="28"/>
                <w:szCs w:val="28"/>
              </w:rPr>
            </w:pPr>
            <w:r w:rsidRPr="009533D7">
              <w:rPr>
                <w:rFonts w:hAnsi="標楷體" w:cs="HiddenHorzOCR" w:hint="eastAsia"/>
                <w:color w:val="000000" w:themeColor="text1"/>
                <w:kern w:val="0"/>
                <w:sz w:val="28"/>
                <w:szCs w:val="28"/>
              </w:rPr>
              <w:t>棕櫚油</w:t>
            </w:r>
          </w:p>
        </w:tc>
        <w:tc>
          <w:tcPr>
            <w:tcW w:w="2198" w:type="dxa"/>
          </w:tcPr>
          <w:p w:rsidR="00CC1C03" w:rsidRPr="009533D7" w:rsidRDefault="00CC1C03" w:rsidP="00FB1C49">
            <w:pPr>
              <w:pStyle w:val="4"/>
              <w:numPr>
                <w:ilvl w:val="0"/>
                <w:numId w:val="0"/>
              </w:numPr>
              <w:jc w:val="right"/>
              <w:rPr>
                <w:rFonts w:hAnsi="標楷體" w:cs="HiddenHorzOCR"/>
                <w:color w:val="000000" w:themeColor="text1"/>
                <w:kern w:val="0"/>
                <w:sz w:val="28"/>
                <w:szCs w:val="28"/>
              </w:rPr>
            </w:pPr>
            <w:r w:rsidRPr="009533D7">
              <w:rPr>
                <w:rFonts w:hAnsi="標楷體"/>
                <w:color w:val="000000" w:themeColor="text1"/>
                <w:kern w:val="0"/>
                <w:sz w:val="28"/>
                <w:szCs w:val="28"/>
              </w:rPr>
              <w:t>166,015.55</w:t>
            </w:r>
          </w:p>
        </w:tc>
        <w:tc>
          <w:tcPr>
            <w:tcW w:w="1540" w:type="dxa"/>
          </w:tcPr>
          <w:p w:rsidR="00CC1C03" w:rsidRPr="009533D7" w:rsidRDefault="00CC1C03" w:rsidP="00FB1C49">
            <w:pPr>
              <w:pStyle w:val="4"/>
              <w:numPr>
                <w:ilvl w:val="0"/>
                <w:numId w:val="0"/>
              </w:numPr>
              <w:ind w:rightChars="22" w:right="75"/>
              <w:jc w:val="right"/>
              <w:rPr>
                <w:rFonts w:hAnsi="標楷體" w:cs="HiddenHorzOCR"/>
                <w:color w:val="000000" w:themeColor="text1"/>
                <w:kern w:val="0"/>
                <w:sz w:val="28"/>
                <w:szCs w:val="28"/>
              </w:rPr>
            </w:pPr>
            <w:r w:rsidRPr="009533D7">
              <w:rPr>
                <w:rFonts w:hAnsi="標楷體"/>
                <w:color w:val="000000" w:themeColor="text1"/>
                <w:kern w:val="0"/>
                <w:sz w:val="28"/>
                <w:szCs w:val="28"/>
              </w:rPr>
              <w:t>63.14</w:t>
            </w:r>
          </w:p>
        </w:tc>
      </w:tr>
      <w:tr w:rsidR="00B24A57" w:rsidRPr="009533D7" w:rsidTr="00FB1C49">
        <w:trPr>
          <w:trHeight w:val="148"/>
        </w:trPr>
        <w:tc>
          <w:tcPr>
            <w:tcW w:w="988" w:type="dxa"/>
            <w:vMerge/>
          </w:tcPr>
          <w:p w:rsidR="00CC1C03" w:rsidRPr="009533D7" w:rsidRDefault="00CC1C03" w:rsidP="00FB1C49">
            <w:pPr>
              <w:pStyle w:val="4"/>
              <w:numPr>
                <w:ilvl w:val="0"/>
                <w:numId w:val="0"/>
              </w:numPr>
              <w:rPr>
                <w:rFonts w:hAnsi="標楷體" w:cs="HiddenHorzOCR"/>
                <w:color w:val="000000" w:themeColor="text1"/>
                <w:kern w:val="0"/>
                <w:sz w:val="28"/>
                <w:szCs w:val="28"/>
              </w:rPr>
            </w:pPr>
          </w:p>
        </w:tc>
        <w:tc>
          <w:tcPr>
            <w:tcW w:w="2024" w:type="dxa"/>
          </w:tcPr>
          <w:p w:rsidR="00CC1C03" w:rsidRPr="009533D7" w:rsidRDefault="00CC1C03" w:rsidP="00FB1C49">
            <w:pPr>
              <w:pStyle w:val="4"/>
              <w:numPr>
                <w:ilvl w:val="0"/>
                <w:numId w:val="0"/>
              </w:numPr>
              <w:rPr>
                <w:rFonts w:hAnsi="標楷體"/>
                <w:color w:val="000000" w:themeColor="text1"/>
                <w:sz w:val="28"/>
                <w:szCs w:val="28"/>
              </w:rPr>
            </w:pPr>
            <w:proofErr w:type="gramStart"/>
            <w:r w:rsidRPr="009533D7">
              <w:rPr>
                <w:rFonts w:hAnsi="標楷體" w:cs="HiddenHorzOCR" w:hint="eastAsia"/>
                <w:color w:val="000000" w:themeColor="text1"/>
                <w:kern w:val="0"/>
                <w:sz w:val="28"/>
                <w:szCs w:val="28"/>
              </w:rPr>
              <w:t>油菜子油</w:t>
            </w:r>
            <w:proofErr w:type="gramEnd"/>
          </w:p>
        </w:tc>
        <w:tc>
          <w:tcPr>
            <w:tcW w:w="2198" w:type="dxa"/>
          </w:tcPr>
          <w:p w:rsidR="00CC1C03" w:rsidRPr="009533D7" w:rsidRDefault="00CC1C03" w:rsidP="00FB1C49">
            <w:pPr>
              <w:pStyle w:val="4"/>
              <w:numPr>
                <w:ilvl w:val="0"/>
                <w:numId w:val="0"/>
              </w:numPr>
              <w:jc w:val="right"/>
              <w:rPr>
                <w:rFonts w:hAnsi="標楷體" w:cs="HiddenHorzOCR"/>
                <w:color w:val="000000" w:themeColor="text1"/>
                <w:kern w:val="0"/>
                <w:sz w:val="28"/>
                <w:szCs w:val="28"/>
              </w:rPr>
            </w:pPr>
            <w:r w:rsidRPr="009533D7">
              <w:rPr>
                <w:rFonts w:hAnsi="標楷體" w:cs="HiddenHorzOCR"/>
                <w:color w:val="000000" w:themeColor="text1"/>
                <w:kern w:val="0"/>
                <w:sz w:val="28"/>
                <w:szCs w:val="28"/>
              </w:rPr>
              <w:t>28,310.38</w:t>
            </w:r>
          </w:p>
        </w:tc>
        <w:tc>
          <w:tcPr>
            <w:tcW w:w="1540" w:type="dxa"/>
          </w:tcPr>
          <w:p w:rsidR="00CC1C03" w:rsidRPr="009533D7" w:rsidRDefault="00CC1C03" w:rsidP="00FB1C49">
            <w:pPr>
              <w:pStyle w:val="4"/>
              <w:numPr>
                <w:ilvl w:val="0"/>
                <w:numId w:val="0"/>
              </w:numPr>
              <w:ind w:rightChars="22" w:right="75"/>
              <w:jc w:val="right"/>
              <w:rPr>
                <w:rFonts w:hAnsi="標楷體" w:cs="HiddenHorzOCR"/>
                <w:color w:val="000000" w:themeColor="text1"/>
                <w:kern w:val="0"/>
                <w:sz w:val="28"/>
                <w:szCs w:val="28"/>
              </w:rPr>
            </w:pPr>
            <w:r w:rsidRPr="009533D7">
              <w:rPr>
                <w:rFonts w:hAnsi="標楷體" w:cs="HiddenHorzOCR" w:hint="eastAsia"/>
                <w:color w:val="000000" w:themeColor="text1"/>
                <w:kern w:val="0"/>
                <w:sz w:val="28"/>
                <w:szCs w:val="28"/>
              </w:rPr>
              <w:t>10.77</w:t>
            </w:r>
          </w:p>
        </w:tc>
      </w:tr>
      <w:tr w:rsidR="00B24A57" w:rsidRPr="009533D7" w:rsidTr="00FB1C49">
        <w:trPr>
          <w:trHeight w:val="368"/>
        </w:trPr>
        <w:tc>
          <w:tcPr>
            <w:tcW w:w="988" w:type="dxa"/>
            <w:vMerge/>
          </w:tcPr>
          <w:p w:rsidR="00CC1C03" w:rsidRPr="009533D7" w:rsidRDefault="00CC1C03" w:rsidP="00FB1C49">
            <w:pPr>
              <w:pStyle w:val="4"/>
              <w:numPr>
                <w:ilvl w:val="0"/>
                <w:numId w:val="0"/>
              </w:numPr>
              <w:rPr>
                <w:rFonts w:hAnsi="標楷體" w:cs="HiddenHorzOCR"/>
                <w:color w:val="000000" w:themeColor="text1"/>
                <w:kern w:val="0"/>
                <w:sz w:val="28"/>
                <w:szCs w:val="28"/>
              </w:rPr>
            </w:pPr>
          </w:p>
        </w:tc>
        <w:tc>
          <w:tcPr>
            <w:tcW w:w="2024" w:type="dxa"/>
          </w:tcPr>
          <w:p w:rsidR="00CC1C03" w:rsidRPr="009533D7" w:rsidRDefault="00CC1C03" w:rsidP="00FB1C49">
            <w:pPr>
              <w:pStyle w:val="4"/>
              <w:numPr>
                <w:ilvl w:val="0"/>
                <w:numId w:val="0"/>
              </w:numPr>
              <w:rPr>
                <w:rFonts w:hAnsi="標楷體"/>
                <w:color w:val="000000" w:themeColor="text1"/>
                <w:sz w:val="28"/>
                <w:szCs w:val="28"/>
              </w:rPr>
            </w:pPr>
            <w:r w:rsidRPr="009533D7">
              <w:rPr>
                <w:rFonts w:hAnsi="標楷體" w:cs="HiddenHorzOCR" w:hint="eastAsia"/>
                <w:color w:val="000000" w:themeColor="text1"/>
                <w:kern w:val="0"/>
                <w:sz w:val="28"/>
                <w:szCs w:val="28"/>
              </w:rPr>
              <w:t>葵花子油</w:t>
            </w:r>
          </w:p>
        </w:tc>
        <w:tc>
          <w:tcPr>
            <w:tcW w:w="2198" w:type="dxa"/>
          </w:tcPr>
          <w:p w:rsidR="00CC1C03" w:rsidRPr="009533D7" w:rsidRDefault="00CC1C03" w:rsidP="00FB1C49">
            <w:pPr>
              <w:pStyle w:val="4"/>
              <w:numPr>
                <w:ilvl w:val="0"/>
                <w:numId w:val="0"/>
              </w:numPr>
              <w:jc w:val="right"/>
              <w:rPr>
                <w:rFonts w:hAnsi="標楷體" w:cs="HiddenHorzOCR"/>
                <w:color w:val="000000" w:themeColor="text1"/>
                <w:kern w:val="0"/>
                <w:sz w:val="28"/>
                <w:szCs w:val="28"/>
              </w:rPr>
            </w:pPr>
            <w:r w:rsidRPr="009533D7">
              <w:rPr>
                <w:rFonts w:hAnsi="標楷體" w:cs="HiddenHorzOCR"/>
                <w:color w:val="000000" w:themeColor="text1"/>
                <w:kern w:val="0"/>
                <w:sz w:val="28"/>
                <w:szCs w:val="28"/>
              </w:rPr>
              <w:t>19,061.22</w:t>
            </w:r>
          </w:p>
        </w:tc>
        <w:tc>
          <w:tcPr>
            <w:tcW w:w="1540" w:type="dxa"/>
          </w:tcPr>
          <w:p w:rsidR="00CC1C03" w:rsidRPr="009533D7" w:rsidRDefault="00CC1C03" w:rsidP="00FB1C49">
            <w:pPr>
              <w:pStyle w:val="4"/>
              <w:numPr>
                <w:ilvl w:val="0"/>
                <w:numId w:val="0"/>
              </w:numPr>
              <w:ind w:rightChars="22" w:right="75"/>
              <w:jc w:val="right"/>
              <w:rPr>
                <w:rFonts w:hAnsi="標楷體" w:cs="HiddenHorzOCR"/>
                <w:color w:val="000000" w:themeColor="text1"/>
                <w:kern w:val="0"/>
                <w:sz w:val="28"/>
                <w:szCs w:val="28"/>
              </w:rPr>
            </w:pPr>
            <w:r w:rsidRPr="009533D7">
              <w:rPr>
                <w:rFonts w:hAnsi="標楷體" w:cs="HiddenHorzOCR" w:hint="eastAsia"/>
                <w:color w:val="000000" w:themeColor="text1"/>
                <w:kern w:val="0"/>
                <w:sz w:val="28"/>
                <w:szCs w:val="28"/>
              </w:rPr>
              <w:t>7.25</w:t>
            </w:r>
          </w:p>
        </w:tc>
      </w:tr>
      <w:tr w:rsidR="00B24A57" w:rsidRPr="009533D7" w:rsidTr="00FB1C49">
        <w:trPr>
          <w:trHeight w:val="186"/>
        </w:trPr>
        <w:tc>
          <w:tcPr>
            <w:tcW w:w="988" w:type="dxa"/>
            <w:vMerge w:val="restart"/>
          </w:tcPr>
          <w:p w:rsidR="00CC1C03" w:rsidRPr="009533D7" w:rsidRDefault="00CC1C03" w:rsidP="00FB1C49">
            <w:pPr>
              <w:pStyle w:val="4"/>
              <w:numPr>
                <w:ilvl w:val="0"/>
                <w:numId w:val="0"/>
              </w:numPr>
              <w:rPr>
                <w:rFonts w:hAnsi="標楷體" w:cs="HiddenHorzOCR"/>
                <w:color w:val="000000" w:themeColor="text1"/>
                <w:kern w:val="0"/>
                <w:sz w:val="28"/>
                <w:szCs w:val="28"/>
              </w:rPr>
            </w:pPr>
            <w:r w:rsidRPr="009533D7">
              <w:rPr>
                <w:rFonts w:hAnsi="標楷體" w:cs="HiddenHorzOCR" w:hint="eastAsia"/>
                <w:color w:val="000000" w:themeColor="text1"/>
                <w:kern w:val="0"/>
                <w:sz w:val="28"/>
                <w:szCs w:val="28"/>
              </w:rPr>
              <w:t>107</w:t>
            </w:r>
            <w:r w:rsidRPr="009533D7">
              <w:rPr>
                <w:rFonts w:hAnsi="標楷體" w:cs="新細明體" w:hint="eastAsia"/>
                <w:color w:val="000000" w:themeColor="text1"/>
                <w:kern w:val="0"/>
                <w:sz w:val="28"/>
                <w:szCs w:val="28"/>
              </w:rPr>
              <w:t>年</w:t>
            </w:r>
          </w:p>
        </w:tc>
        <w:tc>
          <w:tcPr>
            <w:tcW w:w="2024" w:type="dxa"/>
          </w:tcPr>
          <w:p w:rsidR="00CC1C03" w:rsidRPr="009533D7" w:rsidRDefault="00CC1C03" w:rsidP="00FB1C49">
            <w:pPr>
              <w:pStyle w:val="4"/>
              <w:numPr>
                <w:ilvl w:val="0"/>
                <w:numId w:val="0"/>
              </w:numPr>
              <w:rPr>
                <w:rFonts w:hAnsi="標楷體"/>
                <w:color w:val="000000" w:themeColor="text1"/>
                <w:sz w:val="28"/>
                <w:szCs w:val="28"/>
              </w:rPr>
            </w:pPr>
            <w:r w:rsidRPr="009533D7">
              <w:rPr>
                <w:rFonts w:hAnsi="標楷體" w:cs="HiddenHorzOCR" w:hint="eastAsia"/>
                <w:color w:val="000000" w:themeColor="text1"/>
                <w:kern w:val="0"/>
                <w:sz w:val="28"/>
                <w:szCs w:val="28"/>
              </w:rPr>
              <w:t>棕櫚油</w:t>
            </w:r>
          </w:p>
        </w:tc>
        <w:tc>
          <w:tcPr>
            <w:tcW w:w="2198" w:type="dxa"/>
          </w:tcPr>
          <w:p w:rsidR="00CC1C03" w:rsidRPr="009533D7" w:rsidRDefault="00CC1C03" w:rsidP="00FB1C49">
            <w:pPr>
              <w:pStyle w:val="4"/>
              <w:numPr>
                <w:ilvl w:val="0"/>
                <w:numId w:val="0"/>
              </w:numPr>
              <w:jc w:val="right"/>
              <w:rPr>
                <w:rFonts w:hAnsi="標楷體" w:cs="HiddenHorzOCR"/>
                <w:color w:val="000000" w:themeColor="text1"/>
                <w:kern w:val="0"/>
                <w:sz w:val="28"/>
                <w:szCs w:val="28"/>
              </w:rPr>
            </w:pPr>
            <w:r w:rsidRPr="009533D7">
              <w:rPr>
                <w:rFonts w:hAnsi="標楷體" w:cs="HiddenHorzOCR"/>
                <w:color w:val="000000" w:themeColor="text1"/>
                <w:kern w:val="0"/>
                <w:sz w:val="28"/>
                <w:szCs w:val="28"/>
              </w:rPr>
              <w:t>175,269.83</w:t>
            </w:r>
          </w:p>
        </w:tc>
        <w:tc>
          <w:tcPr>
            <w:tcW w:w="1540" w:type="dxa"/>
          </w:tcPr>
          <w:p w:rsidR="00CC1C03" w:rsidRPr="009533D7" w:rsidRDefault="00CC1C03" w:rsidP="00FB1C49">
            <w:pPr>
              <w:pStyle w:val="4"/>
              <w:numPr>
                <w:ilvl w:val="0"/>
                <w:numId w:val="0"/>
              </w:numPr>
              <w:ind w:rightChars="22" w:right="75"/>
              <w:jc w:val="right"/>
              <w:rPr>
                <w:rFonts w:hAnsi="標楷體" w:cs="HiddenHorzOCR"/>
                <w:color w:val="000000" w:themeColor="text1"/>
                <w:kern w:val="0"/>
                <w:sz w:val="28"/>
                <w:szCs w:val="28"/>
              </w:rPr>
            </w:pPr>
            <w:r w:rsidRPr="009533D7">
              <w:rPr>
                <w:rFonts w:hAnsi="標楷體" w:cs="HiddenHorzOCR" w:hint="eastAsia"/>
                <w:color w:val="000000" w:themeColor="text1"/>
                <w:kern w:val="0"/>
                <w:sz w:val="28"/>
                <w:szCs w:val="28"/>
              </w:rPr>
              <w:t>64.21</w:t>
            </w:r>
          </w:p>
        </w:tc>
      </w:tr>
      <w:tr w:rsidR="00B24A57" w:rsidRPr="009533D7" w:rsidTr="00FB1C49">
        <w:trPr>
          <w:trHeight w:val="368"/>
        </w:trPr>
        <w:tc>
          <w:tcPr>
            <w:tcW w:w="988" w:type="dxa"/>
            <w:vMerge/>
          </w:tcPr>
          <w:p w:rsidR="00CC1C03" w:rsidRPr="009533D7" w:rsidRDefault="00CC1C03" w:rsidP="00FB1C49">
            <w:pPr>
              <w:pStyle w:val="4"/>
              <w:numPr>
                <w:ilvl w:val="0"/>
                <w:numId w:val="0"/>
              </w:numPr>
              <w:rPr>
                <w:rFonts w:hAnsi="標楷體" w:cs="HiddenHorzOCR"/>
                <w:color w:val="000000" w:themeColor="text1"/>
                <w:kern w:val="0"/>
                <w:sz w:val="28"/>
                <w:szCs w:val="28"/>
              </w:rPr>
            </w:pPr>
          </w:p>
        </w:tc>
        <w:tc>
          <w:tcPr>
            <w:tcW w:w="2024" w:type="dxa"/>
          </w:tcPr>
          <w:p w:rsidR="00CC1C03" w:rsidRPr="009533D7" w:rsidRDefault="00CC1C03" w:rsidP="00FB1C49">
            <w:pPr>
              <w:pStyle w:val="4"/>
              <w:numPr>
                <w:ilvl w:val="0"/>
                <w:numId w:val="0"/>
              </w:numPr>
              <w:rPr>
                <w:rFonts w:hAnsi="標楷體"/>
                <w:color w:val="000000" w:themeColor="text1"/>
                <w:sz w:val="28"/>
                <w:szCs w:val="28"/>
              </w:rPr>
            </w:pPr>
            <w:proofErr w:type="gramStart"/>
            <w:r w:rsidRPr="009533D7">
              <w:rPr>
                <w:rFonts w:hAnsi="標楷體" w:cs="HiddenHorzOCR" w:hint="eastAsia"/>
                <w:color w:val="000000" w:themeColor="text1"/>
                <w:kern w:val="0"/>
                <w:sz w:val="28"/>
                <w:szCs w:val="28"/>
              </w:rPr>
              <w:t>油菜子油</w:t>
            </w:r>
            <w:proofErr w:type="gramEnd"/>
          </w:p>
        </w:tc>
        <w:tc>
          <w:tcPr>
            <w:tcW w:w="2198" w:type="dxa"/>
          </w:tcPr>
          <w:p w:rsidR="00CC1C03" w:rsidRPr="009533D7" w:rsidRDefault="00CC1C03" w:rsidP="00FB1C49">
            <w:pPr>
              <w:pStyle w:val="4"/>
              <w:numPr>
                <w:ilvl w:val="0"/>
                <w:numId w:val="0"/>
              </w:numPr>
              <w:jc w:val="right"/>
              <w:rPr>
                <w:rFonts w:hAnsi="標楷體" w:cs="HiddenHorzOCR"/>
                <w:color w:val="000000" w:themeColor="text1"/>
                <w:kern w:val="0"/>
                <w:sz w:val="28"/>
                <w:szCs w:val="28"/>
              </w:rPr>
            </w:pPr>
            <w:r w:rsidRPr="009533D7">
              <w:rPr>
                <w:rFonts w:hAnsi="標楷體" w:cs="HiddenHorzOCR"/>
                <w:color w:val="000000" w:themeColor="text1"/>
                <w:kern w:val="0"/>
                <w:sz w:val="28"/>
                <w:szCs w:val="28"/>
              </w:rPr>
              <w:t>30,047.02</w:t>
            </w:r>
          </w:p>
        </w:tc>
        <w:tc>
          <w:tcPr>
            <w:tcW w:w="1540" w:type="dxa"/>
          </w:tcPr>
          <w:p w:rsidR="00CC1C03" w:rsidRPr="009533D7" w:rsidRDefault="00CC1C03" w:rsidP="00FB1C49">
            <w:pPr>
              <w:pStyle w:val="4"/>
              <w:numPr>
                <w:ilvl w:val="0"/>
                <w:numId w:val="0"/>
              </w:numPr>
              <w:ind w:rightChars="22" w:right="75"/>
              <w:jc w:val="right"/>
              <w:rPr>
                <w:rFonts w:hAnsi="標楷體" w:cs="HiddenHorzOCR"/>
                <w:color w:val="000000" w:themeColor="text1"/>
                <w:kern w:val="0"/>
                <w:sz w:val="28"/>
                <w:szCs w:val="28"/>
              </w:rPr>
            </w:pPr>
            <w:r w:rsidRPr="009533D7">
              <w:rPr>
                <w:rFonts w:hAnsi="標楷體" w:cs="HiddenHorzOCR" w:hint="eastAsia"/>
                <w:color w:val="000000" w:themeColor="text1"/>
                <w:kern w:val="0"/>
                <w:sz w:val="28"/>
                <w:szCs w:val="28"/>
              </w:rPr>
              <w:t>11.01</w:t>
            </w:r>
          </w:p>
        </w:tc>
      </w:tr>
      <w:tr w:rsidR="00B24A57" w:rsidRPr="009533D7" w:rsidTr="00FB1C49">
        <w:trPr>
          <w:trHeight w:val="363"/>
        </w:trPr>
        <w:tc>
          <w:tcPr>
            <w:tcW w:w="988" w:type="dxa"/>
            <w:vMerge/>
          </w:tcPr>
          <w:p w:rsidR="00CC1C03" w:rsidRPr="009533D7" w:rsidRDefault="00CC1C03" w:rsidP="00FB1C49">
            <w:pPr>
              <w:pStyle w:val="4"/>
              <w:numPr>
                <w:ilvl w:val="0"/>
                <w:numId w:val="0"/>
              </w:numPr>
              <w:rPr>
                <w:rFonts w:hAnsi="標楷體" w:cs="HiddenHorzOCR"/>
                <w:color w:val="000000" w:themeColor="text1"/>
                <w:kern w:val="0"/>
                <w:sz w:val="28"/>
                <w:szCs w:val="28"/>
              </w:rPr>
            </w:pPr>
          </w:p>
        </w:tc>
        <w:tc>
          <w:tcPr>
            <w:tcW w:w="2024" w:type="dxa"/>
          </w:tcPr>
          <w:p w:rsidR="00CC1C03" w:rsidRPr="009533D7" w:rsidRDefault="00CC1C03" w:rsidP="00FB1C49">
            <w:pPr>
              <w:pStyle w:val="4"/>
              <w:numPr>
                <w:ilvl w:val="0"/>
                <w:numId w:val="0"/>
              </w:numPr>
              <w:rPr>
                <w:rFonts w:hAnsi="標楷體"/>
                <w:color w:val="000000" w:themeColor="text1"/>
                <w:sz w:val="28"/>
                <w:szCs w:val="28"/>
              </w:rPr>
            </w:pPr>
            <w:r w:rsidRPr="009533D7">
              <w:rPr>
                <w:rFonts w:hAnsi="標楷體" w:cs="HiddenHorzOCR" w:hint="eastAsia"/>
                <w:color w:val="000000" w:themeColor="text1"/>
                <w:kern w:val="0"/>
                <w:sz w:val="28"/>
                <w:szCs w:val="28"/>
              </w:rPr>
              <w:t>葵花子油</w:t>
            </w:r>
          </w:p>
        </w:tc>
        <w:tc>
          <w:tcPr>
            <w:tcW w:w="2198" w:type="dxa"/>
          </w:tcPr>
          <w:p w:rsidR="00CC1C03" w:rsidRPr="009533D7" w:rsidRDefault="00CC1C03" w:rsidP="00FB1C49">
            <w:pPr>
              <w:pStyle w:val="4"/>
              <w:numPr>
                <w:ilvl w:val="0"/>
                <w:numId w:val="0"/>
              </w:numPr>
              <w:jc w:val="right"/>
              <w:rPr>
                <w:rFonts w:hAnsi="標楷體" w:cs="HiddenHorzOCR"/>
                <w:color w:val="000000" w:themeColor="text1"/>
                <w:kern w:val="0"/>
                <w:sz w:val="28"/>
                <w:szCs w:val="28"/>
              </w:rPr>
            </w:pPr>
            <w:r w:rsidRPr="009533D7">
              <w:rPr>
                <w:rFonts w:hAnsi="標楷體" w:cs="HiddenHorzOCR"/>
                <w:color w:val="000000" w:themeColor="text1"/>
                <w:kern w:val="0"/>
                <w:sz w:val="28"/>
                <w:szCs w:val="28"/>
              </w:rPr>
              <w:t>18,194.12</w:t>
            </w:r>
          </w:p>
        </w:tc>
        <w:tc>
          <w:tcPr>
            <w:tcW w:w="1540" w:type="dxa"/>
          </w:tcPr>
          <w:p w:rsidR="00CC1C03" w:rsidRPr="009533D7" w:rsidRDefault="00CC1C03" w:rsidP="00FB1C49">
            <w:pPr>
              <w:pStyle w:val="4"/>
              <w:numPr>
                <w:ilvl w:val="0"/>
                <w:numId w:val="0"/>
              </w:numPr>
              <w:ind w:rightChars="22" w:right="75"/>
              <w:jc w:val="right"/>
              <w:rPr>
                <w:rFonts w:hAnsi="標楷體" w:cs="HiddenHorzOCR"/>
                <w:color w:val="000000" w:themeColor="text1"/>
                <w:kern w:val="0"/>
                <w:sz w:val="28"/>
                <w:szCs w:val="28"/>
              </w:rPr>
            </w:pPr>
            <w:r w:rsidRPr="009533D7">
              <w:rPr>
                <w:rFonts w:hAnsi="標楷體" w:cs="HiddenHorzOCR" w:hint="eastAsia"/>
                <w:color w:val="000000" w:themeColor="text1"/>
                <w:kern w:val="0"/>
                <w:sz w:val="28"/>
                <w:szCs w:val="28"/>
              </w:rPr>
              <w:t>6.67</w:t>
            </w:r>
          </w:p>
        </w:tc>
      </w:tr>
      <w:tr w:rsidR="00B24A57" w:rsidRPr="009533D7" w:rsidTr="00FB1C49">
        <w:trPr>
          <w:trHeight w:val="181"/>
        </w:trPr>
        <w:tc>
          <w:tcPr>
            <w:tcW w:w="988" w:type="dxa"/>
            <w:vMerge w:val="restart"/>
          </w:tcPr>
          <w:p w:rsidR="00CC1C03" w:rsidRPr="009533D7" w:rsidRDefault="00CC1C03" w:rsidP="00FB1C49">
            <w:pPr>
              <w:pStyle w:val="4"/>
              <w:numPr>
                <w:ilvl w:val="0"/>
                <w:numId w:val="0"/>
              </w:numPr>
              <w:rPr>
                <w:rFonts w:hAnsi="標楷體" w:cs="HiddenHorzOCR"/>
                <w:color w:val="000000" w:themeColor="text1"/>
                <w:kern w:val="0"/>
                <w:sz w:val="28"/>
                <w:szCs w:val="28"/>
              </w:rPr>
            </w:pPr>
            <w:r w:rsidRPr="009533D7">
              <w:rPr>
                <w:rFonts w:hAnsi="標楷體" w:cs="HiddenHorzOCR" w:hint="eastAsia"/>
                <w:color w:val="000000" w:themeColor="text1"/>
                <w:kern w:val="0"/>
                <w:sz w:val="28"/>
                <w:szCs w:val="28"/>
              </w:rPr>
              <w:t>108</w:t>
            </w:r>
            <w:r w:rsidRPr="009533D7">
              <w:rPr>
                <w:rFonts w:hAnsi="標楷體" w:cs="新細明體" w:hint="eastAsia"/>
                <w:color w:val="000000" w:themeColor="text1"/>
                <w:kern w:val="0"/>
                <w:sz w:val="28"/>
                <w:szCs w:val="28"/>
              </w:rPr>
              <w:t>年</w:t>
            </w:r>
          </w:p>
        </w:tc>
        <w:tc>
          <w:tcPr>
            <w:tcW w:w="2024" w:type="dxa"/>
          </w:tcPr>
          <w:p w:rsidR="00CC1C03" w:rsidRPr="009533D7" w:rsidRDefault="00CC1C03" w:rsidP="00FB1C49">
            <w:pPr>
              <w:pStyle w:val="4"/>
              <w:numPr>
                <w:ilvl w:val="0"/>
                <w:numId w:val="0"/>
              </w:numPr>
              <w:rPr>
                <w:rFonts w:hAnsi="標楷體"/>
                <w:color w:val="000000" w:themeColor="text1"/>
                <w:sz w:val="28"/>
                <w:szCs w:val="28"/>
              </w:rPr>
            </w:pPr>
            <w:r w:rsidRPr="009533D7">
              <w:rPr>
                <w:rFonts w:hAnsi="標楷體" w:cs="HiddenHorzOCR" w:hint="eastAsia"/>
                <w:color w:val="000000" w:themeColor="text1"/>
                <w:kern w:val="0"/>
                <w:sz w:val="28"/>
                <w:szCs w:val="28"/>
              </w:rPr>
              <w:t>棕櫚油</w:t>
            </w:r>
          </w:p>
        </w:tc>
        <w:tc>
          <w:tcPr>
            <w:tcW w:w="2198" w:type="dxa"/>
          </w:tcPr>
          <w:p w:rsidR="00CC1C03" w:rsidRPr="009533D7" w:rsidRDefault="00CC1C03" w:rsidP="00FB1C49">
            <w:pPr>
              <w:pStyle w:val="4"/>
              <w:numPr>
                <w:ilvl w:val="0"/>
                <w:numId w:val="0"/>
              </w:numPr>
              <w:jc w:val="right"/>
              <w:rPr>
                <w:rFonts w:hAnsi="標楷體" w:cs="HiddenHorzOCR"/>
                <w:color w:val="000000" w:themeColor="text1"/>
                <w:kern w:val="0"/>
                <w:sz w:val="28"/>
                <w:szCs w:val="28"/>
              </w:rPr>
            </w:pPr>
            <w:r w:rsidRPr="009533D7">
              <w:rPr>
                <w:rFonts w:hAnsi="標楷體" w:cs="HiddenHorzOCR"/>
                <w:color w:val="000000" w:themeColor="text1"/>
                <w:kern w:val="0"/>
                <w:sz w:val="28"/>
                <w:szCs w:val="28"/>
              </w:rPr>
              <w:t>172,426.09</w:t>
            </w:r>
          </w:p>
        </w:tc>
        <w:tc>
          <w:tcPr>
            <w:tcW w:w="1540" w:type="dxa"/>
          </w:tcPr>
          <w:p w:rsidR="00CC1C03" w:rsidRPr="009533D7" w:rsidRDefault="00CC1C03" w:rsidP="00FB1C49">
            <w:pPr>
              <w:pStyle w:val="4"/>
              <w:numPr>
                <w:ilvl w:val="0"/>
                <w:numId w:val="0"/>
              </w:numPr>
              <w:ind w:rightChars="22" w:right="75"/>
              <w:jc w:val="right"/>
              <w:rPr>
                <w:rFonts w:hAnsi="標楷體" w:cs="HiddenHorzOCR"/>
                <w:color w:val="000000" w:themeColor="text1"/>
                <w:kern w:val="0"/>
                <w:sz w:val="28"/>
                <w:szCs w:val="28"/>
              </w:rPr>
            </w:pPr>
            <w:r w:rsidRPr="009533D7">
              <w:rPr>
                <w:rFonts w:hAnsi="標楷體" w:cs="HiddenHorzOCR"/>
                <w:color w:val="000000" w:themeColor="text1"/>
                <w:kern w:val="0"/>
                <w:sz w:val="28"/>
                <w:szCs w:val="28"/>
              </w:rPr>
              <w:t>62.01</w:t>
            </w:r>
          </w:p>
        </w:tc>
      </w:tr>
      <w:tr w:rsidR="00B24A57" w:rsidRPr="009533D7" w:rsidTr="00FB1C49">
        <w:trPr>
          <w:trHeight w:val="368"/>
        </w:trPr>
        <w:tc>
          <w:tcPr>
            <w:tcW w:w="988" w:type="dxa"/>
            <w:vMerge/>
          </w:tcPr>
          <w:p w:rsidR="00CC1C03" w:rsidRPr="009533D7" w:rsidRDefault="00CC1C03" w:rsidP="00FB1C49">
            <w:pPr>
              <w:pStyle w:val="4"/>
              <w:numPr>
                <w:ilvl w:val="0"/>
                <w:numId w:val="0"/>
              </w:numPr>
              <w:rPr>
                <w:rFonts w:hAnsi="標楷體" w:cs="HiddenHorzOCR"/>
                <w:color w:val="000000" w:themeColor="text1"/>
                <w:kern w:val="0"/>
                <w:sz w:val="28"/>
                <w:szCs w:val="28"/>
              </w:rPr>
            </w:pPr>
          </w:p>
        </w:tc>
        <w:tc>
          <w:tcPr>
            <w:tcW w:w="2024" w:type="dxa"/>
          </w:tcPr>
          <w:p w:rsidR="00CC1C03" w:rsidRPr="009533D7" w:rsidRDefault="00CC1C03" w:rsidP="00FB1C49">
            <w:pPr>
              <w:pStyle w:val="4"/>
              <w:numPr>
                <w:ilvl w:val="0"/>
                <w:numId w:val="0"/>
              </w:numPr>
              <w:rPr>
                <w:rFonts w:hAnsi="標楷體"/>
                <w:color w:val="000000" w:themeColor="text1"/>
                <w:sz w:val="28"/>
                <w:szCs w:val="28"/>
              </w:rPr>
            </w:pPr>
            <w:proofErr w:type="gramStart"/>
            <w:r w:rsidRPr="009533D7">
              <w:rPr>
                <w:rFonts w:hAnsi="標楷體" w:cs="HiddenHorzOCR" w:hint="eastAsia"/>
                <w:color w:val="000000" w:themeColor="text1"/>
                <w:kern w:val="0"/>
                <w:sz w:val="28"/>
                <w:szCs w:val="28"/>
              </w:rPr>
              <w:t>油菜子油</w:t>
            </w:r>
            <w:proofErr w:type="gramEnd"/>
          </w:p>
        </w:tc>
        <w:tc>
          <w:tcPr>
            <w:tcW w:w="2198" w:type="dxa"/>
          </w:tcPr>
          <w:p w:rsidR="00CC1C03" w:rsidRPr="009533D7" w:rsidRDefault="00CC1C03" w:rsidP="00FB1C49">
            <w:pPr>
              <w:pStyle w:val="4"/>
              <w:numPr>
                <w:ilvl w:val="0"/>
                <w:numId w:val="0"/>
              </w:numPr>
              <w:jc w:val="right"/>
              <w:rPr>
                <w:rFonts w:hAnsi="標楷體" w:cs="HiddenHorzOCR"/>
                <w:color w:val="000000" w:themeColor="text1"/>
                <w:kern w:val="0"/>
                <w:sz w:val="28"/>
                <w:szCs w:val="28"/>
              </w:rPr>
            </w:pPr>
            <w:r w:rsidRPr="009533D7">
              <w:rPr>
                <w:rFonts w:hAnsi="標楷體" w:cs="HiddenHorzOCR"/>
                <w:color w:val="000000" w:themeColor="text1"/>
                <w:kern w:val="0"/>
                <w:sz w:val="28"/>
                <w:szCs w:val="28"/>
              </w:rPr>
              <w:t>30,778.05</w:t>
            </w:r>
          </w:p>
        </w:tc>
        <w:tc>
          <w:tcPr>
            <w:tcW w:w="1540" w:type="dxa"/>
          </w:tcPr>
          <w:p w:rsidR="00CC1C03" w:rsidRPr="009533D7" w:rsidRDefault="00CC1C03" w:rsidP="00FB1C49">
            <w:pPr>
              <w:pStyle w:val="4"/>
              <w:numPr>
                <w:ilvl w:val="0"/>
                <w:numId w:val="0"/>
              </w:numPr>
              <w:ind w:rightChars="22" w:right="75"/>
              <w:jc w:val="right"/>
              <w:rPr>
                <w:rFonts w:hAnsi="標楷體" w:cs="HiddenHorzOCR"/>
                <w:color w:val="000000" w:themeColor="text1"/>
                <w:kern w:val="0"/>
                <w:sz w:val="28"/>
                <w:szCs w:val="28"/>
              </w:rPr>
            </w:pPr>
            <w:r w:rsidRPr="009533D7">
              <w:rPr>
                <w:rFonts w:hAnsi="標楷體" w:cs="HiddenHorzOCR"/>
                <w:color w:val="000000" w:themeColor="text1"/>
                <w:kern w:val="0"/>
                <w:sz w:val="28"/>
                <w:szCs w:val="28"/>
              </w:rPr>
              <w:t>11.07</w:t>
            </w:r>
          </w:p>
        </w:tc>
      </w:tr>
      <w:tr w:rsidR="00B24A57" w:rsidRPr="009533D7" w:rsidTr="00FB1C49">
        <w:trPr>
          <w:trHeight w:val="368"/>
        </w:trPr>
        <w:tc>
          <w:tcPr>
            <w:tcW w:w="988" w:type="dxa"/>
            <w:vMerge/>
          </w:tcPr>
          <w:p w:rsidR="00CC1C03" w:rsidRPr="009533D7" w:rsidRDefault="00CC1C03" w:rsidP="00FB1C49">
            <w:pPr>
              <w:pStyle w:val="4"/>
              <w:numPr>
                <w:ilvl w:val="0"/>
                <w:numId w:val="0"/>
              </w:numPr>
              <w:rPr>
                <w:rFonts w:hAnsi="標楷體" w:cs="HiddenHorzOCR"/>
                <w:color w:val="000000" w:themeColor="text1"/>
                <w:kern w:val="0"/>
                <w:sz w:val="28"/>
                <w:szCs w:val="28"/>
              </w:rPr>
            </w:pPr>
          </w:p>
        </w:tc>
        <w:tc>
          <w:tcPr>
            <w:tcW w:w="2024" w:type="dxa"/>
          </w:tcPr>
          <w:p w:rsidR="00CC1C03" w:rsidRPr="009533D7" w:rsidRDefault="00CC1C03" w:rsidP="00FB1C49">
            <w:pPr>
              <w:pStyle w:val="4"/>
              <w:numPr>
                <w:ilvl w:val="0"/>
                <w:numId w:val="0"/>
              </w:numPr>
              <w:rPr>
                <w:rFonts w:hAnsi="標楷體"/>
                <w:color w:val="000000" w:themeColor="text1"/>
                <w:sz w:val="28"/>
                <w:szCs w:val="28"/>
              </w:rPr>
            </w:pPr>
            <w:r w:rsidRPr="009533D7">
              <w:rPr>
                <w:rFonts w:hAnsi="標楷體" w:cs="HiddenHorzOCR" w:hint="eastAsia"/>
                <w:color w:val="000000" w:themeColor="text1"/>
                <w:kern w:val="0"/>
                <w:sz w:val="28"/>
                <w:szCs w:val="28"/>
              </w:rPr>
              <w:t>葵花子油</w:t>
            </w:r>
          </w:p>
        </w:tc>
        <w:tc>
          <w:tcPr>
            <w:tcW w:w="2198" w:type="dxa"/>
          </w:tcPr>
          <w:p w:rsidR="00CC1C03" w:rsidRPr="009533D7" w:rsidRDefault="00CC1C03" w:rsidP="00FB1C49">
            <w:pPr>
              <w:pStyle w:val="4"/>
              <w:numPr>
                <w:ilvl w:val="0"/>
                <w:numId w:val="0"/>
              </w:numPr>
              <w:jc w:val="right"/>
              <w:rPr>
                <w:rFonts w:hAnsi="標楷體" w:cs="HiddenHorzOCR"/>
                <w:color w:val="000000" w:themeColor="text1"/>
                <w:kern w:val="0"/>
                <w:sz w:val="28"/>
                <w:szCs w:val="28"/>
              </w:rPr>
            </w:pPr>
            <w:r w:rsidRPr="009533D7">
              <w:rPr>
                <w:rFonts w:hAnsi="標楷體" w:cs="HiddenHorzOCR"/>
                <w:color w:val="000000" w:themeColor="text1"/>
                <w:kern w:val="0"/>
                <w:sz w:val="28"/>
                <w:szCs w:val="28"/>
              </w:rPr>
              <w:t>18,708.16</w:t>
            </w:r>
          </w:p>
        </w:tc>
        <w:tc>
          <w:tcPr>
            <w:tcW w:w="1540" w:type="dxa"/>
          </w:tcPr>
          <w:p w:rsidR="00CC1C03" w:rsidRPr="009533D7" w:rsidRDefault="00CC1C03" w:rsidP="00FB1C49">
            <w:pPr>
              <w:pStyle w:val="4"/>
              <w:numPr>
                <w:ilvl w:val="0"/>
                <w:numId w:val="0"/>
              </w:numPr>
              <w:ind w:rightChars="22" w:right="75"/>
              <w:jc w:val="right"/>
              <w:rPr>
                <w:rFonts w:hAnsi="標楷體" w:cs="HiddenHorzOCR"/>
                <w:color w:val="000000" w:themeColor="text1"/>
                <w:kern w:val="0"/>
                <w:sz w:val="28"/>
                <w:szCs w:val="28"/>
              </w:rPr>
            </w:pPr>
            <w:r w:rsidRPr="009533D7">
              <w:rPr>
                <w:rFonts w:hAnsi="標楷體" w:cs="HiddenHorzOCR" w:hint="eastAsia"/>
                <w:color w:val="000000" w:themeColor="text1"/>
                <w:kern w:val="0"/>
                <w:sz w:val="28"/>
                <w:szCs w:val="28"/>
              </w:rPr>
              <w:t>6.73</w:t>
            </w:r>
          </w:p>
        </w:tc>
      </w:tr>
      <w:tr w:rsidR="00B24A57" w:rsidRPr="009533D7" w:rsidTr="00FB1C49">
        <w:trPr>
          <w:trHeight w:val="181"/>
        </w:trPr>
        <w:tc>
          <w:tcPr>
            <w:tcW w:w="988" w:type="dxa"/>
            <w:vMerge w:val="restart"/>
          </w:tcPr>
          <w:p w:rsidR="00CC1C03" w:rsidRPr="009533D7" w:rsidRDefault="00CC1C03" w:rsidP="00FB1C49">
            <w:pPr>
              <w:pStyle w:val="4"/>
              <w:numPr>
                <w:ilvl w:val="0"/>
                <w:numId w:val="0"/>
              </w:numPr>
              <w:rPr>
                <w:rFonts w:hAnsi="標楷體"/>
                <w:color w:val="000000" w:themeColor="text1"/>
                <w:sz w:val="28"/>
                <w:szCs w:val="28"/>
              </w:rPr>
            </w:pPr>
            <w:r w:rsidRPr="009533D7">
              <w:rPr>
                <w:rFonts w:hAnsi="標楷體" w:hint="eastAsia"/>
                <w:color w:val="000000" w:themeColor="text1"/>
                <w:sz w:val="28"/>
                <w:szCs w:val="28"/>
              </w:rPr>
              <w:t>109</w:t>
            </w:r>
            <w:r w:rsidRPr="009533D7">
              <w:rPr>
                <w:rFonts w:hAnsi="標楷體" w:cs="新細明體" w:hint="eastAsia"/>
                <w:color w:val="000000" w:themeColor="text1"/>
                <w:kern w:val="0"/>
                <w:sz w:val="28"/>
                <w:szCs w:val="28"/>
              </w:rPr>
              <w:t>年</w:t>
            </w:r>
          </w:p>
        </w:tc>
        <w:tc>
          <w:tcPr>
            <w:tcW w:w="2024" w:type="dxa"/>
          </w:tcPr>
          <w:p w:rsidR="00CC1C03" w:rsidRPr="009533D7" w:rsidRDefault="00CC1C03" w:rsidP="00FB1C49">
            <w:pPr>
              <w:pStyle w:val="4"/>
              <w:numPr>
                <w:ilvl w:val="0"/>
                <w:numId w:val="0"/>
              </w:numPr>
              <w:rPr>
                <w:rFonts w:hAnsi="標楷體"/>
                <w:color w:val="000000" w:themeColor="text1"/>
                <w:sz w:val="28"/>
                <w:szCs w:val="28"/>
              </w:rPr>
            </w:pPr>
            <w:r w:rsidRPr="009533D7">
              <w:rPr>
                <w:rFonts w:hAnsi="標楷體" w:cs="HiddenHorzOCR" w:hint="eastAsia"/>
                <w:color w:val="000000" w:themeColor="text1"/>
                <w:kern w:val="0"/>
                <w:sz w:val="28"/>
                <w:szCs w:val="28"/>
              </w:rPr>
              <w:t>棕櫚油</w:t>
            </w:r>
          </w:p>
        </w:tc>
        <w:tc>
          <w:tcPr>
            <w:tcW w:w="2198" w:type="dxa"/>
          </w:tcPr>
          <w:p w:rsidR="00CC1C03" w:rsidRPr="009533D7" w:rsidRDefault="00CC1C03" w:rsidP="00FB1C49">
            <w:pPr>
              <w:pStyle w:val="4"/>
              <w:numPr>
                <w:ilvl w:val="0"/>
                <w:numId w:val="0"/>
              </w:numPr>
              <w:jc w:val="right"/>
              <w:rPr>
                <w:rFonts w:hAnsi="標楷體"/>
                <w:color w:val="000000" w:themeColor="text1"/>
                <w:sz w:val="28"/>
                <w:szCs w:val="28"/>
              </w:rPr>
            </w:pPr>
            <w:r w:rsidRPr="009533D7">
              <w:rPr>
                <w:rFonts w:hAnsi="標楷體"/>
                <w:color w:val="000000" w:themeColor="text1"/>
                <w:kern w:val="0"/>
                <w:sz w:val="28"/>
                <w:szCs w:val="28"/>
              </w:rPr>
              <w:t>177,945.48</w:t>
            </w:r>
          </w:p>
        </w:tc>
        <w:tc>
          <w:tcPr>
            <w:tcW w:w="1540" w:type="dxa"/>
          </w:tcPr>
          <w:p w:rsidR="00CC1C03" w:rsidRPr="009533D7" w:rsidRDefault="00CC1C03" w:rsidP="00FB1C49">
            <w:pPr>
              <w:pStyle w:val="4"/>
              <w:numPr>
                <w:ilvl w:val="0"/>
                <w:numId w:val="0"/>
              </w:numPr>
              <w:ind w:rightChars="22" w:right="75"/>
              <w:jc w:val="right"/>
              <w:rPr>
                <w:rFonts w:hAnsi="標楷體"/>
                <w:color w:val="000000" w:themeColor="text1"/>
                <w:sz w:val="28"/>
                <w:szCs w:val="28"/>
              </w:rPr>
            </w:pPr>
            <w:r w:rsidRPr="009533D7">
              <w:rPr>
                <w:rFonts w:hAnsi="標楷體"/>
                <w:color w:val="000000" w:themeColor="text1"/>
                <w:kern w:val="0"/>
                <w:sz w:val="28"/>
                <w:szCs w:val="28"/>
              </w:rPr>
              <w:t>62.05%</w:t>
            </w:r>
          </w:p>
        </w:tc>
      </w:tr>
      <w:tr w:rsidR="00B24A57" w:rsidRPr="009533D7" w:rsidTr="00FB1C49">
        <w:trPr>
          <w:trHeight w:val="368"/>
        </w:trPr>
        <w:tc>
          <w:tcPr>
            <w:tcW w:w="988" w:type="dxa"/>
            <w:vMerge/>
          </w:tcPr>
          <w:p w:rsidR="00CC1C03" w:rsidRPr="009533D7" w:rsidRDefault="00CC1C03" w:rsidP="00FB1C49">
            <w:pPr>
              <w:pStyle w:val="4"/>
              <w:numPr>
                <w:ilvl w:val="0"/>
                <w:numId w:val="0"/>
              </w:numPr>
              <w:rPr>
                <w:rFonts w:hAnsi="標楷體"/>
                <w:color w:val="000000" w:themeColor="text1"/>
                <w:sz w:val="28"/>
                <w:szCs w:val="28"/>
              </w:rPr>
            </w:pPr>
          </w:p>
        </w:tc>
        <w:tc>
          <w:tcPr>
            <w:tcW w:w="2024" w:type="dxa"/>
          </w:tcPr>
          <w:p w:rsidR="00CC1C03" w:rsidRPr="009533D7" w:rsidRDefault="00CC1C03" w:rsidP="00FB1C49">
            <w:pPr>
              <w:pStyle w:val="4"/>
              <w:numPr>
                <w:ilvl w:val="0"/>
                <w:numId w:val="0"/>
              </w:numPr>
              <w:rPr>
                <w:rFonts w:hAnsi="標楷體"/>
                <w:color w:val="000000" w:themeColor="text1"/>
                <w:sz w:val="28"/>
                <w:szCs w:val="28"/>
              </w:rPr>
            </w:pPr>
            <w:proofErr w:type="gramStart"/>
            <w:r w:rsidRPr="009533D7">
              <w:rPr>
                <w:rFonts w:hAnsi="標楷體" w:cs="HiddenHorzOCR" w:hint="eastAsia"/>
                <w:color w:val="000000" w:themeColor="text1"/>
                <w:kern w:val="0"/>
                <w:sz w:val="28"/>
                <w:szCs w:val="28"/>
              </w:rPr>
              <w:t>油菜子油</w:t>
            </w:r>
            <w:proofErr w:type="gramEnd"/>
          </w:p>
        </w:tc>
        <w:tc>
          <w:tcPr>
            <w:tcW w:w="2198" w:type="dxa"/>
          </w:tcPr>
          <w:p w:rsidR="00CC1C03" w:rsidRPr="009533D7" w:rsidRDefault="00CC1C03" w:rsidP="00FB1C49">
            <w:pPr>
              <w:pStyle w:val="4"/>
              <w:numPr>
                <w:ilvl w:val="0"/>
                <w:numId w:val="0"/>
              </w:numPr>
              <w:jc w:val="right"/>
              <w:rPr>
                <w:rFonts w:hAnsi="標楷體"/>
                <w:color w:val="000000" w:themeColor="text1"/>
                <w:sz w:val="28"/>
                <w:szCs w:val="28"/>
              </w:rPr>
            </w:pPr>
            <w:r w:rsidRPr="009533D7">
              <w:rPr>
                <w:rFonts w:hAnsi="標楷體"/>
                <w:color w:val="000000" w:themeColor="text1"/>
                <w:kern w:val="0"/>
                <w:sz w:val="28"/>
                <w:szCs w:val="28"/>
              </w:rPr>
              <w:t>32,813.89</w:t>
            </w:r>
          </w:p>
        </w:tc>
        <w:tc>
          <w:tcPr>
            <w:tcW w:w="1540" w:type="dxa"/>
          </w:tcPr>
          <w:p w:rsidR="00CC1C03" w:rsidRPr="009533D7" w:rsidRDefault="00CC1C03" w:rsidP="00FB1C49">
            <w:pPr>
              <w:pStyle w:val="4"/>
              <w:numPr>
                <w:ilvl w:val="0"/>
                <w:numId w:val="0"/>
              </w:numPr>
              <w:ind w:rightChars="22" w:right="75"/>
              <w:jc w:val="right"/>
              <w:rPr>
                <w:rFonts w:hAnsi="標楷體"/>
                <w:color w:val="000000" w:themeColor="text1"/>
                <w:sz w:val="28"/>
                <w:szCs w:val="28"/>
              </w:rPr>
            </w:pPr>
            <w:r w:rsidRPr="009533D7">
              <w:rPr>
                <w:rFonts w:hAnsi="標楷體"/>
                <w:color w:val="000000" w:themeColor="text1"/>
                <w:kern w:val="0"/>
                <w:sz w:val="28"/>
                <w:szCs w:val="28"/>
              </w:rPr>
              <w:t>11.44%</w:t>
            </w:r>
          </w:p>
        </w:tc>
      </w:tr>
      <w:tr w:rsidR="00B24A57" w:rsidRPr="009533D7" w:rsidTr="00FB1C49">
        <w:trPr>
          <w:trHeight w:val="368"/>
        </w:trPr>
        <w:tc>
          <w:tcPr>
            <w:tcW w:w="988" w:type="dxa"/>
            <w:vMerge/>
          </w:tcPr>
          <w:p w:rsidR="00CC1C03" w:rsidRPr="009533D7" w:rsidRDefault="00CC1C03" w:rsidP="00FB1C49">
            <w:pPr>
              <w:pStyle w:val="4"/>
              <w:numPr>
                <w:ilvl w:val="0"/>
                <w:numId w:val="0"/>
              </w:numPr>
              <w:rPr>
                <w:rFonts w:hAnsi="標楷體"/>
                <w:color w:val="000000" w:themeColor="text1"/>
                <w:sz w:val="28"/>
                <w:szCs w:val="28"/>
              </w:rPr>
            </w:pPr>
          </w:p>
        </w:tc>
        <w:tc>
          <w:tcPr>
            <w:tcW w:w="2024" w:type="dxa"/>
          </w:tcPr>
          <w:p w:rsidR="00CC1C03" w:rsidRPr="009533D7" w:rsidRDefault="00CC1C03" w:rsidP="00FB1C49">
            <w:pPr>
              <w:pStyle w:val="4"/>
              <w:numPr>
                <w:ilvl w:val="0"/>
                <w:numId w:val="0"/>
              </w:numPr>
              <w:rPr>
                <w:rFonts w:hAnsi="標楷體"/>
                <w:color w:val="000000" w:themeColor="text1"/>
                <w:sz w:val="28"/>
                <w:szCs w:val="28"/>
              </w:rPr>
            </w:pPr>
            <w:r w:rsidRPr="009533D7">
              <w:rPr>
                <w:rFonts w:hAnsi="標楷體" w:cs="HiddenHorzOCR" w:hint="eastAsia"/>
                <w:color w:val="000000" w:themeColor="text1"/>
                <w:kern w:val="0"/>
                <w:sz w:val="28"/>
                <w:szCs w:val="28"/>
              </w:rPr>
              <w:t>葵花子油</w:t>
            </w:r>
          </w:p>
        </w:tc>
        <w:tc>
          <w:tcPr>
            <w:tcW w:w="2198" w:type="dxa"/>
          </w:tcPr>
          <w:p w:rsidR="00CC1C03" w:rsidRPr="009533D7" w:rsidRDefault="00CC1C03" w:rsidP="00FB1C49">
            <w:pPr>
              <w:pStyle w:val="4"/>
              <w:numPr>
                <w:ilvl w:val="0"/>
                <w:numId w:val="0"/>
              </w:numPr>
              <w:jc w:val="right"/>
              <w:rPr>
                <w:rFonts w:hAnsi="標楷體"/>
                <w:color w:val="000000" w:themeColor="text1"/>
                <w:sz w:val="28"/>
                <w:szCs w:val="28"/>
              </w:rPr>
            </w:pPr>
            <w:r w:rsidRPr="009533D7">
              <w:rPr>
                <w:rFonts w:hAnsi="標楷體"/>
                <w:color w:val="000000" w:themeColor="text1"/>
                <w:kern w:val="0"/>
                <w:sz w:val="28"/>
                <w:szCs w:val="28"/>
              </w:rPr>
              <w:t>18,156.76</w:t>
            </w:r>
          </w:p>
        </w:tc>
        <w:tc>
          <w:tcPr>
            <w:tcW w:w="1540" w:type="dxa"/>
          </w:tcPr>
          <w:p w:rsidR="00CC1C03" w:rsidRPr="009533D7" w:rsidRDefault="00CC1C03" w:rsidP="00FB1C49">
            <w:pPr>
              <w:pStyle w:val="4"/>
              <w:numPr>
                <w:ilvl w:val="0"/>
                <w:numId w:val="0"/>
              </w:numPr>
              <w:ind w:rightChars="22" w:right="75"/>
              <w:jc w:val="right"/>
              <w:rPr>
                <w:rFonts w:hAnsi="標楷體"/>
                <w:color w:val="000000" w:themeColor="text1"/>
                <w:sz w:val="28"/>
                <w:szCs w:val="28"/>
              </w:rPr>
            </w:pPr>
            <w:r w:rsidRPr="009533D7">
              <w:rPr>
                <w:rFonts w:hAnsi="標楷體" w:hint="eastAsia"/>
                <w:color w:val="000000" w:themeColor="text1"/>
                <w:sz w:val="28"/>
                <w:szCs w:val="28"/>
              </w:rPr>
              <w:t>6.33</w:t>
            </w:r>
          </w:p>
        </w:tc>
      </w:tr>
      <w:tr w:rsidR="00B24A57" w:rsidRPr="009533D7" w:rsidTr="00FB1C49">
        <w:trPr>
          <w:trHeight w:val="186"/>
        </w:trPr>
        <w:tc>
          <w:tcPr>
            <w:tcW w:w="988" w:type="dxa"/>
            <w:vMerge w:val="restart"/>
          </w:tcPr>
          <w:p w:rsidR="00CC1C03" w:rsidRPr="009533D7" w:rsidRDefault="00CC1C03" w:rsidP="00FB1C49">
            <w:pPr>
              <w:pStyle w:val="4"/>
              <w:numPr>
                <w:ilvl w:val="0"/>
                <w:numId w:val="0"/>
              </w:numPr>
              <w:rPr>
                <w:rFonts w:hAnsi="標楷體"/>
                <w:color w:val="000000" w:themeColor="text1"/>
                <w:sz w:val="28"/>
                <w:szCs w:val="28"/>
              </w:rPr>
            </w:pPr>
            <w:r w:rsidRPr="009533D7">
              <w:rPr>
                <w:rFonts w:hAnsi="標楷體" w:hint="eastAsia"/>
                <w:color w:val="000000" w:themeColor="text1"/>
                <w:sz w:val="28"/>
                <w:szCs w:val="28"/>
              </w:rPr>
              <w:t>110年</w:t>
            </w:r>
          </w:p>
        </w:tc>
        <w:tc>
          <w:tcPr>
            <w:tcW w:w="2024" w:type="dxa"/>
          </w:tcPr>
          <w:p w:rsidR="00CC1C03" w:rsidRPr="009533D7" w:rsidRDefault="00CC1C03" w:rsidP="00FB1C49">
            <w:pPr>
              <w:pStyle w:val="4"/>
              <w:numPr>
                <w:ilvl w:val="0"/>
                <w:numId w:val="0"/>
              </w:numPr>
              <w:rPr>
                <w:rFonts w:hAnsi="標楷體"/>
                <w:color w:val="000000" w:themeColor="text1"/>
                <w:sz w:val="28"/>
                <w:szCs w:val="28"/>
              </w:rPr>
            </w:pPr>
            <w:r w:rsidRPr="009533D7">
              <w:rPr>
                <w:rFonts w:hAnsi="標楷體" w:cs="HiddenHorzOCR" w:hint="eastAsia"/>
                <w:color w:val="000000" w:themeColor="text1"/>
                <w:kern w:val="0"/>
                <w:sz w:val="28"/>
                <w:szCs w:val="28"/>
              </w:rPr>
              <w:t>棕櫚油</w:t>
            </w:r>
          </w:p>
        </w:tc>
        <w:tc>
          <w:tcPr>
            <w:tcW w:w="2198" w:type="dxa"/>
          </w:tcPr>
          <w:p w:rsidR="00CC1C03" w:rsidRPr="009533D7" w:rsidRDefault="00CC1C03" w:rsidP="00FB1C49">
            <w:pPr>
              <w:pStyle w:val="4"/>
              <w:numPr>
                <w:ilvl w:val="0"/>
                <w:numId w:val="0"/>
              </w:numPr>
              <w:jc w:val="right"/>
              <w:rPr>
                <w:rFonts w:hAnsi="標楷體"/>
                <w:color w:val="000000" w:themeColor="text1"/>
                <w:sz w:val="28"/>
                <w:szCs w:val="28"/>
              </w:rPr>
            </w:pPr>
            <w:r w:rsidRPr="009533D7">
              <w:rPr>
                <w:rFonts w:hAnsi="標楷體"/>
                <w:color w:val="000000" w:themeColor="text1"/>
                <w:kern w:val="0"/>
                <w:sz w:val="28"/>
                <w:szCs w:val="28"/>
              </w:rPr>
              <w:t>180,423.40</w:t>
            </w:r>
          </w:p>
        </w:tc>
        <w:tc>
          <w:tcPr>
            <w:tcW w:w="1540" w:type="dxa"/>
          </w:tcPr>
          <w:p w:rsidR="00CC1C03" w:rsidRPr="009533D7" w:rsidRDefault="00CC1C03" w:rsidP="00FB1C49">
            <w:pPr>
              <w:pStyle w:val="4"/>
              <w:numPr>
                <w:ilvl w:val="0"/>
                <w:numId w:val="0"/>
              </w:numPr>
              <w:ind w:rightChars="22" w:right="75"/>
              <w:jc w:val="right"/>
              <w:rPr>
                <w:rFonts w:hAnsi="標楷體"/>
                <w:color w:val="000000" w:themeColor="text1"/>
                <w:sz w:val="28"/>
                <w:szCs w:val="28"/>
              </w:rPr>
            </w:pPr>
            <w:r w:rsidRPr="009533D7">
              <w:rPr>
                <w:rFonts w:hAnsi="標楷體" w:hint="eastAsia"/>
                <w:color w:val="000000" w:themeColor="text1"/>
                <w:sz w:val="28"/>
                <w:szCs w:val="28"/>
              </w:rPr>
              <w:t>59.72</w:t>
            </w:r>
          </w:p>
        </w:tc>
      </w:tr>
      <w:tr w:rsidR="00B24A57" w:rsidRPr="009533D7" w:rsidTr="00FB1C49">
        <w:trPr>
          <w:trHeight w:val="368"/>
        </w:trPr>
        <w:tc>
          <w:tcPr>
            <w:tcW w:w="988" w:type="dxa"/>
            <w:vMerge/>
          </w:tcPr>
          <w:p w:rsidR="00CC1C03" w:rsidRPr="009533D7" w:rsidRDefault="00CC1C03" w:rsidP="00FB1C49">
            <w:pPr>
              <w:pStyle w:val="4"/>
              <w:numPr>
                <w:ilvl w:val="0"/>
                <w:numId w:val="0"/>
              </w:numPr>
              <w:rPr>
                <w:rFonts w:hAnsi="標楷體"/>
                <w:color w:val="000000" w:themeColor="text1"/>
                <w:sz w:val="28"/>
                <w:szCs w:val="28"/>
              </w:rPr>
            </w:pPr>
          </w:p>
        </w:tc>
        <w:tc>
          <w:tcPr>
            <w:tcW w:w="2024" w:type="dxa"/>
          </w:tcPr>
          <w:p w:rsidR="00CC1C03" w:rsidRPr="009533D7" w:rsidRDefault="00CC1C03" w:rsidP="00FB1C49">
            <w:pPr>
              <w:pStyle w:val="4"/>
              <w:numPr>
                <w:ilvl w:val="0"/>
                <w:numId w:val="0"/>
              </w:numPr>
              <w:rPr>
                <w:rFonts w:hAnsi="標楷體"/>
                <w:color w:val="000000" w:themeColor="text1"/>
                <w:sz w:val="28"/>
                <w:szCs w:val="28"/>
              </w:rPr>
            </w:pPr>
            <w:proofErr w:type="gramStart"/>
            <w:r w:rsidRPr="009533D7">
              <w:rPr>
                <w:rFonts w:hAnsi="標楷體" w:cs="HiddenHorzOCR" w:hint="eastAsia"/>
                <w:color w:val="000000" w:themeColor="text1"/>
                <w:kern w:val="0"/>
                <w:sz w:val="28"/>
                <w:szCs w:val="28"/>
              </w:rPr>
              <w:t>油菜子油</w:t>
            </w:r>
            <w:proofErr w:type="gramEnd"/>
          </w:p>
        </w:tc>
        <w:tc>
          <w:tcPr>
            <w:tcW w:w="2198" w:type="dxa"/>
          </w:tcPr>
          <w:p w:rsidR="00CC1C03" w:rsidRPr="009533D7" w:rsidRDefault="00CC1C03" w:rsidP="00FB1C49">
            <w:pPr>
              <w:pStyle w:val="4"/>
              <w:numPr>
                <w:ilvl w:val="0"/>
                <w:numId w:val="0"/>
              </w:numPr>
              <w:jc w:val="right"/>
              <w:rPr>
                <w:rFonts w:hAnsi="標楷體"/>
                <w:color w:val="000000" w:themeColor="text1"/>
                <w:sz w:val="28"/>
                <w:szCs w:val="28"/>
              </w:rPr>
            </w:pPr>
            <w:r w:rsidRPr="009533D7">
              <w:rPr>
                <w:rFonts w:hAnsi="標楷體"/>
                <w:color w:val="000000" w:themeColor="text1"/>
                <w:kern w:val="0"/>
                <w:sz w:val="28"/>
                <w:szCs w:val="28"/>
              </w:rPr>
              <w:t>36,238.47</w:t>
            </w:r>
          </w:p>
        </w:tc>
        <w:tc>
          <w:tcPr>
            <w:tcW w:w="1540" w:type="dxa"/>
          </w:tcPr>
          <w:p w:rsidR="00CC1C03" w:rsidRPr="009533D7" w:rsidRDefault="00CC1C03" w:rsidP="00FB1C49">
            <w:pPr>
              <w:pStyle w:val="4"/>
              <w:numPr>
                <w:ilvl w:val="0"/>
                <w:numId w:val="0"/>
              </w:numPr>
              <w:ind w:rightChars="22" w:right="75"/>
              <w:jc w:val="right"/>
              <w:rPr>
                <w:rFonts w:hAnsi="標楷體"/>
                <w:color w:val="000000" w:themeColor="text1"/>
                <w:sz w:val="28"/>
                <w:szCs w:val="28"/>
              </w:rPr>
            </w:pPr>
            <w:r w:rsidRPr="009533D7">
              <w:rPr>
                <w:rFonts w:hAnsi="標楷體" w:hint="eastAsia"/>
                <w:color w:val="000000" w:themeColor="text1"/>
                <w:sz w:val="28"/>
                <w:szCs w:val="28"/>
              </w:rPr>
              <w:t>12.00</w:t>
            </w:r>
          </w:p>
        </w:tc>
      </w:tr>
      <w:tr w:rsidR="00B24A57" w:rsidRPr="009533D7" w:rsidTr="00FB1C49">
        <w:trPr>
          <w:trHeight w:val="368"/>
        </w:trPr>
        <w:tc>
          <w:tcPr>
            <w:tcW w:w="988" w:type="dxa"/>
            <w:vMerge/>
          </w:tcPr>
          <w:p w:rsidR="00CC1C03" w:rsidRPr="009533D7" w:rsidRDefault="00CC1C03" w:rsidP="00FB1C49">
            <w:pPr>
              <w:pStyle w:val="4"/>
              <w:numPr>
                <w:ilvl w:val="0"/>
                <w:numId w:val="0"/>
              </w:numPr>
              <w:rPr>
                <w:rFonts w:hAnsi="標楷體"/>
                <w:color w:val="000000" w:themeColor="text1"/>
                <w:sz w:val="28"/>
                <w:szCs w:val="28"/>
              </w:rPr>
            </w:pPr>
          </w:p>
        </w:tc>
        <w:tc>
          <w:tcPr>
            <w:tcW w:w="2024" w:type="dxa"/>
          </w:tcPr>
          <w:p w:rsidR="00CC1C03" w:rsidRPr="009533D7" w:rsidRDefault="00CC1C03" w:rsidP="00FB1C49">
            <w:pPr>
              <w:pStyle w:val="4"/>
              <w:numPr>
                <w:ilvl w:val="0"/>
                <w:numId w:val="0"/>
              </w:numPr>
              <w:rPr>
                <w:rFonts w:hAnsi="標楷體" w:cs="HiddenHorzOCR"/>
                <w:color w:val="000000" w:themeColor="text1"/>
                <w:kern w:val="0"/>
                <w:sz w:val="28"/>
                <w:szCs w:val="28"/>
              </w:rPr>
            </w:pPr>
            <w:r w:rsidRPr="009533D7">
              <w:rPr>
                <w:rFonts w:hAnsi="標楷體" w:cs="HiddenHorzOCR" w:hint="eastAsia"/>
                <w:color w:val="000000" w:themeColor="text1"/>
                <w:kern w:val="0"/>
                <w:sz w:val="28"/>
                <w:szCs w:val="28"/>
              </w:rPr>
              <w:t>葵花子油</w:t>
            </w:r>
          </w:p>
        </w:tc>
        <w:tc>
          <w:tcPr>
            <w:tcW w:w="2198" w:type="dxa"/>
          </w:tcPr>
          <w:p w:rsidR="00CC1C03" w:rsidRPr="009533D7" w:rsidRDefault="00CC1C03" w:rsidP="00FB1C49">
            <w:pPr>
              <w:pStyle w:val="4"/>
              <w:numPr>
                <w:ilvl w:val="0"/>
                <w:numId w:val="0"/>
              </w:numPr>
              <w:jc w:val="right"/>
              <w:rPr>
                <w:rFonts w:hAnsi="標楷體"/>
                <w:color w:val="000000" w:themeColor="text1"/>
                <w:kern w:val="0"/>
                <w:sz w:val="28"/>
                <w:szCs w:val="28"/>
              </w:rPr>
            </w:pPr>
            <w:r w:rsidRPr="009533D7">
              <w:rPr>
                <w:rFonts w:hAnsi="標楷體"/>
                <w:color w:val="000000" w:themeColor="text1"/>
                <w:kern w:val="0"/>
                <w:sz w:val="28"/>
                <w:szCs w:val="28"/>
              </w:rPr>
              <w:t>22,872.90</w:t>
            </w:r>
          </w:p>
        </w:tc>
        <w:tc>
          <w:tcPr>
            <w:tcW w:w="1540" w:type="dxa"/>
          </w:tcPr>
          <w:p w:rsidR="00CC1C03" w:rsidRPr="009533D7" w:rsidRDefault="00CC1C03" w:rsidP="00FB1C49">
            <w:pPr>
              <w:pStyle w:val="4"/>
              <w:numPr>
                <w:ilvl w:val="0"/>
                <w:numId w:val="0"/>
              </w:numPr>
              <w:ind w:rightChars="22" w:right="75"/>
              <w:jc w:val="right"/>
              <w:rPr>
                <w:rFonts w:hAnsi="標楷體"/>
                <w:color w:val="000000" w:themeColor="text1"/>
                <w:sz w:val="28"/>
                <w:szCs w:val="28"/>
              </w:rPr>
            </w:pPr>
            <w:r w:rsidRPr="009533D7">
              <w:rPr>
                <w:rFonts w:hAnsi="標楷體"/>
                <w:color w:val="000000" w:themeColor="text1"/>
                <w:kern w:val="0"/>
                <w:sz w:val="28"/>
                <w:szCs w:val="28"/>
              </w:rPr>
              <w:t>7.57</w:t>
            </w:r>
          </w:p>
        </w:tc>
      </w:tr>
    </w:tbl>
    <w:p w:rsidR="00CC1C03" w:rsidRPr="009533D7" w:rsidRDefault="00CC1C03" w:rsidP="00CC1C03">
      <w:pPr>
        <w:pStyle w:val="4"/>
        <w:numPr>
          <w:ilvl w:val="0"/>
          <w:numId w:val="0"/>
        </w:numPr>
        <w:ind w:left="1701"/>
        <w:rPr>
          <w:color w:val="000000" w:themeColor="text1"/>
          <w:sz w:val="24"/>
          <w:szCs w:val="24"/>
        </w:rPr>
      </w:pPr>
      <w:r w:rsidRPr="009533D7">
        <w:rPr>
          <w:rFonts w:hint="eastAsia"/>
          <w:color w:val="000000" w:themeColor="text1"/>
          <w:sz w:val="24"/>
          <w:szCs w:val="24"/>
        </w:rPr>
        <w:lastRenderedPageBreak/>
        <w:t>資料來源：</w:t>
      </w:r>
      <w:proofErr w:type="gramStart"/>
      <w:r w:rsidRPr="009533D7">
        <w:rPr>
          <w:rFonts w:hint="eastAsia"/>
          <w:color w:val="000000" w:themeColor="text1"/>
          <w:sz w:val="24"/>
          <w:szCs w:val="24"/>
        </w:rPr>
        <w:t>衛福部</w:t>
      </w:r>
      <w:proofErr w:type="gramEnd"/>
    </w:p>
    <w:p w:rsidR="00CC1C03" w:rsidRPr="009533D7" w:rsidRDefault="00CC1C03" w:rsidP="00782987">
      <w:pPr>
        <w:rPr>
          <w:color w:val="000000" w:themeColor="text1"/>
        </w:rPr>
      </w:pPr>
    </w:p>
    <w:p w:rsidR="007801C0" w:rsidRPr="009533D7" w:rsidRDefault="007801C0" w:rsidP="005C35CD">
      <w:pPr>
        <w:pStyle w:val="32"/>
        <w:ind w:left="1361" w:firstLine="680"/>
        <w:rPr>
          <w:color w:val="000000" w:themeColor="text1"/>
        </w:rPr>
      </w:pPr>
      <w:r w:rsidRPr="009533D7">
        <w:rPr>
          <w:rFonts w:hint="eastAsia"/>
          <w:color w:val="000000" w:themeColor="text1"/>
        </w:rPr>
        <w:t>至於供應國家，我國輸入的棕櫚油以馬來西亞為最主要供應國，</w:t>
      </w:r>
      <w:r w:rsidR="00CC1C03" w:rsidRPr="009533D7">
        <w:rPr>
          <w:rFonts w:hint="eastAsia"/>
          <w:color w:val="000000" w:themeColor="text1"/>
        </w:rPr>
        <w:t>近5年(106-110年)各年度自</w:t>
      </w:r>
      <w:r w:rsidR="002D02B1">
        <w:rPr>
          <w:rFonts w:hint="eastAsia"/>
          <w:color w:val="000000" w:themeColor="text1"/>
        </w:rPr>
        <w:t>馬來西亞</w:t>
      </w:r>
      <w:r w:rsidR="00CC1C03" w:rsidRPr="009533D7">
        <w:rPr>
          <w:rFonts w:hint="eastAsia"/>
          <w:color w:val="000000" w:themeColor="text1"/>
        </w:rPr>
        <w:t>輸入量分別達</w:t>
      </w:r>
      <w:r w:rsidR="00CC1C03" w:rsidRPr="009533D7">
        <w:rPr>
          <w:color w:val="000000" w:themeColor="text1"/>
        </w:rPr>
        <w:t>16</w:t>
      </w:r>
      <w:r w:rsidR="00CC1C03" w:rsidRPr="009533D7">
        <w:rPr>
          <w:rFonts w:hint="eastAsia"/>
          <w:color w:val="000000" w:themeColor="text1"/>
        </w:rPr>
        <w:t>萬</w:t>
      </w:r>
      <w:r w:rsidR="00CC1C03" w:rsidRPr="009533D7">
        <w:rPr>
          <w:color w:val="000000" w:themeColor="text1"/>
        </w:rPr>
        <w:t>4,68</w:t>
      </w:r>
      <w:r w:rsidR="00CC1C03" w:rsidRPr="009533D7">
        <w:rPr>
          <w:rFonts w:hint="eastAsia"/>
          <w:color w:val="000000" w:themeColor="text1"/>
        </w:rPr>
        <w:t>3、</w:t>
      </w:r>
      <w:r w:rsidR="00CC1C03" w:rsidRPr="009533D7">
        <w:rPr>
          <w:color w:val="000000" w:themeColor="text1"/>
        </w:rPr>
        <w:t>17</w:t>
      </w:r>
      <w:r w:rsidR="00CC1C03" w:rsidRPr="009533D7">
        <w:rPr>
          <w:rFonts w:hint="eastAsia"/>
          <w:color w:val="000000" w:themeColor="text1"/>
        </w:rPr>
        <w:t>萬</w:t>
      </w:r>
      <w:r w:rsidR="00CC1C03" w:rsidRPr="009533D7">
        <w:rPr>
          <w:color w:val="000000" w:themeColor="text1"/>
        </w:rPr>
        <w:t>2,273</w:t>
      </w:r>
      <w:r w:rsidR="00CC1C03" w:rsidRPr="009533D7">
        <w:rPr>
          <w:rFonts w:hint="eastAsia"/>
          <w:color w:val="000000" w:themeColor="text1"/>
        </w:rPr>
        <w:t>、</w:t>
      </w:r>
      <w:r w:rsidR="00CC1C03" w:rsidRPr="009533D7">
        <w:rPr>
          <w:color w:val="000000" w:themeColor="text1"/>
        </w:rPr>
        <w:t>16</w:t>
      </w:r>
      <w:r w:rsidR="00CC1C03" w:rsidRPr="009533D7">
        <w:rPr>
          <w:rFonts w:hint="eastAsia"/>
          <w:color w:val="000000" w:themeColor="text1"/>
        </w:rPr>
        <w:t>萬</w:t>
      </w:r>
      <w:r w:rsidR="00CC1C03" w:rsidRPr="009533D7">
        <w:rPr>
          <w:color w:val="000000" w:themeColor="text1"/>
        </w:rPr>
        <w:t>8,55</w:t>
      </w:r>
      <w:r w:rsidR="00CC1C03" w:rsidRPr="009533D7">
        <w:rPr>
          <w:rFonts w:hint="eastAsia"/>
          <w:color w:val="000000" w:themeColor="text1"/>
        </w:rPr>
        <w:t>1、</w:t>
      </w:r>
      <w:r w:rsidR="00CC1C03" w:rsidRPr="009533D7">
        <w:rPr>
          <w:color w:val="000000" w:themeColor="text1"/>
        </w:rPr>
        <w:t>17</w:t>
      </w:r>
      <w:r w:rsidR="00CC1C03" w:rsidRPr="009533D7">
        <w:rPr>
          <w:rFonts w:hint="eastAsia"/>
          <w:color w:val="000000" w:themeColor="text1"/>
        </w:rPr>
        <w:t>萬</w:t>
      </w:r>
      <w:r w:rsidR="00CC1C03" w:rsidRPr="009533D7">
        <w:rPr>
          <w:color w:val="000000" w:themeColor="text1"/>
        </w:rPr>
        <w:t>3,158</w:t>
      </w:r>
      <w:r w:rsidR="00CC1C03" w:rsidRPr="009533D7">
        <w:rPr>
          <w:rFonts w:hint="eastAsia"/>
          <w:color w:val="000000" w:themeColor="text1"/>
        </w:rPr>
        <w:t>及</w:t>
      </w:r>
      <w:r w:rsidR="00CC1C03" w:rsidRPr="009533D7">
        <w:rPr>
          <w:color w:val="000000" w:themeColor="text1"/>
        </w:rPr>
        <w:t>17</w:t>
      </w:r>
      <w:r w:rsidR="00CC1C03" w:rsidRPr="009533D7">
        <w:rPr>
          <w:rFonts w:hint="eastAsia"/>
          <w:color w:val="000000" w:themeColor="text1"/>
        </w:rPr>
        <w:t>萬</w:t>
      </w:r>
      <w:r w:rsidR="00CC1C03" w:rsidRPr="009533D7">
        <w:rPr>
          <w:color w:val="000000" w:themeColor="text1"/>
        </w:rPr>
        <w:t>5,580</w:t>
      </w:r>
      <w:r w:rsidR="00CC1C03" w:rsidRPr="009533D7">
        <w:rPr>
          <w:rFonts w:hint="eastAsia"/>
          <w:color w:val="000000" w:themeColor="text1"/>
        </w:rPr>
        <w:t>公噸，</w:t>
      </w:r>
      <w:r w:rsidRPr="009533D7">
        <w:rPr>
          <w:rFonts w:hint="eastAsia"/>
          <w:color w:val="000000" w:themeColor="text1"/>
        </w:rPr>
        <w:t>占</w:t>
      </w:r>
      <w:proofErr w:type="gramStart"/>
      <w:r w:rsidRPr="009533D7">
        <w:rPr>
          <w:rFonts w:hint="eastAsia"/>
          <w:color w:val="000000" w:themeColor="text1"/>
        </w:rPr>
        <w:t>棕櫚油總輸入</w:t>
      </w:r>
      <w:proofErr w:type="gramEnd"/>
      <w:r w:rsidRPr="009533D7">
        <w:rPr>
          <w:rFonts w:hint="eastAsia"/>
          <w:color w:val="000000" w:themeColor="text1"/>
        </w:rPr>
        <w:t>重量97.46-98.18%，即我國</w:t>
      </w:r>
      <w:r w:rsidR="003C61DE" w:rsidRPr="009533D7">
        <w:rPr>
          <w:rFonts w:hint="eastAsia"/>
          <w:color w:val="000000" w:themeColor="text1"/>
        </w:rPr>
        <w:t>輸</w:t>
      </w:r>
      <w:r w:rsidRPr="009533D7">
        <w:rPr>
          <w:rFonts w:hint="eastAsia"/>
          <w:color w:val="000000" w:themeColor="text1"/>
        </w:rPr>
        <w:t>入棕櫚油之來源，幾乎均來自馬</w:t>
      </w:r>
      <w:r w:rsidR="00CC1C03" w:rsidRPr="009533D7">
        <w:rPr>
          <w:rFonts w:hint="eastAsia"/>
          <w:color w:val="000000" w:themeColor="text1"/>
        </w:rPr>
        <w:t>來西亞。</w:t>
      </w:r>
    </w:p>
    <w:p w:rsidR="009C7980" w:rsidRPr="009533D7" w:rsidRDefault="00AA3136" w:rsidP="007450B7">
      <w:pPr>
        <w:pStyle w:val="3"/>
        <w:rPr>
          <w:color w:val="000000" w:themeColor="text1"/>
        </w:rPr>
      </w:pPr>
      <w:proofErr w:type="gramStart"/>
      <w:r w:rsidRPr="009533D7">
        <w:rPr>
          <w:rFonts w:hint="eastAsia"/>
          <w:color w:val="000000" w:themeColor="text1"/>
        </w:rPr>
        <w:t>據衛福部查</w:t>
      </w:r>
      <w:proofErr w:type="gramEnd"/>
      <w:r w:rsidRPr="009533D7">
        <w:rPr>
          <w:rFonts w:hint="eastAsia"/>
          <w:color w:val="000000" w:themeColor="text1"/>
        </w:rPr>
        <w:t>復，馬來西亞出產的棕櫚油，是歐盟輸入之主要來源，僅次於印尼，即</w:t>
      </w:r>
      <w:r w:rsidR="002D02B1">
        <w:rPr>
          <w:rFonts w:hint="eastAsia"/>
          <w:color w:val="000000" w:themeColor="text1"/>
        </w:rPr>
        <w:t>馬來西亞</w:t>
      </w:r>
      <w:r w:rsidRPr="009533D7">
        <w:rPr>
          <w:rFonts w:hint="eastAsia"/>
          <w:color w:val="000000" w:themeColor="text1"/>
        </w:rPr>
        <w:t>是歐盟輸入棕櫚油之第二大國家，以2020年為例，歐盟自</w:t>
      </w:r>
      <w:r w:rsidR="002D02B1">
        <w:rPr>
          <w:rFonts w:hint="eastAsia"/>
          <w:color w:val="000000" w:themeColor="text1"/>
        </w:rPr>
        <w:t>馬來西亞</w:t>
      </w:r>
      <w:r w:rsidRPr="009533D7">
        <w:rPr>
          <w:rFonts w:hint="eastAsia"/>
          <w:color w:val="000000" w:themeColor="text1"/>
        </w:rPr>
        <w:t>輸入的</w:t>
      </w:r>
      <w:proofErr w:type="gramStart"/>
      <w:r w:rsidRPr="009533D7">
        <w:rPr>
          <w:rFonts w:hint="eastAsia"/>
          <w:color w:val="000000" w:themeColor="text1"/>
        </w:rPr>
        <w:t>棕櫚油達180</w:t>
      </w:r>
      <w:proofErr w:type="gramEnd"/>
      <w:r w:rsidRPr="009533D7">
        <w:rPr>
          <w:rFonts w:hint="eastAsia"/>
          <w:color w:val="000000" w:themeColor="text1"/>
        </w:rPr>
        <w:t>萬公噸。</w:t>
      </w:r>
      <w:r w:rsidRPr="009533D7">
        <w:rPr>
          <w:rFonts w:hint="eastAsia"/>
          <w:color w:val="000000" w:themeColor="text1"/>
          <w:u w:val="single"/>
        </w:rPr>
        <w:t>由於歐洲食品安全局於2018年發布之2018/290 COMMISSION REGULATION規章，訂定植物油、嬰兒配方食品、嬰幼兒特殊食品中G</w:t>
      </w:r>
      <w:r w:rsidRPr="009533D7">
        <w:rPr>
          <w:color w:val="000000" w:themeColor="text1"/>
          <w:u w:val="single"/>
        </w:rPr>
        <w:t>Es</w:t>
      </w:r>
      <w:r w:rsidRPr="009533D7">
        <w:rPr>
          <w:rFonts w:hint="eastAsia"/>
          <w:color w:val="000000" w:themeColor="text1"/>
          <w:u w:val="single"/>
        </w:rPr>
        <w:t>之限量標準，故馬來西亞輸出到歐盟的棕櫚油，GE</w:t>
      </w:r>
      <w:r w:rsidRPr="009533D7">
        <w:rPr>
          <w:color w:val="000000" w:themeColor="text1"/>
          <w:u w:val="single"/>
        </w:rPr>
        <w:t>s</w:t>
      </w:r>
      <w:r w:rsidRPr="009533D7">
        <w:rPr>
          <w:rFonts w:hint="eastAsia"/>
          <w:color w:val="000000" w:themeColor="text1"/>
          <w:u w:val="single"/>
        </w:rPr>
        <w:t>含量均符合歐盟所訂定之標準</w:t>
      </w:r>
      <w:r w:rsidRPr="009533D7">
        <w:rPr>
          <w:rFonts w:hint="eastAsia"/>
          <w:color w:val="000000" w:themeColor="text1"/>
        </w:rPr>
        <w:t>。</w:t>
      </w:r>
      <w:proofErr w:type="gramStart"/>
      <w:r w:rsidRPr="009533D7">
        <w:rPr>
          <w:rFonts w:hint="eastAsia"/>
          <w:color w:val="000000" w:themeColor="text1"/>
          <w:u w:val="single"/>
        </w:rPr>
        <w:t>惟</w:t>
      </w:r>
      <w:proofErr w:type="gramEnd"/>
      <w:r w:rsidRPr="009533D7">
        <w:rPr>
          <w:rFonts w:hint="eastAsia"/>
          <w:color w:val="000000" w:themeColor="text1"/>
          <w:u w:val="single"/>
        </w:rPr>
        <w:t>，我國當時並未規範食用油之GE</w:t>
      </w:r>
      <w:r w:rsidRPr="009533D7">
        <w:rPr>
          <w:color w:val="000000" w:themeColor="text1"/>
          <w:u w:val="single"/>
        </w:rPr>
        <w:t>s</w:t>
      </w:r>
      <w:r w:rsidRPr="009533D7">
        <w:rPr>
          <w:rFonts w:hint="eastAsia"/>
          <w:color w:val="000000" w:themeColor="text1"/>
          <w:u w:val="single"/>
        </w:rPr>
        <w:t>限量，</w:t>
      </w:r>
      <w:r w:rsidR="002D02B1">
        <w:rPr>
          <w:rFonts w:hint="eastAsia"/>
          <w:color w:val="000000" w:themeColor="text1"/>
          <w:u w:val="single"/>
        </w:rPr>
        <w:t>馬來西亞</w:t>
      </w:r>
      <w:r w:rsidRPr="009533D7">
        <w:rPr>
          <w:rFonts w:hint="eastAsia"/>
          <w:color w:val="000000" w:themeColor="text1"/>
          <w:u w:val="single"/>
        </w:rPr>
        <w:t>輸出至我國的棕櫚油自</w:t>
      </w:r>
      <w:r w:rsidR="009C7980" w:rsidRPr="009533D7">
        <w:rPr>
          <w:rFonts w:hint="eastAsia"/>
          <w:color w:val="000000" w:themeColor="text1"/>
          <w:u w:val="single"/>
        </w:rPr>
        <w:t>含有較高量的GE</w:t>
      </w:r>
      <w:r w:rsidR="009C7980" w:rsidRPr="009533D7">
        <w:rPr>
          <w:color w:val="000000" w:themeColor="text1"/>
          <w:u w:val="single"/>
        </w:rPr>
        <w:t>s</w:t>
      </w:r>
      <w:r w:rsidR="009C7980" w:rsidRPr="009533D7">
        <w:rPr>
          <w:rFonts w:hint="eastAsia"/>
          <w:color w:val="000000" w:themeColor="text1"/>
        </w:rPr>
        <w:t>，至於我國是否可要求</w:t>
      </w:r>
      <w:r w:rsidR="002D02B1">
        <w:rPr>
          <w:rFonts w:hint="eastAsia"/>
          <w:color w:val="000000" w:themeColor="text1"/>
        </w:rPr>
        <w:t>馬來西亞</w:t>
      </w:r>
      <w:r w:rsidR="009C7980" w:rsidRPr="009533D7">
        <w:rPr>
          <w:rFonts w:hint="eastAsia"/>
          <w:color w:val="000000" w:themeColor="text1"/>
        </w:rPr>
        <w:t>同樣輸出符合歐盟GE</w:t>
      </w:r>
      <w:r w:rsidR="009C7980" w:rsidRPr="009533D7">
        <w:rPr>
          <w:color w:val="000000" w:themeColor="text1"/>
        </w:rPr>
        <w:t>s</w:t>
      </w:r>
      <w:r w:rsidR="009C7980" w:rsidRPr="009533D7">
        <w:rPr>
          <w:rFonts w:hint="eastAsia"/>
          <w:color w:val="000000" w:themeColor="text1"/>
        </w:rPr>
        <w:t>限量標準之油品，</w:t>
      </w:r>
      <w:proofErr w:type="gramStart"/>
      <w:r w:rsidR="009C7980" w:rsidRPr="009533D7">
        <w:rPr>
          <w:rFonts w:hint="eastAsia"/>
          <w:color w:val="000000" w:themeColor="text1"/>
        </w:rPr>
        <w:t>衛福</w:t>
      </w:r>
      <w:proofErr w:type="gramEnd"/>
      <w:r w:rsidR="009C7980" w:rsidRPr="009533D7">
        <w:rPr>
          <w:rFonts w:hint="eastAsia"/>
          <w:color w:val="000000" w:themeColor="text1"/>
        </w:rPr>
        <w:t>部表示</w:t>
      </w:r>
      <w:r w:rsidR="007450B7" w:rsidRPr="009533D7">
        <w:rPr>
          <w:rFonts w:hint="eastAsia"/>
          <w:color w:val="000000" w:themeColor="text1"/>
        </w:rPr>
        <w:t>略以，</w:t>
      </w:r>
      <w:proofErr w:type="gramStart"/>
      <w:r w:rsidR="007450B7" w:rsidRPr="009533D7">
        <w:rPr>
          <w:rFonts w:hint="eastAsia"/>
          <w:color w:val="000000" w:themeColor="text1"/>
        </w:rPr>
        <w:t>食藥</w:t>
      </w:r>
      <w:proofErr w:type="gramEnd"/>
      <w:r w:rsidR="007450B7" w:rsidRPr="009533D7">
        <w:rPr>
          <w:rFonts w:hint="eastAsia"/>
          <w:color w:val="000000" w:themeColor="text1"/>
        </w:rPr>
        <w:t>署於109年10月28日</w:t>
      </w:r>
      <w:r w:rsidR="007450B7" w:rsidRPr="009533D7">
        <w:rPr>
          <w:rFonts w:hint="eastAsia"/>
          <w:color w:val="000000" w:themeColor="text1"/>
          <w:spacing w:val="-2"/>
        </w:rPr>
        <w:t>函馬來西亞友誼及貿易中心，針對本議題請該中心洽詢</w:t>
      </w:r>
      <w:r w:rsidR="002D02B1">
        <w:rPr>
          <w:rFonts w:hint="eastAsia"/>
          <w:color w:val="000000" w:themeColor="text1"/>
          <w:spacing w:val="-2"/>
        </w:rPr>
        <w:t>馬來西亞</w:t>
      </w:r>
      <w:r w:rsidR="007450B7" w:rsidRPr="009533D7">
        <w:rPr>
          <w:rFonts w:hint="eastAsia"/>
          <w:color w:val="000000" w:themeColor="text1"/>
          <w:spacing w:val="-2"/>
        </w:rPr>
        <w:t>回應或提供技術層面之溝通管道，</w:t>
      </w:r>
      <w:r w:rsidR="00441254" w:rsidRPr="009533D7">
        <w:rPr>
          <w:rFonts w:hint="eastAsia"/>
          <w:color w:val="000000" w:themeColor="text1"/>
          <w:spacing w:val="-2"/>
        </w:rPr>
        <w:t>但</w:t>
      </w:r>
      <w:r w:rsidR="007450B7" w:rsidRPr="009533D7">
        <w:rPr>
          <w:rFonts w:hint="eastAsia"/>
          <w:color w:val="000000" w:themeColor="text1"/>
          <w:spacing w:val="-2"/>
        </w:rPr>
        <w:t>截至110年3月30日止，尚未接獲回復等語。由於我國每年自</w:t>
      </w:r>
      <w:r w:rsidR="002D02B1">
        <w:rPr>
          <w:rFonts w:hint="eastAsia"/>
          <w:color w:val="000000" w:themeColor="text1"/>
          <w:spacing w:val="-2"/>
        </w:rPr>
        <w:t>馬來西亞</w:t>
      </w:r>
      <w:r w:rsidR="007450B7" w:rsidRPr="009533D7">
        <w:rPr>
          <w:rFonts w:hint="eastAsia"/>
          <w:color w:val="000000" w:themeColor="text1"/>
          <w:spacing w:val="-2"/>
        </w:rPr>
        <w:t>輸入的</w:t>
      </w:r>
      <w:proofErr w:type="gramStart"/>
      <w:r w:rsidR="007450B7" w:rsidRPr="009533D7">
        <w:rPr>
          <w:rFonts w:hint="eastAsia"/>
          <w:color w:val="000000" w:themeColor="text1"/>
          <w:spacing w:val="-2"/>
        </w:rPr>
        <w:t>棕櫚油達16萬</w:t>
      </w:r>
      <w:proofErr w:type="gramEnd"/>
      <w:r w:rsidR="007450B7" w:rsidRPr="009533D7">
        <w:rPr>
          <w:rFonts w:hint="eastAsia"/>
          <w:color w:val="000000" w:themeColor="text1"/>
          <w:spacing w:val="-2"/>
        </w:rPr>
        <w:t>公噸以上，且</w:t>
      </w:r>
      <w:r w:rsidR="00275BDA" w:rsidRPr="009533D7">
        <w:rPr>
          <w:rFonts w:hint="eastAsia"/>
          <w:color w:val="000000" w:themeColor="text1"/>
          <w:spacing w:val="-2"/>
        </w:rPr>
        <w:t>IARC</w:t>
      </w:r>
      <w:r w:rsidR="007450B7" w:rsidRPr="009533D7">
        <w:rPr>
          <w:rFonts w:hint="eastAsia"/>
          <w:color w:val="000000" w:themeColor="text1"/>
          <w:spacing w:val="-2"/>
        </w:rPr>
        <w:t>已將GE</w:t>
      </w:r>
      <w:r w:rsidR="007450B7" w:rsidRPr="009533D7">
        <w:rPr>
          <w:color w:val="000000" w:themeColor="text1"/>
          <w:spacing w:val="-2"/>
        </w:rPr>
        <w:t>s</w:t>
      </w:r>
      <w:r w:rsidR="007450B7" w:rsidRPr="009533D7">
        <w:rPr>
          <w:rFonts w:hAnsi="標楷體" w:hint="eastAsia"/>
          <w:color w:val="000000" w:themeColor="text1"/>
          <w:spacing w:val="-2"/>
        </w:rPr>
        <w:t>列為2A級致癌物</w:t>
      </w:r>
      <w:r w:rsidR="007450B7" w:rsidRPr="009533D7">
        <w:rPr>
          <w:rFonts w:hint="eastAsia"/>
          <w:color w:val="000000" w:themeColor="text1"/>
          <w:spacing w:val="-2"/>
        </w:rPr>
        <w:t>；歐洲食品安全局也因縮水甘油具基因</w:t>
      </w:r>
      <w:r w:rsidR="00EE3CF4" w:rsidRPr="009533D7">
        <w:rPr>
          <w:rFonts w:hint="eastAsia"/>
          <w:color w:val="000000" w:themeColor="text1"/>
          <w:spacing w:val="-2"/>
        </w:rPr>
        <w:t>毒性</w:t>
      </w:r>
      <w:r w:rsidR="007450B7" w:rsidRPr="009533D7">
        <w:rPr>
          <w:rFonts w:hint="eastAsia"/>
          <w:color w:val="000000" w:themeColor="text1"/>
          <w:spacing w:val="-2"/>
        </w:rPr>
        <w:t>及致癌性，而訂定GE</w:t>
      </w:r>
      <w:r w:rsidR="007450B7" w:rsidRPr="009533D7">
        <w:rPr>
          <w:color w:val="000000" w:themeColor="text1"/>
          <w:spacing w:val="-2"/>
        </w:rPr>
        <w:t>s</w:t>
      </w:r>
      <w:r w:rsidR="007450B7" w:rsidRPr="009533D7">
        <w:rPr>
          <w:rFonts w:hint="eastAsia"/>
          <w:color w:val="000000" w:themeColor="text1"/>
          <w:spacing w:val="-2"/>
        </w:rPr>
        <w:t>限量標準，</w:t>
      </w:r>
      <w:proofErr w:type="gramStart"/>
      <w:r w:rsidR="007450B7" w:rsidRPr="009533D7">
        <w:rPr>
          <w:rFonts w:hint="eastAsia"/>
          <w:color w:val="000000" w:themeColor="text1"/>
          <w:spacing w:val="-2"/>
        </w:rPr>
        <w:t>衛福部</w:t>
      </w:r>
      <w:proofErr w:type="gramEnd"/>
      <w:r w:rsidR="007450B7" w:rsidRPr="009533D7">
        <w:rPr>
          <w:rFonts w:hint="eastAsia"/>
          <w:color w:val="000000" w:themeColor="text1"/>
          <w:spacing w:val="-2"/>
        </w:rPr>
        <w:t>自應參考國際規範，主動研議訂定相關管理規範。</w:t>
      </w:r>
    </w:p>
    <w:p w:rsidR="007B45DA" w:rsidRPr="009533D7" w:rsidRDefault="007450B7" w:rsidP="007B45DA">
      <w:pPr>
        <w:pStyle w:val="3"/>
        <w:rPr>
          <w:color w:val="000000" w:themeColor="text1"/>
        </w:rPr>
      </w:pPr>
      <w:proofErr w:type="gramStart"/>
      <w:r w:rsidRPr="009533D7">
        <w:rPr>
          <w:rFonts w:hint="eastAsia"/>
          <w:color w:val="000000" w:themeColor="text1"/>
        </w:rPr>
        <w:t>查</w:t>
      </w:r>
      <w:r w:rsidR="007B45DA" w:rsidRPr="009533D7">
        <w:rPr>
          <w:rFonts w:hint="eastAsia"/>
          <w:color w:val="000000" w:themeColor="text1"/>
        </w:rPr>
        <w:t>食藥署</w:t>
      </w:r>
      <w:proofErr w:type="gramEnd"/>
      <w:r w:rsidR="007B45DA" w:rsidRPr="009533D7">
        <w:rPr>
          <w:rFonts w:hint="eastAsia"/>
          <w:color w:val="000000" w:themeColor="text1"/>
        </w:rPr>
        <w:t>於108年參考歐盟標準，擬增訂「食品中污染物質及毒素衛生標準」附表三中有關GE</w:t>
      </w:r>
      <w:r w:rsidR="007B45DA" w:rsidRPr="009533D7">
        <w:rPr>
          <w:color w:val="000000" w:themeColor="text1"/>
        </w:rPr>
        <w:t>s</w:t>
      </w:r>
      <w:r w:rsidR="007B45DA" w:rsidRPr="009533D7">
        <w:rPr>
          <w:rFonts w:hint="eastAsia"/>
          <w:color w:val="000000" w:themeColor="text1"/>
        </w:rPr>
        <w:t>之限量</w:t>
      </w:r>
      <w:r w:rsidR="007B45DA" w:rsidRPr="009533D7">
        <w:rPr>
          <w:rFonts w:hint="eastAsia"/>
          <w:color w:val="000000" w:themeColor="text1"/>
        </w:rPr>
        <w:lastRenderedPageBreak/>
        <w:t>規定，並於108年3月5日</w:t>
      </w:r>
      <w:proofErr w:type="gramStart"/>
      <w:r w:rsidR="007B45DA" w:rsidRPr="009533D7">
        <w:rPr>
          <w:rFonts w:hint="eastAsia"/>
          <w:color w:val="000000" w:themeColor="text1"/>
        </w:rPr>
        <w:t>經衛福</w:t>
      </w:r>
      <w:proofErr w:type="gramEnd"/>
      <w:r w:rsidR="007B45DA" w:rsidRPr="009533D7">
        <w:rPr>
          <w:rFonts w:hint="eastAsia"/>
          <w:color w:val="000000" w:themeColor="text1"/>
        </w:rPr>
        <w:t>部「食品衛生安全與營養諮議會」審查決議，同意增訂GEs之限量標準，且預計於108年10月辦理預告程序</w:t>
      </w:r>
      <w:r w:rsidR="004E03F1" w:rsidRPr="009533D7">
        <w:rPr>
          <w:rFonts w:hint="eastAsia"/>
          <w:color w:val="000000" w:themeColor="text1"/>
        </w:rPr>
        <w:t>，並以氣相層析串聯質譜儀分析油品中GEs之方法開發及確效試驗，於108年10月16日公開「油脂中縮水甘油脂肪酸酯之檢驗方法」</w:t>
      </w:r>
      <w:r w:rsidR="007B45DA" w:rsidRPr="009533D7">
        <w:rPr>
          <w:rFonts w:hint="eastAsia"/>
          <w:color w:val="000000" w:themeColor="text1"/>
        </w:rPr>
        <w:t>。</w:t>
      </w:r>
      <w:proofErr w:type="gramStart"/>
      <w:r w:rsidR="007B45DA" w:rsidRPr="009533D7">
        <w:rPr>
          <w:rFonts w:hint="eastAsia"/>
          <w:color w:val="000000" w:themeColor="text1"/>
        </w:rPr>
        <w:t>惟</w:t>
      </w:r>
      <w:proofErr w:type="gramEnd"/>
      <w:r w:rsidR="007B45DA" w:rsidRPr="009533D7">
        <w:rPr>
          <w:rFonts w:hint="eastAsia"/>
          <w:color w:val="000000" w:themeColor="text1"/>
        </w:rPr>
        <w:t>，</w:t>
      </w:r>
      <w:proofErr w:type="gramStart"/>
      <w:r w:rsidR="007B45DA" w:rsidRPr="009533D7">
        <w:rPr>
          <w:rFonts w:hint="eastAsia"/>
          <w:color w:val="000000" w:themeColor="text1"/>
        </w:rPr>
        <w:t>食藥</w:t>
      </w:r>
      <w:proofErr w:type="gramEnd"/>
      <w:r w:rsidR="007B45DA" w:rsidRPr="009533D7">
        <w:rPr>
          <w:rFonts w:hint="eastAsia"/>
          <w:color w:val="000000" w:themeColor="text1"/>
        </w:rPr>
        <w:t>署於109年l月14日召開「食品產業聯盟溝通會議」，提出「有關擬增訂棕櫚油縮水甘油脂肪酸酯之限量規定草案之建議」一項提案，結果以仍需借助與進口國之雙邊溝通以自源頭減少污染量，及國內尋找及測試替代油脂亦尚需時間等因素，建議應提供緩衝期以利各界因應。是</w:t>
      </w:r>
      <w:proofErr w:type="gramStart"/>
      <w:r w:rsidR="007B45DA" w:rsidRPr="009533D7">
        <w:rPr>
          <w:rFonts w:hint="eastAsia"/>
          <w:color w:val="000000" w:themeColor="text1"/>
        </w:rPr>
        <w:t>以</w:t>
      </w:r>
      <w:proofErr w:type="gramEnd"/>
      <w:r w:rsidR="007B45DA" w:rsidRPr="009533D7">
        <w:rPr>
          <w:rFonts w:hint="eastAsia"/>
          <w:color w:val="000000" w:themeColor="text1"/>
        </w:rPr>
        <w:t>，</w:t>
      </w:r>
      <w:proofErr w:type="gramStart"/>
      <w:r w:rsidR="007B45DA" w:rsidRPr="009533D7">
        <w:rPr>
          <w:rFonts w:hint="eastAsia"/>
          <w:color w:val="000000" w:themeColor="text1"/>
        </w:rPr>
        <w:t>食藥</w:t>
      </w:r>
      <w:proofErr w:type="gramEnd"/>
      <w:r w:rsidR="007B45DA" w:rsidRPr="009533D7">
        <w:rPr>
          <w:rFonts w:hint="eastAsia"/>
          <w:color w:val="000000" w:themeColor="text1"/>
        </w:rPr>
        <w:t>署因該「食品產業聯盟溝通會議」影響，致未依原規劃期程</w:t>
      </w:r>
      <w:r w:rsidR="005A0F04" w:rsidRPr="009533D7">
        <w:rPr>
          <w:rFonts w:hint="eastAsia"/>
          <w:color w:val="000000" w:themeColor="text1"/>
        </w:rPr>
        <w:t>(108年10月)</w:t>
      </w:r>
      <w:r w:rsidR="007B45DA" w:rsidRPr="009533D7">
        <w:rPr>
          <w:rFonts w:hint="eastAsia"/>
          <w:color w:val="000000" w:themeColor="text1"/>
        </w:rPr>
        <w:t>辦理預告程序。</w:t>
      </w:r>
    </w:p>
    <w:p w:rsidR="00C360E3" w:rsidRPr="009533D7" w:rsidRDefault="007B45DA" w:rsidP="00B55E4A">
      <w:pPr>
        <w:pStyle w:val="3"/>
        <w:rPr>
          <w:color w:val="000000" w:themeColor="text1"/>
        </w:rPr>
      </w:pPr>
      <w:r w:rsidRPr="009533D7">
        <w:rPr>
          <w:rFonts w:hint="eastAsia"/>
          <w:color w:val="000000" w:themeColor="text1"/>
        </w:rPr>
        <w:t>遲至109年10月21日</w:t>
      </w:r>
      <w:r w:rsidR="005A0F04" w:rsidRPr="009533D7">
        <w:rPr>
          <w:rFonts w:hint="eastAsia"/>
          <w:color w:val="000000" w:themeColor="text1"/>
        </w:rPr>
        <w:t>，</w:t>
      </w:r>
      <w:proofErr w:type="gramStart"/>
      <w:r w:rsidR="005A0F04" w:rsidRPr="009533D7">
        <w:rPr>
          <w:rFonts w:hint="eastAsia"/>
          <w:color w:val="000000" w:themeColor="text1"/>
        </w:rPr>
        <w:t>衛福部</w:t>
      </w:r>
      <w:proofErr w:type="gramEnd"/>
      <w:r w:rsidR="005A0F04" w:rsidRPr="009533D7">
        <w:rPr>
          <w:rFonts w:hint="eastAsia"/>
          <w:color w:val="000000" w:themeColor="text1"/>
        </w:rPr>
        <w:t>預告「食品中污染物質及毒素衛生標準」第6條、第5條附表三修正草案，將針對嬰兒配方食品、較大嬰兒配方輔助食品及特殊醫療用途嬰/幼兒配方食品，提出GEs限量標準，</w:t>
      </w:r>
      <w:r w:rsidR="00441254" w:rsidRPr="009533D7">
        <w:rPr>
          <w:rFonts w:hint="eastAsia"/>
          <w:color w:val="000000" w:themeColor="text1"/>
        </w:rPr>
        <w:t>再</w:t>
      </w:r>
      <w:r w:rsidR="005A0F04" w:rsidRPr="009533D7">
        <w:rPr>
          <w:rFonts w:hint="eastAsia"/>
          <w:color w:val="000000" w:themeColor="text1"/>
        </w:rPr>
        <w:t>於110年2月4日公告，自110年7月1日</w:t>
      </w:r>
      <w:r w:rsidR="00441254" w:rsidRPr="009533D7">
        <w:rPr>
          <w:rFonts w:hint="eastAsia"/>
          <w:color w:val="000000" w:themeColor="text1"/>
        </w:rPr>
        <w:t>實施</w:t>
      </w:r>
      <w:r w:rsidR="005A0F04" w:rsidRPr="009533D7">
        <w:rPr>
          <w:rFonts w:hint="eastAsia"/>
          <w:color w:val="000000" w:themeColor="text1"/>
        </w:rPr>
        <w:t>。至於食用油</w:t>
      </w:r>
      <w:r w:rsidR="00441254" w:rsidRPr="009533D7">
        <w:rPr>
          <w:rFonts w:hint="eastAsia"/>
          <w:color w:val="000000" w:themeColor="text1"/>
        </w:rPr>
        <w:t>脂</w:t>
      </w:r>
      <w:r w:rsidR="005A0F04" w:rsidRPr="009533D7">
        <w:rPr>
          <w:rFonts w:hint="eastAsia"/>
          <w:color w:val="000000" w:themeColor="text1"/>
        </w:rPr>
        <w:t>部分，該部終於111年1月26日預告「食品中污染物質及毒素衛生標準」第6條及第5條附表</w:t>
      </w:r>
      <w:proofErr w:type="gramStart"/>
      <w:r w:rsidR="005A0F04" w:rsidRPr="009533D7">
        <w:rPr>
          <w:rFonts w:hint="eastAsia"/>
          <w:color w:val="000000" w:themeColor="text1"/>
        </w:rPr>
        <w:t>三</w:t>
      </w:r>
      <w:proofErr w:type="gramEnd"/>
      <w:r w:rsidR="005A0F04" w:rsidRPr="009533D7">
        <w:rPr>
          <w:rFonts w:hint="eastAsia"/>
          <w:color w:val="000000" w:themeColor="text1"/>
        </w:rPr>
        <w:t>修正草案，將增訂食用油脂中GEs之限量規定，另針對供為生產嬰幼兒穀物類輔助食品及嬰幼兒副食品之食用油及脂肪，加嚴限量管理，並預計自113年1月1日起實施</w:t>
      </w:r>
      <w:r w:rsidR="00997BC8" w:rsidRPr="009533D7">
        <w:rPr>
          <w:rFonts w:hint="eastAsia"/>
          <w:color w:val="000000" w:themeColor="text1"/>
        </w:rPr>
        <w:t>(</w:t>
      </w:r>
      <w:r w:rsidR="005A0F04" w:rsidRPr="009533D7">
        <w:rPr>
          <w:rFonts w:hint="eastAsia"/>
          <w:color w:val="000000" w:themeColor="text1"/>
        </w:rPr>
        <w:t>詳如下表</w:t>
      </w:r>
      <w:r w:rsidR="00997BC8" w:rsidRPr="009533D7">
        <w:rPr>
          <w:rFonts w:hint="eastAsia"/>
          <w:color w:val="000000" w:themeColor="text1"/>
        </w:rPr>
        <w:t>)</w:t>
      </w:r>
      <w:r w:rsidR="005A0F04" w:rsidRPr="009533D7">
        <w:rPr>
          <w:rFonts w:hint="eastAsia"/>
          <w:color w:val="000000" w:themeColor="text1"/>
        </w:rPr>
        <w:t>。</w:t>
      </w:r>
    </w:p>
    <w:p w:rsidR="007B45DA" w:rsidRPr="009533D7" w:rsidRDefault="009E251E" w:rsidP="005C35CD">
      <w:pPr>
        <w:pStyle w:val="32"/>
        <w:ind w:left="1361" w:firstLine="680"/>
        <w:rPr>
          <w:color w:val="000000" w:themeColor="text1"/>
        </w:rPr>
      </w:pPr>
      <w:r w:rsidRPr="009533D7">
        <w:rPr>
          <w:rFonts w:hint="eastAsia"/>
          <w:color w:val="000000" w:themeColor="text1"/>
        </w:rPr>
        <w:t>然馬來西亞規定</w:t>
      </w:r>
      <w:r w:rsidR="00C360E3" w:rsidRPr="009533D7">
        <w:rPr>
          <w:rFonts w:hint="eastAsia"/>
          <w:color w:val="000000" w:themeColor="text1"/>
        </w:rPr>
        <w:t>112年(</w:t>
      </w:r>
      <w:r w:rsidRPr="009533D7">
        <w:rPr>
          <w:rFonts w:hint="eastAsia"/>
          <w:color w:val="000000" w:themeColor="text1"/>
        </w:rPr>
        <w:t>2023年</w:t>
      </w:r>
      <w:r w:rsidR="00C360E3" w:rsidRPr="009533D7">
        <w:rPr>
          <w:rFonts w:hint="eastAsia"/>
          <w:color w:val="000000" w:themeColor="text1"/>
        </w:rPr>
        <w:t>)</w:t>
      </w:r>
      <w:r w:rsidRPr="009533D7">
        <w:rPr>
          <w:rFonts w:hint="eastAsia"/>
          <w:color w:val="000000" w:themeColor="text1"/>
        </w:rPr>
        <w:t>1月1日開始生產的所有棕櫚油GE</w:t>
      </w:r>
      <w:r w:rsidRPr="009533D7">
        <w:rPr>
          <w:color w:val="000000" w:themeColor="text1"/>
        </w:rPr>
        <w:t>s</w:t>
      </w:r>
      <w:r w:rsidRPr="009533D7">
        <w:rPr>
          <w:rFonts w:hint="eastAsia"/>
          <w:color w:val="000000" w:themeColor="text1"/>
        </w:rPr>
        <w:t>都要符合歐盟標準，我國卻於113年1月1日才要實施規範，</w:t>
      </w:r>
      <w:proofErr w:type="gramStart"/>
      <w:r w:rsidRPr="009533D7">
        <w:rPr>
          <w:rFonts w:hint="eastAsia"/>
          <w:color w:val="000000" w:themeColor="text1"/>
        </w:rPr>
        <w:t>食藥署</w:t>
      </w:r>
      <w:proofErr w:type="gramEnd"/>
      <w:r w:rsidRPr="009533D7">
        <w:rPr>
          <w:rFonts w:hint="eastAsia"/>
          <w:color w:val="000000" w:themeColor="text1"/>
        </w:rPr>
        <w:t>允許含量較高、對人體健康較不利之棕櫚油用於國人食品生產製造並於市面繼續販售，</w:t>
      </w:r>
      <w:r w:rsidR="00C360E3" w:rsidRPr="009533D7">
        <w:rPr>
          <w:rFonts w:hint="eastAsia"/>
          <w:color w:val="000000" w:themeColor="text1"/>
        </w:rPr>
        <w:t>乃</w:t>
      </w:r>
      <w:r w:rsidRPr="009533D7">
        <w:rPr>
          <w:rFonts w:hint="eastAsia"/>
          <w:color w:val="000000" w:themeColor="text1"/>
        </w:rPr>
        <w:t>因</w:t>
      </w:r>
      <w:r w:rsidR="00C360E3" w:rsidRPr="009533D7">
        <w:rPr>
          <w:rFonts w:hint="eastAsia"/>
          <w:color w:val="000000" w:themeColor="text1"/>
        </w:rPr>
        <w:t>予以業者緩衝期</w:t>
      </w:r>
      <w:r w:rsidRPr="009533D7">
        <w:rPr>
          <w:rFonts w:hint="eastAsia"/>
          <w:color w:val="000000" w:themeColor="text1"/>
        </w:rPr>
        <w:t>。為確保國人健康，</w:t>
      </w:r>
      <w:proofErr w:type="gramStart"/>
      <w:r w:rsidRPr="009533D7">
        <w:rPr>
          <w:rFonts w:hint="eastAsia"/>
          <w:color w:val="000000" w:themeColor="text1"/>
        </w:rPr>
        <w:t>食藥屬允</w:t>
      </w:r>
      <w:proofErr w:type="gramEnd"/>
      <w:r w:rsidRPr="009533D7">
        <w:rPr>
          <w:rFonts w:hint="eastAsia"/>
          <w:color w:val="000000" w:themeColor="text1"/>
        </w:rPr>
        <w:t>宜確實清查</w:t>
      </w:r>
      <w:r w:rsidR="00997BC8" w:rsidRPr="009533D7">
        <w:rPr>
          <w:rFonts w:hint="eastAsia"/>
          <w:color w:val="000000" w:themeColor="text1"/>
        </w:rPr>
        <w:t>我國棕櫚油自進</w:t>
      </w:r>
      <w:r w:rsidR="00997BC8" w:rsidRPr="009533D7">
        <w:rPr>
          <w:rFonts w:hint="eastAsia"/>
          <w:color w:val="000000" w:themeColor="text1"/>
        </w:rPr>
        <w:lastRenderedPageBreak/>
        <w:t>口、加工製造至販售狀況，以及高GE</w:t>
      </w:r>
      <w:r w:rsidR="00997BC8" w:rsidRPr="009533D7">
        <w:rPr>
          <w:color w:val="000000" w:themeColor="text1"/>
        </w:rPr>
        <w:t>s</w:t>
      </w:r>
      <w:r w:rsidR="00997BC8" w:rsidRPr="009533D7">
        <w:rPr>
          <w:rFonts w:hint="eastAsia"/>
          <w:color w:val="000000" w:themeColor="text1"/>
        </w:rPr>
        <w:t>棕櫚油轉作非食品用途之可能，讓國人的食品早日脫離高GE</w:t>
      </w:r>
      <w:r w:rsidR="00997BC8" w:rsidRPr="009533D7">
        <w:rPr>
          <w:color w:val="000000" w:themeColor="text1"/>
        </w:rPr>
        <w:t>s</w:t>
      </w:r>
      <w:r w:rsidR="00997BC8" w:rsidRPr="009533D7">
        <w:rPr>
          <w:rFonts w:hint="eastAsia"/>
          <w:color w:val="000000" w:themeColor="text1"/>
        </w:rPr>
        <w:t>棕櫚油之健康威脅。</w:t>
      </w:r>
    </w:p>
    <w:p w:rsidR="001E2A57" w:rsidRPr="009533D7" w:rsidRDefault="00997BC8" w:rsidP="004D6F43">
      <w:pPr>
        <w:pStyle w:val="32"/>
        <w:ind w:left="1361" w:firstLine="680"/>
        <w:rPr>
          <w:color w:val="000000" w:themeColor="text1"/>
        </w:rPr>
      </w:pPr>
      <w:proofErr w:type="gramStart"/>
      <w:r w:rsidRPr="009533D7">
        <w:rPr>
          <w:rFonts w:hint="eastAsia"/>
          <w:color w:val="000000" w:themeColor="text1"/>
        </w:rPr>
        <w:t>此外，</w:t>
      </w:r>
      <w:r w:rsidR="00EE3CF4" w:rsidRPr="009533D7">
        <w:rPr>
          <w:rFonts w:hint="eastAsia"/>
          <w:color w:val="000000" w:themeColor="text1"/>
        </w:rPr>
        <w:t>衛福部</w:t>
      </w:r>
      <w:proofErr w:type="gramEnd"/>
      <w:r w:rsidR="00EE3CF4" w:rsidRPr="009533D7">
        <w:rPr>
          <w:rFonts w:hint="eastAsia"/>
          <w:color w:val="000000" w:themeColor="text1"/>
        </w:rPr>
        <w:t>預計113年1月1日始實施食品中GEs限量規定，目前距離</w:t>
      </w:r>
      <w:r w:rsidR="00382983" w:rsidRPr="009533D7">
        <w:rPr>
          <w:rFonts w:hint="eastAsia"/>
          <w:color w:val="000000" w:themeColor="text1"/>
        </w:rPr>
        <w:t>實施日期尚有將近2年時間，</w:t>
      </w:r>
      <w:r w:rsidRPr="009533D7">
        <w:rPr>
          <w:rFonts w:hint="eastAsia"/>
          <w:color w:val="000000" w:themeColor="text1"/>
        </w:rPr>
        <w:t>因IARC已將GE</w:t>
      </w:r>
      <w:r w:rsidRPr="009533D7">
        <w:rPr>
          <w:color w:val="000000" w:themeColor="text1"/>
        </w:rPr>
        <w:t>s</w:t>
      </w:r>
      <w:r w:rsidRPr="009533D7">
        <w:rPr>
          <w:rFonts w:hint="eastAsia"/>
          <w:color w:val="000000" w:themeColor="text1"/>
        </w:rPr>
        <w:t>列為</w:t>
      </w:r>
      <w:r w:rsidR="00C65C96" w:rsidRPr="009533D7">
        <w:rPr>
          <w:rFonts w:hint="eastAsia"/>
          <w:color w:val="000000" w:themeColor="text1"/>
        </w:rPr>
        <w:t>2A級</w:t>
      </w:r>
      <w:r w:rsidRPr="009533D7">
        <w:rPr>
          <w:rFonts w:hint="eastAsia"/>
          <w:color w:val="000000" w:themeColor="text1"/>
        </w:rPr>
        <w:t>致癌物質，</w:t>
      </w:r>
      <w:proofErr w:type="gramStart"/>
      <w:r w:rsidR="00382983" w:rsidRPr="009533D7">
        <w:rPr>
          <w:rFonts w:hint="eastAsia"/>
          <w:color w:val="000000" w:themeColor="text1"/>
          <w:u w:val="single"/>
        </w:rPr>
        <w:t>食藥署</w:t>
      </w:r>
      <w:r w:rsidRPr="009533D7">
        <w:rPr>
          <w:rFonts w:hint="eastAsia"/>
          <w:color w:val="000000" w:themeColor="text1"/>
          <w:u w:val="single"/>
        </w:rPr>
        <w:t>宜</w:t>
      </w:r>
      <w:proofErr w:type="gramEnd"/>
      <w:r w:rsidR="00382983" w:rsidRPr="009533D7">
        <w:rPr>
          <w:rFonts w:hint="eastAsia"/>
          <w:color w:val="000000" w:themeColor="text1"/>
          <w:u w:val="single"/>
        </w:rPr>
        <w:t>研擬相關配套措施，避免不符合歐盟標準的油</w:t>
      </w:r>
      <w:r w:rsidR="003D605A" w:rsidRPr="009533D7">
        <w:rPr>
          <w:rFonts w:hint="eastAsia"/>
          <w:color w:val="000000" w:themeColor="text1"/>
          <w:u w:val="single"/>
        </w:rPr>
        <w:t>品</w:t>
      </w:r>
      <w:r w:rsidR="00382983" w:rsidRPr="009533D7">
        <w:rPr>
          <w:rFonts w:hint="eastAsia"/>
          <w:color w:val="000000" w:themeColor="text1"/>
          <w:u w:val="single"/>
        </w:rPr>
        <w:t>轉輸入至我國，傷害國人飲食健康，尤其對於癌症、慢性腎衰竭或其他重大傷病患者，更應減少健康危害</w:t>
      </w:r>
      <w:r w:rsidR="00382983" w:rsidRPr="009533D7">
        <w:rPr>
          <w:rFonts w:hint="eastAsia"/>
          <w:color w:val="000000" w:themeColor="text1"/>
        </w:rPr>
        <w:t>，有待</w:t>
      </w:r>
      <w:proofErr w:type="gramStart"/>
      <w:r w:rsidR="00382983" w:rsidRPr="009533D7">
        <w:rPr>
          <w:rFonts w:hint="eastAsia"/>
          <w:color w:val="000000" w:themeColor="text1"/>
        </w:rPr>
        <w:t>食藥</w:t>
      </w:r>
      <w:proofErr w:type="gramEnd"/>
      <w:r w:rsidR="00382983" w:rsidRPr="009533D7">
        <w:rPr>
          <w:rFonts w:hint="eastAsia"/>
          <w:color w:val="000000" w:themeColor="text1"/>
        </w:rPr>
        <w:t>署檢討並研議因應措施。</w:t>
      </w:r>
    </w:p>
    <w:p w:rsidR="005A0F04" w:rsidRPr="009533D7" w:rsidRDefault="005A0F04" w:rsidP="005A0F04">
      <w:pPr>
        <w:pStyle w:val="a4"/>
        <w:ind w:left="1418"/>
        <w:rPr>
          <w:color w:val="000000" w:themeColor="text1"/>
        </w:rPr>
      </w:pPr>
      <w:proofErr w:type="gramStart"/>
      <w:r w:rsidRPr="009533D7">
        <w:rPr>
          <w:rFonts w:hint="eastAsia"/>
          <w:color w:val="000000" w:themeColor="text1"/>
        </w:rPr>
        <w:t>衛福部預</w:t>
      </w:r>
      <w:proofErr w:type="gramEnd"/>
      <w:r w:rsidRPr="009533D7">
        <w:rPr>
          <w:rFonts w:hint="eastAsia"/>
          <w:color w:val="000000" w:themeColor="text1"/>
        </w:rPr>
        <w:t>公告</w:t>
      </w:r>
      <w:r w:rsidRPr="009533D7">
        <w:rPr>
          <w:color w:val="000000" w:themeColor="text1"/>
        </w:rPr>
        <w:t>「食品中污染物質及毒素衛生標準」</w:t>
      </w:r>
      <w:r w:rsidRPr="009533D7">
        <w:rPr>
          <w:rFonts w:hint="eastAsia"/>
          <w:color w:val="000000" w:themeColor="text1"/>
        </w:rPr>
        <w:t>增訂食用油脂中GE</w:t>
      </w:r>
      <w:r w:rsidRPr="009533D7">
        <w:rPr>
          <w:color w:val="000000" w:themeColor="text1"/>
        </w:rPr>
        <w:t>s</w:t>
      </w:r>
      <w:r w:rsidRPr="009533D7">
        <w:rPr>
          <w:rFonts w:hint="eastAsia"/>
          <w:color w:val="000000" w:themeColor="text1"/>
        </w:rPr>
        <w:t>之限量標準</w:t>
      </w:r>
    </w:p>
    <w:tbl>
      <w:tblPr>
        <w:tblStyle w:val="af9"/>
        <w:tblW w:w="7372" w:type="dxa"/>
        <w:jc w:val="right"/>
        <w:tblLayout w:type="fixed"/>
        <w:tblLook w:val="04A0" w:firstRow="1" w:lastRow="0" w:firstColumn="1" w:lastColumn="0" w:noHBand="0" w:noVBand="1"/>
      </w:tblPr>
      <w:tblGrid>
        <w:gridCol w:w="993"/>
        <w:gridCol w:w="4837"/>
        <w:gridCol w:w="1542"/>
      </w:tblGrid>
      <w:tr w:rsidR="00B24A57" w:rsidRPr="009533D7" w:rsidTr="00FB1C49">
        <w:trPr>
          <w:jc w:val="right"/>
        </w:trPr>
        <w:tc>
          <w:tcPr>
            <w:tcW w:w="993" w:type="dxa"/>
            <w:shd w:val="clear" w:color="auto" w:fill="auto"/>
          </w:tcPr>
          <w:p w:rsidR="005A0F04" w:rsidRPr="009533D7" w:rsidRDefault="005A0F04" w:rsidP="00FB1C49">
            <w:pPr>
              <w:adjustRightInd w:val="0"/>
              <w:snapToGrid w:val="0"/>
              <w:rPr>
                <w:color w:val="000000" w:themeColor="text1"/>
                <w:sz w:val="28"/>
                <w:szCs w:val="28"/>
              </w:rPr>
            </w:pPr>
            <w:r w:rsidRPr="009533D7">
              <w:rPr>
                <w:color w:val="000000" w:themeColor="text1"/>
                <w:sz w:val="28"/>
                <w:szCs w:val="28"/>
              </w:rPr>
              <w:t>8</w:t>
            </w:r>
          </w:p>
        </w:tc>
        <w:tc>
          <w:tcPr>
            <w:tcW w:w="6379" w:type="dxa"/>
            <w:gridSpan w:val="2"/>
            <w:shd w:val="clear" w:color="auto" w:fill="auto"/>
          </w:tcPr>
          <w:p w:rsidR="005A0F04" w:rsidRPr="009533D7" w:rsidRDefault="005A0F04" w:rsidP="00FB1C49">
            <w:pPr>
              <w:adjustRightInd w:val="0"/>
              <w:snapToGrid w:val="0"/>
              <w:ind w:leftChars="-32" w:left="-109"/>
              <w:rPr>
                <w:color w:val="000000" w:themeColor="text1"/>
                <w:sz w:val="28"/>
                <w:szCs w:val="28"/>
              </w:rPr>
            </w:pPr>
            <w:r w:rsidRPr="009533D7">
              <w:rPr>
                <w:color w:val="000000" w:themeColor="text1"/>
                <w:sz w:val="28"/>
                <w:szCs w:val="28"/>
              </w:rPr>
              <w:t>縮水甘油脂肪酸酯</w:t>
            </w:r>
            <w:r w:rsidRPr="009533D7">
              <w:rPr>
                <w:rFonts w:hint="eastAsia"/>
                <w:color w:val="000000" w:themeColor="text1"/>
                <w:sz w:val="28"/>
                <w:szCs w:val="28"/>
              </w:rPr>
              <w:t>(</w:t>
            </w:r>
            <w:r w:rsidRPr="009533D7">
              <w:rPr>
                <w:rFonts w:hint="eastAsia"/>
                <w:color w:val="000000" w:themeColor="text1"/>
              </w:rPr>
              <w:t>Glycidyl fatty acid esters</w:t>
            </w:r>
            <w:r w:rsidRPr="009533D7">
              <w:rPr>
                <w:color w:val="000000" w:themeColor="text1"/>
              </w:rPr>
              <w:t xml:space="preserve">, </w:t>
            </w:r>
            <w:r w:rsidR="00EE3CF4" w:rsidRPr="009533D7">
              <w:rPr>
                <w:rFonts w:hint="eastAsia"/>
                <w:color w:val="000000" w:themeColor="text1"/>
              </w:rPr>
              <w:t>GEs</w:t>
            </w:r>
            <w:r w:rsidRPr="009533D7">
              <w:rPr>
                <w:rFonts w:hint="eastAsia"/>
                <w:color w:val="000000" w:themeColor="text1"/>
                <w:sz w:val="28"/>
                <w:szCs w:val="28"/>
              </w:rPr>
              <w:t>)，</w:t>
            </w:r>
            <w:r w:rsidRPr="009533D7">
              <w:rPr>
                <w:color w:val="000000" w:themeColor="text1"/>
                <w:sz w:val="28"/>
                <w:szCs w:val="28"/>
              </w:rPr>
              <w:t>以縮水甘油</w:t>
            </w:r>
            <w:r w:rsidRPr="009533D7">
              <w:rPr>
                <w:rFonts w:hint="eastAsia"/>
                <w:color w:val="000000" w:themeColor="text1"/>
                <w:sz w:val="28"/>
                <w:szCs w:val="28"/>
              </w:rPr>
              <w:t>/環氧丙醇(G</w:t>
            </w:r>
            <w:r w:rsidRPr="009533D7">
              <w:rPr>
                <w:color w:val="000000" w:themeColor="text1"/>
                <w:sz w:val="28"/>
                <w:szCs w:val="28"/>
              </w:rPr>
              <w:t>lycidol</w:t>
            </w:r>
            <w:r w:rsidRPr="009533D7">
              <w:rPr>
                <w:rFonts w:hint="eastAsia"/>
                <w:color w:val="000000" w:themeColor="text1"/>
                <w:sz w:val="28"/>
                <w:szCs w:val="28"/>
              </w:rPr>
              <w:t>)</w:t>
            </w:r>
            <w:r w:rsidRPr="009533D7">
              <w:rPr>
                <w:color w:val="000000" w:themeColor="text1"/>
                <w:sz w:val="28"/>
                <w:szCs w:val="28"/>
              </w:rPr>
              <w:t>計</w:t>
            </w:r>
          </w:p>
        </w:tc>
      </w:tr>
      <w:tr w:rsidR="00B24A57" w:rsidRPr="009533D7" w:rsidTr="00FB1C49">
        <w:trPr>
          <w:jc w:val="right"/>
        </w:trPr>
        <w:tc>
          <w:tcPr>
            <w:tcW w:w="5830" w:type="dxa"/>
            <w:gridSpan w:val="2"/>
            <w:shd w:val="clear" w:color="auto" w:fill="auto"/>
            <w:vAlign w:val="center"/>
          </w:tcPr>
          <w:p w:rsidR="005A0F04" w:rsidRPr="009533D7" w:rsidRDefault="005A0F04" w:rsidP="00FB1C49">
            <w:pPr>
              <w:adjustRightInd w:val="0"/>
              <w:snapToGrid w:val="0"/>
              <w:rPr>
                <w:color w:val="000000" w:themeColor="text1"/>
                <w:sz w:val="28"/>
                <w:szCs w:val="28"/>
              </w:rPr>
            </w:pPr>
            <w:r w:rsidRPr="009533D7">
              <w:rPr>
                <w:color w:val="000000" w:themeColor="text1"/>
                <w:sz w:val="28"/>
                <w:szCs w:val="28"/>
              </w:rPr>
              <w:t>食品</w:t>
            </w:r>
          </w:p>
        </w:tc>
        <w:tc>
          <w:tcPr>
            <w:tcW w:w="1542" w:type="dxa"/>
            <w:shd w:val="clear" w:color="auto" w:fill="auto"/>
            <w:vAlign w:val="center"/>
          </w:tcPr>
          <w:p w:rsidR="005A0F04" w:rsidRPr="009533D7" w:rsidRDefault="005A0F04" w:rsidP="00FB1C49">
            <w:pPr>
              <w:adjustRightInd w:val="0"/>
              <w:snapToGrid w:val="0"/>
              <w:rPr>
                <w:color w:val="000000" w:themeColor="text1"/>
                <w:spacing w:val="-14"/>
                <w:sz w:val="28"/>
                <w:szCs w:val="28"/>
              </w:rPr>
            </w:pPr>
            <w:r w:rsidRPr="009533D7">
              <w:rPr>
                <w:color w:val="000000" w:themeColor="text1"/>
                <w:spacing w:val="-14"/>
                <w:sz w:val="28"/>
                <w:szCs w:val="28"/>
              </w:rPr>
              <w:t>限量</w:t>
            </w:r>
          </w:p>
          <w:p w:rsidR="005A0F04" w:rsidRPr="009533D7" w:rsidRDefault="005A0F04" w:rsidP="00FB1C49">
            <w:pPr>
              <w:adjustRightInd w:val="0"/>
              <w:snapToGrid w:val="0"/>
              <w:rPr>
                <w:color w:val="000000" w:themeColor="text1"/>
                <w:sz w:val="28"/>
                <w:szCs w:val="28"/>
              </w:rPr>
            </w:pPr>
            <w:r w:rsidRPr="009533D7">
              <w:rPr>
                <w:color w:val="000000" w:themeColor="text1"/>
                <w:spacing w:val="-14"/>
                <w:sz w:val="28"/>
                <w:szCs w:val="28"/>
              </w:rPr>
              <w:t>(</w:t>
            </w:r>
            <w:proofErr w:type="spellStart"/>
            <w:r w:rsidRPr="009533D7">
              <w:rPr>
                <w:color w:val="000000" w:themeColor="text1"/>
                <w:spacing w:val="-14"/>
                <w:sz w:val="28"/>
                <w:szCs w:val="28"/>
              </w:rPr>
              <w:t>μ</w:t>
            </w:r>
            <w:r w:rsidRPr="009533D7">
              <w:rPr>
                <w:color w:val="000000" w:themeColor="text1"/>
                <w:spacing w:val="-14"/>
                <w:sz w:val="28"/>
                <w:szCs w:val="28"/>
              </w:rPr>
              <w:t>g</w:t>
            </w:r>
            <w:proofErr w:type="spellEnd"/>
            <w:r w:rsidRPr="009533D7">
              <w:rPr>
                <w:color w:val="000000" w:themeColor="text1"/>
                <w:spacing w:val="-14"/>
                <w:sz w:val="28"/>
                <w:szCs w:val="28"/>
              </w:rPr>
              <w:t>/kg)</w:t>
            </w:r>
          </w:p>
        </w:tc>
      </w:tr>
      <w:tr w:rsidR="00B24A57" w:rsidRPr="009533D7" w:rsidTr="00FB1C49">
        <w:trPr>
          <w:jc w:val="right"/>
        </w:trPr>
        <w:tc>
          <w:tcPr>
            <w:tcW w:w="993" w:type="dxa"/>
          </w:tcPr>
          <w:p w:rsidR="005A0F04" w:rsidRPr="009533D7" w:rsidRDefault="005A0F04" w:rsidP="00FB1C49">
            <w:pPr>
              <w:adjustRightInd w:val="0"/>
              <w:snapToGrid w:val="0"/>
              <w:rPr>
                <w:color w:val="000000" w:themeColor="text1"/>
                <w:sz w:val="28"/>
                <w:szCs w:val="28"/>
              </w:rPr>
            </w:pPr>
            <w:r w:rsidRPr="009533D7">
              <w:rPr>
                <w:color w:val="000000" w:themeColor="text1"/>
                <w:sz w:val="28"/>
                <w:szCs w:val="28"/>
              </w:rPr>
              <w:t>8.1</w:t>
            </w:r>
          </w:p>
        </w:tc>
        <w:tc>
          <w:tcPr>
            <w:tcW w:w="4837" w:type="dxa"/>
          </w:tcPr>
          <w:p w:rsidR="005A0F04" w:rsidRPr="009533D7" w:rsidRDefault="005A0F04" w:rsidP="00FB1C49">
            <w:pPr>
              <w:adjustRightInd w:val="0"/>
              <w:snapToGrid w:val="0"/>
              <w:rPr>
                <w:color w:val="000000" w:themeColor="text1"/>
                <w:sz w:val="28"/>
                <w:szCs w:val="28"/>
              </w:rPr>
            </w:pPr>
            <w:r w:rsidRPr="009533D7">
              <w:rPr>
                <w:rFonts w:hint="eastAsia"/>
                <w:color w:val="000000" w:themeColor="text1"/>
                <w:sz w:val="28"/>
                <w:szCs w:val="28"/>
              </w:rPr>
              <w:t>嬰幼兒食品</w:t>
            </w:r>
            <w:r w:rsidRPr="009533D7">
              <w:rPr>
                <w:color w:val="000000" w:themeColor="text1"/>
                <w:sz w:val="28"/>
                <w:szCs w:val="28"/>
                <w:vertAlign w:val="superscript"/>
              </w:rPr>
              <w:t>(5)</w:t>
            </w:r>
          </w:p>
        </w:tc>
        <w:tc>
          <w:tcPr>
            <w:tcW w:w="1542" w:type="dxa"/>
            <w:vAlign w:val="center"/>
          </w:tcPr>
          <w:p w:rsidR="005A0F04" w:rsidRPr="009533D7" w:rsidRDefault="005A0F04" w:rsidP="00FB1C49">
            <w:pPr>
              <w:adjustRightInd w:val="0"/>
              <w:snapToGrid w:val="0"/>
              <w:jc w:val="right"/>
              <w:rPr>
                <w:color w:val="000000" w:themeColor="text1"/>
                <w:sz w:val="28"/>
                <w:szCs w:val="28"/>
              </w:rPr>
            </w:pPr>
          </w:p>
        </w:tc>
      </w:tr>
      <w:tr w:rsidR="00B24A57" w:rsidRPr="009533D7" w:rsidTr="00FB1C49">
        <w:trPr>
          <w:jc w:val="right"/>
        </w:trPr>
        <w:tc>
          <w:tcPr>
            <w:tcW w:w="993" w:type="dxa"/>
          </w:tcPr>
          <w:p w:rsidR="005A0F04" w:rsidRPr="009533D7" w:rsidRDefault="005A0F04" w:rsidP="00FB1C49">
            <w:pPr>
              <w:adjustRightInd w:val="0"/>
              <w:snapToGrid w:val="0"/>
              <w:rPr>
                <w:color w:val="000000" w:themeColor="text1"/>
                <w:sz w:val="28"/>
                <w:szCs w:val="28"/>
              </w:rPr>
            </w:pPr>
            <w:r w:rsidRPr="009533D7">
              <w:rPr>
                <w:rFonts w:hint="eastAsia"/>
                <w:color w:val="000000" w:themeColor="text1"/>
                <w:sz w:val="28"/>
                <w:szCs w:val="28"/>
              </w:rPr>
              <w:t>8.1.1</w:t>
            </w:r>
          </w:p>
        </w:tc>
        <w:tc>
          <w:tcPr>
            <w:tcW w:w="4837" w:type="dxa"/>
          </w:tcPr>
          <w:p w:rsidR="005A0F04" w:rsidRPr="009533D7" w:rsidRDefault="005A0F04" w:rsidP="00FB1C49">
            <w:pPr>
              <w:adjustRightInd w:val="0"/>
              <w:snapToGrid w:val="0"/>
              <w:rPr>
                <w:color w:val="000000" w:themeColor="text1"/>
                <w:sz w:val="28"/>
                <w:szCs w:val="28"/>
              </w:rPr>
            </w:pPr>
            <w:r w:rsidRPr="009533D7">
              <w:rPr>
                <w:rFonts w:hint="eastAsia"/>
                <w:color w:val="000000" w:themeColor="text1"/>
                <w:sz w:val="28"/>
                <w:szCs w:val="28"/>
              </w:rPr>
              <w:t>嬰兒配方食品</w:t>
            </w:r>
            <w:r w:rsidRPr="009533D7">
              <w:rPr>
                <w:color w:val="000000" w:themeColor="text1"/>
                <w:sz w:val="28"/>
                <w:szCs w:val="28"/>
                <w:vertAlign w:val="superscript"/>
              </w:rPr>
              <w:t>(6)</w:t>
            </w:r>
            <w:r w:rsidRPr="009533D7">
              <w:rPr>
                <w:rFonts w:hint="eastAsia"/>
                <w:color w:val="000000" w:themeColor="text1"/>
                <w:sz w:val="28"/>
                <w:szCs w:val="28"/>
              </w:rPr>
              <w:t>、較大嬰兒配方輔助食品</w:t>
            </w:r>
            <w:r w:rsidRPr="009533D7">
              <w:rPr>
                <w:color w:val="000000" w:themeColor="text1"/>
                <w:sz w:val="28"/>
                <w:szCs w:val="28"/>
                <w:vertAlign w:val="superscript"/>
              </w:rPr>
              <w:t>(</w:t>
            </w:r>
            <w:r w:rsidRPr="009533D7">
              <w:rPr>
                <w:rFonts w:hint="eastAsia"/>
                <w:color w:val="000000" w:themeColor="text1"/>
                <w:sz w:val="28"/>
                <w:szCs w:val="28"/>
                <w:vertAlign w:val="superscript"/>
              </w:rPr>
              <w:t>7</w:t>
            </w:r>
            <w:r w:rsidRPr="009533D7">
              <w:rPr>
                <w:color w:val="000000" w:themeColor="text1"/>
                <w:sz w:val="28"/>
                <w:szCs w:val="28"/>
                <w:vertAlign w:val="superscript"/>
              </w:rPr>
              <w:t>)</w:t>
            </w:r>
            <w:r w:rsidRPr="009533D7">
              <w:rPr>
                <w:rFonts w:hint="eastAsia"/>
                <w:color w:val="000000" w:themeColor="text1"/>
                <w:sz w:val="28"/>
                <w:szCs w:val="28"/>
              </w:rPr>
              <w:t>及特殊醫療用途嬰</w:t>
            </w:r>
            <w:r w:rsidRPr="009533D7">
              <w:rPr>
                <w:color w:val="000000" w:themeColor="text1"/>
                <w:sz w:val="28"/>
                <w:szCs w:val="28"/>
                <w:vertAlign w:val="superscript"/>
              </w:rPr>
              <w:t>(</w:t>
            </w:r>
            <w:r w:rsidRPr="009533D7">
              <w:rPr>
                <w:rFonts w:hint="eastAsia"/>
                <w:color w:val="000000" w:themeColor="text1"/>
                <w:sz w:val="28"/>
                <w:szCs w:val="28"/>
                <w:vertAlign w:val="superscript"/>
              </w:rPr>
              <w:t>9</w:t>
            </w:r>
            <w:r w:rsidRPr="009533D7">
              <w:rPr>
                <w:color w:val="000000" w:themeColor="text1"/>
                <w:sz w:val="28"/>
                <w:szCs w:val="28"/>
                <w:vertAlign w:val="superscript"/>
              </w:rPr>
              <w:t>)</w:t>
            </w:r>
            <w:r w:rsidRPr="009533D7">
              <w:rPr>
                <w:rFonts w:hint="eastAsia"/>
                <w:color w:val="000000" w:themeColor="text1"/>
                <w:sz w:val="28"/>
                <w:szCs w:val="28"/>
              </w:rPr>
              <w:t>/幼兒配方食品</w:t>
            </w:r>
          </w:p>
        </w:tc>
        <w:tc>
          <w:tcPr>
            <w:tcW w:w="1542" w:type="dxa"/>
            <w:vAlign w:val="center"/>
          </w:tcPr>
          <w:p w:rsidR="005A0F04" w:rsidRPr="009533D7" w:rsidRDefault="005A0F04" w:rsidP="00FB1C49">
            <w:pPr>
              <w:adjustRightInd w:val="0"/>
              <w:snapToGrid w:val="0"/>
              <w:jc w:val="right"/>
              <w:rPr>
                <w:color w:val="000000" w:themeColor="text1"/>
                <w:sz w:val="28"/>
                <w:szCs w:val="28"/>
              </w:rPr>
            </w:pPr>
          </w:p>
        </w:tc>
      </w:tr>
      <w:tr w:rsidR="00B24A57" w:rsidRPr="009533D7" w:rsidTr="00FB1C49">
        <w:trPr>
          <w:jc w:val="right"/>
        </w:trPr>
        <w:tc>
          <w:tcPr>
            <w:tcW w:w="993" w:type="dxa"/>
          </w:tcPr>
          <w:p w:rsidR="005A0F04" w:rsidRPr="009533D7" w:rsidRDefault="005A0F04" w:rsidP="00FB1C49">
            <w:pPr>
              <w:adjustRightInd w:val="0"/>
              <w:snapToGrid w:val="0"/>
              <w:rPr>
                <w:color w:val="000000" w:themeColor="text1"/>
                <w:sz w:val="28"/>
                <w:szCs w:val="28"/>
              </w:rPr>
            </w:pPr>
          </w:p>
        </w:tc>
        <w:tc>
          <w:tcPr>
            <w:tcW w:w="4837" w:type="dxa"/>
          </w:tcPr>
          <w:p w:rsidR="005A0F04" w:rsidRPr="009533D7" w:rsidRDefault="005A0F04" w:rsidP="00FB1C49">
            <w:pPr>
              <w:adjustRightInd w:val="0"/>
              <w:snapToGrid w:val="0"/>
              <w:rPr>
                <w:color w:val="000000" w:themeColor="text1"/>
                <w:sz w:val="28"/>
                <w:szCs w:val="28"/>
              </w:rPr>
            </w:pPr>
            <w:r w:rsidRPr="009533D7">
              <w:rPr>
                <w:rFonts w:hint="eastAsia"/>
                <w:color w:val="000000" w:themeColor="text1"/>
                <w:sz w:val="28"/>
                <w:szCs w:val="28"/>
              </w:rPr>
              <w:t>-粉狀型式販售者</w:t>
            </w:r>
          </w:p>
        </w:tc>
        <w:tc>
          <w:tcPr>
            <w:tcW w:w="1542" w:type="dxa"/>
            <w:vAlign w:val="center"/>
          </w:tcPr>
          <w:p w:rsidR="005A0F04" w:rsidRPr="009533D7" w:rsidRDefault="005A0F04" w:rsidP="00FB1C49">
            <w:pPr>
              <w:adjustRightInd w:val="0"/>
              <w:snapToGrid w:val="0"/>
              <w:jc w:val="right"/>
              <w:rPr>
                <w:color w:val="000000" w:themeColor="text1"/>
                <w:sz w:val="28"/>
                <w:szCs w:val="28"/>
              </w:rPr>
            </w:pPr>
            <w:r w:rsidRPr="009533D7">
              <w:rPr>
                <w:rFonts w:hint="eastAsia"/>
                <w:color w:val="000000" w:themeColor="text1"/>
                <w:sz w:val="28"/>
                <w:szCs w:val="28"/>
              </w:rPr>
              <w:t>50</w:t>
            </w:r>
          </w:p>
        </w:tc>
      </w:tr>
      <w:tr w:rsidR="00B24A57" w:rsidRPr="009533D7" w:rsidTr="00FB1C49">
        <w:trPr>
          <w:jc w:val="right"/>
        </w:trPr>
        <w:tc>
          <w:tcPr>
            <w:tcW w:w="993" w:type="dxa"/>
          </w:tcPr>
          <w:p w:rsidR="005A0F04" w:rsidRPr="009533D7" w:rsidRDefault="005A0F04" w:rsidP="00FB1C49">
            <w:pPr>
              <w:adjustRightInd w:val="0"/>
              <w:snapToGrid w:val="0"/>
              <w:rPr>
                <w:color w:val="000000" w:themeColor="text1"/>
                <w:sz w:val="28"/>
                <w:szCs w:val="28"/>
              </w:rPr>
            </w:pPr>
          </w:p>
        </w:tc>
        <w:tc>
          <w:tcPr>
            <w:tcW w:w="4837" w:type="dxa"/>
          </w:tcPr>
          <w:p w:rsidR="005A0F04" w:rsidRPr="009533D7" w:rsidRDefault="005A0F04" w:rsidP="00FB1C49">
            <w:pPr>
              <w:adjustRightInd w:val="0"/>
              <w:snapToGrid w:val="0"/>
              <w:rPr>
                <w:color w:val="000000" w:themeColor="text1"/>
                <w:sz w:val="28"/>
                <w:szCs w:val="28"/>
              </w:rPr>
            </w:pPr>
            <w:r w:rsidRPr="009533D7">
              <w:rPr>
                <w:rFonts w:hint="eastAsia"/>
                <w:color w:val="000000" w:themeColor="text1"/>
                <w:sz w:val="28"/>
                <w:szCs w:val="28"/>
              </w:rPr>
              <w:t>-液狀型式販售者</w:t>
            </w:r>
          </w:p>
        </w:tc>
        <w:tc>
          <w:tcPr>
            <w:tcW w:w="1542" w:type="dxa"/>
            <w:vAlign w:val="center"/>
          </w:tcPr>
          <w:p w:rsidR="005A0F04" w:rsidRPr="009533D7" w:rsidRDefault="005A0F04" w:rsidP="00FB1C49">
            <w:pPr>
              <w:adjustRightInd w:val="0"/>
              <w:snapToGrid w:val="0"/>
              <w:jc w:val="right"/>
              <w:rPr>
                <w:color w:val="000000" w:themeColor="text1"/>
                <w:sz w:val="28"/>
                <w:szCs w:val="28"/>
              </w:rPr>
            </w:pPr>
            <w:r w:rsidRPr="009533D7">
              <w:rPr>
                <w:rFonts w:hint="eastAsia"/>
                <w:color w:val="000000" w:themeColor="text1"/>
                <w:sz w:val="28"/>
                <w:szCs w:val="28"/>
              </w:rPr>
              <w:t>6.0</w:t>
            </w:r>
          </w:p>
        </w:tc>
      </w:tr>
      <w:tr w:rsidR="00B24A57" w:rsidRPr="009533D7" w:rsidTr="00FB1C49">
        <w:trPr>
          <w:jc w:val="right"/>
        </w:trPr>
        <w:tc>
          <w:tcPr>
            <w:tcW w:w="993" w:type="dxa"/>
          </w:tcPr>
          <w:p w:rsidR="005A0F04" w:rsidRPr="009533D7" w:rsidRDefault="005A0F04" w:rsidP="00FB1C49">
            <w:pPr>
              <w:adjustRightInd w:val="0"/>
              <w:snapToGrid w:val="0"/>
              <w:rPr>
                <w:color w:val="000000" w:themeColor="text1"/>
                <w:sz w:val="28"/>
                <w:szCs w:val="28"/>
              </w:rPr>
            </w:pPr>
            <w:r w:rsidRPr="009533D7">
              <w:rPr>
                <w:rFonts w:hint="eastAsia"/>
                <w:color w:val="000000" w:themeColor="text1"/>
                <w:sz w:val="28"/>
                <w:szCs w:val="28"/>
              </w:rPr>
              <w:t>8.2</w:t>
            </w:r>
          </w:p>
        </w:tc>
        <w:tc>
          <w:tcPr>
            <w:tcW w:w="4837" w:type="dxa"/>
          </w:tcPr>
          <w:p w:rsidR="005A0F04" w:rsidRPr="009533D7" w:rsidRDefault="005A0F04" w:rsidP="00FB1C49">
            <w:pPr>
              <w:adjustRightInd w:val="0"/>
              <w:snapToGrid w:val="0"/>
              <w:rPr>
                <w:color w:val="000000" w:themeColor="text1"/>
                <w:sz w:val="28"/>
                <w:szCs w:val="28"/>
              </w:rPr>
            </w:pPr>
            <w:r w:rsidRPr="009533D7">
              <w:rPr>
                <w:rFonts w:hint="eastAsia"/>
                <w:color w:val="000000" w:themeColor="text1"/>
                <w:sz w:val="28"/>
                <w:szCs w:val="28"/>
              </w:rPr>
              <w:t>食用油脂</w:t>
            </w:r>
          </w:p>
        </w:tc>
        <w:tc>
          <w:tcPr>
            <w:tcW w:w="1542" w:type="dxa"/>
            <w:vAlign w:val="center"/>
          </w:tcPr>
          <w:p w:rsidR="005A0F04" w:rsidRPr="009533D7" w:rsidRDefault="005A0F04" w:rsidP="00FB1C49">
            <w:pPr>
              <w:adjustRightInd w:val="0"/>
              <w:snapToGrid w:val="0"/>
              <w:jc w:val="right"/>
              <w:rPr>
                <w:color w:val="000000" w:themeColor="text1"/>
                <w:sz w:val="28"/>
                <w:szCs w:val="28"/>
              </w:rPr>
            </w:pPr>
          </w:p>
        </w:tc>
      </w:tr>
      <w:tr w:rsidR="00B24A57" w:rsidRPr="009533D7" w:rsidTr="00FB1C49">
        <w:trPr>
          <w:jc w:val="right"/>
        </w:trPr>
        <w:tc>
          <w:tcPr>
            <w:tcW w:w="993" w:type="dxa"/>
          </w:tcPr>
          <w:p w:rsidR="005A0F04" w:rsidRPr="009533D7" w:rsidRDefault="005A0F04" w:rsidP="00FB1C49">
            <w:pPr>
              <w:adjustRightInd w:val="0"/>
              <w:snapToGrid w:val="0"/>
              <w:rPr>
                <w:color w:val="000000" w:themeColor="text1"/>
                <w:sz w:val="28"/>
                <w:szCs w:val="28"/>
              </w:rPr>
            </w:pPr>
            <w:r w:rsidRPr="009533D7">
              <w:rPr>
                <w:rFonts w:hint="eastAsia"/>
                <w:color w:val="000000" w:themeColor="text1"/>
                <w:sz w:val="28"/>
                <w:szCs w:val="28"/>
              </w:rPr>
              <w:t>8.2.1</w:t>
            </w:r>
          </w:p>
        </w:tc>
        <w:tc>
          <w:tcPr>
            <w:tcW w:w="4837" w:type="dxa"/>
          </w:tcPr>
          <w:p w:rsidR="005A0F04" w:rsidRPr="009533D7" w:rsidRDefault="005A0F04" w:rsidP="00FB1C49">
            <w:pPr>
              <w:adjustRightInd w:val="0"/>
              <w:snapToGrid w:val="0"/>
              <w:rPr>
                <w:color w:val="000000" w:themeColor="text1"/>
                <w:sz w:val="28"/>
                <w:szCs w:val="28"/>
              </w:rPr>
            </w:pPr>
            <w:r w:rsidRPr="009533D7">
              <w:rPr>
                <w:rFonts w:hint="eastAsia"/>
                <w:color w:val="000000" w:themeColor="text1"/>
                <w:sz w:val="28"/>
                <w:szCs w:val="28"/>
              </w:rPr>
              <w:t>市售供食用或作為食品加工原料之植物性食用油脂、魚油及海洋生物</w:t>
            </w:r>
          </w:p>
          <w:p w:rsidR="005A0F04" w:rsidRPr="009533D7" w:rsidRDefault="005A0F04" w:rsidP="00FB1C49">
            <w:pPr>
              <w:adjustRightInd w:val="0"/>
              <w:snapToGrid w:val="0"/>
              <w:rPr>
                <w:color w:val="000000" w:themeColor="text1"/>
                <w:sz w:val="28"/>
                <w:szCs w:val="28"/>
              </w:rPr>
            </w:pPr>
            <w:r w:rsidRPr="009533D7">
              <w:rPr>
                <w:rFonts w:hint="eastAsia"/>
                <w:color w:val="000000" w:themeColor="text1"/>
                <w:sz w:val="28"/>
                <w:szCs w:val="28"/>
              </w:rPr>
              <w:t>油脂</w:t>
            </w:r>
            <w:r w:rsidRPr="009533D7">
              <w:rPr>
                <w:rFonts w:hint="eastAsia"/>
                <w:color w:val="000000" w:themeColor="text1"/>
                <w:sz w:val="28"/>
                <w:szCs w:val="28"/>
                <w:vertAlign w:val="superscript"/>
              </w:rPr>
              <w:t>(19)</w:t>
            </w:r>
          </w:p>
        </w:tc>
        <w:tc>
          <w:tcPr>
            <w:tcW w:w="1542" w:type="dxa"/>
            <w:vAlign w:val="center"/>
          </w:tcPr>
          <w:p w:rsidR="005A0F04" w:rsidRPr="009533D7" w:rsidRDefault="005A0F04" w:rsidP="00FB1C49">
            <w:pPr>
              <w:adjustRightInd w:val="0"/>
              <w:snapToGrid w:val="0"/>
              <w:jc w:val="right"/>
              <w:rPr>
                <w:color w:val="000000" w:themeColor="text1"/>
                <w:sz w:val="28"/>
                <w:szCs w:val="28"/>
              </w:rPr>
            </w:pPr>
            <w:r w:rsidRPr="009533D7">
              <w:rPr>
                <w:rFonts w:hint="eastAsia"/>
                <w:color w:val="000000" w:themeColor="text1"/>
                <w:sz w:val="28"/>
                <w:szCs w:val="28"/>
              </w:rPr>
              <w:t>1</w:t>
            </w:r>
            <w:r w:rsidR="00990E68">
              <w:rPr>
                <w:rFonts w:hint="eastAsia"/>
                <w:color w:val="000000" w:themeColor="text1"/>
                <w:sz w:val="28"/>
                <w:szCs w:val="28"/>
              </w:rPr>
              <w:t>,</w:t>
            </w:r>
            <w:r w:rsidRPr="009533D7">
              <w:rPr>
                <w:rFonts w:hint="eastAsia"/>
                <w:color w:val="000000" w:themeColor="text1"/>
                <w:sz w:val="28"/>
                <w:szCs w:val="28"/>
              </w:rPr>
              <w:t>000</w:t>
            </w:r>
          </w:p>
        </w:tc>
      </w:tr>
      <w:tr w:rsidR="00B24A57" w:rsidRPr="009533D7" w:rsidTr="00FB1C49">
        <w:trPr>
          <w:jc w:val="right"/>
        </w:trPr>
        <w:tc>
          <w:tcPr>
            <w:tcW w:w="993" w:type="dxa"/>
          </w:tcPr>
          <w:p w:rsidR="005A0F04" w:rsidRPr="009533D7" w:rsidRDefault="005A0F04" w:rsidP="00FB1C49">
            <w:pPr>
              <w:adjustRightInd w:val="0"/>
              <w:snapToGrid w:val="0"/>
              <w:rPr>
                <w:color w:val="000000" w:themeColor="text1"/>
                <w:sz w:val="28"/>
                <w:szCs w:val="28"/>
              </w:rPr>
            </w:pPr>
          </w:p>
        </w:tc>
        <w:tc>
          <w:tcPr>
            <w:tcW w:w="4837" w:type="dxa"/>
          </w:tcPr>
          <w:p w:rsidR="005A0F04" w:rsidRPr="009533D7" w:rsidRDefault="005A0F04" w:rsidP="00FB1C49">
            <w:pPr>
              <w:adjustRightInd w:val="0"/>
              <w:snapToGrid w:val="0"/>
              <w:rPr>
                <w:color w:val="000000" w:themeColor="text1"/>
                <w:sz w:val="28"/>
                <w:szCs w:val="28"/>
              </w:rPr>
            </w:pPr>
            <w:r w:rsidRPr="009533D7">
              <w:rPr>
                <w:color w:val="000000" w:themeColor="text1"/>
                <w:sz w:val="28"/>
                <w:szCs w:val="28"/>
              </w:rPr>
              <w:t>供為生產嬰幼兒穀物類輔助食品</w:t>
            </w:r>
            <w:r w:rsidRPr="009533D7">
              <w:rPr>
                <w:color w:val="000000" w:themeColor="text1"/>
                <w:sz w:val="28"/>
                <w:szCs w:val="28"/>
                <w:vertAlign w:val="superscript"/>
              </w:rPr>
              <w:t>(10)</w:t>
            </w:r>
            <w:r w:rsidRPr="009533D7">
              <w:rPr>
                <w:color w:val="000000" w:themeColor="text1"/>
                <w:sz w:val="28"/>
                <w:szCs w:val="28"/>
              </w:rPr>
              <w:t>及嬰幼兒副食品</w:t>
            </w:r>
            <w:r w:rsidRPr="009533D7">
              <w:rPr>
                <w:color w:val="000000" w:themeColor="text1"/>
                <w:sz w:val="28"/>
                <w:szCs w:val="28"/>
                <w:vertAlign w:val="superscript"/>
              </w:rPr>
              <w:t>(11)</w:t>
            </w:r>
            <w:r w:rsidRPr="009533D7">
              <w:rPr>
                <w:color w:val="000000" w:themeColor="text1"/>
                <w:sz w:val="28"/>
                <w:szCs w:val="28"/>
              </w:rPr>
              <w:t>之植物性食用油脂、魚油及海洋生物油脂</w:t>
            </w:r>
          </w:p>
        </w:tc>
        <w:tc>
          <w:tcPr>
            <w:tcW w:w="1542" w:type="dxa"/>
            <w:vAlign w:val="center"/>
          </w:tcPr>
          <w:p w:rsidR="005A0F04" w:rsidRPr="009533D7" w:rsidRDefault="005A0F04" w:rsidP="00FB1C49">
            <w:pPr>
              <w:adjustRightInd w:val="0"/>
              <w:snapToGrid w:val="0"/>
              <w:jc w:val="right"/>
              <w:rPr>
                <w:color w:val="000000" w:themeColor="text1"/>
                <w:sz w:val="28"/>
                <w:szCs w:val="28"/>
              </w:rPr>
            </w:pPr>
            <w:r w:rsidRPr="009533D7">
              <w:rPr>
                <w:rFonts w:hint="eastAsia"/>
                <w:color w:val="000000" w:themeColor="text1"/>
                <w:sz w:val="28"/>
                <w:szCs w:val="28"/>
              </w:rPr>
              <w:t>500</w:t>
            </w:r>
          </w:p>
        </w:tc>
      </w:tr>
      <w:tr w:rsidR="00B24A57" w:rsidRPr="009533D7" w:rsidTr="00FB1C49">
        <w:trPr>
          <w:jc w:val="right"/>
        </w:trPr>
        <w:tc>
          <w:tcPr>
            <w:tcW w:w="993" w:type="dxa"/>
          </w:tcPr>
          <w:p w:rsidR="005A0F04" w:rsidRPr="009533D7" w:rsidRDefault="005A0F04" w:rsidP="00FB1C49">
            <w:pPr>
              <w:adjustRightInd w:val="0"/>
              <w:snapToGrid w:val="0"/>
              <w:rPr>
                <w:color w:val="000000" w:themeColor="text1"/>
                <w:sz w:val="28"/>
                <w:szCs w:val="28"/>
              </w:rPr>
            </w:pPr>
          </w:p>
        </w:tc>
        <w:tc>
          <w:tcPr>
            <w:tcW w:w="4837" w:type="dxa"/>
          </w:tcPr>
          <w:p w:rsidR="005A0F04" w:rsidRPr="009533D7" w:rsidRDefault="005A0F04" w:rsidP="00FB1C49">
            <w:pPr>
              <w:adjustRightInd w:val="0"/>
              <w:snapToGrid w:val="0"/>
              <w:rPr>
                <w:color w:val="000000" w:themeColor="text1"/>
                <w:sz w:val="28"/>
                <w:szCs w:val="28"/>
              </w:rPr>
            </w:pPr>
            <w:r w:rsidRPr="009533D7">
              <w:rPr>
                <w:color w:val="000000" w:themeColor="text1"/>
                <w:sz w:val="28"/>
                <w:szCs w:val="28"/>
              </w:rPr>
              <w:t>供為生產嬰幼兒穀物類輔助食品</w:t>
            </w:r>
            <w:r w:rsidRPr="009533D7">
              <w:rPr>
                <w:color w:val="000000" w:themeColor="text1"/>
                <w:sz w:val="28"/>
                <w:szCs w:val="28"/>
                <w:vertAlign w:val="superscript"/>
              </w:rPr>
              <w:t>(10)</w:t>
            </w:r>
            <w:r w:rsidRPr="009533D7">
              <w:rPr>
                <w:color w:val="000000" w:themeColor="text1"/>
                <w:sz w:val="28"/>
                <w:szCs w:val="28"/>
              </w:rPr>
              <w:t>及嬰幼兒副食品</w:t>
            </w:r>
            <w:r w:rsidRPr="009533D7">
              <w:rPr>
                <w:color w:val="000000" w:themeColor="text1"/>
                <w:sz w:val="28"/>
                <w:szCs w:val="28"/>
                <w:vertAlign w:val="superscript"/>
              </w:rPr>
              <w:t>(11)</w:t>
            </w:r>
            <w:r w:rsidRPr="009533D7">
              <w:rPr>
                <w:color w:val="000000" w:themeColor="text1"/>
                <w:sz w:val="28"/>
                <w:szCs w:val="28"/>
              </w:rPr>
              <w:t>之植物性食用油脂、魚油及海洋生物油脂</w:t>
            </w:r>
          </w:p>
        </w:tc>
        <w:tc>
          <w:tcPr>
            <w:tcW w:w="1542" w:type="dxa"/>
            <w:vAlign w:val="center"/>
          </w:tcPr>
          <w:p w:rsidR="005A0F04" w:rsidRPr="009533D7" w:rsidRDefault="005A0F04" w:rsidP="00FB1C49">
            <w:pPr>
              <w:adjustRightInd w:val="0"/>
              <w:snapToGrid w:val="0"/>
              <w:jc w:val="right"/>
              <w:rPr>
                <w:color w:val="000000" w:themeColor="text1"/>
                <w:sz w:val="28"/>
                <w:szCs w:val="28"/>
              </w:rPr>
            </w:pPr>
            <w:r w:rsidRPr="009533D7">
              <w:rPr>
                <w:rFonts w:hint="eastAsia"/>
                <w:color w:val="000000" w:themeColor="text1"/>
                <w:sz w:val="28"/>
                <w:szCs w:val="28"/>
              </w:rPr>
              <w:t>500</w:t>
            </w:r>
          </w:p>
        </w:tc>
      </w:tr>
    </w:tbl>
    <w:p w:rsidR="005A0F04" w:rsidRPr="009533D7" w:rsidRDefault="005A0F04" w:rsidP="00382983">
      <w:pPr>
        <w:pStyle w:val="3"/>
        <w:numPr>
          <w:ilvl w:val="0"/>
          <w:numId w:val="0"/>
        </w:numPr>
        <w:spacing w:line="260" w:lineRule="exact"/>
        <w:ind w:left="1418"/>
        <w:rPr>
          <w:color w:val="000000" w:themeColor="text1"/>
          <w:sz w:val="24"/>
          <w:szCs w:val="28"/>
        </w:rPr>
      </w:pPr>
      <w:r w:rsidRPr="009533D7">
        <w:rPr>
          <w:rFonts w:hint="eastAsia"/>
          <w:color w:val="000000" w:themeColor="text1"/>
          <w:sz w:val="24"/>
          <w:szCs w:val="28"/>
        </w:rPr>
        <w:t>備註：</w:t>
      </w:r>
    </w:p>
    <w:p w:rsidR="005A0F04" w:rsidRPr="009533D7" w:rsidRDefault="005A0F04" w:rsidP="00382983">
      <w:pPr>
        <w:pStyle w:val="3"/>
        <w:numPr>
          <w:ilvl w:val="0"/>
          <w:numId w:val="0"/>
        </w:numPr>
        <w:spacing w:line="260" w:lineRule="exact"/>
        <w:ind w:leftChars="410" w:left="1777" w:hangingChars="147" w:hanging="382"/>
        <w:rPr>
          <w:color w:val="000000" w:themeColor="text1"/>
          <w:sz w:val="24"/>
          <w:szCs w:val="24"/>
        </w:rPr>
      </w:pPr>
      <w:r w:rsidRPr="009533D7">
        <w:rPr>
          <w:rFonts w:hint="eastAsia"/>
          <w:color w:val="000000" w:themeColor="text1"/>
          <w:sz w:val="24"/>
          <w:szCs w:val="24"/>
        </w:rPr>
        <w:t>(5)本標準所稱之「嬰兒(infant)」，</w:t>
      </w:r>
      <w:proofErr w:type="gramStart"/>
      <w:r w:rsidRPr="009533D7">
        <w:rPr>
          <w:rFonts w:hint="eastAsia"/>
          <w:color w:val="000000" w:themeColor="text1"/>
          <w:sz w:val="24"/>
          <w:szCs w:val="24"/>
        </w:rPr>
        <w:t>係指足月</w:t>
      </w:r>
      <w:proofErr w:type="gramEnd"/>
      <w:r w:rsidRPr="009533D7">
        <w:rPr>
          <w:rFonts w:hint="eastAsia"/>
          <w:color w:val="000000" w:themeColor="text1"/>
          <w:sz w:val="24"/>
          <w:szCs w:val="24"/>
        </w:rPr>
        <w:t>生產至年齡未滿十</w:t>
      </w:r>
      <w:r w:rsidRPr="009533D7">
        <w:rPr>
          <w:rFonts w:hint="eastAsia"/>
          <w:color w:val="000000" w:themeColor="text1"/>
          <w:sz w:val="24"/>
          <w:szCs w:val="24"/>
        </w:rPr>
        <w:lastRenderedPageBreak/>
        <w:t>二個月者；本標準所稱之「幼兒(young child)」，係指年齡為十二</w:t>
      </w:r>
      <w:proofErr w:type="gramStart"/>
      <w:r w:rsidRPr="009533D7">
        <w:rPr>
          <w:rFonts w:hint="eastAsia"/>
          <w:color w:val="000000" w:themeColor="text1"/>
          <w:sz w:val="24"/>
          <w:szCs w:val="24"/>
        </w:rPr>
        <w:t>個</w:t>
      </w:r>
      <w:proofErr w:type="gramEnd"/>
      <w:r w:rsidRPr="009533D7">
        <w:rPr>
          <w:rFonts w:hint="eastAsia"/>
          <w:color w:val="000000" w:themeColor="text1"/>
          <w:sz w:val="24"/>
          <w:szCs w:val="24"/>
        </w:rPr>
        <w:t>月以上至三歲(三十六個月)者。</w:t>
      </w:r>
    </w:p>
    <w:p w:rsidR="005A0F04" w:rsidRPr="009533D7" w:rsidRDefault="005A0F04" w:rsidP="00382983">
      <w:pPr>
        <w:pStyle w:val="3"/>
        <w:numPr>
          <w:ilvl w:val="0"/>
          <w:numId w:val="0"/>
        </w:numPr>
        <w:spacing w:line="260" w:lineRule="exact"/>
        <w:ind w:leftChars="410" w:left="1777" w:hangingChars="147" w:hanging="382"/>
        <w:rPr>
          <w:color w:val="000000" w:themeColor="text1"/>
          <w:sz w:val="24"/>
          <w:szCs w:val="24"/>
        </w:rPr>
      </w:pPr>
      <w:r w:rsidRPr="009533D7">
        <w:rPr>
          <w:color w:val="000000" w:themeColor="text1"/>
          <w:sz w:val="24"/>
          <w:szCs w:val="24"/>
        </w:rPr>
        <w:t>(6)嬰兒配方食品(infant formula)：指特製之母乳替代品，在採用適當之輔助食品前，單獨食用即可滿足正常足月新生兒至六個月內嬰兒之營養需要。</w:t>
      </w:r>
    </w:p>
    <w:p w:rsidR="005A0F04" w:rsidRPr="009533D7" w:rsidRDefault="005A0F04" w:rsidP="00382983">
      <w:pPr>
        <w:pStyle w:val="3"/>
        <w:numPr>
          <w:ilvl w:val="0"/>
          <w:numId w:val="0"/>
        </w:numPr>
        <w:spacing w:line="260" w:lineRule="exact"/>
        <w:ind w:leftChars="410" w:left="1777" w:hangingChars="147" w:hanging="382"/>
        <w:rPr>
          <w:color w:val="000000" w:themeColor="text1"/>
          <w:sz w:val="24"/>
          <w:szCs w:val="24"/>
        </w:rPr>
      </w:pPr>
      <w:r w:rsidRPr="009533D7">
        <w:rPr>
          <w:rFonts w:hint="eastAsia"/>
          <w:color w:val="000000" w:themeColor="text1"/>
          <w:sz w:val="24"/>
          <w:szCs w:val="24"/>
        </w:rPr>
        <w:t>(7)</w:t>
      </w:r>
      <w:r w:rsidRPr="009533D7">
        <w:rPr>
          <w:color w:val="000000" w:themeColor="text1"/>
          <w:sz w:val="24"/>
          <w:szCs w:val="24"/>
        </w:rPr>
        <w:t>較大嬰兒配方輔助食品(follow-up infant formula)：</w:t>
      </w:r>
      <w:proofErr w:type="gramStart"/>
      <w:r w:rsidRPr="009533D7">
        <w:rPr>
          <w:color w:val="000000" w:themeColor="text1"/>
          <w:sz w:val="24"/>
          <w:szCs w:val="24"/>
        </w:rPr>
        <w:t>指供六個月</w:t>
      </w:r>
      <w:proofErr w:type="gramEnd"/>
      <w:r w:rsidRPr="009533D7">
        <w:rPr>
          <w:color w:val="000000" w:themeColor="text1"/>
          <w:sz w:val="24"/>
          <w:szCs w:val="24"/>
        </w:rPr>
        <w:t>以上至十二個月之較大嬰兒，於斷奶過程中，配合嬰兒副食品所使用之配方食品，但不適用於未滿六個月之嬰兒單獨使用。</w:t>
      </w:r>
    </w:p>
    <w:p w:rsidR="005A0F04" w:rsidRPr="009533D7" w:rsidRDefault="005A0F04" w:rsidP="00382983">
      <w:pPr>
        <w:pStyle w:val="3"/>
        <w:numPr>
          <w:ilvl w:val="0"/>
          <w:numId w:val="0"/>
        </w:numPr>
        <w:spacing w:line="260" w:lineRule="exact"/>
        <w:ind w:leftChars="410" w:left="1777" w:hangingChars="147" w:hanging="382"/>
        <w:rPr>
          <w:color w:val="000000" w:themeColor="text1"/>
          <w:sz w:val="24"/>
          <w:szCs w:val="24"/>
        </w:rPr>
      </w:pPr>
      <w:r w:rsidRPr="009533D7">
        <w:rPr>
          <w:rFonts w:hint="eastAsia"/>
          <w:color w:val="000000" w:themeColor="text1"/>
          <w:sz w:val="24"/>
          <w:szCs w:val="24"/>
        </w:rPr>
        <w:t>(9)</w:t>
      </w:r>
      <w:r w:rsidRPr="009533D7">
        <w:rPr>
          <w:color w:val="000000" w:themeColor="text1"/>
          <w:sz w:val="24"/>
          <w:szCs w:val="24"/>
        </w:rPr>
        <w:t>特殊醫療用途嬰兒配方食品(Infant formula for special medical purposes)：指特製之母乳或嬰兒配方食品之替代品，單獨食用即可滿足出生數月內患有 失調、疾病或醫療狀況之嬰兒之特殊營養需求，直到較大時再採用適當之輔助</w:t>
      </w:r>
      <w:r w:rsidRPr="009533D7">
        <w:rPr>
          <w:rFonts w:hint="eastAsia"/>
          <w:color w:val="000000" w:themeColor="text1"/>
          <w:sz w:val="24"/>
          <w:szCs w:val="24"/>
        </w:rPr>
        <w:t>食品。</w:t>
      </w:r>
    </w:p>
    <w:p w:rsidR="005A0F04" w:rsidRPr="009533D7" w:rsidRDefault="005A0F04" w:rsidP="00382983">
      <w:pPr>
        <w:pStyle w:val="3"/>
        <w:numPr>
          <w:ilvl w:val="0"/>
          <w:numId w:val="0"/>
        </w:numPr>
        <w:spacing w:line="260" w:lineRule="exact"/>
        <w:ind w:leftChars="410" w:left="1931" w:hangingChars="206" w:hanging="536"/>
        <w:rPr>
          <w:color w:val="000000" w:themeColor="text1"/>
          <w:sz w:val="24"/>
          <w:szCs w:val="24"/>
        </w:rPr>
      </w:pPr>
      <w:r w:rsidRPr="009533D7">
        <w:rPr>
          <w:rFonts w:hint="eastAsia"/>
          <w:color w:val="000000" w:themeColor="text1"/>
          <w:sz w:val="24"/>
          <w:szCs w:val="24"/>
        </w:rPr>
        <w:t>(10)</w:t>
      </w:r>
      <w:r w:rsidRPr="009533D7">
        <w:rPr>
          <w:color w:val="000000" w:themeColor="text1"/>
          <w:sz w:val="24"/>
          <w:szCs w:val="24"/>
        </w:rPr>
        <w:t>嬰幼兒穀物類輔助食品(Cereal based foods for infant and young child)：專為滿足嬰兒斷奶後之健康需求以及輔助幼兒逐步適應一般食品及補充營養之穀物 類食品，包括須以牛奶或水等液體復原後食用之穀物、麵食、麵包及餅乾等。</w:t>
      </w:r>
    </w:p>
    <w:p w:rsidR="005A0F04" w:rsidRPr="009533D7" w:rsidRDefault="005A0F04" w:rsidP="00382983">
      <w:pPr>
        <w:pStyle w:val="3"/>
        <w:numPr>
          <w:ilvl w:val="0"/>
          <w:numId w:val="0"/>
        </w:numPr>
        <w:spacing w:line="260" w:lineRule="exact"/>
        <w:ind w:leftChars="410" w:left="1931" w:hangingChars="206" w:hanging="536"/>
        <w:rPr>
          <w:color w:val="000000" w:themeColor="text1"/>
          <w:sz w:val="24"/>
          <w:szCs w:val="24"/>
        </w:rPr>
      </w:pPr>
      <w:r w:rsidRPr="009533D7">
        <w:rPr>
          <w:color w:val="000000" w:themeColor="text1"/>
          <w:sz w:val="24"/>
          <w:szCs w:val="24"/>
        </w:rPr>
        <w:t>(11)嬰幼兒副食品(Baby food):專為滿足嬰兒斷奶後之健康需求以及輔助幼兒逐步適應一般食品及補充營養之食品，不包括嬰幼兒穀物類輔助食品及以乳為</w:t>
      </w:r>
      <w:proofErr w:type="gramStart"/>
      <w:r w:rsidRPr="009533D7">
        <w:rPr>
          <w:color w:val="000000" w:themeColor="text1"/>
          <w:sz w:val="24"/>
          <w:szCs w:val="24"/>
        </w:rPr>
        <w:t>基質成</w:t>
      </w:r>
      <w:proofErr w:type="gramEnd"/>
      <w:r w:rsidRPr="009533D7">
        <w:rPr>
          <w:color w:val="000000" w:themeColor="text1"/>
          <w:sz w:val="24"/>
          <w:szCs w:val="24"/>
        </w:rPr>
        <w:t>分之飲料及其製品。</w:t>
      </w:r>
    </w:p>
    <w:p w:rsidR="005A0F04" w:rsidRPr="009533D7" w:rsidRDefault="005A0F04" w:rsidP="00382983">
      <w:pPr>
        <w:pStyle w:val="3"/>
        <w:numPr>
          <w:ilvl w:val="0"/>
          <w:numId w:val="0"/>
        </w:numPr>
        <w:spacing w:line="260" w:lineRule="exact"/>
        <w:ind w:leftChars="410" w:left="1699" w:hangingChars="117" w:hanging="304"/>
        <w:rPr>
          <w:color w:val="000000" w:themeColor="text1"/>
          <w:sz w:val="24"/>
          <w:szCs w:val="24"/>
        </w:rPr>
      </w:pPr>
      <w:r w:rsidRPr="009533D7">
        <w:rPr>
          <w:rFonts w:hint="eastAsia"/>
          <w:color w:val="000000" w:themeColor="text1"/>
          <w:sz w:val="24"/>
          <w:szCs w:val="24"/>
        </w:rPr>
        <w:t>(19</w:t>
      </w:r>
      <w:r w:rsidRPr="009533D7">
        <w:rPr>
          <w:color w:val="000000" w:themeColor="text1"/>
          <w:sz w:val="24"/>
          <w:szCs w:val="24"/>
        </w:rPr>
        <w:t>)未經精煉程序之初榨油脂不適用。</w:t>
      </w:r>
    </w:p>
    <w:p w:rsidR="00BC6108" w:rsidRPr="009533D7" w:rsidRDefault="00BC6108" w:rsidP="00782987">
      <w:pPr>
        <w:rPr>
          <w:color w:val="000000" w:themeColor="text1"/>
        </w:rPr>
      </w:pPr>
    </w:p>
    <w:p w:rsidR="003D605A" w:rsidRDefault="005A0F04" w:rsidP="003D605A">
      <w:pPr>
        <w:pStyle w:val="3"/>
        <w:rPr>
          <w:color w:val="000000" w:themeColor="text1"/>
        </w:rPr>
      </w:pPr>
      <w:r w:rsidRPr="009533D7">
        <w:rPr>
          <w:rFonts w:hint="eastAsia"/>
          <w:color w:val="000000" w:themeColor="text1"/>
        </w:rPr>
        <w:t>由上得知，</w:t>
      </w:r>
      <w:r w:rsidR="003D605A" w:rsidRPr="009533D7">
        <w:rPr>
          <w:rFonts w:hint="eastAsia"/>
          <w:color w:val="000000" w:themeColor="text1"/>
        </w:rPr>
        <w:t>關於嬰兒配方食品、較大嬰兒配方輔助食品及特殊醫療用途嬰/幼兒配方食品之GE</w:t>
      </w:r>
      <w:r w:rsidR="003D605A" w:rsidRPr="009533D7">
        <w:rPr>
          <w:color w:val="000000" w:themeColor="text1"/>
        </w:rPr>
        <w:t>s</w:t>
      </w:r>
      <w:r w:rsidR="003D605A" w:rsidRPr="009533D7">
        <w:rPr>
          <w:rFonts w:hint="eastAsia"/>
          <w:color w:val="000000" w:themeColor="text1"/>
        </w:rPr>
        <w:t>限量標準，已自110年7月1日實施；至於食用油脂中GEs之限量標準，終於111年1月26日預公告，自113年1月1日實施，</w:t>
      </w:r>
      <w:proofErr w:type="gramStart"/>
      <w:r w:rsidR="003D605A" w:rsidRPr="009533D7">
        <w:rPr>
          <w:rFonts w:hint="eastAsia"/>
          <w:color w:val="000000" w:themeColor="text1"/>
        </w:rPr>
        <w:t>食藥署允</w:t>
      </w:r>
      <w:proofErr w:type="gramEnd"/>
      <w:r w:rsidR="003D605A" w:rsidRPr="009533D7">
        <w:rPr>
          <w:rFonts w:hint="eastAsia"/>
          <w:color w:val="000000" w:themeColor="text1"/>
        </w:rPr>
        <w:t>應儘速完成法制作業程序；另由於食用油脂中GEs之限量標準規定，</w:t>
      </w:r>
      <w:proofErr w:type="gramStart"/>
      <w:r w:rsidR="003D605A" w:rsidRPr="009533D7">
        <w:rPr>
          <w:rFonts w:hint="eastAsia"/>
          <w:color w:val="000000" w:themeColor="text1"/>
        </w:rPr>
        <w:t>衛福部</w:t>
      </w:r>
      <w:proofErr w:type="gramEnd"/>
      <w:r w:rsidR="003D605A" w:rsidRPr="009533D7">
        <w:rPr>
          <w:rFonts w:hint="eastAsia"/>
          <w:color w:val="000000" w:themeColor="text1"/>
        </w:rPr>
        <w:t>預計自113年1月1日才實施，因IARC已將GE</w:t>
      </w:r>
      <w:r w:rsidR="003D605A" w:rsidRPr="009533D7">
        <w:rPr>
          <w:color w:val="000000" w:themeColor="text1"/>
        </w:rPr>
        <w:t>s</w:t>
      </w:r>
      <w:r w:rsidR="003D605A" w:rsidRPr="009533D7">
        <w:rPr>
          <w:rFonts w:hint="eastAsia"/>
          <w:color w:val="000000" w:themeColor="text1"/>
        </w:rPr>
        <w:t>列為2A級致癌物質，為避免不符合歐盟標準油品轉輸入至我國，</w:t>
      </w:r>
      <w:proofErr w:type="gramStart"/>
      <w:r w:rsidR="003D605A" w:rsidRPr="009533D7">
        <w:rPr>
          <w:rFonts w:hint="eastAsia"/>
          <w:color w:val="000000" w:themeColor="text1"/>
        </w:rPr>
        <w:t>食藥署</w:t>
      </w:r>
      <w:proofErr w:type="gramEnd"/>
      <w:r w:rsidR="003D605A" w:rsidRPr="009533D7">
        <w:rPr>
          <w:rFonts w:hint="eastAsia"/>
          <w:color w:val="000000" w:themeColor="text1"/>
        </w:rPr>
        <w:t>應加強追蹤宣導、採取相關配套管理措施，並輔導國內業者二次精煉等加工作業、減少GE</w:t>
      </w:r>
      <w:r w:rsidR="003D605A" w:rsidRPr="009533D7">
        <w:rPr>
          <w:color w:val="000000" w:themeColor="text1"/>
        </w:rPr>
        <w:t>s</w:t>
      </w:r>
      <w:r w:rsidR="003D605A" w:rsidRPr="009533D7">
        <w:rPr>
          <w:rFonts w:hint="eastAsia"/>
          <w:color w:val="000000" w:themeColor="text1"/>
        </w:rPr>
        <w:t>含量，以確保國人飲食安全。</w:t>
      </w:r>
    </w:p>
    <w:p w:rsidR="00E25849" w:rsidRPr="009533D7" w:rsidRDefault="00E25849" w:rsidP="004E05A1">
      <w:pPr>
        <w:pStyle w:val="1"/>
        <w:ind w:left="2380" w:hanging="2380"/>
        <w:rPr>
          <w:color w:val="000000" w:themeColor="text1"/>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sidRPr="009533D7">
        <w:rPr>
          <w:rFonts w:hint="eastAsia"/>
          <w:color w:val="000000" w:themeColor="text1"/>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D525E4" w:rsidRPr="009533D7">
        <w:rPr>
          <w:color w:val="000000" w:themeColor="text1"/>
        </w:rPr>
        <w:t xml:space="preserve"> </w:t>
      </w:r>
    </w:p>
    <w:p w:rsidR="00770453" w:rsidRPr="009533D7" w:rsidRDefault="00D525E4" w:rsidP="00E3252D">
      <w:pPr>
        <w:pStyle w:val="2"/>
        <w:numPr>
          <w:ilvl w:val="0"/>
          <w:numId w:val="0"/>
        </w:numPr>
        <w:spacing w:beforeLines="25" w:before="114"/>
        <w:ind w:leftChars="208" w:left="708" w:firstLineChars="208" w:firstLine="708"/>
        <w:rPr>
          <w:b/>
          <w:bCs w:val="0"/>
          <w:color w:val="000000" w:themeColor="text1"/>
          <w:spacing w:val="12"/>
          <w:kern w:val="0"/>
          <w:sz w:val="40"/>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9533D7">
        <w:rPr>
          <w:rFonts w:hint="eastAsia"/>
          <w:color w:val="000000" w:themeColor="text1"/>
        </w:rPr>
        <w:t>調查意見一、二，</w:t>
      </w:r>
      <w:bookmarkStart w:id="103" w:name="_Toc421794877"/>
      <w:bookmarkStart w:id="104" w:name="_Toc421795443"/>
      <w:bookmarkStart w:id="105" w:name="_Toc421796024"/>
      <w:bookmarkStart w:id="106" w:name="_Toc422728959"/>
      <w:bookmarkStart w:id="107" w:name="_Toc422834162"/>
      <w:bookmarkEnd w:id="77"/>
      <w:bookmarkEnd w:id="78"/>
      <w:bookmarkEnd w:id="79"/>
      <w:bookmarkEnd w:id="80"/>
      <w:bookmarkEnd w:id="81"/>
      <w:bookmarkEnd w:id="82"/>
      <w:bookmarkEnd w:id="83"/>
      <w:r w:rsidRPr="009533D7">
        <w:rPr>
          <w:rFonts w:hint="eastAsia"/>
          <w:color w:val="000000" w:themeColor="text1"/>
        </w:rPr>
        <w:t>函請衛生</w:t>
      </w:r>
      <w:proofErr w:type="gramStart"/>
      <w:r w:rsidRPr="009533D7">
        <w:rPr>
          <w:rFonts w:hint="eastAsia"/>
          <w:color w:val="000000" w:themeColor="text1"/>
        </w:rPr>
        <w:t>福利部督同</w:t>
      </w:r>
      <w:proofErr w:type="gramEnd"/>
      <w:r w:rsidRPr="009533D7">
        <w:rPr>
          <w:rFonts w:hint="eastAsia"/>
          <w:color w:val="000000" w:themeColor="text1"/>
        </w:rPr>
        <w:t>食品藥物管理署確實檢討改進</w:t>
      </w:r>
      <w:proofErr w:type="gramStart"/>
      <w:r w:rsidRPr="009533D7">
        <w:rPr>
          <w:rFonts w:hint="eastAsia"/>
          <w:color w:val="000000" w:themeColor="text1"/>
        </w:rPr>
        <w:t>見復。</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roofErr w:type="gramEnd"/>
    </w:p>
    <w:p w:rsidR="00E25849" w:rsidRPr="009533D7" w:rsidRDefault="00E25849" w:rsidP="0080325C">
      <w:pPr>
        <w:pStyle w:val="ab"/>
        <w:spacing w:beforeLines="100" w:before="457" w:after="0"/>
        <w:ind w:leftChars="958" w:left="3739" w:hangingChars="108" w:hanging="480"/>
        <w:rPr>
          <w:rFonts w:hAnsi="標楷體"/>
          <w:bCs/>
          <w:color w:val="000000" w:themeColor="text1"/>
        </w:rPr>
      </w:pPr>
      <w:bookmarkStart w:id="108" w:name="_GoBack"/>
      <w:bookmarkEnd w:id="108"/>
      <w:r w:rsidRPr="009533D7">
        <w:rPr>
          <w:rFonts w:hint="eastAsia"/>
          <w:b w:val="0"/>
          <w:bCs/>
          <w:snapToGrid/>
          <w:color w:val="000000" w:themeColor="text1"/>
          <w:spacing w:val="12"/>
          <w:kern w:val="0"/>
          <w:sz w:val="40"/>
        </w:rPr>
        <w:t>調查委員：</w:t>
      </w:r>
      <w:r w:rsidR="00000EB0">
        <w:rPr>
          <w:rFonts w:hint="eastAsia"/>
          <w:b w:val="0"/>
          <w:bCs/>
          <w:snapToGrid/>
          <w:color w:val="000000" w:themeColor="text1"/>
          <w:spacing w:val="12"/>
          <w:kern w:val="0"/>
          <w:sz w:val="40"/>
        </w:rPr>
        <w:t>田秋</w:t>
      </w:r>
      <w:proofErr w:type="gramStart"/>
      <w:r w:rsidR="00000EB0">
        <w:rPr>
          <w:rFonts w:hint="eastAsia"/>
          <w:b w:val="0"/>
          <w:bCs/>
          <w:snapToGrid/>
          <w:color w:val="000000" w:themeColor="text1"/>
          <w:spacing w:val="12"/>
          <w:kern w:val="0"/>
          <w:sz w:val="40"/>
        </w:rPr>
        <w:t>堇</w:t>
      </w:r>
      <w:proofErr w:type="gramEnd"/>
      <w:r w:rsidR="00E3252D">
        <w:rPr>
          <w:rFonts w:hAnsi="標楷體" w:hint="eastAsia"/>
          <w:b w:val="0"/>
          <w:bCs/>
          <w:snapToGrid/>
          <w:color w:val="000000" w:themeColor="text1"/>
          <w:spacing w:val="12"/>
          <w:kern w:val="0"/>
          <w:sz w:val="40"/>
        </w:rPr>
        <w:t>、</w:t>
      </w:r>
      <w:r w:rsidR="00E3252D">
        <w:rPr>
          <w:rFonts w:hint="eastAsia"/>
          <w:b w:val="0"/>
          <w:bCs/>
          <w:snapToGrid/>
          <w:color w:val="000000" w:themeColor="text1"/>
          <w:spacing w:val="12"/>
          <w:kern w:val="0"/>
          <w:sz w:val="40"/>
        </w:rPr>
        <w:t>蔡崇義</w:t>
      </w:r>
    </w:p>
    <w:sectPr w:rsidR="00E25849" w:rsidRPr="009533D7" w:rsidSect="00C27210">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F68" w:rsidRDefault="008C5F68">
      <w:r>
        <w:separator/>
      </w:r>
    </w:p>
  </w:endnote>
  <w:endnote w:type="continuationSeparator" w:id="0">
    <w:p w:rsidR="008C5F68" w:rsidRDefault="008C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667935"/>
      <w:docPartObj>
        <w:docPartGallery w:val="Page Numbers (Bottom of Page)"/>
        <w:docPartUnique/>
      </w:docPartObj>
    </w:sdtPr>
    <w:sdtEndPr/>
    <w:sdtContent>
      <w:p w:rsidR="00C27210" w:rsidRDefault="00C27210">
        <w:pPr>
          <w:pStyle w:val="af5"/>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F68" w:rsidRDefault="008C5F68">
      <w:r>
        <w:separator/>
      </w:r>
    </w:p>
  </w:footnote>
  <w:footnote w:type="continuationSeparator" w:id="0">
    <w:p w:rsidR="008C5F68" w:rsidRDefault="008C5F68">
      <w:r>
        <w:continuationSeparator/>
      </w:r>
    </w:p>
  </w:footnote>
  <w:footnote w:id="1">
    <w:p w:rsidR="002D02B1" w:rsidRPr="000A256B" w:rsidRDefault="002D02B1">
      <w:pPr>
        <w:pStyle w:val="aff"/>
      </w:pPr>
      <w:r>
        <w:rPr>
          <w:rStyle w:val="aff1"/>
        </w:rPr>
        <w:footnoteRef/>
      </w:r>
      <w:r>
        <w:t xml:space="preserve"> </w:t>
      </w:r>
      <w:r>
        <w:rPr>
          <w:rFonts w:hint="eastAsia"/>
        </w:rPr>
        <w:t>食安法第22條第1項第2款規定：「</w:t>
      </w:r>
      <w:r w:rsidRPr="000A256B">
        <w:rPr>
          <w:rFonts w:hint="eastAsia"/>
        </w:rPr>
        <w:t>食品及食品原料之容器或外包裝，應以中文及通用符號，明顯標示下列事項：</w:t>
      </w:r>
      <w:r>
        <w:rPr>
          <w:rFonts w:hint="eastAsia"/>
        </w:rPr>
        <w:t>…</w:t>
      </w:r>
      <w:proofErr w:type="gramStart"/>
      <w:r>
        <w:rPr>
          <w:rFonts w:hint="eastAsia"/>
        </w:rPr>
        <w:t>…</w:t>
      </w:r>
      <w:proofErr w:type="gramEnd"/>
      <w:r w:rsidRPr="000A256B">
        <w:rPr>
          <w:rFonts w:hint="eastAsia"/>
        </w:rPr>
        <w:t>二、內容物名稱；其為二種以上混合物時，</w:t>
      </w:r>
      <w:r w:rsidRPr="000A256B">
        <w:rPr>
          <w:rFonts w:hint="eastAsia"/>
          <w:b/>
        </w:rPr>
        <w:t>應依其含量多寡由高至低分別標示之</w:t>
      </w:r>
      <w:r w:rsidRPr="000A256B">
        <w:rPr>
          <w:rFonts w:hint="eastAsia"/>
        </w:rPr>
        <w:t>。</w:t>
      </w:r>
      <w:r>
        <w:rPr>
          <w:rFonts w:hint="eastAsia"/>
        </w:rPr>
        <w:t>」</w:t>
      </w:r>
    </w:p>
  </w:footnote>
  <w:footnote w:id="2">
    <w:p w:rsidR="002D02B1" w:rsidRDefault="002D02B1" w:rsidP="00BA7483">
      <w:pPr>
        <w:pStyle w:val="aff"/>
        <w:wordWrap w:val="0"/>
      </w:pPr>
      <w:r>
        <w:rPr>
          <w:rStyle w:val="aff1"/>
        </w:rPr>
        <w:footnoteRef/>
      </w:r>
      <w:r>
        <w:t xml:space="preserve"> </w:t>
      </w:r>
      <w:r>
        <w:rPr>
          <w:rFonts w:hint="eastAsia"/>
        </w:rPr>
        <w:t>邱文聰研究員意見書，網址：</w:t>
      </w:r>
      <w:r w:rsidRPr="003C5925">
        <w:t>https://cons.judicial.gov.tw/docdata.aspx?fid=2203&amp;id=339726#section4</w:t>
      </w:r>
      <w:r>
        <w:rPr>
          <w:rFonts w:hint="eastAsia"/>
        </w:rPr>
        <w:t>。</w:t>
      </w:r>
    </w:p>
  </w:footnote>
  <w:footnote w:id="3">
    <w:p w:rsidR="002D02B1" w:rsidRDefault="002D02B1" w:rsidP="00BA7483">
      <w:pPr>
        <w:pStyle w:val="aff"/>
        <w:wordWrap w:val="0"/>
      </w:pPr>
      <w:r>
        <w:rPr>
          <w:rStyle w:val="aff1"/>
        </w:rPr>
        <w:footnoteRef/>
      </w:r>
      <w:r>
        <w:t xml:space="preserve"> </w:t>
      </w:r>
      <w:r>
        <w:rPr>
          <w:rFonts w:hint="eastAsia"/>
        </w:rPr>
        <w:t>林勤富副教授意見書，網址：</w:t>
      </w:r>
      <w:r w:rsidRPr="003C5925">
        <w:t>https://cons.judicial.gov.tw/download/download.aspx?id=328988</w:t>
      </w:r>
      <w:r>
        <w:rPr>
          <w:rFonts w:hint="eastAsia"/>
        </w:rPr>
        <w:t>。</w:t>
      </w:r>
    </w:p>
  </w:footnote>
  <w:footnote w:id="4">
    <w:p w:rsidR="002D02B1" w:rsidRDefault="002D02B1" w:rsidP="00BA7483">
      <w:pPr>
        <w:pStyle w:val="aff"/>
        <w:wordWrap w:val="0"/>
      </w:pPr>
      <w:r>
        <w:rPr>
          <w:rStyle w:val="aff1"/>
        </w:rPr>
        <w:footnoteRef/>
      </w:r>
      <w:r>
        <w:t xml:space="preserve"> </w:t>
      </w:r>
      <w:proofErr w:type="gramStart"/>
      <w:r w:rsidRPr="003117D2">
        <w:rPr>
          <w:rFonts w:hint="eastAsia"/>
        </w:rPr>
        <w:t>賴恆盈</w:t>
      </w:r>
      <w:proofErr w:type="gramEnd"/>
      <w:r>
        <w:rPr>
          <w:rFonts w:hint="eastAsia"/>
        </w:rPr>
        <w:t>，</w:t>
      </w:r>
      <w:r w:rsidRPr="003117D2">
        <w:rPr>
          <w:rFonts w:hint="eastAsia"/>
        </w:rPr>
        <w:t>風險社會之行政管制課題序說</w:t>
      </w:r>
      <w:r>
        <w:rPr>
          <w:rFonts w:hint="eastAsia"/>
        </w:rPr>
        <w:t>，網址：</w:t>
      </w:r>
      <w:r w:rsidRPr="003117D2">
        <w:t>https://www-ws.gov.taipei/Download.ashx?u=LzAwMS9VcGxvYWQvMzc1L3JlbGZpbGUvMTkwMjAvMzIyMjQwNy82OTIyMTAxODQwNzEucGRm&amp;n=NjkyMjEwMTg0MDcxLnBkZg%3D%3D</w:t>
      </w:r>
      <w:r>
        <w:rPr>
          <w:rFonts w:hint="eastAsia"/>
        </w:rPr>
        <w:t>。</w:t>
      </w:r>
    </w:p>
  </w:footnote>
  <w:footnote w:id="5">
    <w:p w:rsidR="002D02B1" w:rsidRPr="004E03F1" w:rsidRDefault="002D02B1" w:rsidP="00BA7483">
      <w:pPr>
        <w:pStyle w:val="aff"/>
        <w:wordWrap w:val="0"/>
      </w:pPr>
      <w:r>
        <w:rPr>
          <w:rStyle w:val="aff1"/>
        </w:rPr>
        <w:footnoteRef/>
      </w:r>
      <w:r>
        <w:t xml:space="preserve"> </w:t>
      </w:r>
      <w:r>
        <w:rPr>
          <w:rFonts w:hint="eastAsia"/>
        </w:rPr>
        <w:t>按食品安全衛生管理法第4條第3項規定，包含</w:t>
      </w:r>
      <w:r w:rsidRPr="004E03F1">
        <w:rPr>
          <w:rFonts w:hint="eastAsia"/>
        </w:rPr>
        <w:t>食品安全、營養學、醫學、</w:t>
      </w:r>
      <w:proofErr w:type="gramStart"/>
      <w:r w:rsidRPr="004E03F1">
        <w:rPr>
          <w:rFonts w:hint="eastAsia"/>
        </w:rPr>
        <w:t>毒理</w:t>
      </w:r>
      <w:proofErr w:type="gramEnd"/>
      <w:r w:rsidRPr="004E03F1">
        <w:rPr>
          <w:rFonts w:hint="eastAsia"/>
        </w:rPr>
        <w:t>、風險管理、農業、法律、人文社會領域</w:t>
      </w:r>
      <w:r>
        <w:rPr>
          <w:rFonts w:hint="eastAsia"/>
        </w:rPr>
        <w:t>。</w:t>
      </w:r>
    </w:p>
  </w:footnote>
  <w:footnote w:id="6">
    <w:p w:rsidR="002D02B1" w:rsidRDefault="002D02B1" w:rsidP="00BA7483">
      <w:pPr>
        <w:pStyle w:val="aff"/>
        <w:wordWrap w:val="0"/>
      </w:pPr>
      <w:r>
        <w:rPr>
          <w:rStyle w:val="aff1"/>
        </w:rPr>
        <w:footnoteRef/>
      </w:r>
      <w:r>
        <w:t xml:space="preserve"> </w:t>
      </w:r>
      <w:r>
        <w:rPr>
          <w:rFonts w:hint="eastAsia"/>
        </w:rPr>
        <w:t>陳新民，行政法，第3版，國立空中大學用書，頁1</w:t>
      </w:r>
      <w:r>
        <w:t>56</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E3888A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52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5528"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5301"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6"/>
  </w:num>
  <w:num w:numId="5">
    <w:abstractNumId w:val="4"/>
  </w:num>
  <w:num w:numId="6">
    <w:abstractNumId w:val="7"/>
  </w:num>
  <w:num w:numId="7">
    <w:abstractNumId w:val="2"/>
  </w:num>
  <w:num w:numId="8">
    <w:abstractNumId w:val="8"/>
  </w:num>
  <w:num w:numId="9">
    <w:abstractNumId w:val="5"/>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c7edc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EB0"/>
    <w:rsid w:val="00005675"/>
    <w:rsid w:val="00006961"/>
    <w:rsid w:val="000112BF"/>
    <w:rsid w:val="00012233"/>
    <w:rsid w:val="0001371B"/>
    <w:rsid w:val="000141EF"/>
    <w:rsid w:val="00017318"/>
    <w:rsid w:val="000229AD"/>
    <w:rsid w:val="000246F7"/>
    <w:rsid w:val="0003114D"/>
    <w:rsid w:val="00036D76"/>
    <w:rsid w:val="000424AC"/>
    <w:rsid w:val="00043304"/>
    <w:rsid w:val="00057F32"/>
    <w:rsid w:val="00062A25"/>
    <w:rsid w:val="0006415B"/>
    <w:rsid w:val="0007099B"/>
    <w:rsid w:val="00073CB5"/>
    <w:rsid w:val="0007425C"/>
    <w:rsid w:val="00074505"/>
    <w:rsid w:val="00077553"/>
    <w:rsid w:val="00081AA5"/>
    <w:rsid w:val="000851A2"/>
    <w:rsid w:val="0009352E"/>
    <w:rsid w:val="00096B96"/>
    <w:rsid w:val="000A256B"/>
    <w:rsid w:val="000A2F3F"/>
    <w:rsid w:val="000B0B4A"/>
    <w:rsid w:val="000B279A"/>
    <w:rsid w:val="000B61D2"/>
    <w:rsid w:val="000B70A7"/>
    <w:rsid w:val="000B73DD"/>
    <w:rsid w:val="000C495F"/>
    <w:rsid w:val="000C588A"/>
    <w:rsid w:val="000D66D9"/>
    <w:rsid w:val="000E1E8C"/>
    <w:rsid w:val="000E5F6F"/>
    <w:rsid w:val="000E6431"/>
    <w:rsid w:val="000F11F4"/>
    <w:rsid w:val="000F21A5"/>
    <w:rsid w:val="000F4ADD"/>
    <w:rsid w:val="000F6F3A"/>
    <w:rsid w:val="00102B9F"/>
    <w:rsid w:val="00112637"/>
    <w:rsid w:val="00112ABC"/>
    <w:rsid w:val="0012001E"/>
    <w:rsid w:val="001236E5"/>
    <w:rsid w:val="00126A55"/>
    <w:rsid w:val="0013312D"/>
    <w:rsid w:val="00133F08"/>
    <w:rsid w:val="001345E6"/>
    <w:rsid w:val="001378B0"/>
    <w:rsid w:val="00137C51"/>
    <w:rsid w:val="001407D7"/>
    <w:rsid w:val="00142E00"/>
    <w:rsid w:val="00152793"/>
    <w:rsid w:val="00153B7E"/>
    <w:rsid w:val="001545A9"/>
    <w:rsid w:val="001637C7"/>
    <w:rsid w:val="0016480E"/>
    <w:rsid w:val="00165B50"/>
    <w:rsid w:val="00167EFF"/>
    <w:rsid w:val="00173B81"/>
    <w:rsid w:val="00174297"/>
    <w:rsid w:val="00180E06"/>
    <w:rsid w:val="001817B3"/>
    <w:rsid w:val="00183014"/>
    <w:rsid w:val="0019215F"/>
    <w:rsid w:val="001959C2"/>
    <w:rsid w:val="001A51E3"/>
    <w:rsid w:val="001A7968"/>
    <w:rsid w:val="001B02A1"/>
    <w:rsid w:val="001B1A76"/>
    <w:rsid w:val="001B2E98"/>
    <w:rsid w:val="001B3483"/>
    <w:rsid w:val="001B3C1E"/>
    <w:rsid w:val="001B4494"/>
    <w:rsid w:val="001C0D8B"/>
    <w:rsid w:val="001C0DA8"/>
    <w:rsid w:val="001C3C02"/>
    <w:rsid w:val="001C7E79"/>
    <w:rsid w:val="001D17F7"/>
    <w:rsid w:val="001D4AD7"/>
    <w:rsid w:val="001E0D8A"/>
    <w:rsid w:val="001E2097"/>
    <w:rsid w:val="001E2A57"/>
    <w:rsid w:val="001E67BA"/>
    <w:rsid w:val="001E74C2"/>
    <w:rsid w:val="001F2552"/>
    <w:rsid w:val="001F4F82"/>
    <w:rsid w:val="001F5A48"/>
    <w:rsid w:val="001F6260"/>
    <w:rsid w:val="00200007"/>
    <w:rsid w:val="0020019B"/>
    <w:rsid w:val="002030A5"/>
    <w:rsid w:val="00203131"/>
    <w:rsid w:val="00212E88"/>
    <w:rsid w:val="00213C9C"/>
    <w:rsid w:val="0022009E"/>
    <w:rsid w:val="00223241"/>
    <w:rsid w:val="0022425C"/>
    <w:rsid w:val="002246DE"/>
    <w:rsid w:val="0023132D"/>
    <w:rsid w:val="002429E2"/>
    <w:rsid w:val="002442E6"/>
    <w:rsid w:val="00247278"/>
    <w:rsid w:val="00252BC4"/>
    <w:rsid w:val="00254014"/>
    <w:rsid w:val="00254B39"/>
    <w:rsid w:val="002630F0"/>
    <w:rsid w:val="0026504D"/>
    <w:rsid w:val="00273A2F"/>
    <w:rsid w:val="00275BDA"/>
    <w:rsid w:val="00280986"/>
    <w:rsid w:val="00281ECE"/>
    <w:rsid w:val="002831C7"/>
    <w:rsid w:val="002840C6"/>
    <w:rsid w:val="00295174"/>
    <w:rsid w:val="00296172"/>
    <w:rsid w:val="00296B92"/>
    <w:rsid w:val="002A0D2A"/>
    <w:rsid w:val="002A25B4"/>
    <w:rsid w:val="002A2C22"/>
    <w:rsid w:val="002B02EB"/>
    <w:rsid w:val="002B0754"/>
    <w:rsid w:val="002B7A8A"/>
    <w:rsid w:val="002C0054"/>
    <w:rsid w:val="002C0602"/>
    <w:rsid w:val="002C21E3"/>
    <w:rsid w:val="002D02B1"/>
    <w:rsid w:val="002D5C16"/>
    <w:rsid w:val="002D74B4"/>
    <w:rsid w:val="002E3E49"/>
    <w:rsid w:val="002E41C0"/>
    <w:rsid w:val="002F2476"/>
    <w:rsid w:val="002F3D18"/>
    <w:rsid w:val="002F3DFF"/>
    <w:rsid w:val="002F5E05"/>
    <w:rsid w:val="002F6C47"/>
    <w:rsid w:val="002F76ED"/>
    <w:rsid w:val="00307A76"/>
    <w:rsid w:val="003117D2"/>
    <w:rsid w:val="0031455E"/>
    <w:rsid w:val="003147D2"/>
    <w:rsid w:val="00315A16"/>
    <w:rsid w:val="00317053"/>
    <w:rsid w:val="0032109C"/>
    <w:rsid w:val="003219F5"/>
    <w:rsid w:val="00322B45"/>
    <w:rsid w:val="00323809"/>
    <w:rsid w:val="00323D41"/>
    <w:rsid w:val="00325414"/>
    <w:rsid w:val="003302F1"/>
    <w:rsid w:val="0034470E"/>
    <w:rsid w:val="00352DB0"/>
    <w:rsid w:val="00361063"/>
    <w:rsid w:val="0037094A"/>
    <w:rsid w:val="00371ED3"/>
    <w:rsid w:val="00372659"/>
    <w:rsid w:val="00372FFC"/>
    <w:rsid w:val="0037728A"/>
    <w:rsid w:val="00380B7D"/>
    <w:rsid w:val="00381A99"/>
    <w:rsid w:val="00382983"/>
    <w:rsid w:val="003829C2"/>
    <w:rsid w:val="003830B2"/>
    <w:rsid w:val="00383F1C"/>
    <w:rsid w:val="00384724"/>
    <w:rsid w:val="0038539C"/>
    <w:rsid w:val="003919B7"/>
    <w:rsid w:val="00391D57"/>
    <w:rsid w:val="00392292"/>
    <w:rsid w:val="00394F45"/>
    <w:rsid w:val="00395526"/>
    <w:rsid w:val="003A046B"/>
    <w:rsid w:val="003A0F39"/>
    <w:rsid w:val="003A1478"/>
    <w:rsid w:val="003A5927"/>
    <w:rsid w:val="003B1017"/>
    <w:rsid w:val="003B3C07"/>
    <w:rsid w:val="003B55DA"/>
    <w:rsid w:val="003B6081"/>
    <w:rsid w:val="003B6775"/>
    <w:rsid w:val="003C5925"/>
    <w:rsid w:val="003C5FE2"/>
    <w:rsid w:val="003C61DE"/>
    <w:rsid w:val="003D05FB"/>
    <w:rsid w:val="003D1B16"/>
    <w:rsid w:val="003D45BF"/>
    <w:rsid w:val="003D508A"/>
    <w:rsid w:val="003D537F"/>
    <w:rsid w:val="003D605A"/>
    <w:rsid w:val="003D6EF7"/>
    <w:rsid w:val="003D7B75"/>
    <w:rsid w:val="003E0208"/>
    <w:rsid w:val="003E4B57"/>
    <w:rsid w:val="003E6444"/>
    <w:rsid w:val="003F27E1"/>
    <w:rsid w:val="003F437A"/>
    <w:rsid w:val="003F5601"/>
    <w:rsid w:val="003F5C2B"/>
    <w:rsid w:val="00401D07"/>
    <w:rsid w:val="00402240"/>
    <w:rsid w:val="004023E9"/>
    <w:rsid w:val="0040454A"/>
    <w:rsid w:val="00405BD8"/>
    <w:rsid w:val="00406A44"/>
    <w:rsid w:val="004109B7"/>
    <w:rsid w:val="00412771"/>
    <w:rsid w:val="00413F83"/>
    <w:rsid w:val="0041490C"/>
    <w:rsid w:val="00416191"/>
    <w:rsid w:val="00416721"/>
    <w:rsid w:val="00421EF0"/>
    <w:rsid w:val="004224FA"/>
    <w:rsid w:val="00423D07"/>
    <w:rsid w:val="00427936"/>
    <w:rsid w:val="00441254"/>
    <w:rsid w:val="0044346F"/>
    <w:rsid w:val="00453FF6"/>
    <w:rsid w:val="0046520A"/>
    <w:rsid w:val="004672AB"/>
    <w:rsid w:val="004714FE"/>
    <w:rsid w:val="00477BAA"/>
    <w:rsid w:val="00492C7D"/>
    <w:rsid w:val="00495053"/>
    <w:rsid w:val="004A0789"/>
    <w:rsid w:val="004A1F59"/>
    <w:rsid w:val="004A29BE"/>
    <w:rsid w:val="004A3225"/>
    <w:rsid w:val="004A33EE"/>
    <w:rsid w:val="004A3AA8"/>
    <w:rsid w:val="004B13C7"/>
    <w:rsid w:val="004B362C"/>
    <w:rsid w:val="004B778F"/>
    <w:rsid w:val="004C0609"/>
    <w:rsid w:val="004C543D"/>
    <w:rsid w:val="004C639F"/>
    <w:rsid w:val="004C7C70"/>
    <w:rsid w:val="004D141F"/>
    <w:rsid w:val="004D2742"/>
    <w:rsid w:val="004D6310"/>
    <w:rsid w:val="004D6F43"/>
    <w:rsid w:val="004E0062"/>
    <w:rsid w:val="004E03F1"/>
    <w:rsid w:val="004E05A1"/>
    <w:rsid w:val="004E3091"/>
    <w:rsid w:val="004E7F21"/>
    <w:rsid w:val="004F472A"/>
    <w:rsid w:val="004F5E57"/>
    <w:rsid w:val="004F6710"/>
    <w:rsid w:val="00500C3E"/>
    <w:rsid w:val="00502849"/>
    <w:rsid w:val="00504334"/>
    <w:rsid w:val="0050498D"/>
    <w:rsid w:val="005104D7"/>
    <w:rsid w:val="00510B9E"/>
    <w:rsid w:val="0051278D"/>
    <w:rsid w:val="00512E01"/>
    <w:rsid w:val="00513587"/>
    <w:rsid w:val="00515D41"/>
    <w:rsid w:val="0053260D"/>
    <w:rsid w:val="00536BC2"/>
    <w:rsid w:val="005425E1"/>
    <w:rsid w:val="005427C5"/>
    <w:rsid w:val="00542CF6"/>
    <w:rsid w:val="00553C03"/>
    <w:rsid w:val="00560DDA"/>
    <w:rsid w:val="00563692"/>
    <w:rsid w:val="00570107"/>
    <w:rsid w:val="00571679"/>
    <w:rsid w:val="00580E5A"/>
    <w:rsid w:val="00582E16"/>
    <w:rsid w:val="00584235"/>
    <w:rsid w:val="005844E7"/>
    <w:rsid w:val="005908B8"/>
    <w:rsid w:val="0059227F"/>
    <w:rsid w:val="0059512E"/>
    <w:rsid w:val="005A0F04"/>
    <w:rsid w:val="005A2601"/>
    <w:rsid w:val="005A6DD2"/>
    <w:rsid w:val="005B5A8B"/>
    <w:rsid w:val="005C35CD"/>
    <w:rsid w:val="005C385D"/>
    <w:rsid w:val="005C43B9"/>
    <w:rsid w:val="005C6C42"/>
    <w:rsid w:val="005D3B20"/>
    <w:rsid w:val="005D71B7"/>
    <w:rsid w:val="005E4759"/>
    <w:rsid w:val="005E5C68"/>
    <w:rsid w:val="005E65C0"/>
    <w:rsid w:val="005F0390"/>
    <w:rsid w:val="005F476A"/>
    <w:rsid w:val="0060060F"/>
    <w:rsid w:val="006072CD"/>
    <w:rsid w:val="00612023"/>
    <w:rsid w:val="00614190"/>
    <w:rsid w:val="00616157"/>
    <w:rsid w:val="00616A43"/>
    <w:rsid w:val="0061754A"/>
    <w:rsid w:val="00622A99"/>
    <w:rsid w:val="00622E67"/>
    <w:rsid w:val="00626B57"/>
    <w:rsid w:val="00626EDC"/>
    <w:rsid w:val="00641F09"/>
    <w:rsid w:val="006452D3"/>
    <w:rsid w:val="006470EC"/>
    <w:rsid w:val="0065222C"/>
    <w:rsid w:val="006542D6"/>
    <w:rsid w:val="0065598E"/>
    <w:rsid w:val="00655AF2"/>
    <w:rsid w:val="00655BC5"/>
    <w:rsid w:val="006568BE"/>
    <w:rsid w:val="0066025D"/>
    <w:rsid w:val="0066091A"/>
    <w:rsid w:val="00663F1E"/>
    <w:rsid w:val="006666C5"/>
    <w:rsid w:val="00666CA8"/>
    <w:rsid w:val="006675F0"/>
    <w:rsid w:val="006773EC"/>
    <w:rsid w:val="00680504"/>
    <w:rsid w:val="00681CD9"/>
    <w:rsid w:val="00683E30"/>
    <w:rsid w:val="00687024"/>
    <w:rsid w:val="00695E22"/>
    <w:rsid w:val="006967B2"/>
    <w:rsid w:val="006A1A65"/>
    <w:rsid w:val="006B2358"/>
    <w:rsid w:val="006B7093"/>
    <w:rsid w:val="006B7417"/>
    <w:rsid w:val="006B75BC"/>
    <w:rsid w:val="006D31F9"/>
    <w:rsid w:val="006D3691"/>
    <w:rsid w:val="006E5EF0"/>
    <w:rsid w:val="006E65F1"/>
    <w:rsid w:val="006E6B0D"/>
    <w:rsid w:val="006F109D"/>
    <w:rsid w:val="006F3563"/>
    <w:rsid w:val="006F3726"/>
    <w:rsid w:val="006F42B9"/>
    <w:rsid w:val="006F6103"/>
    <w:rsid w:val="007001D9"/>
    <w:rsid w:val="00704E00"/>
    <w:rsid w:val="00705569"/>
    <w:rsid w:val="007209E7"/>
    <w:rsid w:val="00726182"/>
    <w:rsid w:val="00727635"/>
    <w:rsid w:val="00732329"/>
    <w:rsid w:val="007337CA"/>
    <w:rsid w:val="00734CE4"/>
    <w:rsid w:val="00735123"/>
    <w:rsid w:val="00741837"/>
    <w:rsid w:val="007450B7"/>
    <w:rsid w:val="007453E6"/>
    <w:rsid w:val="00766D6F"/>
    <w:rsid w:val="007703BF"/>
    <w:rsid w:val="00770453"/>
    <w:rsid w:val="0077309D"/>
    <w:rsid w:val="0077469C"/>
    <w:rsid w:val="007763EE"/>
    <w:rsid w:val="007774EE"/>
    <w:rsid w:val="007801C0"/>
    <w:rsid w:val="00781822"/>
    <w:rsid w:val="00782987"/>
    <w:rsid w:val="00783F21"/>
    <w:rsid w:val="00787159"/>
    <w:rsid w:val="0079043A"/>
    <w:rsid w:val="00791668"/>
    <w:rsid w:val="00791AA1"/>
    <w:rsid w:val="00791DAD"/>
    <w:rsid w:val="00792A42"/>
    <w:rsid w:val="007955C2"/>
    <w:rsid w:val="007A3793"/>
    <w:rsid w:val="007A5252"/>
    <w:rsid w:val="007A5456"/>
    <w:rsid w:val="007B02D5"/>
    <w:rsid w:val="007B3A1B"/>
    <w:rsid w:val="007B45DA"/>
    <w:rsid w:val="007C1BA2"/>
    <w:rsid w:val="007C2B48"/>
    <w:rsid w:val="007C4776"/>
    <w:rsid w:val="007C5A00"/>
    <w:rsid w:val="007D20E9"/>
    <w:rsid w:val="007D6FF8"/>
    <w:rsid w:val="007D74BF"/>
    <w:rsid w:val="007D7881"/>
    <w:rsid w:val="007D7E3A"/>
    <w:rsid w:val="007E0C5C"/>
    <w:rsid w:val="007E0E10"/>
    <w:rsid w:val="007E43C3"/>
    <w:rsid w:val="007E4768"/>
    <w:rsid w:val="007E7185"/>
    <w:rsid w:val="007E7563"/>
    <w:rsid w:val="007E777B"/>
    <w:rsid w:val="007F2070"/>
    <w:rsid w:val="007F237E"/>
    <w:rsid w:val="007F42CB"/>
    <w:rsid w:val="007F63C1"/>
    <w:rsid w:val="007F7C08"/>
    <w:rsid w:val="0080325C"/>
    <w:rsid w:val="008053F5"/>
    <w:rsid w:val="00807934"/>
    <w:rsid w:val="00807AF7"/>
    <w:rsid w:val="00810198"/>
    <w:rsid w:val="00815DA8"/>
    <w:rsid w:val="00817287"/>
    <w:rsid w:val="0082194D"/>
    <w:rsid w:val="008221F9"/>
    <w:rsid w:val="00826EF5"/>
    <w:rsid w:val="00827193"/>
    <w:rsid w:val="00831693"/>
    <w:rsid w:val="00840104"/>
    <w:rsid w:val="00840C1F"/>
    <w:rsid w:val="008411C9"/>
    <w:rsid w:val="00841FC5"/>
    <w:rsid w:val="00843D0F"/>
    <w:rsid w:val="00845709"/>
    <w:rsid w:val="008576BD"/>
    <w:rsid w:val="00860463"/>
    <w:rsid w:val="00864786"/>
    <w:rsid w:val="008733DA"/>
    <w:rsid w:val="008850E4"/>
    <w:rsid w:val="008939AB"/>
    <w:rsid w:val="008A12F5"/>
    <w:rsid w:val="008A6A1C"/>
    <w:rsid w:val="008B1587"/>
    <w:rsid w:val="008B1B01"/>
    <w:rsid w:val="008B3BCD"/>
    <w:rsid w:val="008B6DF8"/>
    <w:rsid w:val="008B72A6"/>
    <w:rsid w:val="008C106C"/>
    <w:rsid w:val="008C10F1"/>
    <w:rsid w:val="008C1926"/>
    <w:rsid w:val="008C1E99"/>
    <w:rsid w:val="008C5F68"/>
    <w:rsid w:val="008D4791"/>
    <w:rsid w:val="008E0085"/>
    <w:rsid w:val="008E076B"/>
    <w:rsid w:val="008E2AA6"/>
    <w:rsid w:val="008E311B"/>
    <w:rsid w:val="008E51D2"/>
    <w:rsid w:val="008F1709"/>
    <w:rsid w:val="008F46E7"/>
    <w:rsid w:val="008F64CA"/>
    <w:rsid w:val="008F6F0B"/>
    <w:rsid w:val="008F7E4B"/>
    <w:rsid w:val="00907BA7"/>
    <w:rsid w:val="0091064E"/>
    <w:rsid w:val="00911FC5"/>
    <w:rsid w:val="00917CC1"/>
    <w:rsid w:val="009204E6"/>
    <w:rsid w:val="00931A10"/>
    <w:rsid w:val="00942327"/>
    <w:rsid w:val="00945795"/>
    <w:rsid w:val="00947746"/>
    <w:rsid w:val="00947967"/>
    <w:rsid w:val="00950554"/>
    <w:rsid w:val="009533D7"/>
    <w:rsid w:val="00955201"/>
    <w:rsid w:val="0096207F"/>
    <w:rsid w:val="00965200"/>
    <w:rsid w:val="009668B3"/>
    <w:rsid w:val="00971471"/>
    <w:rsid w:val="009849C2"/>
    <w:rsid w:val="00984D24"/>
    <w:rsid w:val="009858EB"/>
    <w:rsid w:val="00990E68"/>
    <w:rsid w:val="00997BC8"/>
    <w:rsid w:val="009A1FE3"/>
    <w:rsid w:val="009A3F47"/>
    <w:rsid w:val="009B0046"/>
    <w:rsid w:val="009B79CE"/>
    <w:rsid w:val="009C1440"/>
    <w:rsid w:val="009C2107"/>
    <w:rsid w:val="009C5D9E"/>
    <w:rsid w:val="009C7980"/>
    <w:rsid w:val="009D2C3E"/>
    <w:rsid w:val="009D5C2F"/>
    <w:rsid w:val="009D5E60"/>
    <w:rsid w:val="009D7EF7"/>
    <w:rsid w:val="009E0625"/>
    <w:rsid w:val="009E251E"/>
    <w:rsid w:val="009E3034"/>
    <w:rsid w:val="009E32CF"/>
    <w:rsid w:val="009E549F"/>
    <w:rsid w:val="009E7C51"/>
    <w:rsid w:val="009F28A8"/>
    <w:rsid w:val="009F473E"/>
    <w:rsid w:val="009F5247"/>
    <w:rsid w:val="009F682A"/>
    <w:rsid w:val="00A022BE"/>
    <w:rsid w:val="00A07B4B"/>
    <w:rsid w:val="00A12EAC"/>
    <w:rsid w:val="00A213A0"/>
    <w:rsid w:val="00A2493A"/>
    <w:rsid w:val="00A24C95"/>
    <w:rsid w:val="00A2546D"/>
    <w:rsid w:val="00A2599A"/>
    <w:rsid w:val="00A26094"/>
    <w:rsid w:val="00A301BF"/>
    <w:rsid w:val="00A302B2"/>
    <w:rsid w:val="00A331B4"/>
    <w:rsid w:val="00A338B2"/>
    <w:rsid w:val="00A341F9"/>
    <w:rsid w:val="00A3484E"/>
    <w:rsid w:val="00A356D3"/>
    <w:rsid w:val="00A36ADA"/>
    <w:rsid w:val="00A37C4D"/>
    <w:rsid w:val="00A438D8"/>
    <w:rsid w:val="00A473F5"/>
    <w:rsid w:val="00A51F9D"/>
    <w:rsid w:val="00A5416A"/>
    <w:rsid w:val="00A639F4"/>
    <w:rsid w:val="00A64EB7"/>
    <w:rsid w:val="00A65864"/>
    <w:rsid w:val="00A65FAE"/>
    <w:rsid w:val="00A81A32"/>
    <w:rsid w:val="00A835BD"/>
    <w:rsid w:val="00A956B4"/>
    <w:rsid w:val="00A96E4F"/>
    <w:rsid w:val="00A97B15"/>
    <w:rsid w:val="00AA3136"/>
    <w:rsid w:val="00AA42D5"/>
    <w:rsid w:val="00AB2FAB"/>
    <w:rsid w:val="00AB5C14"/>
    <w:rsid w:val="00AC1D9A"/>
    <w:rsid w:val="00AC1EE7"/>
    <w:rsid w:val="00AC333F"/>
    <w:rsid w:val="00AC585C"/>
    <w:rsid w:val="00AD1925"/>
    <w:rsid w:val="00AE067D"/>
    <w:rsid w:val="00AE1632"/>
    <w:rsid w:val="00AE4026"/>
    <w:rsid w:val="00AF1181"/>
    <w:rsid w:val="00AF2F79"/>
    <w:rsid w:val="00AF4653"/>
    <w:rsid w:val="00AF7DB7"/>
    <w:rsid w:val="00B07BF0"/>
    <w:rsid w:val="00B10D02"/>
    <w:rsid w:val="00B171B1"/>
    <w:rsid w:val="00B201E2"/>
    <w:rsid w:val="00B238C1"/>
    <w:rsid w:val="00B24A57"/>
    <w:rsid w:val="00B27D63"/>
    <w:rsid w:val="00B443E4"/>
    <w:rsid w:val="00B5484D"/>
    <w:rsid w:val="00B55D10"/>
    <w:rsid w:val="00B55E4A"/>
    <w:rsid w:val="00B563EA"/>
    <w:rsid w:val="00B56CDF"/>
    <w:rsid w:val="00B60E51"/>
    <w:rsid w:val="00B62C3A"/>
    <w:rsid w:val="00B63A54"/>
    <w:rsid w:val="00B64D4E"/>
    <w:rsid w:val="00B72AEF"/>
    <w:rsid w:val="00B771FE"/>
    <w:rsid w:val="00B77D18"/>
    <w:rsid w:val="00B8313A"/>
    <w:rsid w:val="00B93503"/>
    <w:rsid w:val="00B9558D"/>
    <w:rsid w:val="00BA31E8"/>
    <w:rsid w:val="00BA528C"/>
    <w:rsid w:val="00BA55E0"/>
    <w:rsid w:val="00BA6BD4"/>
    <w:rsid w:val="00BA6C7A"/>
    <w:rsid w:val="00BA7483"/>
    <w:rsid w:val="00BB17D1"/>
    <w:rsid w:val="00BB3654"/>
    <w:rsid w:val="00BB3752"/>
    <w:rsid w:val="00BB55BF"/>
    <w:rsid w:val="00BB6688"/>
    <w:rsid w:val="00BC26D4"/>
    <w:rsid w:val="00BC2D01"/>
    <w:rsid w:val="00BC6108"/>
    <w:rsid w:val="00BC627F"/>
    <w:rsid w:val="00BD4F93"/>
    <w:rsid w:val="00BD78A5"/>
    <w:rsid w:val="00BE0C80"/>
    <w:rsid w:val="00BE79DA"/>
    <w:rsid w:val="00BF2A42"/>
    <w:rsid w:val="00BF44AF"/>
    <w:rsid w:val="00BF487E"/>
    <w:rsid w:val="00C00597"/>
    <w:rsid w:val="00C03D8C"/>
    <w:rsid w:val="00C055EC"/>
    <w:rsid w:val="00C10CF0"/>
    <w:rsid w:val="00C10DC9"/>
    <w:rsid w:val="00C10E89"/>
    <w:rsid w:val="00C11158"/>
    <w:rsid w:val="00C125A1"/>
    <w:rsid w:val="00C12FB3"/>
    <w:rsid w:val="00C15DA0"/>
    <w:rsid w:val="00C17341"/>
    <w:rsid w:val="00C2231A"/>
    <w:rsid w:val="00C22500"/>
    <w:rsid w:val="00C24EEF"/>
    <w:rsid w:val="00C25CF6"/>
    <w:rsid w:val="00C26C36"/>
    <w:rsid w:val="00C27210"/>
    <w:rsid w:val="00C32768"/>
    <w:rsid w:val="00C360E3"/>
    <w:rsid w:val="00C431DF"/>
    <w:rsid w:val="00C456BD"/>
    <w:rsid w:val="00C460B3"/>
    <w:rsid w:val="00C51588"/>
    <w:rsid w:val="00C530DC"/>
    <w:rsid w:val="00C5350D"/>
    <w:rsid w:val="00C6123C"/>
    <w:rsid w:val="00C6311A"/>
    <w:rsid w:val="00C65C96"/>
    <w:rsid w:val="00C7084D"/>
    <w:rsid w:val="00C7315E"/>
    <w:rsid w:val="00C7470F"/>
    <w:rsid w:val="00C75895"/>
    <w:rsid w:val="00C83C9F"/>
    <w:rsid w:val="00C8597A"/>
    <w:rsid w:val="00C86C66"/>
    <w:rsid w:val="00C920C1"/>
    <w:rsid w:val="00C94840"/>
    <w:rsid w:val="00CA0CCA"/>
    <w:rsid w:val="00CA4EE3"/>
    <w:rsid w:val="00CA5D29"/>
    <w:rsid w:val="00CB027F"/>
    <w:rsid w:val="00CB533D"/>
    <w:rsid w:val="00CC0EBB"/>
    <w:rsid w:val="00CC1C03"/>
    <w:rsid w:val="00CC202D"/>
    <w:rsid w:val="00CC6297"/>
    <w:rsid w:val="00CC7690"/>
    <w:rsid w:val="00CD1986"/>
    <w:rsid w:val="00CD34B0"/>
    <w:rsid w:val="00CD53DD"/>
    <w:rsid w:val="00CD54BF"/>
    <w:rsid w:val="00CE4D5C"/>
    <w:rsid w:val="00CF05DA"/>
    <w:rsid w:val="00CF58EB"/>
    <w:rsid w:val="00CF6FEC"/>
    <w:rsid w:val="00D0106E"/>
    <w:rsid w:val="00D010BA"/>
    <w:rsid w:val="00D06383"/>
    <w:rsid w:val="00D0679E"/>
    <w:rsid w:val="00D11A8B"/>
    <w:rsid w:val="00D20E85"/>
    <w:rsid w:val="00D244F7"/>
    <w:rsid w:val="00D24615"/>
    <w:rsid w:val="00D26A7F"/>
    <w:rsid w:val="00D306A0"/>
    <w:rsid w:val="00D37842"/>
    <w:rsid w:val="00D42DC2"/>
    <w:rsid w:val="00D4302B"/>
    <w:rsid w:val="00D44660"/>
    <w:rsid w:val="00D47822"/>
    <w:rsid w:val="00D514E5"/>
    <w:rsid w:val="00D51CBF"/>
    <w:rsid w:val="00D525E4"/>
    <w:rsid w:val="00D530A3"/>
    <w:rsid w:val="00D537E1"/>
    <w:rsid w:val="00D55BB2"/>
    <w:rsid w:val="00D5667D"/>
    <w:rsid w:val="00D5799C"/>
    <w:rsid w:val="00D6091A"/>
    <w:rsid w:val="00D62140"/>
    <w:rsid w:val="00D6605A"/>
    <w:rsid w:val="00D6695F"/>
    <w:rsid w:val="00D75644"/>
    <w:rsid w:val="00D81656"/>
    <w:rsid w:val="00D83D87"/>
    <w:rsid w:val="00D83EB3"/>
    <w:rsid w:val="00D84A6D"/>
    <w:rsid w:val="00D86A30"/>
    <w:rsid w:val="00D87959"/>
    <w:rsid w:val="00D9003E"/>
    <w:rsid w:val="00D920BF"/>
    <w:rsid w:val="00D97CB4"/>
    <w:rsid w:val="00D97DD4"/>
    <w:rsid w:val="00DA5A8A"/>
    <w:rsid w:val="00DB1170"/>
    <w:rsid w:val="00DB26CD"/>
    <w:rsid w:val="00DB441C"/>
    <w:rsid w:val="00DB44AF"/>
    <w:rsid w:val="00DC1F58"/>
    <w:rsid w:val="00DC339B"/>
    <w:rsid w:val="00DC5D40"/>
    <w:rsid w:val="00DC69A7"/>
    <w:rsid w:val="00DD1219"/>
    <w:rsid w:val="00DD30E9"/>
    <w:rsid w:val="00DD4F47"/>
    <w:rsid w:val="00DD7FBB"/>
    <w:rsid w:val="00DE0B9F"/>
    <w:rsid w:val="00DE2A9E"/>
    <w:rsid w:val="00DE4238"/>
    <w:rsid w:val="00DE657F"/>
    <w:rsid w:val="00DF1218"/>
    <w:rsid w:val="00DF22A9"/>
    <w:rsid w:val="00DF58EF"/>
    <w:rsid w:val="00DF6462"/>
    <w:rsid w:val="00DF7D04"/>
    <w:rsid w:val="00E02FA0"/>
    <w:rsid w:val="00E036DC"/>
    <w:rsid w:val="00E10454"/>
    <w:rsid w:val="00E112E5"/>
    <w:rsid w:val="00E122D8"/>
    <w:rsid w:val="00E12CC8"/>
    <w:rsid w:val="00E15352"/>
    <w:rsid w:val="00E176CC"/>
    <w:rsid w:val="00E21CC7"/>
    <w:rsid w:val="00E23927"/>
    <w:rsid w:val="00E24D9E"/>
    <w:rsid w:val="00E25849"/>
    <w:rsid w:val="00E3197E"/>
    <w:rsid w:val="00E3252D"/>
    <w:rsid w:val="00E342F8"/>
    <w:rsid w:val="00E351ED"/>
    <w:rsid w:val="00E371CE"/>
    <w:rsid w:val="00E4110A"/>
    <w:rsid w:val="00E41169"/>
    <w:rsid w:val="00E42B19"/>
    <w:rsid w:val="00E549CD"/>
    <w:rsid w:val="00E6034B"/>
    <w:rsid w:val="00E646B4"/>
    <w:rsid w:val="00E6549E"/>
    <w:rsid w:val="00E65EDE"/>
    <w:rsid w:val="00E6685D"/>
    <w:rsid w:val="00E70AF9"/>
    <w:rsid w:val="00E70F81"/>
    <w:rsid w:val="00E77055"/>
    <w:rsid w:val="00E77460"/>
    <w:rsid w:val="00E83ABC"/>
    <w:rsid w:val="00E844F2"/>
    <w:rsid w:val="00E90AD0"/>
    <w:rsid w:val="00E92FCB"/>
    <w:rsid w:val="00E95DC7"/>
    <w:rsid w:val="00E97AEA"/>
    <w:rsid w:val="00EA147F"/>
    <w:rsid w:val="00EA4A27"/>
    <w:rsid w:val="00EA4FA6"/>
    <w:rsid w:val="00EB1A25"/>
    <w:rsid w:val="00EB3D8C"/>
    <w:rsid w:val="00EB595B"/>
    <w:rsid w:val="00EC7363"/>
    <w:rsid w:val="00ED03AB"/>
    <w:rsid w:val="00ED1963"/>
    <w:rsid w:val="00ED1985"/>
    <w:rsid w:val="00ED1CD4"/>
    <w:rsid w:val="00ED1D2B"/>
    <w:rsid w:val="00ED64B5"/>
    <w:rsid w:val="00EE3CF4"/>
    <w:rsid w:val="00EE7CCA"/>
    <w:rsid w:val="00EF1552"/>
    <w:rsid w:val="00F0662A"/>
    <w:rsid w:val="00F06E53"/>
    <w:rsid w:val="00F110A3"/>
    <w:rsid w:val="00F16A14"/>
    <w:rsid w:val="00F21821"/>
    <w:rsid w:val="00F21BD1"/>
    <w:rsid w:val="00F362D7"/>
    <w:rsid w:val="00F37D7B"/>
    <w:rsid w:val="00F5314C"/>
    <w:rsid w:val="00F547B0"/>
    <w:rsid w:val="00F5576B"/>
    <w:rsid w:val="00F5688C"/>
    <w:rsid w:val="00F56E1B"/>
    <w:rsid w:val="00F57F6C"/>
    <w:rsid w:val="00F60048"/>
    <w:rsid w:val="00F635DD"/>
    <w:rsid w:val="00F6627B"/>
    <w:rsid w:val="00F70651"/>
    <w:rsid w:val="00F7336E"/>
    <w:rsid w:val="00F734F2"/>
    <w:rsid w:val="00F75052"/>
    <w:rsid w:val="00F804D3"/>
    <w:rsid w:val="00F8097E"/>
    <w:rsid w:val="00F816CB"/>
    <w:rsid w:val="00F81CD2"/>
    <w:rsid w:val="00F82641"/>
    <w:rsid w:val="00F90F18"/>
    <w:rsid w:val="00F937E4"/>
    <w:rsid w:val="00F95EE7"/>
    <w:rsid w:val="00F9771C"/>
    <w:rsid w:val="00FA39E6"/>
    <w:rsid w:val="00FA7BC9"/>
    <w:rsid w:val="00FB1C49"/>
    <w:rsid w:val="00FB378E"/>
    <w:rsid w:val="00FB37F1"/>
    <w:rsid w:val="00FB3B20"/>
    <w:rsid w:val="00FB47C0"/>
    <w:rsid w:val="00FB501B"/>
    <w:rsid w:val="00FB62A8"/>
    <w:rsid w:val="00FB719A"/>
    <w:rsid w:val="00FB7770"/>
    <w:rsid w:val="00FD1609"/>
    <w:rsid w:val="00FD3B91"/>
    <w:rsid w:val="00FD576B"/>
    <w:rsid w:val="00FD579E"/>
    <w:rsid w:val="00FD6845"/>
    <w:rsid w:val="00FE4516"/>
    <w:rsid w:val="00FE64C8"/>
    <w:rsid w:val="00FF19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7edcc"/>
    </o:shapedefaults>
    <o:shapelayout v:ext="edit">
      <o:idmap v:ext="edit" data="1"/>
    </o:shapelayout>
  </w:shapeDefaults>
  <w:decimalSymbol w:val="."/>
  <w:listSeparator w:val=","/>
  <w14:docId w14:val="5AD587FF"/>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792A42"/>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ind w:left="1021"/>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a">
    <w:name w:val="List Paragraph"/>
    <w:basedOn w:val="a7"/>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7"/>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8"/>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character" w:customStyle="1" w:styleId="30">
    <w:name w:val="標題 3 字元"/>
    <w:basedOn w:val="a8"/>
    <w:link w:val="3"/>
    <w:rsid w:val="005A2601"/>
    <w:rPr>
      <w:rFonts w:ascii="標楷體" w:eastAsia="標楷體" w:hAnsi="Arial"/>
      <w:bCs/>
      <w:kern w:val="32"/>
      <w:sz w:val="32"/>
      <w:szCs w:val="36"/>
    </w:rPr>
  </w:style>
  <w:style w:type="character" w:customStyle="1" w:styleId="40">
    <w:name w:val="標題 4 字元"/>
    <w:basedOn w:val="a8"/>
    <w:link w:val="4"/>
    <w:rsid w:val="005A2601"/>
    <w:rPr>
      <w:rFonts w:ascii="標楷體" w:eastAsia="標楷體" w:hAnsi="Arial"/>
      <w:kern w:val="32"/>
      <w:sz w:val="32"/>
      <w:szCs w:val="36"/>
    </w:rPr>
  </w:style>
  <w:style w:type="paragraph" w:styleId="aff">
    <w:name w:val="footnote text"/>
    <w:basedOn w:val="a7"/>
    <w:link w:val="aff0"/>
    <w:uiPriority w:val="99"/>
    <w:semiHidden/>
    <w:unhideWhenUsed/>
    <w:rsid w:val="00705569"/>
    <w:pPr>
      <w:snapToGrid w:val="0"/>
      <w:jc w:val="left"/>
    </w:pPr>
    <w:rPr>
      <w:sz w:val="20"/>
    </w:rPr>
  </w:style>
  <w:style w:type="character" w:customStyle="1" w:styleId="aff0">
    <w:name w:val="註腳文字 字元"/>
    <w:basedOn w:val="a8"/>
    <w:link w:val="aff"/>
    <w:uiPriority w:val="99"/>
    <w:semiHidden/>
    <w:rsid w:val="00705569"/>
    <w:rPr>
      <w:rFonts w:ascii="標楷體" w:eastAsia="標楷體"/>
      <w:kern w:val="2"/>
    </w:rPr>
  </w:style>
  <w:style w:type="character" w:styleId="aff1">
    <w:name w:val="footnote reference"/>
    <w:basedOn w:val="a8"/>
    <w:uiPriority w:val="99"/>
    <w:semiHidden/>
    <w:unhideWhenUsed/>
    <w:rsid w:val="00705569"/>
    <w:rPr>
      <w:vertAlign w:val="superscript"/>
    </w:rPr>
  </w:style>
  <w:style w:type="paragraph" w:styleId="a">
    <w:name w:val="List Bullet"/>
    <w:basedOn w:val="a7"/>
    <w:uiPriority w:val="99"/>
    <w:unhideWhenUsed/>
    <w:rsid w:val="00F9771C"/>
    <w:pPr>
      <w:numPr>
        <w:numId w:val="10"/>
      </w:numPr>
      <w:contextualSpacing/>
    </w:pPr>
  </w:style>
  <w:style w:type="character" w:customStyle="1" w:styleId="50">
    <w:name w:val="標題 5 字元"/>
    <w:basedOn w:val="a8"/>
    <w:link w:val="5"/>
    <w:rsid w:val="00DF58EF"/>
    <w:rPr>
      <w:rFonts w:ascii="標楷體" w:eastAsia="標楷體" w:hAnsi="Arial"/>
      <w:bCs/>
      <w:kern w:val="32"/>
      <w:sz w:val="32"/>
      <w:szCs w:val="36"/>
    </w:rPr>
  </w:style>
  <w:style w:type="character" w:customStyle="1" w:styleId="10">
    <w:name w:val="標題 1 字元"/>
    <w:basedOn w:val="a8"/>
    <w:link w:val="1"/>
    <w:rsid w:val="00792A42"/>
    <w:rPr>
      <w:rFonts w:ascii="標楷體" w:eastAsia="標楷體" w:hAnsi="Arial"/>
      <w:bCs/>
      <w:kern w:val="32"/>
      <w:sz w:val="32"/>
      <w:szCs w:val="52"/>
    </w:rPr>
  </w:style>
  <w:style w:type="character" w:customStyle="1" w:styleId="af6">
    <w:name w:val="頁尾 字元"/>
    <w:basedOn w:val="a8"/>
    <w:link w:val="af5"/>
    <w:uiPriority w:val="99"/>
    <w:rsid w:val="00C27210"/>
    <w:rPr>
      <w:rFonts w:ascii="標楷體" w:eastAsia="標楷體"/>
      <w:kern w:val="2"/>
    </w:rPr>
  </w:style>
  <w:style w:type="character" w:customStyle="1" w:styleId="af">
    <w:name w:val="頁首 字元"/>
    <w:basedOn w:val="a8"/>
    <w:link w:val="ae"/>
    <w:uiPriority w:val="99"/>
    <w:rsid w:val="00C27210"/>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8684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3679645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BFAF7-7F7F-4A8A-A8DC-FBA46ADA9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11</TotalTime>
  <Pages>13</Pages>
  <Words>1305</Words>
  <Characters>7440</Characters>
  <Application>Microsoft Office Word</Application>
  <DocSecurity>0</DocSecurity>
  <Lines>62</Lines>
  <Paragraphs>17</Paragraphs>
  <ScaleCrop>false</ScaleCrop>
  <Company>cy</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11</cp:revision>
  <cp:lastPrinted>2022-04-29T03:54:00Z</cp:lastPrinted>
  <dcterms:created xsi:type="dcterms:W3CDTF">2022-05-19T00:51:00Z</dcterms:created>
  <dcterms:modified xsi:type="dcterms:W3CDTF">2022-05-20T07:43:00Z</dcterms:modified>
  <cp:contentStatus/>
</cp:coreProperties>
</file>