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423DD" w:rsidRDefault="001C1EEA" w:rsidP="00F37D7B">
      <w:pPr>
        <w:pStyle w:val="af2"/>
        <w:rPr>
          <w:color w:val="000000" w:themeColor="text1"/>
        </w:rPr>
      </w:pPr>
      <w:r w:rsidRPr="009423DD">
        <w:rPr>
          <w:rFonts w:hint="eastAsia"/>
          <w:color w:val="000000" w:themeColor="text1"/>
        </w:rPr>
        <w:t>調查報告</w:t>
      </w:r>
    </w:p>
    <w:p w:rsidR="00E25849" w:rsidRPr="009423DD"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97105629"/>
      <w:r w:rsidRPr="009423D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93093" w:rsidRPr="009423DD">
        <w:rPr>
          <w:rFonts w:hint="eastAsia"/>
          <w:color w:val="000000" w:themeColor="text1"/>
        </w:rPr>
        <w:t>據悉，臺灣觀光學院110學年度停辦，引起該校師生恐慌及社會關注。臺灣觀光學院前身為精鍾商業專科學校，2001年因董事會爆發弊案，由教育部接管後全面改派公益董事，並於2018年交由臺灣運動彩券公司捐資接手，由中信金融管理學院改派高層入主，然而辦學承諾卻跳票。台灣高等教育產業工會指</w:t>
      </w:r>
      <w:r w:rsidR="00930DB0" w:rsidRPr="009423DD">
        <w:rPr>
          <w:rFonts w:hint="eastAsia"/>
          <w:color w:val="000000" w:themeColor="text1"/>
        </w:rPr>
        <w:t>控</w:t>
      </w:r>
      <w:r w:rsidR="00393093" w:rsidRPr="009423DD">
        <w:rPr>
          <w:rFonts w:hint="eastAsia"/>
          <w:color w:val="000000" w:themeColor="text1"/>
        </w:rPr>
        <w:t>，該董事會有搬運</w:t>
      </w:r>
      <w:r w:rsidR="007B4EAA" w:rsidRPr="009423DD">
        <w:rPr>
          <w:rFonts w:hint="eastAsia"/>
          <w:color w:val="000000" w:themeColor="text1"/>
        </w:rPr>
        <w:t>學校</w:t>
      </w:r>
      <w:r w:rsidR="00393093" w:rsidRPr="009423DD">
        <w:rPr>
          <w:rFonts w:hint="eastAsia"/>
          <w:color w:val="000000" w:themeColor="text1"/>
        </w:rPr>
        <w:t>資源、董事會花費超過學校0.3%規定，被教育部發文糾正後並未回補、任用無校長資格者為代理校長、學校規劃改辦私營畜牧場與畜牧產銷業、積欠教職員薪水</w:t>
      </w:r>
      <w:r w:rsidR="007B4EAA" w:rsidRPr="009423DD">
        <w:rPr>
          <w:rFonts w:hint="eastAsia"/>
          <w:color w:val="000000" w:themeColor="text1"/>
        </w:rPr>
        <w:t>等等弊端。</w:t>
      </w:r>
      <w:r w:rsidR="00393093" w:rsidRPr="009423DD">
        <w:rPr>
          <w:rFonts w:hint="eastAsia"/>
          <w:color w:val="000000" w:themeColor="text1"/>
        </w:rPr>
        <w:t>究教育部對於該校之督導有無違法失職之處？以及臺灣觀光學院面臨</w:t>
      </w:r>
      <w:r w:rsidR="00F63C59" w:rsidRPr="009423DD">
        <w:rPr>
          <w:rFonts w:hint="eastAsia"/>
          <w:color w:val="000000" w:themeColor="text1"/>
        </w:rPr>
        <w:t>下列</w:t>
      </w:r>
      <w:r w:rsidR="009423DD" w:rsidRPr="005B7C45">
        <w:rPr>
          <w:rFonts w:hint="eastAsia"/>
        </w:rPr>
        <w:t>種</w:t>
      </w:r>
      <w:r w:rsidR="00B90548" w:rsidRPr="005B7C45">
        <w:rPr>
          <w:rFonts w:hint="eastAsia"/>
        </w:rPr>
        <w:t>種</w:t>
      </w:r>
      <w:r w:rsidR="00F63C59" w:rsidRPr="009423DD">
        <w:rPr>
          <w:rFonts w:hint="eastAsia"/>
          <w:color w:val="000000" w:themeColor="text1"/>
        </w:rPr>
        <w:t>問題</w:t>
      </w:r>
      <w:r w:rsidR="00393093" w:rsidRPr="009423DD">
        <w:rPr>
          <w:rFonts w:hint="eastAsia"/>
          <w:color w:val="000000" w:themeColor="text1"/>
        </w:rPr>
        <w:t>：一、董事會如何組成？可以承擔何種功能？解決那些問題？二、校地已信託（臺灣銀行），未來可能處置方向為何？三、教師如何安置？若未能輔導重新就業，有何補救或補償措施？四、若學生堅持原校畢業，學校如何安排等，均有深入調查之必要案。</w:t>
      </w:r>
      <w:bookmarkEnd w:id="25"/>
    </w:p>
    <w:p w:rsidR="00E25849" w:rsidRPr="009423DD"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97105642"/>
      <w:r w:rsidRPr="009423DD">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DD2FE7" w:rsidRPr="00600FFE" w:rsidRDefault="00DD2FE7" w:rsidP="0092168C">
      <w:pPr>
        <w:pStyle w:val="10"/>
        <w:ind w:left="680" w:firstLine="680"/>
        <w:rPr>
          <w:rFonts w:hAnsi="標楷體"/>
          <w:color w:val="000000" w:themeColor="text1"/>
          <w:szCs w:val="32"/>
        </w:rPr>
      </w:pPr>
      <w:bookmarkStart w:id="51" w:name="_Toc524902730"/>
      <w:r w:rsidRPr="009423DD">
        <w:rPr>
          <w:rFonts w:hAnsi="標楷體" w:hint="eastAsia"/>
          <w:color w:val="000000" w:themeColor="text1"/>
          <w:szCs w:val="32"/>
        </w:rPr>
        <w:t>據悉，</w:t>
      </w:r>
      <w:r w:rsidR="00CC61EA" w:rsidRPr="009423DD">
        <w:rPr>
          <w:rFonts w:hAnsi="標楷體" w:hint="eastAsia"/>
          <w:color w:val="000000" w:themeColor="text1"/>
          <w:szCs w:val="32"/>
        </w:rPr>
        <w:t>臺灣觀光</w:t>
      </w:r>
      <w:r w:rsidR="00CC61EA" w:rsidRPr="00600FFE">
        <w:rPr>
          <w:rFonts w:hAnsi="標楷體" w:hint="eastAsia"/>
          <w:color w:val="000000" w:themeColor="text1"/>
          <w:szCs w:val="32"/>
        </w:rPr>
        <w:t>學院</w:t>
      </w:r>
      <w:r w:rsidR="00771500" w:rsidRPr="00600FFE">
        <w:rPr>
          <w:rFonts w:hAnsi="標楷體" w:hint="eastAsia"/>
          <w:color w:val="000000" w:themeColor="text1"/>
          <w:szCs w:val="32"/>
        </w:rPr>
        <w:t>（下稱該校）</w:t>
      </w:r>
      <w:r w:rsidR="005913BA" w:rsidRPr="00600FFE">
        <w:rPr>
          <w:rFonts w:hAnsi="標楷體" w:hint="eastAsia"/>
          <w:color w:val="000000" w:themeColor="text1"/>
          <w:szCs w:val="32"/>
        </w:rPr>
        <w:t>曾獲</w:t>
      </w:r>
      <w:r w:rsidR="00657BD1" w:rsidRPr="00600FFE">
        <w:rPr>
          <w:rFonts w:hAnsi="標楷體" w:hint="eastAsia"/>
          <w:color w:val="000000" w:themeColor="text1"/>
          <w:szCs w:val="32"/>
        </w:rPr>
        <w:t>教育部</w:t>
      </w:r>
      <w:r w:rsidR="005913BA" w:rsidRPr="00600FFE">
        <w:rPr>
          <w:rFonts w:hAnsi="標楷體" w:hint="eastAsia"/>
          <w:color w:val="000000" w:themeColor="text1"/>
          <w:szCs w:val="32"/>
        </w:rPr>
        <w:t>大專院校評鑑餐旅類第</w:t>
      </w:r>
      <w:r w:rsidR="00E9277D" w:rsidRPr="00600FFE">
        <w:rPr>
          <w:rFonts w:hAnsi="標楷體" w:hint="eastAsia"/>
          <w:color w:val="000000" w:themeColor="text1"/>
          <w:szCs w:val="32"/>
        </w:rPr>
        <w:t>1</w:t>
      </w:r>
      <w:r w:rsidR="00AF15AB" w:rsidRPr="00600FFE">
        <w:rPr>
          <w:rFonts w:hAnsi="標楷體" w:hint="eastAsia"/>
          <w:color w:val="000000" w:themeColor="text1"/>
          <w:szCs w:val="32"/>
        </w:rPr>
        <w:t>名</w:t>
      </w:r>
      <w:r w:rsidR="005913BA" w:rsidRPr="00600FFE">
        <w:rPr>
          <w:rFonts w:hAnsi="標楷體" w:hint="eastAsia"/>
          <w:color w:val="000000" w:themeColor="text1"/>
          <w:szCs w:val="32"/>
        </w:rPr>
        <w:t>、</w:t>
      </w:r>
      <w:r w:rsidR="0023758E" w:rsidRPr="00600FFE">
        <w:rPr>
          <w:rFonts w:hAnsi="標楷體" w:hint="eastAsia"/>
          <w:color w:val="000000" w:themeColor="text1"/>
          <w:szCs w:val="32"/>
        </w:rPr>
        <w:t>全國大學校院評鑑總積分第2</w:t>
      </w:r>
      <w:r w:rsidR="000F2755" w:rsidRPr="00600FFE">
        <w:rPr>
          <w:rFonts w:hAnsi="標楷體" w:hint="eastAsia"/>
          <w:color w:val="000000" w:themeColor="text1"/>
          <w:szCs w:val="32"/>
        </w:rPr>
        <w:t>名</w:t>
      </w:r>
      <w:r w:rsidR="00FA5761" w:rsidRPr="00600FFE">
        <w:rPr>
          <w:rFonts w:hAnsi="標楷體" w:hint="eastAsia"/>
          <w:color w:val="000000" w:themeColor="text1"/>
          <w:szCs w:val="32"/>
        </w:rPr>
        <w:t>，係花東觀光產業人才培育之重要</w:t>
      </w:r>
      <w:r w:rsidR="0090522D" w:rsidRPr="00600FFE">
        <w:rPr>
          <w:rFonts w:hAnsi="標楷體" w:hint="eastAsia"/>
          <w:color w:val="000000" w:themeColor="text1"/>
          <w:szCs w:val="32"/>
        </w:rPr>
        <w:t>推手</w:t>
      </w:r>
      <w:r w:rsidR="001A25EB" w:rsidRPr="00600FFE">
        <w:rPr>
          <w:rFonts w:hAnsi="標楷體" w:hint="eastAsia"/>
          <w:color w:val="000000" w:themeColor="text1"/>
          <w:szCs w:val="32"/>
        </w:rPr>
        <w:t>，然因受少子女化之影響，</w:t>
      </w:r>
      <w:r w:rsidR="007D6C31" w:rsidRPr="00600FFE">
        <w:rPr>
          <w:rFonts w:hAnsi="標楷體" w:hint="eastAsia"/>
          <w:color w:val="000000" w:themeColor="text1"/>
          <w:szCs w:val="32"/>
        </w:rPr>
        <w:t>陸續於</w:t>
      </w:r>
      <w:r w:rsidR="000A2F45" w:rsidRPr="00600FFE">
        <w:rPr>
          <w:rFonts w:hAnsi="標楷體" w:hint="eastAsia"/>
          <w:color w:val="000000" w:themeColor="text1"/>
          <w:szCs w:val="32"/>
        </w:rPr>
        <w:t>民國（下同）</w:t>
      </w:r>
      <w:r w:rsidR="00E871BA" w:rsidRPr="00600FFE">
        <w:rPr>
          <w:rFonts w:hAnsi="標楷體" w:hint="eastAsia"/>
          <w:color w:val="000000" w:themeColor="text1"/>
          <w:szCs w:val="32"/>
        </w:rPr>
        <w:t>100年停招</w:t>
      </w:r>
      <w:r w:rsidR="00267604" w:rsidRPr="00600FFE">
        <w:rPr>
          <w:rFonts w:hAnsi="標楷體" w:hint="eastAsia"/>
          <w:color w:val="000000" w:themeColor="text1"/>
          <w:szCs w:val="32"/>
        </w:rPr>
        <w:t>或調整</w:t>
      </w:r>
      <w:r w:rsidR="00E871BA" w:rsidRPr="00600FFE">
        <w:rPr>
          <w:rFonts w:hAnsi="標楷體" w:hint="eastAsia"/>
          <w:color w:val="000000" w:themeColor="text1"/>
          <w:szCs w:val="32"/>
        </w:rPr>
        <w:t>部分科系</w:t>
      </w:r>
      <w:r w:rsidR="00F676D8" w:rsidRPr="00600FFE">
        <w:rPr>
          <w:rFonts w:hAnsi="標楷體" w:hint="eastAsia"/>
          <w:color w:val="000000" w:themeColor="text1"/>
          <w:szCs w:val="32"/>
        </w:rPr>
        <w:t>。</w:t>
      </w:r>
      <w:r w:rsidR="00F12922" w:rsidRPr="00600FFE">
        <w:rPr>
          <w:rFonts w:hAnsi="標楷體" w:hint="eastAsia"/>
          <w:color w:val="000000" w:themeColor="text1"/>
          <w:szCs w:val="32"/>
        </w:rPr>
        <w:t>本案係</w:t>
      </w:r>
      <w:r w:rsidR="00510497" w:rsidRPr="00600FFE">
        <w:rPr>
          <w:rFonts w:hAnsi="標楷體" w:hint="eastAsia"/>
          <w:color w:val="000000" w:themeColor="text1"/>
          <w:szCs w:val="32"/>
        </w:rPr>
        <w:t>該校</w:t>
      </w:r>
      <w:r w:rsidRPr="00600FFE">
        <w:rPr>
          <w:rFonts w:hAnsi="標楷體" w:hint="eastAsia"/>
          <w:color w:val="000000" w:themeColor="text1"/>
          <w:szCs w:val="32"/>
        </w:rPr>
        <w:t>於110年初召開</w:t>
      </w:r>
      <w:r w:rsidR="00184DAD" w:rsidRPr="00600FFE">
        <w:rPr>
          <w:rFonts w:hAnsi="標楷體" w:hint="eastAsia"/>
          <w:color w:val="000000" w:themeColor="text1"/>
          <w:szCs w:val="32"/>
        </w:rPr>
        <w:t>董事</w:t>
      </w:r>
      <w:r w:rsidRPr="00600FFE">
        <w:rPr>
          <w:rFonts w:hAnsi="標楷體" w:hint="eastAsia"/>
          <w:color w:val="000000" w:themeColor="text1"/>
          <w:szCs w:val="32"/>
        </w:rPr>
        <w:t>臨時會</w:t>
      </w:r>
      <w:r w:rsidR="00125779" w:rsidRPr="00600FFE">
        <w:rPr>
          <w:rFonts w:hAnsi="標楷體" w:hint="eastAsia"/>
          <w:color w:val="000000" w:themeColor="text1"/>
          <w:szCs w:val="32"/>
        </w:rPr>
        <w:t>決議</w:t>
      </w:r>
      <w:r w:rsidRPr="00600FFE">
        <w:rPr>
          <w:rFonts w:hAnsi="標楷體" w:hint="eastAsia"/>
          <w:color w:val="000000" w:themeColor="text1"/>
          <w:szCs w:val="32"/>
        </w:rPr>
        <w:t>110學年度停辦，引起社會</w:t>
      </w:r>
      <w:r w:rsidR="002E4C2A" w:rsidRPr="00600FFE">
        <w:rPr>
          <w:rFonts w:hAnsi="標楷體" w:hint="eastAsia"/>
          <w:color w:val="000000" w:themeColor="text1"/>
          <w:szCs w:val="32"/>
        </w:rPr>
        <w:t>關注</w:t>
      </w:r>
      <w:r w:rsidR="00AB46E8" w:rsidRPr="00600FFE">
        <w:rPr>
          <w:rFonts w:hAnsi="標楷體" w:hint="eastAsia"/>
          <w:color w:val="000000" w:themeColor="text1"/>
          <w:szCs w:val="32"/>
        </w:rPr>
        <w:t>，</w:t>
      </w:r>
      <w:r w:rsidR="002D050F" w:rsidRPr="00600FFE">
        <w:rPr>
          <w:rFonts w:hAnsi="標楷體" w:hint="eastAsia"/>
          <w:color w:val="000000" w:themeColor="text1"/>
          <w:szCs w:val="32"/>
        </w:rPr>
        <w:t>究</w:t>
      </w:r>
      <w:r w:rsidR="00DB4781" w:rsidRPr="00600FFE">
        <w:rPr>
          <w:rFonts w:hAnsi="標楷體" w:hint="eastAsia"/>
          <w:color w:val="000000" w:themeColor="text1"/>
          <w:szCs w:val="32"/>
        </w:rPr>
        <w:t>教育部針對</w:t>
      </w:r>
      <w:r w:rsidR="002D050F" w:rsidRPr="00600FFE">
        <w:rPr>
          <w:rFonts w:hAnsi="標楷體" w:hint="eastAsia"/>
          <w:color w:val="000000" w:themeColor="text1"/>
          <w:szCs w:val="32"/>
        </w:rPr>
        <w:t>該校</w:t>
      </w:r>
      <w:r w:rsidR="00750E78" w:rsidRPr="00600FFE">
        <w:rPr>
          <w:rFonts w:hAnsi="標楷體" w:hint="eastAsia"/>
          <w:color w:val="000000" w:themeColor="text1"/>
          <w:szCs w:val="32"/>
        </w:rPr>
        <w:t>歷年</w:t>
      </w:r>
      <w:r w:rsidR="00FC3D72" w:rsidRPr="00600FFE">
        <w:rPr>
          <w:rFonts w:hAnsi="標楷體" w:hint="eastAsia"/>
          <w:color w:val="000000" w:themeColor="text1"/>
          <w:szCs w:val="32"/>
        </w:rPr>
        <w:t>相關</w:t>
      </w:r>
      <w:r w:rsidR="002D050F" w:rsidRPr="00600FFE">
        <w:rPr>
          <w:rFonts w:hAnsi="標楷體" w:hint="eastAsia"/>
          <w:color w:val="000000" w:themeColor="text1"/>
          <w:szCs w:val="32"/>
        </w:rPr>
        <w:t>變革程序及對於師生權益保障</w:t>
      </w:r>
      <w:r w:rsidR="00B044D8" w:rsidRPr="00600FFE">
        <w:rPr>
          <w:rFonts w:hAnsi="標楷體" w:hint="eastAsia"/>
          <w:color w:val="000000" w:themeColor="text1"/>
          <w:szCs w:val="32"/>
        </w:rPr>
        <w:t>措施</w:t>
      </w:r>
      <w:r w:rsidR="00DB4781" w:rsidRPr="00600FFE">
        <w:rPr>
          <w:rFonts w:hAnsi="標楷體" w:hint="eastAsia"/>
          <w:color w:val="000000" w:themeColor="text1"/>
          <w:szCs w:val="32"/>
        </w:rPr>
        <w:t>之辦理</w:t>
      </w:r>
      <w:r w:rsidR="00F82DF0" w:rsidRPr="00600FFE">
        <w:rPr>
          <w:rFonts w:hAnsi="標楷體" w:hint="eastAsia"/>
          <w:color w:val="000000" w:themeColor="text1"/>
          <w:szCs w:val="32"/>
        </w:rPr>
        <w:t>及督導</w:t>
      </w:r>
      <w:r w:rsidR="00DB4781" w:rsidRPr="00600FFE">
        <w:rPr>
          <w:rFonts w:hAnsi="標楷體" w:hint="eastAsia"/>
          <w:color w:val="000000" w:themeColor="text1"/>
          <w:szCs w:val="32"/>
        </w:rPr>
        <w:t>情形</w:t>
      </w:r>
      <w:r w:rsidR="002D050F" w:rsidRPr="00600FFE">
        <w:rPr>
          <w:rFonts w:hAnsi="標楷體" w:hint="eastAsia"/>
          <w:color w:val="000000" w:themeColor="text1"/>
          <w:szCs w:val="32"/>
        </w:rPr>
        <w:t>如何</w:t>
      </w:r>
      <w:r w:rsidR="00AF2F37" w:rsidRPr="00600FFE">
        <w:rPr>
          <w:rFonts w:hAnsi="標楷體" w:hint="eastAsia"/>
          <w:color w:val="000000" w:themeColor="text1"/>
          <w:szCs w:val="32"/>
        </w:rPr>
        <w:t>？</w:t>
      </w:r>
      <w:r w:rsidR="002D050F" w:rsidRPr="00600FFE">
        <w:rPr>
          <w:rFonts w:hAnsi="標楷體" w:hint="eastAsia"/>
          <w:color w:val="000000" w:themeColor="text1"/>
          <w:szCs w:val="32"/>
        </w:rPr>
        <w:t>均</w:t>
      </w:r>
      <w:r w:rsidR="002D050F" w:rsidRPr="00600FFE">
        <w:rPr>
          <w:rFonts w:hAnsi="標楷體" w:hint="eastAsia"/>
          <w:color w:val="000000" w:themeColor="text1"/>
          <w:szCs w:val="32"/>
        </w:rPr>
        <w:lastRenderedPageBreak/>
        <w:t>有深入調查之必要</w:t>
      </w:r>
      <w:r w:rsidR="004E30B6" w:rsidRPr="00600FFE">
        <w:rPr>
          <w:rFonts w:hAnsi="標楷體" w:hint="eastAsia"/>
          <w:color w:val="000000" w:themeColor="text1"/>
          <w:szCs w:val="32"/>
        </w:rPr>
        <w:t>乙</w:t>
      </w:r>
      <w:r w:rsidR="002D050F" w:rsidRPr="00600FFE">
        <w:rPr>
          <w:rFonts w:hAnsi="標楷體" w:hint="eastAsia"/>
          <w:color w:val="000000" w:themeColor="text1"/>
          <w:szCs w:val="32"/>
        </w:rPr>
        <w:t>案</w:t>
      </w:r>
      <w:r w:rsidR="004E30B6" w:rsidRPr="00600FFE">
        <w:rPr>
          <w:rFonts w:hAnsi="標楷體" w:hint="eastAsia"/>
          <w:color w:val="000000" w:themeColor="text1"/>
          <w:szCs w:val="32"/>
        </w:rPr>
        <w:t>。</w:t>
      </w:r>
    </w:p>
    <w:p w:rsidR="0081109D" w:rsidRPr="00600FFE" w:rsidRDefault="00136255" w:rsidP="00136255">
      <w:pPr>
        <w:pStyle w:val="10"/>
        <w:ind w:left="680" w:firstLine="680"/>
        <w:rPr>
          <w:rFonts w:hAnsi="標楷體"/>
          <w:color w:val="000000" w:themeColor="text1"/>
          <w:szCs w:val="32"/>
        </w:rPr>
      </w:pPr>
      <w:r w:rsidRPr="00600FFE">
        <w:rPr>
          <w:rFonts w:hAnsi="標楷體" w:hint="eastAsia"/>
          <w:color w:val="000000" w:themeColor="text1"/>
          <w:szCs w:val="32"/>
        </w:rPr>
        <w:t>本案經調閱教育部卷證資料，及於110年12月21日詢問教育部</w:t>
      </w:r>
      <w:r w:rsidR="00C46284" w:rsidRPr="00600FFE">
        <w:rPr>
          <w:rFonts w:hAnsi="標楷體" w:hint="eastAsia"/>
          <w:color w:val="000000" w:themeColor="text1"/>
          <w:szCs w:val="32"/>
        </w:rPr>
        <w:t>技術及職業教育司</w:t>
      </w:r>
      <w:r w:rsidRPr="00600FFE">
        <w:rPr>
          <w:rFonts w:hAnsi="標楷體" w:hint="eastAsia"/>
          <w:color w:val="000000" w:themeColor="text1"/>
          <w:szCs w:val="32"/>
        </w:rPr>
        <w:t>司長楊玉惠等機關人員，該部並於111年1月28日補充相關資料到院，</w:t>
      </w:r>
      <w:r w:rsidRPr="00600FFE">
        <w:rPr>
          <w:rFonts w:hAnsi="標楷體" w:hint="eastAsia"/>
          <w:color w:val="000000" w:themeColor="text1"/>
        </w:rPr>
        <w:t>以釐案情。</w:t>
      </w:r>
      <w:r w:rsidR="00061638" w:rsidRPr="00600FFE">
        <w:rPr>
          <w:rFonts w:hAnsi="標楷體" w:hint="eastAsia"/>
          <w:color w:val="000000" w:themeColor="text1"/>
        </w:rPr>
        <w:t>已完成調查</w:t>
      </w:r>
      <w:r w:rsidRPr="00600FFE">
        <w:rPr>
          <w:rFonts w:hAnsi="標楷體" w:hint="eastAsia"/>
          <w:color w:val="000000" w:themeColor="text1"/>
        </w:rPr>
        <w:t>，列述調查意見</w:t>
      </w:r>
      <w:r w:rsidRPr="00600FFE">
        <w:rPr>
          <w:rFonts w:hint="eastAsia"/>
          <w:color w:val="000000" w:themeColor="text1"/>
        </w:rPr>
        <w:t>於后：</w:t>
      </w:r>
    </w:p>
    <w:p w:rsidR="009D3CB4" w:rsidRPr="009423DD" w:rsidRDefault="00DD2FE7" w:rsidP="00F3574E">
      <w:pPr>
        <w:pStyle w:val="2"/>
        <w:spacing w:beforeLines="50" w:before="228"/>
        <w:ind w:left="1020" w:hanging="680"/>
        <w:rPr>
          <w:b/>
          <w:color w:val="000000" w:themeColor="text1"/>
        </w:rPr>
      </w:pPr>
      <w:bookmarkStart w:id="52" w:name="_Toc97105644"/>
      <w:r w:rsidRPr="005B7C45">
        <w:rPr>
          <w:rFonts w:hint="eastAsia"/>
          <w:b/>
        </w:rPr>
        <w:t>臺灣觀光學院</w:t>
      </w:r>
      <w:r w:rsidR="00642EBD" w:rsidRPr="005B7C45">
        <w:rPr>
          <w:rFonts w:hint="eastAsia"/>
          <w:b/>
        </w:rPr>
        <w:t>前於</w:t>
      </w:r>
      <w:r w:rsidRPr="005B7C45">
        <w:rPr>
          <w:rFonts w:hint="eastAsia"/>
          <w:b/>
        </w:rPr>
        <w:t>107學年度</w:t>
      </w:r>
      <w:r w:rsidR="00BA300C" w:rsidRPr="005B7C45">
        <w:rPr>
          <w:rFonts w:hint="eastAsia"/>
          <w:b/>
        </w:rPr>
        <w:t>即曾</w:t>
      </w:r>
      <w:r w:rsidRPr="005B7C45">
        <w:rPr>
          <w:rFonts w:hint="eastAsia"/>
          <w:b/>
        </w:rPr>
        <w:t>經教育部核定停招部分系所</w:t>
      </w:r>
      <w:r w:rsidR="00E80A8A" w:rsidRPr="005B7C45">
        <w:rPr>
          <w:rFonts w:hint="eastAsia"/>
          <w:b/>
        </w:rPr>
        <w:t>，</w:t>
      </w:r>
      <w:r w:rsidR="00292D85" w:rsidRPr="005B7C45">
        <w:rPr>
          <w:rFonts w:hint="eastAsia"/>
          <w:b/>
        </w:rPr>
        <w:t>又</w:t>
      </w:r>
      <w:r w:rsidR="00462CB8" w:rsidRPr="005B7C45">
        <w:rPr>
          <w:rFonts w:hint="eastAsia"/>
          <w:b/>
        </w:rPr>
        <w:t>再</w:t>
      </w:r>
      <w:r w:rsidR="005A6280" w:rsidRPr="005B7C45">
        <w:rPr>
          <w:rFonts w:hint="eastAsia"/>
          <w:b/>
        </w:rPr>
        <w:t>於</w:t>
      </w:r>
      <w:r w:rsidRPr="005B7C45">
        <w:rPr>
          <w:rFonts w:hint="eastAsia"/>
          <w:b/>
        </w:rPr>
        <w:t>110學年度全部停招，</w:t>
      </w:r>
      <w:r w:rsidR="00393F63" w:rsidRPr="005B7C45">
        <w:rPr>
          <w:rFonts w:hint="eastAsia"/>
          <w:b/>
        </w:rPr>
        <w:t>110年4月15日</w:t>
      </w:r>
      <w:r w:rsidRPr="005B7C45">
        <w:rPr>
          <w:rFonts w:hint="eastAsia"/>
          <w:b/>
        </w:rPr>
        <w:t>該校董事會再函</w:t>
      </w:r>
      <w:r w:rsidR="00921DC1" w:rsidRPr="005B7C45">
        <w:rPr>
          <w:rFonts w:hAnsi="標楷體" w:hint="eastAsia"/>
          <w:b/>
          <w:szCs w:val="32"/>
        </w:rPr>
        <w:t>教育部</w:t>
      </w:r>
      <w:r w:rsidRPr="005B7C45">
        <w:rPr>
          <w:rFonts w:hint="eastAsia"/>
          <w:b/>
        </w:rPr>
        <w:t>申請停辦獲准，</w:t>
      </w:r>
      <w:r w:rsidR="00C2085B" w:rsidRPr="005B7C45">
        <w:rPr>
          <w:rFonts w:hint="eastAsia"/>
          <w:b/>
        </w:rPr>
        <w:t>惟</w:t>
      </w:r>
      <w:r w:rsidR="00860468" w:rsidRPr="005B7C45">
        <w:rPr>
          <w:rFonts w:hAnsi="標楷體"/>
          <w:b/>
          <w:szCs w:val="32"/>
        </w:rPr>
        <w:t>該校</w:t>
      </w:r>
      <w:r w:rsidR="007263F9" w:rsidRPr="005B7C45">
        <w:rPr>
          <w:rFonts w:hAnsi="標楷體" w:hint="eastAsia"/>
          <w:b/>
          <w:szCs w:val="32"/>
        </w:rPr>
        <w:t>於</w:t>
      </w:r>
      <w:r w:rsidR="009C18AD" w:rsidRPr="005B7C45">
        <w:rPr>
          <w:rFonts w:hAnsi="標楷體" w:hint="eastAsia"/>
          <w:b/>
          <w:szCs w:val="32"/>
        </w:rPr>
        <w:t>歷年</w:t>
      </w:r>
      <w:r w:rsidR="009D3CB4" w:rsidRPr="005B7C45">
        <w:rPr>
          <w:rFonts w:hAnsi="標楷體" w:hint="eastAsia"/>
          <w:b/>
          <w:szCs w:val="32"/>
        </w:rPr>
        <w:t>二度停招及</w:t>
      </w:r>
      <w:r w:rsidR="0037051F" w:rsidRPr="005B7C45">
        <w:rPr>
          <w:rFonts w:hAnsi="標楷體" w:hint="eastAsia"/>
          <w:b/>
          <w:szCs w:val="32"/>
        </w:rPr>
        <w:t>後續</w:t>
      </w:r>
      <w:r w:rsidR="00FE6CEB" w:rsidRPr="005B7C45">
        <w:rPr>
          <w:rFonts w:hAnsi="標楷體" w:hint="eastAsia"/>
          <w:b/>
          <w:szCs w:val="32"/>
        </w:rPr>
        <w:t>之</w:t>
      </w:r>
      <w:r w:rsidR="009D3CB4" w:rsidRPr="005B7C45">
        <w:rPr>
          <w:rFonts w:hAnsi="標楷體" w:hint="eastAsia"/>
          <w:b/>
          <w:szCs w:val="32"/>
        </w:rPr>
        <w:t>停辦期間，</w:t>
      </w:r>
      <w:r w:rsidR="00F837DE" w:rsidRPr="005B7C45">
        <w:rPr>
          <w:rFonts w:hAnsi="標楷體"/>
          <w:b/>
          <w:szCs w:val="32"/>
        </w:rPr>
        <w:t>教學品質查核</w:t>
      </w:r>
      <w:r w:rsidR="00FA723D" w:rsidRPr="005B7C45">
        <w:rPr>
          <w:rFonts w:hAnsi="標楷體" w:hint="eastAsia"/>
          <w:b/>
          <w:szCs w:val="32"/>
        </w:rPr>
        <w:t>多</w:t>
      </w:r>
      <w:r w:rsidR="00F837DE" w:rsidRPr="005B7C45">
        <w:rPr>
          <w:rFonts w:hAnsi="標楷體"/>
          <w:b/>
          <w:szCs w:val="32"/>
        </w:rPr>
        <w:t>次</w:t>
      </w:r>
      <w:r w:rsidR="003D72F4" w:rsidRPr="005B7C45">
        <w:rPr>
          <w:rFonts w:hAnsi="標楷體" w:hint="eastAsia"/>
          <w:b/>
          <w:szCs w:val="32"/>
        </w:rPr>
        <w:t>未</w:t>
      </w:r>
      <w:r w:rsidR="00F837DE" w:rsidRPr="005B7C45">
        <w:rPr>
          <w:rFonts w:hAnsi="標楷體"/>
          <w:b/>
          <w:szCs w:val="32"/>
        </w:rPr>
        <w:t>通過，</w:t>
      </w:r>
      <w:r w:rsidR="00F837DE" w:rsidRPr="005B7C45">
        <w:rPr>
          <w:rFonts w:hAnsi="標楷體" w:hint="eastAsia"/>
          <w:b/>
          <w:szCs w:val="32"/>
        </w:rPr>
        <w:t>且</w:t>
      </w:r>
      <w:r w:rsidR="00ED72F5" w:rsidRPr="005B7C45">
        <w:rPr>
          <w:rFonts w:hAnsi="標楷體" w:hint="eastAsia"/>
          <w:b/>
          <w:szCs w:val="32"/>
        </w:rPr>
        <w:t>全校</w:t>
      </w:r>
      <w:r w:rsidR="009D3CB4" w:rsidRPr="005B7C45">
        <w:rPr>
          <w:rFonts w:hAnsi="標楷體" w:hint="eastAsia"/>
          <w:b/>
          <w:szCs w:val="32"/>
        </w:rPr>
        <w:t>休退學比率</w:t>
      </w:r>
      <w:r w:rsidR="00781FD4" w:rsidRPr="005B7C45">
        <w:rPr>
          <w:rFonts w:hAnsi="標楷體" w:hint="eastAsia"/>
          <w:b/>
          <w:szCs w:val="32"/>
        </w:rPr>
        <w:t>高</w:t>
      </w:r>
      <w:r w:rsidR="009D3CB4" w:rsidRPr="005B7C45">
        <w:rPr>
          <w:rFonts w:hAnsi="標楷體" w:hint="eastAsia"/>
          <w:b/>
          <w:szCs w:val="32"/>
        </w:rPr>
        <w:t>達34.53%~100%，</w:t>
      </w:r>
      <w:r w:rsidR="00E45BF2" w:rsidRPr="005B7C45">
        <w:rPr>
          <w:rFonts w:hAnsi="標楷體" w:hint="eastAsia"/>
          <w:b/>
          <w:szCs w:val="32"/>
        </w:rPr>
        <w:t>其中</w:t>
      </w:r>
      <w:r w:rsidR="009D3CB4" w:rsidRPr="005B7C45">
        <w:rPr>
          <w:rFonts w:hAnsi="標楷體" w:hint="eastAsia"/>
          <w:b/>
          <w:szCs w:val="32"/>
        </w:rPr>
        <w:t>日間部休退學比率達4成左右，與全國休、退學比率平均6%~7%相較</w:t>
      </w:r>
      <w:r w:rsidR="004A5345" w:rsidRPr="005B7C45">
        <w:rPr>
          <w:rFonts w:hAnsi="標楷體" w:hint="eastAsia"/>
          <w:b/>
          <w:szCs w:val="32"/>
        </w:rPr>
        <w:t>，顯屬偏高，</w:t>
      </w:r>
      <w:r w:rsidR="000C0B4F" w:rsidRPr="005B7C45">
        <w:rPr>
          <w:rFonts w:hAnsi="標楷體" w:hint="eastAsia"/>
          <w:b/>
          <w:szCs w:val="32"/>
        </w:rPr>
        <w:t>教育部長期</w:t>
      </w:r>
      <w:r w:rsidR="00393F63" w:rsidRPr="005B7C45">
        <w:rPr>
          <w:rFonts w:hAnsi="標楷體" w:hint="eastAsia"/>
          <w:b/>
          <w:szCs w:val="32"/>
        </w:rPr>
        <w:t>未採取必要動作，影響學</w:t>
      </w:r>
      <w:r w:rsidR="000C0B4F" w:rsidRPr="005B7C45">
        <w:rPr>
          <w:rFonts w:hAnsi="標楷體" w:hint="eastAsia"/>
          <w:b/>
          <w:szCs w:val="32"/>
        </w:rPr>
        <w:t>生權益</w:t>
      </w:r>
      <w:r w:rsidR="00393F63" w:rsidRPr="005B7C45">
        <w:rPr>
          <w:rFonts w:hAnsi="標楷體" w:hint="eastAsia"/>
          <w:b/>
          <w:szCs w:val="32"/>
        </w:rPr>
        <w:t>甚大</w:t>
      </w:r>
      <w:r w:rsidR="009D3CB4" w:rsidRPr="005B7C45">
        <w:rPr>
          <w:rFonts w:hAnsi="標楷體" w:hint="eastAsia"/>
          <w:b/>
          <w:szCs w:val="32"/>
        </w:rPr>
        <w:t>；況</w:t>
      </w:r>
      <w:r w:rsidR="00294971" w:rsidRPr="005B7C45">
        <w:rPr>
          <w:rFonts w:hAnsi="標楷體" w:hint="eastAsia"/>
          <w:b/>
          <w:szCs w:val="32"/>
        </w:rPr>
        <w:t>且</w:t>
      </w:r>
      <w:r w:rsidR="00632633" w:rsidRPr="005B7C45">
        <w:rPr>
          <w:rFonts w:hAnsi="標楷體" w:hint="eastAsia"/>
          <w:b/>
          <w:szCs w:val="32"/>
        </w:rPr>
        <w:t>全校</w:t>
      </w:r>
      <w:r w:rsidR="0070335F" w:rsidRPr="005B7C45">
        <w:rPr>
          <w:rFonts w:hAnsi="標楷體" w:hint="eastAsia"/>
          <w:b/>
          <w:szCs w:val="32"/>
        </w:rPr>
        <w:t>連續受</w:t>
      </w:r>
      <w:r w:rsidR="009D3CB4" w:rsidRPr="005B7C45">
        <w:rPr>
          <w:rFonts w:hint="eastAsia"/>
          <w:b/>
        </w:rPr>
        <w:t>兩次</w:t>
      </w:r>
      <w:r w:rsidR="009C6140" w:rsidRPr="005B7C45">
        <w:rPr>
          <w:rFonts w:hint="eastAsia"/>
          <w:b/>
        </w:rPr>
        <w:t>停招</w:t>
      </w:r>
      <w:r w:rsidR="007F50AB" w:rsidRPr="005B7C45">
        <w:rPr>
          <w:rFonts w:hint="eastAsia"/>
          <w:b/>
        </w:rPr>
        <w:t>及</w:t>
      </w:r>
      <w:r w:rsidR="009C6140" w:rsidRPr="005B7C45">
        <w:rPr>
          <w:rFonts w:hint="eastAsia"/>
          <w:b/>
        </w:rPr>
        <w:t>停辦</w:t>
      </w:r>
      <w:r w:rsidR="009D3CB4" w:rsidRPr="005B7C45">
        <w:rPr>
          <w:rFonts w:hint="eastAsia"/>
          <w:b/>
        </w:rPr>
        <w:t>影響之</w:t>
      </w:r>
      <w:r w:rsidR="009D3CB4" w:rsidRPr="005B7C45">
        <w:rPr>
          <w:rFonts w:hAnsi="標楷體" w:hint="eastAsia"/>
          <w:b/>
          <w:szCs w:val="32"/>
        </w:rPr>
        <w:t>未畢業生高達84人</w:t>
      </w:r>
      <w:r w:rsidR="009D3CB4" w:rsidRPr="005B7C45">
        <w:rPr>
          <w:rFonts w:hint="eastAsia"/>
          <w:b/>
        </w:rPr>
        <w:t>，</w:t>
      </w:r>
      <w:r w:rsidR="00E5698B" w:rsidRPr="005B7C45">
        <w:rPr>
          <w:rFonts w:hAnsi="標楷體" w:hint="eastAsia"/>
          <w:b/>
          <w:szCs w:val="32"/>
        </w:rPr>
        <w:t>教育部</w:t>
      </w:r>
      <w:r w:rsidR="009D3CB4" w:rsidRPr="005B7C45">
        <w:rPr>
          <w:rFonts w:hint="eastAsia"/>
          <w:b/>
        </w:rPr>
        <w:t>雖採他校專班安置，</w:t>
      </w:r>
      <w:r w:rsidR="006228EB" w:rsidRPr="005B7C45">
        <w:rPr>
          <w:rFonts w:hint="eastAsia"/>
          <w:b/>
        </w:rPr>
        <w:t>惟</w:t>
      </w:r>
      <w:r w:rsidR="00BF188F" w:rsidRPr="005B7C45">
        <w:rPr>
          <w:rFonts w:hAnsi="標楷體" w:hint="eastAsia"/>
          <w:b/>
          <w:szCs w:val="32"/>
        </w:rPr>
        <w:t>多數學生表達「原校畢業」之訴求，</w:t>
      </w:r>
      <w:r w:rsidR="00F243E6" w:rsidRPr="005B7C45">
        <w:rPr>
          <w:rFonts w:hAnsi="標楷體" w:hint="eastAsia"/>
          <w:b/>
          <w:szCs w:val="32"/>
        </w:rPr>
        <w:t>且</w:t>
      </w:r>
      <w:r w:rsidR="0011135A" w:rsidRPr="005B7C45">
        <w:rPr>
          <w:rFonts w:hAnsi="標楷體" w:hint="eastAsia"/>
          <w:b/>
          <w:szCs w:val="32"/>
        </w:rPr>
        <w:t>歷次</w:t>
      </w:r>
      <w:r w:rsidR="00407CBA" w:rsidRPr="005B7C45">
        <w:rPr>
          <w:rFonts w:hAnsi="標楷體" w:hint="eastAsia"/>
          <w:b/>
          <w:szCs w:val="32"/>
        </w:rPr>
        <w:t>受影響</w:t>
      </w:r>
      <w:r w:rsidR="00407CBA" w:rsidRPr="009423DD">
        <w:rPr>
          <w:rFonts w:hAnsi="標楷體" w:hint="eastAsia"/>
          <w:b/>
          <w:color w:val="000000" w:themeColor="text1"/>
          <w:szCs w:val="32"/>
        </w:rPr>
        <w:t>之經濟弱勢及特教生</w:t>
      </w:r>
      <w:r w:rsidR="009A0913" w:rsidRPr="009423DD">
        <w:rPr>
          <w:rFonts w:hAnsi="標楷體" w:hint="eastAsia"/>
          <w:b/>
          <w:color w:val="000000" w:themeColor="text1"/>
          <w:szCs w:val="32"/>
        </w:rPr>
        <w:t>占</w:t>
      </w:r>
      <w:r w:rsidR="00CC6A56" w:rsidRPr="009423DD">
        <w:rPr>
          <w:rFonts w:hAnsi="標楷體" w:hint="eastAsia"/>
          <w:b/>
          <w:color w:val="000000" w:themeColor="text1"/>
          <w:szCs w:val="32"/>
        </w:rPr>
        <w:t>比約</w:t>
      </w:r>
      <w:r w:rsidR="00B358CD" w:rsidRPr="009423DD">
        <w:rPr>
          <w:rFonts w:hAnsi="標楷體" w:hint="eastAsia"/>
          <w:b/>
          <w:color w:val="000000" w:themeColor="text1"/>
          <w:szCs w:val="32"/>
        </w:rPr>
        <w:t>達</w:t>
      </w:r>
      <w:r w:rsidR="00216923" w:rsidRPr="009423DD">
        <w:rPr>
          <w:rFonts w:hAnsi="標楷體" w:hint="eastAsia"/>
          <w:b/>
          <w:color w:val="000000" w:themeColor="text1"/>
          <w:szCs w:val="32"/>
        </w:rPr>
        <w:t>32.57%~41.79%，</w:t>
      </w:r>
      <w:r w:rsidR="002518CC" w:rsidRPr="009423DD">
        <w:rPr>
          <w:rFonts w:hAnsi="標楷體" w:hint="eastAsia"/>
          <w:b/>
          <w:color w:val="000000" w:themeColor="text1"/>
          <w:szCs w:val="32"/>
        </w:rPr>
        <w:t>又</w:t>
      </w:r>
      <w:r w:rsidR="00A867E2" w:rsidRPr="009423DD">
        <w:rPr>
          <w:rFonts w:hAnsi="標楷體" w:hint="eastAsia"/>
          <w:b/>
          <w:color w:val="000000" w:themeColor="text1"/>
          <w:szCs w:val="32"/>
        </w:rPr>
        <w:t>接受</w:t>
      </w:r>
      <w:r w:rsidR="0083369F" w:rsidRPr="009423DD">
        <w:rPr>
          <w:rFonts w:hAnsi="標楷體" w:hint="eastAsia"/>
          <w:b/>
          <w:color w:val="000000" w:themeColor="text1"/>
          <w:szCs w:val="32"/>
        </w:rPr>
        <w:t>安置學生中有4成申請就學貸款，</w:t>
      </w:r>
      <w:r w:rsidR="004F05CE" w:rsidRPr="009423DD">
        <w:rPr>
          <w:rFonts w:hAnsi="標楷體" w:hint="eastAsia"/>
          <w:b/>
          <w:color w:val="000000" w:themeColor="text1"/>
          <w:szCs w:val="32"/>
        </w:rPr>
        <w:t>學生停辦意見</w:t>
      </w:r>
      <w:r w:rsidR="00A44749" w:rsidRPr="009423DD">
        <w:rPr>
          <w:rFonts w:hAnsi="標楷體" w:hint="eastAsia"/>
          <w:b/>
          <w:color w:val="000000" w:themeColor="text1"/>
          <w:szCs w:val="32"/>
        </w:rPr>
        <w:t>亦</w:t>
      </w:r>
      <w:r w:rsidR="00A54691" w:rsidRPr="009423DD">
        <w:rPr>
          <w:rFonts w:hAnsi="標楷體" w:hint="eastAsia"/>
          <w:b/>
          <w:color w:val="000000" w:themeColor="text1"/>
          <w:szCs w:val="32"/>
        </w:rPr>
        <w:t>指出</w:t>
      </w:r>
      <w:r w:rsidR="0078213D" w:rsidRPr="009423DD">
        <w:rPr>
          <w:rFonts w:hAnsi="標楷體" w:hint="eastAsia"/>
          <w:b/>
          <w:color w:val="000000" w:themeColor="text1"/>
          <w:szCs w:val="32"/>
        </w:rPr>
        <w:t>仍有待</w:t>
      </w:r>
      <w:r w:rsidR="00BB2495" w:rsidRPr="009423DD">
        <w:rPr>
          <w:rFonts w:hAnsi="標楷體" w:hint="eastAsia"/>
          <w:b/>
          <w:color w:val="000000" w:themeColor="text1"/>
          <w:szCs w:val="32"/>
        </w:rPr>
        <w:t>特殊協助</w:t>
      </w:r>
      <w:r w:rsidR="000E4DB1" w:rsidRPr="009423DD">
        <w:rPr>
          <w:rFonts w:hAnsi="標楷體" w:hint="eastAsia"/>
          <w:b/>
          <w:color w:val="000000" w:themeColor="text1"/>
          <w:szCs w:val="32"/>
        </w:rPr>
        <w:t>情形</w:t>
      </w:r>
      <w:r w:rsidR="00BB2495" w:rsidRPr="009423DD">
        <w:rPr>
          <w:rFonts w:hAnsi="標楷體" w:hint="eastAsia"/>
          <w:b/>
          <w:color w:val="000000" w:themeColor="text1"/>
          <w:szCs w:val="32"/>
        </w:rPr>
        <w:t>，</w:t>
      </w:r>
      <w:r w:rsidR="009D3CB4" w:rsidRPr="009423DD">
        <w:rPr>
          <w:rFonts w:hAnsi="標楷體" w:hint="eastAsia"/>
          <w:b/>
          <w:color w:val="000000" w:themeColor="text1"/>
          <w:szCs w:val="32"/>
        </w:rPr>
        <w:t>亟待積極</w:t>
      </w:r>
      <w:r w:rsidR="00217366" w:rsidRPr="009423DD">
        <w:rPr>
          <w:rFonts w:hAnsi="標楷體" w:hint="eastAsia"/>
          <w:b/>
          <w:color w:val="000000" w:themeColor="text1"/>
          <w:szCs w:val="32"/>
        </w:rPr>
        <w:t>督導</w:t>
      </w:r>
      <w:r w:rsidR="00C1598B" w:rsidRPr="009423DD">
        <w:rPr>
          <w:rFonts w:hAnsi="標楷體" w:hint="eastAsia"/>
          <w:b/>
          <w:color w:val="000000" w:themeColor="text1"/>
          <w:szCs w:val="32"/>
        </w:rPr>
        <w:t>強化</w:t>
      </w:r>
      <w:r w:rsidR="0080704F" w:rsidRPr="009423DD">
        <w:rPr>
          <w:rFonts w:hAnsi="標楷體" w:hint="eastAsia"/>
          <w:b/>
          <w:color w:val="000000" w:themeColor="text1"/>
          <w:szCs w:val="32"/>
        </w:rPr>
        <w:t>相關</w:t>
      </w:r>
      <w:r w:rsidR="0080704F" w:rsidRPr="009423DD">
        <w:rPr>
          <w:rFonts w:hint="eastAsia"/>
          <w:b/>
          <w:color w:val="000000" w:themeColor="text1"/>
        </w:rPr>
        <w:t>輔導及協助措施</w:t>
      </w:r>
      <w:r w:rsidR="009D3CB4" w:rsidRPr="009423DD">
        <w:rPr>
          <w:rFonts w:hAnsi="標楷體" w:hint="eastAsia"/>
          <w:b/>
          <w:color w:val="000000" w:themeColor="text1"/>
          <w:szCs w:val="32"/>
        </w:rPr>
        <w:t>，</w:t>
      </w:r>
      <w:r w:rsidR="00023023" w:rsidRPr="009423DD">
        <w:rPr>
          <w:rFonts w:hAnsi="標楷體" w:hint="eastAsia"/>
          <w:b/>
          <w:color w:val="000000" w:themeColor="text1"/>
          <w:szCs w:val="32"/>
        </w:rPr>
        <w:t>以</w:t>
      </w:r>
      <w:r w:rsidR="009D3CB4" w:rsidRPr="009423DD">
        <w:rPr>
          <w:rFonts w:hAnsi="標楷體" w:hint="eastAsia"/>
          <w:b/>
          <w:color w:val="000000" w:themeColor="text1"/>
          <w:szCs w:val="32"/>
        </w:rPr>
        <w:t>維</w:t>
      </w:r>
      <w:r w:rsidR="00FA4E48" w:rsidRPr="009423DD">
        <w:rPr>
          <w:rFonts w:hAnsi="標楷體" w:hint="eastAsia"/>
          <w:b/>
          <w:color w:val="000000" w:themeColor="text1"/>
          <w:szCs w:val="32"/>
        </w:rPr>
        <w:t>教育權</w:t>
      </w:r>
      <w:bookmarkEnd w:id="52"/>
      <w:r w:rsidR="00F3574E" w:rsidRPr="009423DD">
        <w:rPr>
          <w:rFonts w:hAnsi="標楷體" w:hint="eastAsia"/>
          <w:b/>
          <w:color w:val="000000" w:themeColor="text1"/>
          <w:szCs w:val="32"/>
        </w:rPr>
        <w:t>。</w:t>
      </w:r>
    </w:p>
    <w:p w:rsidR="00752918" w:rsidRPr="009423DD" w:rsidRDefault="008A0596" w:rsidP="00C80901">
      <w:pPr>
        <w:pStyle w:val="3"/>
        <w:rPr>
          <w:color w:val="000000" w:themeColor="text1"/>
        </w:rPr>
      </w:pPr>
      <w:r w:rsidRPr="009423DD">
        <w:rPr>
          <w:rFonts w:hint="eastAsia"/>
          <w:color w:val="000000" w:themeColor="text1"/>
        </w:rPr>
        <w:t>按</w:t>
      </w:r>
      <w:r w:rsidR="007316F0" w:rsidRPr="009423DD">
        <w:rPr>
          <w:rFonts w:asciiTheme="minorEastAsia" w:hAnsiTheme="minorEastAsia" w:cs="新細明體" w:hint="eastAsia"/>
          <w:color w:val="000000" w:themeColor="text1"/>
          <w:kern w:val="0"/>
          <w:szCs w:val="32"/>
        </w:rPr>
        <w:t>私立學校法（下稱</w:t>
      </w:r>
      <w:r w:rsidR="007316F0" w:rsidRPr="009423DD">
        <w:rPr>
          <w:rFonts w:hint="eastAsia"/>
          <w:color w:val="000000" w:themeColor="text1"/>
        </w:rPr>
        <w:t>私校法</w:t>
      </w:r>
      <w:r w:rsidR="007316F0" w:rsidRPr="009423DD">
        <w:rPr>
          <w:rFonts w:asciiTheme="minorEastAsia" w:hAnsiTheme="minorEastAsia" w:cs="新細明體" w:hint="eastAsia"/>
          <w:color w:val="000000" w:themeColor="text1"/>
          <w:kern w:val="0"/>
          <w:szCs w:val="32"/>
        </w:rPr>
        <w:t>）</w:t>
      </w:r>
      <w:r w:rsidR="00752918" w:rsidRPr="009423DD">
        <w:rPr>
          <w:rFonts w:hint="eastAsia"/>
          <w:color w:val="000000" w:themeColor="text1"/>
        </w:rPr>
        <w:t>第55條規定略以，學校法人所設私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w:t>
      </w:r>
      <w:r w:rsidR="00503B68" w:rsidRPr="009423DD">
        <w:rPr>
          <w:rFonts w:hint="eastAsia"/>
          <w:color w:val="000000" w:themeColor="text1"/>
        </w:rPr>
        <w:t>及按</w:t>
      </w:r>
      <w:r w:rsidR="00752918" w:rsidRPr="009423DD">
        <w:rPr>
          <w:rFonts w:hint="eastAsia"/>
          <w:color w:val="000000" w:themeColor="text1"/>
        </w:rPr>
        <w:t>教育部輔導私立大專校院改善及停辦實施原則(下稱改善及停辦實施原則)第9點第1項規定</w:t>
      </w:r>
      <w:r w:rsidR="00811B27" w:rsidRPr="009423DD">
        <w:rPr>
          <w:rFonts w:hint="eastAsia"/>
          <w:color w:val="000000" w:themeColor="text1"/>
        </w:rPr>
        <w:t>略以，</w:t>
      </w:r>
      <w:r w:rsidR="00752918" w:rsidRPr="009423DD">
        <w:rPr>
          <w:rFonts w:hint="eastAsia"/>
          <w:color w:val="000000" w:themeColor="text1"/>
        </w:rPr>
        <w:t>專案輔導學校或其學校法人所提改善計畫，未經</w:t>
      </w:r>
      <w:r w:rsidR="00A4598A" w:rsidRPr="009423DD">
        <w:rPr>
          <w:rFonts w:hint="eastAsia"/>
          <w:color w:val="000000" w:themeColor="text1"/>
        </w:rPr>
        <w:t>該</w:t>
      </w:r>
      <w:r w:rsidR="00752918" w:rsidRPr="009423DD">
        <w:rPr>
          <w:rFonts w:hint="eastAsia"/>
          <w:color w:val="000000" w:themeColor="text1"/>
        </w:rPr>
        <w:t>部專案輔導小組審核通</w:t>
      </w:r>
      <w:r w:rsidR="00752918" w:rsidRPr="009423DD">
        <w:rPr>
          <w:rFonts w:hint="eastAsia"/>
          <w:color w:val="000000" w:themeColor="text1"/>
        </w:rPr>
        <w:lastRenderedPageBreak/>
        <w:t>過，或改善計畫通過後，經考核未達改善目標者，</w:t>
      </w:r>
      <w:r w:rsidR="00F0755B" w:rsidRPr="009423DD">
        <w:rPr>
          <w:rFonts w:hint="eastAsia"/>
          <w:color w:val="000000" w:themeColor="text1"/>
        </w:rPr>
        <w:t>教育</w:t>
      </w:r>
      <w:r w:rsidR="00752918" w:rsidRPr="009423DD">
        <w:rPr>
          <w:rFonts w:hint="eastAsia"/>
          <w:color w:val="000000" w:themeColor="text1"/>
        </w:rPr>
        <w:t>部得依私立學校法第55條規定，經徵詢私立學校諮詢會意見後，視情節輕重停止學校部分或全部之獎勵、補助，及部分或全部班級之招生。</w:t>
      </w:r>
      <w:r w:rsidR="00503B68" w:rsidRPr="009423DD">
        <w:rPr>
          <w:rFonts w:hint="eastAsia"/>
          <w:color w:val="000000" w:themeColor="text1"/>
        </w:rPr>
        <w:t>是教育部得命學校「停招」之相關規定。</w:t>
      </w:r>
    </w:p>
    <w:p w:rsidR="008A0596" w:rsidRPr="009423DD" w:rsidRDefault="004C0AB7" w:rsidP="00C80901">
      <w:pPr>
        <w:pStyle w:val="3"/>
        <w:rPr>
          <w:color w:val="000000" w:themeColor="text1"/>
        </w:rPr>
      </w:pPr>
      <w:r w:rsidRPr="009423DD">
        <w:rPr>
          <w:rFonts w:hint="eastAsia"/>
          <w:color w:val="000000" w:themeColor="text1"/>
        </w:rPr>
        <w:t>而</w:t>
      </w:r>
      <w:r w:rsidR="00F42BF0" w:rsidRPr="009423DD">
        <w:rPr>
          <w:rFonts w:hint="eastAsia"/>
          <w:color w:val="000000" w:themeColor="text1"/>
        </w:rPr>
        <w:t>教育部</w:t>
      </w:r>
      <w:r w:rsidR="00D46177" w:rsidRPr="009423DD">
        <w:rPr>
          <w:rFonts w:hint="eastAsia"/>
          <w:color w:val="000000" w:themeColor="text1"/>
        </w:rPr>
        <w:t>得命學校「停辦」</w:t>
      </w:r>
      <w:r w:rsidR="00556F2E" w:rsidRPr="009423DD">
        <w:rPr>
          <w:rFonts w:hint="eastAsia"/>
          <w:color w:val="000000" w:themeColor="text1"/>
        </w:rPr>
        <w:t>之</w:t>
      </w:r>
      <w:r w:rsidR="00D46177" w:rsidRPr="009423DD">
        <w:rPr>
          <w:rFonts w:hint="eastAsia"/>
          <w:color w:val="000000" w:themeColor="text1"/>
        </w:rPr>
        <w:t>相關規定</w:t>
      </w:r>
      <w:r w:rsidRPr="009423DD">
        <w:rPr>
          <w:rFonts w:hint="eastAsia"/>
          <w:color w:val="000000" w:themeColor="text1"/>
        </w:rPr>
        <w:t>，係</w:t>
      </w:r>
      <w:r w:rsidR="00F316A7" w:rsidRPr="009423DD">
        <w:rPr>
          <w:rFonts w:hint="eastAsia"/>
          <w:color w:val="000000" w:themeColor="text1"/>
        </w:rPr>
        <w:t>按私校法第70條</w:t>
      </w:r>
      <w:r w:rsidR="00217907" w:rsidRPr="009423DD">
        <w:rPr>
          <w:rFonts w:hint="eastAsia"/>
          <w:color w:val="000000" w:themeColor="text1"/>
        </w:rPr>
        <w:t>規定略以，</w:t>
      </w:r>
      <w:r w:rsidR="00F316A7" w:rsidRPr="009423DD">
        <w:rPr>
          <w:rFonts w:hint="eastAsia"/>
          <w:color w:val="000000" w:themeColor="text1"/>
        </w:rPr>
        <w:t>私立學校有下列情形之一者，其學校法人應報經學校主管機關核定後停辦：一、辦學目的有窒礙難行，或遭遇重大困難不能繼續辦理。二、經學校主管機關依本法規定限期命其為適法之處置，或整頓改善，屆期未處置、改善，或處置、改善無效果。前項情形，學校法人未自行申請學校主管機關核定停辦者，學校主管機關於必要時徵詢私立學校諮詢會意見後，得命其停辦。</w:t>
      </w:r>
      <w:r w:rsidR="005F6FFF" w:rsidRPr="009423DD">
        <w:rPr>
          <w:rFonts w:hint="eastAsia"/>
          <w:color w:val="000000" w:themeColor="text1"/>
        </w:rPr>
        <w:t>又按</w:t>
      </w:r>
      <w:r w:rsidR="00F316A7" w:rsidRPr="009423DD">
        <w:rPr>
          <w:rFonts w:hint="eastAsia"/>
          <w:color w:val="000000" w:themeColor="text1"/>
        </w:rPr>
        <w:t>改善及停辦實施原則第11點第1項</w:t>
      </w:r>
      <w:r w:rsidR="00097DF9" w:rsidRPr="009423DD">
        <w:rPr>
          <w:rFonts w:hint="eastAsia"/>
          <w:color w:val="000000" w:themeColor="text1"/>
        </w:rPr>
        <w:t>規定略以，</w:t>
      </w:r>
      <w:r w:rsidR="00F316A7" w:rsidRPr="009423DD">
        <w:rPr>
          <w:rFonts w:hint="eastAsia"/>
          <w:color w:val="000000" w:themeColor="text1"/>
        </w:rPr>
        <w:t>專案輔導學校經</w:t>
      </w:r>
      <w:r w:rsidR="001573E6" w:rsidRPr="009423DD">
        <w:rPr>
          <w:rFonts w:hint="eastAsia"/>
          <w:color w:val="000000" w:themeColor="text1"/>
        </w:rPr>
        <w:t>該</w:t>
      </w:r>
      <w:r w:rsidR="00F316A7" w:rsidRPr="009423DD">
        <w:rPr>
          <w:rFonts w:hint="eastAsia"/>
          <w:color w:val="000000" w:themeColor="text1"/>
        </w:rPr>
        <w:t>部輔導及命其限期整頓改善，逾第6點第3項所定輔導期間(</w:t>
      </w:r>
      <w:r w:rsidR="009876D7" w:rsidRPr="009423DD">
        <w:rPr>
          <w:rFonts w:hint="eastAsia"/>
          <w:color w:val="000000" w:themeColor="text1"/>
        </w:rPr>
        <w:t>2</w:t>
      </w:r>
      <w:r w:rsidR="00F316A7" w:rsidRPr="009423DD">
        <w:rPr>
          <w:rFonts w:hint="eastAsia"/>
          <w:color w:val="000000" w:themeColor="text1"/>
        </w:rPr>
        <w:t>年)，屆期未改善或改善無效果者，學校法人應主動向</w:t>
      </w:r>
      <w:r w:rsidR="00450C25" w:rsidRPr="009423DD">
        <w:rPr>
          <w:rFonts w:hint="eastAsia"/>
          <w:color w:val="000000" w:themeColor="text1"/>
        </w:rPr>
        <w:t>教育部</w:t>
      </w:r>
      <w:r w:rsidR="00F316A7" w:rsidRPr="009423DD">
        <w:rPr>
          <w:rFonts w:hint="eastAsia"/>
          <w:color w:val="000000" w:themeColor="text1"/>
        </w:rPr>
        <w:t>申請直接停辦或停止全部招生後停辦，或由</w:t>
      </w:r>
      <w:r w:rsidR="00A0523E" w:rsidRPr="009423DD">
        <w:rPr>
          <w:rFonts w:hint="eastAsia"/>
          <w:color w:val="000000" w:themeColor="text1"/>
        </w:rPr>
        <w:t>教育部</w:t>
      </w:r>
      <w:r w:rsidR="00F316A7" w:rsidRPr="009423DD">
        <w:rPr>
          <w:rFonts w:hint="eastAsia"/>
          <w:color w:val="000000" w:themeColor="text1"/>
        </w:rPr>
        <w:t>依</w:t>
      </w:r>
      <w:r w:rsidR="003B53E4">
        <w:rPr>
          <w:rFonts w:hint="eastAsia"/>
          <w:color w:val="7030A0"/>
        </w:rPr>
        <w:t>私校法</w:t>
      </w:r>
      <w:r w:rsidR="00F316A7" w:rsidRPr="009423DD">
        <w:rPr>
          <w:rFonts w:hint="eastAsia"/>
          <w:color w:val="000000" w:themeColor="text1"/>
        </w:rPr>
        <w:t>法第</w:t>
      </w:r>
      <w:r w:rsidR="0016559F" w:rsidRPr="009423DD">
        <w:rPr>
          <w:rFonts w:hint="eastAsia"/>
          <w:color w:val="000000" w:themeColor="text1"/>
        </w:rPr>
        <w:t>70</w:t>
      </w:r>
      <w:r w:rsidR="00F316A7" w:rsidRPr="009423DD">
        <w:rPr>
          <w:rFonts w:hint="eastAsia"/>
          <w:color w:val="000000" w:themeColor="text1"/>
        </w:rPr>
        <w:t>條第</w:t>
      </w:r>
      <w:r w:rsidR="0016559F" w:rsidRPr="009423DD">
        <w:rPr>
          <w:rFonts w:hint="eastAsia"/>
          <w:color w:val="000000" w:themeColor="text1"/>
        </w:rPr>
        <w:t>2</w:t>
      </w:r>
      <w:r w:rsidR="00F316A7" w:rsidRPr="009423DD">
        <w:rPr>
          <w:rFonts w:hint="eastAsia"/>
          <w:color w:val="000000" w:themeColor="text1"/>
        </w:rPr>
        <w:t>項、專科學校法第</w:t>
      </w:r>
      <w:r w:rsidR="0016559F" w:rsidRPr="009423DD">
        <w:rPr>
          <w:rFonts w:hint="eastAsia"/>
          <w:color w:val="000000" w:themeColor="text1"/>
        </w:rPr>
        <w:t>7</w:t>
      </w:r>
      <w:r w:rsidR="00F316A7" w:rsidRPr="009423DD">
        <w:rPr>
          <w:rFonts w:hint="eastAsia"/>
          <w:color w:val="000000" w:themeColor="text1"/>
        </w:rPr>
        <w:t>條第</w:t>
      </w:r>
      <w:r w:rsidR="0016559F" w:rsidRPr="009423DD">
        <w:rPr>
          <w:rFonts w:hint="eastAsia"/>
          <w:color w:val="000000" w:themeColor="text1"/>
        </w:rPr>
        <w:t>3</w:t>
      </w:r>
      <w:r w:rsidR="00F316A7" w:rsidRPr="009423DD">
        <w:rPr>
          <w:rFonts w:hint="eastAsia"/>
          <w:color w:val="000000" w:themeColor="text1"/>
        </w:rPr>
        <w:t>項規定命其直接停辦或停止全部招生後停辦。</w:t>
      </w:r>
    </w:p>
    <w:p w:rsidR="007B0B64" w:rsidRPr="009423DD" w:rsidRDefault="00FB060C" w:rsidP="00AA6190">
      <w:pPr>
        <w:pStyle w:val="3"/>
        <w:rPr>
          <w:color w:val="000000" w:themeColor="text1"/>
        </w:rPr>
      </w:pPr>
      <w:r w:rsidRPr="006630E4">
        <w:rPr>
          <w:rFonts w:hint="eastAsia"/>
          <w:color w:val="7030A0"/>
        </w:rPr>
        <w:t>該校</w:t>
      </w:r>
      <w:r w:rsidR="0097449A" w:rsidRPr="009423DD">
        <w:rPr>
          <w:rFonts w:hint="eastAsia"/>
          <w:color w:val="000000" w:themeColor="text1"/>
        </w:rPr>
        <w:t>前身</w:t>
      </w:r>
      <w:r w:rsidR="00EF2112" w:rsidRPr="009423DD">
        <w:rPr>
          <w:rFonts w:hint="eastAsia"/>
          <w:color w:val="000000" w:themeColor="text1"/>
        </w:rPr>
        <w:t>係</w:t>
      </w:r>
      <w:r w:rsidR="0097449A" w:rsidRPr="009423DD">
        <w:rPr>
          <w:rFonts w:hint="eastAsia"/>
          <w:color w:val="000000" w:themeColor="text1"/>
        </w:rPr>
        <w:t>精鍾商業專科學校，成立於78年間，歷經更名</w:t>
      </w:r>
      <w:r w:rsidR="009E6731" w:rsidRPr="009423DD">
        <w:rPr>
          <w:rFonts w:hint="eastAsia"/>
          <w:color w:val="000000" w:themeColor="text1"/>
        </w:rPr>
        <w:t>、升格改制，</w:t>
      </w:r>
      <w:r w:rsidR="008C021F" w:rsidRPr="009423DD">
        <w:rPr>
          <w:rFonts w:hint="eastAsia"/>
          <w:color w:val="000000" w:themeColor="text1"/>
        </w:rPr>
        <w:t>曾獲教育部大專院校評鑑餐旅類科第1名，然自104學年度第2學期</w:t>
      </w:r>
      <w:r w:rsidR="001230A1" w:rsidRPr="009423DD">
        <w:rPr>
          <w:rFonts w:hint="eastAsia"/>
          <w:color w:val="000000" w:themeColor="text1"/>
        </w:rPr>
        <w:t>因</w:t>
      </w:r>
      <w:r w:rsidR="008C021F" w:rsidRPr="009423DD">
        <w:rPr>
          <w:rFonts w:hint="eastAsia"/>
          <w:color w:val="000000" w:themeColor="text1"/>
        </w:rPr>
        <w:t>教學品質查核未通過，105學年度全校註冊率僅40.84%，未達評核指標6成以上，</w:t>
      </w:r>
      <w:r w:rsidR="006F545E" w:rsidRPr="009423DD">
        <w:rPr>
          <w:rFonts w:hint="eastAsia"/>
          <w:color w:val="000000" w:themeColor="text1"/>
        </w:rPr>
        <w:t>又因106學年度招生不足</w:t>
      </w:r>
      <w:r w:rsidR="00436A43" w:rsidRPr="009423DD">
        <w:rPr>
          <w:rFonts w:hAnsi="標楷體" w:hint="eastAsia"/>
          <w:color w:val="000000" w:themeColor="text1"/>
        </w:rPr>
        <w:t>，無法維持營運，</w:t>
      </w:r>
      <w:r w:rsidR="006F545E" w:rsidRPr="009423DD">
        <w:rPr>
          <w:rFonts w:hint="eastAsia"/>
          <w:color w:val="000000" w:themeColor="text1"/>
        </w:rPr>
        <w:t>該校董事會決議停招及轉型，</w:t>
      </w:r>
      <w:r w:rsidR="00122E87" w:rsidRPr="009423DD">
        <w:rPr>
          <w:rFonts w:hint="eastAsia"/>
          <w:color w:val="000000" w:themeColor="text1"/>
        </w:rPr>
        <w:t>107學年度經教育部核定停招部分系所，</w:t>
      </w:r>
      <w:r w:rsidR="00C80901" w:rsidRPr="009423DD">
        <w:rPr>
          <w:rFonts w:hint="eastAsia"/>
          <w:color w:val="000000" w:themeColor="text1"/>
        </w:rPr>
        <w:t>僅招收</w:t>
      </w:r>
      <w:r w:rsidR="00195A65" w:rsidRPr="009423DD">
        <w:rPr>
          <w:rFonts w:hAnsi="標楷體" w:hint="eastAsia"/>
          <w:color w:val="000000" w:themeColor="text1"/>
        </w:rPr>
        <w:t>「廚藝管理系」</w:t>
      </w:r>
      <w:r w:rsidR="00195A65" w:rsidRPr="009423DD">
        <w:rPr>
          <w:rFonts w:hAnsi="標楷體" w:hint="eastAsia"/>
          <w:color w:val="000000" w:themeColor="text1"/>
        </w:rPr>
        <w:lastRenderedPageBreak/>
        <w:t>及「觀光餐旅系」</w:t>
      </w:r>
      <w:r w:rsidR="002B0089" w:rsidRPr="009423DD">
        <w:rPr>
          <w:rStyle w:val="afe"/>
          <w:color w:val="000000" w:themeColor="text1"/>
        </w:rPr>
        <w:footnoteReference w:id="1"/>
      </w:r>
      <w:r w:rsidR="004443A1" w:rsidRPr="009423DD">
        <w:rPr>
          <w:rFonts w:hint="eastAsia"/>
          <w:color w:val="000000" w:themeColor="text1"/>
        </w:rPr>
        <w:t>。</w:t>
      </w:r>
      <w:r w:rsidR="00C120F6" w:rsidRPr="009423DD">
        <w:rPr>
          <w:rFonts w:hint="eastAsia"/>
          <w:color w:val="000000" w:themeColor="text1"/>
        </w:rPr>
        <w:t>後因</w:t>
      </w:r>
      <w:r w:rsidR="00C120F6" w:rsidRPr="009423DD">
        <w:rPr>
          <w:rFonts w:hAnsi="標楷體" w:hint="eastAsia"/>
          <w:color w:val="000000" w:themeColor="text1"/>
        </w:rPr>
        <w:t>董事會持續未捐資</w:t>
      </w:r>
      <w:r w:rsidR="004176DC" w:rsidRPr="009423DD">
        <w:rPr>
          <w:rFonts w:hAnsi="標楷體" w:hint="eastAsia"/>
          <w:color w:val="000000" w:themeColor="text1"/>
        </w:rPr>
        <w:t>，教育部108學年度續列</w:t>
      </w:r>
      <w:r w:rsidR="00B256DA" w:rsidRPr="009423DD">
        <w:rPr>
          <w:rFonts w:hAnsi="標楷體" w:hint="eastAsia"/>
          <w:color w:val="000000" w:themeColor="text1"/>
        </w:rPr>
        <w:t>為</w:t>
      </w:r>
      <w:r w:rsidR="004176DC" w:rsidRPr="009423DD">
        <w:rPr>
          <w:rFonts w:hAnsi="標楷體" w:hint="eastAsia"/>
          <w:color w:val="000000" w:themeColor="text1"/>
        </w:rPr>
        <w:t>專案輔導學校</w:t>
      </w:r>
      <w:r w:rsidR="00C120F6" w:rsidRPr="009423DD">
        <w:rPr>
          <w:rFonts w:hAnsi="標楷體" w:hint="eastAsia"/>
          <w:color w:val="000000" w:themeColor="text1"/>
        </w:rPr>
        <w:t>，</w:t>
      </w:r>
      <w:r w:rsidR="00816532" w:rsidRPr="009423DD">
        <w:rPr>
          <w:rFonts w:hint="eastAsia"/>
          <w:color w:val="000000" w:themeColor="text1"/>
        </w:rPr>
        <w:t>該校</w:t>
      </w:r>
      <w:r w:rsidR="004443A1" w:rsidRPr="009423DD">
        <w:rPr>
          <w:rFonts w:hint="eastAsia"/>
          <w:color w:val="000000" w:themeColor="text1"/>
        </w:rPr>
        <w:t>嗣</w:t>
      </w:r>
      <w:r w:rsidR="0023451F" w:rsidRPr="009423DD">
        <w:rPr>
          <w:rFonts w:hint="eastAsia"/>
          <w:color w:val="000000" w:themeColor="text1"/>
        </w:rPr>
        <w:t>於</w:t>
      </w:r>
      <w:r w:rsidR="00C80901" w:rsidRPr="009423DD">
        <w:rPr>
          <w:rFonts w:hint="eastAsia"/>
          <w:color w:val="000000" w:themeColor="text1"/>
        </w:rPr>
        <w:t>109年12月8日</w:t>
      </w:r>
      <w:r w:rsidR="00C9142D" w:rsidRPr="009423DD">
        <w:rPr>
          <w:rFonts w:hint="eastAsia"/>
          <w:color w:val="000000" w:themeColor="text1"/>
        </w:rPr>
        <w:t>，</w:t>
      </w:r>
      <w:r w:rsidR="00C80901" w:rsidRPr="009423DD">
        <w:rPr>
          <w:rFonts w:hint="eastAsia"/>
          <w:color w:val="000000" w:themeColor="text1"/>
        </w:rPr>
        <w:t>申請自110學年度全面停招，經</w:t>
      </w:r>
      <w:r w:rsidR="00C0500F" w:rsidRPr="009423DD">
        <w:rPr>
          <w:rFonts w:hint="eastAsia"/>
          <w:color w:val="000000" w:themeColor="text1"/>
        </w:rPr>
        <w:t>教育部</w:t>
      </w:r>
      <w:r w:rsidR="00E11B2B" w:rsidRPr="009423DD">
        <w:rPr>
          <w:rFonts w:hAnsi="標楷體" w:hint="eastAsia"/>
          <w:color w:val="000000" w:themeColor="text1"/>
        </w:rPr>
        <w:t>1月11日</w:t>
      </w:r>
      <w:r w:rsidR="00C80901" w:rsidRPr="009423DD">
        <w:rPr>
          <w:rFonts w:hint="eastAsia"/>
          <w:color w:val="000000" w:themeColor="text1"/>
        </w:rPr>
        <w:t>核准在案。考量學校財務狀況及營運能力，</w:t>
      </w:r>
      <w:r w:rsidR="00E07C76" w:rsidRPr="009423DD">
        <w:rPr>
          <w:rFonts w:hint="eastAsia"/>
          <w:color w:val="000000" w:themeColor="text1"/>
        </w:rPr>
        <w:t>110年</w:t>
      </w:r>
      <w:r w:rsidR="00C80901" w:rsidRPr="009423DD">
        <w:rPr>
          <w:rFonts w:hint="eastAsia"/>
          <w:color w:val="000000" w:themeColor="text1"/>
        </w:rPr>
        <w:t>2月9日</w:t>
      </w:r>
      <w:r w:rsidR="00E07C76" w:rsidRPr="009423DD">
        <w:rPr>
          <w:rFonts w:hint="eastAsia"/>
          <w:color w:val="000000" w:themeColor="text1"/>
        </w:rPr>
        <w:t>該校</w:t>
      </w:r>
      <w:r w:rsidR="00C80901" w:rsidRPr="009423DD">
        <w:rPr>
          <w:rFonts w:hint="eastAsia"/>
          <w:color w:val="000000" w:themeColor="text1"/>
        </w:rPr>
        <w:t>董事會議</w:t>
      </w:r>
      <w:r w:rsidR="00E07C76" w:rsidRPr="009423DD">
        <w:rPr>
          <w:rFonts w:hint="eastAsia"/>
          <w:color w:val="000000" w:themeColor="text1"/>
        </w:rPr>
        <w:t>決</w:t>
      </w:r>
      <w:r w:rsidR="00C80901" w:rsidRPr="009423DD">
        <w:rPr>
          <w:rFonts w:hint="eastAsia"/>
          <w:color w:val="000000" w:themeColor="text1"/>
        </w:rPr>
        <w:t>議朝停辦方向辦理，</w:t>
      </w:r>
      <w:r w:rsidR="00E61692" w:rsidRPr="009423DD">
        <w:rPr>
          <w:rFonts w:hint="eastAsia"/>
          <w:color w:val="000000" w:themeColor="text1"/>
        </w:rPr>
        <w:t>該</w:t>
      </w:r>
      <w:r w:rsidR="00C80901" w:rsidRPr="009423DD">
        <w:rPr>
          <w:rFonts w:hint="eastAsia"/>
          <w:color w:val="000000" w:themeColor="text1"/>
        </w:rPr>
        <w:t>停辦計畫於</w:t>
      </w:r>
      <w:r w:rsidR="00606385" w:rsidRPr="009423DD">
        <w:rPr>
          <w:rFonts w:hAnsi="標楷體" w:hint="eastAsia"/>
          <w:color w:val="000000" w:themeColor="text1"/>
        </w:rPr>
        <w:t>110年3月31日校務會議及</w:t>
      </w:r>
      <w:r w:rsidR="00C80901" w:rsidRPr="009423DD">
        <w:rPr>
          <w:rFonts w:hint="eastAsia"/>
          <w:color w:val="000000" w:themeColor="text1"/>
        </w:rPr>
        <w:t>110年4月7日董事會通過，</w:t>
      </w:r>
      <w:r w:rsidR="0054677A" w:rsidRPr="009423DD">
        <w:rPr>
          <w:rFonts w:hint="eastAsia"/>
          <w:color w:val="000000" w:themeColor="text1"/>
        </w:rPr>
        <w:t>並</w:t>
      </w:r>
      <w:r w:rsidR="00C80901" w:rsidRPr="009423DD">
        <w:rPr>
          <w:rFonts w:hAnsi="標楷體" w:hint="eastAsia"/>
          <w:color w:val="000000" w:themeColor="text1"/>
        </w:rPr>
        <w:t>於</w:t>
      </w:r>
      <w:r w:rsidR="000C1148" w:rsidRPr="009423DD">
        <w:rPr>
          <w:rFonts w:hAnsi="標楷體" w:hint="eastAsia"/>
          <w:color w:val="000000" w:themeColor="text1"/>
        </w:rPr>
        <w:t>同</w:t>
      </w:r>
      <w:r w:rsidR="00C80901" w:rsidRPr="009423DD">
        <w:rPr>
          <w:rFonts w:hAnsi="標楷體" w:hint="eastAsia"/>
          <w:color w:val="000000" w:themeColor="text1"/>
        </w:rPr>
        <w:t>年4月15日函報教育部</w:t>
      </w:r>
      <w:r w:rsidR="00C80901" w:rsidRPr="009423DD">
        <w:rPr>
          <w:rFonts w:hint="eastAsia"/>
          <w:color w:val="000000" w:themeColor="text1"/>
        </w:rPr>
        <w:t>審核</w:t>
      </w:r>
      <w:r w:rsidR="0075023D" w:rsidRPr="009423DD">
        <w:rPr>
          <w:rFonts w:hint="eastAsia"/>
          <w:color w:val="000000" w:themeColor="text1"/>
        </w:rPr>
        <w:t>，</w:t>
      </w:r>
      <w:r w:rsidR="00C80901" w:rsidRPr="009423DD">
        <w:rPr>
          <w:rFonts w:hint="eastAsia"/>
          <w:color w:val="000000" w:themeColor="text1"/>
        </w:rPr>
        <w:t>自</w:t>
      </w:r>
      <w:r w:rsidR="003346A9" w:rsidRPr="009423DD">
        <w:rPr>
          <w:rFonts w:hint="eastAsia"/>
          <w:color w:val="000000" w:themeColor="text1"/>
        </w:rPr>
        <w:t>同</w:t>
      </w:r>
      <w:r w:rsidR="00C80901" w:rsidRPr="009423DD">
        <w:rPr>
          <w:rFonts w:hint="eastAsia"/>
          <w:color w:val="000000" w:themeColor="text1"/>
        </w:rPr>
        <w:t>年9月1日起停辦</w:t>
      </w:r>
      <w:r w:rsidR="00FB50AF" w:rsidRPr="009423DD">
        <w:rPr>
          <w:rFonts w:hint="eastAsia"/>
          <w:color w:val="000000" w:themeColor="text1"/>
        </w:rPr>
        <w:t>；</w:t>
      </w:r>
      <w:r w:rsidR="007A24C6" w:rsidRPr="005B7C45">
        <w:rPr>
          <w:rFonts w:hint="eastAsia"/>
        </w:rPr>
        <w:t>續</w:t>
      </w:r>
      <w:r w:rsidR="00C80901" w:rsidRPr="005B7C45">
        <w:rPr>
          <w:rFonts w:hint="eastAsia"/>
        </w:rPr>
        <w:t>由</w:t>
      </w:r>
      <w:r w:rsidR="00C80901" w:rsidRPr="009423DD">
        <w:rPr>
          <w:rFonts w:hint="eastAsia"/>
          <w:color w:val="000000" w:themeColor="text1"/>
        </w:rPr>
        <w:t>董事會依捐助章程等辦理法人解散清算事宜。</w:t>
      </w:r>
    </w:p>
    <w:p w:rsidR="00A92910" w:rsidRPr="009423DD" w:rsidRDefault="00585E37" w:rsidP="00A92910">
      <w:pPr>
        <w:pStyle w:val="3"/>
        <w:ind w:leftChars="200"/>
        <w:rPr>
          <w:color w:val="000000" w:themeColor="text1"/>
        </w:rPr>
      </w:pPr>
      <w:r w:rsidRPr="009423DD">
        <w:rPr>
          <w:rFonts w:hint="eastAsia"/>
          <w:color w:val="000000" w:themeColor="text1"/>
        </w:rPr>
        <w:t>相較於</w:t>
      </w:r>
      <w:r w:rsidR="00182014" w:rsidRPr="009423DD">
        <w:rPr>
          <w:rFonts w:hint="eastAsia"/>
          <w:color w:val="000000" w:themeColor="text1"/>
        </w:rPr>
        <w:t>我國</w:t>
      </w:r>
      <w:r w:rsidR="00182014" w:rsidRPr="009423DD">
        <w:rPr>
          <w:color w:val="000000" w:themeColor="text1"/>
        </w:rPr>
        <w:t>107學年</w:t>
      </w:r>
      <w:r w:rsidR="00466B66" w:rsidRPr="009423DD">
        <w:rPr>
          <w:rFonts w:hint="eastAsia"/>
          <w:color w:val="000000" w:themeColor="text1"/>
        </w:rPr>
        <w:t>度</w:t>
      </w:r>
      <w:r w:rsidR="00182014" w:rsidRPr="009423DD">
        <w:rPr>
          <w:color w:val="000000" w:themeColor="text1"/>
        </w:rPr>
        <w:t>大專校院休學率及退學率分別為6.2%及7.2%，各學制以五專休學率3.9%最低，日間部學士班4.0%次低，博士班21.9%最高；退學率以日間部學士班5.7%最低，進修部二專16.5%最高</w:t>
      </w:r>
      <w:r w:rsidR="00221A28" w:rsidRPr="009423DD">
        <w:rPr>
          <w:rStyle w:val="afe"/>
          <w:color w:val="000000" w:themeColor="text1"/>
        </w:rPr>
        <w:footnoteReference w:id="2"/>
      </w:r>
      <w:r w:rsidR="00182014" w:rsidRPr="009423DD">
        <w:rPr>
          <w:rFonts w:hint="eastAsia"/>
          <w:color w:val="000000" w:themeColor="text1"/>
        </w:rPr>
        <w:t>。</w:t>
      </w:r>
      <w:r w:rsidR="001D5661" w:rsidRPr="009423DD">
        <w:rPr>
          <w:rFonts w:hint="eastAsia"/>
          <w:color w:val="000000" w:themeColor="text1"/>
        </w:rPr>
        <w:t>該校自10</w:t>
      </w:r>
      <w:r w:rsidR="00FF79AB" w:rsidRPr="00FF79AB">
        <w:rPr>
          <w:rFonts w:hint="eastAsia"/>
          <w:color w:val="C00000"/>
        </w:rPr>
        <w:t>7</w:t>
      </w:r>
      <w:r w:rsidR="001D5661" w:rsidRPr="009423DD">
        <w:rPr>
          <w:rFonts w:hint="eastAsia"/>
          <w:color w:val="000000" w:themeColor="text1"/>
        </w:rPr>
        <w:t>學年度停招至110學年度第二度停招及停辦期間，全校休退學比率高達34.53%~100%</w:t>
      </w:r>
      <w:r w:rsidR="00321DA9" w:rsidRPr="009423DD">
        <w:rPr>
          <w:rStyle w:val="afe"/>
          <w:color w:val="000000" w:themeColor="text1"/>
        </w:rPr>
        <w:footnoteReference w:id="3"/>
      </w:r>
      <w:r w:rsidR="001D5661" w:rsidRPr="009423DD">
        <w:rPr>
          <w:rFonts w:hint="eastAsia"/>
          <w:color w:val="000000" w:themeColor="text1"/>
        </w:rPr>
        <w:t>，且日間部休退學比率歷年</w:t>
      </w:r>
      <w:r w:rsidR="006A5F44" w:rsidRPr="009423DD">
        <w:rPr>
          <w:rFonts w:hint="eastAsia"/>
          <w:color w:val="000000" w:themeColor="text1"/>
        </w:rPr>
        <w:t>均</w:t>
      </w:r>
      <w:r w:rsidR="001D5661" w:rsidRPr="009423DD">
        <w:rPr>
          <w:rFonts w:hint="eastAsia"/>
          <w:color w:val="000000" w:themeColor="text1"/>
        </w:rPr>
        <w:t>達4成左右，相較於全國</w:t>
      </w:r>
      <w:r w:rsidR="0053530A" w:rsidRPr="009423DD">
        <w:rPr>
          <w:rFonts w:hint="eastAsia"/>
          <w:color w:val="000000" w:themeColor="text1"/>
        </w:rPr>
        <w:t>大專校院學生</w:t>
      </w:r>
      <w:r w:rsidR="001D5661" w:rsidRPr="009423DD">
        <w:rPr>
          <w:rFonts w:hint="eastAsia"/>
          <w:color w:val="000000" w:themeColor="text1"/>
        </w:rPr>
        <w:t>休、退學比率平均</w:t>
      </w:r>
      <w:r w:rsidR="001E1173" w:rsidRPr="009423DD">
        <w:rPr>
          <w:rFonts w:hint="eastAsia"/>
          <w:color w:val="000000" w:themeColor="text1"/>
        </w:rPr>
        <w:t>約</w:t>
      </w:r>
      <w:r w:rsidR="001D5661" w:rsidRPr="009423DD">
        <w:rPr>
          <w:rFonts w:hint="eastAsia"/>
          <w:color w:val="000000" w:themeColor="text1"/>
        </w:rPr>
        <w:t>6%~7%相較，</w:t>
      </w:r>
      <w:r w:rsidR="009D2E50" w:rsidRPr="009423DD">
        <w:rPr>
          <w:rFonts w:hint="eastAsia"/>
          <w:color w:val="000000" w:themeColor="text1"/>
        </w:rPr>
        <w:t>該校</w:t>
      </w:r>
      <w:r w:rsidR="00D526E0" w:rsidRPr="009423DD">
        <w:rPr>
          <w:rFonts w:hint="eastAsia"/>
          <w:color w:val="000000" w:themeColor="text1"/>
        </w:rPr>
        <w:t>嚴重偏</w:t>
      </w:r>
      <w:r w:rsidR="00472EEF" w:rsidRPr="009423DD">
        <w:rPr>
          <w:rFonts w:hint="eastAsia"/>
          <w:color w:val="000000" w:themeColor="text1"/>
        </w:rPr>
        <w:t>高</w:t>
      </w:r>
      <w:r w:rsidR="001D5661" w:rsidRPr="009423DD">
        <w:rPr>
          <w:rFonts w:hint="eastAsia"/>
          <w:color w:val="000000" w:themeColor="text1"/>
        </w:rPr>
        <w:t>，</w:t>
      </w:r>
      <w:r w:rsidR="00B768EF" w:rsidRPr="009423DD">
        <w:rPr>
          <w:rFonts w:hint="eastAsia"/>
          <w:color w:val="000000" w:themeColor="text1"/>
        </w:rPr>
        <w:t>足見該校兩次停招及停辦之歷程，</w:t>
      </w:r>
      <w:r w:rsidR="001D5661" w:rsidRPr="009423DD">
        <w:rPr>
          <w:rFonts w:hint="eastAsia"/>
          <w:color w:val="000000" w:themeColor="text1"/>
        </w:rPr>
        <w:t>嚴重</w:t>
      </w:r>
      <w:r w:rsidR="008F2045" w:rsidRPr="009423DD">
        <w:rPr>
          <w:rFonts w:hint="eastAsia"/>
          <w:color w:val="000000" w:themeColor="text1"/>
        </w:rPr>
        <w:t>影響就</w:t>
      </w:r>
      <w:r w:rsidR="001D5661" w:rsidRPr="009423DD">
        <w:rPr>
          <w:rFonts w:hint="eastAsia"/>
          <w:color w:val="000000" w:themeColor="text1"/>
        </w:rPr>
        <w:t>學</w:t>
      </w:r>
      <w:r w:rsidR="008F2045" w:rsidRPr="009423DD">
        <w:rPr>
          <w:rFonts w:hint="eastAsia"/>
          <w:color w:val="000000" w:themeColor="text1"/>
        </w:rPr>
        <w:t>穩定</w:t>
      </w:r>
      <w:r w:rsidR="00297B39" w:rsidRPr="009423DD">
        <w:rPr>
          <w:rFonts w:hint="eastAsia"/>
          <w:color w:val="000000" w:themeColor="text1"/>
        </w:rPr>
        <w:t>及</w:t>
      </w:r>
      <w:r w:rsidR="008F2045" w:rsidRPr="009423DD">
        <w:rPr>
          <w:rFonts w:hint="eastAsia"/>
          <w:color w:val="000000" w:themeColor="text1"/>
        </w:rPr>
        <w:t>學習權益</w:t>
      </w:r>
      <w:r w:rsidR="001D5661" w:rsidRPr="009423DD">
        <w:rPr>
          <w:rFonts w:hint="eastAsia"/>
          <w:color w:val="000000" w:themeColor="text1"/>
        </w:rPr>
        <w:t>。</w:t>
      </w:r>
    </w:p>
    <w:p w:rsidR="00BE581F" w:rsidRPr="009423DD" w:rsidRDefault="00220C56" w:rsidP="00220C56">
      <w:pPr>
        <w:pStyle w:val="a3"/>
        <w:numPr>
          <w:ilvl w:val="0"/>
          <w:numId w:val="0"/>
        </w:numPr>
        <w:spacing w:beforeLines="50" w:before="228" w:after="0" w:line="240" w:lineRule="auto"/>
        <w:jc w:val="center"/>
        <w:rPr>
          <w:b/>
          <w:color w:val="000000" w:themeColor="text1"/>
        </w:rPr>
      </w:pPr>
      <w:r>
        <w:rPr>
          <w:rFonts w:hint="eastAsia"/>
          <w:b/>
          <w:color w:val="000000" w:themeColor="text1"/>
        </w:rPr>
        <w:t xml:space="preserve">       </w:t>
      </w:r>
      <w:r w:rsidR="00BE581F" w:rsidRPr="009423DD">
        <w:rPr>
          <w:rFonts w:hint="eastAsia"/>
          <w:b/>
          <w:color w:val="000000" w:themeColor="text1"/>
        </w:rPr>
        <w:t xml:space="preserve">臺灣觀光學院106-109學年度學生休退學情形   </w:t>
      </w:r>
      <w:r w:rsidR="00BE581F" w:rsidRPr="009423DD">
        <w:rPr>
          <w:rFonts w:hint="eastAsia"/>
          <w:color w:val="000000" w:themeColor="text1"/>
          <w:sz w:val="24"/>
          <w:szCs w:val="24"/>
        </w:rPr>
        <w:t xml:space="preserve"> 單位：人數；%</w:t>
      </w:r>
    </w:p>
    <w:tbl>
      <w:tblPr>
        <w:tblW w:w="8505" w:type="dxa"/>
        <w:jc w:val="center"/>
        <w:tblCellMar>
          <w:left w:w="28" w:type="dxa"/>
          <w:right w:w="28" w:type="dxa"/>
        </w:tblCellMar>
        <w:tblLook w:val="04A0" w:firstRow="1" w:lastRow="0" w:firstColumn="1" w:lastColumn="0" w:noHBand="0" w:noVBand="1"/>
      </w:tblPr>
      <w:tblGrid>
        <w:gridCol w:w="1048"/>
        <w:gridCol w:w="1220"/>
        <w:gridCol w:w="1134"/>
        <w:gridCol w:w="1134"/>
        <w:gridCol w:w="1134"/>
        <w:gridCol w:w="1134"/>
        <w:gridCol w:w="1701"/>
      </w:tblGrid>
      <w:tr w:rsidR="009423DD" w:rsidRPr="009423DD" w:rsidTr="00A27994">
        <w:trPr>
          <w:trHeight w:val="360"/>
          <w:jc w:val="center"/>
        </w:trPr>
        <w:tc>
          <w:tcPr>
            <w:tcW w:w="1048" w:type="dxa"/>
            <w:vMerge w:val="restart"/>
            <w:tcBorders>
              <w:top w:val="single" w:sz="4" w:space="0" w:color="auto"/>
              <w:left w:val="single" w:sz="4" w:space="0" w:color="auto"/>
              <w:bottom w:val="single" w:sz="4" w:space="0" w:color="000000"/>
              <w:right w:val="single" w:sz="4" w:space="0" w:color="auto"/>
            </w:tcBorders>
            <w:shd w:val="clear" w:color="auto" w:fill="FDE9D9" w:themeFill="accent6" w:themeFillTint="33"/>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學年度</w:t>
            </w:r>
          </w:p>
        </w:tc>
        <w:tc>
          <w:tcPr>
            <w:tcW w:w="2354" w:type="dxa"/>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日間部</w:t>
            </w:r>
          </w:p>
        </w:tc>
        <w:tc>
          <w:tcPr>
            <w:tcW w:w="2268" w:type="dxa"/>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進修部</w:t>
            </w:r>
          </w:p>
        </w:tc>
        <w:tc>
          <w:tcPr>
            <w:tcW w:w="2835" w:type="dxa"/>
            <w:gridSpan w:val="2"/>
            <w:tcBorders>
              <w:top w:val="single" w:sz="4" w:space="0" w:color="auto"/>
              <w:left w:val="nil"/>
              <w:bottom w:val="single" w:sz="4" w:space="0" w:color="auto"/>
              <w:right w:val="single" w:sz="4" w:space="0" w:color="000000"/>
            </w:tcBorders>
            <w:shd w:val="clear" w:color="auto" w:fill="FDE9D9" w:themeFill="accent6" w:themeFillTint="33"/>
            <w:noWrap/>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合計</w:t>
            </w:r>
          </w:p>
        </w:tc>
      </w:tr>
      <w:tr w:rsidR="009423DD" w:rsidRPr="009423DD" w:rsidTr="00A27994">
        <w:trPr>
          <w:trHeight w:val="623"/>
          <w:jc w:val="center"/>
        </w:trPr>
        <w:tc>
          <w:tcPr>
            <w:tcW w:w="1048" w:type="dxa"/>
            <w:vMerge/>
            <w:tcBorders>
              <w:top w:val="single" w:sz="4" w:space="0" w:color="auto"/>
              <w:left w:val="single" w:sz="4" w:space="0" w:color="auto"/>
              <w:bottom w:val="single" w:sz="4" w:space="0" w:color="000000"/>
              <w:right w:val="single" w:sz="4" w:space="0" w:color="auto"/>
            </w:tcBorders>
            <w:shd w:val="clear" w:color="auto" w:fill="FDE9D9" w:themeFill="accent6" w:themeFillTint="33"/>
            <w:vAlign w:val="center"/>
            <w:hideMark/>
          </w:tcPr>
          <w:p w:rsidR="00BE581F" w:rsidRPr="009423DD" w:rsidRDefault="00BE581F" w:rsidP="00A27994">
            <w:pPr>
              <w:widowControl/>
              <w:overflowPunct/>
              <w:autoSpaceDE/>
              <w:autoSpaceDN/>
              <w:jc w:val="left"/>
              <w:rPr>
                <w:rFonts w:hAnsi="標楷體" w:cs="新細明體"/>
                <w:b/>
                <w:color w:val="000000" w:themeColor="text1"/>
                <w:kern w:val="0"/>
                <w:sz w:val="26"/>
                <w:szCs w:val="26"/>
              </w:rPr>
            </w:pPr>
          </w:p>
        </w:tc>
        <w:tc>
          <w:tcPr>
            <w:tcW w:w="1220" w:type="dxa"/>
            <w:tcBorders>
              <w:top w:val="nil"/>
              <w:left w:val="nil"/>
              <w:bottom w:val="single" w:sz="4" w:space="0" w:color="auto"/>
              <w:right w:val="single" w:sz="4" w:space="0" w:color="auto"/>
            </w:tcBorders>
            <w:shd w:val="clear" w:color="auto" w:fill="FDE9D9" w:themeFill="accent6" w:themeFillTint="33"/>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休退人數</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767305"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休退</w:t>
            </w:r>
          </w:p>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比率</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767305"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休退</w:t>
            </w:r>
          </w:p>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人數</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767305"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休退</w:t>
            </w:r>
          </w:p>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比率</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rsidR="00767305"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休退</w:t>
            </w:r>
          </w:p>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人數</w:t>
            </w:r>
          </w:p>
        </w:tc>
        <w:tc>
          <w:tcPr>
            <w:tcW w:w="1701" w:type="dxa"/>
            <w:tcBorders>
              <w:top w:val="nil"/>
              <w:left w:val="nil"/>
              <w:bottom w:val="single" w:sz="4" w:space="0" w:color="auto"/>
              <w:right w:val="single" w:sz="4" w:space="0" w:color="auto"/>
            </w:tcBorders>
            <w:shd w:val="clear" w:color="auto" w:fill="FDE9D9" w:themeFill="accent6" w:themeFillTint="33"/>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休退比率</w:t>
            </w:r>
          </w:p>
        </w:tc>
      </w:tr>
      <w:tr w:rsidR="009423DD" w:rsidRPr="009423DD" w:rsidTr="00A27994">
        <w:trPr>
          <w:trHeight w:val="323"/>
          <w:jc w:val="center"/>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106</w:t>
            </w:r>
          </w:p>
        </w:tc>
        <w:tc>
          <w:tcPr>
            <w:tcW w:w="1220"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376</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44.44%</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21</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12.14%</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397</w:t>
            </w:r>
          </w:p>
        </w:tc>
        <w:tc>
          <w:tcPr>
            <w:tcW w:w="1701"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38.96%</w:t>
            </w:r>
          </w:p>
        </w:tc>
      </w:tr>
      <w:tr w:rsidR="009423DD" w:rsidRPr="009423DD" w:rsidTr="00A27994">
        <w:trPr>
          <w:trHeight w:val="323"/>
          <w:jc w:val="center"/>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lastRenderedPageBreak/>
              <w:t>107</w:t>
            </w:r>
          </w:p>
        </w:tc>
        <w:tc>
          <w:tcPr>
            <w:tcW w:w="1220"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269</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42.90%</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9</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5.06%</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278</w:t>
            </w:r>
          </w:p>
        </w:tc>
        <w:tc>
          <w:tcPr>
            <w:tcW w:w="1701"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34.53%</w:t>
            </w:r>
          </w:p>
        </w:tc>
      </w:tr>
      <w:tr w:rsidR="009423DD" w:rsidRPr="009423DD" w:rsidTr="00A27994">
        <w:trPr>
          <w:trHeight w:val="323"/>
          <w:jc w:val="center"/>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108</w:t>
            </w:r>
          </w:p>
        </w:tc>
        <w:tc>
          <w:tcPr>
            <w:tcW w:w="1220"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172</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40.09%</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71</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26.69%</w:t>
            </w:r>
          </w:p>
        </w:tc>
        <w:tc>
          <w:tcPr>
            <w:tcW w:w="1134" w:type="dxa"/>
            <w:tcBorders>
              <w:top w:val="nil"/>
              <w:left w:val="nil"/>
              <w:bottom w:val="single" w:sz="4" w:space="0" w:color="auto"/>
              <w:right w:val="single" w:sz="4" w:space="0" w:color="auto"/>
            </w:tcBorders>
            <w:shd w:val="clear" w:color="auto" w:fill="auto"/>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243</w:t>
            </w:r>
          </w:p>
        </w:tc>
        <w:tc>
          <w:tcPr>
            <w:tcW w:w="1701"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34.96%</w:t>
            </w:r>
          </w:p>
        </w:tc>
      </w:tr>
      <w:tr w:rsidR="009423DD" w:rsidRPr="009423DD" w:rsidTr="00A27994">
        <w:trPr>
          <w:trHeight w:val="323"/>
          <w:jc w:val="center"/>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109</w:t>
            </w:r>
          </w:p>
        </w:tc>
        <w:tc>
          <w:tcPr>
            <w:tcW w:w="1220"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224</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169</w:t>
            </w:r>
          </w:p>
        </w:tc>
        <w:tc>
          <w:tcPr>
            <w:tcW w:w="1134"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100.00%</w:t>
            </w:r>
          </w:p>
        </w:tc>
        <w:tc>
          <w:tcPr>
            <w:tcW w:w="1134" w:type="dxa"/>
            <w:tcBorders>
              <w:top w:val="nil"/>
              <w:left w:val="nil"/>
              <w:bottom w:val="single" w:sz="4" w:space="0" w:color="auto"/>
              <w:right w:val="single" w:sz="4" w:space="0" w:color="auto"/>
            </w:tcBorders>
            <w:shd w:val="clear" w:color="auto" w:fill="auto"/>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393</w:t>
            </w:r>
          </w:p>
        </w:tc>
        <w:tc>
          <w:tcPr>
            <w:tcW w:w="1701" w:type="dxa"/>
            <w:tcBorders>
              <w:top w:val="nil"/>
              <w:left w:val="nil"/>
              <w:bottom w:val="single" w:sz="4" w:space="0" w:color="auto"/>
              <w:right w:val="single" w:sz="4" w:space="0" w:color="auto"/>
            </w:tcBorders>
            <w:shd w:val="clear" w:color="auto" w:fill="auto"/>
            <w:noWrap/>
            <w:vAlign w:val="center"/>
            <w:hideMark/>
          </w:tcPr>
          <w:p w:rsidR="00BE581F" w:rsidRPr="009423DD" w:rsidRDefault="00BE581F" w:rsidP="00A27994">
            <w:pPr>
              <w:widowControl/>
              <w:overflowPunct/>
              <w:autoSpaceDE/>
              <w:autoSpaceDN/>
              <w:jc w:val="right"/>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100.00%</w:t>
            </w:r>
          </w:p>
        </w:tc>
      </w:tr>
      <w:tr w:rsidR="005B7C45" w:rsidRPr="005B7C45" w:rsidTr="00A27994">
        <w:trPr>
          <w:trHeight w:val="1009"/>
          <w:jc w:val="center"/>
        </w:trPr>
        <w:tc>
          <w:tcPr>
            <w:tcW w:w="8505" w:type="dxa"/>
            <w:gridSpan w:val="7"/>
            <w:tcBorders>
              <w:top w:val="single" w:sz="4" w:space="0" w:color="auto"/>
              <w:left w:val="nil"/>
              <w:bottom w:val="nil"/>
              <w:right w:val="nil"/>
            </w:tcBorders>
            <w:shd w:val="clear" w:color="auto" w:fill="auto"/>
            <w:vAlign w:val="center"/>
            <w:hideMark/>
          </w:tcPr>
          <w:p w:rsidR="00BE581F" w:rsidRPr="005B7C45" w:rsidRDefault="00BE581F" w:rsidP="00A27994">
            <w:pPr>
              <w:widowControl/>
              <w:ind w:left="674" w:hangingChars="259" w:hanging="674"/>
              <w:rPr>
                <w:rFonts w:hAnsi="標楷體" w:cs="新細明體"/>
                <w:kern w:val="0"/>
                <w:sz w:val="24"/>
                <w:szCs w:val="24"/>
              </w:rPr>
            </w:pPr>
            <w:r w:rsidRPr="005B7C45">
              <w:rPr>
                <w:rFonts w:hAnsi="標楷體" w:cs="新細明體" w:hint="eastAsia"/>
                <w:kern w:val="0"/>
                <w:sz w:val="24"/>
                <w:szCs w:val="24"/>
              </w:rPr>
              <w:t>註1：數據資料來源：大專校院校務資訊公開平臺、技專校院校務基本資料庫。</w:t>
            </w:r>
          </w:p>
          <w:p w:rsidR="00BE581F" w:rsidRPr="005B7C45" w:rsidRDefault="00BE581F" w:rsidP="00A27994">
            <w:pPr>
              <w:widowControl/>
              <w:ind w:left="674" w:hangingChars="259" w:hanging="674"/>
              <w:rPr>
                <w:rFonts w:hAnsi="標楷體" w:cs="新細明體"/>
                <w:kern w:val="0"/>
                <w:sz w:val="24"/>
                <w:szCs w:val="24"/>
              </w:rPr>
            </w:pPr>
            <w:r w:rsidRPr="005B7C45">
              <w:rPr>
                <w:rFonts w:hAnsi="標楷體" w:cs="新細明體" w:hint="eastAsia"/>
                <w:kern w:val="0"/>
                <w:sz w:val="24"/>
                <w:szCs w:val="24"/>
              </w:rPr>
              <w:t>註2：數據統計基準日：休退學生人數=當學年底處於休學狀態學生+當學年退學生人數；休退比率=休退人數/在籍學生數。</w:t>
            </w:r>
          </w:p>
          <w:p w:rsidR="00265FDC" w:rsidRPr="005B7C45" w:rsidRDefault="00265FDC" w:rsidP="00A27994">
            <w:pPr>
              <w:widowControl/>
              <w:ind w:left="674" w:hangingChars="259" w:hanging="674"/>
              <w:rPr>
                <w:rFonts w:hAnsi="標楷體" w:cs="新細明體"/>
                <w:kern w:val="0"/>
                <w:sz w:val="26"/>
                <w:szCs w:val="26"/>
              </w:rPr>
            </w:pPr>
            <w:r w:rsidRPr="005B7C45">
              <w:rPr>
                <w:rFonts w:hAnsi="標楷體" w:cs="新細明體" w:hint="eastAsia"/>
                <w:kern w:val="0"/>
                <w:sz w:val="24"/>
                <w:szCs w:val="24"/>
              </w:rPr>
              <w:t>註3：因110學年度停辦，109學年度休學生全數復學接受安置轉學或辦理退學，至學年度結束休學人數歸零。</w:t>
            </w:r>
          </w:p>
        </w:tc>
      </w:tr>
    </w:tbl>
    <w:p w:rsidR="00BE581F" w:rsidRPr="00E40571" w:rsidRDefault="00BE581F" w:rsidP="00BE581F">
      <w:pPr>
        <w:ind w:leftChars="-208" w:left="-708"/>
        <w:rPr>
          <w:color w:val="000000" w:themeColor="text1"/>
          <w:sz w:val="24"/>
          <w:szCs w:val="24"/>
        </w:rPr>
      </w:pPr>
      <w:r w:rsidRPr="009423DD">
        <w:rPr>
          <w:rFonts w:hint="eastAsia"/>
          <w:color w:val="000000" w:themeColor="text1"/>
          <w:sz w:val="26"/>
          <w:szCs w:val="26"/>
        </w:rPr>
        <w:t xml:space="preserve">      </w:t>
      </w:r>
      <w:r w:rsidRPr="00E40571">
        <w:rPr>
          <w:rFonts w:hint="eastAsia"/>
          <w:color w:val="000000" w:themeColor="text1"/>
          <w:sz w:val="24"/>
          <w:szCs w:val="24"/>
        </w:rPr>
        <w:t>資料來源：教育部。</w:t>
      </w:r>
    </w:p>
    <w:p w:rsidR="00F305ED" w:rsidRPr="009423DD" w:rsidRDefault="00781548" w:rsidP="00E646E1">
      <w:pPr>
        <w:pStyle w:val="3"/>
        <w:ind w:leftChars="200"/>
        <w:rPr>
          <w:color w:val="000000" w:themeColor="text1"/>
        </w:rPr>
      </w:pPr>
      <w:r w:rsidRPr="009423DD">
        <w:rPr>
          <w:rFonts w:hint="eastAsia"/>
          <w:color w:val="000000" w:themeColor="text1"/>
        </w:rPr>
        <w:t>該校</w:t>
      </w:r>
      <w:r w:rsidR="00A42C99" w:rsidRPr="009423DD">
        <w:rPr>
          <w:rFonts w:hint="eastAsia"/>
          <w:color w:val="000000" w:themeColor="text1"/>
        </w:rPr>
        <w:t>兩次</w:t>
      </w:r>
      <w:r w:rsidRPr="009423DD">
        <w:rPr>
          <w:rFonts w:hint="eastAsia"/>
          <w:color w:val="000000" w:themeColor="text1"/>
        </w:rPr>
        <w:t>停招及停辦程序雖經報教育部核准，於法未有不合，惟</w:t>
      </w:r>
      <w:r w:rsidR="0079432B" w:rsidRPr="009423DD">
        <w:rPr>
          <w:rFonts w:hint="eastAsia"/>
          <w:color w:val="000000" w:themeColor="text1"/>
        </w:rPr>
        <w:t>10</w:t>
      </w:r>
      <w:r w:rsidR="001A396E" w:rsidRPr="009423DD">
        <w:rPr>
          <w:rFonts w:hint="eastAsia"/>
          <w:color w:val="000000" w:themeColor="text1"/>
        </w:rPr>
        <w:t>6</w:t>
      </w:r>
      <w:r w:rsidR="00DE41FE" w:rsidRPr="009423DD">
        <w:rPr>
          <w:rFonts w:hint="eastAsia"/>
          <w:color w:val="000000" w:themeColor="text1"/>
        </w:rPr>
        <w:t>至</w:t>
      </w:r>
      <w:r w:rsidR="0079432B" w:rsidRPr="009423DD">
        <w:rPr>
          <w:rFonts w:hint="eastAsia"/>
          <w:color w:val="000000" w:themeColor="text1"/>
        </w:rPr>
        <w:t>110學年</w:t>
      </w:r>
      <w:r w:rsidR="00A51C90" w:rsidRPr="009423DD">
        <w:rPr>
          <w:rFonts w:hint="eastAsia"/>
          <w:color w:val="000000" w:themeColor="text1"/>
        </w:rPr>
        <w:t>期間</w:t>
      </w:r>
      <w:r w:rsidR="002B51C4" w:rsidRPr="009423DD">
        <w:rPr>
          <w:rFonts w:hint="eastAsia"/>
          <w:color w:val="000000" w:themeColor="text1"/>
        </w:rPr>
        <w:t>該校</w:t>
      </w:r>
      <w:r w:rsidR="00A51C90" w:rsidRPr="009423DD">
        <w:rPr>
          <w:rFonts w:hint="eastAsia"/>
          <w:color w:val="000000" w:themeColor="text1"/>
        </w:rPr>
        <w:t>兩度因招生</w:t>
      </w:r>
      <w:r w:rsidR="00892BB5" w:rsidRPr="009423DD">
        <w:rPr>
          <w:rFonts w:hint="eastAsia"/>
          <w:color w:val="000000" w:themeColor="text1"/>
        </w:rPr>
        <w:t>不足及評核指標未達標等</w:t>
      </w:r>
      <w:r w:rsidR="00A51C90" w:rsidRPr="009423DD">
        <w:rPr>
          <w:rFonts w:hint="eastAsia"/>
          <w:color w:val="000000" w:themeColor="text1"/>
        </w:rPr>
        <w:t>情事</w:t>
      </w:r>
      <w:r w:rsidR="00E646E1" w:rsidRPr="009423DD">
        <w:rPr>
          <w:rFonts w:hint="eastAsia"/>
          <w:color w:val="000000" w:themeColor="text1"/>
        </w:rPr>
        <w:t>，</w:t>
      </w:r>
      <w:r w:rsidR="002B51C4" w:rsidRPr="009423DD">
        <w:rPr>
          <w:rFonts w:hint="eastAsia"/>
          <w:color w:val="000000" w:themeColor="text1"/>
        </w:rPr>
        <w:t>致10</w:t>
      </w:r>
      <w:r w:rsidR="00793D29" w:rsidRPr="00793D29">
        <w:rPr>
          <w:rFonts w:hint="eastAsia"/>
          <w:color w:val="C00000"/>
        </w:rPr>
        <w:t>7</w:t>
      </w:r>
      <w:r w:rsidR="002B51C4" w:rsidRPr="009423DD">
        <w:rPr>
          <w:rFonts w:hint="eastAsia"/>
          <w:color w:val="000000" w:themeColor="text1"/>
        </w:rPr>
        <w:t>學年停招及110學年停辦二次影響之學生為106學年前（含）入學，至109下學期學校宣佈停辦時仍</w:t>
      </w:r>
      <w:r w:rsidR="00E55BE3" w:rsidRPr="009423DD">
        <w:rPr>
          <w:rFonts w:hint="eastAsia"/>
          <w:color w:val="000000" w:themeColor="text1"/>
        </w:rPr>
        <w:t>在學</w:t>
      </w:r>
      <w:r w:rsidR="002B51C4" w:rsidRPr="009423DD">
        <w:rPr>
          <w:rFonts w:hint="eastAsia"/>
          <w:color w:val="000000" w:themeColor="text1"/>
        </w:rPr>
        <w:t>未畢業之學生遭遇兩次重大校務變革。</w:t>
      </w:r>
      <w:r w:rsidR="007211AA" w:rsidRPr="009423DD">
        <w:rPr>
          <w:rFonts w:hint="eastAsia"/>
          <w:color w:val="000000" w:themeColor="text1"/>
        </w:rPr>
        <w:t>且</w:t>
      </w:r>
      <w:r w:rsidR="002B51C4" w:rsidRPr="009423DD">
        <w:rPr>
          <w:rFonts w:hint="eastAsia"/>
          <w:color w:val="000000" w:themeColor="text1"/>
        </w:rPr>
        <w:t>學生意見表示</w:t>
      </w:r>
      <w:r w:rsidR="007211AA" w:rsidRPr="009423DD">
        <w:rPr>
          <w:rFonts w:hint="eastAsia"/>
          <w:color w:val="000000" w:themeColor="text1"/>
        </w:rPr>
        <w:t>備</w:t>
      </w:r>
      <w:r w:rsidR="009D15D2" w:rsidRPr="009423DD">
        <w:rPr>
          <w:rFonts w:hint="eastAsia"/>
          <w:color w:val="000000" w:themeColor="text1"/>
        </w:rPr>
        <w:t>感</w:t>
      </w:r>
      <w:r w:rsidR="00E646E1" w:rsidRPr="009423DD">
        <w:rPr>
          <w:rFonts w:hint="eastAsia"/>
          <w:color w:val="000000" w:themeColor="text1"/>
        </w:rPr>
        <w:t>預警時程倉促</w:t>
      </w:r>
      <w:r w:rsidR="00A51C90" w:rsidRPr="009423DD">
        <w:rPr>
          <w:rFonts w:hint="eastAsia"/>
          <w:color w:val="000000" w:themeColor="text1"/>
        </w:rPr>
        <w:t>，</w:t>
      </w:r>
      <w:r w:rsidR="002B51C4" w:rsidRPr="009423DD">
        <w:rPr>
          <w:rFonts w:hint="eastAsia"/>
          <w:color w:val="000000" w:themeColor="text1"/>
        </w:rPr>
        <w:t>損及</w:t>
      </w:r>
      <w:r w:rsidR="00A51C90" w:rsidRPr="009423DD">
        <w:rPr>
          <w:rFonts w:hint="eastAsia"/>
          <w:color w:val="000000" w:themeColor="text1"/>
        </w:rPr>
        <w:t>學習權益</w:t>
      </w:r>
      <w:r w:rsidR="000E41EF" w:rsidRPr="009423DD">
        <w:rPr>
          <w:rFonts w:hint="eastAsia"/>
          <w:color w:val="000000" w:themeColor="text1"/>
        </w:rPr>
        <w:t>甚鉅</w:t>
      </w:r>
      <w:r w:rsidR="00A51C90" w:rsidRPr="009423DD">
        <w:rPr>
          <w:rFonts w:hint="eastAsia"/>
          <w:color w:val="000000" w:themeColor="text1"/>
        </w:rPr>
        <w:t>。茲分述如下：</w:t>
      </w:r>
    </w:p>
    <w:p w:rsidR="007E67E8" w:rsidRPr="009423DD" w:rsidRDefault="007E67E8" w:rsidP="00C57AD8">
      <w:pPr>
        <w:pStyle w:val="4"/>
        <w:ind w:leftChars="334" w:left="1646"/>
        <w:rPr>
          <w:color w:val="000000" w:themeColor="text1"/>
        </w:rPr>
      </w:pPr>
      <w:r w:rsidRPr="009423DD">
        <w:rPr>
          <w:rFonts w:hint="eastAsia"/>
          <w:color w:val="000000" w:themeColor="text1"/>
        </w:rPr>
        <w:t>110年停辦前，106學年前(含)入學學生人數計136人(含休學生50人)，於109學年度第2學期畢業學生人數52人；</w:t>
      </w:r>
      <w:r w:rsidRPr="009423DD">
        <w:rPr>
          <w:rFonts w:hint="eastAsia"/>
          <w:color w:val="000000" w:themeColor="text1"/>
          <w:u w:val="single"/>
        </w:rPr>
        <w:t>至110學年停辦尚未畢業學生人數84人</w:t>
      </w:r>
      <w:r w:rsidRPr="009423DD">
        <w:rPr>
          <w:rFonts w:hint="eastAsia"/>
          <w:color w:val="000000" w:themeColor="text1"/>
        </w:rPr>
        <w:t>，接受</w:t>
      </w:r>
      <w:r w:rsidR="00B928C9" w:rsidRPr="009423DD">
        <w:rPr>
          <w:rFonts w:hint="eastAsia"/>
          <w:color w:val="000000" w:themeColor="text1"/>
        </w:rPr>
        <w:t>該</w:t>
      </w:r>
      <w:r w:rsidRPr="009423DD">
        <w:rPr>
          <w:rFonts w:hint="eastAsia"/>
          <w:color w:val="000000" w:themeColor="text1"/>
        </w:rPr>
        <w:t>部專案安置學生人數35人</w:t>
      </w:r>
      <w:r w:rsidR="00C57AD8" w:rsidRPr="009423DD">
        <w:rPr>
          <w:rFonts w:hint="eastAsia"/>
          <w:color w:val="000000" w:themeColor="text1"/>
        </w:rPr>
        <w:t>（</w:t>
      </w:r>
      <w:r w:rsidR="00120B0B" w:rsidRPr="009423DD">
        <w:rPr>
          <w:rFonts w:hint="eastAsia"/>
          <w:color w:val="000000" w:themeColor="text1"/>
        </w:rPr>
        <w:t>其中</w:t>
      </w:r>
      <w:r w:rsidR="00C57AD8" w:rsidRPr="009423DD">
        <w:rPr>
          <w:rFonts w:hint="eastAsia"/>
          <w:color w:val="000000" w:themeColor="text1"/>
        </w:rPr>
        <w:t>有申請就貸的人數及比率為：14人</w:t>
      </w:r>
      <w:r w:rsidR="00254449" w:rsidRPr="009423DD">
        <w:rPr>
          <w:rFonts w:hint="eastAsia"/>
          <w:color w:val="000000" w:themeColor="text1"/>
        </w:rPr>
        <w:t>，占比</w:t>
      </w:r>
      <w:r w:rsidR="00C57AD8" w:rsidRPr="009423DD">
        <w:rPr>
          <w:rFonts w:hint="eastAsia"/>
          <w:color w:val="000000" w:themeColor="text1"/>
        </w:rPr>
        <w:t>40%）</w:t>
      </w:r>
      <w:r w:rsidRPr="009423DD">
        <w:rPr>
          <w:rFonts w:hint="eastAsia"/>
          <w:color w:val="000000" w:themeColor="text1"/>
        </w:rPr>
        <w:t>，辦理退學學生數49人。</w:t>
      </w:r>
      <w:r w:rsidR="00D1635E" w:rsidRPr="009423DD">
        <w:rPr>
          <w:rFonts w:hint="eastAsia"/>
          <w:color w:val="000000" w:themeColor="text1"/>
        </w:rPr>
        <w:t>上述相關人數</w:t>
      </w:r>
      <w:r w:rsidRPr="009423DD">
        <w:rPr>
          <w:rFonts w:hint="eastAsia"/>
          <w:color w:val="000000" w:themeColor="text1"/>
        </w:rPr>
        <w:t>統計如下</w:t>
      </w:r>
      <w:r w:rsidR="00D1635E" w:rsidRPr="009423DD">
        <w:rPr>
          <w:rFonts w:hint="eastAsia"/>
          <w:color w:val="000000" w:themeColor="text1"/>
        </w:rPr>
        <w:t>表</w:t>
      </w:r>
      <w:r w:rsidRPr="009423DD">
        <w:rPr>
          <w:rFonts w:hint="eastAsia"/>
          <w:color w:val="000000" w:themeColor="text1"/>
        </w:rPr>
        <w:t>：</w:t>
      </w:r>
    </w:p>
    <w:p w:rsidR="00F67E14" w:rsidRPr="005B7C45" w:rsidRDefault="00F67E14" w:rsidP="002B4D5C">
      <w:pPr>
        <w:pStyle w:val="a3"/>
        <w:numPr>
          <w:ilvl w:val="0"/>
          <w:numId w:val="0"/>
        </w:numPr>
        <w:spacing w:beforeLines="50" w:before="228" w:after="0" w:line="240" w:lineRule="auto"/>
        <w:jc w:val="center"/>
        <w:rPr>
          <w:b/>
        </w:rPr>
      </w:pPr>
      <w:r w:rsidRPr="005B7C45">
        <w:rPr>
          <w:rFonts w:hint="eastAsia"/>
          <w:b/>
        </w:rPr>
        <w:t>臺灣觀光學院</w:t>
      </w:r>
      <w:r w:rsidR="00793D29" w:rsidRPr="005B7C45">
        <w:rPr>
          <w:rFonts w:hint="eastAsia"/>
          <w:b/>
        </w:rPr>
        <w:t>自</w:t>
      </w:r>
      <w:r w:rsidRPr="005B7C45">
        <w:rPr>
          <w:rFonts w:hint="eastAsia"/>
          <w:b/>
        </w:rPr>
        <w:t>1</w:t>
      </w:r>
      <w:r w:rsidRPr="005B7C45">
        <w:rPr>
          <w:b/>
        </w:rPr>
        <w:t>06</w:t>
      </w:r>
      <w:r w:rsidRPr="005B7C45">
        <w:rPr>
          <w:rFonts w:hint="eastAsia"/>
          <w:b/>
        </w:rPr>
        <w:t>學年</w:t>
      </w:r>
      <w:r w:rsidR="00793D29" w:rsidRPr="005B7C45">
        <w:rPr>
          <w:rFonts w:hint="eastAsia"/>
          <w:b/>
        </w:rPr>
        <w:t>入學</w:t>
      </w:r>
      <w:r w:rsidR="006A6366" w:rsidRPr="005B7C45">
        <w:rPr>
          <w:rFonts w:hint="eastAsia"/>
          <w:b/>
        </w:rPr>
        <w:t>至</w:t>
      </w:r>
      <w:r w:rsidRPr="005B7C45">
        <w:rPr>
          <w:rFonts w:hint="eastAsia"/>
          <w:b/>
        </w:rPr>
        <w:t>1</w:t>
      </w:r>
      <w:r w:rsidRPr="005B7C45">
        <w:rPr>
          <w:b/>
        </w:rPr>
        <w:t>10</w:t>
      </w:r>
      <w:r w:rsidRPr="005B7C45">
        <w:rPr>
          <w:rFonts w:hint="eastAsia"/>
          <w:b/>
        </w:rPr>
        <w:t>學年停辦受影響</w:t>
      </w:r>
      <w:r w:rsidR="00FA4584" w:rsidRPr="005B7C45">
        <w:rPr>
          <w:rFonts w:hint="eastAsia"/>
          <w:b/>
        </w:rPr>
        <w:t>學生</w:t>
      </w:r>
      <w:r w:rsidRPr="005B7C45">
        <w:rPr>
          <w:rFonts w:hint="eastAsia"/>
          <w:b/>
        </w:rPr>
        <w:t>人</w:t>
      </w:r>
      <w:r w:rsidR="00FA4584" w:rsidRPr="005B7C45">
        <w:rPr>
          <w:rFonts w:hint="eastAsia"/>
          <w:b/>
        </w:rPr>
        <w:t>數統計表</w:t>
      </w:r>
    </w:p>
    <w:p w:rsidR="00F2075B" w:rsidRPr="009423DD" w:rsidRDefault="00E909E5" w:rsidP="002B4D5C">
      <w:pPr>
        <w:pStyle w:val="a3"/>
        <w:numPr>
          <w:ilvl w:val="0"/>
          <w:numId w:val="0"/>
        </w:numPr>
        <w:spacing w:before="0" w:after="0" w:line="240" w:lineRule="auto"/>
        <w:jc w:val="right"/>
        <w:rPr>
          <w:b/>
          <w:color w:val="000000" w:themeColor="text1"/>
          <w:sz w:val="24"/>
          <w:szCs w:val="24"/>
        </w:rPr>
      </w:pPr>
      <w:r w:rsidRPr="009423DD">
        <w:rPr>
          <w:rFonts w:hint="eastAsia"/>
          <w:color w:val="000000" w:themeColor="text1"/>
          <w:sz w:val="24"/>
          <w:szCs w:val="24"/>
        </w:rPr>
        <w:t>單位：人</w:t>
      </w:r>
    </w:p>
    <w:tbl>
      <w:tblPr>
        <w:tblStyle w:val="af6"/>
        <w:tblW w:w="8935" w:type="dxa"/>
        <w:jc w:val="center"/>
        <w:tblLayout w:type="fixed"/>
        <w:tblLook w:val="04A0" w:firstRow="1" w:lastRow="0" w:firstColumn="1" w:lastColumn="0" w:noHBand="0" w:noVBand="1"/>
      </w:tblPr>
      <w:tblGrid>
        <w:gridCol w:w="1158"/>
        <w:gridCol w:w="1295"/>
        <w:gridCol w:w="1296"/>
        <w:gridCol w:w="1066"/>
        <w:gridCol w:w="1564"/>
        <w:gridCol w:w="1259"/>
        <w:gridCol w:w="1297"/>
      </w:tblGrid>
      <w:tr w:rsidR="009423DD" w:rsidRPr="009423DD" w:rsidTr="00891601">
        <w:trPr>
          <w:jc w:val="center"/>
        </w:trPr>
        <w:tc>
          <w:tcPr>
            <w:tcW w:w="1158" w:type="dxa"/>
            <w:shd w:val="clear" w:color="auto" w:fill="EEECE1" w:themeFill="background2"/>
            <w:vAlign w:val="center"/>
          </w:tcPr>
          <w:p w:rsidR="00DF0B82" w:rsidRPr="009423DD" w:rsidRDefault="00DF0B82" w:rsidP="00891601">
            <w:pPr>
              <w:widowControl/>
              <w:spacing w:line="440" w:lineRule="exact"/>
              <w:rPr>
                <w:rFonts w:hAnsi="標楷體" w:cs="Calibri"/>
                <w:b/>
                <w:color w:val="000000" w:themeColor="text1"/>
                <w:kern w:val="0"/>
                <w:sz w:val="27"/>
                <w:szCs w:val="27"/>
              </w:rPr>
            </w:pPr>
            <w:r w:rsidRPr="009423DD">
              <w:rPr>
                <w:rFonts w:hAnsi="標楷體" w:hint="eastAsia"/>
                <w:b/>
                <w:color w:val="000000" w:themeColor="text1"/>
                <w:sz w:val="27"/>
                <w:szCs w:val="27"/>
              </w:rPr>
              <w:t>在校生(含研修生14人)</w:t>
            </w:r>
          </w:p>
        </w:tc>
        <w:tc>
          <w:tcPr>
            <w:tcW w:w="1295" w:type="dxa"/>
            <w:shd w:val="clear" w:color="auto" w:fill="EEECE1" w:themeFill="background2"/>
            <w:vAlign w:val="center"/>
          </w:tcPr>
          <w:p w:rsidR="00DF0B82" w:rsidRPr="009423DD" w:rsidRDefault="00DF0B82" w:rsidP="00891601">
            <w:pPr>
              <w:widowControl/>
              <w:spacing w:line="440" w:lineRule="exact"/>
              <w:rPr>
                <w:rFonts w:hAnsi="標楷體"/>
                <w:b/>
                <w:color w:val="000000" w:themeColor="text1"/>
                <w:sz w:val="27"/>
                <w:szCs w:val="27"/>
              </w:rPr>
            </w:pPr>
            <w:r w:rsidRPr="009423DD">
              <w:rPr>
                <w:rFonts w:hAnsi="標楷體" w:hint="eastAsia"/>
                <w:b/>
                <w:color w:val="000000" w:themeColor="text1"/>
                <w:sz w:val="27"/>
                <w:szCs w:val="27"/>
              </w:rPr>
              <w:t>休學生(含研修生43人)</w:t>
            </w:r>
          </w:p>
        </w:tc>
        <w:tc>
          <w:tcPr>
            <w:tcW w:w="1296" w:type="dxa"/>
            <w:shd w:val="clear" w:color="auto" w:fill="EEECE1" w:themeFill="background2"/>
            <w:vAlign w:val="center"/>
          </w:tcPr>
          <w:p w:rsidR="00DF0B82" w:rsidRPr="009423DD" w:rsidRDefault="00DF0B82" w:rsidP="00891601">
            <w:pPr>
              <w:widowControl/>
              <w:spacing w:line="440" w:lineRule="exact"/>
              <w:rPr>
                <w:rFonts w:hAnsi="標楷體"/>
                <w:b/>
                <w:color w:val="000000" w:themeColor="text1"/>
                <w:sz w:val="27"/>
                <w:szCs w:val="27"/>
              </w:rPr>
            </w:pPr>
            <w:r w:rsidRPr="009423DD">
              <w:rPr>
                <w:rFonts w:hAnsi="標楷體" w:hint="eastAsia"/>
                <w:b/>
                <w:color w:val="000000" w:themeColor="text1"/>
                <w:sz w:val="27"/>
                <w:szCs w:val="27"/>
              </w:rPr>
              <w:t>學生合計(在校生+休學生)</w:t>
            </w:r>
          </w:p>
        </w:tc>
        <w:tc>
          <w:tcPr>
            <w:tcW w:w="1066" w:type="dxa"/>
            <w:shd w:val="clear" w:color="auto" w:fill="EEECE1" w:themeFill="background2"/>
            <w:vAlign w:val="center"/>
          </w:tcPr>
          <w:p w:rsidR="00DF0B82" w:rsidRPr="009423DD" w:rsidRDefault="00DF0B82" w:rsidP="00891601">
            <w:pPr>
              <w:widowControl/>
              <w:spacing w:line="440" w:lineRule="exact"/>
              <w:rPr>
                <w:rFonts w:hAnsi="標楷體"/>
                <w:b/>
                <w:color w:val="000000" w:themeColor="text1"/>
                <w:sz w:val="27"/>
                <w:szCs w:val="27"/>
              </w:rPr>
            </w:pPr>
            <w:r w:rsidRPr="009423DD">
              <w:rPr>
                <w:rFonts w:hAnsi="標楷體" w:hint="eastAsia"/>
                <w:b/>
                <w:color w:val="000000" w:themeColor="text1"/>
                <w:sz w:val="27"/>
                <w:szCs w:val="27"/>
              </w:rPr>
              <w:t>109-2學年度畢業生</w:t>
            </w:r>
          </w:p>
        </w:tc>
        <w:tc>
          <w:tcPr>
            <w:tcW w:w="1564" w:type="dxa"/>
            <w:shd w:val="clear" w:color="auto" w:fill="FFFF00"/>
            <w:vAlign w:val="center"/>
          </w:tcPr>
          <w:p w:rsidR="00DF0B82" w:rsidRPr="009423DD" w:rsidRDefault="00DF0B82" w:rsidP="00891601">
            <w:pPr>
              <w:widowControl/>
              <w:spacing w:line="440" w:lineRule="exact"/>
              <w:rPr>
                <w:rFonts w:hAnsi="標楷體"/>
                <w:b/>
                <w:color w:val="000000" w:themeColor="text1"/>
                <w:sz w:val="27"/>
                <w:szCs w:val="27"/>
              </w:rPr>
            </w:pPr>
            <w:r w:rsidRPr="009423DD">
              <w:rPr>
                <w:rFonts w:hAnsi="標楷體" w:hint="eastAsia"/>
                <w:b/>
                <w:color w:val="000000" w:themeColor="text1"/>
                <w:sz w:val="27"/>
                <w:szCs w:val="27"/>
              </w:rPr>
              <w:t>至111學年度停辦尚未畢業學生(含休學生50人)</w:t>
            </w:r>
          </w:p>
        </w:tc>
        <w:tc>
          <w:tcPr>
            <w:tcW w:w="1259" w:type="dxa"/>
            <w:shd w:val="clear" w:color="auto" w:fill="EEECE1" w:themeFill="background2"/>
            <w:vAlign w:val="center"/>
          </w:tcPr>
          <w:p w:rsidR="00DF0B82" w:rsidRPr="009423DD" w:rsidRDefault="00DF0B82" w:rsidP="00891601">
            <w:pPr>
              <w:widowControl/>
              <w:spacing w:line="440" w:lineRule="exact"/>
              <w:rPr>
                <w:rFonts w:hAnsi="標楷體"/>
                <w:b/>
                <w:color w:val="000000" w:themeColor="text1"/>
                <w:sz w:val="27"/>
                <w:szCs w:val="27"/>
              </w:rPr>
            </w:pPr>
            <w:r w:rsidRPr="009423DD">
              <w:rPr>
                <w:rFonts w:hAnsi="標楷體" w:hint="eastAsia"/>
                <w:b/>
                <w:color w:val="000000" w:themeColor="text1"/>
                <w:sz w:val="27"/>
                <w:szCs w:val="27"/>
              </w:rPr>
              <w:t>專案安置學生(含休學生5人)</w:t>
            </w:r>
          </w:p>
        </w:tc>
        <w:tc>
          <w:tcPr>
            <w:tcW w:w="1297" w:type="dxa"/>
            <w:shd w:val="clear" w:color="auto" w:fill="EEECE1" w:themeFill="background2"/>
            <w:vAlign w:val="center"/>
          </w:tcPr>
          <w:p w:rsidR="00DF0B82" w:rsidRPr="009423DD" w:rsidRDefault="00DF0B82" w:rsidP="00891601">
            <w:pPr>
              <w:widowControl/>
              <w:spacing w:line="440" w:lineRule="exact"/>
              <w:rPr>
                <w:rFonts w:hAnsi="標楷體"/>
                <w:b/>
                <w:color w:val="000000" w:themeColor="text1"/>
                <w:sz w:val="27"/>
                <w:szCs w:val="27"/>
              </w:rPr>
            </w:pPr>
            <w:r w:rsidRPr="009423DD">
              <w:rPr>
                <w:rFonts w:hAnsi="標楷體" w:hint="eastAsia"/>
                <w:b/>
                <w:color w:val="000000" w:themeColor="text1"/>
                <w:sz w:val="27"/>
                <w:szCs w:val="27"/>
              </w:rPr>
              <w:t>退學學生(含休學生45人)</w:t>
            </w:r>
          </w:p>
        </w:tc>
      </w:tr>
      <w:tr w:rsidR="009423DD" w:rsidRPr="009423DD" w:rsidTr="00891601">
        <w:trPr>
          <w:jc w:val="center"/>
        </w:trPr>
        <w:tc>
          <w:tcPr>
            <w:tcW w:w="1158" w:type="dxa"/>
          </w:tcPr>
          <w:p w:rsidR="00DF0B82" w:rsidRPr="009423DD" w:rsidRDefault="00DF0B82" w:rsidP="00891601">
            <w:pPr>
              <w:widowControl/>
              <w:spacing w:line="440" w:lineRule="exact"/>
              <w:jc w:val="center"/>
              <w:rPr>
                <w:rFonts w:hAnsi="標楷體"/>
                <w:color w:val="000000" w:themeColor="text1"/>
                <w:sz w:val="28"/>
                <w:szCs w:val="28"/>
              </w:rPr>
            </w:pPr>
            <w:r w:rsidRPr="009423DD">
              <w:rPr>
                <w:rFonts w:hAnsi="標楷體" w:hint="eastAsia"/>
                <w:color w:val="000000" w:themeColor="text1"/>
                <w:sz w:val="28"/>
                <w:szCs w:val="28"/>
              </w:rPr>
              <w:t>86</w:t>
            </w:r>
          </w:p>
        </w:tc>
        <w:tc>
          <w:tcPr>
            <w:tcW w:w="1295" w:type="dxa"/>
          </w:tcPr>
          <w:p w:rsidR="00DF0B82" w:rsidRPr="009423DD" w:rsidRDefault="00DF0B82" w:rsidP="00891601">
            <w:pPr>
              <w:widowControl/>
              <w:spacing w:line="440" w:lineRule="exact"/>
              <w:jc w:val="center"/>
              <w:rPr>
                <w:rFonts w:hAnsi="標楷體"/>
                <w:color w:val="000000" w:themeColor="text1"/>
                <w:sz w:val="28"/>
                <w:szCs w:val="28"/>
              </w:rPr>
            </w:pPr>
            <w:r w:rsidRPr="009423DD">
              <w:rPr>
                <w:rFonts w:hAnsi="標楷體" w:hint="eastAsia"/>
                <w:color w:val="000000" w:themeColor="text1"/>
                <w:sz w:val="28"/>
                <w:szCs w:val="28"/>
              </w:rPr>
              <w:t>50</w:t>
            </w:r>
          </w:p>
        </w:tc>
        <w:tc>
          <w:tcPr>
            <w:tcW w:w="1296" w:type="dxa"/>
          </w:tcPr>
          <w:p w:rsidR="00DF0B82" w:rsidRPr="009423DD" w:rsidRDefault="00DF0B82" w:rsidP="00891601">
            <w:pPr>
              <w:widowControl/>
              <w:spacing w:line="440" w:lineRule="exact"/>
              <w:jc w:val="center"/>
              <w:rPr>
                <w:rFonts w:hAnsi="標楷體"/>
                <w:color w:val="000000" w:themeColor="text1"/>
                <w:sz w:val="28"/>
                <w:szCs w:val="28"/>
              </w:rPr>
            </w:pPr>
            <w:r w:rsidRPr="009423DD">
              <w:rPr>
                <w:rFonts w:hAnsi="標楷體" w:hint="eastAsia"/>
                <w:color w:val="000000" w:themeColor="text1"/>
                <w:sz w:val="28"/>
                <w:szCs w:val="28"/>
              </w:rPr>
              <w:t>136</w:t>
            </w:r>
          </w:p>
        </w:tc>
        <w:tc>
          <w:tcPr>
            <w:tcW w:w="1066" w:type="dxa"/>
          </w:tcPr>
          <w:p w:rsidR="00DF0B82" w:rsidRPr="009423DD" w:rsidRDefault="00DF0B82" w:rsidP="00891601">
            <w:pPr>
              <w:widowControl/>
              <w:spacing w:line="440" w:lineRule="exact"/>
              <w:jc w:val="center"/>
              <w:rPr>
                <w:rFonts w:hAnsi="標楷體"/>
                <w:color w:val="000000" w:themeColor="text1"/>
                <w:sz w:val="28"/>
                <w:szCs w:val="28"/>
              </w:rPr>
            </w:pPr>
            <w:r w:rsidRPr="009423DD">
              <w:rPr>
                <w:rFonts w:hAnsi="標楷體" w:hint="eastAsia"/>
                <w:color w:val="000000" w:themeColor="text1"/>
                <w:sz w:val="28"/>
                <w:szCs w:val="28"/>
              </w:rPr>
              <w:t>52</w:t>
            </w:r>
          </w:p>
        </w:tc>
        <w:tc>
          <w:tcPr>
            <w:tcW w:w="1564" w:type="dxa"/>
            <w:shd w:val="clear" w:color="auto" w:fill="FFFF00"/>
          </w:tcPr>
          <w:p w:rsidR="00DF0B82" w:rsidRPr="009423DD" w:rsidRDefault="00DF0B82" w:rsidP="00891601">
            <w:pPr>
              <w:widowControl/>
              <w:spacing w:line="440" w:lineRule="exact"/>
              <w:jc w:val="center"/>
              <w:rPr>
                <w:rFonts w:hAnsi="標楷體"/>
                <w:color w:val="000000" w:themeColor="text1"/>
                <w:sz w:val="28"/>
                <w:szCs w:val="28"/>
              </w:rPr>
            </w:pPr>
            <w:r w:rsidRPr="009423DD">
              <w:rPr>
                <w:rFonts w:hAnsi="標楷體" w:hint="eastAsia"/>
                <w:color w:val="000000" w:themeColor="text1"/>
                <w:sz w:val="28"/>
                <w:szCs w:val="28"/>
              </w:rPr>
              <w:t>84</w:t>
            </w:r>
          </w:p>
        </w:tc>
        <w:tc>
          <w:tcPr>
            <w:tcW w:w="1259" w:type="dxa"/>
          </w:tcPr>
          <w:p w:rsidR="00DF0B82" w:rsidRPr="009423DD" w:rsidRDefault="00DF0B82" w:rsidP="00891601">
            <w:pPr>
              <w:widowControl/>
              <w:spacing w:line="440" w:lineRule="exact"/>
              <w:jc w:val="center"/>
              <w:rPr>
                <w:rFonts w:hAnsi="標楷體"/>
                <w:color w:val="000000" w:themeColor="text1"/>
                <w:sz w:val="28"/>
                <w:szCs w:val="28"/>
              </w:rPr>
            </w:pPr>
            <w:r w:rsidRPr="009423DD">
              <w:rPr>
                <w:rFonts w:hAnsi="標楷體" w:hint="eastAsia"/>
                <w:color w:val="000000" w:themeColor="text1"/>
                <w:sz w:val="28"/>
                <w:szCs w:val="28"/>
              </w:rPr>
              <w:t>35</w:t>
            </w:r>
          </w:p>
        </w:tc>
        <w:tc>
          <w:tcPr>
            <w:tcW w:w="1297" w:type="dxa"/>
          </w:tcPr>
          <w:p w:rsidR="00DF0B82" w:rsidRPr="009423DD" w:rsidRDefault="00DF0B82" w:rsidP="00891601">
            <w:pPr>
              <w:widowControl/>
              <w:spacing w:line="440" w:lineRule="exact"/>
              <w:jc w:val="center"/>
              <w:rPr>
                <w:rFonts w:hAnsi="標楷體"/>
                <w:color w:val="000000" w:themeColor="text1"/>
                <w:sz w:val="28"/>
                <w:szCs w:val="28"/>
              </w:rPr>
            </w:pPr>
            <w:r w:rsidRPr="009423DD">
              <w:rPr>
                <w:rFonts w:hAnsi="標楷體" w:hint="eastAsia"/>
                <w:color w:val="000000" w:themeColor="text1"/>
                <w:sz w:val="28"/>
                <w:szCs w:val="28"/>
              </w:rPr>
              <w:t>49</w:t>
            </w:r>
          </w:p>
        </w:tc>
      </w:tr>
    </w:tbl>
    <w:p w:rsidR="00B928C9" w:rsidRPr="009423DD" w:rsidRDefault="00B928C9" w:rsidP="006C53DB">
      <w:pPr>
        <w:spacing w:line="320" w:lineRule="exact"/>
        <w:rPr>
          <w:color w:val="000000" w:themeColor="text1"/>
          <w:sz w:val="24"/>
          <w:szCs w:val="24"/>
        </w:rPr>
      </w:pPr>
      <w:r w:rsidRPr="009423DD">
        <w:rPr>
          <w:rFonts w:hint="eastAsia"/>
          <w:color w:val="000000" w:themeColor="text1"/>
          <w:sz w:val="24"/>
          <w:szCs w:val="24"/>
        </w:rPr>
        <w:t>註：</w:t>
      </w:r>
    </w:p>
    <w:p w:rsidR="00B928C9" w:rsidRPr="009423DD" w:rsidRDefault="00B928C9" w:rsidP="006C53DB">
      <w:pPr>
        <w:spacing w:line="320" w:lineRule="exact"/>
        <w:rPr>
          <w:color w:val="000000" w:themeColor="text1"/>
          <w:sz w:val="24"/>
          <w:szCs w:val="24"/>
        </w:rPr>
      </w:pPr>
      <w:r w:rsidRPr="009423DD">
        <w:rPr>
          <w:rFonts w:hint="eastAsia"/>
          <w:color w:val="000000" w:themeColor="text1"/>
          <w:sz w:val="24"/>
          <w:szCs w:val="24"/>
        </w:rPr>
        <w:t>1.統計對象：106學年入學(含)學生</w:t>
      </w:r>
    </w:p>
    <w:p w:rsidR="00B928C9" w:rsidRPr="009423DD" w:rsidRDefault="00B928C9" w:rsidP="006C53DB">
      <w:pPr>
        <w:spacing w:line="320" w:lineRule="exact"/>
        <w:rPr>
          <w:color w:val="000000" w:themeColor="text1"/>
          <w:sz w:val="24"/>
          <w:szCs w:val="24"/>
        </w:rPr>
      </w:pPr>
      <w:r w:rsidRPr="009423DD">
        <w:rPr>
          <w:rFonts w:hint="eastAsia"/>
          <w:color w:val="000000" w:themeColor="text1"/>
          <w:sz w:val="24"/>
          <w:szCs w:val="24"/>
        </w:rPr>
        <w:lastRenderedPageBreak/>
        <w:t>2.在籍學生人數基準日：110年3月15日</w:t>
      </w:r>
    </w:p>
    <w:p w:rsidR="00B928C9" w:rsidRPr="009423DD" w:rsidRDefault="00B928C9" w:rsidP="006C53DB">
      <w:pPr>
        <w:spacing w:line="320" w:lineRule="exact"/>
        <w:rPr>
          <w:color w:val="000000" w:themeColor="text1"/>
          <w:sz w:val="24"/>
          <w:szCs w:val="24"/>
        </w:rPr>
      </w:pPr>
      <w:r w:rsidRPr="009423DD">
        <w:rPr>
          <w:rFonts w:hint="eastAsia"/>
          <w:color w:val="000000" w:themeColor="text1"/>
          <w:sz w:val="24"/>
          <w:szCs w:val="24"/>
        </w:rPr>
        <w:t>3.退學學生人數基準日：110年3月16日至110年8月31日</w:t>
      </w:r>
    </w:p>
    <w:p w:rsidR="00E866D1" w:rsidRPr="009423DD" w:rsidRDefault="00110485" w:rsidP="00110485">
      <w:pPr>
        <w:spacing w:afterLines="50" w:after="228"/>
        <w:rPr>
          <w:color w:val="000000" w:themeColor="text1"/>
          <w:sz w:val="24"/>
          <w:szCs w:val="24"/>
        </w:rPr>
      </w:pPr>
      <w:r w:rsidRPr="009423DD">
        <w:rPr>
          <w:rFonts w:hint="eastAsia"/>
          <w:color w:val="000000" w:themeColor="text1"/>
          <w:sz w:val="24"/>
          <w:szCs w:val="24"/>
        </w:rPr>
        <w:t>資料來源：教育部。</w:t>
      </w:r>
    </w:p>
    <w:p w:rsidR="009D3CB4" w:rsidRPr="009423DD" w:rsidRDefault="00DB7E5E" w:rsidP="00F305ED">
      <w:pPr>
        <w:pStyle w:val="4"/>
        <w:rPr>
          <w:color w:val="000000" w:themeColor="text1"/>
        </w:rPr>
      </w:pPr>
      <w:r w:rsidRPr="009423DD">
        <w:rPr>
          <w:rFonts w:hint="eastAsia"/>
          <w:color w:val="000000" w:themeColor="text1"/>
        </w:rPr>
        <w:t>根據</w:t>
      </w:r>
      <w:r w:rsidR="00C11FEF" w:rsidRPr="009423DD">
        <w:rPr>
          <w:rFonts w:hAnsi="標楷體" w:hint="eastAsia"/>
          <w:color w:val="000000" w:themeColor="text1"/>
          <w:szCs w:val="32"/>
        </w:rPr>
        <w:t>私校法</w:t>
      </w:r>
      <w:r w:rsidR="00000CA4" w:rsidRPr="005B7C45">
        <w:rPr>
          <w:rFonts w:hAnsi="標楷體" w:hint="eastAsia"/>
          <w:szCs w:val="32"/>
        </w:rPr>
        <w:t>第</w:t>
      </w:r>
      <w:r w:rsidR="00C11FEF" w:rsidRPr="009423DD">
        <w:rPr>
          <w:rFonts w:hAnsi="標楷體" w:hint="eastAsia"/>
          <w:color w:val="000000" w:themeColor="text1"/>
          <w:szCs w:val="32"/>
        </w:rPr>
        <w:t>70條第1項賦予</w:t>
      </w:r>
      <w:r w:rsidR="00C11FEF" w:rsidRPr="009423DD">
        <w:rPr>
          <w:rFonts w:hint="eastAsia"/>
          <w:color w:val="000000" w:themeColor="text1"/>
        </w:rPr>
        <w:t>主管機關</w:t>
      </w:r>
      <w:r w:rsidR="00C11FEF" w:rsidRPr="009423DD">
        <w:rPr>
          <w:rFonts w:hAnsi="標楷體" w:hint="eastAsia"/>
          <w:color w:val="000000" w:themeColor="text1"/>
          <w:szCs w:val="32"/>
        </w:rPr>
        <w:t>命其停辦並於指定期間內提報師生權益保障措施。惟該校</w:t>
      </w:r>
      <w:r w:rsidR="00C66215" w:rsidRPr="009423DD">
        <w:rPr>
          <w:rFonts w:hAnsi="標楷體" w:hint="eastAsia"/>
          <w:color w:val="000000" w:themeColor="text1"/>
          <w:szCs w:val="32"/>
        </w:rPr>
        <w:t>於</w:t>
      </w:r>
      <w:r w:rsidR="00E621CF" w:rsidRPr="009423DD">
        <w:rPr>
          <w:rFonts w:hint="eastAsia"/>
          <w:color w:val="000000" w:themeColor="text1"/>
        </w:rPr>
        <w:t>109年</w:t>
      </w:r>
      <w:r w:rsidR="00085F63" w:rsidRPr="009423DD">
        <w:rPr>
          <w:rFonts w:hint="eastAsia"/>
          <w:color w:val="000000" w:themeColor="text1"/>
        </w:rPr>
        <w:t>經</w:t>
      </w:r>
      <w:r w:rsidR="00E621CF" w:rsidRPr="009423DD">
        <w:rPr>
          <w:rFonts w:hint="eastAsia"/>
          <w:color w:val="000000" w:themeColor="text1"/>
        </w:rPr>
        <w:t>教育部核定停招</w:t>
      </w:r>
      <w:r w:rsidR="00831B3A" w:rsidRPr="009423DD">
        <w:rPr>
          <w:rFonts w:hint="eastAsia"/>
          <w:color w:val="000000" w:themeColor="text1"/>
        </w:rPr>
        <w:t>，</w:t>
      </w:r>
      <w:r w:rsidR="00E621CF" w:rsidRPr="009423DD">
        <w:rPr>
          <w:rFonts w:hint="eastAsia"/>
          <w:color w:val="000000" w:themeColor="text1"/>
        </w:rPr>
        <w:t>至該校董事會決議停辦之期間未足1月，師生無所適從，</w:t>
      </w:r>
      <w:r w:rsidR="003268BE" w:rsidRPr="009423DD">
        <w:rPr>
          <w:rFonts w:hAnsi="標楷體" w:hint="eastAsia"/>
          <w:color w:val="000000" w:themeColor="text1"/>
          <w:szCs w:val="32"/>
        </w:rPr>
        <w:t>教育部</w:t>
      </w:r>
      <w:r w:rsidR="008D0A42" w:rsidRPr="009423DD">
        <w:rPr>
          <w:rFonts w:hAnsi="標楷體" w:hint="eastAsia"/>
          <w:color w:val="000000" w:themeColor="text1"/>
          <w:szCs w:val="32"/>
        </w:rPr>
        <w:t>對於</w:t>
      </w:r>
      <w:r w:rsidR="00E621CF" w:rsidRPr="009423DD">
        <w:rPr>
          <w:rFonts w:hint="eastAsia"/>
          <w:color w:val="000000" w:themeColor="text1"/>
        </w:rPr>
        <w:t>攸關師生重大權益之校務</w:t>
      </w:r>
      <w:r w:rsidR="006D1520" w:rsidRPr="009423DD">
        <w:rPr>
          <w:rFonts w:hint="eastAsia"/>
          <w:color w:val="000000" w:themeColor="text1"/>
        </w:rPr>
        <w:t>改變尚</w:t>
      </w:r>
      <w:r w:rsidR="00E621CF" w:rsidRPr="009423DD">
        <w:rPr>
          <w:rFonts w:hint="eastAsia"/>
          <w:color w:val="000000" w:themeColor="text1"/>
        </w:rPr>
        <w:t>未有一定指定期間，</w:t>
      </w:r>
      <w:r w:rsidR="008D0A42" w:rsidRPr="009423DD">
        <w:rPr>
          <w:rFonts w:hAnsi="標楷體" w:hint="eastAsia"/>
          <w:color w:val="000000" w:themeColor="text1"/>
          <w:szCs w:val="32"/>
        </w:rPr>
        <w:t>相關程序及要件均未盡明確</w:t>
      </w:r>
      <w:r w:rsidR="00545CA4" w:rsidRPr="009423DD">
        <w:rPr>
          <w:rFonts w:hAnsi="標楷體" w:hint="eastAsia"/>
          <w:color w:val="000000" w:themeColor="text1"/>
          <w:szCs w:val="32"/>
        </w:rPr>
        <w:t>，</w:t>
      </w:r>
      <w:r w:rsidR="00363696" w:rsidRPr="009423DD">
        <w:rPr>
          <w:rFonts w:hAnsi="標楷體" w:hint="eastAsia"/>
          <w:color w:val="000000" w:themeColor="text1"/>
          <w:szCs w:val="32"/>
        </w:rPr>
        <w:t>致</w:t>
      </w:r>
      <w:r w:rsidR="00363696" w:rsidRPr="009423DD">
        <w:rPr>
          <w:rFonts w:hint="eastAsia"/>
          <w:color w:val="000000" w:themeColor="text1"/>
        </w:rPr>
        <w:t>外界爭議不休，</w:t>
      </w:r>
      <w:r w:rsidR="00EE1404" w:rsidRPr="009423DD">
        <w:rPr>
          <w:rFonts w:hint="eastAsia"/>
          <w:color w:val="000000" w:themeColor="text1"/>
        </w:rPr>
        <w:t>的確有欠妥適</w:t>
      </w:r>
      <w:r w:rsidR="008B2F90" w:rsidRPr="009423DD">
        <w:rPr>
          <w:rFonts w:hAnsi="標楷體" w:hint="eastAsia"/>
          <w:color w:val="000000" w:themeColor="text1"/>
          <w:szCs w:val="32"/>
        </w:rPr>
        <w:t>，</w:t>
      </w:r>
      <w:r w:rsidR="00183ACC" w:rsidRPr="009423DD">
        <w:rPr>
          <w:rFonts w:hAnsi="標楷體" w:hint="eastAsia"/>
          <w:color w:val="000000" w:themeColor="text1"/>
          <w:szCs w:val="32"/>
        </w:rPr>
        <w:t>缺乏</w:t>
      </w:r>
      <w:r w:rsidR="004F179E" w:rsidRPr="009423DD">
        <w:rPr>
          <w:rFonts w:hAnsi="標楷體" w:hint="eastAsia"/>
          <w:color w:val="000000" w:themeColor="text1"/>
          <w:szCs w:val="32"/>
        </w:rPr>
        <w:t>積極作為，</w:t>
      </w:r>
      <w:r w:rsidR="00E621CF" w:rsidRPr="009423DD">
        <w:rPr>
          <w:rFonts w:hAnsi="標楷體" w:hint="eastAsia"/>
          <w:color w:val="000000" w:themeColor="text1"/>
          <w:szCs w:val="32"/>
        </w:rPr>
        <w:t>亟待檢討</w:t>
      </w:r>
      <w:r w:rsidR="00EF0937" w:rsidRPr="009423DD">
        <w:rPr>
          <w:rFonts w:hAnsi="標楷體" w:hint="eastAsia"/>
          <w:color w:val="000000" w:themeColor="text1"/>
          <w:szCs w:val="32"/>
        </w:rPr>
        <w:t>改進以維護師生權益</w:t>
      </w:r>
      <w:r w:rsidR="00845E13" w:rsidRPr="009423DD">
        <w:rPr>
          <w:rFonts w:hAnsi="標楷體" w:hint="eastAsia"/>
          <w:color w:val="000000" w:themeColor="text1"/>
          <w:szCs w:val="32"/>
        </w:rPr>
        <w:t>。</w:t>
      </w:r>
    </w:p>
    <w:p w:rsidR="00A65E05" w:rsidRPr="009423DD" w:rsidRDefault="00E3405C" w:rsidP="005B0186">
      <w:pPr>
        <w:pStyle w:val="3"/>
        <w:rPr>
          <w:color w:val="000000" w:themeColor="text1"/>
        </w:rPr>
      </w:pPr>
      <w:r w:rsidRPr="009423DD">
        <w:rPr>
          <w:rFonts w:hint="eastAsia"/>
          <w:color w:val="000000" w:themeColor="text1"/>
        </w:rPr>
        <w:t>此外，</w:t>
      </w:r>
      <w:r w:rsidR="0093486B" w:rsidRPr="009423DD">
        <w:rPr>
          <w:rFonts w:hint="eastAsia"/>
          <w:color w:val="000000" w:themeColor="text1"/>
        </w:rPr>
        <w:t>該校</w:t>
      </w:r>
      <w:r w:rsidR="001726EA" w:rsidRPr="009423DD">
        <w:rPr>
          <w:rFonts w:hint="eastAsia"/>
          <w:color w:val="000000" w:themeColor="text1"/>
        </w:rPr>
        <w:t>自106學年度迄109學年度第2學期，</w:t>
      </w:r>
      <w:r w:rsidR="0093486B" w:rsidRPr="009423DD">
        <w:rPr>
          <w:rFonts w:hint="eastAsia"/>
          <w:color w:val="000000" w:themeColor="text1"/>
        </w:rPr>
        <w:t>歷年度接受教育部</w:t>
      </w:r>
      <w:r w:rsidR="00A65E05" w:rsidRPr="009423DD">
        <w:rPr>
          <w:rFonts w:hint="eastAsia"/>
          <w:color w:val="000000" w:themeColor="text1"/>
        </w:rPr>
        <w:t>專科以上學校維護學生受教權益教學品質歷年查核</w:t>
      </w:r>
      <w:r w:rsidR="0093486B" w:rsidRPr="009423DD">
        <w:rPr>
          <w:rFonts w:hint="eastAsia"/>
          <w:color w:val="000000" w:themeColor="text1"/>
        </w:rPr>
        <w:t>之</w:t>
      </w:r>
      <w:r w:rsidR="00A65E05" w:rsidRPr="009423DD">
        <w:rPr>
          <w:rFonts w:hint="eastAsia"/>
          <w:color w:val="000000" w:themeColor="text1"/>
        </w:rPr>
        <w:t>結果</w:t>
      </w:r>
      <w:r w:rsidR="0093486B" w:rsidRPr="009423DD">
        <w:rPr>
          <w:rFonts w:hint="eastAsia"/>
          <w:color w:val="000000" w:themeColor="text1"/>
        </w:rPr>
        <w:t>，</w:t>
      </w:r>
      <w:r w:rsidR="000C383E" w:rsidRPr="009423DD">
        <w:rPr>
          <w:rFonts w:hint="eastAsia"/>
          <w:color w:val="000000" w:themeColor="text1"/>
        </w:rPr>
        <w:t>多有列管或不通過之情形，</w:t>
      </w:r>
      <w:r w:rsidR="009E02BA" w:rsidRPr="009423DD">
        <w:rPr>
          <w:rFonts w:hint="eastAsia"/>
          <w:color w:val="000000" w:themeColor="text1"/>
        </w:rPr>
        <w:t>期間</w:t>
      </w:r>
      <w:r w:rsidR="000C383E" w:rsidRPr="009423DD">
        <w:rPr>
          <w:rFonts w:hint="eastAsia"/>
          <w:color w:val="000000" w:themeColor="text1"/>
        </w:rPr>
        <w:t>就學權益</w:t>
      </w:r>
      <w:r w:rsidR="004128F5" w:rsidRPr="009423DD">
        <w:rPr>
          <w:rFonts w:hint="eastAsia"/>
          <w:color w:val="000000" w:themeColor="text1"/>
        </w:rPr>
        <w:t>不無</w:t>
      </w:r>
      <w:r w:rsidR="000C383E" w:rsidRPr="009423DD">
        <w:rPr>
          <w:rFonts w:hint="eastAsia"/>
          <w:color w:val="000000" w:themeColor="text1"/>
        </w:rPr>
        <w:t>疑慮</w:t>
      </w:r>
      <w:r w:rsidR="00B63F13" w:rsidRPr="009423DD">
        <w:rPr>
          <w:rFonts w:hint="eastAsia"/>
          <w:color w:val="000000" w:themeColor="text1"/>
        </w:rPr>
        <w:t>，</w:t>
      </w:r>
      <w:r w:rsidR="00BD4830" w:rsidRPr="009423DD">
        <w:rPr>
          <w:rFonts w:hint="eastAsia"/>
          <w:color w:val="000000" w:themeColor="text1"/>
        </w:rPr>
        <w:t>106自109</w:t>
      </w:r>
      <w:r w:rsidR="00B83ACD" w:rsidRPr="009423DD">
        <w:rPr>
          <w:rFonts w:hint="eastAsia"/>
          <w:color w:val="000000" w:themeColor="text1"/>
        </w:rPr>
        <w:t>學</w:t>
      </w:r>
      <w:r w:rsidR="00B63F13" w:rsidRPr="009423DD">
        <w:rPr>
          <w:rFonts w:hint="eastAsia"/>
          <w:color w:val="000000" w:themeColor="text1"/>
        </w:rPr>
        <w:t>年度相關</w:t>
      </w:r>
      <w:r w:rsidR="00F049F6" w:rsidRPr="009423DD">
        <w:rPr>
          <w:rFonts w:hint="eastAsia"/>
          <w:color w:val="000000" w:themeColor="text1"/>
        </w:rPr>
        <w:t>查核</w:t>
      </w:r>
      <w:r w:rsidR="00B63F13" w:rsidRPr="009423DD">
        <w:rPr>
          <w:rFonts w:hint="eastAsia"/>
          <w:color w:val="000000" w:themeColor="text1"/>
        </w:rPr>
        <w:t>意見</w:t>
      </w:r>
      <w:r w:rsidR="00D748AF" w:rsidRPr="009423DD">
        <w:rPr>
          <w:rFonts w:hint="eastAsia"/>
          <w:color w:val="000000" w:themeColor="text1"/>
        </w:rPr>
        <w:t>摘錄</w:t>
      </w:r>
      <w:r w:rsidR="00651361" w:rsidRPr="009423DD">
        <w:rPr>
          <w:rFonts w:hint="eastAsia"/>
          <w:color w:val="000000" w:themeColor="text1"/>
        </w:rPr>
        <w:t>，</w:t>
      </w:r>
      <w:r w:rsidR="00B63F13" w:rsidRPr="009423DD">
        <w:rPr>
          <w:rFonts w:hint="eastAsia"/>
          <w:color w:val="000000" w:themeColor="text1"/>
        </w:rPr>
        <w:t>及</w:t>
      </w:r>
      <w:r w:rsidR="007B2317" w:rsidRPr="009423DD">
        <w:rPr>
          <w:rFonts w:hint="eastAsia"/>
          <w:color w:val="000000" w:themeColor="text1"/>
        </w:rPr>
        <w:t>教學品質查核</w:t>
      </w:r>
      <w:r w:rsidR="000C383E" w:rsidRPr="009423DD">
        <w:rPr>
          <w:rFonts w:hint="eastAsia"/>
          <w:color w:val="000000" w:themeColor="text1"/>
        </w:rPr>
        <w:t>摘要</w:t>
      </w:r>
      <w:r w:rsidR="00E33F35" w:rsidRPr="009423DD">
        <w:rPr>
          <w:rFonts w:hint="eastAsia"/>
          <w:color w:val="000000" w:themeColor="text1"/>
        </w:rPr>
        <w:t>如下</w:t>
      </w:r>
      <w:r w:rsidR="002A4DC1" w:rsidRPr="009A0FA9">
        <w:rPr>
          <w:rFonts w:hint="eastAsia"/>
          <w:color w:val="C00000"/>
        </w:rPr>
        <w:t>：</w:t>
      </w:r>
    </w:p>
    <w:p w:rsidR="00D541DE" w:rsidRPr="009423DD" w:rsidRDefault="00D541DE" w:rsidP="00D541DE">
      <w:pPr>
        <w:pStyle w:val="4"/>
        <w:rPr>
          <w:color w:val="000000" w:themeColor="text1"/>
        </w:rPr>
      </w:pPr>
      <w:r w:rsidRPr="009423DD">
        <w:rPr>
          <w:rFonts w:hint="eastAsia"/>
          <w:color w:val="000000" w:themeColor="text1"/>
        </w:rPr>
        <w:t>學校經系、所整併，重新遴選師資，能依規定開設課程，為確保教學品質及受教權益，建議學校定期檢視各班上課情形。</w:t>
      </w:r>
      <w:r w:rsidR="008C0FAD" w:rsidRPr="009423DD">
        <w:rPr>
          <w:rFonts w:hint="eastAsia"/>
          <w:color w:val="000000" w:themeColor="text1"/>
        </w:rPr>
        <w:t>（106-2）</w:t>
      </w:r>
    </w:p>
    <w:p w:rsidR="00970581" w:rsidRPr="009423DD" w:rsidRDefault="0091357A" w:rsidP="00970581">
      <w:pPr>
        <w:pStyle w:val="4"/>
        <w:rPr>
          <w:color w:val="000000" w:themeColor="text1"/>
        </w:rPr>
      </w:pPr>
      <w:r w:rsidRPr="009423DD">
        <w:rPr>
          <w:rFonts w:hint="eastAsia"/>
          <w:color w:val="000000" w:themeColor="text1"/>
        </w:rPr>
        <w:t>檢視全校性總表3-1，廚藝管理系106學年度專業必修僅規劃22學分，偏低</w:t>
      </w:r>
      <w:r w:rsidR="00732B65" w:rsidRPr="009423DD">
        <w:rPr>
          <w:rStyle w:val="afe"/>
          <w:color w:val="000000" w:themeColor="text1"/>
        </w:rPr>
        <w:footnoteReference w:id="4"/>
      </w:r>
      <w:r w:rsidRPr="009423DD">
        <w:rPr>
          <w:rFonts w:hint="eastAsia"/>
          <w:color w:val="000000" w:themeColor="text1"/>
        </w:rPr>
        <w:t>。此外，系專業選修高達46學分，然學校於106學年度後方註記「系內外選修皆承認」，如何避免學生46個選修學分均選外系學分，以致影響系科專業能力之培養，宜具體說明。</w:t>
      </w:r>
      <w:r w:rsidR="00B27308" w:rsidRPr="009423DD">
        <w:rPr>
          <w:rFonts w:hint="eastAsia"/>
          <w:color w:val="000000" w:themeColor="text1"/>
        </w:rPr>
        <w:t>（106-2）</w:t>
      </w:r>
    </w:p>
    <w:p w:rsidR="00A260EA" w:rsidRPr="009423DD" w:rsidRDefault="00A260EA" w:rsidP="00A260EA">
      <w:pPr>
        <w:pStyle w:val="4"/>
        <w:rPr>
          <w:color w:val="000000" w:themeColor="text1"/>
        </w:rPr>
      </w:pPr>
      <w:r w:rsidRPr="009423DD">
        <w:rPr>
          <w:rFonts w:hint="eastAsia"/>
          <w:color w:val="000000" w:themeColor="text1"/>
        </w:rPr>
        <w:t>學校教學系科聚焦於觀光餐旅系及廚藝管理系，以利辦學成效。其餘系科（旅館管理系、觀光旅</w:t>
      </w:r>
      <w:r w:rsidRPr="009423DD">
        <w:rPr>
          <w:rFonts w:hint="eastAsia"/>
          <w:color w:val="000000" w:themeColor="text1"/>
        </w:rPr>
        <w:lastRenderedPageBreak/>
        <w:t>遊系、觀光休閒系、銀髮族健康管理系及餐飲管理系）已停招，為維護現存學生受教權益，宜完善教學機制與品質維護。</w:t>
      </w:r>
      <w:r w:rsidR="00B27308" w:rsidRPr="009423DD">
        <w:rPr>
          <w:rFonts w:hint="eastAsia"/>
          <w:color w:val="000000" w:themeColor="text1"/>
        </w:rPr>
        <w:t>（106-2）</w:t>
      </w:r>
    </w:p>
    <w:p w:rsidR="00A260EA" w:rsidRPr="009423DD" w:rsidRDefault="00A260EA" w:rsidP="00A260EA">
      <w:pPr>
        <w:pStyle w:val="4"/>
        <w:rPr>
          <w:color w:val="000000" w:themeColor="text1"/>
        </w:rPr>
      </w:pPr>
      <w:r w:rsidRPr="009423DD">
        <w:rPr>
          <w:rFonts w:hint="eastAsia"/>
          <w:color w:val="000000" w:themeColor="text1"/>
        </w:rPr>
        <w:t>觀光餐旅系進二技新生僅有9人，宜注意開課狀況以維護學習品質</w:t>
      </w:r>
      <w:r w:rsidR="00C23636" w:rsidRPr="009423DD">
        <w:rPr>
          <w:rFonts w:hint="eastAsia"/>
          <w:color w:val="000000" w:themeColor="text1"/>
        </w:rPr>
        <w:t>。</w:t>
      </w:r>
      <w:r w:rsidR="009C6665" w:rsidRPr="009423DD">
        <w:rPr>
          <w:rFonts w:hint="eastAsia"/>
          <w:color w:val="000000" w:themeColor="text1"/>
        </w:rPr>
        <w:t>（106-2）</w:t>
      </w:r>
    </w:p>
    <w:p w:rsidR="007E27C9" w:rsidRPr="009423DD" w:rsidRDefault="007E27C9" w:rsidP="007E27C9">
      <w:pPr>
        <w:pStyle w:val="4"/>
        <w:rPr>
          <w:color w:val="000000" w:themeColor="text1"/>
        </w:rPr>
      </w:pPr>
      <w:r w:rsidRPr="009423DD">
        <w:rPr>
          <w:rFonts w:hint="eastAsia"/>
          <w:color w:val="000000" w:themeColor="text1"/>
        </w:rPr>
        <w:t>未依課程規劃表上課：</w:t>
      </w:r>
      <w:r w:rsidR="00FE0AD5" w:rsidRPr="009423DD">
        <w:rPr>
          <w:rFonts w:ascii="Times New Roman" w:hAnsi="Times New Roman"/>
          <w:color w:val="000000" w:themeColor="text1"/>
          <w:kern w:val="0"/>
          <w:szCs w:val="28"/>
        </w:rPr>
        <w:t>必修課應開而未開</w:t>
      </w:r>
      <w:r w:rsidR="00FE0AD5" w:rsidRPr="009423DD">
        <w:rPr>
          <w:rFonts w:ascii="Times New Roman" w:hAnsi="Times New Roman" w:hint="eastAsia"/>
          <w:color w:val="000000" w:themeColor="text1"/>
          <w:kern w:val="0"/>
          <w:szCs w:val="28"/>
        </w:rPr>
        <w:t>、</w:t>
      </w:r>
      <w:r w:rsidR="006D192D" w:rsidRPr="009423DD">
        <w:rPr>
          <w:rFonts w:ascii="Times New Roman" w:hAnsi="Times New Roman"/>
          <w:color w:val="000000" w:themeColor="text1"/>
          <w:kern w:val="0"/>
          <w:szCs w:val="28"/>
        </w:rPr>
        <w:t>選修課程未依規劃表開設</w:t>
      </w:r>
      <w:r w:rsidR="006D192D" w:rsidRPr="009423DD">
        <w:rPr>
          <w:rFonts w:ascii="Times New Roman" w:hAnsi="Times New Roman" w:hint="eastAsia"/>
          <w:color w:val="000000" w:themeColor="text1"/>
          <w:kern w:val="0"/>
          <w:szCs w:val="28"/>
        </w:rPr>
        <w:t>、</w:t>
      </w:r>
      <w:r w:rsidR="006D192D" w:rsidRPr="009423DD">
        <w:rPr>
          <w:rFonts w:ascii="Times New Roman" w:hAnsi="Times New Roman"/>
          <w:color w:val="000000" w:themeColor="text1"/>
          <w:kern w:val="0"/>
          <w:szCs w:val="28"/>
        </w:rPr>
        <w:t>課程未列於課程規劃表中</w:t>
      </w:r>
      <w:r w:rsidR="006D192D" w:rsidRPr="009423DD">
        <w:rPr>
          <w:rFonts w:ascii="Times New Roman" w:hAnsi="Times New Roman" w:hint="eastAsia"/>
          <w:color w:val="000000" w:themeColor="text1"/>
          <w:kern w:val="0"/>
          <w:szCs w:val="28"/>
        </w:rPr>
        <w:t>。</w:t>
      </w:r>
      <w:r w:rsidR="006D192D" w:rsidRPr="009423DD">
        <w:rPr>
          <w:rFonts w:ascii="Times New Roman" w:hAnsi="Times New Roman"/>
          <w:color w:val="000000" w:themeColor="text1"/>
          <w:kern w:val="0"/>
          <w:szCs w:val="28"/>
        </w:rPr>
        <w:t>校外實習共</w:t>
      </w:r>
      <w:r w:rsidR="006D192D" w:rsidRPr="009423DD">
        <w:rPr>
          <w:rFonts w:ascii="Times New Roman" w:hAnsi="Times New Roman"/>
          <w:color w:val="000000" w:themeColor="text1"/>
          <w:kern w:val="0"/>
          <w:szCs w:val="28"/>
        </w:rPr>
        <w:t>24</w:t>
      </w:r>
      <w:r w:rsidR="006D192D" w:rsidRPr="009423DD">
        <w:rPr>
          <w:rFonts w:ascii="Times New Roman" w:hAnsi="Times New Roman"/>
          <w:color w:val="000000" w:themeColor="text1"/>
          <w:kern w:val="0"/>
          <w:szCs w:val="28"/>
        </w:rPr>
        <w:t>學分，偏高</w:t>
      </w:r>
      <w:r w:rsidR="00CC6264" w:rsidRPr="009423DD">
        <w:rPr>
          <w:rStyle w:val="afe"/>
          <w:rFonts w:ascii="Times New Roman" w:hAnsi="Times New Roman"/>
          <w:color w:val="000000" w:themeColor="text1"/>
          <w:kern w:val="0"/>
          <w:szCs w:val="28"/>
        </w:rPr>
        <w:footnoteReference w:id="5"/>
      </w:r>
      <w:r w:rsidR="006D192D" w:rsidRPr="009423DD">
        <w:rPr>
          <w:rFonts w:ascii="Times New Roman" w:hAnsi="Times New Roman" w:hint="eastAsia"/>
          <w:color w:val="000000" w:themeColor="text1"/>
          <w:kern w:val="0"/>
          <w:szCs w:val="28"/>
        </w:rPr>
        <w:t>。</w:t>
      </w:r>
      <w:r w:rsidR="009C6665" w:rsidRPr="009423DD">
        <w:rPr>
          <w:rFonts w:hint="eastAsia"/>
          <w:color w:val="000000" w:themeColor="text1"/>
        </w:rPr>
        <w:t>（107-1）</w:t>
      </w:r>
    </w:p>
    <w:p w:rsidR="006A3313" w:rsidRPr="009423DD" w:rsidRDefault="006A3313" w:rsidP="006A3313">
      <w:pPr>
        <w:pStyle w:val="4"/>
        <w:rPr>
          <w:color w:val="000000" w:themeColor="text1"/>
        </w:rPr>
      </w:pPr>
      <w:r w:rsidRPr="009423DD">
        <w:rPr>
          <w:rFonts w:hint="eastAsia"/>
          <w:color w:val="000000" w:themeColor="text1"/>
        </w:rPr>
        <w:t>學分抵免超過學校學生抵免學分要點第8點「轉學或轉系、科生…</w:t>
      </w:r>
      <w:r w:rsidR="00E33F35" w:rsidRPr="009423DD">
        <w:rPr>
          <w:rFonts w:hint="eastAsia"/>
          <w:color w:val="000000" w:themeColor="text1"/>
        </w:rPr>
        <w:t>…</w:t>
      </w:r>
      <w:r w:rsidRPr="009423DD">
        <w:rPr>
          <w:rFonts w:hint="eastAsia"/>
          <w:color w:val="000000" w:themeColor="text1"/>
        </w:rPr>
        <w:t>，惟至多以20學分為上限」，如：廚藝管理系四年級鄒○</w:t>
      </w:r>
      <w:r w:rsidR="00B501C6" w:rsidRPr="009423DD">
        <w:rPr>
          <w:rFonts w:hint="eastAsia"/>
          <w:color w:val="000000" w:themeColor="text1"/>
        </w:rPr>
        <w:t>○</w:t>
      </w:r>
      <w:r w:rsidRPr="009423DD">
        <w:rPr>
          <w:rFonts w:hint="eastAsia"/>
          <w:color w:val="000000" w:themeColor="text1"/>
        </w:rPr>
        <w:t>為轉學生，申請抵免30學分之選修課；廚藝管理系一年級張</w:t>
      </w:r>
      <w:r w:rsidR="00B501C6" w:rsidRPr="009423DD">
        <w:rPr>
          <w:rFonts w:hint="eastAsia"/>
          <w:color w:val="000000" w:themeColor="text1"/>
        </w:rPr>
        <w:t>○○</w:t>
      </w:r>
      <w:r w:rsidRPr="009423DD">
        <w:rPr>
          <w:rFonts w:hint="eastAsia"/>
          <w:color w:val="000000" w:themeColor="text1"/>
        </w:rPr>
        <w:t>、風</w:t>
      </w:r>
      <w:r w:rsidR="00B501C6" w:rsidRPr="009423DD">
        <w:rPr>
          <w:rFonts w:hint="eastAsia"/>
          <w:color w:val="000000" w:themeColor="text1"/>
        </w:rPr>
        <w:t>○○</w:t>
      </w:r>
      <w:r w:rsidRPr="009423DD">
        <w:rPr>
          <w:rFonts w:hint="eastAsia"/>
          <w:color w:val="000000" w:themeColor="text1"/>
        </w:rPr>
        <w:t>，皆申請抵免21學分之選修課。</w:t>
      </w:r>
      <w:r w:rsidR="002147B0" w:rsidRPr="009423DD">
        <w:rPr>
          <w:rFonts w:hint="eastAsia"/>
          <w:color w:val="000000" w:themeColor="text1"/>
        </w:rPr>
        <w:t>（107-</w:t>
      </w:r>
      <w:r w:rsidR="00B501C6" w:rsidRPr="009423DD">
        <w:rPr>
          <w:rFonts w:hint="eastAsia"/>
          <w:color w:val="000000" w:themeColor="text1"/>
        </w:rPr>
        <w:t>2</w:t>
      </w:r>
      <w:r w:rsidR="002147B0" w:rsidRPr="009423DD">
        <w:rPr>
          <w:rFonts w:hint="eastAsia"/>
          <w:color w:val="000000" w:themeColor="text1"/>
        </w:rPr>
        <w:t>）</w:t>
      </w:r>
    </w:p>
    <w:p w:rsidR="006A3313" w:rsidRPr="009423DD" w:rsidRDefault="006A3313" w:rsidP="006A3313">
      <w:pPr>
        <w:pStyle w:val="4"/>
        <w:rPr>
          <w:color w:val="000000" w:themeColor="text1"/>
        </w:rPr>
      </w:pPr>
      <w:r w:rsidRPr="009423DD">
        <w:rPr>
          <w:rFonts w:hint="eastAsia"/>
          <w:color w:val="000000" w:themeColor="text1"/>
        </w:rPr>
        <w:t>廚藝管理系四技日間部之廚藝課程授課內容及銜接應有系統和共同的規劃教材，不宜以檢定的教材為唯一教材；或同一門課程因不同授課教師而有不同內容。</w:t>
      </w:r>
      <w:r w:rsidR="00071418" w:rsidRPr="009423DD">
        <w:rPr>
          <w:rFonts w:hint="eastAsia"/>
          <w:color w:val="000000" w:themeColor="text1"/>
        </w:rPr>
        <w:t>（107-2）</w:t>
      </w:r>
    </w:p>
    <w:p w:rsidR="00C23636" w:rsidRPr="009423DD" w:rsidRDefault="006A3313" w:rsidP="006A3313">
      <w:pPr>
        <w:pStyle w:val="4"/>
        <w:rPr>
          <w:color w:val="000000" w:themeColor="text1"/>
        </w:rPr>
      </w:pPr>
      <w:r w:rsidRPr="009423DD">
        <w:rPr>
          <w:rFonts w:hint="eastAsia"/>
          <w:color w:val="000000" w:themeColor="text1"/>
        </w:rPr>
        <w:t>廚藝管理系107學年度課程規劃分為5個學分學程，然學程未詳列應開課程及開設時間表，不利於學生學習</w:t>
      </w:r>
      <w:r w:rsidR="00071418" w:rsidRPr="009423DD">
        <w:rPr>
          <w:rFonts w:hint="eastAsia"/>
          <w:color w:val="000000" w:themeColor="text1"/>
        </w:rPr>
        <w:t>。（107-2）</w:t>
      </w:r>
    </w:p>
    <w:p w:rsidR="00693DC2" w:rsidRPr="009423DD" w:rsidRDefault="00D824A7" w:rsidP="00A25E1D">
      <w:pPr>
        <w:pStyle w:val="4"/>
        <w:ind w:left="1644"/>
        <w:rPr>
          <w:color w:val="000000" w:themeColor="text1"/>
        </w:rPr>
      </w:pPr>
      <w:r w:rsidRPr="009423DD">
        <w:rPr>
          <w:rFonts w:hint="eastAsia"/>
          <w:color w:val="000000" w:themeColor="text1"/>
        </w:rPr>
        <w:t>不當合併授課情形，不同課名合併上課，如：觀光餐旅系（科）五專二年級「觀光英文與會話（1）」及三年級「觀光英文與會話（3）」</w:t>
      </w:r>
      <w:r w:rsidR="00A25E1D" w:rsidRPr="00C9400A">
        <w:rPr>
          <w:rFonts w:hint="eastAsia"/>
          <w:color w:val="C00000"/>
        </w:rPr>
        <w:t>，</w:t>
      </w:r>
      <w:r w:rsidRPr="009423DD">
        <w:rPr>
          <w:rFonts w:hint="eastAsia"/>
          <w:color w:val="000000" w:themeColor="text1"/>
        </w:rPr>
        <w:t>於總表2-1顯示皆由</w:t>
      </w:r>
      <w:r w:rsidR="00635E7D" w:rsidRPr="009423DD">
        <w:rPr>
          <w:rFonts w:hint="eastAsia"/>
          <w:color w:val="000000" w:themeColor="text1"/>
        </w:rPr>
        <w:t>某</w:t>
      </w:r>
      <w:r w:rsidRPr="009423DD">
        <w:rPr>
          <w:rFonts w:hint="eastAsia"/>
          <w:color w:val="000000" w:themeColor="text1"/>
        </w:rPr>
        <w:t>專案助理教授於週二第6至7節上課</w:t>
      </w:r>
      <w:r w:rsidR="002C5F09" w:rsidRPr="009423DD">
        <w:rPr>
          <w:rFonts w:hint="eastAsia"/>
          <w:color w:val="000000" w:themeColor="text1"/>
        </w:rPr>
        <w:t>。（108-1）</w:t>
      </w:r>
    </w:p>
    <w:p w:rsidR="00466F8C" w:rsidRPr="009423DD" w:rsidRDefault="0083052C" w:rsidP="006A3313">
      <w:pPr>
        <w:pStyle w:val="4"/>
        <w:rPr>
          <w:color w:val="000000" w:themeColor="text1"/>
        </w:rPr>
      </w:pPr>
      <w:r w:rsidRPr="009423DD">
        <w:rPr>
          <w:rFonts w:hint="eastAsia"/>
          <w:color w:val="000000" w:themeColor="text1"/>
        </w:rPr>
        <w:tab/>
        <w:t>選修課程未依規劃表開課。</w:t>
      </w:r>
      <w:r w:rsidR="002B1773" w:rsidRPr="009423DD">
        <w:rPr>
          <w:rFonts w:hint="eastAsia"/>
          <w:color w:val="000000" w:themeColor="text1"/>
        </w:rPr>
        <w:t>（108-1）</w:t>
      </w:r>
    </w:p>
    <w:p w:rsidR="00DF1721" w:rsidRPr="009423DD" w:rsidRDefault="00DF1721" w:rsidP="006A3313">
      <w:pPr>
        <w:pStyle w:val="4"/>
        <w:rPr>
          <w:color w:val="000000" w:themeColor="text1"/>
        </w:rPr>
      </w:pPr>
      <w:r w:rsidRPr="009423DD">
        <w:rPr>
          <w:rFonts w:ascii="Times New Roman" w:hAnsi="Times New Roman"/>
          <w:color w:val="000000" w:themeColor="text1"/>
        </w:rPr>
        <w:lastRenderedPageBreak/>
        <w:t>不當學分抵免情形</w:t>
      </w:r>
      <w:r w:rsidR="00E37A95" w:rsidRPr="009423DD">
        <w:rPr>
          <w:rFonts w:ascii="Times New Roman" w:hAnsi="Times New Roman" w:hint="eastAsia"/>
          <w:color w:val="000000" w:themeColor="text1"/>
        </w:rPr>
        <w:t>：如</w:t>
      </w:r>
      <w:r w:rsidR="00E37A95" w:rsidRPr="009423DD">
        <w:rPr>
          <w:color w:val="000000" w:themeColor="text1"/>
          <w:kern w:val="0"/>
          <w:szCs w:val="24"/>
        </w:rPr>
        <w:t>課程內容與專業領域不符</w:t>
      </w:r>
      <w:r w:rsidR="00795848" w:rsidRPr="009423DD">
        <w:rPr>
          <w:rFonts w:hint="eastAsia"/>
          <w:color w:val="000000" w:themeColor="text1"/>
        </w:rPr>
        <w:t>。（108-2）</w:t>
      </w:r>
    </w:p>
    <w:p w:rsidR="00DB2BA2" w:rsidRPr="009423DD" w:rsidRDefault="00DB2BA2" w:rsidP="006A3313">
      <w:pPr>
        <w:pStyle w:val="4"/>
        <w:rPr>
          <w:color w:val="000000" w:themeColor="text1"/>
        </w:rPr>
      </w:pPr>
      <w:r w:rsidRPr="009423DD">
        <w:rPr>
          <w:rFonts w:ascii="Times New Roman" w:hAnsi="Times New Roman"/>
          <w:color w:val="000000" w:themeColor="text1"/>
        </w:rPr>
        <w:t>選修課程開課人數標準限制仍未低於該班學生人數</w:t>
      </w:r>
      <w:r w:rsidRPr="009423DD">
        <w:rPr>
          <w:rFonts w:ascii="Times New Roman" w:hAnsi="Times New Roman" w:hint="eastAsia"/>
          <w:color w:val="000000" w:themeColor="text1"/>
        </w:rPr>
        <w:t>。</w:t>
      </w:r>
      <w:r w:rsidR="00325F36" w:rsidRPr="009423DD">
        <w:rPr>
          <w:rFonts w:hint="eastAsia"/>
          <w:color w:val="000000" w:themeColor="text1"/>
        </w:rPr>
        <w:t>（108-2）</w:t>
      </w:r>
    </w:p>
    <w:p w:rsidR="00324B27" w:rsidRPr="009423DD" w:rsidRDefault="00324B27" w:rsidP="006A3313">
      <w:pPr>
        <w:pStyle w:val="4"/>
        <w:rPr>
          <w:color w:val="000000" w:themeColor="text1"/>
        </w:rPr>
      </w:pPr>
      <w:r w:rsidRPr="009423DD">
        <w:rPr>
          <w:color w:val="000000" w:themeColor="text1"/>
          <w:kern w:val="0"/>
          <w:szCs w:val="28"/>
        </w:rPr>
        <w:t>系課程規劃或專業必、選修學分數不易達到培育專業核心能力之目標，各系科</w:t>
      </w:r>
      <w:r w:rsidRPr="009423DD">
        <w:rPr>
          <w:rFonts w:hint="eastAsia"/>
          <w:color w:val="000000" w:themeColor="text1"/>
          <w:kern w:val="0"/>
          <w:szCs w:val="28"/>
        </w:rPr>
        <w:t>各學制</w:t>
      </w:r>
      <w:r w:rsidRPr="009423DD">
        <w:rPr>
          <w:color w:val="000000" w:themeColor="text1"/>
          <w:kern w:val="0"/>
          <w:szCs w:val="28"/>
        </w:rPr>
        <w:t>承認外系選修為20學分至無上限</w:t>
      </w:r>
      <w:r w:rsidRPr="009423DD">
        <w:rPr>
          <w:rFonts w:hint="eastAsia"/>
          <w:color w:val="000000" w:themeColor="text1"/>
          <w:kern w:val="0"/>
          <w:szCs w:val="28"/>
        </w:rPr>
        <w:t>，</w:t>
      </w:r>
      <w:r w:rsidRPr="009423DD">
        <w:rPr>
          <w:color w:val="000000" w:themeColor="text1"/>
          <w:kern w:val="0"/>
          <w:szCs w:val="28"/>
        </w:rPr>
        <w:t>如：</w:t>
      </w:r>
      <w:r w:rsidRPr="009423DD">
        <w:rPr>
          <w:rFonts w:hint="eastAsia"/>
          <w:color w:val="000000" w:themeColor="text1"/>
          <w:kern w:val="0"/>
          <w:szCs w:val="28"/>
        </w:rPr>
        <w:t>觀光餐旅系（科）進二技畢業學分為72學分，一年級畢業要求選修課程學分數為36學分，然承認外系選修學分上限為2</w:t>
      </w:r>
      <w:r w:rsidRPr="009423DD">
        <w:rPr>
          <w:color w:val="000000" w:themeColor="text1"/>
          <w:kern w:val="0"/>
          <w:szCs w:val="28"/>
        </w:rPr>
        <w:t>0</w:t>
      </w:r>
      <w:r w:rsidRPr="009423DD">
        <w:rPr>
          <w:rFonts w:hint="eastAsia"/>
          <w:color w:val="000000" w:themeColor="text1"/>
          <w:kern w:val="0"/>
          <w:szCs w:val="28"/>
        </w:rPr>
        <w:t>學分，比率超過一半</w:t>
      </w:r>
      <w:r w:rsidR="00EA757F" w:rsidRPr="009423DD">
        <w:rPr>
          <w:rFonts w:hint="eastAsia"/>
          <w:color w:val="000000" w:themeColor="text1"/>
          <w:kern w:val="0"/>
          <w:szCs w:val="28"/>
        </w:rPr>
        <w:t>。</w:t>
      </w:r>
      <w:r w:rsidR="00EA757F" w:rsidRPr="009423DD">
        <w:rPr>
          <w:rFonts w:hint="eastAsia"/>
          <w:color w:val="000000" w:themeColor="text1"/>
        </w:rPr>
        <w:t>（108-2）</w:t>
      </w:r>
    </w:p>
    <w:p w:rsidR="009D22AE" w:rsidRPr="009423DD" w:rsidRDefault="009D22AE" w:rsidP="00F837DE">
      <w:pPr>
        <w:pStyle w:val="4"/>
        <w:rPr>
          <w:color w:val="000000" w:themeColor="text1"/>
        </w:rPr>
      </w:pPr>
      <w:r w:rsidRPr="009423DD">
        <w:rPr>
          <w:rFonts w:hint="eastAsia"/>
          <w:color w:val="000000" w:themeColor="text1"/>
        </w:rPr>
        <w:t>當（10/15）日校本部實際上課情形：共查核6門課程：平均出席率為50%。其中5門課程之出席率未達60%。（109-1）</w:t>
      </w:r>
    </w:p>
    <w:p w:rsidR="009D22AE" w:rsidRPr="009423DD" w:rsidRDefault="00BA7223" w:rsidP="006A3313">
      <w:pPr>
        <w:pStyle w:val="4"/>
        <w:rPr>
          <w:color w:val="000000" w:themeColor="text1"/>
        </w:rPr>
      </w:pPr>
      <w:r w:rsidRPr="009423DD">
        <w:rPr>
          <w:rFonts w:ascii="Times New Roman" w:hAnsi="Times New Roman"/>
          <w:bCs/>
          <w:color w:val="000000" w:themeColor="text1"/>
          <w:kern w:val="0"/>
          <w:szCs w:val="28"/>
        </w:rPr>
        <w:t>有</w:t>
      </w:r>
      <w:r w:rsidRPr="009423DD">
        <w:rPr>
          <w:rFonts w:ascii="Times New Roman" w:hAnsi="Times New Roman" w:hint="eastAsia"/>
          <w:bCs/>
          <w:color w:val="000000" w:themeColor="text1"/>
          <w:kern w:val="0"/>
          <w:szCs w:val="28"/>
        </w:rPr>
        <w:t>不同</w:t>
      </w:r>
      <w:r w:rsidRPr="009423DD">
        <w:rPr>
          <w:rFonts w:ascii="Times New Roman" w:hAnsi="Times New Roman"/>
          <w:bCs/>
          <w:color w:val="000000" w:themeColor="text1"/>
          <w:kern w:val="0"/>
          <w:szCs w:val="28"/>
        </w:rPr>
        <w:t>學制學生</w:t>
      </w:r>
      <w:r w:rsidRPr="009423DD">
        <w:rPr>
          <w:rFonts w:ascii="Times New Roman" w:hAnsi="Times New Roman" w:hint="eastAsia"/>
          <w:bCs/>
          <w:color w:val="000000" w:themeColor="text1"/>
          <w:kern w:val="0"/>
          <w:szCs w:val="28"/>
        </w:rPr>
        <w:t>同時修讀相同課程</w:t>
      </w:r>
      <w:r w:rsidRPr="009423DD">
        <w:rPr>
          <w:rFonts w:ascii="Times New Roman" w:hAnsi="Times New Roman"/>
          <w:bCs/>
          <w:color w:val="000000" w:themeColor="text1"/>
          <w:kern w:val="0"/>
          <w:szCs w:val="28"/>
        </w:rPr>
        <w:t>，如：觀光餐旅系進四技四</w:t>
      </w:r>
      <w:r w:rsidRPr="009423DD">
        <w:rPr>
          <w:rFonts w:ascii="Times New Roman" w:hAnsi="Times New Roman" w:hint="eastAsia"/>
          <w:bCs/>
          <w:color w:val="000000" w:themeColor="text1"/>
          <w:kern w:val="0"/>
          <w:szCs w:val="28"/>
        </w:rPr>
        <w:t>年級</w:t>
      </w:r>
      <w:r w:rsidRPr="009423DD">
        <w:rPr>
          <w:rFonts w:ascii="Times New Roman" w:hAnsi="Times New Roman"/>
          <w:bCs/>
          <w:color w:val="000000" w:themeColor="text1"/>
          <w:kern w:val="0"/>
          <w:szCs w:val="28"/>
        </w:rPr>
        <w:t>「顧客關係管理」</w:t>
      </w:r>
      <w:r w:rsidRPr="009423DD">
        <w:rPr>
          <w:rFonts w:ascii="Times New Roman" w:hAnsi="Times New Roman" w:hint="eastAsia"/>
          <w:bCs/>
          <w:color w:val="000000" w:themeColor="text1"/>
          <w:kern w:val="0"/>
          <w:szCs w:val="28"/>
        </w:rPr>
        <w:t>，除該班學生外，亦有</w:t>
      </w:r>
      <w:r w:rsidRPr="009423DD">
        <w:rPr>
          <w:rFonts w:ascii="Times New Roman" w:hAnsi="Times New Roman"/>
          <w:bCs/>
          <w:color w:val="000000" w:themeColor="text1"/>
          <w:kern w:val="0"/>
          <w:szCs w:val="28"/>
        </w:rPr>
        <w:t>進二專一年級、及進二技二年級</w:t>
      </w:r>
      <w:r w:rsidRPr="009423DD">
        <w:rPr>
          <w:rFonts w:ascii="Times New Roman" w:hAnsi="Times New Roman" w:hint="eastAsia"/>
          <w:bCs/>
          <w:color w:val="000000" w:themeColor="text1"/>
          <w:kern w:val="0"/>
          <w:szCs w:val="28"/>
        </w:rPr>
        <w:t>學生修課。進二專一年級學生修讀進四技四年級課程，</w:t>
      </w:r>
      <w:r w:rsidRPr="009423DD">
        <w:rPr>
          <w:rFonts w:ascii="Times New Roman" w:hAnsi="Times New Roman"/>
          <w:bCs/>
          <w:color w:val="000000" w:themeColor="text1"/>
          <w:kern w:val="0"/>
          <w:szCs w:val="28"/>
        </w:rPr>
        <w:t>就學習成效而言</w:t>
      </w:r>
      <w:r w:rsidRPr="009423DD">
        <w:rPr>
          <w:rFonts w:ascii="Times New Roman" w:hAnsi="Times New Roman" w:hint="eastAsia"/>
          <w:bCs/>
          <w:color w:val="000000" w:themeColor="text1"/>
          <w:kern w:val="0"/>
          <w:szCs w:val="28"/>
        </w:rPr>
        <w:t>，</w:t>
      </w:r>
      <w:r w:rsidRPr="009423DD">
        <w:rPr>
          <w:rFonts w:ascii="Times New Roman" w:hAnsi="Times New Roman"/>
          <w:bCs/>
          <w:color w:val="000000" w:themeColor="text1"/>
          <w:kern w:val="0"/>
          <w:szCs w:val="28"/>
        </w:rPr>
        <w:t>存有疑慮</w:t>
      </w:r>
      <w:r w:rsidRPr="009423DD">
        <w:rPr>
          <w:rFonts w:ascii="Times New Roman" w:hAnsi="Times New Roman" w:hint="eastAsia"/>
          <w:bCs/>
          <w:color w:val="000000" w:themeColor="text1"/>
          <w:kern w:val="0"/>
          <w:szCs w:val="28"/>
        </w:rPr>
        <w:t>。</w:t>
      </w:r>
      <w:r w:rsidRPr="009423DD">
        <w:rPr>
          <w:rFonts w:hint="eastAsia"/>
          <w:color w:val="000000" w:themeColor="text1"/>
        </w:rPr>
        <w:t>（109-1）</w:t>
      </w:r>
    </w:p>
    <w:p w:rsidR="007C3F92" w:rsidRPr="009423DD" w:rsidRDefault="007C3F92" w:rsidP="007C3F92">
      <w:pPr>
        <w:pStyle w:val="4"/>
        <w:rPr>
          <w:color w:val="000000" w:themeColor="text1"/>
        </w:rPr>
      </w:pPr>
      <w:r w:rsidRPr="009423DD">
        <w:rPr>
          <w:rFonts w:hint="eastAsia"/>
          <w:color w:val="000000" w:themeColor="text1"/>
        </w:rPr>
        <w:t>就停招或停辦系科無法開設重補修之課程，宜調整相關校內規定，改以其他課程替代方式，以避免產生不當學分抵免情形。</w:t>
      </w:r>
      <w:r w:rsidR="006128D0" w:rsidRPr="009423DD">
        <w:rPr>
          <w:rFonts w:hint="eastAsia"/>
          <w:color w:val="000000" w:themeColor="text1"/>
        </w:rPr>
        <w:t>（109-2）</w:t>
      </w:r>
    </w:p>
    <w:p w:rsidR="00943D3E" w:rsidRPr="009423DD" w:rsidRDefault="00943D3E" w:rsidP="00943D3E">
      <w:pPr>
        <w:pStyle w:val="4"/>
        <w:rPr>
          <w:color w:val="000000" w:themeColor="text1"/>
        </w:rPr>
      </w:pPr>
      <w:r w:rsidRPr="009423DD">
        <w:rPr>
          <w:rFonts w:hint="eastAsia"/>
          <w:color w:val="000000" w:themeColor="text1"/>
        </w:rPr>
        <w:t>檢視應屆畢業生之歷年成績單，統計至109學年度第1學期，約21名學生仍應修20學分以上始得符合畢業條件（即本學期應修至少20學分），宜有妥善因應策略，如：</w:t>
      </w:r>
      <w:r w:rsidR="00837FD0" w:rsidRPr="009423DD">
        <w:rPr>
          <w:rFonts w:hint="eastAsia"/>
          <w:color w:val="000000" w:themeColor="text1"/>
        </w:rPr>
        <w:t>（109-2）</w:t>
      </w:r>
    </w:p>
    <w:p w:rsidR="00943D3E" w:rsidRPr="009423DD" w:rsidRDefault="00943D3E" w:rsidP="00943D3E">
      <w:pPr>
        <w:pStyle w:val="5"/>
        <w:rPr>
          <w:color w:val="000000" w:themeColor="text1"/>
        </w:rPr>
      </w:pPr>
      <w:r w:rsidRPr="009423DD">
        <w:rPr>
          <w:rFonts w:hint="eastAsia"/>
          <w:color w:val="000000" w:themeColor="text1"/>
        </w:rPr>
        <w:t>觀光餐旅系進二技：1人</w:t>
      </w:r>
      <w:r w:rsidR="007441E9" w:rsidRPr="009423DD">
        <w:rPr>
          <w:rFonts w:hint="eastAsia"/>
          <w:color w:val="000000" w:themeColor="text1"/>
        </w:rPr>
        <w:t>未符</w:t>
      </w:r>
      <w:r w:rsidR="00C54256" w:rsidRPr="009423DD">
        <w:rPr>
          <w:rFonts w:hint="eastAsia"/>
          <w:color w:val="000000" w:themeColor="text1"/>
        </w:rPr>
        <w:t>（總人數</w:t>
      </w:r>
      <w:r w:rsidRPr="009423DD">
        <w:rPr>
          <w:rFonts w:hint="eastAsia"/>
          <w:color w:val="000000" w:themeColor="text1"/>
        </w:rPr>
        <w:t>13人</w:t>
      </w:r>
      <w:r w:rsidR="00C54256" w:rsidRPr="009423DD">
        <w:rPr>
          <w:rFonts w:hint="eastAsia"/>
          <w:color w:val="000000" w:themeColor="text1"/>
        </w:rPr>
        <w:t>）</w:t>
      </w:r>
      <w:r w:rsidR="00837FD0" w:rsidRPr="009423DD">
        <w:rPr>
          <w:rFonts w:hint="eastAsia"/>
          <w:color w:val="000000" w:themeColor="text1"/>
        </w:rPr>
        <w:t>。</w:t>
      </w:r>
    </w:p>
    <w:p w:rsidR="00943D3E" w:rsidRPr="009423DD" w:rsidRDefault="00943D3E" w:rsidP="00943D3E">
      <w:pPr>
        <w:pStyle w:val="5"/>
        <w:rPr>
          <w:color w:val="000000" w:themeColor="text1"/>
        </w:rPr>
      </w:pPr>
      <w:r w:rsidRPr="009423DD">
        <w:rPr>
          <w:rFonts w:hint="eastAsia"/>
          <w:color w:val="000000" w:themeColor="text1"/>
        </w:rPr>
        <w:t>觀光餐旅系進二專：5人</w:t>
      </w:r>
      <w:r w:rsidR="00E73440" w:rsidRPr="009423DD">
        <w:rPr>
          <w:rFonts w:hint="eastAsia"/>
          <w:color w:val="000000" w:themeColor="text1"/>
        </w:rPr>
        <w:t>未符</w:t>
      </w:r>
      <w:r w:rsidR="007D2EAA" w:rsidRPr="009423DD">
        <w:rPr>
          <w:rFonts w:hint="eastAsia"/>
          <w:color w:val="000000" w:themeColor="text1"/>
        </w:rPr>
        <w:t>（總人數</w:t>
      </w:r>
      <w:r w:rsidR="00372E78" w:rsidRPr="009423DD">
        <w:rPr>
          <w:color w:val="000000" w:themeColor="text1"/>
        </w:rPr>
        <w:t>20</w:t>
      </w:r>
      <w:r w:rsidR="007D2EAA" w:rsidRPr="009423DD">
        <w:rPr>
          <w:rFonts w:hint="eastAsia"/>
          <w:color w:val="000000" w:themeColor="text1"/>
        </w:rPr>
        <w:t>人）</w:t>
      </w:r>
      <w:r w:rsidR="00837FD0" w:rsidRPr="009423DD">
        <w:rPr>
          <w:rFonts w:hint="eastAsia"/>
          <w:color w:val="000000" w:themeColor="text1"/>
        </w:rPr>
        <w:t>。</w:t>
      </w:r>
    </w:p>
    <w:p w:rsidR="00943D3E" w:rsidRPr="009423DD" w:rsidRDefault="00943D3E" w:rsidP="00943D3E">
      <w:pPr>
        <w:pStyle w:val="5"/>
        <w:rPr>
          <w:color w:val="000000" w:themeColor="text1"/>
        </w:rPr>
      </w:pPr>
      <w:r w:rsidRPr="009423DD">
        <w:rPr>
          <w:rFonts w:hint="eastAsia"/>
          <w:color w:val="000000" w:themeColor="text1"/>
        </w:rPr>
        <w:t>觀光餐旅系進四技：4人</w:t>
      </w:r>
      <w:r w:rsidR="00E73440" w:rsidRPr="009423DD">
        <w:rPr>
          <w:rFonts w:hint="eastAsia"/>
          <w:color w:val="000000" w:themeColor="text1"/>
        </w:rPr>
        <w:t>未符</w:t>
      </w:r>
      <w:r w:rsidR="00372E78" w:rsidRPr="009423DD">
        <w:rPr>
          <w:rFonts w:hint="eastAsia"/>
          <w:color w:val="000000" w:themeColor="text1"/>
        </w:rPr>
        <w:t>（總人數</w:t>
      </w:r>
      <w:r w:rsidR="00372E78" w:rsidRPr="009423DD">
        <w:rPr>
          <w:color w:val="000000" w:themeColor="text1"/>
        </w:rPr>
        <w:t>11</w:t>
      </w:r>
      <w:r w:rsidR="00372E78" w:rsidRPr="009423DD">
        <w:rPr>
          <w:rFonts w:hint="eastAsia"/>
          <w:color w:val="000000" w:themeColor="text1"/>
        </w:rPr>
        <w:t>人）</w:t>
      </w:r>
      <w:r w:rsidR="00837FD0" w:rsidRPr="009423DD">
        <w:rPr>
          <w:rFonts w:hint="eastAsia"/>
          <w:color w:val="000000" w:themeColor="text1"/>
        </w:rPr>
        <w:t>。</w:t>
      </w:r>
    </w:p>
    <w:p w:rsidR="00943D3E" w:rsidRPr="009423DD" w:rsidRDefault="00943D3E" w:rsidP="00943D3E">
      <w:pPr>
        <w:pStyle w:val="5"/>
        <w:rPr>
          <w:color w:val="000000" w:themeColor="text1"/>
        </w:rPr>
      </w:pPr>
      <w:r w:rsidRPr="009423DD">
        <w:rPr>
          <w:rFonts w:hint="eastAsia"/>
          <w:color w:val="000000" w:themeColor="text1"/>
        </w:rPr>
        <w:t>廚藝管理系日四技：0人</w:t>
      </w:r>
      <w:r w:rsidR="00E73440" w:rsidRPr="009423DD">
        <w:rPr>
          <w:rFonts w:hint="eastAsia"/>
          <w:color w:val="000000" w:themeColor="text1"/>
        </w:rPr>
        <w:t>未符</w:t>
      </w:r>
      <w:r w:rsidR="00372E78" w:rsidRPr="009423DD">
        <w:rPr>
          <w:rFonts w:hint="eastAsia"/>
          <w:color w:val="000000" w:themeColor="text1"/>
        </w:rPr>
        <w:t>（總人數</w:t>
      </w:r>
      <w:r w:rsidR="00372E78" w:rsidRPr="009423DD">
        <w:rPr>
          <w:color w:val="000000" w:themeColor="text1"/>
        </w:rPr>
        <w:t>25</w:t>
      </w:r>
      <w:r w:rsidR="00372E78" w:rsidRPr="009423DD">
        <w:rPr>
          <w:rFonts w:hint="eastAsia"/>
          <w:color w:val="000000" w:themeColor="text1"/>
        </w:rPr>
        <w:t>人）</w:t>
      </w:r>
      <w:r w:rsidR="00837FD0" w:rsidRPr="009423DD">
        <w:rPr>
          <w:rFonts w:hint="eastAsia"/>
          <w:color w:val="000000" w:themeColor="text1"/>
        </w:rPr>
        <w:t>。</w:t>
      </w:r>
    </w:p>
    <w:p w:rsidR="00943D3E" w:rsidRPr="009423DD" w:rsidRDefault="00943D3E" w:rsidP="00943D3E">
      <w:pPr>
        <w:pStyle w:val="5"/>
        <w:rPr>
          <w:color w:val="000000" w:themeColor="text1"/>
        </w:rPr>
      </w:pPr>
      <w:r w:rsidRPr="009423DD">
        <w:rPr>
          <w:rFonts w:hint="eastAsia"/>
          <w:color w:val="000000" w:themeColor="text1"/>
        </w:rPr>
        <w:t>觀光餐旅系五專：甲班10人</w:t>
      </w:r>
      <w:r w:rsidR="00E73440" w:rsidRPr="009423DD">
        <w:rPr>
          <w:rFonts w:hint="eastAsia"/>
          <w:color w:val="000000" w:themeColor="text1"/>
        </w:rPr>
        <w:t>未符</w:t>
      </w:r>
      <w:r w:rsidR="00372E78" w:rsidRPr="009423DD">
        <w:rPr>
          <w:rFonts w:hint="eastAsia"/>
          <w:color w:val="000000" w:themeColor="text1"/>
        </w:rPr>
        <w:t>（總人數</w:t>
      </w:r>
      <w:r w:rsidR="00372E78" w:rsidRPr="009423DD">
        <w:rPr>
          <w:color w:val="000000" w:themeColor="text1"/>
        </w:rPr>
        <w:t>14</w:t>
      </w:r>
      <w:r w:rsidR="00372E78" w:rsidRPr="009423DD">
        <w:rPr>
          <w:rFonts w:hint="eastAsia"/>
          <w:color w:val="000000" w:themeColor="text1"/>
        </w:rPr>
        <w:lastRenderedPageBreak/>
        <w:t>人）</w:t>
      </w:r>
      <w:r w:rsidRPr="009423DD">
        <w:rPr>
          <w:rFonts w:hint="eastAsia"/>
          <w:color w:val="000000" w:themeColor="text1"/>
        </w:rPr>
        <w:t>；乙班1人</w:t>
      </w:r>
      <w:r w:rsidR="00E73440" w:rsidRPr="009423DD">
        <w:rPr>
          <w:rFonts w:hint="eastAsia"/>
          <w:color w:val="000000" w:themeColor="text1"/>
        </w:rPr>
        <w:t>未符</w:t>
      </w:r>
      <w:r w:rsidR="00372E78" w:rsidRPr="009423DD">
        <w:rPr>
          <w:rFonts w:hint="eastAsia"/>
          <w:color w:val="000000" w:themeColor="text1"/>
        </w:rPr>
        <w:t>（總人數</w:t>
      </w:r>
      <w:r w:rsidR="00372E78" w:rsidRPr="009423DD">
        <w:rPr>
          <w:color w:val="000000" w:themeColor="text1"/>
        </w:rPr>
        <w:t>11</w:t>
      </w:r>
      <w:r w:rsidR="00372E78" w:rsidRPr="009423DD">
        <w:rPr>
          <w:rFonts w:hint="eastAsia"/>
          <w:color w:val="000000" w:themeColor="text1"/>
        </w:rPr>
        <w:t>人）</w:t>
      </w:r>
      <w:r w:rsidR="00837FD0" w:rsidRPr="009423DD">
        <w:rPr>
          <w:rFonts w:hint="eastAsia"/>
          <w:color w:val="000000" w:themeColor="text1"/>
        </w:rPr>
        <w:t>。</w:t>
      </w:r>
    </w:p>
    <w:p w:rsidR="005263BB" w:rsidRPr="009423DD" w:rsidRDefault="00F24E59" w:rsidP="0037676E">
      <w:pPr>
        <w:pStyle w:val="4"/>
        <w:rPr>
          <w:color w:val="000000" w:themeColor="text1"/>
        </w:rPr>
      </w:pPr>
      <w:r w:rsidRPr="009423DD">
        <w:rPr>
          <w:rFonts w:ascii="Times New Roman" w:hAnsi="Times New Roman" w:hint="eastAsia"/>
          <w:bCs/>
          <w:color w:val="000000" w:themeColor="text1"/>
          <w:kern w:val="0"/>
          <w:szCs w:val="28"/>
        </w:rPr>
        <w:t>實地查核出席情形略以：</w:t>
      </w:r>
      <w:r w:rsidR="005263BB" w:rsidRPr="009423DD">
        <w:rPr>
          <w:rFonts w:hint="eastAsia"/>
          <w:color w:val="000000" w:themeColor="text1"/>
        </w:rPr>
        <w:t>共計9門課程，平均出席率為61.9%。（109-2）</w:t>
      </w:r>
    </w:p>
    <w:p w:rsidR="00253810" w:rsidRPr="00253810" w:rsidRDefault="00253810" w:rsidP="00614E71">
      <w:pPr>
        <w:pStyle w:val="a3"/>
        <w:numPr>
          <w:ilvl w:val="0"/>
          <w:numId w:val="0"/>
        </w:numPr>
        <w:spacing w:beforeLines="50" w:before="228" w:after="0" w:line="240" w:lineRule="auto"/>
        <w:ind w:left="480" w:hanging="480"/>
        <w:jc w:val="center"/>
        <w:rPr>
          <w:b/>
          <w:color w:val="000000" w:themeColor="text1"/>
        </w:rPr>
      </w:pPr>
      <w:r w:rsidRPr="00253810">
        <w:rPr>
          <w:rFonts w:hint="eastAsia"/>
          <w:b/>
          <w:color w:val="000000" w:themeColor="text1"/>
        </w:rPr>
        <w:t>專科以上學校維護學生受教權益教學品質歷年查核結果</w:t>
      </w:r>
    </w:p>
    <w:tbl>
      <w:tblPr>
        <w:tblStyle w:val="af6"/>
        <w:tblW w:w="5222" w:type="pct"/>
        <w:jc w:val="center"/>
        <w:tblLook w:val="04A0" w:firstRow="1" w:lastRow="0" w:firstColumn="1" w:lastColumn="0" w:noHBand="0" w:noVBand="1"/>
      </w:tblPr>
      <w:tblGrid>
        <w:gridCol w:w="1910"/>
        <w:gridCol w:w="808"/>
        <w:gridCol w:w="817"/>
        <w:gridCol w:w="816"/>
        <w:gridCol w:w="817"/>
        <w:gridCol w:w="817"/>
        <w:gridCol w:w="816"/>
        <w:gridCol w:w="817"/>
        <w:gridCol w:w="781"/>
        <w:gridCol w:w="827"/>
      </w:tblGrid>
      <w:tr w:rsidR="00253810" w:rsidRPr="009423DD" w:rsidTr="00902439">
        <w:trPr>
          <w:tblHeader/>
          <w:jc w:val="center"/>
        </w:trPr>
        <w:tc>
          <w:tcPr>
            <w:tcW w:w="1035" w:type="pct"/>
            <w:vMerge w:val="restar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學校</w:t>
            </w:r>
          </w:p>
        </w:tc>
        <w:tc>
          <w:tcPr>
            <w:tcW w:w="438"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106-1</w:t>
            </w:r>
          </w:p>
        </w:tc>
        <w:tc>
          <w:tcPr>
            <w:tcW w:w="443"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106-2</w:t>
            </w:r>
          </w:p>
        </w:tc>
        <w:tc>
          <w:tcPr>
            <w:tcW w:w="442"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107-1</w:t>
            </w:r>
          </w:p>
        </w:tc>
        <w:tc>
          <w:tcPr>
            <w:tcW w:w="443"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107-2</w:t>
            </w:r>
          </w:p>
        </w:tc>
        <w:tc>
          <w:tcPr>
            <w:tcW w:w="443"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108-1</w:t>
            </w:r>
          </w:p>
        </w:tc>
        <w:tc>
          <w:tcPr>
            <w:tcW w:w="442"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108-2</w:t>
            </w:r>
          </w:p>
        </w:tc>
        <w:tc>
          <w:tcPr>
            <w:tcW w:w="443"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109-1</w:t>
            </w:r>
          </w:p>
        </w:tc>
        <w:tc>
          <w:tcPr>
            <w:tcW w:w="423"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109-2</w:t>
            </w:r>
            <w:r w:rsidRPr="009423DD">
              <w:rPr>
                <w:rStyle w:val="afe"/>
                <w:rFonts w:hAnsi="標楷體"/>
                <w:b/>
                <w:color w:val="000000" w:themeColor="text1"/>
                <w:sz w:val="24"/>
                <w:szCs w:val="24"/>
              </w:rPr>
              <w:footnoteReference w:id="6"/>
            </w:r>
          </w:p>
        </w:tc>
        <w:tc>
          <w:tcPr>
            <w:tcW w:w="448" w:type="pct"/>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備註</w:t>
            </w:r>
          </w:p>
        </w:tc>
      </w:tr>
      <w:tr w:rsidR="00253810" w:rsidRPr="009423DD" w:rsidTr="00902439">
        <w:trPr>
          <w:tblHeader/>
          <w:jc w:val="center"/>
        </w:trPr>
        <w:tc>
          <w:tcPr>
            <w:tcW w:w="1035" w:type="pct"/>
            <w:vMerge/>
          </w:tcPr>
          <w:p w:rsidR="00253810" w:rsidRPr="009423DD" w:rsidRDefault="00253810" w:rsidP="00902439">
            <w:pPr>
              <w:rPr>
                <w:rFonts w:hAnsi="標楷體"/>
                <w:color w:val="000000" w:themeColor="text1"/>
                <w:sz w:val="24"/>
                <w:szCs w:val="24"/>
              </w:rPr>
            </w:pPr>
          </w:p>
        </w:tc>
        <w:tc>
          <w:tcPr>
            <w:tcW w:w="3517" w:type="pct"/>
            <w:gridSpan w:val="8"/>
            <w:vAlign w:val="center"/>
          </w:tcPr>
          <w:p w:rsidR="00253810" w:rsidRPr="009423DD" w:rsidRDefault="00253810" w:rsidP="00902439">
            <w:pPr>
              <w:jc w:val="center"/>
              <w:rPr>
                <w:rFonts w:hAnsi="標楷體"/>
                <w:b/>
                <w:color w:val="000000" w:themeColor="text1"/>
                <w:sz w:val="24"/>
                <w:szCs w:val="24"/>
              </w:rPr>
            </w:pPr>
            <w:r w:rsidRPr="009423DD">
              <w:rPr>
                <w:rFonts w:hAnsi="標楷體" w:hint="eastAsia"/>
                <w:b/>
                <w:color w:val="000000" w:themeColor="text1"/>
                <w:sz w:val="24"/>
                <w:szCs w:val="24"/>
              </w:rPr>
              <w:t>查核結果</w:t>
            </w:r>
          </w:p>
        </w:tc>
        <w:tc>
          <w:tcPr>
            <w:tcW w:w="448" w:type="pct"/>
          </w:tcPr>
          <w:p w:rsidR="00253810" w:rsidRPr="009423DD" w:rsidRDefault="00253810" w:rsidP="00902439">
            <w:pPr>
              <w:rPr>
                <w:rFonts w:hAnsi="標楷體"/>
                <w:color w:val="000000" w:themeColor="text1"/>
                <w:sz w:val="24"/>
                <w:szCs w:val="24"/>
              </w:rPr>
            </w:pPr>
          </w:p>
        </w:tc>
      </w:tr>
      <w:tr w:rsidR="00253810" w:rsidRPr="009423DD" w:rsidTr="00902439">
        <w:trPr>
          <w:jc w:val="center"/>
        </w:trPr>
        <w:tc>
          <w:tcPr>
            <w:tcW w:w="1035" w:type="pct"/>
            <w:vAlign w:val="center"/>
          </w:tcPr>
          <w:p w:rsidR="00253810" w:rsidRPr="009423DD" w:rsidRDefault="00253810" w:rsidP="00902439">
            <w:pPr>
              <w:rPr>
                <w:rFonts w:hAnsi="標楷體"/>
                <w:b/>
                <w:color w:val="000000" w:themeColor="text1"/>
                <w:sz w:val="24"/>
                <w:szCs w:val="24"/>
              </w:rPr>
            </w:pPr>
            <w:r w:rsidRPr="009423DD">
              <w:rPr>
                <w:rFonts w:hAnsi="標楷體" w:hint="eastAsia"/>
                <w:b/>
                <w:color w:val="000000" w:themeColor="text1"/>
                <w:sz w:val="24"/>
                <w:szCs w:val="24"/>
              </w:rPr>
              <w:t>臺灣觀光學院</w:t>
            </w:r>
          </w:p>
        </w:tc>
        <w:tc>
          <w:tcPr>
            <w:tcW w:w="43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2"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解除</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shd w:val="clear" w:color="auto" w:fill="EAF1DD" w:themeFill="accent3" w:themeFillTint="33"/>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不通過</w:t>
            </w:r>
          </w:p>
        </w:tc>
        <w:tc>
          <w:tcPr>
            <w:tcW w:w="442"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shd w:val="clear" w:color="auto" w:fill="EAF1DD" w:themeFill="accent3" w:themeFillTint="33"/>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不通過</w:t>
            </w:r>
          </w:p>
        </w:tc>
        <w:tc>
          <w:tcPr>
            <w:tcW w:w="423" w:type="pct"/>
            <w:vAlign w:val="center"/>
          </w:tcPr>
          <w:p w:rsidR="00253810" w:rsidRPr="00E81B2B" w:rsidRDefault="00253810" w:rsidP="00902439">
            <w:pPr>
              <w:jc w:val="center"/>
              <w:rPr>
                <w:rFonts w:hAnsi="標楷體"/>
                <w:color w:val="C00000"/>
                <w:sz w:val="24"/>
                <w:szCs w:val="24"/>
              </w:rPr>
            </w:pPr>
            <w:r w:rsidRPr="00E81B2B">
              <w:rPr>
                <w:rFonts w:hAnsi="標楷體" w:hint="eastAsia"/>
                <w:color w:val="C00000"/>
                <w:sz w:val="24"/>
                <w:szCs w:val="24"/>
              </w:rPr>
              <w:t>未進行</w:t>
            </w:r>
          </w:p>
        </w:tc>
        <w:tc>
          <w:tcPr>
            <w:tcW w:w="44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110停招</w:t>
            </w:r>
          </w:p>
        </w:tc>
      </w:tr>
      <w:tr w:rsidR="00253810" w:rsidRPr="009423DD" w:rsidTr="00902439">
        <w:trPr>
          <w:jc w:val="center"/>
        </w:trPr>
        <w:tc>
          <w:tcPr>
            <w:tcW w:w="1035" w:type="pct"/>
            <w:vAlign w:val="center"/>
          </w:tcPr>
          <w:p w:rsidR="00253810" w:rsidRPr="009423DD" w:rsidRDefault="00253810" w:rsidP="00902439">
            <w:pPr>
              <w:rPr>
                <w:rFonts w:hAnsi="標楷體"/>
                <w:b/>
                <w:color w:val="000000" w:themeColor="text1"/>
                <w:sz w:val="24"/>
                <w:szCs w:val="24"/>
              </w:rPr>
            </w:pPr>
            <w:r w:rsidRPr="009423DD">
              <w:rPr>
                <w:rFonts w:hAnsi="標楷體" w:hint="eastAsia"/>
                <w:b/>
                <w:color w:val="000000" w:themeColor="text1"/>
                <w:sz w:val="24"/>
                <w:szCs w:val="24"/>
              </w:rPr>
              <w:t>觀光餐旅系(科)</w:t>
            </w:r>
          </w:p>
        </w:tc>
        <w:tc>
          <w:tcPr>
            <w:tcW w:w="43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2"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解除</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shd w:val="clear" w:color="auto" w:fill="EAF1DD" w:themeFill="accent3" w:themeFillTint="33"/>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不通過</w:t>
            </w:r>
          </w:p>
        </w:tc>
        <w:tc>
          <w:tcPr>
            <w:tcW w:w="442"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shd w:val="clear" w:color="auto" w:fill="EAF1DD" w:themeFill="accent3" w:themeFillTint="33"/>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不通過</w:t>
            </w:r>
          </w:p>
        </w:tc>
        <w:tc>
          <w:tcPr>
            <w:tcW w:w="423" w:type="pct"/>
            <w:vAlign w:val="center"/>
          </w:tcPr>
          <w:p w:rsidR="00253810" w:rsidRPr="00E81B2B" w:rsidRDefault="00253810" w:rsidP="00902439">
            <w:pPr>
              <w:jc w:val="center"/>
              <w:rPr>
                <w:rFonts w:hAnsi="標楷體"/>
                <w:color w:val="C00000"/>
                <w:sz w:val="24"/>
                <w:szCs w:val="24"/>
              </w:rPr>
            </w:pPr>
            <w:r w:rsidRPr="00E81B2B">
              <w:rPr>
                <w:rFonts w:hAnsi="標楷體" w:hint="eastAsia"/>
                <w:color w:val="C00000"/>
                <w:sz w:val="24"/>
                <w:szCs w:val="24"/>
              </w:rPr>
              <w:t>未進行</w:t>
            </w:r>
          </w:p>
        </w:tc>
        <w:tc>
          <w:tcPr>
            <w:tcW w:w="44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110停招</w:t>
            </w:r>
          </w:p>
        </w:tc>
      </w:tr>
      <w:tr w:rsidR="00253810" w:rsidRPr="009423DD" w:rsidTr="00902439">
        <w:trPr>
          <w:jc w:val="center"/>
        </w:trPr>
        <w:tc>
          <w:tcPr>
            <w:tcW w:w="1035" w:type="pct"/>
            <w:vAlign w:val="center"/>
          </w:tcPr>
          <w:p w:rsidR="00253810" w:rsidRPr="009423DD" w:rsidRDefault="00253810" w:rsidP="00902439">
            <w:pPr>
              <w:rPr>
                <w:rFonts w:hAnsi="標楷體"/>
                <w:b/>
                <w:color w:val="000000" w:themeColor="text1"/>
                <w:sz w:val="24"/>
                <w:szCs w:val="24"/>
              </w:rPr>
            </w:pPr>
            <w:r w:rsidRPr="009423DD">
              <w:rPr>
                <w:rFonts w:hAnsi="標楷體" w:hint="eastAsia"/>
                <w:b/>
                <w:color w:val="000000" w:themeColor="text1"/>
                <w:sz w:val="24"/>
                <w:szCs w:val="24"/>
              </w:rPr>
              <w:t>廚藝管理系</w:t>
            </w:r>
          </w:p>
        </w:tc>
        <w:tc>
          <w:tcPr>
            <w:tcW w:w="43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2"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解除</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shd w:val="clear" w:color="auto" w:fill="EAF1DD" w:themeFill="accent3" w:themeFillTint="33"/>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不通過</w:t>
            </w:r>
          </w:p>
        </w:tc>
        <w:tc>
          <w:tcPr>
            <w:tcW w:w="442"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shd w:val="clear" w:color="auto" w:fill="EAF1DD" w:themeFill="accent3" w:themeFillTint="33"/>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不通過</w:t>
            </w:r>
          </w:p>
        </w:tc>
        <w:tc>
          <w:tcPr>
            <w:tcW w:w="423" w:type="pct"/>
            <w:vAlign w:val="center"/>
          </w:tcPr>
          <w:p w:rsidR="00253810" w:rsidRPr="00E81B2B" w:rsidRDefault="00253810" w:rsidP="00902439">
            <w:pPr>
              <w:jc w:val="center"/>
              <w:rPr>
                <w:rFonts w:hAnsi="標楷體"/>
                <w:color w:val="C00000"/>
                <w:sz w:val="24"/>
                <w:szCs w:val="24"/>
              </w:rPr>
            </w:pPr>
            <w:r w:rsidRPr="00E81B2B">
              <w:rPr>
                <w:rFonts w:hAnsi="標楷體" w:hint="eastAsia"/>
                <w:color w:val="C00000"/>
                <w:sz w:val="24"/>
                <w:szCs w:val="24"/>
              </w:rPr>
              <w:t>未進行</w:t>
            </w:r>
          </w:p>
        </w:tc>
        <w:tc>
          <w:tcPr>
            <w:tcW w:w="44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110停招</w:t>
            </w:r>
          </w:p>
        </w:tc>
      </w:tr>
      <w:tr w:rsidR="00253810" w:rsidRPr="009423DD" w:rsidTr="00902439">
        <w:trPr>
          <w:jc w:val="center"/>
        </w:trPr>
        <w:tc>
          <w:tcPr>
            <w:tcW w:w="1035" w:type="pct"/>
            <w:vAlign w:val="center"/>
          </w:tcPr>
          <w:p w:rsidR="00253810" w:rsidRPr="009423DD" w:rsidRDefault="00253810" w:rsidP="00902439">
            <w:pPr>
              <w:rPr>
                <w:rFonts w:hAnsi="標楷體"/>
                <w:b/>
                <w:color w:val="000000" w:themeColor="text1"/>
                <w:sz w:val="24"/>
                <w:szCs w:val="24"/>
              </w:rPr>
            </w:pPr>
            <w:r w:rsidRPr="009423DD">
              <w:rPr>
                <w:rFonts w:hAnsi="標楷體" w:hint="eastAsia"/>
                <w:b/>
                <w:color w:val="000000" w:themeColor="text1"/>
                <w:sz w:val="24"/>
                <w:szCs w:val="24"/>
              </w:rPr>
              <w:t>觀光旅遊系</w:t>
            </w:r>
          </w:p>
        </w:tc>
        <w:tc>
          <w:tcPr>
            <w:tcW w:w="43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2"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42"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23" w:type="pct"/>
            <w:vAlign w:val="center"/>
          </w:tcPr>
          <w:p w:rsidR="00253810" w:rsidRPr="009423DD" w:rsidRDefault="00253810" w:rsidP="00902439">
            <w:pPr>
              <w:jc w:val="center"/>
              <w:rPr>
                <w:rFonts w:hAnsi="標楷體"/>
                <w:color w:val="000000" w:themeColor="text1"/>
                <w:sz w:val="24"/>
                <w:szCs w:val="24"/>
              </w:rPr>
            </w:pPr>
          </w:p>
        </w:tc>
        <w:tc>
          <w:tcPr>
            <w:tcW w:w="44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106停招</w:t>
            </w:r>
          </w:p>
        </w:tc>
      </w:tr>
      <w:tr w:rsidR="00253810" w:rsidRPr="009423DD" w:rsidTr="00902439">
        <w:trPr>
          <w:jc w:val="center"/>
        </w:trPr>
        <w:tc>
          <w:tcPr>
            <w:tcW w:w="1035" w:type="pct"/>
            <w:vAlign w:val="center"/>
          </w:tcPr>
          <w:p w:rsidR="00253810" w:rsidRPr="009423DD" w:rsidRDefault="00253810" w:rsidP="00902439">
            <w:pPr>
              <w:rPr>
                <w:rFonts w:hAnsi="標楷體"/>
                <w:b/>
                <w:color w:val="000000" w:themeColor="text1"/>
                <w:sz w:val="24"/>
                <w:szCs w:val="24"/>
              </w:rPr>
            </w:pPr>
            <w:r w:rsidRPr="009423DD">
              <w:rPr>
                <w:rFonts w:hAnsi="標楷體" w:hint="eastAsia"/>
                <w:b/>
                <w:color w:val="000000" w:themeColor="text1"/>
                <w:sz w:val="24"/>
                <w:szCs w:val="24"/>
              </w:rPr>
              <w:t>觀光休閒系</w:t>
            </w:r>
          </w:p>
        </w:tc>
        <w:tc>
          <w:tcPr>
            <w:tcW w:w="43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2"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42"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23" w:type="pct"/>
            <w:vAlign w:val="center"/>
          </w:tcPr>
          <w:p w:rsidR="00253810" w:rsidRPr="009423DD" w:rsidRDefault="00253810" w:rsidP="00902439">
            <w:pPr>
              <w:jc w:val="center"/>
              <w:rPr>
                <w:rFonts w:hAnsi="標楷體"/>
                <w:color w:val="000000" w:themeColor="text1"/>
                <w:sz w:val="24"/>
                <w:szCs w:val="24"/>
              </w:rPr>
            </w:pPr>
          </w:p>
        </w:tc>
        <w:tc>
          <w:tcPr>
            <w:tcW w:w="44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106停招</w:t>
            </w:r>
          </w:p>
        </w:tc>
      </w:tr>
      <w:tr w:rsidR="00253810" w:rsidRPr="009423DD" w:rsidTr="00902439">
        <w:trPr>
          <w:jc w:val="center"/>
        </w:trPr>
        <w:tc>
          <w:tcPr>
            <w:tcW w:w="1035" w:type="pct"/>
            <w:vAlign w:val="center"/>
          </w:tcPr>
          <w:p w:rsidR="00253810" w:rsidRPr="009423DD" w:rsidRDefault="00253810" w:rsidP="00902439">
            <w:pPr>
              <w:rPr>
                <w:rFonts w:hAnsi="標楷體"/>
                <w:b/>
                <w:color w:val="000000" w:themeColor="text1"/>
                <w:sz w:val="24"/>
                <w:szCs w:val="24"/>
              </w:rPr>
            </w:pPr>
            <w:r w:rsidRPr="009423DD">
              <w:rPr>
                <w:rFonts w:hAnsi="標楷體" w:hint="eastAsia"/>
                <w:b/>
                <w:color w:val="000000" w:themeColor="text1"/>
                <w:sz w:val="24"/>
                <w:szCs w:val="24"/>
              </w:rPr>
              <w:t>旅館管理系</w:t>
            </w:r>
          </w:p>
        </w:tc>
        <w:tc>
          <w:tcPr>
            <w:tcW w:w="43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3"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持續</w:t>
            </w:r>
          </w:p>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列管</w:t>
            </w:r>
          </w:p>
        </w:tc>
        <w:tc>
          <w:tcPr>
            <w:tcW w:w="442"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42" w:type="pct"/>
            <w:vAlign w:val="center"/>
          </w:tcPr>
          <w:p w:rsidR="00253810" w:rsidRPr="009423DD" w:rsidRDefault="00253810" w:rsidP="00902439">
            <w:pPr>
              <w:jc w:val="center"/>
              <w:rPr>
                <w:rFonts w:hAnsi="標楷體"/>
                <w:color w:val="000000" w:themeColor="text1"/>
                <w:sz w:val="24"/>
                <w:szCs w:val="24"/>
              </w:rPr>
            </w:pPr>
          </w:p>
        </w:tc>
        <w:tc>
          <w:tcPr>
            <w:tcW w:w="443" w:type="pct"/>
            <w:vAlign w:val="center"/>
          </w:tcPr>
          <w:p w:rsidR="00253810" w:rsidRPr="009423DD" w:rsidRDefault="00253810" w:rsidP="00902439">
            <w:pPr>
              <w:jc w:val="center"/>
              <w:rPr>
                <w:rFonts w:hAnsi="標楷體"/>
                <w:color w:val="000000" w:themeColor="text1"/>
                <w:sz w:val="24"/>
                <w:szCs w:val="24"/>
              </w:rPr>
            </w:pPr>
          </w:p>
        </w:tc>
        <w:tc>
          <w:tcPr>
            <w:tcW w:w="423" w:type="pct"/>
            <w:vAlign w:val="center"/>
          </w:tcPr>
          <w:p w:rsidR="00253810" w:rsidRPr="009423DD" w:rsidRDefault="00253810" w:rsidP="00902439">
            <w:pPr>
              <w:jc w:val="center"/>
              <w:rPr>
                <w:rFonts w:hAnsi="標楷體"/>
                <w:color w:val="000000" w:themeColor="text1"/>
                <w:sz w:val="24"/>
                <w:szCs w:val="24"/>
              </w:rPr>
            </w:pPr>
          </w:p>
        </w:tc>
        <w:tc>
          <w:tcPr>
            <w:tcW w:w="448" w:type="pct"/>
            <w:vAlign w:val="center"/>
          </w:tcPr>
          <w:p w:rsidR="00253810" w:rsidRPr="009423DD" w:rsidRDefault="00253810" w:rsidP="00902439">
            <w:pPr>
              <w:jc w:val="center"/>
              <w:rPr>
                <w:rFonts w:hAnsi="標楷體"/>
                <w:color w:val="000000" w:themeColor="text1"/>
                <w:sz w:val="24"/>
                <w:szCs w:val="24"/>
              </w:rPr>
            </w:pPr>
            <w:r w:rsidRPr="009423DD">
              <w:rPr>
                <w:rFonts w:hAnsi="標楷體" w:hint="eastAsia"/>
                <w:color w:val="000000" w:themeColor="text1"/>
                <w:sz w:val="24"/>
                <w:szCs w:val="24"/>
              </w:rPr>
              <w:t>106停招</w:t>
            </w:r>
          </w:p>
        </w:tc>
      </w:tr>
    </w:tbl>
    <w:p w:rsidR="00253810" w:rsidRPr="009423DD" w:rsidRDefault="00253810" w:rsidP="00CF5DC4">
      <w:pPr>
        <w:spacing w:afterLines="50" w:after="228"/>
        <w:ind w:leftChars="-83" w:left="-280" w:hanging="2"/>
        <w:rPr>
          <w:color w:val="000000" w:themeColor="text1"/>
          <w:sz w:val="24"/>
          <w:szCs w:val="24"/>
        </w:rPr>
      </w:pPr>
      <w:r w:rsidRPr="009423DD">
        <w:rPr>
          <w:rFonts w:hint="eastAsia"/>
          <w:color w:val="000000" w:themeColor="text1"/>
          <w:sz w:val="24"/>
          <w:szCs w:val="24"/>
        </w:rPr>
        <w:t>資料來源：教育部。</w:t>
      </w:r>
    </w:p>
    <w:p w:rsidR="00FB31D1" w:rsidRPr="009423DD" w:rsidRDefault="007039E7" w:rsidP="005B0186">
      <w:pPr>
        <w:pStyle w:val="3"/>
        <w:rPr>
          <w:rFonts w:hAnsi="標楷體"/>
          <w:color w:val="000000" w:themeColor="text1"/>
          <w:szCs w:val="32"/>
        </w:rPr>
      </w:pPr>
      <w:r w:rsidRPr="00F41F9C">
        <w:rPr>
          <w:rFonts w:hAnsi="標楷體" w:hint="eastAsia"/>
          <w:color w:val="000000" w:themeColor="text1"/>
          <w:szCs w:val="32"/>
        </w:rPr>
        <w:t>該校</w:t>
      </w:r>
      <w:r w:rsidR="0035795B" w:rsidRPr="00F41F9C">
        <w:rPr>
          <w:rFonts w:hAnsi="標楷體" w:hint="eastAsia"/>
          <w:color w:val="000000" w:themeColor="text1"/>
          <w:szCs w:val="32"/>
        </w:rPr>
        <w:t>106至109學年度全校</w:t>
      </w:r>
      <w:r w:rsidR="001B052B" w:rsidRPr="00F41F9C">
        <w:rPr>
          <w:rFonts w:hAnsi="標楷體" w:hint="eastAsia"/>
          <w:color w:val="000000" w:themeColor="text1"/>
          <w:szCs w:val="32"/>
        </w:rPr>
        <w:t>在學生</w:t>
      </w:r>
      <w:r w:rsidR="0035795B" w:rsidRPr="00F41F9C">
        <w:rPr>
          <w:rFonts w:hAnsi="標楷體" w:hint="eastAsia"/>
          <w:color w:val="000000" w:themeColor="text1"/>
          <w:szCs w:val="32"/>
        </w:rPr>
        <w:t>經濟弱勢及特教生占比約達32.57%~41.79%，</w:t>
      </w:r>
      <w:r w:rsidR="00F93D2D" w:rsidRPr="00F41F9C">
        <w:rPr>
          <w:rFonts w:hAnsi="標楷體" w:hint="eastAsia"/>
          <w:color w:val="000000" w:themeColor="text1"/>
          <w:szCs w:val="32"/>
        </w:rPr>
        <w:t>況</w:t>
      </w:r>
      <w:r w:rsidR="00305C86" w:rsidRPr="00F41F9C">
        <w:rPr>
          <w:rFonts w:hAnsi="標楷體" w:hint="eastAsia"/>
          <w:color w:val="000000" w:themeColor="text1"/>
          <w:szCs w:val="32"/>
        </w:rPr>
        <w:t>部分</w:t>
      </w:r>
      <w:r w:rsidR="0035795B" w:rsidRPr="00F41F9C">
        <w:rPr>
          <w:rFonts w:hAnsi="標楷體" w:hint="eastAsia"/>
          <w:color w:val="000000" w:themeColor="text1"/>
          <w:szCs w:val="32"/>
        </w:rPr>
        <w:t>學生停辦意見指出</w:t>
      </w:r>
      <w:r w:rsidR="009B3824" w:rsidRPr="00F41F9C">
        <w:rPr>
          <w:rFonts w:hAnsi="標楷體" w:hint="eastAsia"/>
          <w:color w:val="000000" w:themeColor="text1"/>
          <w:szCs w:val="32"/>
        </w:rPr>
        <w:t>休學生</w:t>
      </w:r>
      <w:r w:rsidR="009B3824" w:rsidRPr="009423DD">
        <w:rPr>
          <w:rFonts w:hAnsi="標楷體" w:hint="eastAsia"/>
          <w:color w:val="000000" w:themeColor="text1"/>
          <w:szCs w:val="32"/>
        </w:rPr>
        <w:t>及特教生</w:t>
      </w:r>
      <w:r w:rsidR="00305C86" w:rsidRPr="009423DD">
        <w:rPr>
          <w:rFonts w:hAnsi="標楷體" w:hint="eastAsia"/>
          <w:color w:val="000000" w:themeColor="text1"/>
          <w:szCs w:val="32"/>
        </w:rPr>
        <w:t>尚</w:t>
      </w:r>
      <w:r w:rsidR="0035795B" w:rsidRPr="009423DD">
        <w:rPr>
          <w:rFonts w:hAnsi="標楷體" w:hint="eastAsia"/>
          <w:color w:val="000000" w:themeColor="text1"/>
          <w:szCs w:val="32"/>
        </w:rPr>
        <w:t>需</w:t>
      </w:r>
      <w:r w:rsidR="0023072C" w:rsidRPr="009423DD">
        <w:rPr>
          <w:rFonts w:hAnsi="標楷體" w:hint="eastAsia"/>
          <w:color w:val="000000" w:themeColor="text1"/>
          <w:szCs w:val="32"/>
        </w:rPr>
        <w:t>相關</w:t>
      </w:r>
      <w:r w:rsidR="00DF45B8" w:rsidRPr="009423DD">
        <w:rPr>
          <w:rFonts w:hAnsi="標楷體" w:hint="eastAsia"/>
          <w:color w:val="000000" w:themeColor="text1"/>
          <w:szCs w:val="32"/>
        </w:rPr>
        <w:t>支持服務等協助</w:t>
      </w:r>
      <w:r w:rsidR="0035795B" w:rsidRPr="009423DD">
        <w:rPr>
          <w:rFonts w:hAnsi="標楷體" w:hint="eastAsia"/>
          <w:color w:val="000000" w:themeColor="text1"/>
          <w:szCs w:val="32"/>
        </w:rPr>
        <w:t>，且多數</w:t>
      </w:r>
      <w:r w:rsidR="00305C86" w:rsidRPr="009423DD">
        <w:rPr>
          <w:rFonts w:hAnsi="標楷體" w:hint="eastAsia"/>
          <w:color w:val="000000" w:themeColor="text1"/>
          <w:szCs w:val="32"/>
        </w:rPr>
        <w:t>學生</w:t>
      </w:r>
      <w:r w:rsidR="0035795B" w:rsidRPr="009423DD">
        <w:rPr>
          <w:rFonts w:hAnsi="標楷體" w:hint="eastAsia"/>
          <w:color w:val="000000" w:themeColor="text1"/>
          <w:szCs w:val="32"/>
        </w:rPr>
        <w:t>表達「原校畢業」</w:t>
      </w:r>
      <w:r w:rsidR="00CD66F4" w:rsidRPr="009423DD">
        <w:rPr>
          <w:rFonts w:hAnsi="標楷體" w:hint="eastAsia"/>
          <w:color w:val="000000" w:themeColor="text1"/>
          <w:szCs w:val="32"/>
        </w:rPr>
        <w:t>訴求，或對於未來專班安置（含實習</w:t>
      </w:r>
      <w:r w:rsidR="00117202" w:rsidRPr="009423DD">
        <w:rPr>
          <w:rFonts w:hAnsi="標楷體" w:hint="eastAsia"/>
          <w:color w:val="000000" w:themeColor="text1"/>
          <w:szCs w:val="32"/>
        </w:rPr>
        <w:t>、論文指導</w:t>
      </w:r>
      <w:r w:rsidR="00F95C43" w:rsidRPr="009423DD">
        <w:rPr>
          <w:rFonts w:hAnsi="標楷體" w:hint="eastAsia"/>
          <w:color w:val="000000" w:themeColor="text1"/>
          <w:szCs w:val="32"/>
        </w:rPr>
        <w:t>、輔導</w:t>
      </w:r>
      <w:r w:rsidR="006023CE" w:rsidRPr="009423DD">
        <w:rPr>
          <w:rFonts w:hAnsi="標楷體" w:hint="eastAsia"/>
          <w:color w:val="000000" w:themeColor="text1"/>
          <w:szCs w:val="32"/>
        </w:rPr>
        <w:t>考照</w:t>
      </w:r>
      <w:r w:rsidR="00CD66F4" w:rsidRPr="009423DD">
        <w:rPr>
          <w:rFonts w:hAnsi="標楷體" w:hint="eastAsia"/>
          <w:color w:val="000000" w:themeColor="text1"/>
          <w:szCs w:val="32"/>
        </w:rPr>
        <w:t>）師資</w:t>
      </w:r>
      <w:r w:rsidR="008F6009" w:rsidRPr="009423DD">
        <w:rPr>
          <w:rFonts w:hAnsi="標楷體" w:hint="eastAsia"/>
          <w:color w:val="000000" w:themeColor="text1"/>
          <w:szCs w:val="32"/>
        </w:rPr>
        <w:t>、</w:t>
      </w:r>
      <w:r w:rsidR="00DF1C2F" w:rsidRPr="009423DD">
        <w:rPr>
          <w:rFonts w:hAnsi="標楷體" w:hint="eastAsia"/>
          <w:color w:val="000000" w:themeColor="text1"/>
          <w:szCs w:val="32"/>
        </w:rPr>
        <w:t>經濟或交通等</w:t>
      </w:r>
      <w:r w:rsidR="00CD66F4" w:rsidRPr="009423DD">
        <w:rPr>
          <w:rFonts w:hAnsi="標楷體" w:hint="eastAsia"/>
          <w:color w:val="000000" w:themeColor="text1"/>
          <w:szCs w:val="32"/>
        </w:rPr>
        <w:t>之疑慮等</w:t>
      </w:r>
      <w:r w:rsidR="0035795B" w:rsidRPr="009423DD">
        <w:rPr>
          <w:rFonts w:hAnsi="標楷體" w:hint="eastAsia"/>
          <w:color w:val="000000" w:themeColor="text1"/>
          <w:szCs w:val="32"/>
        </w:rPr>
        <w:t>，</w:t>
      </w:r>
      <w:r w:rsidR="00305C86" w:rsidRPr="009423DD">
        <w:rPr>
          <w:rFonts w:hAnsi="標楷體" w:hint="eastAsia"/>
          <w:color w:val="000000" w:themeColor="text1"/>
          <w:szCs w:val="32"/>
        </w:rPr>
        <w:t>亟待教育部後續積極協助妥處。</w:t>
      </w:r>
    </w:p>
    <w:p w:rsidR="00593C56" w:rsidRPr="009423DD" w:rsidRDefault="00593C56" w:rsidP="00FB31D1">
      <w:pPr>
        <w:pStyle w:val="4"/>
        <w:rPr>
          <w:color w:val="000000" w:themeColor="text1"/>
        </w:rPr>
      </w:pPr>
      <w:r w:rsidRPr="009423DD">
        <w:rPr>
          <w:rFonts w:hint="eastAsia"/>
          <w:color w:val="000000" w:themeColor="text1"/>
        </w:rPr>
        <w:t>停招及停辦受影響</w:t>
      </w:r>
      <w:r w:rsidR="00AE7785" w:rsidRPr="009423DD">
        <w:rPr>
          <w:rFonts w:hint="eastAsia"/>
          <w:color w:val="000000" w:themeColor="text1"/>
        </w:rPr>
        <w:t>之在學</w:t>
      </w:r>
      <w:r w:rsidRPr="009423DD">
        <w:rPr>
          <w:rFonts w:hint="eastAsia"/>
          <w:color w:val="000000" w:themeColor="text1"/>
        </w:rPr>
        <w:t>學生情形</w:t>
      </w:r>
      <w:r w:rsidR="00AE7785" w:rsidRPr="009423DD">
        <w:rPr>
          <w:rFonts w:hint="eastAsia"/>
          <w:color w:val="000000" w:themeColor="text1"/>
        </w:rPr>
        <w:t>。</w:t>
      </w:r>
    </w:p>
    <w:p w:rsidR="00593C56" w:rsidRPr="009423DD" w:rsidRDefault="00593C56" w:rsidP="00593C56">
      <w:pPr>
        <w:pStyle w:val="a3"/>
        <w:numPr>
          <w:ilvl w:val="0"/>
          <w:numId w:val="0"/>
        </w:numPr>
        <w:spacing w:beforeLines="50" w:before="228" w:after="0" w:line="240" w:lineRule="auto"/>
        <w:ind w:left="482"/>
        <w:jc w:val="center"/>
        <w:rPr>
          <w:b/>
          <w:color w:val="000000" w:themeColor="text1"/>
        </w:rPr>
      </w:pPr>
      <w:r w:rsidRPr="009423DD">
        <w:rPr>
          <w:rFonts w:hint="eastAsia"/>
          <w:b/>
          <w:color w:val="000000" w:themeColor="text1"/>
        </w:rPr>
        <w:t>臺灣觀光學院停招及停辦受影響學生情形</w:t>
      </w:r>
      <w:r w:rsidR="008F5EC3" w:rsidRPr="009423DD">
        <w:rPr>
          <w:rFonts w:hint="eastAsia"/>
          <w:b/>
          <w:color w:val="000000" w:themeColor="text1"/>
        </w:rPr>
        <w:t>摘要</w:t>
      </w:r>
      <w:r w:rsidRPr="009423DD">
        <w:rPr>
          <w:rFonts w:hint="eastAsia"/>
          <w:b/>
          <w:color w:val="000000" w:themeColor="text1"/>
        </w:rPr>
        <w:t>表</w:t>
      </w:r>
      <w:r w:rsidR="006D24B8" w:rsidRPr="009423DD">
        <w:rPr>
          <w:rFonts w:hint="eastAsia"/>
          <w:b/>
          <w:color w:val="000000" w:themeColor="text1"/>
        </w:rPr>
        <w:t xml:space="preserve">　　</w:t>
      </w:r>
      <w:r w:rsidR="007713E7" w:rsidRPr="009423DD">
        <w:rPr>
          <w:rFonts w:hint="eastAsia"/>
          <w:b/>
          <w:color w:val="000000" w:themeColor="text1"/>
        </w:rPr>
        <w:t xml:space="preserve">　</w:t>
      </w:r>
      <w:r w:rsidR="006D24B8" w:rsidRPr="009423DD">
        <w:rPr>
          <w:rFonts w:hint="eastAsia"/>
          <w:color w:val="000000" w:themeColor="text1"/>
          <w:sz w:val="24"/>
          <w:szCs w:val="24"/>
        </w:rPr>
        <w:t>單位：人數；%</w:t>
      </w:r>
    </w:p>
    <w:tbl>
      <w:tblPr>
        <w:tblStyle w:val="af6"/>
        <w:tblW w:w="9067" w:type="dxa"/>
        <w:jc w:val="center"/>
        <w:tblLook w:val="04A0" w:firstRow="1" w:lastRow="0" w:firstColumn="1" w:lastColumn="0" w:noHBand="0" w:noVBand="1"/>
      </w:tblPr>
      <w:tblGrid>
        <w:gridCol w:w="1555"/>
        <w:gridCol w:w="3260"/>
        <w:gridCol w:w="4252"/>
      </w:tblGrid>
      <w:tr w:rsidR="009423DD" w:rsidRPr="009423DD" w:rsidTr="008F03FA">
        <w:trPr>
          <w:trHeight w:val="158"/>
          <w:tblHeader/>
          <w:jc w:val="center"/>
        </w:trPr>
        <w:tc>
          <w:tcPr>
            <w:tcW w:w="1555" w:type="dxa"/>
            <w:shd w:val="clear" w:color="auto" w:fill="FDE9D9" w:themeFill="accent6" w:themeFillTint="33"/>
            <w:vAlign w:val="center"/>
          </w:tcPr>
          <w:p w:rsidR="009C4F4E" w:rsidRPr="009423DD" w:rsidRDefault="009C4F4E" w:rsidP="00A27994">
            <w:pPr>
              <w:widowControl/>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學年度</w:t>
            </w:r>
          </w:p>
        </w:tc>
        <w:tc>
          <w:tcPr>
            <w:tcW w:w="3260" w:type="dxa"/>
            <w:shd w:val="clear" w:color="auto" w:fill="FDE9D9" w:themeFill="accent6" w:themeFillTint="33"/>
            <w:vAlign w:val="center"/>
          </w:tcPr>
          <w:p w:rsidR="009C4F4E" w:rsidRPr="009423DD" w:rsidRDefault="009C4F4E" w:rsidP="00A27994">
            <w:pPr>
              <w:widowControl/>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受影響之在學生總計</w:t>
            </w:r>
          </w:p>
          <w:p w:rsidR="009C4F4E" w:rsidRPr="009423DD" w:rsidRDefault="009C4F4E" w:rsidP="00A27994">
            <w:pPr>
              <w:widowControl/>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（不含休學生）</w:t>
            </w:r>
          </w:p>
        </w:tc>
        <w:tc>
          <w:tcPr>
            <w:tcW w:w="4252" w:type="dxa"/>
            <w:shd w:val="clear" w:color="auto" w:fill="FDE9D9" w:themeFill="accent6" w:themeFillTint="33"/>
            <w:vAlign w:val="center"/>
          </w:tcPr>
          <w:p w:rsidR="009C4F4E" w:rsidRPr="009423DD" w:rsidRDefault="009C4F4E" w:rsidP="00A27994">
            <w:pPr>
              <w:widowControl/>
              <w:jc w:val="center"/>
              <w:rPr>
                <w:rFonts w:hAnsi="標楷體" w:cs="新細明體"/>
                <w:b/>
                <w:color w:val="000000" w:themeColor="text1"/>
                <w:kern w:val="0"/>
                <w:sz w:val="26"/>
                <w:szCs w:val="26"/>
              </w:rPr>
            </w:pPr>
            <w:r w:rsidRPr="009423DD">
              <w:rPr>
                <w:rFonts w:hAnsi="標楷體" w:cs="新細明體" w:hint="eastAsia"/>
                <w:b/>
                <w:color w:val="000000" w:themeColor="text1"/>
                <w:kern w:val="0"/>
                <w:sz w:val="26"/>
                <w:szCs w:val="26"/>
              </w:rPr>
              <w:t>經濟弱勢及特教生人數及其比率</w:t>
            </w:r>
          </w:p>
        </w:tc>
      </w:tr>
      <w:tr w:rsidR="009423DD" w:rsidRPr="009423DD" w:rsidTr="008F03FA">
        <w:trPr>
          <w:jc w:val="center"/>
        </w:trPr>
        <w:tc>
          <w:tcPr>
            <w:tcW w:w="1555"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106</w:t>
            </w:r>
          </w:p>
        </w:tc>
        <w:tc>
          <w:tcPr>
            <w:tcW w:w="3260"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896</w:t>
            </w:r>
          </w:p>
        </w:tc>
        <w:tc>
          <w:tcPr>
            <w:tcW w:w="4252"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347　;38.73%</w:t>
            </w:r>
          </w:p>
        </w:tc>
      </w:tr>
      <w:tr w:rsidR="009423DD" w:rsidRPr="009423DD" w:rsidTr="008F03FA">
        <w:trPr>
          <w:jc w:val="center"/>
        </w:trPr>
        <w:tc>
          <w:tcPr>
            <w:tcW w:w="1555"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107</w:t>
            </w:r>
          </w:p>
        </w:tc>
        <w:tc>
          <w:tcPr>
            <w:tcW w:w="3260"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751</w:t>
            </w:r>
          </w:p>
        </w:tc>
        <w:tc>
          <w:tcPr>
            <w:tcW w:w="4252"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262　;34.89%</w:t>
            </w:r>
          </w:p>
        </w:tc>
      </w:tr>
      <w:tr w:rsidR="009423DD" w:rsidRPr="009423DD" w:rsidTr="008F03FA">
        <w:trPr>
          <w:jc w:val="center"/>
        </w:trPr>
        <w:tc>
          <w:tcPr>
            <w:tcW w:w="1555"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lastRenderedPageBreak/>
              <w:t>108</w:t>
            </w:r>
          </w:p>
        </w:tc>
        <w:tc>
          <w:tcPr>
            <w:tcW w:w="3260"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608</w:t>
            </w:r>
          </w:p>
        </w:tc>
        <w:tc>
          <w:tcPr>
            <w:tcW w:w="4252"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198　;32.57%</w:t>
            </w:r>
          </w:p>
        </w:tc>
      </w:tr>
      <w:tr w:rsidR="009423DD" w:rsidRPr="009423DD" w:rsidTr="008F03FA">
        <w:trPr>
          <w:jc w:val="center"/>
        </w:trPr>
        <w:tc>
          <w:tcPr>
            <w:tcW w:w="1555"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109</w:t>
            </w:r>
          </w:p>
        </w:tc>
        <w:tc>
          <w:tcPr>
            <w:tcW w:w="3260"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268</w:t>
            </w:r>
          </w:p>
        </w:tc>
        <w:tc>
          <w:tcPr>
            <w:tcW w:w="4252" w:type="dxa"/>
            <w:vAlign w:val="center"/>
          </w:tcPr>
          <w:p w:rsidR="009C4F4E" w:rsidRPr="009423DD" w:rsidRDefault="009C4F4E" w:rsidP="00A27994">
            <w:pPr>
              <w:widowControl/>
              <w:jc w:val="center"/>
              <w:rPr>
                <w:rFonts w:hAnsi="標楷體" w:cs="新細明體"/>
                <w:color w:val="000000" w:themeColor="text1"/>
                <w:kern w:val="0"/>
                <w:sz w:val="26"/>
                <w:szCs w:val="26"/>
              </w:rPr>
            </w:pPr>
            <w:r w:rsidRPr="009423DD">
              <w:rPr>
                <w:rFonts w:hAnsi="標楷體" w:cs="新細明體" w:hint="eastAsia"/>
                <w:color w:val="000000" w:themeColor="text1"/>
                <w:kern w:val="0"/>
                <w:sz w:val="26"/>
                <w:szCs w:val="26"/>
              </w:rPr>
              <w:t>112　;41.79%</w:t>
            </w:r>
          </w:p>
        </w:tc>
      </w:tr>
    </w:tbl>
    <w:p w:rsidR="009C4F4E" w:rsidRPr="009423DD" w:rsidRDefault="009C4F4E" w:rsidP="009C4F4E">
      <w:pPr>
        <w:ind w:leftChars="-208" w:left="-708"/>
        <w:rPr>
          <w:color w:val="000000" w:themeColor="text1"/>
        </w:rPr>
      </w:pPr>
      <w:r w:rsidRPr="009423DD">
        <w:rPr>
          <w:rFonts w:hint="eastAsia"/>
          <w:color w:val="000000" w:themeColor="text1"/>
          <w:sz w:val="24"/>
          <w:szCs w:val="24"/>
        </w:rPr>
        <w:t xml:space="preserve">　　資料來源：教育部</w:t>
      </w:r>
      <w:r w:rsidR="00B02B91" w:rsidRPr="009423DD">
        <w:rPr>
          <w:rFonts w:hint="eastAsia"/>
          <w:color w:val="000000" w:themeColor="text1"/>
          <w:sz w:val="24"/>
          <w:szCs w:val="24"/>
        </w:rPr>
        <w:t>，本院彙整</w:t>
      </w:r>
      <w:r w:rsidRPr="009423DD">
        <w:rPr>
          <w:rFonts w:hint="eastAsia"/>
          <w:color w:val="000000" w:themeColor="text1"/>
          <w:sz w:val="24"/>
          <w:szCs w:val="24"/>
        </w:rPr>
        <w:t>。</w:t>
      </w:r>
    </w:p>
    <w:p w:rsidR="00DB07B5" w:rsidRPr="009423DD" w:rsidRDefault="00DB07B5" w:rsidP="009C4F4E">
      <w:pPr>
        <w:rPr>
          <w:color w:val="000000" w:themeColor="text1"/>
        </w:rPr>
      </w:pPr>
    </w:p>
    <w:p w:rsidR="00BC350C" w:rsidRPr="009423DD" w:rsidRDefault="006D5E98" w:rsidP="00FB31D1">
      <w:pPr>
        <w:pStyle w:val="4"/>
        <w:rPr>
          <w:color w:val="000000" w:themeColor="text1"/>
        </w:rPr>
      </w:pPr>
      <w:r w:rsidRPr="009423DD">
        <w:rPr>
          <w:rFonts w:hint="eastAsia"/>
          <w:color w:val="000000" w:themeColor="text1"/>
        </w:rPr>
        <w:t>有關</w:t>
      </w:r>
      <w:r w:rsidR="00041C6B" w:rsidRPr="009423DD">
        <w:rPr>
          <w:rFonts w:hint="eastAsia"/>
          <w:color w:val="000000" w:themeColor="text1"/>
        </w:rPr>
        <w:t>該校停辦計畫書</w:t>
      </w:r>
      <w:r w:rsidRPr="009423DD">
        <w:rPr>
          <w:rFonts w:hint="eastAsia"/>
          <w:color w:val="000000" w:themeColor="text1"/>
        </w:rPr>
        <w:t>所列</w:t>
      </w:r>
      <w:r w:rsidR="00041C6B" w:rsidRPr="009423DD">
        <w:rPr>
          <w:rFonts w:hint="eastAsia"/>
          <w:color w:val="000000" w:themeColor="text1"/>
        </w:rPr>
        <w:t>停辦意見</w:t>
      </w:r>
      <w:r w:rsidRPr="009423DD">
        <w:rPr>
          <w:rFonts w:hint="eastAsia"/>
          <w:color w:val="000000" w:themeColor="text1"/>
        </w:rPr>
        <w:t>，摘述</w:t>
      </w:r>
      <w:r w:rsidR="00305C86" w:rsidRPr="009423DD">
        <w:rPr>
          <w:rFonts w:hint="eastAsia"/>
          <w:color w:val="000000" w:themeColor="text1"/>
        </w:rPr>
        <w:t>如下</w:t>
      </w:r>
      <w:r w:rsidRPr="009423DD">
        <w:rPr>
          <w:rFonts w:hint="eastAsia"/>
          <w:color w:val="000000" w:themeColor="text1"/>
        </w:rPr>
        <w:t>表</w:t>
      </w:r>
      <w:r w:rsidR="00305C86" w:rsidRPr="009423DD">
        <w:rPr>
          <w:rFonts w:hint="eastAsia"/>
          <w:color w:val="000000" w:themeColor="text1"/>
        </w:rPr>
        <w:t>：</w:t>
      </w:r>
    </w:p>
    <w:p w:rsidR="00305C86" w:rsidRPr="009423DD" w:rsidRDefault="006013C0" w:rsidP="0061694B">
      <w:pPr>
        <w:pStyle w:val="a3"/>
        <w:numPr>
          <w:ilvl w:val="0"/>
          <w:numId w:val="0"/>
        </w:numPr>
        <w:spacing w:beforeLines="50" w:before="228" w:after="0" w:line="240" w:lineRule="auto"/>
        <w:ind w:left="482"/>
        <w:jc w:val="center"/>
        <w:rPr>
          <w:b/>
          <w:color w:val="000000" w:themeColor="text1"/>
        </w:rPr>
      </w:pPr>
      <w:r w:rsidRPr="009423DD">
        <w:rPr>
          <w:rFonts w:hint="eastAsia"/>
          <w:b/>
          <w:color w:val="000000" w:themeColor="text1"/>
        </w:rPr>
        <w:t>臺灣觀光學院學生</w:t>
      </w:r>
      <w:r w:rsidR="006D5E98" w:rsidRPr="009423DD">
        <w:rPr>
          <w:rFonts w:hint="eastAsia"/>
          <w:b/>
          <w:color w:val="000000" w:themeColor="text1"/>
        </w:rPr>
        <w:t>對於</w:t>
      </w:r>
      <w:r w:rsidRPr="009423DD">
        <w:rPr>
          <w:rFonts w:hint="eastAsia"/>
          <w:b/>
          <w:color w:val="000000" w:themeColor="text1"/>
        </w:rPr>
        <w:t>停辦</w:t>
      </w:r>
      <w:r w:rsidR="006D5E98" w:rsidRPr="009423DD">
        <w:rPr>
          <w:rFonts w:hint="eastAsia"/>
          <w:b/>
          <w:color w:val="000000" w:themeColor="text1"/>
        </w:rPr>
        <w:t>之</w:t>
      </w:r>
      <w:r w:rsidRPr="009423DD">
        <w:rPr>
          <w:rFonts w:hint="eastAsia"/>
          <w:b/>
          <w:color w:val="000000" w:themeColor="text1"/>
        </w:rPr>
        <w:t>意見彙整表</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995"/>
      </w:tblGrid>
      <w:tr w:rsidR="009423DD" w:rsidRPr="009423DD" w:rsidTr="00450883">
        <w:trPr>
          <w:trHeight w:val="360"/>
          <w:tblHeader/>
          <w:jc w:val="center"/>
        </w:trPr>
        <w:tc>
          <w:tcPr>
            <w:tcW w:w="1260" w:type="dxa"/>
            <w:vMerge w:val="restart"/>
            <w:shd w:val="clear" w:color="auto" w:fill="FFF2CC"/>
            <w:vAlign w:val="center"/>
          </w:tcPr>
          <w:p w:rsidR="003E1A8B" w:rsidRPr="009423DD" w:rsidRDefault="003E1A8B" w:rsidP="00AA6190">
            <w:pPr>
              <w:widowControl/>
              <w:jc w:val="center"/>
              <w:rPr>
                <w:rFonts w:hAnsi="標楷體" w:cs="Calibri"/>
                <w:b/>
                <w:bCs/>
                <w:color w:val="000000" w:themeColor="text1"/>
                <w:kern w:val="0"/>
                <w:sz w:val="27"/>
                <w:szCs w:val="27"/>
              </w:rPr>
            </w:pPr>
            <w:r w:rsidRPr="009423DD">
              <w:rPr>
                <w:rFonts w:hAnsi="標楷體" w:cs="Calibri" w:hint="eastAsia"/>
                <w:b/>
                <w:bCs/>
                <w:color w:val="000000" w:themeColor="text1"/>
                <w:kern w:val="0"/>
                <w:sz w:val="27"/>
                <w:szCs w:val="27"/>
              </w:rPr>
              <w:t>學制</w:t>
            </w:r>
          </w:p>
        </w:tc>
        <w:tc>
          <w:tcPr>
            <w:tcW w:w="7995" w:type="dxa"/>
            <w:vMerge w:val="restart"/>
            <w:shd w:val="clear" w:color="auto" w:fill="FFF2CC"/>
            <w:vAlign w:val="center"/>
            <w:hideMark/>
          </w:tcPr>
          <w:p w:rsidR="003E1A8B" w:rsidRPr="009423DD" w:rsidRDefault="003E1A8B" w:rsidP="00AA6190">
            <w:pPr>
              <w:widowControl/>
              <w:jc w:val="center"/>
              <w:rPr>
                <w:rFonts w:hAnsi="標楷體" w:cs="Calibri"/>
                <w:b/>
                <w:bCs/>
                <w:color w:val="000000" w:themeColor="text1"/>
                <w:kern w:val="0"/>
                <w:sz w:val="27"/>
                <w:szCs w:val="27"/>
              </w:rPr>
            </w:pPr>
            <w:r w:rsidRPr="009423DD">
              <w:rPr>
                <w:rFonts w:hAnsi="標楷體" w:cs="Calibri" w:hint="eastAsia"/>
                <w:b/>
                <w:bCs/>
                <w:color w:val="000000" w:themeColor="text1"/>
                <w:kern w:val="0"/>
                <w:sz w:val="27"/>
                <w:szCs w:val="27"/>
              </w:rPr>
              <w:t>意見摘要</w:t>
            </w:r>
          </w:p>
        </w:tc>
      </w:tr>
      <w:tr w:rsidR="009423DD" w:rsidRPr="009423DD" w:rsidTr="00450883">
        <w:trPr>
          <w:trHeight w:val="351"/>
          <w:jc w:val="center"/>
        </w:trPr>
        <w:tc>
          <w:tcPr>
            <w:tcW w:w="1260" w:type="dxa"/>
            <w:vMerge/>
            <w:shd w:val="clear" w:color="auto" w:fill="FFF2CC"/>
          </w:tcPr>
          <w:p w:rsidR="003E1A8B" w:rsidRPr="009423DD" w:rsidRDefault="003E1A8B" w:rsidP="00AA6190">
            <w:pPr>
              <w:widowControl/>
              <w:jc w:val="center"/>
              <w:rPr>
                <w:rFonts w:hAnsi="標楷體" w:cs="Calibri"/>
                <w:b/>
                <w:bCs/>
                <w:color w:val="000000" w:themeColor="text1"/>
                <w:kern w:val="0"/>
                <w:sz w:val="27"/>
                <w:szCs w:val="27"/>
              </w:rPr>
            </w:pPr>
          </w:p>
        </w:tc>
        <w:tc>
          <w:tcPr>
            <w:tcW w:w="7995" w:type="dxa"/>
            <w:vMerge/>
            <w:shd w:val="clear" w:color="auto" w:fill="FFF2CC"/>
            <w:vAlign w:val="center"/>
            <w:hideMark/>
          </w:tcPr>
          <w:p w:rsidR="003E1A8B" w:rsidRPr="009423DD" w:rsidRDefault="003E1A8B" w:rsidP="00AA6190">
            <w:pPr>
              <w:widowControl/>
              <w:jc w:val="center"/>
              <w:rPr>
                <w:rFonts w:hAnsi="標楷體" w:cs="Calibri"/>
                <w:b/>
                <w:bCs/>
                <w:color w:val="000000" w:themeColor="text1"/>
                <w:kern w:val="0"/>
                <w:sz w:val="27"/>
                <w:szCs w:val="27"/>
              </w:rPr>
            </w:pPr>
          </w:p>
        </w:tc>
      </w:tr>
      <w:tr w:rsidR="009423DD" w:rsidRPr="009423DD" w:rsidTr="00450883">
        <w:trPr>
          <w:trHeight w:val="330"/>
          <w:jc w:val="center"/>
        </w:trPr>
        <w:tc>
          <w:tcPr>
            <w:tcW w:w="1260" w:type="dxa"/>
            <w:shd w:val="clear" w:color="auto" w:fill="auto"/>
            <w:vAlign w:val="center"/>
          </w:tcPr>
          <w:p w:rsidR="003E1A8B" w:rsidRPr="009423DD" w:rsidRDefault="003E1A8B" w:rsidP="00AA6190">
            <w:pPr>
              <w:widowControl/>
              <w:jc w:val="center"/>
              <w:rPr>
                <w:rFonts w:hAnsi="標楷體" w:cs="Calibri"/>
                <w:b/>
                <w:color w:val="000000" w:themeColor="text1"/>
                <w:kern w:val="0"/>
                <w:sz w:val="27"/>
                <w:szCs w:val="27"/>
              </w:rPr>
            </w:pPr>
            <w:r w:rsidRPr="009423DD">
              <w:rPr>
                <w:rFonts w:hAnsi="標楷體" w:cs="Calibri" w:hint="eastAsia"/>
                <w:b/>
                <w:color w:val="000000" w:themeColor="text1"/>
                <w:kern w:val="0"/>
                <w:sz w:val="27"/>
                <w:szCs w:val="27"/>
              </w:rPr>
              <w:t>研究所</w:t>
            </w:r>
          </w:p>
        </w:tc>
        <w:tc>
          <w:tcPr>
            <w:tcW w:w="7995" w:type="dxa"/>
            <w:shd w:val="clear" w:color="auto" w:fill="auto"/>
            <w:vAlign w:val="center"/>
          </w:tcPr>
          <w:p w:rsidR="003E1A8B" w:rsidRPr="009423DD" w:rsidRDefault="003E1A8B" w:rsidP="00E21566">
            <w:pPr>
              <w:widowControl/>
              <w:numPr>
                <w:ilvl w:val="0"/>
                <w:numId w:val="9"/>
              </w:numPr>
              <w:overflowPunct/>
              <w:autoSpaceDE/>
              <w:autoSpaceDN/>
              <w:ind w:left="316" w:hanging="316"/>
              <w:rPr>
                <w:rFonts w:hAnsi="標楷體" w:cs="Calibri"/>
                <w:color w:val="000000" w:themeColor="text1"/>
                <w:kern w:val="0"/>
                <w:sz w:val="27"/>
                <w:szCs w:val="27"/>
              </w:rPr>
            </w:pPr>
            <w:r w:rsidRPr="009423DD">
              <w:rPr>
                <w:rFonts w:hAnsi="標楷體" w:cs="Calibri" w:hint="eastAsia"/>
                <w:color w:val="000000" w:themeColor="text1"/>
                <w:kern w:val="0"/>
                <w:sz w:val="27"/>
                <w:szCs w:val="27"/>
              </w:rPr>
              <w:t>希望以原校畢業，未來停辦設置專班也希望以臺灣觀光學院為優先考量。</w:t>
            </w:r>
          </w:p>
          <w:p w:rsidR="003E1A8B" w:rsidRPr="009423DD" w:rsidRDefault="003E1A8B" w:rsidP="00E21566">
            <w:pPr>
              <w:widowControl/>
              <w:numPr>
                <w:ilvl w:val="0"/>
                <w:numId w:val="9"/>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停辦後在學學生學籍保留問題？</w:t>
            </w:r>
          </w:p>
          <w:p w:rsidR="003E1A8B" w:rsidRPr="009423DD" w:rsidRDefault="003E1A8B" w:rsidP="00E21566">
            <w:pPr>
              <w:widowControl/>
              <w:numPr>
                <w:ilvl w:val="0"/>
                <w:numId w:val="9"/>
              </w:numPr>
              <w:overflowPunct/>
              <w:autoSpaceDE/>
              <w:autoSpaceDN/>
              <w:ind w:left="316" w:hanging="316"/>
              <w:rPr>
                <w:rFonts w:hAnsi="標楷體" w:cs="Calibri"/>
                <w:color w:val="000000" w:themeColor="text1"/>
                <w:kern w:val="0"/>
                <w:sz w:val="27"/>
                <w:szCs w:val="27"/>
              </w:rPr>
            </w:pPr>
            <w:r w:rsidRPr="009423DD">
              <w:rPr>
                <w:rFonts w:hAnsi="標楷體" w:cs="Calibri" w:hint="eastAsia"/>
                <w:color w:val="000000" w:themeColor="text1"/>
                <w:kern w:val="0"/>
                <w:sz w:val="27"/>
                <w:szCs w:val="27"/>
              </w:rPr>
              <w:t>所修學分已達2/3，也找好老師研討未來論文寫作方向，希望找原來老師繼續指導論文寫作。</w:t>
            </w:r>
          </w:p>
          <w:p w:rsidR="003E1A8B" w:rsidRPr="009423DD" w:rsidRDefault="003E1A8B" w:rsidP="00E21566">
            <w:pPr>
              <w:widowControl/>
              <w:numPr>
                <w:ilvl w:val="0"/>
                <w:numId w:val="9"/>
              </w:numPr>
              <w:overflowPunct/>
              <w:autoSpaceDE/>
              <w:autoSpaceDN/>
              <w:ind w:left="316" w:hanging="316"/>
              <w:rPr>
                <w:rFonts w:hAnsi="標楷體" w:cs="Calibri"/>
                <w:color w:val="000000" w:themeColor="text1"/>
                <w:kern w:val="0"/>
                <w:sz w:val="27"/>
                <w:szCs w:val="27"/>
              </w:rPr>
            </w:pPr>
            <w:r w:rsidRPr="009423DD">
              <w:rPr>
                <w:rFonts w:hAnsi="標楷體" w:cs="Calibri" w:hint="eastAsia"/>
                <w:color w:val="000000" w:themeColor="text1"/>
                <w:kern w:val="0"/>
                <w:sz w:val="27"/>
                <w:szCs w:val="27"/>
              </w:rPr>
              <w:t>仍在休學中的17名研究生如何彈性處理？</w:t>
            </w:r>
          </w:p>
          <w:p w:rsidR="003E1A8B" w:rsidRPr="009423DD" w:rsidRDefault="003E1A8B" w:rsidP="00E21566">
            <w:pPr>
              <w:widowControl/>
              <w:numPr>
                <w:ilvl w:val="0"/>
                <w:numId w:val="9"/>
              </w:numPr>
              <w:overflowPunct/>
              <w:autoSpaceDE/>
              <w:autoSpaceDN/>
              <w:ind w:left="316" w:hanging="316"/>
              <w:rPr>
                <w:rFonts w:hAnsi="標楷體" w:cs="Calibri"/>
                <w:color w:val="000000" w:themeColor="text1"/>
                <w:kern w:val="0"/>
                <w:sz w:val="27"/>
                <w:szCs w:val="27"/>
              </w:rPr>
            </w:pPr>
            <w:r w:rsidRPr="009423DD">
              <w:rPr>
                <w:rFonts w:hAnsi="標楷體" w:cs="Calibri" w:hint="eastAsia"/>
                <w:color w:val="000000" w:themeColor="text1"/>
                <w:kern w:val="0"/>
                <w:sz w:val="27"/>
                <w:szCs w:val="27"/>
              </w:rPr>
              <w:t>個人因育嬰休學1年，等我復學時，學校已經停辦，而且進入研四生，像我這種例子，未來在考慮「專班」設置的時候，是否亦應一併考量？</w:t>
            </w:r>
          </w:p>
        </w:tc>
      </w:tr>
      <w:tr w:rsidR="009423DD" w:rsidRPr="009423DD" w:rsidTr="00450883">
        <w:trPr>
          <w:trHeight w:val="330"/>
          <w:jc w:val="center"/>
        </w:trPr>
        <w:tc>
          <w:tcPr>
            <w:tcW w:w="1260" w:type="dxa"/>
            <w:shd w:val="clear" w:color="auto" w:fill="auto"/>
            <w:vAlign w:val="center"/>
          </w:tcPr>
          <w:p w:rsidR="003E1A8B" w:rsidRPr="009423DD" w:rsidRDefault="003E1A8B" w:rsidP="00AA6190">
            <w:pPr>
              <w:widowControl/>
              <w:jc w:val="center"/>
              <w:rPr>
                <w:rFonts w:hAnsi="標楷體" w:cs="Calibri"/>
                <w:b/>
                <w:color w:val="000000" w:themeColor="text1"/>
                <w:kern w:val="0"/>
                <w:sz w:val="27"/>
                <w:szCs w:val="27"/>
              </w:rPr>
            </w:pPr>
            <w:r w:rsidRPr="009423DD">
              <w:rPr>
                <w:rFonts w:hAnsi="標楷體" w:cs="Calibri" w:hint="eastAsia"/>
                <w:b/>
                <w:color w:val="000000" w:themeColor="text1"/>
                <w:kern w:val="0"/>
                <w:sz w:val="27"/>
                <w:szCs w:val="27"/>
              </w:rPr>
              <w:t>進修部</w:t>
            </w:r>
          </w:p>
        </w:tc>
        <w:tc>
          <w:tcPr>
            <w:tcW w:w="7995" w:type="dxa"/>
            <w:shd w:val="clear" w:color="auto" w:fill="auto"/>
            <w:vAlign w:val="center"/>
          </w:tcPr>
          <w:p w:rsidR="003E1A8B" w:rsidRPr="009423DD" w:rsidRDefault="003E1A8B" w:rsidP="00E21566">
            <w:pPr>
              <w:widowControl/>
              <w:numPr>
                <w:ilvl w:val="0"/>
                <w:numId w:val="10"/>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所有同學希望以「臺灣觀光學院」原校、原課程與原師資畢業。</w:t>
            </w:r>
          </w:p>
          <w:p w:rsidR="003E1A8B" w:rsidRPr="009423DD" w:rsidRDefault="003E1A8B" w:rsidP="00E21566">
            <w:pPr>
              <w:widowControl/>
              <w:numPr>
                <w:ilvl w:val="0"/>
                <w:numId w:val="10"/>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如教育部規劃設立「專班」，建議以東華大學或慈濟科技大學為主。</w:t>
            </w:r>
          </w:p>
          <w:p w:rsidR="003E1A8B" w:rsidRPr="009423DD" w:rsidRDefault="003E1A8B" w:rsidP="00E21566">
            <w:pPr>
              <w:widowControl/>
              <w:numPr>
                <w:ilvl w:val="0"/>
                <w:numId w:val="10"/>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如教育部於前述學校設立「專班」，考量南區（如玉里地區）同學北上上課路程等問題，建議給予車馬補助費及誤餐費。</w:t>
            </w:r>
          </w:p>
          <w:p w:rsidR="00010416" w:rsidRPr="009423DD" w:rsidRDefault="003E1A8B" w:rsidP="00010416">
            <w:pPr>
              <w:widowControl/>
              <w:numPr>
                <w:ilvl w:val="0"/>
                <w:numId w:val="10"/>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對於設立「專班」學校如要求同學穿著制服，則建議教育部能夠給予相關制服補助費用</w:t>
            </w:r>
            <w:r w:rsidR="00E41DC1" w:rsidRPr="009423DD">
              <w:rPr>
                <w:rStyle w:val="afe"/>
                <w:rFonts w:hAnsi="標楷體" w:cs="Calibri"/>
                <w:color w:val="000000" w:themeColor="text1"/>
                <w:kern w:val="0"/>
                <w:sz w:val="27"/>
                <w:szCs w:val="27"/>
              </w:rPr>
              <w:footnoteReference w:id="7"/>
            </w:r>
            <w:r w:rsidRPr="009423DD">
              <w:rPr>
                <w:rFonts w:hAnsi="標楷體" w:cs="Calibri" w:hint="eastAsia"/>
                <w:color w:val="000000" w:themeColor="text1"/>
                <w:kern w:val="0"/>
                <w:sz w:val="27"/>
                <w:szCs w:val="27"/>
              </w:rPr>
              <w:t>。</w:t>
            </w:r>
          </w:p>
        </w:tc>
      </w:tr>
      <w:tr w:rsidR="009423DD" w:rsidRPr="009423DD" w:rsidTr="00450883">
        <w:trPr>
          <w:trHeight w:val="330"/>
          <w:jc w:val="center"/>
        </w:trPr>
        <w:tc>
          <w:tcPr>
            <w:tcW w:w="1260" w:type="dxa"/>
            <w:shd w:val="clear" w:color="auto" w:fill="auto"/>
            <w:vAlign w:val="center"/>
          </w:tcPr>
          <w:p w:rsidR="003E1A8B" w:rsidRPr="009423DD" w:rsidRDefault="003E1A8B" w:rsidP="00AA6190">
            <w:pPr>
              <w:widowControl/>
              <w:jc w:val="center"/>
              <w:rPr>
                <w:rFonts w:hAnsi="標楷體" w:cs="Calibri"/>
                <w:b/>
                <w:color w:val="000000" w:themeColor="text1"/>
                <w:kern w:val="0"/>
                <w:sz w:val="27"/>
                <w:szCs w:val="27"/>
              </w:rPr>
            </w:pPr>
            <w:r w:rsidRPr="009423DD">
              <w:rPr>
                <w:rFonts w:hAnsi="標楷體" w:cs="Calibri" w:hint="eastAsia"/>
                <w:b/>
                <w:color w:val="000000" w:themeColor="text1"/>
                <w:kern w:val="0"/>
                <w:sz w:val="27"/>
                <w:szCs w:val="27"/>
              </w:rPr>
              <w:t>日間部</w:t>
            </w:r>
          </w:p>
        </w:tc>
        <w:tc>
          <w:tcPr>
            <w:tcW w:w="7995" w:type="dxa"/>
            <w:shd w:val="clear" w:color="auto" w:fill="auto"/>
            <w:vAlign w:val="center"/>
          </w:tcPr>
          <w:p w:rsidR="003E1A8B" w:rsidRPr="009423DD" w:rsidRDefault="003E1A8B" w:rsidP="00E21566">
            <w:pPr>
              <w:widowControl/>
              <w:numPr>
                <w:ilvl w:val="0"/>
                <w:numId w:val="11"/>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上學期(109-1)校方曾允諾開證照輔導班，輔導畢業生能夠準時畢業，</w:t>
            </w:r>
            <w:r w:rsidRPr="009423DD">
              <w:rPr>
                <w:rFonts w:hAnsi="標楷體" w:cs="Calibri" w:hint="eastAsia"/>
                <w:color w:val="000000" w:themeColor="text1"/>
                <w:kern w:val="0"/>
                <w:sz w:val="27"/>
                <w:szCs w:val="27"/>
                <w:u w:val="single"/>
              </w:rPr>
              <w:t>但目前尚未接獲任何有關證照輔導班相關訊息</w:t>
            </w:r>
            <w:r w:rsidRPr="009423DD">
              <w:rPr>
                <w:rFonts w:hAnsi="標楷體" w:cs="Calibri" w:hint="eastAsia"/>
                <w:color w:val="000000" w:themeColor="text1"/>
                <w:kern w:val="0"/>
                <w:sz w:val="27"/>
                <w:szCs w:val="27"/>
              </w:rPr>
              <w:t>，我們只希望能夠準時畢業，</w:t>
            </w:r>
            <w:r w:rsidRPr="009423DD">
              <w:rPr>
                <w:rFonts w:hAnsi="標楷體" w:cs="Calibri" w:hint="eastAsia"/>
                <w:color w:val="000000" w:themeColor="text1"/>
                <w:kern w:val="0"/>
                <w:sz w:val="27"/>
                <w:szCs w:val="27"/>
                <w:u w:val="single"/>
              </w:rPr>
              <w:t>卻無門路能夠考取證照</w:t>
            </w:r>
            <w:r w:rsidRPr="009423DD">
              <w:rPr>
                <w:rFonts w:hAnsi="標楷體" w:cs="Calibri" w:hint="eastAsia"/>
                <w:color w:val="000000" w:themeColor="text1"/>
                <w:kern w:val="0"/>
                <w:sz w:val="27"/>
                <w:szCs w:val="27"/>
              </w:rPr>
              <w:t>，以及許多人因應英文門檻問題也無法準時畢業，希望能夠降低門檻，讓畢業生準時畢業離校。</w:t>
            </w:r>
          </w:p>
          <w:p w:rsidR="003E1A8B" w:rsidRPr="009423DD" w:rsidRDefault="003E1A8B" w:rsidP="00E21566">
            <w:pPr>
              <w:widowControl/>
              <w:numPr>
                <w:ilvl w:val="0"/>
                <w:numId w:val="11"/>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110學年度課程規劃為全年實習，班上希望有餐飲相關類群教職員能夠輔導我們實習相關事宜，可尋找曾在</w:t>
            </w:r>
            <w:r w:rsidR="00F50EA9">
              <w:rPr>
                <w:rFonts w:hAnsi="標楷體" w:cs="Calibri" w:hint="eastAsia"/>
                <w:color w:val="7030A0"/>
                <w:kern w:val="0"/>
                <w:sz w:val="27"/>
                <w:szCs w:val="27"/>
              </w:rPr>
              <w:t>該校</w:t>
            </w:r>
            <w:r w:rsidRPr="009423DD">
              <w:rPr>
                <w:rFonts w:hAnsi="標楷體" w:cs="Calibri" w:hint="eastAsia"/>
                <w:color w:val="000000" w:themeColor="text1"/>
                <w:kern w:val="0"/>
                <w:sz w:val="27"/>
                <w:szCs w:val="27"/>
              </w:rPr>
              <w:t>任職、且目前在慈濟任職的教職員擔任輔導員。</w:t>
            </w:r>
          </w:p>
          <w:p w:rsidR="003E1A8B" w:rsidRPr="009423DD" w:rsidRDefault="003E1A8B" w:rsidP="00E21566">
            <w:pPr>
              <w:widowControl/>
              <w:numPr>
                <w:ilvl w:val="0"/>
                <w:numId w:val="11"/>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lastRenderedPageBreak/>
              <w:t>班上許多同學因缺少學分而無法準時畢業離校。</w:t>
            </w:r>
          </w:p>
          <w:p w:rsidR="003E1A8B" w:rsidRPr="009423DD" w:rsidRDefault="003E1A8B" w:rsidP="00E21566">
            <w:pPr>
              <w:widowControl/>
              <w:numPr>
                <w:ilvl w:val="0"/>
                <w:numId w:val="11"/>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入學時因應學校政策，兩天上課其他時間都在各飯店進行正職工作，目前學校突然改變政策，導致我們課業及工作無法同時兼顧。</w:t>
            </w:r>
          </w:p>
          <w:p w:rsidR="003E1A8B" w:rsidRPr="009423DD" w:rsidRDefault="003E1A8B" w:rsidP="00E21566">
            <w:pPr>
              <w:widowControl/>
              <w:numPr>
                <w:ilvl w:val="0"/>
                <w:numId w:val="11"/>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不論轉學、專班都能補助住宿、交通、制服及誤餐費</w:t>
            </w:r>
            <w:r w:rsidR="00DB353D" w:rsidRPr="009423DD">
              <w:rPr>
                <w:rFonts w:hAnsi="標楷體" w:cs="Calibri" w:hint="eastAsia"/>
                <w:color w:val="000000" w:themeColor="text1"/>
                <w:kern w:val="0"/>
                <w:sz w:val="27"/>
                <w:szCs w:val="27"/>
              </w:rPr>
              <w:t>。</w:t>
            </w:r>
          </w:p>
          <w:p w:rsidR="003E1A8B" w:rsidRPr="009423DD" w:rsidRDefault="003E1A8B" w:rsidP="00E21566">
            <w:pPr>
              <w:widowControl/>
              <w:numPr>
                <w:ilvl w:val="0"/>
                <w:numId w:val="11"/>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班上有花蓮南區的同學每天搭車來學校，請補助類似這樣的同學搭車費用。</w:t>
            </w:r>
          </w:p>
          <w:p w:rsidR="003E1A8B" w:rsidRPr="009423DD" w:rsidRDefault="003E1A8B" w:rsidP="00E21566">
            <w:pPr>
              <w:widowControl/>
              <w:numPr>
                <w:ilvl w:val="0"/>
                <w:numId w:val="11"/>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班上過半數同學沒辦法如期畢業，不少同學缺少畢業學分、證照，學校可以在暑修班保證我們畢業嗎？</w:t>
            </w:r>
          </w:p>
          <w:p w:rsidR="003E1A8B" w:rsidRPr="009423DD" w:rsidRDefault="003E1A8B" w:rsidP="00E21566">
            <w:pPr>
              <w:widowControl/>
              <w:numPr>
                <w:ilvl w:val="0"/>
                <w:numId w:val="11"/>
              </w:numPr>
              <w:overflowPunct/>
              <w:autoSpaceDE/>
              <w:autoSpaceDN/>
              <w:rPr>
                <w:rFonts w:hAnsi="標楷體" w:cs="Calibri"/>
                <w:color w:val="000000" w:themeColor="text1"/>
                <w:kern w:val="0"/>
                <w:sz w:val="27"/>
                <w:szCs w:val="27"/>
              </w:rPr>
            </w:pPr>
            <w:r w:rsidRPr="009423DD">
              <w:rPr>
                <w:rFonts w:hAnsi="標楷體" w:cs="Calibri" w:hint="eastAsia"/>
                <w:color w:val="000000" w:themeColor="text1"/>
                <w:kern w:val="0"/>
                <w:sz w:val="27"/>
                <w:szCs w:val="27"/>
              </w:rPr>
              <w:t>班上有許多休學的同學，在休業年限到達前復學，是否會在專班？</w:t>
            </w:r>
          </w:p>
        </w:tc>
      </w:tr>
    </w:tbl>
    <w:p w:rsidR="00450883" w:rsidRPr="009423DD" w:rsidRDefault="00450883" w:rsidP="00081B8A">
      <w:pPr>
        <w:spacing w:afterLines="50" w:after="228"/>
        <w:ind w:leftChars="-83" w:left="2" w:hangingChars="109" w:hanging="284"/>
        <w:rPr>
          <w:color w:val="000000" w:themeColor="text1"/>
          <w:sz w:val="24"/>
          <w:szCs w:val="24"/>
        </w:rPr>
      </w:pPr>
      <w:r w:rsidRPr="009423DD">
        <w:rPr>
          <w:rFonts w:hint="eastAsia"/>
          <w:color w:val="000000" w:themeColor="text1"/>
          <w:sz w:val="24"/>
          <w:szCs w:val="24"/>
        </w:rPr>
        <w:lastRenderedPageBreak/>
        <w:t>資料來源：教育部</w:t>
      </w:r>
      <w:r w:rsidR="0046158A" w:rsidRPr="009423DD">
        <w:rPr>
          <w:rFonts w:hint="eastAsia"/>
          <w:color w:val="000000" w:themeColor="text1"/>
          <w:sz w:val="24"/>
          <w:szCs w:val="24"/>
        </w:rPr>
        <w:t>，本院彙整</w:t>
      </w:r>
      <w:r w:rsidRPr="009423DD">
        <w:rPr>
          <w:rFonts w:hint="eastAsia"/>
          <w:color w:val="000000" w:themeColor="text1"/>
          <w:sz w:val="24"/>
          <w:szCs w:val="24"/>
        </w:rPr>
        <w:t>。</w:t>
      </w:r>
    </w:p>
    <w:p w:rsidR="00FB31D1" w:rsidRPr="009423DD" w:rsidRDefault="00010416" w:rsidP="00FB31D1">
      <w:pPr>
        <w:pStyle w:val="4"/>
        <w:rPr>
          <w:color w:val="000000" w:themeColor="text1"/>
        </w:rPr>
      </w:pPr>
      <w:r w:rsidRPr="009423DD">
        <w:rPr>
          <w:rFonts w:hint="eastAsia"/>
          <w:color w:val="000000" w:themeColor="text1"/>
        </w:rPr>
        <w:t>再根據</w:t>
      </w:r>
      <w:r w:rsidR="00FB31D1" w:rsidRPr="009423DD">
        <w:rPr>
          <w:rFonts w:hint="eastAsia"/>
          <w:color w:val="000000" w:themeColor="text1"/>
        </w:rPr>
        <w:t>該校於</w:t>
      </w:r>
      <w:r w:rsidR="00FB31D1" w:rsidRPr="009423DD">
        <w:rPr>
          <w:rFonts w:hAnsi="標楷體" w:hint="eastAsia"/>
          <w:color w:val="000000" w:themeColor="text1"/>
          <w:szCs w:val="32"/>
        </w:rPr>
        <w:t>109學年度第2學期3月中進行「停止辦學後學生學習意向動態調查」</w:t>
      </w:r>
      <w:r w:rsidR="00FB31D1" w:rsidRPr="009423DD">
        <w:rPr>
          <w:rStyle w:val="afe"/>
          <w:rFonts w:hAnsi="標楷體"/>
          <w:color w:val="000000" w:themeColor="text1"/>
          <w:szCs w:val="32"/>
        </w:rPr>
        <w:footnoteReference w:id="8"/>
      </w:r>
      <w:r w:rsidR="00FB31D1" w:rsidRPr="009423DD">
        <w:rPr>
          <w:rFonts w:hAnsi="標楷體" w:hint="eastAsia"/>
          <w:color w:val="000000" w:themeColor="text1"/>
          <w:szCs w:val="32"/>
        </w:rPr>
        <w:t>之調查結果顯示，5成以上學生意向表達「選擇原校就讀」，3成以上意向表達「接受專班安置」，摘述如下表：</w:t>
      </w:r>
    </w:p>
    <w:p w:rsidR="00FB31D1" w:rsidRPr="009423DD" w:rsidRDefault="00FB31D1" w:rsidP="00DF6FB2">
      <w:pPr>
        <w:pStyle w:val="a3"/>
        <w:numPr>
          <w:ilvl w:val="0"/>
          <w:numId w:val="0"/>
        </w:numPr>
        <w:spacing w:beforeLines="50" w:before="228" w:after="0" w:line="240" w:lineRule="auto"/>
        <w:ind w:left="482" w:hanging="482"/>
        <w:jc w:val="center"/>
        <w:rPr>
          <w:b/>
          <w:color w:val="000000" w:themeColor="text1"/>
        </w:rPr>
      </w:pPr>
      <w:r w:rsidRPr="009423DD">
        <w:rPr>
          <w:rFonts w:hint="eastAsia"/>
          <w:b/>
          <w:color w:val="000000" w:themeColor="text1"/>
        </w:rPr>
        <w:t>非應屆畢業生意向調查結果整合</w:t>
      </w:r>
    </w:p>
    <w:tbl>
      <w:tblPr>
        <w:tblStyle w:val="af6"/>
        <w:tblW w:w="0" w:type="auto"/>
        <w:tblLook w:val="04A0" w:firstRow="1" w:lastRow="0" w:firstColumn="1" w:lastColumn="0" w:noHBand="0" w:noVBand="1"/>
      </w:tblPr>
      <w:tblGrid>
        <w:gridCol w:w="2944"/>
        <w:gridCol w:w="2945"/>
        <w:gridCol w:w="2945"/>
      </w:tblGrid>
      <w:tr w:rsidR="009423DD" w:rsidRPr="009423DD" w:rsidTr="00891601">
        <w:trPr>
          <w:tblHeader/>
        </w:trPr>
        <w:tc>
          <w:tcPr>
            <w:tcW w:w="2944" w:type="dxa"/>
            <w:shd w:val="clear" w:color="auto" w:fill="EEECE1" w:themeFill="background2"/>
          </w:tcPr>
          <w:p w:rsidR="00965497" w:rsidRPr="009423DD" w:rsidRDefault="00965497" w:rsidP="00891601">
            <w:pPr>
              <w:jc w:val="center"/>
              <w:rPr>
                <w:b/>
                <w:color w:val="000000" w:themeColor="text1"/>
                <w:sz w:val="28"/>
                <w:szCs w:val="28"/>
              </w:rPr>
            </w:pPr>
            <w:r w:rsidRPr="009423DD">
              <w:rPr>
                <w:rFonts w:hint="eastAsia"/>
                <w:b/>
                <w:color w:val="000000" w:themeColor="text1"/>
                <w:sz w:val="28"/>
                <w:szCs w:val="28"/>
              </w:rPr>
              <w:t>學生意向</w:t>
            </w:r>
          </w:p>
        </w:tc>
        <w:tc>
          <w:tcPr>
            <w:tcW w:w="2945" w:type="dxa"/>
            <w:shd w:val="clear" w:color="auto" w:fill="EEECE1" w:themeFill="background2"/>
          </w:tcPr>
          <w:p w:rsidR="00965497" w:rsidRPr="009423DD" w:rsidRDefault="00965497" w:rsidP="00891601">
            <w:pPr>
              <w:jc w:val="center"/>
              <w:rPr>
                <w:b/>
                <w:color w:val="000000" w:themeColor="text1"/>
                <w:sz w:val="28"/>
                <w:szCs w:val="28"/>
              </w:rPr>
            </w:pPr>
            <w:r w:rsidRPr="009423DD">
              <w:rPr>
                <w:rFonts w:hint="eastAsia"/>
                <w:b/>
                <w:color w:val="000000" w:themeColor="text1"/>
                <w:sz w:val="28"/>
                <w:szCs w:val="28"/>
              </w:rPr>
              <w:t>第1順位</w:t>
            </w:r>
          </w:p>
        </w:tc>
        <w:tc>
          <w:tcPr>
            <w:tcW w:w="2945" w:type="dxa"/>
            <w:shd w:val="clear" w:color="auto" w:fill="EEECE1" w:themeFill="background2"/>
          </w:tcPr>
          <w:p w:rsidR="00965497" w:rsidRPr="009423DD" w:rsidRDefault="00965497" w:rsidP="00891601">
            <w:pPr>
              <w:jc w:val="center"/>
              <w:rPr>
                <w:b/>
                <w:color w:val="000000" w:themeColor="text1"/>
                <w:sz w:val="28"/>
                <w:szCs w:val="28"/>
              </w:rPr>
            </w:pPr>
            <w:r w:rsidRPr="009423DD">
              <w:rPr>
                <w:rFonts w:hint="eastAsia"/>
                <w:b/>
                <w:color w:val="000000" w:themeColor="text1"/>
                <w:sz w:val="28"/>
                <w:szCs w:val="28"/>
              </w:rPr>
              <w:t>第2順位</w:t>
            </w:r>
          </w:p>
        </w:tc>
      </w:tr>
      <w:tr w:rsidR="009423DD" w:rsidRPr="009423DD" w:rsidTr="00891601">
        <w:tc>
          <w:tcPr>
            <w:tcW w:w="2944"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選擇原校就讀</w:t>
            </w:r>
          </w:p>
        </w:tc>
        <w:tc>
          <w:tcPr>
            <w:tcW w:w="2945"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54%</w:t>
            </w:r>
          </w:p>
        </w:tc>
        <w:tc>
          <w:tcPr>
            <w:tcW w:w="2945"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0%</w:t>
            </w:r>
          </w:p>
        </w:tc>
      </w:tr>
      <w:tr w:rsidR="009423DD" w:rsidRPr="009423DD" w:rsidTr="00891601">
        <w:tc>
          <w:tcPr>
            <w:tcW w:w="2944"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接受專班安置</w:t>
            </w:r>
          </w:p>
        </w:tc>
        <w:tc>
          <w:tcPr>
            <w:tcW w:w="2945"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32%</w:t>
            </w:r>
          </w:p>
        </w:tc>
        <w:tc>
          <w:tcPr>
            <w:tcW w:w="2945"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22%</w:t>
            </w:r>
          </w:p>
        </w:tc>
      </w:tr>
      <w:tr w:rsidR="009423DD" w:rsidRPr="009423DD" w:rsidTr="00891601">
        <w:tc>
          <w:tcPr>
            <w:tcW w:w="2944"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接受教育部轉學安置</w:t>
            </w:r>
          </w:p>
        </w:tc>
        <w:tc>
          <w:tcPr>
            <w:tcW w:w="2945"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7%</w:t>
            </w:r>
          </w:p>
        </w:tc>
        <w:tc>
          <w:tcPr>
            <w:tcW w:w="2945"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1%</w:t>
            </w:r>
          </w:p>
        </w:tc>
      </w:tr>
      <w:tr w:rsidR="009423DD" w:rsidRPr="009423DD" w:rsidTr="00891601">
        <w:tc>
          <w:tcPr>
            <w:tcW w:w="2944"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放棄就讀</w:t>
            </w:r>
          </w:p>
        </w:tc>
        <w:tc>
          <w:tcPr>
            <w:tcW w:w="2945"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3%</w:t>
            </w:r>
          </w:p>
        </w:tc>
        <w:tc>
          <w:tcPr>
            <w:tcW w:w="2945" w:type="dxa"/>
          </w:tcPr>
          <w:p w:rsidR="00965497" w:rsidRPr="009423DD" w:rsidRDefault="00965497" w:rsidP="00891601">
            <w:pPr>
              <w:jc w:val="center"/>
              <w:rPr>
                <w:color w:val="000000" w:themeColor="text1"/>
                <w:sz w:val="28"/>
                <w:szCs w:val="28"/>
              </w:rPr>
            </w:pPr>
            <w:r w:rsidRPr="009423DD">
              <w:rPr>
                <w:rFonts w:hint="eastAsia"/>
                <w:color w:val="000000" w:themeColor="text1"/>
                <w:sz w:val="28"/>
                <w:szCs w:val="28"/>
              </w:rPr>
              <w:t>0%</w:t>
            </w:r>
          </w:p>
        </w:tc>
      </w:tr>
    </w:tbl>
    <w:p w:rsidR="00FB31D1" w:rsidRPr="009423DD" w:rsidRDefault="00FB31D1" w:rsidP="00FB31D1">
      <w:pPr>
        <w:spacing w:afterLines="50" w:after="228"/>
        <w:rPr>
          <w:color w:val="000000" w:themeColor="text1"/>
          <w:sz w:val="24"/>
          <w:szCs w:val="24"/>
        </w:rPr>
      </w:pPr>
      <w:r w:rsidRPr="009423DD">
        <w:rPr>
          <w:rFonts w:hint="eastAsia"/>
          <w:color w:val="000000" w:themeColor="text1"/>
          <w:sz w:val="24"/>
          <w:szCs w:val="24"/>
        </w:rPr>
        <w:t>資料來源：教育部。</w:t>
      </w:r>
    </w:p>
    <w:p w:rsidR="00DD2FE7" w:rsidRPr="009423DD" w:rsidRDefault="00372657" w:rsidP="00EF2FBA">
      <w:pPr>
        <w:pStyle w:val="3"/>
        <w:rPr>
          <w:color w:val="000000" w:themeColor="text1"/>
        </w:rPr>
      </w:pPr>
      <w:r w:rsidRPr="009423DD">
        <w:rPr>
          <w:rFonts w:hint="eastAsia"/>
          <w:color w:val="000000" w:themeColor="text1"/>
        </w:rPr>
        <w:t>綜上，</w:t>
      </w:r>
      <w:r w:rsidR="00EA0A57" w:rsidRPr="00EA0A57">
        <w:rPr>
          <w:rFonts w:hint="eastAsia"/>
          <w:color w:val="000000" w:themeColor="text1"/>
        </w:rPr>
        <w:t>臺灣觀光學院前於107學年度即曾經教育部核定停招部分系所，又再於110學年度全部停招，110年4月15日該校董事會再函</w:t>
      </w:r>
      <w:r w:rsidR="00EA0A57" w:rsidRPr="00EA0A57">
        <w:rPr>
          <w:rFonts w:hAnsi="標楷體" w:hint="eastAsia"/>
          <w:color w:val="000000" w:themeColor="text1"/>
          <w:szCs w:val="32"/>
        </w:rPr>
        <w:t>教育部</w:t>
      </w:r>
      <w:r w:rsidR="00EA0A57" w:rsidRPr="00EA0A57">
        <w:rPr>
          <w:rFonts w:hint="eastAsia"/>
          <w:color w:val="000000" w:themeColor="text1"/>
        </w:rPr>
        <w:t>申請停辦獲准，惟</w:t>
      </w:r>
      <w:r w:rsidR="00EA0A57" w:rsidRPr="00EA0A57">
        <w:rPr>
          <w:rFonts w:hAnsi="標楷體"/>
          <w:color w:val="000000" w:themeColor="text1"/>
          <w:szCs w:val="32"/>
        </w:rPr>
        <w:t>該校</w:t>
      </w:r>
      <w:r w:rsidR="00EA0A57" w:rsidRPr="00EA0A57">
        <w:rPr>
          <w:rFonts w:hAnsi="標楷體" w:hint="eastAsia"/>
          <w:color w:val="000000" w:themeColor="text1"/>
          <w:szCs w:val="32"/>
        </w:rPr>
        <w:t>於歷年二度停招及後續之停辦期間，</w:t>
      </w:r>
      <w:r w:rsidR="00EA0A57" w:rsidRPr="00EA0A57">
        <w:rPr>
          <w:rFonts w:hAnsi="標楷體"/>
          <w:color w:val="000000" w:themeColor="text1"/>
          <w:szCs w:val="32"/>
        </w:rPr>
        <w:t>教學品質查核</w:t>
      </w:r>
      <w:r w:rsidR="00EA0A57" w:rsidRPr="00EA0A57">
        <w:rPr>
          <w:rFonts w:hAnsi="標楷體" w:hint="eastAsia"/>
          <w:color w:val="000000" w:themeColor="text1"/>
          <w:szCs w:val="32"/>
        </w:rPr>
        <w:t>多</w:t>
      </w:r>
      <w:r w:rsidR="00EA0A57" w:rsidRPr="00EA0A57">
        <w:rPr>
          <w:rFonts w:hAnsi="標楷體"/>
          <w:color w:val="000000" w:themeColor="text1"/>
          <w:szCs w:val="32"/>
        </w:rPr>
        <w:t>次</w:t>
      </w:r>
      <w:r w:rsidR="00EA0A57" w:rsidRPr="00EA0A57">
        <w:rPr>
          <w:rFonts w:hAnsi="標楷體" w:hint="eastAsia"/>
          <w:color w:val="000000" w:themeColor="text1"/>
          <w:szCs w:val="32"/>
        </w:rPr>
        <w:t>未</w:t>
      </w:r>
      <w:r w:rsidR="00EA0A57" w:rsidRPr="00EA0A57">
        <w:rPr>
          <w:rFonts w:hAnsi="標楷體"/>
          <w:color w:val="000000" w:themeColor="text1"/>
          <w:szCs w:val="32"/>
        </w:rPr>
        <w:t>通過，</w:t>
      </w:r>
      <w:r w:rsidR="00EA0A57" w:rsidRPr="00EA0A57">
        <w:rPr>
          <w:rFonts w:hAnsi="標楷體" w:hint="eastAsia"/>
          <w:color w:val="000000" w:themeColor="text1"/>
          <w:szCs w:val="32"/>
        </w:rPr>
        <w:t>且全校休退學比率高達</w:t>
      </w:r>
      <w:r w:rsidR="00EA0A57" w:rsidRPr="00EA0A57">
        <w:rPr>
          <w:rFonts w:hAnsi="標楷體" w:hint="eastAsia"/>
          <w:color w:val="000000" w:themeColor="text1"/>
          <w:szCs w:val="32"/>
        </w:rPr>
        <w:lastRenderedPageBreak/>
        <w:t>34.53%~100%，其中日間部休退學比率達4成左右，</w:t>
      </w:r>
      <w:r w:rsidR="00EA0A57" w:rsidRPr="005B7C45">
        <w:rPr>
          <w:rFonts w:hAnsi="標楷體" w:hint="eastAsia"/>
          <w:szCs w:val="32"/>
        </w:rPr>
        <w:t>與全國休、退學比率平均6%~7%相較，顯屬偏高，教育部長期未採取必要動作，影響學生權益甚大；</w:t>
      </w:r>
      <w:r w:rsidR="00EA0A57" w:rsidRPr="00EA0A57">
        <w:rPr>
          <w:rFonts w:hAnsi="標楷體" w:hint="eastAsia"/>
          <w:color w:val="000000" w:themeColor="text1"/>
          <w:szCs w:val="32"/>
        </w:rPr>
        <w:t>況且全校連續受</w:t>
      </w:r>
      <w:r w:rsidR="00EA0A57" w:rsidRPr="00EA0A57">
        <w:rPr>
          <w:rFonts w:hint="eastAsia"/>
          <w:color w:val="000000" w:themeColor="text1"/>
        </w:rPr>
        <w:t>兩次停招及停辦影響之</w:t>
      </w:r>
      <w:r w:rsidR="00EA0A57" w:rsidRPr="00EA0A57">
        <w:rPr>
          <w:rFonts w:hAnsi="標楷體" w:hint="eastAsia"/>
          <w:color w:val="000000" w:themeColor="text1"/>
          <w:szCs w:val="32"/>
        </w:rPr>
        <w:t>未畢業生高達84人</w:t>
      </w:r>
      <w:r w:rsidR="00EA0A57" w:rsidRPr="00EA0A57">
        <w:rPr>
          <w:rFonts w:hint="eastAsia"/>
          <w:color w:val="000000" w:themeColor="text1"/>
        </w:rPr>
        <w:t>，</w:t>
      </w:r>
      <w:r w:rsidR="00EA0A57" w:rsidRPr="00EA0A57">
        <w:rPr>
          <w:rFonts w:hAnsi="標楷體" w:hint="eastAsia"/>
          <w:color w:val="000000" w:themeColor="text1"/>
          <w:szCs w:val="32"/>
        </w:rPr>
        <w:t>教育部</w:t>
      </w:r>
      <w:r w:rsidR="00EA0A57" w:rsidRPr="00EA0A57">
        <w:rPr>
          <w:rFonts w:hint="eastAsia"/>
          <w:color w:val="000000" w:themeColor="text1"/>
        </w:rPr>
        <w:t>雖採他校專班安置，惟</w:t>
      </w:r>
      <w:r w:rsidR="00EA0A57" w:rsidRPr="00EA0A57">
        <w:rPr>
          <w:rFonts w:hAnsi="標楷體" w:hint="eastAsia"/>
          <w:color w:val="000000" w:themeColor="text1"/>
          <w:szCs w:val="32"/>
        </w:rPr>
        <w:t>多數學生表達「原校畢業」之訴求，且歷次受影響之經濟弱勢及特教生占比約達32.57%~41.79%，又接受安置學生中有4成申請就學貸款，學生停辦意見亦指出仍有待特殊協助情形，亟待積極督導強化相關</w:t>
      </w:r>
      <w:r w:rsidR="00EA0A57" w:rsidRPr="00EA0A57">
        <w:rPr>
          <w:rFonts w:hint="eastAsia"/>
          <w:color w:val="000000" w:themeColor="text1"/>
        </w:rPr>
        <w:t>輔導及協助措施</w:t>
      </w:r>
      <w:r w:rsidR="00EA0A57" w:rsidRPr="00EA0A57">
        <w:rPr>
          <w:rFonts w:hAnsi="標楷體" w:hint="eastAsia"/>
          <w:color w:val="000000" w:themeColor="text1"/>
          <w:szCs w:val="32"/>
        </w:rPr>
        <w:t>，以維教育權</w:t>
      </w:r>
      <w:r w:rsidR="00171792" w:rsidRPr="009423DD">
        <w:rPr>
          <w:rFonts w:hAnsi="標楷體" w:hint="eastAsia"/>
          <w:color w:val="000000" w:themeColor="text1"/>
          <w:szCs w:val="32"/>
        </w:rPr>
        <w:t>。</w:t>
      </w:r>
    </w:p>
    <w:p w:rsidR="00DD2FE7" w:rsidRPr="009423DD" w:rsidRDefault="00DD2FE7" w:rsidP="00CE30EE">
      <w:pPr>
        <w:pStyle w:val="2"/>
        <w:spacing w:beforeLines="50" w:before="228"/>
        <w:ind w:leftChars="101" w:left="1024" w:hanging="680"/>
        <w:rPr>
          <w:b/>
          <w:color w:val="000000" w:themeColor="text1"/>
        </w:rPr>
      </w:pPr>
      <w:bookmarkStart w:id="53" w:name="_Toc97105645"/>
      <w:r w:rsidRPr="009423DD">
        <w:rPr>
          <w:rFonts w:hint="eastAsia"/>
          <w:b/>
          <w:color w:val="000000" w:themeColor="text1"/>
        </w:rPr>
        <w:t>臺灣觀光學院</w:t>
      </w:r>
      <w:r w:rsidR="007924F7" w:rsidRPr="009423DD">
        <w:rPr>
          <w:rFonts w:hint="eastAsia"/>
          <w:b/>
          <w:color w:val="000000" w:themeColor="text1"/>
        </w:rPr>
        <w:t>於</w:t>
      </w:r>
      <w:r w:rsidR="00911CEB" w:rsidRPr="009423DD">
        <w:rPr>
          <w:rFonts w:hint="eastAsia"/>
          <w:b/>
          <w:color w:val="000000" w:themeColor="text1"/>
        </w:rPr>
        <w:t>退場</w:t>
      </w:r>
      <w:r w:rsidR="007924F7" w:rsidRPr="009423DD">
        <w:rPr>
          <w:rFonts w:hint="eastAsia"/>
          <w:b/>
          <w:color w:val="000000" w:themeColor="text1"/>
        </w:rPr>
        <w:t>程序</w:t>
      </w:r>
      <w:r w:rsidR="002A59D2" w:rsidRPr="009423DD">
        <w:rPr>
          <w:rFonts w:hint="eastAsia"/>
          <w:b/>
          <w:color w:val="000000" w:themeColor="text1"/>
        </w:rPr>
        <w:t>中</w:t>
      </w:r>
      <w:r w:rsidRPr="009423DD">
        <w:rPr>
          <w:rFonts w:hint="eastAsia"/>
          <w:b/>
          <w:color w:val="000000" w:themeColor="text1"/>
        </w:rPr>
        <w:t>，</w:t>
      </w:r>
      <w:r w:rsidR="002A59D2" w:rsidRPr="009423DD">
        <w:rPr>
          <w:rFonts w:hint="eastAsia"/>
          <w:b/>
          <w:color w:val="000000" w:themeColor="text1"/>
        </w:rPr>
        <w:t>經</w:t>
      </w:r>
      <w:r w:rsidRPr="009423DD">
        <w:rPr>
          <w:rFonts w:hint="eastAsia"/>
          <w:b/>
          <w:color w:val="000000" w:themeColor="text1"/>
        </w:rPr>
        <w:t>110年7月7日第10屆第9次董事會決議教職員工資遣議案，同年8月31日完成通報作業並</w:t>
      </w:r>
      <w:r w:rsidR="00EF116E" w:rsidRPr="009423DD">
        <w:rPr>
          <w:rFonts w:hint="eastAsia"/>
          <w:b/>
          <w:color w:val="000000" w:themeColor="text1"/>
        </w:rPr>
        <w:t>發放</w:t>
      </w:r>
      <w:r w:rsidRPr="009423DD">
        <w:rPr>
          <w:rFonts w:hint="eastAsia"/>
          <w:b/>
          <w:color w:val="000000" w:themeColor="text1"/>
        </w:rPr>
        <w:t>資遣及離職慰問金</w:t>
      </w:r>
      <w:r w:rsidR="00480EFD" w:rsidRPr="009423DD">
        <w:rPr>
          <w:rFonts w:hint="eastAsia"/>
          <w:b/>
          <w:color w:val="000000" w:themeColor="text1"/>
        </w:rPr>
        <w:t>，</w:t>
      </w:r>
      <w:r w:rsidR="00DE1E49" w:rsidRPr="009423DD">
        <w:rPr>
          <w:rFonts w:hint="eastAsia"/>
          <w:b/>
          <w:color w:val="000000" w:themeColor="text1"/>
        </w:rPr>
        <w:t>該校</w:t>
      </w:r>
      <w:r w:rsidR="00FA3823" w:rsidRPr="009423DD">
        <w:rPr>
          <w:rFonts w:hint="eastAsia"/>
          <w:b/>
          <w:color w:val="000000" w:themeColor="text1"/>
        </w:rPr>
        <w:t>並動支</w:t>
      </w:r>
      <w:r w:rsidR="000E0220" w:rsidRPr="009423DD">
        <w:rPr>
          <w:rFonts w:hint="eastAsia"/>
          <w:b/>
          <w:color w:val="000000" w:themeColor="text1"/>
        </w:rPr>
        <w:t>設校基金</w:t>
      </w:r>
      <w:r w:rsidR="00FA3823" w:rsidRPr="009423DD">
        <w:rPr>
          <w:rFonts w:hint="eastAsia"/>
          <w:b/>
          <w:color w:val="000000" w:themeColor="text1"/>
        </w:rPr>
        <w:t>撥付</w:t>
      </w:r>
      <w:r w:rsidR="000E0220" w:rsidRPr="009423DD">
        <w:rPr>
          <w:rFonts w:hint="eastAsia"/>
          <w:b/>
          <w:color w:val="000000" w:themeColor="text1"/>
        </w:rPr>
        <w:t>教職員工</w:t>
      </w:r>
      <w:r w:rsidR="00A05DAC" w:rsidRPr="009423DD">
        <w:rPr>
          <w:rFonts w:hint="eastAsia"/>
          <w:b/>
          <w:color w:val="000000" w:themeColor="text1"/>
        </w:rPr>
        <w:t>薪資</w:t>
      </w:r>
      <w:r w:rsidR="000E0220" w:rsidRPr="009423DD">
        <w:rPr>
          <w:rFonts w:hint="eastAsia"/>
          <w:b/>
          <w:color w:val="000000" w:themeColor="text1"/>
        </w:rPr>
        <w:t>，</w:t>
      </w:r>
      <w:r w:rsidR="00A05DAC" w:rsidRPr="009423DD">
        <w:rPr>
          <w:rFonts w:hint="eastAsia"/>
          <w:b/>
          <w:color w:val="000000" w:themeColor="text1"/>
        </w:rPr>
        <w:t>教職員均已辦理資遣及離校</w:t>
      </w:r>
      <w:r w:rsidR="000E0220" w:rsidRPr="009423DD">
        <w:rPr>
          <w:rFonts w:hint="eastAsia"/>
          <w:b/>
          <w:color w:val="000000" w:themeColor="text1"/>
        </w:rPr>
        <w:t>；</w:t>
      </w:r>
      <w:r w:rsidRPr="009423DD">
        <w:rPr>
          <w:rFonts w:hint="eastAsia"/>
          <w:b/>
          <w:color w:val="000000" w:themeColor="text1"/>
        </w:rPr>
        <w:t>惟</w:t>
      </w:r>
      <w:r w:rsidR="00C7240E" w:rsidRPr="009423DD">
        <w:rPr>
          <w:rFonts w:hint="eastAsia"/>
          <w:b/>
          <w:color w:val="000000" w:themeColor="text1"/>
        </w:rPr>
        <w:t>1</w:t>
      </w:r>
      <w:r w:rsidR="00C7240E" w:rsidRPr="009423DD">
        <w:rPr>
          <w:b/>
          <w:color w:val="000000" w:themeColor="text1"/>
        </w:rPr>
        <w:t>06</w:t>
      </w:r>
      <w:r w:rsidR="00C7240E" w:rsidRPr="009423DD">
        <w:rPr>
          <w:rFonts w:hint="eastAsia"/>
          <w:b/>
          <w:color w:val="000000" w:themeColor="text1"/>
        </w:rPr>
        <w:t>學年某助理教授兼5系系主任、某教官兼任學務長</w:t>
      </w:r>
      <w:r w:rsidR="00B54243" w:rsidRPr="009423DD">
        <w:rPr>
          <w:rFonts w:hint="eastAsia"/>
          <w:b/>
          <w:color w:val="000000" w:themeColor="text1"/>
        </w:rPr>
        <w:t>，均</w:t>
      </w:r>
      <w:r w:rsidR="00911619" w:rsidRPr="009423DD">
        <w:rPr>
          <w:rFonts w:hint="eastAsia"/>
          <w:b/>
          <w:color w:val="000000" w:themeColor="text1"/>
        </w:rPr>
        <w:t>有違失</w:t>
      </w:r>
      <w:r w:rsidR="00BF2649" w:rsidRPr="009423DD">
        <w:rPr>
          <w:rFonts w:hint="eastAsia"/>
          <w:b/>
          <w:color w:val="000000" w:themeColor="text1"/>
        </w:rPr>
        <w:t>，且</w:t>
      </w:r>
      <w:r w:rsidR="0013565A" w:rsidRPr="009423DD">
        <w:rPr>
          <w:rFonts w:hint="eastAsia"/>
          <w:b/>
          <w:color w:val="000000" w:themeColor="text1"/>
        </w:rPr>
        <w:t>101年至109年</w:t>
      </w:r>
      <w:r w:rsidR="00B1332D" w:rsidRPr="009423DD">
        <w:rPr>
          <w:rFonts w:hint="eastAsia"/>
          <w:b/>
          <w:color w:val="000000" w:themeColor="text1"/>
        </w:rPr>
        <w:t>該校</w:t>
      </w:r>
      <w:r w:rsidR="008A7C16" w:rsidRPr="009423DD">
        <w:rPr>
          <w:rFonts w:hint="eastAsia"/>
          <w:b/>
          <w:color w:val="000000" w:themeColor="text1"/>
        </w:rPr>
        <w:t>編制內專任教師數自61人逐年減至2人，</w:t>
      </w:r>
      <w:r w:rsidR="002D28D7" w:rsidRPr="009423DD">
        <w:rPr>
          <w:rFonts w:hint="eastAsia"/>
          <w:b/>
          <w:color w:val="000000" w:themeColor="text1"/>
        </w:rPr>
        <w:t>師資結構相對持續惡化，</w:t>
      </w:r>
      <w:r w:rsidR="008A7C16" w:rsidRPr="009423DD">
        <w:rPr>
          <w:rFonts w:hint="eastAsia"/>
          <w:b/>
          <w:color w:val="000000" w:themeColor="text1"/>
        </w:rPr>
        <w:t>其中</w:t>
      </w:r>
      <w:r w:rsidRPr="009423DD">
        <w:rPr>
          <w:rFonts w:hint="eastAsia"/>
          <w:b/>
          <w:color w:val="000000" w:themeColor="text1"/>
        </w:rPr>
        <w:t>105至106學年度由編制內專任轉為編制外專任</w:t>
      </w:r>
      <w:r w:rsidR="00083271" w:rsidRPr="009423DD">
        <w:rPr>
          <w:rFonts w:hint="eastAsia"/>
          <w:b/>
          <w:color w:val="000000" w:themeColor="text1"/>
        </w:rPr>
        <w:t>教師</w:t>
      </w:r>
      <w:r w:rsidR="004907BB" w:rsidRPr="009423DD">
        <w:rPr>
          <w:rFonts w:hint="eastAsia"/>
          <w:b/>
          <w:color w:val="000000" w:themeColor="text1"/>
        </w:rPr>
        <w:t>（</w:t>
      </w:r>
      <w:r w:rsidR="00EB378F" w:rsidRPr="009423DD">
        <w:rPr>
          <w:rFonts w:hint="eastAsia"/>
          <w:b/>
          <w:color w:val="000000" w:themeColor="text1"/>
        </w:rPr>
        <w:t>即</w:t>
      </w:r>
      <w:r w:rsidR="004907BB" w:rsidRPr="009423DD">
        <w:rPr>
          <w:rFonts w:hint="eastAsia"/>
          <w:b/>
          <w:color w:val="000000" w:themeColor="text1"/>
        </w:rPr>
        <w:t>專案教師）</w:t>
      </w:r>
      <w:r w:rsidRPr="009423DD">
        <w:rPr>
          <w:rFonts w:hint="eastAsia"/>
          <w:b/>
          <w:color w:val="000000" w:themeColor="text1"/>
        </w:rPr>
        <w:t>者計15人、轉為編制外兼任者計2人</w:t>
      </w:r>
      <w:r w:rsidR="00E47C81" w:rsidRPr="009423DD">
        <w:rPr>
          <w:rFonts w:hint="eastAsia"/>
          <w:b/>
          <w:color w:val="000000" w:themeColor="text1"/>
        </w:rPr>
        <w:t>，編制內專任教師數</w:t>
      </w:r>
      <w:r w:rsidR="00243E59" w:rsidRPr="009423DD">
        <w:rPr>
          <w:rFonts w:hint="eastAsia"/>
          <w:b/>
          <w:color w:val="000000" w:themeColor="text1"/>
        </w:rPr>
        <w:t>由45人降為4人</w:t>
      </w:r>
      <w:r w:rsidR="006F75F2" w:rsidRPr="009423DD">
        <w:rPr>
          <w:rFonts w:hint="eastAsia"/>
          <w:b/>
          <w:color w:val="000000" w:themeColor="text1"/>
        </w:rPr>
        <w:t>，</w:t>
      </w:r>
      <w:r w:rsidR="001A1F9F" w:rsidRPr="009423DD">
        <w:rPr>
          <w:rFonts w:hint="eastAsia"/>
          <w:b/>
          <w:color w:val="000000" w:themeColor="text1"/>
        </w:rPr>
        <w:t>且依教育部查核意見顯示，</w:t>
      </w:r>
      <w:r w:rsidR="001E387F" w:rsidRPr="009423DD">
        <w:rPr>
          <w:rFonts w:hint="eastAsia"/>
          <w:b/>
          <w:color w:val="000000" w:themeColor="text1"/>
        </w:rPr>
        <w:t>歷年</w:t>
      </w:r>
      <w:r w:rsidR="00CF2CA6" w:rsidRPr="009423DD">
        <w:rPr>
          <w:rFonts w:hint="eastAsia"/>
          <w:b/>
          <w:color w:val="000000" w:themeColor="text1"/>
        </w:rPr>
        <w:t>仍</w:t>
      </w:r>
      <w:r w:rsidR="006F75F2" w:rsidRPr="009423DD">
        <w:rPr>
          <w:rFonts w:hint="eastAsia"/>
          <w:b/>
          <w:color w:val="000000" w:themeColor="text1"/>
        </w:rPr>
        <w:t>有教師減薪、授課時數偏高、專長與授課課程不符及兼任過多職務等情，</w:t>
      </w:r>
      <w:r w:rsidR="00DA3749" w:rsidRPr="009423DD">
        <w:rPr>
          <w:rFonts w:hint="eastAsia"/>
          <w:b/>
          <w:color w:val="000000" w:themeColor="text1"/>
        </w:rPr>
        <w:t>損及</w:t>
      </w:r>
      <w:r w:rsidRPr="009423DD">
        <w:rPr>
          <w:rFonts w:hint="eastAsia"/>
          <w:b/>
          <w:color w:val="000000" w:themeColor="text1"/>
        </w:rPr>
        <w:t>教師</w:t>
      </w:r>
      <w:r w:rsidR="00E22F10" w:rsidRPr="009423DD">
        <w:rPr>
          <w:rFonts w:hint="eastAsia"/>
          <w:b/>
          <w:color w:val="000000" w:themeColor="text1"/>
        </w:rPr>
        <w:t>工作</w:t>
      </w:r>
      <w:r w:rsidR="00CA648E" w:rsidRPr="009423DD">
        <w:rPr>
          <w:rFonts w:hint="eastAsia"/>
          <w:b/>
          <w:color w:val="000000" w:themeColor="text1"/>
        </w:rPr>
        <w:t>及</w:t>
      </w:r>
      <w:r w:rsidR="00405506" w:rsidRPr="009423DD">
        <w:rPr>
          <w:rFonts w:hint="eastAsia"/>
          <w:b/>
          <w:color w:val="000000" w:themeColor="text1"/>
        </w:rPr>
        <w:t>學</w:t>
      </w:r>
      <w:r w:rsidR="00F84A20" w:rsidRPr="009423DD">
        <w:rPr>
          <w:rFonts w:hint="eastAsia"/>
          <w:b/>
          <w:color w:val="000000" w:themeColor="text1"/>
        </w:rPr>
        <w:t>生</w:t>
      </w:r>
      <w:r w:rsidR="0040302A" w:rsidRPr="009423DD">
        <w:rPr>
          <w:rFonts w:hint="eastAsia"/>
          <w:b/>
          <w:color w:val="000000" w:themeColor="text1"/>
        </w:rPr>
        <w:t>學習權益</w:t>
      </w:r>
      <w:r w:rsidR="005A07B3" w:rsidRPr="009423DD">
        <w:rPr>
          <w:rFonts w:hint="eastAsia"/>
          <w:b/>
          <w:color w:val="000000" w:themeColor="text1"/>
        </w:rPr>
        <w:t>，包括無法畢業</w:t>
      </w:r>
      <w:r w:rsidR="000C0977" w:rsidRPr="009423DD">
        <w:rPr>
          <w:rFonts w:hint="eastAsia"/>
          <w:b/>
          <w:color w:val="000000" w:themeColor="text1"/>
        </w:rPr>
        <w:t>、</w:t>
      </w:r>
      <w:r w:rsidR="005A07B3" w:rsidRPr="009423DD">
        <w:rPr>
          <w:rFonts w:hint="eastAsia"/>
          <w:b/>
          <w:color w:val="000000" w:themeColor="text1"/>
        </w:rPr>
        <w:t>未能</w:t>
      </w:r>
      <w:r w:rsidR="004B1244" w:rsidRPr="009423DD">
        <w:rPr>
          <w:rFonts w:hint="eastAsia"/>
          <w:b/>
          <w:color w:val="000000" w:themeColor="text1"/>
        </w:rPr>
        <w:t>培育專業</w:t>
      </w:r>
      <w:r w:rsidR="00785DA3" w:rsidRPr="009423DD">
        <w:rPr>
          <w:rFonts w:hint="eastAsia"/>
          <w:b/>
          <w:color w:val="000000" w:themeColor="text1"/>
        </w:rPr>
        <w:t>核心能力</w:t>
      </w:r>
      <w:r w:rsidR="009476E1" w:rsidRPr="009423DD">
        <w:rPr>
          <w:rFonts w:hint="eastAsia"/>
          <w:b/>
          <w:color w:val="000000" w:themeColor="text1"/>
        </w:rPr>
        <w:t>，</w:t>
      </w:r>
      <w:r w:rsidR="003C3AFE" w:rsidRPr="009423DD">
        <w:rPr>
          <w:rFonts w:hint="eastAsia"/>
          <w:b/>
          <w:color w:val="000000" w:themeColor="text1"/>
        </w:rPr>
        <w:t>本案的惡劣教學現場</w:t>
      </w:r>
      <w:r w:rsidR="004467AD" w:rsidRPr="009423DD">
        <w:rPr>
          <w:rFonts w:hint="eastAsia"/>
          <w:b/>
          <w:color w:val="000000" w:themeColor="text1"/>
        </w:rPr>
        <w:t>情</w:t>
      </w:r>
      <w:r w:rsidR="005102F3" w:rsidRPr="009423DD">
        <w:rPr>
          <w:rFonts w:hint="eastAsia"/>
          <w:b/>
          <w:color w:val="000000" w:themeColor="text1"/>
        </w:rPr>
        <w:t>況</w:t>
      </w:r>
      <w:r w:rsidR="004467AD" w:rsidRPr="009423DD">
        <w:rPr>
          <w:rFonts w:hint="eastAsia"/>
          <w:b/>
          <w:color w:val="000000" w:themeColor="text1"/>
        </w:rPr>
        <w:t>恐成瀕退場學校常態</w:t>
      </w:r>
      <w:r w:rsidR="005B7B2D" w:rsidRPr="009423DD">
        <w:rPr>
          <w:rFonts w:hint="eastAsia"/>
          <w:b/>
          <w:color w:val="000000" w:themeColor="text1"/>
        </w:rPr>
        <w:t>，</w:t>
      </w:r>
      <w:r w:rsidRPr="009423DD">
        <w:rPr>
          <w:rFonts w:hint="eastAsia"/>
          <w:b/>
          <w:color w:val="000000" w:themeColor="text1"/>
        </w:rPr>
        <w:t>教育部</w:t>
      </w:r>
      <w:r w:rsidR="003C3AFE" w:rsidRPr="009423DD">
        <w:rPr>
          <w:rFonts w:hint="eastAsia"/>
          <w:b/>
          <w:color w:val="000000" w:themeColor="text1"/>
        </w:rPr>
        <w:t>應刻不容緩</w:t>
      </w:r>
      <w:r w:rsidR="007257F5" w:rsidRPr="009423DD">
        <w:rPr>
          <w:rFonts w:hint="eastAsia"/>
          <w:b/>
          <w:color w:val="000000" w:themeColor="text1"/>
        </w:rPr>
        <w:t>通盤</w:t>
      </w:r>
      <w:r w:rsidRPr="009423DD">
        <w:rPr>
          <w:rFonts w:hint="eastAsia"/>
          <w:b/>
          <w:color w:val="000000" w:themeColor="text1"/>
        </w:rPr>
        <w:t>檢討</w:t>
      </w:r>
      <w:r w:rsidR="001F073D" w:rsidRPr="009423DD">
        <w:rPr>
          <w:rFonts w:hint="eastAsia"/>
          <w:b/>
          <w:color w:val="000000" w:themeColor="text1"/>
        </w:rPr>
        <w:t>大學</w:t>
      </w:r>
      <w:r w:rsidRPr="009423DD">
        <w:rPr>
          <w:rFonts w:hint="eastAsia"/>
          <w:b/>
          <w:color w:val="000000" w:themeColor="text1"/>
        </w:rPr>
        <w:t>退場程序</w:t>
      </w:r>
      <w:r w:rsidR="0097144F" w:rsidRPr="009423DD">
        <w:rPr>
          <w:rFonts w:hint="eastAsia"/>
          <w:b/>
          <w:color w:val="000000" w:themeColor="text1"/>
        </w:rPr>
        <w:t>之</w:t>
      </w:r>
      <w:r w:rsidR="00A14062" w:rsidRPr="009423DD">
        <w:rPr>
          <w:rFonts w:hint="eastAsia"/>
          <w:b/>
          <w:color w:val="000000" w:themeColor="text1"/>
        </w:rPr>
        <w:t>師資</w:t>
      </w:r>
      <w:r w:rsidR="00555C55" w:rsidRPr="009423DD">
        <w:rPr>
          <w:rFonts w:hint="eastAsia"/>
          <w:b/>
          <w:color w:val="000000" w:themeColor="text1"/>
        </w:rPr>
        <w:t>相關</w:t>
      </w:r>
      <w:r w:rsidR="00A14062" w:rsidRPr="009423DD">
        <w:rPr>
          <w:rFonts w:hint="eastAsia"/>
          <w:b/>
          <w:color w:val="000000" w:themeColor="text1"/>
        </w:rPr>
        <w:t>配套措施</w:t>
      </w:r>
      <w:r w:rsidR="00961ADF" w:rsidRPr="009423DD">
        <w:rPr>
          <w:rFonts w:hint="eastAsia"/>
          <w:b/>
          <w:color w:val="000000" w:themeColor="text1"/>
        </w:rPr>
        <w:t>及教師權益保障機制，</w:t>
      </w:r>
      <w:r w:rsidR="005C358F" w:rsidRPr="009423DD">
        <w:rPr>
          <w:rFonts w:hint="eastAsia"/>
          <w:b/>
          <w:color w:val="000000" w:themeColor="text1"/>
        </w:rPr>
        <w:t>以</w:t>
      </w:r>
      <w:r w:rsidR="002D5F86" w:rsidRPr="009423DD">
        <w:rPr>
          <w:rFonts w:hint="eastAsia"/>
          <w:b/>
          <w:color w:val="000000" w:themeColor="text1"/>
        </w:rPr>
        <w:t>因應私校面臨可能停辦倒閉的現實問題。</w:t>
      </w:r>
      <w:bookmarkEnd w:id="53"/>
    </w:p>
    <w:p w:rsidR="00DD2FE7" w:rsidRPr="009423DD" w:rsidRDefault="004A7165" w:rsidP="00175DE1">
      <w:pPr>
        <w:pStyle w:val="3"/>
        <w:rPr>
          <w:color w:val="000000" w:themeColor="text1"/>
        </w:rPr>
      </w:pPr>
      <w:r w:rsidRPr="009423DD">
        <w:rPr>
          <w:rFonts w:hAnsi="標楷體" w:hint="eastAsia"/>
          <w:color w:val="000000" w:themeColor="text1"/>
        </w:rPr>
        <w:t>歷年教育部按</w:t>
      </w:r>
      <w:r w:rsidR="00EB683D" w:rsidRPr="009423DD">
        <w:rPr>
          <w:rFonts w:hint="eastAsia"/>
          <w:color w:val="000000" w:themeColor="text1"/>
        </w:rPr>
        <w:t>改善及停辦實施原則</w:t>
      </w:r>
      <w:r w:rsidRPr="009423DD">
        <w:rPr>
          <w:rFonts w:hAnsi="標楷體"/>
          <w:color w:val="000000" w:themeColor="text1"/>
        </w:rPr>
        <w:t>規定</w:t>
      </w:r>
      <w:r w:rsidR="00EB683D" w:rsidRPr="009423DD">
        <w:rPr>
          <w:rFonts w:hAnsi="標楷體" w:hint="eastAsia"/>
          <w:color w:val="000000" w:themeColor="text1"/>
        </w:rPr>
        <w:t>，</w:t>
      </w:r>
      <w:r w:rsidRPr="009423DD">
        <w:rPr>
          <w:rFonts w:hAnsi="標楷體" w:hint="eastAsia"/>
          <w:color w:val="000000" w:themeColor="text1"/>
        </w:rPr>
        <w:t>將該校列為專案輔導學校</w:t>
      </w:r>
      <w:r w:rsidR="0035504C" w:rsidRPr="009423DD">
        <w:rPr>
          <w:rFonts w:hAnsi="標楷體" w:hint="eastAsia"/>
          <w:color w:val="000000" w:themeColor="text1"/>
        </w:rPr>
        <w:t>之</w:t>
      </w:r>
      <w:r w:rsidRPr="009423DD">
        <w:rPr>
          <w:rFonts w:hAnsi="標楷體" w:hint="eastAsia"/>
          <w:color w:val="000000" w:themeColor="text1"/>
        </w:rPr>
        <w:t>情形略以：</w:t>
      </w:r>
    </w:p>
    <w:p w:rsidR="004660E3" w:rsidRPr="005B7C45" w:rsidRDefault="004660E3" w:rsidP="00F837DE">
      <w:pPr>
        <w:pStyle w:val="4"/>
      </w:pPr>
      <w:r w:rsidRPr="009423DD">
        <w:rPr>
          <w:rFonts w:hint="eastAsia"/>
          <w:color w:val="000000" w:themeColor="text1"/>
        </w:rPr>
        <w:lastRenderedPageBreak/>
        <w:t>102學年度</w:t>
      </w:r>
      <w:r w:rsidR="00537BEB" w:rsidRPr="009423DD">
        <w:rPr>
          <w:rFonts w:hint="eastAsia"/>
          <w:color w:val="000000" w:themeColor="text1"/>
        </w:rPr>
        <w:t>該校</w:t>
      </w:r>
      <w:r w:rsidRPr="009423DD">
        <w:rPr>
          <w:rFonts w:hint="eastAsia"/>
          <w:color w:val="000000" w:themeColor="text1"/>
        </w:rPr>
        <w:t>註冊率未符規定，爰自103年度起列入專案輔導學校。因招生情況持續未改善，</w:t>
      </w:r>
      <w:r w:rsidR="00566E8C" w:rsidRPr="009423DD">
        <w:rPr>
          <w:rFonts w:hint="eastAsia"/>
          <w:color w:val="000000" w:themeColor="text1"/>
        </w:rPr>
        <w:t>該</w:t>
      </w:r>
      <w:r w:rsidRPr="009423DD">
        <w:rPr>
          <w:rFonts w:hint="eastAsia"/>
          <w:color w:val="000000" w:themeColor="text1"/>
        </w:rPr>
        <w:t>部105年12月19日臺教技(二)字第1050170865號函，將依私校法第55條徵詢私校諮詢會意見後，視情節輕重停止部分或全部班級之招生或部分或全部之獎補助</w:t>
      </w:r>
      <w:r w:rsidR="00C12889">
        <w:rPr>
          <w:rFonts w:hint="eastAsia"/>
          <w:color w:val="C00000"/>
        </w:rPr>
        <w:t>；</w:t>
      </w:r>
      <w:r w:rsidRPr="009423DD">
        <w:rPr>
          <w:rFonts w:hint="eastAsia"/>
          <w:color w:val="000000" w:themeColor="text1"/>
        </w:rPr>
        <w:t>並請董事會審思未來辦學方向。學校因106學年度招生不足，無法維持營運，爰自107學年度起僅留下「廚藝管理系」及「觀光餐旅系」，</w:t>
      </w:r>
      <w:r w:rsidRPr="005B7C45">
        <w:rPr>
          <w:rFonts w:hint="eastAsia"/>
        </w:rPr>
        <w:t>其餘系所停招，後與</w:t>
      </w:r>
      <w:r w:rsidR="00E958D9" w:rsidRPr="005B7C45">
        <w:rPr>
          <w:rFonts w:hint="eastAsia"/>
        </w:rPr>
        <w:t>台灣運彩股份有限公司</w:t>
      </w:r>
      <w:r w:rsidR="00506183" w:rsidRPr="005B7C45">
        <w:rPr>
          <w:rFonts w:hint="eastAsia"/>
        </w:rPr>
        <w:t>(下稱運彩公司)</w:t>
      </w:r>
      <w:r w:rsidRPr="005B7C45">
        <w:rPr>
          <w:rFonts w:hint="eastAsia"/>
        </w:rPr>
        <w:t>合作辦理轉型規劃。</w:t>
      </w:r>
    </w:p>
    <w:p w:rsidR="00ED082E" w:rsidRPr="009423DD" w:rsidRDefault="0055601A" w:rsidP="00F837DE">
      <w:pPr>
        <w:pStyle w:val="4"/>
        <w:rPr>
          <w:color w:val="000000" w:themeColor="text1"/>
        </w:rPr>
      </w:pPr>
      <w:r w:rsidRPr="005B7C45">
        <w:rPr>
          <w:rFonts w:hint="eastAsia"/>
        </w:rPr>
        <w:t>該</w:t>
      </w:r>
      <w:r w:rsidR="004660E3" w:rsidRPr="005B7C45">
        <w:rPr>
          <w:rFonts w:hint="eastAsia"/>
        </w:rPr>
        <w:t>部107年2月21日函復該校同意轉型規劃方向；惟評估該校財務結構不足支應未來營運所需，</w:t>
      </w:r>
      <w:r w:rsidR="00280D73" w:rsidRPr="005B7C45">
        <w:rPr>
          <w:rFonts w:hint="eastAsia"/>
        </w:rPr>
        <w:t>教育部</w:t>
      </w:r>
      <w:r w:rsidR="004660E3" w:rsidRPr="005B7C45">
        <w:rPr>
          <w:rFonts w:hint="eastAsia"/>
        </w:rPr>
        <w:t>於108年5月1日</w:t>
      </w:r>
      <w:r w:rsidR="00E914E1" w:rsidRPr="005B7C45">
        <w:rPr>
          <w:rStyle w:val="afe"/>
        </w:rPr>
        <w:footnoteReference w:id="9"/>
      </w:r>
      <w:r w:rsidR="004660E3" w:rsidRPr="005B7C45">
        <w:rPr>
          <w:rFonts w:hint="eastAsia"/>
        </w:rPr>
        <w:t>建議董事會持續捐資，至111年7月底至少應捐資學校</w:t>
      </w:r>
      <w:r w:rsidR="00F3574E" w:rsidRPr="005B7C45">
        <w:rPr>
          <w:rFonts w:hint="eastAsia"/>
        </w:rPr>
        <w:t>新臺幣（下同）</w:t>
      </w:r>
      <w:r w:rsidR="004660E3" w:rsidRPr="005B7C45">
        <w:rPr>
          <w:rFonts w:hint="eastAsia"/>
        </w:rPr>
        <w:t>1億元。該校董事會持續未捐資，</w:t>
      </w:r>
      <w:r w:rsidR="00B906C3" w:rsidRPr="005B7C45">
        <w:rPr>
          <w:rFonts w:hint="eastAsia"/>
        </w:rPr>
        <w:t>教育部</w:t>
      </w:r>
      <w:r w:rsidR="004660E3" w:rsidRPr="005B7C45">
        <w:rPr>
          <w:rFonts w:hint="eastAsia"/>
        </w:rPr>
        <w:t>108年9月2日以臺教技(私專)字第1080125329號函</w:t>
      </w:r>
      <w:r w:rsidR="004660E3" w:rsidRPr="009423DD">
        <w:rPr>
          <w:rFonts w:hint="eastAsia"/>
          <w:color w:val="000000" w:themeColor="text1"/>
        </w:rPr>
        <w:t>將該校持續列為專案輔導學校</w:t>
      </w:r>
      <w:r w:rsidR="000213F4" w:rsidRPr="009423DD">
        <w:rPr>
          <w:rFonts w:hint="eastAsia"/>
          <w:color w:val="000000" w:themeColor="text1"/>
        </w:rPr>
        <w:t>。</w:t>
      </w:r>
    </w:p>
    <w:p w:rsidR="0014666F" w:rsidRPr="005B7C45" w:rsidRDefault="0023128C" w:rsidP="00447EB9">
      <w:pPr>
        <w:pStyle w:val="3"/>
      </w:pPr>
      <w:r w:rsidRPr="009423DD">
        <w:rPr>
          <w:rFonts w:hint="eastAsia"/>
          <w:color w:val="000000" w:themeColor="text1"/>
        </w:rPr>
        <w:t>私立學校教職員之資遣事宜，應依「學校法人及其所屬私立學校教職員退休撫卹離職資遣條例」辦理。</w:t>
      </w:r>
      <w:r w:rsidR="00A6494C" w:rsidRPr="009423DD">
        <w:rPr>
          <w:rFonts w:hint="eastAsia"/>
          <w:color w:val="000000" w:themeColor="text1"/>
        </w:rPr>
        <w:t>臺灣觀光學院</w:t>
      </w:r>
      <w:r w:rsidR="007814C5" w:rsidRPr="009423DD">
        <w:rPr>
          <w:rFonts w:hint="eastAsia"/>
          <w:color w:val="000000" w:themeColor="text1"/>
        </w:rPr>
        <w:t>已自110年9月1日起停辦，經</w:t>
      </w:r>
      <w:r w:rsidR="001A0AD1" w:rsidRPr="009423DD">
        <w:rPr>
          <w:rFonts w:hint="eastAsia"/>
          <w:color w:val="000000" w:themeColor="text1"/>
        </w:rPr>
        <w:t>教育部查復，校</w:t>
      </w:r>
      <w:r w:rsidR="007814C5" w:rsidRPr="009423DD">
        <w:rPr>
          <w:rFonts w:hint="eastAsia"/>
          <w:color w:val="000000" w:themeColor="text1"/>
        </w:rPr>
        <w:t>內教職員均已辦理資遣及離校</w:t>
      </w:r>
      <w:r w:rsidR="00A13C70" w:rsidRPr="009423DD">
        <w:rPr>
          <w:rFonts w:hint="eastAsia"/>
          <w:color w:val="000000" w:themeColor="text1"/>
        </w:rPr>
        <w:t>。該校</w:t>
      </w:r>
      <w:r w:rsidR="0050274E" w:rsidRPr="009423DD">
        <w:rPr>
          <w:rFonts w:hint="eastAsia"/>
          <w:color w:val="000000" w:themeColor="text1"/>
        </w:rPr>
        <w:t>106</w:t>
      </w:r>
      <w:r w:rsidR="0050274E" w:rsidRPr="005B7C45">
        <w:rPr>
          <w:rFonts w:hint="eastAsia"/>
        </w:rPr>
        <w:t>及110年度兩次辦理資遣</w:t>
      </w:r>
      <w:r w:rsidRPr="005B7C45">
        <w:rPr>
          <w:rFonts w:hint="eastAsia"/>
        </w:rPr>
        <w:t>106年度因應停招辦理教職員資遣相關事宜，</w:t>
      </w:r>
      <w:r w:rsidR="00C56000" w:rsidRPr="005B7C45">
        <w:rPr>
          <w:rFonts w:hint="eastAsia"/>
        </w:rPr>
        <w:t>內容</w:t>
      </w:r>
      <w:r w:rsidR="00787828" w:rsidRPr="005B7C45">
        <w:rPr>
          <w:rFonts w:hint="eastAsia"/>
        </w:rPr>
        <w:t>摘要</w:t>
      </w:r>
      <w:r w:rsidR="0026129A" w:rsidRPr="005B7C45">
        <w:rPr>
          <w:rFonts w:hint="eastAsia"/>
        </w:rPr>
        <w:t>如下：</w:t>
      </w:r>
    </w:p>
    <w:p w:rsidR="0023128C" w:rsidRPr="009423DD" w:rsidRDefault="0023128C" w:rsidP="0014666F">
      <w:pPr>
        <w:pStyle w:val="4"/>
        <w:rPr>
          <w:color w:val="000000" w:themeColor="text1"/>
        </w:rPr>
      </w:pPr>
      <w:r w:rsidRPr="005B7C45">
        <w:rPr>
          <w:rFonts w:hint="eastAsia"/>
        </w:rPr>
        <w:t>依</w:t>
      </w:r>
      <w:r w:rsidR="004F7883" w:rsidRPr="005B7C45">
        <w:rPr>
          <w:rFonts w:hint="eastAsia"/>
        </w:rPr>
        <w:t>該校</w:t>
      </w:r>
      <w:r w:rsidRPr="005B7C45">
        <w:rPr>
          <w:rFonts w:hint="eastAsia"/>
        </w:rPr>
        <w:t>董事會106年10月30日第9屆第18次會議紀錄</w:t>
      </w:r>
      <w:r w:rsidR="00E51B27" w:rsidRPr="005B7C45">
        <w:rPr>
          <w:rFonts w:hint="eastAsia"/>
        </w:rPr>
        <w:t>，</w:t>
      </w:r>
      <w:r w:rsidRPr="005B7C45">
        <w:rPr>
          <w:rFonts w:hint="eastAsia"/>
        </w:rPr>
        <w:t>資遣方案</w:t>
      </w:r>
      <w:r w:rsidR="00C56000" w:rsidRPr="005B7C45">
        <w:rPr>
          <w:rFonts w:hint="eastAsia"/>
        </w:rPr>
        <w:t>摘</w:t>
      </w:r>
      <w:r w:rsidR="00C56000" w:rsidRPr="009423DD">
        <w:rPr>
          <w:rFonts w:hint="eastAsia"/>
          <w:color w:val="000000" w:themeColor="text1"/>
        </w:rPr>
        <w:t>要</w:t>
      </w:r>
      <w:r w:rsidRPr="009423DD">
        <w:rPr>
          <w:rFonts w:hint="eastAsia"/>
          <w:color w:val="000000" w:themeColor="text1"/>
        </w:rPr>
        <w:t>如下：</w:t>
      </w:r>
    </w:p>
    <w:p w:rsidR="0023128C" w:rsidRPr="009423DD" w:rsidRDefault="0023128C" w:rsidP="00787828">
      <w:pPr>
        <w:pStyle w:val="5"/>
        <w:rPr>
          <w:color w:val="000000" w:themeColor="text1"/>
        </w:rPr>
      </w:pPr>
      <w:r w:rsidRPr="009423DD">
        <w:rPr>
          <w:rFonts w:hint="eastAsia"/>
          <w:color w:val="000000" w:themeColor="text1"/>
        </w:rPr>
        <w:t>教職員工之優惠退離金額，採全薪計算。</w:t>
      </w:r>
    </w:p>
    <w:p w:rsidR="0023128C" w:rsidRPr="009423DD" w:rsidRDefault="0023128C" w:rsidP="00787828">
      <w:pPr>
        <w:pStyle w:val="5"/>
        <w:rPr>
          <w:color w:val="000000" w:themeColor="text1"/>
        </w:rPr>
      </w:pPr>
      <w:r w:rsidRPr="009423DD">
        <w:rPr>
          <w:rFonts w:hint="eastAsia"/>
          <w:color w:val="000000" w:themeColor="text1"/>
        </w:rPr>
        <w:t>資遣費按同仁年資，每滿1年發給1/2月工資，未滿1年者，以比例計給；最高發給75萬元為限。</w:t>
      </w:r>
    </w:p>
    <w:p w:rsidR="0023128C" w:rsidRPr="005B7C45" w:rsidRDefault="0023128C" w:rsidP="007C4C3D">
      <w:pPr>
        <w:pStyle w:val="4"/>
      </w:pPr>
      <w:r w:rsidRPr="009423DD">
        <w:rPr>
          <w:rFonts w:hint="eastAsia"/>
          <w:color w:val="000000" w:themeColor="text1"/>
        </w:rPr>
        <w:lastRenderedPageBreak/>
        <w:t>該校110年度因停辦辦理教職員資遣費及慰助金</w:t>
      </w:r>
      <w:r w:rsidRPr="005B7C45">
        <w:rPr>
          <w:rFonts w:hint="eastAsia"/>
        </w:rPr>
        <w:t>發放相關事宜，依該校董事會110年7月7日第10屆第9次會議紀錄</w:t>
      </w:r>
      <w:r w:rsidR="00E46A8F" w:rsidRPr="005B7C45">
        <w:rPr>
          <w:rFonts w:hint="eastAsia"/>
        </w:rPr>
        <w:t>，資遣方案</w:t>
      </w:r>
      <w:r w:rsidR="0053318E" w:rsidRPr="005B7C45">
        <w:rPr>
          <w:rFonts w:hint="eastAsia"/>
        </w:rPr>
        <w:t>摘要如下：</w:t>
      </w:r>
    </w:p>
    <w:p w:rsidR="0023128C" w:rsidRPr="005B7C45" w:rsidRDefault="0023128C" w:rsidP="00787828">
      <w:pPr>
        <w:pStyle w:val="5"/>
      </w:pPr>
      <w:r w:rsidRPr="005B7C45">
        <w:rPr>
          <w:rFonts w:hint="eastAsia"/>
        </w:rPr>
        <w:t>資遣費按同仁年資，每滿1年發給1/2月工資，未滿1年者，以比例計給；最高以發給6個月工資為限。</w:t>
      </w:r>
    </w:p>
    <w:p w:rsidR="0023128C" w:rsidRPr="009423DD" w:rsidRDefault="0023128C" w:rsidP="007C4C3D">
      <w:pPr>
        <w:pStyle w:val="5"/>
        <w:rPr>
          <w:color w:val="000000" w:themeColor="text1"/>
        </w:rPr>
      </w:pPr>
      <w:r w:rsidRPr="009423DD">
        <w:rPr>
          <w:rFonts w:hint="eastAsia"/>
          <w:color w:val="000000" w:themeColor="text1"/>
        </w:rPr>
        <w:t>110年7月1日仍在職者，加發1個月工資之離職慰問金離職慰助金。</w:t>
      </w:r>
    </w:p>
    <w:p w:rsidR="00EE1B5D" w:rsidRPr="009423DD" w:rsidRDefault="00A473F0" w:rsidP="003F0B98">
      <w:pPr>
        <w:pStyle w:val="3"/>
        <w:ind w:leftChars="200"/>
        <w:rPr>
          <w:color w:val="000000" w:themeColor="text1"/>
        </w:rPr>
      </w:pPr>
      <w:r w:rsidRPr="009423DD">
        <w:rPr>
          <w:rFonts w:hint="eastAsia"/>
          <w:color w:val="000000" w:themeColor="text1"/>
        </w:rPr>
        <w:t>臺灣觀光學院</w:t>
      </w:r>
      <w:r w:rsidR="00A96A42" w:rsidRPr="009423DD">
        <w:rPr>
          <w:rFonts w:hint="eastAsia"/>
          <w:color w:val="000000" w:themeColor="text1"/>
        </w:rPr>
        <w:t>歷年</w:t>
      </w:r>
      <w:r w:rsidR="00EE1B5D" w:rsidRPr="009423DD">
        <w:rPr>
          <w:rFonts w:hint="eastAsia"/>
          <w:color w:val="000000" w:themeColor="text1"/>
        </w:rPr>
        <w:t>師資結構</w:t>
      </w:r>
      <w:r w:rsidR="00761001" w:rsidRPr="009423DD">
        <w:rPr>
          <w:rFonts w:hint="eastAsia"/>
          <w:color w:val="000000" w:themeColor="text1"/>
        </w:rPr>
        <w:t>之變動</w:t>
      </w:r>
      <w:r w:rsidR="00EE1B5D" w:rsidRPr="009423DD">
        <w:rPr>
          <w:rFonts w:hint="eastAsia"/>
          <w:color w:val="000000" w:themeColor="text1"/>
        </w:rPr>
        <w:t>情形</w:t>
      </w:r>
      <w:r w:rsidR="00C12474" w:rsidRPr="009423DD">
        <w:rPr>
          <w:rFonts w:hint="eastAsia"/>
          <w:color w:val="000000" w:themeColor="text1"/>
        </w:rPr>
        <w:t>，</w:t>
      </w:r>
      <w:r w:rsidR="003F0B98" w:rsidRPr="009423DD">
        <w:rPr>
          <w:rFonts w:hint="eastAsia"/>
          <w:color w:val="000000" w:themeColor="text1"/>
        </w:rPr>
        <w:t>編制內專任教師數自101年61人逐年</w:t>
      </w:r>
      <w:r w:rsidR="001F30D2" w:rsidRPr="009423DD">
        <w:rPr>
          <w:rFonts w:hint="eastAsia"/>
          <w:color w:val="000000" w:themeColor="text1"/>
        </w:rPr>
        <w:t>減</w:t>
      </w:r>
      <w:r w:rsidR="003F0B98" w:rsidRPr="009423DD">
        <w:rPr>
          <w:rFonts w:hint="eastAsia"/>
          <w:color w:val="000000" w:themeColor="text1"/>
        </w:rPr>
        <w:t>至109年2人，其中又因學校部分系所停招，以105學年度至106學年度變動幅度最大，自45人驟</w:t>
      </w:r>
      <w:r w:rsidR="00A70C52" w:rsidRPr="009423DD">
        <w:rPr>
          <w:rFonts w:hint="eastAsia"/>
          <w:color w:val="000000" w:themeColor="text1"/>
        </w:rPr>
        <w:t>減</w:t>
      </w:r>
      <w:r w:rsidR="003F0B98" w:rsidRPr="009423DD">
        <w:rPr>
          <w:rFonts w:hint="eastAsia"/>
          <w:color w:val="000000" w:themeColor="text1"/>
        </w:rPr>
        <w:t>至4人。</w:t>
      </w:r>
      <w:r w:rsidR="00685806" w:rsidRPr="009423DD">
        <w:rPr>
          <w:rFonts w:hint="eastAsia"/>
          <w:color w:val="000000" w:themeColor="text1"/>
        </w:rPr>
        <w:t>關於</w:t>
      </w:r>
      <w:r w:rsidR="00CA3822" w:rsidRPr="009423DD">
        <w:rPr>
          <w:rFonts w:hint="eastAsia"/>
          <w:color w:val="000000" w:themeColor="text1"/>
        </w:rPr>
        <w:t>師資變動情形</w:t>
      </w:r>
      <w:r w:rsidR="004C1D99" w:rsidRPr="009423DD">
        <w:rPr>
          <w:rFonts w:hint="eastAsia"/>
          <w:color w:val="000000" w:themeColor="text1"/>
        </w:rPr>
        <w:t>部分</w:t>
      </w:r>
      <w:r w:rsidR="003F0B98" w:rsidRPr="009423DD">
        <w:rPr>
          <w:rFonts w:hint="eastAsia"/>
          <w:color w:val="000000" w:themeColor="text1"/>
        </w:rPr>
        <w:t>（如編制內轉為編制外，或專任轉兼任等）</w:t>
      </w:r>
      <w:r w:rsidR="00CA3822" w:rsidRPr="009423DD">
        <w:rPr>
          <w:rFonts w:hint="eastAsia"/>
          <w:color w:val="000000" w:themeColor="text1"/>
        </w:rPr>
        <w:t>，</w:t>
      </w:r>
      <w:r w:rsidR="00651BCC" w:rsidRPr="009423DD">
        <w:rPr>
          <w:rFonts w:hint="eastAsia"/>
          <w:color w:val="000000" w:themeColor="text1"/>
        </w:rPr>
        <w:t>依教育部函復</w:t>
      </w:r>
      <w:r w:rsidR="00EE1B5D" w:rsidRPr="009423DD">
        <w:rPr>
          <w:rFonts w:hint="eastAsia"/>
          <w:color w:val="000000" w:themeColor="text1"/>
        </w:rPr>
        <w:t>該校填復「技專校院校務資料庫資訊系統」105學年度至106學年度教師名冊，涉有職務調整情形之教師，由編制內專任轉為編制外專任</w:t>
      </w:r>
      <w:r w:rsidR="00D27E49" w:rsidRPr="009423DD">
        <w:rPr>
          <w:rFonts w:hint="eastAsia"/>
          <w:color w:val="000000" w:themeColor="text1"/>
        </w:rPr>
        <w:t>（即專案教師）</w:t>
      </w:r>
      <w:r w:rsidR="00BB2A70" w:rsidRPr="009423DD">
        <w:rPr>
          <w:rFonts w:hint="eastAsia"/>
          <w:color w:val="000000" w:themeColor="text1"/>
        </w:rPr>
        <w:t>者</w:t>
      </w:r>
      <w:r w:rsidR="00EE1B5D" w:rsidRPr="009423DD">
        <w:rPr>
          <w:rFonts w:hint="eastAsia"/>
          <w:color w:val="000000" w:themeColor="text1"/>
        </w:rPr>
        <w:t>計15人，由編制內專任轉為編制外兼任者計2人，</w:t>
      </w:r>
      <w:r w:rsidR="00B46095" w:rsidRPr="009423DD">
        <w:rPr>
          <w:rFonts w:hint="eastAsia"/>
          <w:color w:val="000000" w:themeColor="text1"/>
        </w:rPr>
        <w:t>相關</w:t>
      </w:r>
      <w:r w:rsidR="00EE1B5D" w:rsidRPr="009423DD">
        <w:rPr>
          <w:rFonts w:hint="eastAsia"/>
          <w:color w:val="000000" w:themeColor="text1"/>
        </w:rPr>
        <w:t>統計如下表：</w:t>
      </w:r>
    </w:p>
    <w:p w:rsidR="0046158A" w:rsidRPr="009423DD" w:rsidRDefault="00EE1B5D" w:rsidP="00DF6FB2">
      <w:pPr>
        <w:pStyle w:val="a3"/>
        <w:numPr>
          <w:ilvl w:val="0"/>
          <w:numId w:val="0"/>
        </w:numPr>
        <w:spacing w:beforeLines="50" w:before="228" w:after="0" w:line="240" w:lineRule="auto"/>
        <w:ind w:left="482" w:hanging="482"/>
        <w:jc w:val="center"/>
        <w:rPr>
          <w:b/>
          <w:color w:val="000000" w:themeColor="text1"/>
        </w:rPr>
      </w:pPr>
      <w:r w:rsidRPr="009423DD">
        <w:rPr>
          <w:rFonts w:hint="eastAsia"/>
          <w:b/>
          <w:color w:val="000000" w:themeColor="text1"/>
        </w:rPr>
        <w:t>臺灣觀光學院101-109學年度教職員</w:t>
      </w:r>
      <w:r w:rsidR="00BF41E0" w:rsidRPr="009423DD">
        <w:rPr>
          <w:rFonts w:hint="eastAsia"/>
          <w:b/>
          <w:color w:val="000000" w:themeColor="text1"/>
        </w:rPr>
        <w:t>生</w:t>
      </w:r>
      <w:r w:rsidRPr="009423DD">
        <w:rPr>
          <w:rFonts w:hint="eastAsia"/>
          <w:b/>
          <w:color w:val="000000" w:themeColor="text1"/>
        </w:rPr>
        <w:t>數</w:t>
      </w:r>
    </w:p>
    <w:p w:rsidR="005B7406" w:rsidRPr="009423DD" w:rsidRDefault="005B7406" w:rsidP="0046158A">
      <w:pPr>
        <w:pStyle w:val="a3"/>
        <w:numPr>
          <w:ilvl w:val="0"/>
          <w:numId w:val="0"/>
        </w:numPr>
        <w:spacing w:before="0" w:after="0" w:line="240" w:lineRule="auto"/>
        <w:ind w:left="482" w:hanging="482"/>
        <w:jc w:val="right"/>
        <w:rPr>
          <w:b/>
          <w:color w:val="000000" w:themeColor="text1"/>
          <w:sz w:val="24"/>
          <w:szCs w:val="24"/>
        </w:rPr>
      </w:pPr>
      <w:r w:rsidRPr="009423DD">
        <w:rPr>
          <w:rFonts w:hint="eastAsia"/>
          <w:color w:val="000000" w:themeColor="text1"/>
          <w:sz w:val="24"/>
          <w:szCs w:val="24"/>
        </w:rPr>
        <w:t>單位：人</w:t>
      </w:r>
    </w:p>
    <w:tbl>
      <w:tblPr>
        <w:tblW w:w="9224" w:type="dxa"/>
        <w:jc w:val="center"/>
        <w:tblLayout w:type="fixed"/>
        <w:tblCellMar>
          <w:left w:w="28" w:type="dxa"/>
          <w:right w:w="28" w:type="dxa"/>
        </w:tblCellMar>
        <w:tblLook w:val="04A0" w:firstRow="1" w:lastRow="0" w:firstColumn="1" w:lastColumn="0" w:noHBand="0" w:noVBand="1"/>
      </w:tblPr>
      <w:tblGrid>
        <w:gridCol w:w="851"/>
        <w:gridCol w:w="866"/>
        <w:gridCol w:w="1270"/>
        <w:gridCol w:w="1405"/>
        <w:gridCol w:w="1174"/>
        <w:gridCol w:w="1174"/>
        <w:gridCol w:w="1174"/>
        <w:gridCol w:w="1310"/>
      </w:tblGrid>
      <w:tr w:rsidR="009423DD" w:rsidRPr="009423DD" w:rsidTr="005B3319">
        <w:trPr>
          <w:trHeight w:val="298"/>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B3319" w:rsidRPr="009423DD" w:rsidRDefault="005B3319" w:rsidP="00BF41E0">
            <w:pPr>
              <w:widowControl/>
              <w:jc w:val="center"/>
              <w:rPr>
                <w:rFonts w:hAnsi="標楷體" w:cs="新細明體"/>
                <w:b/>
                <w:color w:val="000000" w:themeColor="text1"/>
                <w:kern w:val="0"/>
                <w:sz w:val="27"/>
                <w:szCs w:val="27"/>
              </w:rPr>
            </w:pPr>
            <w:r w:rsidRPr="009423DD">
              <w:rPr>
                <w:rFonts w:hAnsi="標楷體" w:cs="新細明體" w:hint="eastAsia"/>
                <w:b/>
                <w:color w:val="000000" w:themeColor="text1"/>
                <w:kern w:val="0"/>
                <w:sz w:val="27"/>
                <w:szCs w:val="27"/>
              </w:rPr>
              <w:t>學年度</w:t>
            </w:r>
          </w:p>
        </w:tc>
        <w:tc>
          <w:tcPr>
            <w:tcW w:w="86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b/>
                <w:color w:val="000000" w:themeColor="text1"/>
                <w:kern w:val="0"/>
                <w:sz w:val="27"/>
                <w:szCs w:val="27"/>
              </w:rPr>
            </w:pPr>
            <w:r w:rsidRPr="009423DD">
              <w:rPr>
                <w:rFonts w:hAnsi="標楷體" w:cs="新細明體" w:hint="eastAsia"/>
                <w:b/>
                <w:color w:val="000000" w:themeColor="text1"/>
                <w:kern w:val="0"/>
                <w:sz w:val="27"/>
                <w:szCs w:val="27"/>
              </w:rPr>
              <w:t>學生總數</w:t>
            </w:r>
          </w:p>
        </w:tc>
        <w:tc>
          <w:tcPr>
            <w:tcW w:w="1270" w:type="dxa"/>
            <w:tcBorders>
              <w:top w:val="single" w:sz="4" w:space="0" w:color="auto"/>
              <w:left w:val="nil"/>
              <w:bottom w:val="single" w:sz="4" w:space="0" w:color="auto"/>
              <w:right w:val="single" w:sz="4" w:space="0" w:color="auto"/>
            </w:tcBorders>
            <w:shd w:val="clear" w:color="auto" w:fill="EEECE1" w:themeFill="background2"/>
            <w:vAlign w:val="center"/>
            <w:hideMark/>
          </w:tcPr>
          <w:p w:rsidR="005B3319" w:rsidRPr="009423DD" w:rsidRDefault="005B3319" w:rsidP="00BF41E0">
            <w:pPr>
              <w:widowControl/>
              <w:jc w:val="center"/>
              <w:rPr>
                <w:rFonts w:hAnsi="標楷體" w:cs="新細明體"/>
                <w:b/>
                <w:color w:val="000000" w:themeColor="text1"/>
                <w:kern w:val="0"/>
                <w:sz w:val="27"/>
                <w:szCs w:val="27"/>
              </w:rPr>
            </w:pPr>
            <w:r w:rsidRPr="009423DD">
              <w:rPr>
                <w:rFonts w:hAnsi="標楷體" w:cs="新細明體" w:hint="eastAsia"/>
                <w:b/>
                <w:color w:val="000000" w:themeColor="text1"/>
                <w:kern w:val="0"/>
                <w:sz w:val="27"/>
                <w:szCs w:val="27"/>
              </w:rPr>
              <w:t>編制內專任教師數</w:t>
            </w:r>
          </w:p>
        </w:tc>
        <w:tc>
          <w:tcPr>
            <w:tcW w:w="1405" w:type="dxa"/>
            <w:tcBorders>
              <w:top w:val="single" w:sz="4" w:space="0" w:color="auto"/>
              <w:left w:val="nil"/>
              <w:bottom w:val="single" w:sz="4" w:space="0" w:color="auto"/>
              <w:right w:val="single" w:sz="4" w:space="0" w:color="auto"/>
            </w:tcBorders>
            <w:shd w:val="clear" w:color="auto" w:fill="EEECE1" w:themeFill="background2"/>
            <w:vAlign w:val="center"/>
            <w:hideMark/>
          </w:tcPr>
          <w:p w:rsidR="005B3319" w:rsidRPr="009423DD" w:rsidRDefault="005B3319" w:rsidP="00BF41E0">
            <w:pPr>
              <w:widowControl/>
              <w:jc w:val="center"/>
              <w:rPr>
                <w:rFonts w:hAnsi="標楷體" w:cs="新細明體"/>
                <w:b/>
                <w:color w:val="000000" w:themeColor="text1"/>
                <w:kern w:val="0"/>
                <w:sz w:val="27"/>
                <w:szCs w:val="27"/>
              </w:rPr>
            </w:pPr>
            <w:r w:rsidRPr="009423DD">
              <w:rPr>
                <w:rFonts w:hAnsi="標楷體" w:cs="新細明體" w:hint="eastAsia"/>
                <w:b/>
                <w:color w:val="000000" w:themeColor="text1"/>
                <w:kern w:val="0"/>
                <w:sz w:val="27"/>
                <w:szCs w:val="27"/>
              </w:rPr>
              <w:t>編制外專任教師數</w:t>
            </w:r>
          </w:p>
        </w:tc>
        <w:tc>
          <w:tcPr>
            <w:tcW w:w="1174" w:type="dxa"/>
            <w:tcBorders>
              <w:top w:val="single" w:sz="4" w:space="0" w:color="auto"/>
              <w:left w:val="nil"/>
              <w:bottom w:val="single" w:sz="4" w:space="0" w:color="auto"/>
              <w:right w:val="single" w:sz="4" w:space="0" w:color="auto"/>
            </w:tcBorders>
            <w:shd w:val="clear" w:color="auto" w:fill="EEECE1" w:themeFill="background2"/>
            <w:vAlign w:val="center"/>
            <w:hideMark/>
          </w:tcPr>
          <w:p w:rsidR="005B3319" w:rsidRPr="009423DD" w:rsidRDefault="005B3319" w:rsidP="00BF41E0">
            <w:pPr>
              <w:widowControl/>
              <w:jc w:val="center"/>
              <w:rPr>
                <w:rFonts w:hAnsi="標楷體" w:cs="新細明體"/>
                <w:b/>
                <w:color w:val="000000" w:themeColor="text1"/>
                <w:kern w:val="0"/>
                <w:sz w:val="27"/>
                <w:szCs w:val="27"/>
              </w:rPr>
            </w:pPr>
            <w:r w:rsidRPr="009423DD">
              <w:rPr>
                <w:rFonts w:hAnsi="標楷體" w:cs="新細明體" w:hint="eastAsia"/>
                <w:b/>
                <w:color w:val="000000" w:themeColor="text1"/>
                <w:kern w:val="0"/>
                <w:sz w:val="27"/>
                <w:szCs w:val="27"/>
              </w:rPr>
              <w:t>專任教師總計</w:t>
            </w:r>
          </w:p>
        </w:tc>
        <w:tc>
          <w:tcPr>
            <w:tcW w:w="1174" w:type="dxa"/>
            <w:tcBorders>
              <w:top w:val="single" w:sz="4" w:space="0" w:color="auto"/>
              <w:left w:val="nil"/>
              <w:bottom w:val="single" w:sz="4" w:space="0" w:color="auto"/>
              <w:right w:val="single" w:sz="4" w:space="0" w:color="auto"/>
            </w:tcBorders>
            <w:shd w:val="clear" w:color="auto" w:fill="EEECE1" w:themeFill="background2"/>
            <w:vAlign w:val="center"/>
            <w:hideMark/>
          </w:tcPr>
          <w:p w:rsidR="005B3319" w:rsidRPr="009423DD" w:rsidRDefault="005B3319" w:rsidP="00BF41E0">
            <w:pPr>
              <w:widowControl/>
              <w:jc w:val="center"/>
              <w:rPr>
                <w:rFonts w:hAnsi="標楷體" w:cs="新細明體"/>
                <w:b/>
                <w:color w:val="000000" w:themeColor="text1"/>
                <w:kern w:val="0"/>
                <w:sz w:val="27"/>
                <w:szCs w:val="27"/>
              </w:rPr>
            </w:pPr>
            <w:r w:rsidRPr="009423DD">
              <w:rPr>
                <w:rFonts w:hAnsi="標楷體" w:cs="新細明體" w:hint="eastAsia"/>
                <w:b/>
                <w:color w:val="000000" w:themeColor="text1"/>
                <w:kern w:val="0"/>
                <w:sz w:val="27"/>
                <w:szCs w:val="27"/>
              </w:rPr>
              <w:t>編制內職員數</w:t>
            </w:r>
          </w:p>
        </w:tc>
        <w:tc>
          <w:tcPr>
            <w:tcW w:w="1174" w:type="dxa"/>
            <w:tcBorders>
              <w:top w:val="single" w:sz="4" w:space="0" w:color="auto"/>
              <w:left w:val="nil"/>
              <w:bottom w:val="single" w:sz="4" w:space="0" w:color="auto"/>
              <w:right w:val="single" w:sz="4" w:space="0" w:color="auto"/>
            </w:tcBorders>
            <w:shd w:val="clear" w:color="auto" w:fill="EEECE1" w:themeFill="background2"/>
            <w:vAlign w:val="center"/>
            <w:hideMark/>
          </w:tcPr>
          <w:p w:rsidR="005B3319" w:rsidRPr="009423DD" w:rsidRDefault="005B3319" w:rsidP="00BF41E0">
            <w:pPr>
              <w:widowControl/>
              <w:jc w:val="center"/>
              <w:rPr>
                <w:rFonts w:hAnsi="標楷體" w:cs="新細明體"/>
                <w:b/>
                <w:color w:val="000000" w:themeColor="text1"/>
                <w:kern w:val="0"/>
                <w:sz w:val="27"/>
                <w:szCs w:val="27"/>
              </w:rPr>
            </w:pPr>
            <w:r w:rsidRPr="009423DD">
              <w:rPr>
                <w:rFonts w:hAnsi="標楷體" w:cs="新細明體" w:hint="eastAsia"/>
                <w:b/>
                <w:color w:val="000000" w:themeColor="text1"/>
                <w:kern w:val="0"/>
                <w:sz w:val="27"/>
                <w:szCs w:val="27"/>
              </w:rPr>
              <w:t>編制外職員數</w:t>
            </w:r>
          </w:p>
        </w:tc>
        <w:tc>
          <w:tcPr>
            <w:tcW w:w="1310" w:type="dxa"/>
            <w:tcBorders>
              <w:top w:val="single" w:sz="4" w:space="0" w:color="auto"/>
              <w:left w:val="nil"/>
              <w:bottom w:val="single" w:sz="4" w:space="0" w:color="auto"/>
              <w:right w:val="single" w:sz="4" w:space="0" w:color="auto"/>
            </w:tcBorders>
            <w:shd w:val="clear" w:color="auto" w:fill="EEECE1" w:themeFill="background2"/>
            <w:vAlign w:val="center"/>
            <w:hideMark/>
          </w:tcPr>
          <w:p w:rsidR="005B3319" w:rsidRPr="009423DD" w:rsidRDefault="005B3319" w:rsidP="00BF41E0">
            <w:pPr>
              <w:widowControl/>
              <w:jc w:val="center"/>
              <w:rPr>
                <w:rFonts w:hAnsi="標楷體" w:cs="新細明體"/>
                <w:b/>
                <w:color w:val="000000" w:themeColor="text1"/>
                <w:kern w:val="0"/>
                <w:sz w:val="27"/>
                <w:szCs w:val="27"/>
              </w:rPr>
            </w:pPr>
            <w:r w:rsidRPr="009423DD">
              <w:rPr>
                <w:rFonts w:hAnsi="標楷體" w:cs="新細明體" w:hint="eastAsia"/>
                <w:b/>
                <w:color w:val="000000" w:themeColor="text1"/>
                <w:kern w:val="0"/>
                <w:sz w:val="27"/>
                <w:szCs w:val="27"/>
              </w:rPr>
              <w:t>職員總計</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101</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w:t>
            </w:r>
            <w:r w:rsidRPr="009423DD">
              <w:rPr>
                <w:rFonts w:hAnsi="標楷體" w:cs="新細明體"/>
                <w:color w:val="000000" w:themeColor="text1"/>
                <w:kern w:val="0"/>
                <w:sz w:val="27"/>
                <w:szCs w:val="27"/>
              </w:rPr>
              <w:t>,266</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61</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61</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41</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24</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65</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102</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w:t>
            </w:r>
            <w:r w:rsidRPr="009423DD">
              <w:rPr>
                <w:rFonts w:hAnsi="標楷體" w:cs="新細明體"/>
                <w:color w:val="000000" w:themeColor="text1"/>
                <w:kern w:val="0"/>
                <w:sz w:val="27"/>
                <w:szCs w:val="27"/>
              </w:rPr>
              <w:t>,971</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55</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55</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41</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30</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71</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103</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w:t>
            </w:r>
            <w:r w:rsidRPr="009423DD">
              <w:rPr>
                <w:rFonts w:hAnsi="標楷體" w:cs="新細明體"/>
                <w:color w:val="000000" w:themeColor="text1"/>
                <w:kern w:val="0"/>
                <w:sz w:val="27"/>
                <w:szCs w:val="27"/>
              </w:rPr>
              <w:t>,759</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54</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54</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38</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22</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60</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104</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w:t>
            </w:r>
            <w:r w:rsidRPr="009423DD">
              <w:rPr>
                <w:rFonts w:hAnsi="標楷體" w:cs="新細明體"/>
                <w:color w:val="000000" w:themeColor="text1"/>
                <w:kern w:val="0"/>
                <w:sz w:val="27"/>
                <w:szCs w:val="27"/>
              </w:rPr>
              <w:t>,553</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51</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52</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34</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22</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56</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105</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w:t>
            </w:r>
            <w:r w:rsidRPr="009423DD">
              <w:rPr>
                <w:rFonts w:hAnsi="標楷體" w:cs="新細明體"/>
                <w:color w:val="000000" w:themeColor="text1"/>
                <w:kern w:val="0"/>
                <w:sz w:val="27"/>
                <w:szCs w:val="27"/>
              </w:rPr>
              <w:t>,300</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45</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3</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48</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33</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17</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50</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106</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896</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4</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25</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29</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24</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24</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107</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751</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3</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20</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23</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31</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31</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108</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608</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15</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17</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25</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25</w:t>
            </w:r>
          </w:p>
        </w:tc>
      </w:tr>
      <w:tr w:rsidR="009423DD" w:rsidRPr="009423DD" w:rsidTr="005B3319">
        <w:trPr>
          <w:trHeight w:val="324"/>
          <w:jc w:val="center"/>
        </w:trPr>
        <w:tc>
          <w:tcPr>
            <w:tcW w:w="851" w:type="dxa"/>
            <w:tcBorders>
              <w:top w:val="nil"/>
              <w:left w:val="single" w:sz="4" w:space="0" w:color="auto"/>
              <w:bottom w:val="single" w:sz="4" w:space="0" w:color="auto"/>
              <w:right w:val="single" w:sz="4" w:space="0" w:color="auto"/>
            </w:tcBorders>
            <w:vAlign w:val="center"/>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109</w:t>
            </w:r>
          </w:p>
        </w:tc>
        <w:tc>
          <w:tcPr>
            <w:tcW w:w="866" w:type="dxa"/>
            <w:tcBorders>
              <w:top w:val="nil"/>
              <w:left w:val="single" w:sz="4" w:space="0" w:color="auto"/>
              <w:bottom w:val="single" w:sz="4" w:space="0" w:color="auto"/>
              <w:right w:val="single" w:sz="4" w:space="0" w:color="auto"/>
            </w:tcBorders>
            <w:shd w:val="clear" w:color="auto" w:fill="FDE9D9" w:themeFill="accent6" w:themeFillTint="33"/>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268</w:t>
            </w:r>
          </w:p>
        </w:tc>
        <w:tc>
          <w:tcPr>
            <w:tcW w:w="127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w:t>
            </w:r>
          </w:p>
        </w:tc>
        <w:tc>
          <w:tcPr>
            <w:tcW w:w="1405"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8</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10</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24</w:t>
            </w:r>
          </w:p>
        </w:tc>
        <w:tc>
          <w:tcPr>
            <w:tcW w:w="1310" w:type="dxa"/>
            <w:tcBorders>
              <w:top w:val="nil"/>
              <w:left w:val="nil"/>
              <w:bottom w:val="single" w:sz="4" w:space="0" w:color="auto"/>
              <w:right w:val="single" w:sz="4" w:space="0" w:color="auto"/>
            </w:tcBorders>
            <w:shd w:val="clear" w:color="auto" w:fill="auto"/>
            <w:noWrap/>
            <w:vAlign w:val="center"/>
            <w:hideMark/>
          </w:tcPr>
          <w:p w:rsidR="005B3319" w:rsidRPr="009423DD" w:rsidRDefault="005B3319" w:rsidP="00BF41E0">
            <w:pPr>
              <w:widowControl/>
              <w:jc w:val="center"/>
              <w:rPr>
                <w:rFonts w:hAnsi="標楷體" w:cs="新細明體"/>
                <w:color w:val="000000" w:themeColor="text1"/>
                <w:kern w:val="0"/>
                <w:sz w:val="27"/>
                <w:szCs w:val="27"/>
              </w:rPr>
            </w:pPr>
            <w:r w:rsidRPr="009423DD">
              <w:rPr>
                <w:rFonts w:hAnsi="標楷體" w:cs="新細明體" w:hint="eastAsia"/>
                <w:color w:val="000000" w:themeColor="text1"/>
                <w:kern w:val="0"/>
                <w:sz w:val="27"/>
                <w:szCs w:val="27"/>
              </w:rPr>
              <w:t>24</w:t>
            </w:r>
          </w:p>
        </w:tc>
      </w:tr>
    </w:tbl>
    <w:p w:rsidR="00EE1B5D" w:rsidRPr="009423DD" w:rsidRDefault="00EE1B5D" w:rsidP="00724E1A">
      <w:pPr>
        <w:spacing w:afterLines="50" w:after="228"/>
        <w:rPr>
          <w:color w:val="000000" w:themeColor="text1"/>
          <w:sz w:val="24"/>
          <w:szCs w:val="24"/>
        </w:rPr>
      </w:pPr>
      <w:r w:rsidRPr="009423DD">
        <w:rPr>
          <w:rFonts w:hint="eastAsia"/>
          <w:color w:val="000000" w:themeColor="text1"/>
          <w:sz w:val="24"/>
          <w:szCs w:val="24"/>
        </w:rPr>
        <w:t xml:space="preserve"> 資料來源：教育部。</w:t>
      </w:r>
    </w:p>
    <w:p w:rsidR="00CD79AD" w:rsidRPr="009423DD" w:rsidRDefault="005F31F6" w:rsidP="00CD79AD">
      <w:pPr>
        <w:pStyle w:val="3"/>
        <w:rPr>
          <w:color w:val="000000" w:themeColor="text1"/>
        </w:rPr>
      </w:pPr>
      <w:r w:rsidRPr="005B7C45">
        <w:rPr>
          <w:rFonts w:hAnsi="標楷體" w:hint="eastAsia"/>
        </w:rPr>
        <w:lastRenderedPageBreak/>
        <w:t>按</w:t>
      </w:r>
      <w:r w:rsidR="005E58E4" w:rsidRPr="005B7C45">
        <w:rPr>
          <w:rFonts w:hint="eastAsia"/>
        </w:rPr>
        <w:t>改善及停辦實施原則</w:t>
      </w:r>
      <w:r w:rsidRPr="005B7C45">
        <w:rPr>
          <w:rFonts w:hAnsi="標楷體" w:hint="eastAsia"/>
        </w:rPr>
        <w:t>第3點及第6點規定</w:t>
      </w:r>
      <w:r w:rsidR="008839B5" w:rsidRPr="005B7C45">
        <w:rPr>
          <w:rFonts w:hAnsi="標楷體" w:hint="eastAsia"/>
        </w:rPr>
        <w:t>略以</w:t>
      </w:r>
      <w:r w:rsidRPr="005B7C45">
        <w:rPr>
          <w:rFonts w:hAnsi="標楷體" w:hint="eastAsia"/>
        </w:rPr>
        <w:t>，</w:t>
      </w:r>
      <w:r w:rsidR="00A473F0" w:rsidRPr="005B7C45">
        <w:rPr>
          <w:rFonts w:hAnsi="標楷體" w:hint="eastAsia"/>
        </w:rPr>
        <w:t>教育部</w:t>
      </w:r>
      <w:r w:rsidRPr="005B7C45">
        <w:rPr>
          <w:rFonts w:hAnsi="標楷體" w:hint="eastAsia"/>
        </w:rPr>
        <w:t>得到校進行維護學生受教權益教學品質檢核及專案輔導訪視，並得要求該校提報改善計畫進行</w:t>
      </w:r>
      <w:r w:rsidRPr="009423DD">
        <w:rPr>
          <w:rFonts w:hAnsi="標楷體" w:hint="eastAsia"/>
          <w:color w:val="000000" w:themeColor="text1"/>
        </w:rPr>
        <w:t>審查。</w:t>
      </w:r>
      <w:r w:rsidR="00A473F0" w:rsidRPr="009423DD">
        <w:rPr>
          <w:rFonts w:hAnsi="標楷體" w:hint="eastAsia"/>
          <w:color w:val="000000" w:themeColor="text1"/>
        </w:rPr>
        <w:t>根據</w:t>
      </w:r>
      <w:r w:rsidR="00853522" w:rsidRPr="009423DD">
        <w:rPr>
          <w:rFonts w:hint="eastAsia"/>
          <w:color w:val="000000" w:themeColor="text1"/>
        </w:rPr>
        <w:t>教育部針對</w:t>
      </w:r>
      <w:r w:rsidR="00CD79AD" w:rsidRPr="009423DD">
        <w:rPr>
          <w:rFonts w:hint="eastAsia"/>
          <w:color w:val="000000" w:themeColor="text1"/>
        </w:rPr>
        <w:t>該校自106學年度迄109學年度第2學期</w:t>
      </w:r>
      <w:r w:rsidR="00853522" w:rsidRPr="009423DD">
        <w:rPr>
          <w:rFonts w:hint="eastAsia"/>
          <w:color w:val="000000" w:themeColor="text1"/>
        </w:rPr>
        <w:t>專案輔導訪視及教學品質查核</w:t>
      </w:r>
      <w:r w:rsidR="00A473F0" w:rsidRPr="009423DD">
        <w:rPr>
          <w:rFonts w:hint="eastAsia"/>
          <w:color w:val="000000" w:themeColor="text1"/>
        </w:rPr>
        <w:t>結果</w:t>
      </w:r>
      <w:r w:rsidR="00CD79AD" w:rsidRPr="009423DD">
        <w:rPr>
          <w:rFonts w:hint="eastAsia"/>
          <w:color w:val="000000" w:themeColor="text1"/>
        </w:rPr>
        <w:t>，</w:t>
      </w:r>
      <w:r w:rsidR="00AF070F" w:rsidRPr="009423DD">
        <w:rPr>
          <w:rFonts w:hint="eastAsia"/>
          <w:color w:val="000000" w:themeColor="text1"/>
        </w:rPr>
        <w:t>歷年不乏</w:t>
      </w:r>
      <w:r w:rsidR="00BB4B3F" w:rsidRPr="009423DD">
        <w:rPr>
          <w:rFonts w:hint="eastAsia"/>
          <w:color w:val="000000" w:themeColor="text1"/>
        </w:rPr>
        <w:t>有教師減薪、授課時數偏高、專長與授課課程不符及兼任過多職務等情，恐損及教師工作權益及學生學習權益。</w:t>
      </w:r>
      <w:r w:rsidR="0070412A" w:rsidRPr="009423DD">
        <w:rPr>
          <w:rFonts w:hint="eastAsia"/>
          <w:color w:val="000000" w:themeColor="text1"/>
        </w:rPr>
        <w:t>歷次</w:t>
      </w:r>
      <w:r w:rsidR="00710A27" w:rsidRPr="009423DD">
        <w:rPr>
          <w:rFonts w:hint="eastAsia"/>
          <w:color w:val="000000" w:themeColor="text1"/>
        </w:rPr>
        <w:t>針對</w:t>
      </w:r>
      <w:r w:rsidR="00CD79AD" w:rsidRPr="009423DD">
        <w:rPr>
          <w:rFonts w:hint="eastAsia"/>
          <w:color w:val="000000" w:themeColor="text1"/>
          <w:u w:val="single"/>
        </w:rPr>
        <w:t>師資相關</w:t>
      </w:r>
      <w:r w:rsidR="005A676D" w:rsidRPr="009423DD">
        <w:rPr>
          <w:rFonts w:hint="eastAsia"/>
          <w:color w:val="000000" w:themeColor="text1"/>
        </w:rPr>
        <w:t>之</w:t>
      </w:r>
      <w:r w:rsidR="00CD79AD" w:rsidRPr="009423DD">
        <w:rPr>
          <w:rFonts w:hint="eastAsia"/>
          <w:color w:val="000000" w:themeColor="text1"/>
        </w:rPr>
        <w:t>查核意見摘錄如后</w:t>
      </w:r>
      <w:r w:rsidR="004203D9" w:rsidRPr="009423DD">
        <w:rPr>
          <w:rStyle w:val="afe"/>
          <w:color w:val="000000" w:themeColor="text1"/>
        </w:rPr>
        <w:footnoteReference w:id="10"/>
      </w:r>
      <w:r w:rsidR="00CD79AD" w:rsidRPr="009423DD">
        <w:rPr>
          <w:rFonts w:hint="eastAsia"/>
          <w:color w:val="000000" w:themeColor="text1"/>
        </w:rPr>
        <w:t>：</w:t>
      </w:r>
    </w:p>
    <w:p w:rsidR="00837932" w:rsidRPr="009423DD" w:rsidRDefault="00837932" w:rsidP="00837932">
      <w:pPr>
        <w:pStyle w:val="4"/>
        <w:rPr>
          <w:color w:val="000000" w:themeColor="text1"/>
        </w:rPr>
      </w:pPr>
      <w:r w:rsidRPr="009423DD">
        <w:rPr>
          <w:rFonts w:hint="eastAsia"/>
          <w:color w:val="000000" w:themeColor="text1"/>
        </w:rPr>
        <w:t>專案教師僅支付本俸（不發放學術研究費），超授時數依規定支給超時鐘點費（以此概估專案教師的學術研究費約為標準之25%、講師約為40%）。目前13位為退休或資遣再回聘之專案教師，本俸依原職級降5級，以不低於該職級最低俸點，且每週基本授課時數依其職級減半授課，分別為5、5.5、6及7小時。</w:t>
      </w:r>
    </w:p>
    <w:p w:rsidR="00837932" w:rsidRPr="009423DD" w:rsidRDefault="00837932" w:rsidP="00837932">
      <w:pPr>
        <w:pStyle w:val="4"/>
        <w:rPr>
          <w:color w:val="000000" w:themeColor="text1"/>
        </w:rPr>
      </w:pPr>
      <w:r w:rsidRPr="009423DD">
        <w:rPr>
          <w:rFonts w:hint="eastAsia"/>
          <w:color w:val="000000" w:themeColor="text1"/>
        </w:rPr>
        <w:t>系主任資格未符合大學法第13條之規定，如：廚藝管理系系主任為</w:t>
      </w:r>
      <w:r w:rsidR="00C407E4" w:rsidRPr="009423DD">
        <w:rPr>
          <w:rFonts w:hint="eastAsia"/>
          <w:color w:val="000000" w:themeColor="text1"/>
        </w:rPr>
        <w:t>某</w:t>
      </w:r>
      <w:r w:rsidRPr="009423DD">
        <w:rPr>
          <w:rFonts w:hint="eastAsia"/>
          <w:color w:val="000000" w:themeColor="text1"/>
        </w:rPr>
        <w:t>助理教授；觀光休閒系、旅館管理系、銀髮族健康管理系、觀光旅遊系、餐飲管理系（皆於106學年度停招）系主任皆為</w:t>
      </w:r>
      <w:r w:rsidR="004D4D14" w:rsidRPr="009423DD">
        <w:rPr>
          <w:rFonts w:hint="eastAsia"/>
          <w:color w:val="000000" w:themeColor="text1"/>
        </w:rPr>
        <w:t>某</w:t>
      </w:r>
      <w:r w:rsidRPr="009423DD">
        <w:rPr>
          <w:rFonts w:hint="eastAsia"/>
          <w:color w:val="000000" w:themeColor="text1"/>
        </w:rPr>
        <w:t>助理教授。</w:t>
      </w:r>
    </w:p>
    <w:p w:rsidR="00837932" w:rsidRPr="009423DD" w:rsidRDefault="00837932" w:rsidP="00837932">
      <w:pPr>
        <w:pStyle w:val="4"/>
        <w:rPr>
          <w:color w:val="000000" w:themeColor="text1"/>
        </w:rPr>
      </w:pPr>
      <w:r w:rsidRPr="009423DD">
        <w:rPr>
          <w:rFonts w:hint="eastAsia"/>
          <w:color w:val="000000" w:themeColor="text1"/>
        </w:rPr>
        <w:t>學務長由教官兼理，不符合現行學校組織規程第11條規定「學生事務長由校長聘請助理教授以上教師兼任」。</w:t>
      </w:r>
    </w:p>
    <w:p w:rsidR="00837932" w:rsidRPr="009423DD" w:rsidRDefault="00837932" w:rsidP="00837932">
      <w:pPr>
        <w:pStyle w:val="4"/>
        <w:rPr>
          <w:color w:val="000000" w:themeColor="text1"/>
        </w:rPr>
      </w:pPr>
      <w:r w:rsidRPr="009423DD">
        <w:rPr>
          <w:rFonts w:hint="eastAsia"/>
          <w:color w:val="000000" w:themeColor="text1"/>
        </w:rPr>
        <w:t>部分教師學經歷與所授課程未盡相符，如：廚藝管理系某助理教授為國立臺灣大學微生物與生化學研究所生物化學組博士，開設「採購與倉儲管理」、「觀光心理學」、「微型創業」；觀光餐旅系</w:t>
      </w:r>
      <w:r w:rsidR="00317723" w:rsidRPr="009423DD">
        <w:rPr>
          <w:rFonts w:hint="eastAsia"/>
          <w:color w:val="000000" w:themeColor="text1"/>
        </w:rPr>
        <w:t>某</w:t>
      </w:r>
      <w:r w:rsidRPr="009423DD">
        <w:rPr>
          <w:rFonts w:hint="eastAsia"/>
          <w:color w:val="000000" w:themeColor="text1"/>
        </w:rPr>
        <w:lastRenderedPageBreak/>
        <w:t>助理教授為Griffith University Department of Marketing 博士，開設「體育」、「基礎統計」、「餐旅會計」；</w:t>
      </w:r>
      <w:r w:rsidR="00381A0E" w:rsidRPr="009423DD">
        <w:rPr>
          <w:rFonts w:hint="eastAsia"/>
          <w:color w:val="000000" w:themeColor="text1"/>
        </w:rPr>
        <w:t>某助理教授</w:t>
      </w:r>
      <w:r w:rsidRPr="009423DD">
        <w:rPr>
          <w:rFonts w:hint="eastAsia"/>
          <w:color w:val="000000" w:themeColor="text1"/>
        </w:rPr>
        <w:t>為美國體育學院運動管理系博士，開設「質性研究法」，</w:t>
      </w:r>
      <w:r w:rsidR="00317723" w:rsidRPr="009423DD">
        <w:rPr>
          <w:rFonts w:hint="eastAsia"/>
          <w:color w:val="000000" w:themeColor="text1"/>
        </w:rPr>
        <w:t>某</w:t>
      </w:r>
      <w:r w:rsidRPr="009423DD">
        <w:rPr>
          <w:rFonts w:hint="eastAsia"/>
          <w:color w:val="000000" w:themeColor="text1"/>
        </w:rPr>
        <w:t>助理教授為美國紐約州立大學水牛城分校管理科學與系統學系博士，開設「英文」、「餐飲服務」。</w:t>
      </w:r>
    </w:p>
    <w:p w:rsidR="00837932" w:rsidRPr="009423DD" w:rsidRDefault="00837932" w:rsidP="00837932">
      <w:pPr>
        <w:pStyle w:val="4"/>
        <w:rPr>
          <w:color w:val="000000" w:themeColor="text1"/>
        </w:rPr>
      </w:pPr>
      <w:r w:rsidRPr="009423DD">
        <w:rPr>
          <w:rFonts w:hint="eastAsia"/>
          <w:color w:val="000000" w:themeColor="text1"/>
        </w:rPr>
        <w:t>部分教師每週授課時數偏高，如：廚藝管理系</w:t>
      </w:r>
      <w:r w:rsidR="00D817FD" w:rsidRPr="009423DD">
        <w:rPr>
          <w:rFonts w:hint="eastAsia"/>
          <w:color w:val="000000" w:themeColor="text1"/>
        </w:rPr>
        <w:t>某副教授</w:t>
      </w:r>
      <w:r w:rsidRPr="009423DD">
        <w:rPr>
          <w:rFonts w:hint="eastAsia"/>
          <w:color w:val="000000" w:themeColor="text1"/>
        </w:rPr>
        <w:t>為27小時、</w:t>
      </w:r>
      <w:r w:rsidR="003210C3" w:rsidRPr="009423DD">
        <w:rPr>
          <w:rFonts w:hint="eastAsia"/>
          <w:color w:val="000000" w:themeColor="text1"/>
        </w:rPr>
        <w:t>某</w:t>
      </w:r>
      <w:r w:rsidRPr="009423DD">
        <w:rPr>
          <w:rFonts w:hint="eastAsia"/>
          <w:color w:val="000000" w:themeColor="text1"/>
        </w:rPr>
        <w:t>講師為21小時、</w:t>
      </w:r>
      <w:r w:rsidR="003210C3" w:rsidRPr="009423DD">
        <w:rPr>
          <w:rFonts w:hint="eastAsia"/>
          <w:color w:val="000000" w:themeColor="text1"/>
        </w:rPr>
        <w:t>某</w:t>
      </w:r>
      <w:r w:rsidRPr="009423DD">
        <w:rPr>
          <w:rFonts w:hint="eastAsia"/>
          <w:color w:val="000000" w:themeColor="text1"/>
        </w:rPr>
        <w:t>助理教授為20小時；觀光餐旅系</w:t>
      </w:r>
      <w:r w:rsidR="003210C3" w:rsidRPr="009423DD">
        <w:rPr>
          <w:rFonts w:hint="eastAsia"/>
          <w:color w:val="000000" w:themeColor="text1"/>
        </w:rPr>
        <w:t>某</w:t>
      </w:r>
      <w:r w:rsidRPr="009423DD">
        <w:rPr>
          <w:rFonts w:hint="eastAsia"/>
          <w:color w:val="000000" w:themeColor="text1"/>
        </w:rPr>
        <w:t>講師為20小時。</w:t>
      </w:r>
    </w:p>
    <w:p w:rsidR="005C2034" w:rsidRPr="009423DD" w:rsidRDefault="005C2034" w:rsidP="005C2034">
      <w:pPr>
        <w:pStyle w:val="4"/>
        <w:rPr>
          <w:color w:val="000000" w:themeColor="text1"/>
        </w:rPr>
      </w:pPr>
      <w:r w:rsidRPr="009423DD">
        <w:rPr>
          <w:rFonts w:hint="eastAsia"/>
          <w:color w:val="000000" w:themeColor="text1"/>
        </w:rPr>
        <w:t>學校師資共計23人，其中專任師資4人、專技教師4人，其餘15人皆為專案教師，專案教師比</w:t>
      </w:r>
      <w:r w:rsidR="00AB30CF">
        <w:rPr>
          <w:rFonts w:hint="eastAsia"/>
          <w:color w:val="7030A0"/>
        </w:rPr>
        <w:t>率</w:t>
      </w:r>
      <w:r w:rsidRPr="009423DD">
        <w:rPr>
          <w:rFonts w:hint="eastAsia"/>
          <w:color w:val="000000" w:themeColor="text1"/>
        </w:rPr>
        <w:t>偏高。</w:t>
      </w:r>
      <w:r w:rsidR="00B1277F" w:rsidRPr="009423DD">
        <w:rPr>
          <w:rFonts w:hint="eastAsia"/>
          <w:color w:val="000000" w:themeColor="text1"/>
        </w:rPr>
        <w:t>（106-2）</w:t>
      </w:r>
    </w:p>
    <w:p w:rsidR="00CD79AD" w:rsidRPr="009423DD" w:rsidRDefault="00646349" w:rsidP="00CD79AD">
      <w:pPr>
        <w:pStyle w:val="4"/>
        <w:rPr>
          <w:color w:val="000000" w:themeColor="text1"/>
        </w:rPr>
      </w:pPr>
      <w:r w:rsidRPr="009423DD">
        <w:rPr>
          <w:rFonts w:hint="eastAsia"/>
          <w:color w:val="000000" w:themeColor="text1"/>
        </w:rPr>
        <w:t>廚藝管理系及觀光餐旅系均由</w:t>
      </w:r>
      <w:r w:rsidR="00617104" w:rsidRPr="009423DD">
        <w:rPr>
          <w:rFonts w:hint="eastAsia"/>
          <w:color w:val="000000" w:themeColor="text1"/>
        </w:rPr>
        <w:t>某</w:t>
      </w:r>
      <w:r w:rsidRPr="009423DD">
        <w:rPr>
          <w:rFonts w:hint="eastAsia"/>
          <w:color w:val="000000" w:themeColor="text1"/>
        </w:rPr>
        <w:t>副教授兼任，已停招系科（觀光休閒系、旅館管理系、銀髮族健康管理系、觀光旅遊系及餐飲管理系）皆由校長兼任系主任。</w:t>
      </w:r>
      <w:r w:rsidR="0027666C" w:rsidRPr="009423DD">
        <w:rPr>
          <w:rFonts w:hint="eastAsia"/>
          <w:color w:val="000000" w:themeColor="text1"/>
        </w:rPr>
        <w:t>（107-1）</w:t>
      </w:r>
    </w:p>
    <w:p w:rsidR="007018B4" w:rsidRPr="009423DD" w:rsidRDefault="007018B4" w:rsidP="00CD79AD">
      <w:pPr>
        <w:pStyle w:val="4"/>
        <w:rPr>
          <w:color w:val="000000" w:themeColor="text1"/>
        </w:rPr>
      </w:pPr>
      <w:r w:rsidRPr="009423DD">
        <w:rPr>
          <w:rFonts w:ascii="Times New Roman" w:hAnsi="Times New Roman"/>
          <w:color w:val="000000" w:themeColor="text1"/>
          <w:kern w:val="0"/>
          <w:szCs w:val="28"/>
        </w:rPr>
        <w:t>學校專任師資共計</w:t>
      </w:r>
      <w:r w:rsidRPr="009423DD">
        <w:rPr>
          <w:rFonts w:ascii="Times New Roman" w:hAnsi="Times New Roman"/>
          <w:color w:val="000000" w:themeColor="text1"/>
          <w:kern w:val="0"/>
          <w:szCs w:val="28"/>
        </w:rPr>
        <w:t>22</w:t>
      </w:r>
      <w:r w:rsidRPr="009423DD">
        <w:rPr>
          <w:rFonts w:ascii="Times New Roman" w:hAnsi="Times New Roman"/>
          <w:color w:val="000000" w:themeColor="text1"/>
          <w:kern w:val="0"/>
          <w:szCs w:val="28"/>
        </w:rPr>
        <w:t>人，其中</w:t>
      </w:r>
      <w:r w:rsidRPr="009423DD">
        <w:rPr>
          <w:rFonts w:ascii="Times New Roman" w:hAnsi="Times New Roman"/>
          <w:color w:val="000000" w:themeColor="text1"/>
          <w:kern w:val="0"/>
          <w:szCs w:val="28"/>
        </w:rPr>
        <w:t>19</w:t>
      </w:r>
      <w:r w:rsidRPr="009423DD">
        <w:rPr>
          <w:rFonts w:ascii="Times New Roman" w:hAnsi="Times New Roman"/>
          <w:color w:val="000000" w:themeColor="text1"/>
          <w:kern w:val="0"/>
          <w:szCs w:val="28"/>
        </w:rPr>
        <w:t>人為專案教師，僅支付本俸，未發放學術研究費。</w:t>
      </w:r>
      <w:r w:rsidRPr="009423DD">
        <w:rPr>
          <w:rFonts w:hint="eastAsia"/>
          <w:color w:val="000000" w:themeColor="text1"/>
        </w:rPr>
        <w:t>（107-2）</w:t>
      </w:r>
    </w:p>
    <w:p w:rsidR="00403895" w:rsidRPr="009423DD" w:rsidRDefault="00403895" w:rsidP="00403895">
      <w:pPr>
        <w:pStyle w:val="4"/>
        <w:rPr>
          <w:color w:val="000000" w:themeColor="text1"/>
        </w:rPr>
      </w:pPr>
      <w:r w:rsidRPr="009423DD">
        <w:rPr>
          <w:rFonts w:hint="eastAsia"/>
          <w:color w:val="000000" w:themeColor="text1"/>
        </w:rPr>
        <w:t>師資總量未符合「專科以上學校總量發展規模與資源條件標準」，如：觀光休閒系、餐飲管理系、銀髮族健康管理系、旅館管理系已於106學年度停招，然無專任教師。（108-1）</w:t>
      </w:r>
    </w:p>
    <w:p w:rsidR="00403895" w:rsidRPr="009423DD" w:rsidRDefault="00403895" w:rsidP="00403895">
      <w:pPr>
        <w:pStyle w:val="4"/>
        <w:rPr>
          <w:color w:val="000000" w:themeColor="text1"/>
        </w:rPr>
      </w:pPr>
      <w:r w:rsidRPr="009423DD">
        <w:rPr>
          <w:rFonts w:hint="eastAsia"/>
          <w:color w:val="000000" w:themeColor="text1"/>
        </w:rPr>
        <w:t>專業領域師資數量未符合開課需求，如：廚藝管理系</w:t>
      </w:r>
      <w:r w:rsidRPr="009423DD">
        <w:rPr>
          <w:color w:val="000000" w:themeColor="text1"/>
        </w:rPr>
        <w:t>7</w:t>
      </w:r>
      <w:r w:rsidRPr="009423DD">
        <w:rPr>
          <w:rFonts w:hint="eastAsia"/>
          <w:color w:val="000000" w:themeColor="text1"/>
        </w:rPr>
        <w:t>名專任教師，某專案講師及</w:t>
      </w:r>
      <w:r w:rsidR="001F14F8" w:rsidRPr="009423DD">
        <w:rPr>
          <w:rFonts w:hint="eastAsia"/>
          <w:color w:val="000000" w:themeColor="text1"/>
        </w:rPr>
        <w:t>某</w:t>
      </w:r>
      <w:r w:rsidRPr="009423DD">
        <w:rPr>
          <w:rFonts w:hint="eastAsia"/>
          <w:color w:val="000000" w:themeColor="text1"/>
        </w:rPr>
        <w:t>專案講師級專業技術人員皆未於系上授課，僅</w:t>
      </w:r>
      <w:r w:rsidRPr="009423DD">
        <w:rPr>
          <w:color w:val="000000" w:themeColor="text1"/>
        </w:rPr>
        <w:t>5</w:t>
      </w:r>
      <w:r w:rsidRPr="009423DD">
        <w:rPr>
          <w:rFonts w:hint="eastAsia"/>
          <w:color w:val="000000" w:themeColor="text1"/>
        </w:rPr>
        <w:t>名於系上授課。（108-1）</w:t>
      </w:r>
    </w:p>
    <w:p w:rsidR="00403895" w:rsidRPr="009423DD" w:rsidRDefault="00403895" w:rsidP="00403895">
      <w:pPr>
        <w:pStyle w:val="4"/>
        <w:rPr>
          <w:color w:val="000000" w:themeColor="text1"/>
        </w:rPr>
      </w:pPr>
      <w:r w:rsidRPr="009423DD">
        <w:rPr>
          <w:rFonts w:hint="eastAsia"/>
          <w:color w:val="000000" w:themeColor="text1"/>
        </w:rPr>
        <w:t>全校17名專任教師，其中15名為專案教師；另有37名兼任教師，專案教師及兼任教師比率過高問題仍未改善，如：廚藝管理系現有7名專任教師，皆為專案教師；觀光餐旅系（科）現有9名專任教</w:t>
      </w:r>
      <w:r w:rsidRPr="009423DD">
        <w:rPr>
          <w:rFonts w:hint="eastAsia"/>
          <w:color w:val="000000" w:themeColor="text1"/>
        </w:rPr>
        <w:lastRenderedPageBreak/>
        <w:t>師，含1名專任助理教授及8名專案教師。</w:t>
      </w:r>
      <w:r w:rsidR="00C3153E" w:rsidRPr="009423DD">
        <w:rPr>
          <w:rFonts w:hint="eastAsia"/>
          <w:color w:val="000000" w:themeColor="text1"/>
        </w:rPr>
        <w:t>（108-1）</w:t>
      </w:r>
    </w:p>
    <w:p w:rsidR="0025554B" w:rsidRPr="009423DD" w:rsidRDefault="0025554B" w:rsidP="0025554B">
      <w:pPr>
        <w:pStyle w:val="4"/>
        <w:rPr>
          <w:color w:val="000000" w:themeColor="text1"/>
        </w:rPr>
      </w:pPr>
      <w:r w:rsidRPr="009423DD">
        <w:rPr>
          <w:rFonts w:hint="eastAsia"/>
          <w:color w:val="000000" w:themeColor="text1"/>
        </w:rPr>
        <w:t>師資總量未符合「專科以上學校總量發展規模與資源條件標準」，如：觀光休閒系、餐飲管理系、銀髮族健康管理系、旅館管理系、觀光遊遊系已於106學年度停招，現無專任教師，各系仍應有1位專任教師。（108-2）</w:t>
      </w:r>
    </w:p>
    <w:p w:rsidR="0025554B" w:rsidRPr="009423DD" w:rsidRDefault="0025554B" w:rsidP="0025554B">
      <w:pPr>
        <w:pStyle w:val="4"/>
        <w:rPr>
          <w:color w:val="000000" w:themeColor="text1"/>
        </w:rPr>
      </w:pPr>
      <w:r w:rsidRPr="009423DD">
        <w:rPr>
          <w:rFonts w:hint="eastAsia"/>
          <w:color w:val="000000" w:themeColor="text1"/>
        </w:rPr>
        <w:t>專業實習課程安排他系非專業領域教師負責，如：廚藝管理系</w:t>
      </w:r>
      <w:r w:rsidR="007163A2" w:rsidRPr="009423DD">
        <w:rPr>
          <w:rFonts w:hint="eastAsia"/>
          <w:color w:val="000000" w:themeColor="text1"/>
        </w:rPr>
        <w:t>某</w:t>
      </w:r>
      <w:r w:rsidRPr="009423DD">
        <w:rPr>
          <w:rFonts w:hint="eastAsia"/>
          <w:color w:val="000000" w:themeColor="text1"/>
        </w:rPr>
        <w:t>講師為工程科學碩士；</w:t>
      </w:r>
      <w:r w:rsidR="00736F90" w:rsidRPr="009423DD">
        <w:rPr>
          <w:rFonts w:hint="eastAsia"/>
          <w:color w:val="000000" w:themeColor="text1"/>
        </w:rPr>
        <w:t>某</w:t>
      </w:r>
      <w:r w:rsidRPr="009423DD">
        <w:rPr>
          <w:rFonts w:hint="eastAsia"/>
          <w:color w:val="000000" w:themeColor="text1"/>
        </w:rPr>
        <w:t>講師為商學研究所碩士；</w:t>
      </w:r>
      <w:r w:rsidR="00B533B3" w:rsidRPr="009423DD">
        <w:rPr>
          <w:rFonts w:hint="eastAsia"/>
          <w:color w:val="000000" w:themeColor="text1"/>
        </w:rPr>
        <w:t>某</w:t>
      </w:r>
      <w:r w:rsidRPr="009423DD">
        <w:rPr>
          <w:rFonts w:hint="eastAsia"/>
          <w:color w:val="000000" w:themeColor="text1"/>
        </w:rPr>
        <w:t>講師為歷史學系碩士，皆開設「校外實習（二）」。（108-2）</w:t>
      </w:r>
    </w:p>
    <w:p w:rsidR="0025554B" w:rsidRPr="009423DD" w:rsidRDefault="002C1F8E" w:rsidP="00403895">
      <w:pPr>
        <w:pStyle w:val="4"/>
        <w:rPr>
          <w:color w:val="000000" w:themeColor="text1"/>
        </w:rPr>
      </w:pPr>
      <w:r w:rsidRPr="009423DD">
        <w:rPr>
          <w:rFonts w:ascii="Times New Roman" w:hAnsi="Times New Roman" w:hint="eastAsia"/>
          <w:bCs/>
          <w:color w:val="000000" w:themeColor="text1"/>
          <w:kern w:val="0"/>
          <w:szCs w:val="28"/>
        </w:rPr>
        <w:t>教師專長與授課課程不符，如：廚藝管理系</w:t>
      </w:r>
      <w:r w:rsidR="008F7507" w:rsidRPr="009423DD">
        <w:rPr>
          <w:rFonts w:ascii="Times New Roman" w:hAnsi="Times New Roman" w:hint="eastAsia"/>
          <w:bCs/>
          <w:color w:val="000000" w:themeColor="text1"/>
          <w:kern w:val="0"/>
          <w:szCs w:val="28"/>
        </w:rPr>
        <w:t>某</w:t>
      </w:r>
      <w:r w:rsidRPr="009423DD">
        <w:rPr>
          <w:rFonts w:ascii="Times New Roman" w:hAnsi="Times New Roman" w:hint="eastAsia"/>
          <w:bCs/>
          <w:color w:val="000000" w:themeColor="text1"/>
          <w:kern w:val="0"/>
          <w:szCs w:val="28"/>
        </w:rPr>
        <w:t>講師為成功大學工程科學系碩士，開設</w:t>
      </w:r>
      <w:r w:rsidRPr="009423DD">
        <w:rPr>
          <w:rFonts w:ascii="Times New Roman" w:hAnsi="Times New Roman"/>
          <w:bCs/>
          <w:color w:val="000000" w:themeColor="text1"/>
          <w:kern w:val="0"/>
          <w:szCs w:val="28"/>
        </w:rPr>
        <w:t>觀光餐旅系進四技四</w:t>
      </w:r>
      <w:r w:rsidRPr="009423DD">
        <w:rPr>
          <w:rFonts w:ascii="Times New Roman" w:hAnsi="Times New Roman" w:hint="eastAsia"/>
          <w:bCs/>
          <w:color w:val="000000" w:themeColor="text1"/>
          <w:kern w:val="0"/>
          <w:szCs w:val="28"/>
        </w:rPr>
        <w:t>年級</w:t>
      </w:r>
      <w:r w:rsidRPr="009423DD">
        <w:rPr>
          <w:rFonts w:ascii="Times New Roman" w:hAnsi="Times New Roman"/>
          <w:bCs/>
          <w:color w:val="000000" w:themeColor="text1"/>
          <w:kern w:val="0"/>
          <w:szCs w:val="28"/>
        </w:rPr>
        <w:t>「顧客關係管理」</w:t>
      </w:r>
      <w:r w:rsidRPr="009423DD">
        <w:rPr>
          <w:rFonts w:ascii="Times New Roman" w:hAnsi="Times New Roman" w:hint="eastAsia"/>
          <w:bCs/>
          <w:color w:val="000000" w:themeColor="text1"/>
          <w:kern w:val="0"/>
          <w:szCs w:val="28"/>
        </w:rPr>
        <w:t>及日四技四年級「服務管理」</w:t>
      </w:r>
      <w:r w:rsidR="00615BA5" w:rsidRPr="009423DD">
        <w:rPr>
          <w:rFonts w:ascii="Times New Roman" w:hAnsi="Times New Roman" w:hint="eastAsia"/>
          <w:bCs/>
          <w:color w:val="000000" w:themeColor="text1"/>
          <w:kern w:val="0"/>
          <w:szCs w:val="28"/>
        </w:rPr>
        <w:t>。</w:t>
      </w:r>
      <w:r w:rsidR="00615BA5" w:rsidRPr="009423DD">
        <w:rPr>
          <w:rFonts w:hint="eastAsia"/>
          <w:color w:val="000000" w:themeColor="text1"/>
        </w:rPr>
        <w:t>（109-1）</w:t>
      </w:r>
    </w:p>
    <w:p w:rsidR="00615BA5" w:rsidRPr="009423DD" w:rsidRDefault="00615BA5" w:rsidP="00403895">
      <w:pPr>
        <w:pStyle w:val="4"/>
        <w:rPr>
          <w:color w:val="000000" w:themeColor="text1"/>
        </w:rPr>
      </w:pPr>
      <w:r w:rsidRPr="009423DD">
        <w:rPr>
          <w:rFonts w:ascii="Times New Roman" w:hAnsi="Times New Roman" w:hint="eastAsia"/>
          <w:bCs/>
          <w:color w:val="000000" w:themeColor="text1"/>
          <w:kern w:val="0"/>
          <w:szCs w:val="28"/>
        </w:rPr>
        <w:t>歷年學生學籍資料（含日間部及進修部）應確實盤點並妥善保管。惟教務處現行行政人力僅</w:t>
      </w:r>
      <w:r w:rsidRPr="009423DD">
        <w:rPr>
          <w:rFonts w:ascii="Times New Roman" w:hAnsi="Times New Roman" w:hint="eastAsia"/>
          <w:bCs/>
          <w:color w:val="000000" w:themeColor="text1"/>
          <w:kern w:val="0"/>
          <w:szCs w:val="28"/>
        </w:rPr>
        <w:t>2</w:t>
      </w:r>
      <w:r w:rsidRPr="009423DD">
        <w:rPr>
          <w:rFonts w:ascii="Times New Roman" w:hAnsi="Times New Roman" w:hint="eastAsia"/>
          <w:bCs/>
          <w:color w:val="000000" w:themeColor="text1"/>
          <w:kern w:val="0"/>
          <w:szCs w:val="28"/>
        </w:rPr>
        <w:t>名教師兼職，宜投入必要資源，以利後續資料建置及管理。</w:t>
      </w:r>
      <w:r w:rsidRPr="009423DD">
        <w:rPr>
          <w:rFonts w:hint="eastAsia"/>
          <w:color w:val="000000" w:themeColor="text1"/>
        </w:rPr>
        <w:t>（109-2）</w:t>
      </w:r>
    </w:p>
    <w:p w:rsidR="00DD2FE7" w:rsidRPr="009423DD" w:rsidRDefault="008D474A" w:rsidP="00E21566">
      <w:pPr>
        <w:pStyle w:val="3"/>
        <w:rPr>
          <w:color w:val="000000" w:themeColor="text1"/>
        </w:rPr>
      </w:pPr>
      <w:r w:rsidRPr="009423DD">
        <w:rPr>
          <w:rFonts w:hint="eastAsia"/>
          <w:color w:val="000000" w:themeColor="text1"/>
        </w:rPr>
        <w:t>綜上，</w:t>
      </w:r>
      <w:r w:rsidR="00FD48B3" w:rsidRPr="005B7C45">
        <w:rPr>
          <w:rFonts w:hint="eastAsia"/>
        </w:rPr>
        <w:t>該校</w:t>
      </w:r>
      <w:r w:rsidR="00A5453D" w:rsidRPr="005B7C45">
        <w:rPr>
          <w:rFonts w:hint="eastAsia"/>
        </w:rPr>
        <w:t>110學年度停辦核准，校方於退場程序中，經110年7月</w:t>
      </w:r>
      <w:r w:rsidR="00A5453D" w:rsidRPr="009423DD">
        <w:rPr>
          <w:rFonts w:hint="eastAsia"/>
          <w:color w:val="000000" w:themeColor="text1"/>
        </w:rPr>
        <w:t>7日第10屆第9次董事會決議教職員工資遣議案，業於同年8月31日完成通報作業並發放資遣及離職慰問金，該校並動支設校基金撥付教職員工薪資，教職員均已辦理資遣及離校；惟101年至109年該校編制內專任教師數自61人逐年減至2人，師資結構相對持續惡化，其中105至106學年度由編制內專任轉為編制外專任教師（即專案教師）者計15人、轉為編制外兼任者計2人，編制內專任教師數由45人降為4人，且依教育部查核意見顯示，歷年仍有教師減薪、授課時數偏高、專長與授課課程不符及兼任過多職務等情，</w:t>
      </w:r>
      <w:r w:rsidR="00845290" w:rsidRPr="009423DD">
        <w:rPr>
          <w:rFonts w:hint="eastAsia"/>
          <w:color w:val="000000" w:themeColor="text1"/>
        </w:rPr>
        <w:t>損及教師工作及學生學習權</w:t>
      </w:r>
      <w:r w:rsidR="00845290" w:rsidRPr="009423DD">
        <w:rPr>
          <w:rFonts w:hint="eastAsia"/>
          <w:color w:val="000000" w:themeColor="text1"/>
        </w:rPr>
        <w:lastRenderedPageBreak/>
        <w:t>益，然此種情況恐成瀕退場學校常態，後續亟待教育部通盤檢討大學退場程序之師資相關配套措施，以利發揮</w:t>
      </w:r>
      <w:r w:rsidR="00845290" w:rsidRPr="009423DD">
        <w:rPr>
          <w:rFonts w:hAnsi="標楷體"/>
          <w:color w:val="000000" w:themeColor="text1"/>
          <w:szCs w:val="32"/>
        </w:rPr>
        <w:t>高教</w:t>
      </w:r>
      <w:r w:rsidR="00845290" w:rsidRPr="009423DD">
        <w:rPr>
          <w:rFonts w:hAnsi="標楷體" w:hint="eastAsia"/>
          <w:color w:val="000000" w:themeColor="text1"/>
          <w:szCs w:val="32"/>
        </w:rPr>
        <w:t>正向</w:t>
      </w:r>
      <w:r w:rsidR="00845290" w:rsidRPr="009423DD">
        <w:rPr>
          <w:rFonts w:hAnsi="標楷體"/>
          <w:color w:val="000000" w:themeColor="text1"/>
          <w:szCs w:val="32"/>
        </w:rPr>
        <w:t>功能與成效</w:t>
      </w:r>
      <w:r w:rsidR="00A5453D" w:rsidRPr="009423DD">
        <w:rPr>
          <w:rFonts w:hint="eastAsia"/>
          <w:color w:val="000000" w:themeColor="text1"/>
        </w:rPr>
        <w:t>。</w:t>
      </w:r>
    </w:p>
    <w:p w:rsidR="006D486F" w:rsidRPr="009423DD" w:rsidRDefault="006D486F" w:rsidP="006D486F">
      <w:pPr>
        <w:pStyle w:val="3"/>
        <w:numPr>
          <w:ilvl w:val="0"/>
          <w:numId w:val="0"/>
        </w:numPr>
        <w:ind w:left="1361"/>
        <w:rPr>
          <w:color w:val="000000" w:themeColor="text1"/>
        </w:rPr>
      </w:pPr>
    </w:p>
    <w:p w:rsidR="009A1E34" w:rsidRPr="009423DD" w:rsidRDefault="00F70FA4" w:rsidP="00385F6B">
      <w:pPr>
        <w:pStyle w:val="2"/>
        <w:rPr>
          <w:rFonts w:hAnsi="標楷體"/>
          <w:b/>
          <w:color w:val="000000" w:themeColor="text1"/>
          <w:szCs w:val="32"/>
        </w:rPr>
      </w:pPr>
      <w:r w:rsidRPr="009423DD">
        <w:rPr>
          <w:rFonts w:hAnsi="標楷體" w:hint="eastAsia"/>
          <w:b/>
          <w:color w:val="000000" w:themeColor="text1"/>
          <w:szCs w:val="32"/>
        </w:rPr>
        <w:t>臺</w:t>
      </w:r>
      <w:r w:rsidRPr="005B7C45">
        <w:rPr>
          <w:rFonts w:hAnsi="標楷體" w:hint="eastAsia"/>
          <w:b/>
          <w:szCs w:val="32"/>
        </w:rPr>
        <w:t>灣觀光學院</w:t>
      </w:r>
      <w:r w:rsidR="00995CA6" w:rsidRPr="005B7C45">
        <w:rPr>
          <w:rFonts w:hAnsi="標楷體" w:hint="eastAsia"/>
          <w:b/>
          <w:szCs w:val="32"/>
        </w:rPr>
        <w:t>1</w:t>
      </w:r>
      <w:r w:rsidR="00995CA6" w:rsidRPr="005B7C45">
        <w:rPr>
          <w:rFonts w:hAnsi="標楷體"/>
          <w:b/>
          <w:szCs w:val="32"/>
        </w:rPr>
        <w:t>0</w:t>
      </w:r>
      <w:r w:rsidR="0099474A" w:rsidRPr="005B7C45">
        <w:rPr>
          <w:rFonts w:hAnsi="標楷體"/>
          <w:b/>
          <w:szCs w:val="32"/>
        </w:rPr>
        <w:t>7</w:t>
      </w:r>
      <w:r w:rsidR="00995CA6" w:rsidRPr="005B7C45">
        <w:rPr>
          <w:rFonts w:hAnsi="標楷體" w:hint="eastAsia"/>
          <w:b/>
          <w:szCs w:val="32"/>
        </w:rPr>
        <w:t>年由台灣運動彩券股份有限公司捐資</w:t>
      </w:r>
      <w:r w:rsidR="0099474A" w:rsidRPr="005B7C45">
        <w:rPr>
          <w:rFonts w:hAnsi="標楷體" w:hint="eastAsia"/>
          <w:b/>
          <w:szCs w:val="32"/>
        </w:rPr>
        <w:t>補足其財務缺口</w:t>
      </w:r>
      <w:r w:rsidR="002D2C2E" w:rsidRPr="005B7C45">
        <w:rPr>
          <w:rFonts w:hAnsi="標楷體" w:hint="eastAsia"/>
          <w:b/>
          <w:szCs w:val="32"/>
        </w:rPr>
        <w:t>而得以繼續辦學</w:t>
      </w:r>
      <w:r w:rsidR="00995CA6" w:rsidRPr="005B7C45">
        <w:rPr>
          <w:rFonts w:hAnsi="標楷體" w:hint="eastAsia"/>
          <w:b/>
          <w:szCs w:val="32"/>
        </w:rPr>
        <w:t>，</w:t>
      </w:r>
      <w:r w:rsidR="00DA5238" w:rsidRPr="005B7C45">
        <w:rPr>
          <w:rFonts w:hAnsi="標楷體" w:hint="eastAsia"/>
          <w:b/>
          <w:szCs w:val="32"/>
        </w:rPr>
        <w:t>惟轉型計畫</w:t>
      </w:r>
      <w:r w:rsidR="00AC3AF4" w:rsidRPr="005B7C45">
        <w:rPr>
          <w:rFonts w:hAnsi="標楷體" w:hint="eastAsia"/>
          <w:b/>
          <w:szCs w:val="32"/>
        </w:rPr>
        <w:t>未考量</w:t>
      </w:r>
      <w:r w:rsidR="009A1E34" w:rsidRPr="005B7C45">
        <w:rPr>
          <w:rFonts w:hAnsi="標楷體" w:hint="eastAsia"/>
          <w:b/>
          <w:szCs w:val="32"/>
        </w:rPr>
        <w:t>經營合作對象</w:t>
      </w:r>
      <w:r w:rsidR="00AC3AF4" w:rsidRPr="005B7C45">
        <w:rPr>
          <w:rFonts w:hAnsi="標楷體" w:hint="eastAsia"/>
          <w:b/>
          <w:szCs w:val="32"/>
        </w:rPr>
        <w:t>宜</w:t>
      </w:r>
      <w:r w:rsidR="009A1E34" w:rsidRPr="005B7C45">
        <w:rPr>
          <w:rFonts w:hAnsi="標楷體" w:hint="eastAsia"/>
          <w:b/>
          <w:szCs w:val="32"/>
        </w:rPr>
        <w:t>具備辦理大學教育經驗之條件，</w:t>
      </w:r>
      <w:r w:rsidR="00430C08" w:rsidRPr="005B7C45">
        <w:rPr>
          <w:rFonts w:hAnsi="標楷體" w:hint="eastAsia"/>
          <w:b/>
          <w:szCs w:val="32"/>
        </w:rPr>
        <w:t>且該公司之捐資態樣亦未能確保學校日後營運所需資金能持續挹注無虞</w:t>
      </w:r>
      <w:r w:rsidR="000D14D8" w:rsidRPr="005B7C45">
        <w:rPr>
          <w:rFonts w:hAnsi="標楷體" w:hint="eastAsia"/>
          <w:b/>
          <w:szCs w:val="32"/>
        </w:rPr>
        <w:t>，而</w:t>
      </w:r>
      <w:r w:rsidR="007543E0" w:rsidRPr="005B7C45">
        <w:rPr>
          <w:rFonts w:hAnsi="標楷體" w:hint="eastAsia"/>
          <w:b/>
          <w:szCs w:val="32"/>
        </w:rPr>
        <w:t>教育部並未審慎評估與監督，以致該校轉型計畫短短3年</w:t>
      </w:r>
      <w:r w:rsidR="007543E0" w:rsidRPr="009423DD">
        <w:rPr>
          <w:rFonts w:hAnsi="標楷體" w:hint="eastAsia"/>
          <w:b/>
          <w:color w:val="000000" w:themeColor="text1"/>
          <w:szCs w:val="32"/>
        </w:rPr>
        <w:t>就結束，無異再一次損害教師及學生的權益，教育部態度</w:t>
      </w:r>
      <w:r w:rsidR="007F49B3" w:rsidRPr="009423DD">
        <w:rPr>
          <w:rFonts w:hAnsi="標楷體" w:hint="eastAsia"/>
          <w:b/>
          <w:color w:val="000000" w:themeColor="text1"/>
          <w:szCs w:val="32"/>
        </w:rPr>
        <w:t>實</w:t>
      </w:r>
      <w:r w:rsidR="007543E0" w:rsidRPr="009423DD">
        <w:rPr>
          <w:rFonts w:hAnsi="標楷體" w:hint="eastAsia"/>
          <w:b/>
          <w:color w:val="000000" w:themeColor="text1"/>
          <w:szCs w:val="32"/>
        </w:rPr>
        <w:t>欠積極，應予改進。</w:t>
      </w:r>
      <w:r w:rsidR="003E64BD" w:rsidRPr="009423DD">
        <w:rPr>
          <w:rFonts w:hAnsi="標楷體" w:hint="eastAsia"/>
          <w:b/>
          <w:color w:val="000000" w:themeColor="text1"/>
          <w:szCs w:val="32"/>
        </w:rPr>
        <w:t>另</w:t>
      </w:r>
      <w:r w:rsidR="0044795D" w:rsidRPr="009423DD">
        <w:rPr>
          <w:rFonts w:hAnsi="標楷體" w:hint="eastAsia"/>
          <w:b/>
          <w:color w:val="000000" w:themeColor="text1"/>
          <w:szCs w:val="32"/>
        </w:rPr>
        <w:t>教育部</w:t>
      </w:r>
      <w:r w:rsidR="0098346C" w:rsidRPr="009423DD">
        <w:rPr>
          <w:rFonts w:hAnsi="標楷體" w:hint="eastAsia"/>
          <w:b/>
          <w:color w:val="000000" w:themeColor="text1"/>
          <w:szCs w:val="32"/>
        </w:rPr>
        <w:t>對</w:t>
      </w:r>
      <w:r w:rsidR="00E35CA3" w:rsidRPr="009423DD">
        <w:rPr>
          <w:rFonts w:hAnsi="標楷體" w:hint="eastAsia"/>
          <w:b/>
          <w:color w:val="000000" w:themeColor="text1"/>
          <w:szCs w:val="32"/>
        </w:rPr>
        <w:t>大專校院轉型發展計畫</w:t>
      </w:r>
      <w:r w:rsidR="00D74A0E" w:rsidRPr="009423DD">
        <w:rPr>
          <w:rFonts w:hAnsi="標楷體" w:hint="eastAsia"/>
          <w:b/>
          <w:color w:val="000000" w:themeColor="text1"/>
          <w:szCs w:val="32"/>
        </w:rPr>
        <w:t>落實</w:t>
      </w:r>
      <w:r w:rsidR="0025133A" w:rsidRPr="009423DD">
        <w:rPr>
          <w:rFonts w:hAnsi="標楷體" w:hint="eastAsia"/>
          <w:b/>
          <w:color w:val="000000" w:themeColor="text1"/>
          <w:szCs w:val="32"/>
        </w:rPr>
        <w:t>與否之督考</w:t>
      </w:r>
      <w:r w:rsidR="00D74A0E" w:rsidRPr="009423DD">
        <w:rPr>
          <w:rFonts w:hAnsi="標楷體" w:hint="eastAsia"/>
          <w:b/>
          <w:color w:val="000000" w:themeColor="text1"/>
          <w:szCs w:val="32"/>
        </w:rPr>
        <w:t>追蹤，</w:t>
      </w:r>
      <w:r w:rsidR="00385F6B" w:rsidRPr="009423DD">
        <w:rPr>
          <w:rFonts w:hAnsi="標楷體" w:hint="eastAsia"/>
          <w:b/>
          <w:color w:val="000000" w:themeColor="text1"/>
          <w:szCs w:val="32"/>
        </w:rPr>
        <w:t>及</w:t>
      </w:r>
      <w:r w:rsidR="00D74A0E" w:rsidRPr="009423DD">
        <w:rPr>
          <w:rFonts w:hAnsi="標楷體" w:hint="eastAsia"/>
          <w:b/>
          <w:color w:val="000000" w:themeColor="text1"/>
          <w:szCs w:val="32"/>
        </w:rPr>
        <w:t>接手團隊之</w:t>
      </w:r>
      <w:r w:rsidR="0025133A" w:rsidRPr="009423DD">
        <w:rPr>
          <w:rFonts w:hAnsi="標楷體" w:hint="eastAsia"/>
          <w:b/>
          <w:color w:val="000000" w:themeColor="text1"/>
          <w:szCs w:val="32"/>
        </w:rPr>
        <w:t>企業特質、辦學理念</w:t>
      </w:r>
      <w:r w:rsidR="00385F6B" w:rsidRPr="009423DD">
        <w:rPr>
          <w:rFonts w:hAnsi="標楷體" w:hint="eastAsia"/>
          <w:b/>
          <w:color w:val="000000" w:themeColor="text1"/>
          <w:szCs w:val="32"/>
        </w:rPr>
        <w:t>、</w:t>
      </w:r>
      <w:r w:rsidR="0025133A" w:rsidRPr="009423DD">
        <w:rPr>
          <w:rFonts w:hAnsi="標楷體" w:hint="eastAsia"/>
          <w:b/>
          <w:color w:val="000000" w:themeColor="text1"/>
          <w:szCs w:val="32"/>
        </w:rPr>
        <w:t>決心</w:t>
      </w:r>
      <w:r w:rsidR="00385F6B" w:rsidRPr="009423DD">
        <w:rPr>
          <w:rFonts w:hAnsi="標楷體" w:hint="eastAsia"/>
          <w:b/>
          <w:color w:val="000000" w:themeColor="text1"/>
          <w:szCs w:val="32"/>
        </w:rPr>
        <w:t>等</w:t>
      </w:r>
      <w:r w:rsidR="0025133A" w:rsidRPr="009423DD">
        <w:rPr>
          <w:rFonts w:hAnsi="標楷體" w:hint="eastAsia"/>
          <w:b/>
          <w:color w:val="000000" w:themeColor="text1"/>
          <w:szCs w:val="32"/>
        </w:rPr>
        <w:t>與學校</w:t>
      </w:r>
      <w:r w:rsidR="00385F6B" w:rsidRPr="009423DD">
        <w:rPr>
          <w:rFonts w:hAnsi="標楷體" w:hint="eastAsia"/>
          <w:b/>
          <w:color w:val="000000" w:themeColor="text1"/>
          <w:szCs w:val="32"/>
        </w:rPr>
        <w:t>科系之契合度</w:t>
      </w:r>
      <w:r w:rsidR="0025133A" w:rsidRPr="009423DD">
        <w:rPr>
          <w:rFonts w:hAnsi="標楷體" w:hint="eastAsia"/>
          <w:b/>
          <w:color w:val="000000" w:themeColor="text1"/>
          <w:szCs w:val="32"/>
        </w:rPr>
        <w:t>，</w:t>
      </w:r>
      <w:r w:rsidR="00385F6B" w:rsidRPr="009423DD">
        <w:rPr>
          <w:rFonts w:hAnsi="標楷體" w:hint="eastAsia"/>
          <w:b/>
          <w:color w:val="000000" w:themeColor="text1"/>
          <w:szCs w:val="32"/>
        </w:rPr>
        <w:t>均</w:t>
      </w:r>
      <w:r w:rsidR="0025133A" w:rsidRPr="009423DD">
        <w:rPr>
          <w:rFonts w:hAnsi="標楷體" w:hint="eastAsia"/>
          <w:b/>
          <w:color w:val="000000" w:themeColor="text1"/>
          <w:szCs w:val="32"/>
        </w:rPr>
        <w:t>攸關</w:t>
      </w:r>
      <w:r w:rsidR="00385F6B" w:rsidRPr="009423DD">
        <w:rPr>
          <w:rFonts w:hAnsi="標楷體" w:hint="eastAsia"/>
          <w:b/>
          <w:color w:val="000000" w:themeColor="text1"/>
          <w:szCs w:val="32"/>
        </w:rPr>
        <w:t>學校之永續經營</w:t>
      </w:r>
      <w:r w:rsidR="00D74A0E" w:rsidRPr="009423DD">
        <w:rPr>
          <w:rFonts w:hAnsi="標楷體" w:hint="eastAsia"/>
          <w:b/>
          <w:color w:val="000000" w:themeColor="text1"/>
          <w:szCs w:val="32"/>
        </w:rPr>
        <w:t>，</w:t>
      </w:r>
      <w:r w:rsidR="007F49B3" w:rsidRPr="009423DD">
        <w:rPr>
          <w:rFonts w:hAnsi="標楷體" w:hint="eastAsia"/>
          <w:b/>
          <w:color w:val="000000" w:themeColor="text1"/>
          <w:szCs w:val="32"/>
        </w:rPr>
        <w:t>應</w:t>
      </w:r>
      <w:r w:rsidR="006A6079" w:rsidRPr="009423DD">
        <w:rPr>
          <w:rFonts w:hAnsi="標楷體" w:hint="eastAsia"/>
          <w:b/>
          <w:color w:val="000000" w:themeColor="text1"/>
          <w:szCs w:val="32"/>
        </w:rPr>
        <w:t>審慎</w:t>
      </w:r>
      <w:r w:rsidR="000766E7" w:rsidRPr="009423DD">
        <w:rPr>
          <w:rFonts w:hAnsi="標楷體" w:hint="eastAsia"/>
          <w:b/>
          <w:color w:val="000000" w:themeColor="text1"/>
          <w:szCs w:val="32"/>
        </w:rPr>
        <w:t>評估</w:t>
      </w:r>
      <w:r w:rsidR="00D22632" w:rsidRPr="009423DD">
        <w:rPr>
          <w:rFonts w:hAnsi="標楷體" w:hint="eastAsia"/>
          <w:b/>
          <w:color w:val="000000" w:themeColor="text1"/>
          <w:szCs w:val="32"/>
        </w:rPr>
        <w:t>檢討</w:t>
      </w:r>
      <w:r w:rsidR="00995CA6" w:rsidRPr="009423DD">
        <w:rPr>
          <w:rFonts w:hAnsi="標楷體" w:hint="eastAsia"/>
          <w:b/>
          <w:color w:val="000000" w:themeColor="text1"/>
          <w:szCs w:val="32"/>
        </w:rPr>
        <w:t>。</w:t>
      </w:r>
    </w:p>
    <w:p w:rsidR="00F70FA4" w:rsidRPr="005B7C45" w:rsidRDefault="009A4AA7" w:rsidP="00C42D75">
      <w:pPr>
        <w:pStyle w:val="3"/>
        <w:rPr>
          <w:rFonts w:hAnsi="標楷體"/>
          <w:szCs w:val="32"/>
        </w:rPr>
      </w:pPr>
      <w:r w:rsidRPr="005B7C45">
        <w:rPr>
          <w:rFonts w:hAnsi="標楷體" w:hint="eastAsia"/>
          <w:szCs w:val="32"/>
        </w:rPr>
        <w:t>該校</w:t>
      </w:r>
      <w:r w:rsidR="0094050D" w:rsidRPr="005B7C45">
        <w:rPr>
          <w:rFonts w:hAnsi="標楷體" w:hint="eastAsia"/>
          <w:szCs w:val="32"/>
        </w:rPr>
        <w:t>因</w:t>
      </w:r>
      <w:r w:rsidR="00F70FA4" w:rsidRPr="005B7C45">
        <w:rPr>
          <w:rFonts w:hAnsi="標楷體" w:hint="eastAsia"/>
          <w:szCs w:val="32"/>
        </w:rPr>
        <w:t>1</w:t>
      </w:r>
      <w:r w:rsidR="00F70FA4" w:rsidRPr="005B7C45">
        <w:rPr>
          <w:rFonts w:hAnsi="標楷體"/>
          <w:szCs w:val="32"/>
        </w:rPr>
        <w:t>06</w:t>
      </w:r>
      <w:r w:rsidR="00F70FA4" w:rsidRPr="005B7C45">
        <w:rPr>
          <w:rFonts w:hAnsi="標楷體" w:hint="eastAsia"/>
          <w:szCs w:val="32"/>
        </w:rPr>
        <w:t>學年度招生不足，除廚藝管理系外，其餘系所停招，並規劃轉型</w:t>
      </w:r>
      <w:r w:rsidR="00F161EC" w:rsidRPr="005B7C45">
        <w:rPr>
          <w:rFonts w:hAnsi="標楷體" w:hint="eastAsia"/>
          <w:szCs w:val="32"/>
        </w:rPr>
        <w:t>經營</w:t>
      </w:r>
      <w:r w:rsidR="00F70FA4" w:rsidRPr="005B7C45">
        <w:rPr>
          <w:rFonts w:hAnsi="標楷體" w:hint="eastAsia"/>
          <w:szCs w:val="32"/>
        </w:rPr>
        <w:t>，</w:t>
      </w:r>
      <w:r w:rsidR="005B0512" w:rsidRPr="005B7C45">
        <w:rPr>
          <w:rFonts w:hAnsi="標楷體" w:hint="eastAsia"/>
          <w:szCs w:val="32"/>
        </w:rPr>
        <w:t>經該校106年9月16日第9屆董事會第15次會議決議，學校轉型發展計畫書應包括未來辦學規劃、最近3年財務報表、最近3年從事教育公益活動紀錄</w:t>
      </w:r>
      <w:r w:rsidR="00912F08" w:rsidRPr="005B7C45">
        <w:rPr>
          <w:rFonts w:hAnsi="標楷體" w:hint="eastAsia"/>
          <w:szCs w:val="32"/>
        </w:rPr>
        <w:t>、</w:t>
      </w:r>
      <w:r w:rsidR="005B0512" w:rsidRPr="005B7C45">
        <w:rPr>
          <w:rFonts w:hAnsi="標楷體" w:hint="eastAsia"/>
          <w:szCs w:val="32"/>
        </w:rPr>
        <w:t>未來捐贈學校資產應辦理公益信託等項目</w:t>
      </w:r>
      <w:r w:rsidR="00F83BC0" w:rsidRPr="005B7C45">
        <w:rPr>
          <w:rFonts w:hAnsi="標楷體" w:hint="eastAsia"/>
          <w:szCs w:val="32"/>
        </w:rPr>
        <w:t>；</w:t>
      </w:r>
      <w:r w:rsidR="001A643A" w:rsidRPr="005B7C45">
        <w:rPr>
          <w:rFonts w:hAnsi="標楷體" w:hint="eastAsia"/>
          <w:szCs w:val="32"/>
        </w:rPr>
        <w:t>臺灣觀光學院</w:t>
      </w:r>
      <w:r w:rsidR="00F83BC0" w:rsidRPr="005B7C45">
        <w:rPr>
          <w:rFonts w:hAnsi="標楷體" w:hint="eastAsia"/>
          <w:szCs w:val="32"/>
        </w:rPr>
        <w:t>106年9月27日第9屆董事會第16次會議就花蓮縣社區大學董事會、德明財經科技大學、運彩公司及君達育樂事業股份有限公司所提計畫書進行討論，決議運彩公司所提計畫符合條件，為第一順位合作對象。</w:t>
      </w:r>
      <w:r w:rsidR="0046489F" w:rsidRPr="005B7C45">
        <w:rPr>
          <w:rFonts w:hAnsi="標楷體" w:hint="eastAsia"/>
          <w:szCs w:val="32"/>
        </w:rPr>
        <w:t>據教育部表示，</w:t>
      </w:r>
      <w:r w:rsidR="001A643A" w:rsidRPr="005B7C45">
        <w:rPr>
          <w:rFonts w:hAnsi="標楷體" w:hint="eastAsia"/>
          <w:szCs w:val="32"/>
        </w:rPr>
        <w:t>由於</w:t>
      </w:r>
      <w:r w:rsidR="00E82EBD" w:rsidRPr="005B7C45">
        <w:rPr>
          <w:rFonts w:hAnsi="標楷體" w:hint="eastAsia"/>
          <w:szCs w:val="32"/>
        </w:rPr>
        <w:t>該校</w:t>
      </w:r>
      <w:r w:rsidR="0046489F" w:rsidRPr="005B7C45">
        <w:rPr>
          <w:rFonts w:hAnsi="標楷體" w:hint="eastAsia"/>
          <w:szCs w:val="32"/>
        </w:rPr>
        <w:t>已設定具體合作對象要件，且經該校董事會決議合作對象順位，該部於107年2月2日召開停招停辦督導小組第2次會議</w:t>
      </w:r>
      <w:r w:rsidR="001A643A" w:rsidRPr="005B7C45">
        <w:rPr>
          <w:rFonts w:hAnsi="標楷體" w:hint="eastAsia"/>
          <w:szCs w:val="32"/>
        </w:rPr>
        <w:t>決議，原則同意該校所報運彩公司1</w:t>
      </w:r>
      <w:r w:rsidR="001A643A" w:rsidRPr="005B7C45">
        <w:rPr>
          <w:rFonts w:hAnsi="標楷體"/>
          <w:szCs w:val="32"/>
        </w:rPr>
        <w:t>06</w:t>
      </w:r>
      <w:r w:rsidR="001A643A" w:rsidRPr="005B7C45">
        <w:rPr>
          <w:rFonts w:hAnsi="標楷體" w:hint="eastAsia"/>
          <w:szCs w:val="32"/>
        </w:rPr>
        <w:t>年</w:t>
      </w:r>
      <w:r w:rsidR="001A643A" w:rsidRPr="005B7C45">
        <w:rPr>
          <w:rFonts w:hAnsi="標楷體"/>
          <w:szCs w:val="32"/>
        </w:rPr>
        <w:t>12</w:t>
      </w:r>
      <w:r w:rsidR="001A643A" w:rsidRPr="005B7C45">
        <w:rPr>
          <w:rFonts w:hAnsi="標楷體" w:hint="eastAsia"/>
          <w:szCs w:val="32"/>
        </w:rPr>
        <w:t>月25日提出之「台灣健康公益創業園區計畫書」。</w:t>
      </w:r>
    </w:p>
    <w:p w:rsidR="00C84838" w:rsidRPr="005B7C45" w:rsidRDefault="00F161EC" w:rsidP="00154AB2">
      <w:pPr>
        <w:pStyle w:val="3"/>
        <w:rPr>
          <w:rFonts w:hAnsi="標楷體"/>
          <w:szCs w:val="32"/>
        </w:rPr>
      </w:pPr>
      <w:r w:rsidRPr="005B7C45">
        <w:rPr>
          <w:rFonts w:hAnsi="標楷體" w:hint="eastAsia"/>
          <w:szCs w:val="32"/>
        </w:rPr>
        <w:lastRenderedPageBreak/>
        <w:t>運彩公司主要業務係受託經營運動彩券，又</w:t>
      </w:r>
      <w:r w:rsidR="00FA3FCD" w:rsidRPr="005B7C45">
        <w:rPr>
          <w:rFonts w:hAnsi="標楷體" w:hint="eastAsia"/>
          <w:szCs w:val="32"/>
        </w:rPr>
        <w:t>據</w:t>
      </w:r>
      <w:r w:rsidRPr="005B7C45">
        <w:rPr>
          <w:rFonts w:hAnsi="標楷體" w:hint="eastAsia"/>
          <w:szCs w:val="32"/>
        </w:rPr>
        <w:t>「台灣健康公益創業園區計畫書」，該公司最近3年贊助之教育公益活動，包括：高雄市立金潭國民小學1</w:t>
      </w:r>
      <w:r w:rsidRPr="005B7C45">
        <w:rPr>
          <w:rFonts w:hAnsi="標楷體"/>
          <w:szCs w:val="32"/>
        </w:rPr>
        <w:t>05</w:t>
      </w:r>
      <w:r w:rsidRPr="005B7C45">
        <w:rPr>
          <w:rFonts w:hAnsi="標楷體" w:hint="eastAsia"/>
          <w:szCs w:val="32"/>
        </w:rPr>
        <w:t>年棒球隊培訓計畫、臺中市清水體育會桌球委員會青少年桌球運動選手培訓計畫、臺中市立大甲國中手球隊1</w:t>
      </w:r>
      <w:r w:rsidRPr="005B7C45">
        <w:rPr>
          <w:rFonts w:hAnsi="標楷體"/>
          <w:szCs w:val="32"/>
        </w:rPr>
        <w:t>05</w:t>
      </w:r>
      <w:r w:rsidRPr="005B7C45">
        <w:rPr>
          <w:rFonts w:hAnsi="標楷體" w:hint="eastAsia"/>
          <w:szCs w:val="32"/>
        </w:rPr>
        <w:t>年斯洛伐尼亞易魯拉及1</w:t>
      </w:r>
      <w:r w:rsidRPr="005B7C45">
        <w:rPr>
          <w:rFonts w:hAnsi="標楷體"/>
          <w:szCs w:val="32"/>
        </w:rPr>
        <w:t>06</w:t>
      </w:r>
      <w:r w:rsidRPr="005B7C45">
        <w:rPr>
          <w:rFonts w:hAnsi="標楷體" w:hint="eastAsia"/>
          <w:szCs w:val="32"/>
        </w:rPr>
        <w:t>年匈牙利國際手球賽事參賽經費、台灣職業高爾夫協會第49屆三花T</w:t>
      </w:r>
      <w:r w:rsidRPr="005B7C45">
        <w:rPr>
          <w:rFonts w:hAnsi="標楷體"/>
          <w:szCs w:val="32"/>
        </w:rPr>
        <w:t>PGA</w:t>
      </w:r>
      <w:r w:rsidRPr="005B7C45">
        <w:rPr>
          <w:rFonts w:hAnsi="標楷體" w:hint="eastAsia"/>
          <w:szCs w:val="32"/>
        </w:rPr>
        <w:t>錦標賽一桿進洞、臺中市壘球大聯盟協會1</w:t>
      </w:r>
      <w:r w:rsidRPr="005B7C45">
        <w:rPr>
          <w:rFonts w:hAnsi="標楷體"/>
          <w:szCs w:val="32"/>
        </w:rPr>
        <w:t>05</w:t>
      </w:r>
      <w:r w:rsidRPr="005B7C45">
        <w:rPr>
          <w:rFonts w:hAnsi="標楷體" w:hint="eastAsia"/>
          <w:szCs w:val="32"/>
        </w:rPr>
        <w:t>年第2屆港口盃慢速壘球錦標賽、臺北市體育總會幼兒體育協會1</w:t>
      </w:r>
      <w:r w:rsidRPr="005B7C45">
        <w:rPr>
          <w:rFonts w:hAnsi="標楷體"/>
          <w:szCs w:val="32"/>
        </w:rPr>
        <w:t>05</w:t>
      </w:r>
      <w:r w:rsidRPr="005B7C45">
        <w:rPr>
          <w:rFonts w:hAnsi="標楷體" w:hint="eastAsia"/>
          <w:szCs w:val="32"/>
        </w:rPr>
        <w:t>年臺北市中正盃親子森巴派對運動會、花蓮縣馬拉松路跑協會1</w:t>
      </w:r>
      <w:r w:rsidRPr="005B7C45">
        <w:rPr>
          <w:rFonts w:hAnsi="標楷體"/>
          <w:szCs w:val="32"/>
        </w:rPr>
        <w:t>05</w:t>
      </w:r>
      <w:r w:rsidRPr="005B7C45">
        <w:rPr>
          <w:rFonts w:hAnsi="標楷體" w:hint="eastAsia"/>
          <w:szCs w:val="32"/>
        </w:rPr>
        <w:t>年太魯閣峽谷馬拉松、中華民國徐生明棒球發展協會第4屆徐生明少棒賽、午資開發公司1</w:t>
      </w:r>
      <w:r w:rsidRPr="005B7C45">
        <w:rPr>
          <w:rFonts w:hAnsi="標楷體"/>
          <w:szCs w:val="32"/>
        </w:rPr>
        <w:t>05</w:t>
      </w:r>
      <w:r w:rsidRPr="005B7C45">
        <w:rPr>
          <w:rFonts w:hAnsi="標楷體" w:hint="eastAsia"/>
          <w:szCs w:val="32"/>
        </w:rPr>
        <w:t>年洲際棒球場棒球推廣、高雄市立興仁國中棒球隊1</w:t>
      </w:r>
      <w:r w:rsidRPr="005B7C45">
        <w:rPr>
          <w:rFonts w:hAnsi="標楷體"/>
          <w:szCs w:val="32"/>
        </w:rPr>
        <w:t>06</w:t>
      </w:r>
      <w:r w:rsidRPr="005B7C45">
        <w:rPr>
          <w:rFonts w:hAnsi="標楷體" w:hint="eastAsia"/>
          <w:szCs w:val="32"/>
        </w:rPr>
        <w:t>年培訓計畫、運動家育樂公司臺中運動家成棒隊等1</w:t>
      </w:r>
      <w:r w:rsidRPr="005B7C45">
        <w:rPr>
          <w:rFonts w:hAnsi="標楷體"/>
          <w:szCs w:val="32"/>
        </w:rPr>
        <w:t>1</w:t>
      </w:r>
      <w:r w:rsidRPr="005B7C45">
        <w:rPr>
          <w:rFonts w:hAnsi="標楷體" w:hint="eastAsia"/>
          <w:szCs w:val="32"/>
        </w:rPr>
        <w:t>項，似與教育辦學無太大關連。</w:t>
      </w:r>
      <w:r w:rsidR="00FA3FCD" w:rsidRPr="005B7C45">
        <w:rPr>
          <w:rFonts w:hAnsi="標楷體" w:hint="eastAsia"/>
          <w:szCs w:val="32"/>
        </w:rPr>
        <w:t>另，依</w:t>
      </w:r>
      <w:r w:rsidRPr="005B7C45">
        <w:rPr>
          <w:rFonts w:hAnsi="標楷體" w:hint="eastAsia"/>
          <w:szCs w:val="32"/>
        </w:rPr>
        <w:t>運彩公司1</w:t>
      </w:r>
      <w:r w:rsidRPr="005B7C45">
        <w:rPr>
          <w:rFonts w:hAnsi="標楷體"/>
          <w:szCs w:val="32"/>
        </w:rPr>
        <w:t>06</w:t>
      </w:r>
      <w:r w:rsidRPr="005B7C45">
        <w:rPr>
          <w:rFonts w:hAnsi="標楷體" w:hint="eastAsia"/>
          <w:szCs w:val="32"/>
        </w:rPr>
        <w:t>年</w:t>
      </w:r>
      <w:r w:rsidRPr="005B7C45">
        <w:rPr>
          <w:rFonts w:hAnsi="標楷體"/>
          <w:szCs w:val="32"/>
        </w:rPr>
        <w:t>10</w:t>
      </w:r>
      <w:r w:rsidRPr="005B7C45">
        <w:rPr>
          <w:rFonts w:hAnsi="標楷體" w:hint="eastAsia"/>
          <w:szCs w:val="32"/>
        </w:rPr>
        <w:t>月25日提出之「台灣健康公益創業園區計畫書」</w:t>
      </w:r>
      <w:r w:rsidR="00FA3FCD" w:rsidRPr="005B7C45">
        <w:rPr>
          <w:rFonts w:hAnsi="標楷體" w:hint="eastAsia"/>
          <w:szCs w:val="32"/>
        </w:rPr>
        <w:t>所述</w:t>
      </w:r>
      <w:r w:rsidRPr="005B7C45">
        <w:rPr>
          <w:rFonts w:hAnsi="標楷體" w:hint="eastAsia"/>
          <w:szCs w:val="32"/>
        </w:rPr>
        <w:t>，捐資進度</w:t>
      </w:r>
      <w:r w:rsidR="00120481" w:rsidRPr="005B7C45">
        <w:rPr>
          <w:rFonts w:hAnsi="標楷體" w:hint="eastAsia"/>
          <w:szCs w:val="32"/>
        </w:rPr>
        <w:t>係</w:t>
      </w:r>
      <w:r w:rsidRPr="005B7C45">
        <w:rPr>
          <w:rFonts w:hAnsi="標楷體" w:hint="eastAsia"/>
          <w:szCs w:val="32"/>
        </w:rPr>
        <w:t>第1年2</w:t>
      </w:r>
      <w:r w:rsidRPr="005B7C45">
        <w:rPr>
          <w:rFonts w:hAnsi="標楷體"/>
          <w:szCs w:val="32"/>
        </w:rPr>
        <w:t>,200</w:t>
      </w:r>
      <w:r w:rsidRPr="005B7C45">
        <w:rPr>
          <w:rFonts w:hAnsi="標楷體" w:hint="eastAsia"/>
          <w:szCs w:val="32"/>
        </w:rPr>
        <w:t>萬元、第2年1</w:t>
      </w:r>
      <w:r w:rsidRPr="005B7C45">
        <w:rPr>
          <w:rFonts w:hAnsi="標楷體"/>
          <w:szCs w:val="32"/>
        </w:rPr>
        <w:t>,500</w:t>
      </w:r>
      <w:r w:rsidRPr="005B7C45">
        <w:rPr>
          <w:rFonts w:hAnsi="標楷體" w:hint="eastAsia"/>
          <w:szCs w:val="32"/>
        </w:rPr>
        <w:t>萬元、第3年1</w:t>
      </w:r>
      <w:r w:rsidRPr="005B7C45">
        <w:rPr>
          <w:rFonts w:hAnsi="標楷體"/>
          <w:szCs w:val="32"/>
        </w:rPr>
        <w:t>,</w:t>
      </w:r>
      <w:r w:rsidRPr="005B7C45">
        <w:rPr>
          <w:rFonts w:hAnsi="標楷體" w:hint="eastAsia"/>
          <w:szCs w:val="32"/>
        </w:rPr>
        <w:t>0</w:t>
      </w:r>
      <w:r w:rsidRPr="005B7C45">
        <w:rPr>
          <w:rFonts w:hAnsi="標楷體"/>
          <w:szCs w:val="32"/>
        </w:rPr>
        <w:t>00</w:t>
      </w:r>
      <w:r w:rsidRPr="005B7C45">
        <w:rPr>
          <w:rFonts w:hAnsi="標楷體" w:hint="eastAsia"/>
          <w:szCs w:val="32"/>
        </w:rPr>
        <w:t>萬元、第4年80</w:t>
      </w:r>
      <w:r w:rsidRPr="005B7C45">
        <w:rPr>
          <w:rFonts w:hAnsi="標楷體"/>
          <w:szCs w:val="32"/>
        </w:rPr>
        <w:t>0</w:t>
      </w:r>
      <w:r w:rsidRPr="005B7C45">
        <w:rPr>
          <w:rFonts w:hAnsi="標楷體" w:hint="eastAsia"/>
          <w:szCs w:val="32"/>
        </w:rPr>
        <w:t>萬元、第5年5</w:t>
      </w:r>
      <w:r w:rsidRPr="005B7C45">
        <w:rPr>
          <w:rFonts w:hAnsi="標楷體"/>
          <w:szCs w:val="32"/>
        </w:rPr>
        <w:t>00</w:t>
      </w:r>
      <w:r w:rsidRPr="005B7C45">
        <w:rPr>
          <w:rFonts w:hAnsi="標楷體" w:hint="eastAsia"/>
          <w:szCs w:val="32"/>
        </w:rPr>
        <w:t>萬元，第6年後捐資計畫由</w:t>
      </w:r>
      <w:r w:rsidR="006118EA" w:rsidRPr="005B7C45">
        <w:rPr>
          <w:rFonts w:hAnsi="標楷體" w:hint="eastAsia"/>
          <w:szCs w:val="32"/>
        </w:rPr>
        <w:t>學校</w:t>
      </w:r>
      <w:r w:rsidRPr="005B7C45">
        <w:rPr>
          <w:rFonts w:hAnsi="標楷體" w:hint="eastAsia"/>
          <w:szCs w:val="32"/>
        </w:rPr>
        <w:t>於第4年提出需求規劃，該公司在能力所及的情況下，協助學校邁入下個發展階段</w:t>
      </w:r>
      <w:r w:rsidR="00F3574E" w:rsidRPr="005B7C45">
        <w:rPr>
          <w:rFonts w:hAnsi="標楷體" w:hint="eastAsia"/>
          <w:szCs w:val="32"/>
        </w:rPr>
        <w:t>；而於1</w:t>
      </w:r>
      <w:r w:rsidR="00F3574E" w:rsidRPr="005B7C45">
        <w:rPr>
          <w:rFonts w:hAnsi="標楷體"/>
          <w:szCs w:val="32"/>
        </w:rPr>
        <w:t>06</w:t>
      </w:r>
      <w:r w:rsidR="00F3574E" w:rsidRPr="005B7C45">
        <w:rPr>
          <w:rFonts w:hAnsi="標楷體" w:hint="eastAsia"/>
          <w:szCs w:val="32"/>
        </w:rPr>
        <w:t>年</w:t>
      </w:r>
      <w:r w:rsidR="00F3574E" w:rsidRPr="005B7C45">
        <w:rPr>
          <w:rFonts w:hAnsi="標楷體"/>
          <w:szCs w:val="32"/>
        </w:rPr>
        <w:t>12</w:t>
      </w:r>
      <w:r w:rsidR="00F3574E" w:rsidRPr="005B7C45">
        <w:rPr>
          <w:rFonts w:hAnsi="標楷體" w:hint="eastAsia"/>
          <w:szCs w:val="32"/>
        </w:rPr>
        <w:t>月25日提出之計畫書</w:t>
      </w:r>
      <w:r w:rsidR="0065322E" w:rsidRPr="005B7C45">
        <w:rPr>
          <w:rFonts w:hAnsi="標楷體" w:hint="eastAsia"/>
          <w:szCs w:val="32"/>
        </w:rPr>
        <w:t>則載以</w:t>
      </w:r>
      <w:r w:rsidR="00F3574E" w:rsidRPr="005B7C45">
        <w:rPr>
          <w:rFonts w:hAnsi="標楷體" w:hint="eastAsia"/>
          <w:szCs w:val="32"/>
        </w:rPr>
        <w:t>，</w:t>
      </w:r>
      <w:r w:rsidR="0065322E" w:rsidRPr="005B7C45">
        <w:rPr>
          <w:rFonts w:hAnsi="標楷體" w:hint="eastAsia"/>
          <w:szCs w:val="32"/>
        </w:rPr>
        <w:t>運彩公司</w:t>
      </w:r>
      <w:r w:rsidR="00F3574E" w:rsidRPr="005B7C45">
        <w:rPr>
          <w:rFonts w:hAnsi="標楷體" w:hint="eastAsia"/>
          <w:szCs w:val="32"/>
        </w:rPr>
        <w:t>以5年</w:t>
      </w:r>
      <w:r w:rsidR="006340CE" w:rsidRPr="005B7C45">
        <w:rPr>
          <w:rFonts w:hAnsi="標楷體" w:hint="eastAsia"/>
          <w:szCs w:val="32"/>
        </w:rPr>
        <w:t>共</w:t>
      </w:r>
      <w:r w:rsidR="00F3574E" w:rsidRPr="005B7C45">
        <w:rPr>
          <w:rFonts w:hAnsi="標楷體" w:hint="eastAsia"/>
          <w:szCs w:val="32"/>
        </w:rPr>
        <w:t>6,000萬元額度捐資</w:t>
      </w:r>
      <w:r w:rsidR="00FA3FCD" w:rsidRPr="005B7C45">
        <w:rPr>
          <w:rFonts w:hAnsi="標楷體" w:hint="eastAsia"/>
          <w:szCs w:val="32"/>
        </w:rPr>
        <w:t>學校</w:t>
      </w:r>
      <w:r w:rsidR="00F3574E" w:rsidRPr="005B7C45">
        <w:rPr>
          <w:rFonts w:hAnsi="標楷體" w:hint="eastAsia"/>
          <w:szCs w:val="32"/>
        </w:rPr>
        <w:t>，成立「台灣健康公益創業園區」</w:t>
      </w:r>
      <w:r w:rsidR="006340CE" w:rsidRPr="005B7C45">
        <w:rPr>
          <w:rFonts w:hAnsi="標楷體" w:hint="eastAsia"/>
          <w:szCs w:val="32"/>
        </w:rPr>
        <w:t>，</w:t>
      </w:r>
      <w:r w:rsidR="00F3574E" w:rsidRPr="005B7C45">
        <w:rPr>
          <w:rFonts w:hAnsi="標楷體" w:hint="eastAsia"/>
          <w:szCs w:val="32"/>
        </w:rPr>
        <w:t>第6年後捐資計畫由</w:t>
      </w:r>
      <w:r w:rsidR="00FA3FCD" w:rsidRPr="005B7C45">
        <w:rPr>
          <w:rFonts w:hAnsi="標楷體" w:hint="eastAsia"/>
          <w:szCs w:val="32"/>
        </w:rPr>
        <w:t>學校</w:t>
      </w:r>
      <w:r w:rsidR="00F3574E" w:rsidRPr="005B7C45">
        <w:rPr>
          <w:rFonts w:hAnsi="標楷體" w:hint="eastAsia"/>
          <w:szCs w:val="32"/>
        </w:rPr>
        <w:t>於第4年提出需求規劃，</w:t>
      </w:r>
      <w:r w:rsidR="006340CE" w:rsidRPr="005B7C45">
        <w:rPr>
          <w:rFonts w:hAnsi="標楷體" w:hint="eastAsia"/>
          <w:szCs w:val="32"/>
        </w:rPr>
        <w:t>該</w:t>
      </w:r>
      <w:r w:rsidR="00F3574E" w:rsidRPr="005B7C45">
        <w:rPr>
          <w:rFonts w:hAnsi="標楷體" w:hint="eastAsia"/>
          <w:szCs w:val="32"/>
        </w:rPr>
        <w:t>公司在能力所及的情況下，協助學校邁入下個發展階段。</w:t>
      </w:r>
      <w:r w:rsidR="00FA3FCD" w:rsidRPr="005B7C45">
        <w:rPr>
          <w:rFonts w:hAnsi="標楷體" w:hint="eastAsia"/>
          <w:szCs w:val="32"/>
        </w:rPr>
        <w:t>運彩公司所承諾捐資6,000萬元於107年2月一次到位捐資</w:t>
      </w:r>
      <w:r w:rsidR="00005409" w:rsidRPr="005B7C45">
        <w:rPr>
          <w:rFonts w:hAnsi="標楷體" w:hint="eastAsia"/>
          <w:szCs w:val="32"/>
        </w:rPr>
        <w:t>該校</w:t>
      </w:r>
      <w:r w:rsidR="00FA3FCD" w:rsidRPr="005B7C45">
        <w:rPr>
          <w:rFonts w:hAnsi="標楷體" w:hint="eastAsia"/>
          <w:szCs w:val="32"/>
        </w:rPr>
        <w:t>，</w:t>
      </w:r>
      <w:r w:rsidR="00C01BC1" w:rsidRPr="005B7C45">
        <w:rPr>
          <w:rFonts w:hAnsi="標楷體" w:hint="eastAsia"/>
          <w:szCs w:val="32"/>
        </w:rPr>
        <w:t>教育部評估該校財務結構不足支應未來營運所需，於108年5月1日函請該校董事會持續捐資，至111年7月底至少應捐資學校1億元</w:t>
      </w:r>
      <w:r w:rsidR="00154AB2" w:rsidRPr="005B7C45">
        <w:rPr>
          <w:rFonts w:hAnsi="標楷體" w:hint="eastAsia"/>
          <w:szCs w:val="32"/>
        </w:rPr>
        <w:t>；</w:t>
      </w:r>
      <w:r w:rsidR="00C01BC1" w:rsidRPr="005B7C45">
        <w:rPr>
          <w:rFonts w:hAnsi="標楷體" w:hint="eastAsia"/>
          <w:szCs w:val="32"/>
        </w:rPr>
        <w:t>然運彩公司</w:t>
      </w:r>
      <w:r w:rsidR="00154AB2" w:rsidRPr="005B7C45">
        <w:rPr>
          <w:rFonts w:hAnsi="標楷體" w:hint="eastAsia"/>
          <w:szCs w:val="32"/>
        </w:rPr>
        <w:t>卻</w:t>
      </w:r>
      <w:r w:rsidR="00C01BC1" w:rsidRPr="005B7C45">
        <w:rPr>
          <w:rFonts w:hAnsi="標楷體" w:hint="eastAsia"/>
          <w:szCs w:val="32"/>
        </w:rPr>
        <w:t>以受疫情影</w:t>
      </w:r>
      <w:r w:rsidR="00C01BC1" w:rsidRPr="005B7C45">
        <w:rPr>
          <w:rFonts w:hAnsi="標楷體" w:hint="eastAsia"/>
          <w:szCs w:val="32"/>
        </w:rPr>
        <w:lastRenderedPageBreak/>
        <w:t>響為由</w:t>
      </w:r>
      <w:r w:rsidR="00154AB2" w:rsidRPr="005B7C45">
        <w:rPr>
          <w:rFonts w:hAnsi="標楷體" w:hint="eastAsia"/>
          <w:szCs w:val="32"/>
        </w:rPr>
        <w:t>而</w:t>
      </w:r>
      <w:r w:rsidR="00C01BC1" w:rsidRPr="005B7C45">
        <w:rPr>
          <w:rFonts w:hAnsi="標楷體" w:hint="eastAsia"/>
          <w:szCs w:val="32"/>
        </w:rPr>
        <w:t>不再</w:t>
      </w:r>
      <w:r w:rsidR="00154AB2" w:rsidRPr="005B7C45">
        <w:rPr>
          <w:rFonts w:hAnsi="標楷體" w:hint="eastAsia"/>
          <w:szCs w:val="32"/>
        </w:rPr>
        <w:t>繼續</w:t>
      </w:r>
      <w:r w:rsidR="00C01BC1" w:rsidRPr="005B7C45">
        <w:rPr>
          <w:rFonts w:hAnsi="標楷體" w:hint="eastAsia"/>
          <w:szCs w:val="32"/>
        </w:rPr>
        <w:t>捐資，以致該部僅能依私校法第55條規定命</w:t>
      </w:r>
      <w:r w:rsidR="00941846" w:rsidRPr="005B7C45">
        <w:rPr>
          <w:rFonts w:hAnsi="標楷體" w:hint="eastAsia"/>
          <w:szCs w:val="32"/>
        </w:rPr>
        <w:t>該校</w:t>
      </w:r>
      <w:r w:rsidR="00C01BC1" w:rsidRPr="005B7C45">
        <w:rPr>
          <w:rFonts w:hAnsi="標楷體" w:hint="eastAsia"/>
          <w:szCs w:val="32"/>
        </w:rPr>
        <w:t>自110年度起停止全部招生，影響該校師生權益至鉅</w:t>
      </w:r>
      <w:r w:rsidR="00BC5AE7" w:rsidRPr="005B7C45">
        <w:rPr>
          <w:rFonts w:hAnsi="標楷體" w:hint="eastAsia"/>
          <w:szCs w:val="32"/>
        </w:rPr>
        <w:t>。</w:t>
      </w:r>
      <w:r w:rsidR="00154AB2" w:rsidRPr="005B7C45">
        <w:rPr>
          <w:rFonts w:hAnsi="標楷體" w:hint="eastAsia"/>
          <w:szCs w:val="32"/>
        </w:rPr>
        <w:t>此經詢據教育部稱，學校轉型合作對象運彩公司</w:t>
      </w:r>
      <w:r w:rsidR="00154AB2" w:rsidRPr="005B7C45">
        <w:rPr>
          <w:rFonts w:hAnsi="標楷體"/>
        </w:rPr>
        <w:t>是董事會的決議，</w:t>
      </w:r>
      <w:r w:rsidR="00154AB2" w:rsidRPr="005B7C45">
        <w:rPr>
          <w:rFonts w:hAnsi="標楷體" w:hint="eastAsia"/>
        </w:rPr>
        <w:t>且</w:t>
      </w:r>
      <w:r w:rsidR="00154AB2" w:rsidRPr="005B7C45">
        <w:rPr>
          <w:rFonts w:hAnsi="標楷體"/>
        </w:rPr>
        <w:t>考量花東地區只有兩所大學，慈濟</w:t>
      </w:r>
      <w:r w:rsidR="00154AB2" w:rsidRPr="005B7C45">
        <w:rPr>
          <w:rFonts w:hAnsi="標楷體" w:hint="eastAsia"/>
        </w:rPr>
        <w:t>較偏重</w:t>
      </w:r>
      <w:r w:rsidR="00154AB2" w:rsidRPr="005B7C45">
        <w:rPr>
          <w:rFonts w:hAnsi="標楷體"/>
        </w:rPr>
        <w:t>醫護，</w:t>
      </w:r>
      <w:r w:rsidR="00154AB2" w:rsidRPr="005B7C45">
        <w:rPr>
          <w:rFonts w:hAnsi="標楷體" w:hint="eastAsia"/>
        </w:rPr>
        <w:t>而</w:t>
      </w:r>
      <w:r w:rsidR="00154AB2" w:rsidRPr="005B7C45">
        <w:rPr>
          <w:rFonts w:hAnsi="標楷體"/>
        </w:rPr>
        <w:t>大漢屬於工科</w:t>
      </w:r>
      <w:r w:rsidR="00154AB2" w:rsidRPr="005B7C45">
        <w:rPr>
          <w:rFonts w:hAnsi="標楷體" w:hint="eastAsia"/>
        </w:rPr>
        <w:t>，</w:t>
      </w:r>
      <w:r w:rsidR="00154AB2" w:rsidRPr="005B7C45">
        <w:rPr>
          <w:rFonts w:hAnsi="標楷體"/>
        </w:rPr>
        <w:t>所以評估若運彩</w:t>
      </w:r>
      <w:r w:rsidR="00154AB2" w:rsidRPr="005B7C45">
        <w:rPr>
          <w:rFonts w:hAnsi="標楷體" w:hint="eastAsia"/>
        </w:rPr>
        <w:t>公司</w:t>
      </w:r>
      <w:r w:rsidR="00154AB2" w:rsidRPr="005B7C45">
        <w:rPr>
          <w:rFonts w:hAnsi="標楷體"/>
        </w:rPr>
        <w:t>可以投入資源，</w:t>
      </w:r>
      <w:r w:rsidR="00154AB2" w:rsidRPr="005B7C45">
        <w:rPr>
          <w:rFonts w:hAnsi="標楷體" w:hint="eastAsia"/>
        </w:rPr>
        <w:t>即儘量</w:t>
      </w:r>
      <w:r w:rsidR="00154AB2" w:rsidRPr="005B7C45">
        <w:rPr>
          <w:rFonts w:hAnsi="標楷體"/>
        </w:rPr>
        <w:t>讓</w:t>
      </w:r>
      <w:r w:rsidR="00154AB2" w:rsidRPr="005B7C45">
        <w:rPr>
          <w:rFonts w:hAnsi="標楷體" w:hint="eastAsia"/>
        </w:rPr>
        <w:t>學校繼續經營；另</w:t>
      </w:r>
      <w:r w:rsidR="00154AB2" w:rsidRPr="005B7C45">
        <w:rPr>
          <w:rFonts w:hAnsi="標楷體"/>
        </w:rPr>
        <w:t>教育部</w:t>
      </w:r>
      <w:r w:rsidR="00154AB2" w:rsidRPr="005B7C45">
        <w:rPr>
          <w:rFonts w:hAnsi="標楷體" w:hint="eastAsia"/>
        </w:rPr>
        <w:t>的</w:t>
      </w:r>
      <w:r w:rsidR="00154AB2" w:rsidRPr="005B7C45">
        <w:rPr>
          <w:rFonts w:hAnsi="標楷體"/>
        </w:rPr>
        <w:t>立場</w:t>
      </w:r>
      <w:r w:rsidR="00154AB2" w:rsidRPr="005B7C45">
        <w:rPr>
          <w:rFonts w:hAnsi="標楷體" w:hint="eastAsia"/>
        </w:rPr>
        <w:t>是</w:t>
      </w:r>
      <w:r w:rsidR="00154AB2" w:rsidRPr="005B7C45">
        <w:rPr>
          <w:rFonts w:hAnsi="標楷體"/>
        </w:rPr>
        <w:t>在地</w:t>
      </w:r>
      <w:r w:rsidR="00154AB2" w:rsidRPr="005B7C45">
        <w:rPr>
          <w:rFonts w:hAnsi="標楷體" w:hint="eastAsia"/>
        </w:rPr>
        <w:t>能</w:t>
      </w:r>
      <w:r w:rsidR="00154AB2" w:rsidRPr="005B7C45">
        <w:rPr>
          <w:rFonts w:hAnsi="標楷體"/>
        </w:rPr>
        <w:t>有學校，如有外來資源</w:t>
      </w:r>
      <w:r w:rsidR="00154AB2" w:rsidRPr="005B7C45">
        <w:rPr>
          <w:rFonts w:hAnsi="標楷體" w:hint="eastAsia"/>
        </w:rPr>
        <w:t>可以挹注，</w:t>
      </w:r>
      <w:r w:rsidR="00154AB2" w:rsidRPr="005B7C45">
        <w:rPr>
          <w:rFonts w:hAnsi="標楷體"/>
        </w:rPr>
        <w:t>當然希望</w:t>
      </w:r>
      <w:r w:rsidR="00154AB2" w:rsidRPr="005B7C45">
        <w:rPr>
          <w:rFonts w:hAnsi="標楷體" w:hint="eastAsia"/>
        </w:rPr>
        <w:t>學校</w:t>
      </w:r>
      <w:r w:rsidR="00154AB2" w:rsidRPr="005B7C45">
        <w:rPr>
          <w:rFonts w:hAnsi="標楷體"/>
        </w:rPr>
        <w:t>維持</w:t>
      </w:r>
      <w:r w:rsidR="00154AB2" w:rsidRPr="005B7C45">
        <w:rPr>
          <w:rFonts w:hAnsi="標楷體" w:hint="eastAsia"/>
        </w:rPr>
        <w:t>經營等語</w:t>
      </w:r>
      <w:r w:rsidR="00154AB2" w:rsidRPr="005B7C45">
        <w:rPr>
          <w:rFonts w:hAnsi="標楷體"/>
        </w:rPr>
        <w:t>。</w:t>
      </w:r>
      <w:r w:rsidR="00154AB2" w:rsidRPr="005B7C45">
        <w:rPr>
          <w:rFonts w:hAnsi="標楷體" w:hint="eastAsia"/>
          <w:szCs w:val="32"/>
        </w:rPr>
        <w:t>顯見當初</w:t>
      </w:r>
      <w:r w:rsidR="00FE279F" w:rsidRPr="005B7C45">
        <w:rPr>
          <w:rFonts w:hAnsi="標楷體" w:hint="eastAsia"/>
          <w:szCs w:val="32"/>
        </w:rPr>
        <w:t>該校</w:t>
      </w:r>
      <w:r w:rsidR="00154AB2" w:rsidRPr="005B7C45">
        <w:rPr>
          <w:rFonts w:hAnsi="標楷體" w:hint="eastAsia"/>
          <w:szCs w:val="32"/>
        </w:rPr>
        <w:t>設定之轉型經營合作對象需具備條件，及該公司之捐資態樣對於學校日後營運所需資金能否持續挹注無虞，</w:t>
      </w:r>
      <w:r w:rsidR="005C1390" w:rsidRPr="005B7C45">
        <w:rPr>
          <w:rFonts w:hAnsi="標楷體" w:hint="eastAsia"/>
          <w:szCs w:val="32"/>
        </w:rPr>
        <w:t>教育部並未審慎評估與監督，以致該校轉型計畫短短3年就結束，無異再一次損害教師及學生的權益，教育部態度有欠積極，應予檢討改進。</w:t>
      </w:r>
    </w:p>
    <w:p w:rsidR="00385F6B" w:rsidRPr="005B7C45" w:rsidRDefault="00941846" w:rsidP="00154AB2">
      <w:pPr>
        <w:pStyle w:val="3"/>
        <w:rPr>
          <w:rFonts w:hAnsi="標楷體"/>
          <w:szCs w:val="32"/>
        </w:rPr>
      </w:pPr>
      <w:r w:rsidRPr="005B7C45">
        <w:rPr>
          <w:rFonts w:hAnsi="標楷體" w:hint="eastAsia"/>
          <w:szCs w:val="32"/>
        </w:rPr>
        <w:t>綜上，</w:t>
      </w:r>
      <w:r w:rsidR="00224330" w:rsidRPr="005B7C45">
        <w:rPr>
          <w:rFonts w:hAnsi="標楷體" w:hint="eastAsia"/>
          <w:szCs w:val="32"/>
        </w:rPr>
        <w:t>該校</w:t>
      </w:r>
      <w:r w:rsidR="00385F6B" w:rsidRPr="005B7C45">
        <w:rPr>
          <w:rFonts w:hint="eastAsia"/>
        </w:rPr>
        <w:t>1</w:t>
      </w:r>
      <w:r w:rsidR="00385F6B" w:rsidRPr="005B7C45">
        <w:t>07</w:t>
      </w:r>
      <w:r w:rsidR="00385F6B" w:rsidRPr="005B7C45">
        <w:rPr>
          <w:rFonts w:hint="eastAsia"/>
        </w:rPr>
        <w:t>年由</w:t>
      </w:r>
      <w:r w:rsidR="00385F6B" w:rsidRPr="005B7C45">
        <w:rPr>
          <w:rFonts w:hAnsi="標楷體" w:hint="eastAsia"/>
          <w:szCs w:val="32"/>
        </w:rPr>
        <w:t>運動公司捐資補足其財務缺口而得以繼續辦學，</w:t>
      </w:r>
      <w:r w:rsidR="00765C73" w:rsidRPr="005B7C45">
        <w:rPr>
          <w:rFonts w:hAnsi="標楷體" w:hint="eastAsia"/>
          <w:szCs w:val="32"/>
        </w:rPr>
        <w:t>惟轉型計畫未考量經營合作對象宜具備辦理大學教育經驗之條件</w:t>
      </w:r>
      <w:r w:rsidR="00385F6B" w:rsidRPr="005B7C45">
        <w:rPr>
          <w:rFonts w:hAnsi="標楷體" w:hint="eastAsia"/>
          <w:szCs w:val="32"/>
        </w:rPr>
        <w:t>，且該公司之捐資態樣亦未能確保學校日後營運所需資金能持續挹注無虞，而教育部並未審慎評估與監督，以致該校轉型計畫短短3年就結束，無異再一次損害教師及學生的權益，教育部態度實欠積極，應予改進。另教育部對大專校院轉型發展計畫落實與否之督考追蹤，及接手團隊之企業特質、辦學理念、決心等與學校科系之契合度，均攸關學校之永續經營，應審慎評估檢討。</w:t>
      </w:r>
    </w:p>
    <w:p w:rsidR="00EA0E34" w:rsidRPr="009423DD" w:rsidRDefault="00EA0E34" w:rsidP="00385F6B">
      <w:pPr>
        <w:pStyle w:val="3"/>
        <w:numPr>
          <w:ilvl w:val="0"/>
          <w:numId w:val="0"/>
        </w:numPr>
        <w:ind w:left="1361"/>
        <w:rPr>
          <w:rFonts w:hAnsi="標楷體"/>
          <w:color w:val="000000" w:themeColor="text1"/>
          <w:szCs w:val="32"/>
        </w:rPr>
      </w:pPr>
    </w:p>
    <w:p w:rsidR="00C73214" w:rsidRPr="009423DD" w:rsidRDefault="00C73214" w:rsidP="00EA0E34">
      <w:pPr>
        <w:pStyle w:val="3"/>
        <w:numPr>
          <w:ilvl w:val="0"/>
          <w:numId w:val="0"/>
        </w:numPr>
        <w:ind w:left="1361" w:hanging="681"/>
        <w:rPr>
          <w:rFonts w:hAnsi="標楷體"/>
          <w:color w:val="000000" w:themeColor="text1"/>
          <w:szCs w:val="32"/>
        </w:rPr>
      </w:pPr>
    </w:p>
    <w:p w:rsidR="00E25849" w:rsidRPr="009423DD" w:rsidRDefault="00DD2FE7" w:rsidP="004E05A1">
      <w:pPr>
        <w:pStyle w:val="1"/>
        <w:ind w:left="2380" w:hanging="2380"/>
        <w:rPr>
          <w:color w:val="000000" w:themeColor="text1"/>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1"/>
      <w:r w:rsidRPr="009423DD">
        <w:rPr>
          <w:color w:val="000000" w:themeColor="text1"/>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bookmarkStart w:id="78" w:name="_Toc97105646"/>
      <w:r w:rsidRPr="009423DD">
        <w:rPr>
          <w:rFonts w:hint="eastAsia"/>
          <w:color w:val="000000" w:themeColor="text1"/>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297FE9" w:rsidRPr="009423DD">
        <w:rPr>
          <w:color w:val="000000" w:themeColor="text1"/>
        </w:rPr>
        <w:t xml:space="preserve"> </w:t>
      </w:r>
    </w:p>
    <w:p w:rsidR="00E25849" w:rsidRPr="009423DD" w:rsidRDefault="00E25849" w:rsidP="005B7C45">
      <w:pPr>
        <w:pStyle w:val="2"/>
        <w:numPr>
          <w:ilvl w:val="0"/>
          <w:numId w:val="0"/>
        </w:numPr>
        <w:ind w:leftChars="208" w:left="708"/>
        <w:rPr>
          <w:color w:val="000000" w:themeColor="text1"/>
        </w:rPr>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97105647"/>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9"/>
      <w:bookmarkEnd w:id="80"/>
      <w:bookmarkEnd w:id="81"/>
      <w:r w:rsidRPr="009423DD">
        <w:rPr>
          <w:rFonts w:hint="eastAsia"/>
          <w:color w:val="000000" w:themeColor="text1"/>
        </w:rPr>
        <w:t>調查意見，函請</w:t>
      </w:r>
      <w:r w:rsidR="00867024" w:rsidRPr="009423DD">
        <w:rPr>
          <w:rFonts w:hint="eastAsia"/>
          <w:color w:val="000000" w:themeColor="text1"/>
        </w:rPr>
        <w:t>教育部</w:t>
      </w:r>
      <w:r w:rsidRPr="009423DD">
        <w:rPr>
          <w:rFonts w:hint="eastAsia"/>
          <w:color w:val="000000" w:themeColor="text1"/>
        </w:rPr>
        <w:t>確實檢討改進見復。</w:t>
      </w:r>
      <w:bookmarkEnd w:id="82"/>
      <w:bookmarkEnd w:id="83"/>
      <w:bookmarkEnd w:id="84"/>
      <w:bookmarkEnd w:id="85"/>
      <w:bookmarkEnd w:id="86"/>
      <w:bookmarkEnd w:id="87"/>
      <w:bookmarkEnd w:id="88"/>
      <w:bookmarkEnd w:id="89"/>
      <w:bookmarkEnd w:id="90"/>
      <w:bookmarkEnd w:id="91"/>
      <w:bookmarkEnd w:id="92"/>
      <w:bookmarkEnd w:id="93"/>
      <w:bookmarkEnd w:id="94"/>
      <w:bookmarkEnd w:id="95"/>
    </w:p>
    <w:bookmarkEnd w:id="96"/>
    <w:bookmarkEnd w:id="97"/>
    <w:bookmarkEnd w:id="98"/>
    <w:bookmarkEnd w:id="99"/>
    <w:bookmarkEnd w:id="100"/>
    <w:bookmarkEnd w:id="101"/>
    <w:bookmarkEnd w:id="102"/>
    <w:bookmarkEnd w:id="103"/>
    <w:bookmarkEnd w:id="104"/>
    <w:bookmarkEnd w:id="105"/>
    <w:bookmarkEnd w:id="106"/>
    <w:p w:rsidR="00770453" w:rsidRPr="009423DD"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9423DD">
        <w:rPr>
          <w:rFonts w:hint="eastAsia"/>
          <w:b w:val="0"/>
          <w:bCs/>
          <w:snapToGrid/>
          <w:color w:val="000000" w:themeColor="text1"/>
          <w:spacing w:val="12"/>
          <w:kern w:val="0"/>
          <w:sz w:val="40"/>
        </w:rPr>
        <w:t>調查委員：</w:t>
      </w:r>
      <w:r w:rsidR="005B7C45">
        <w:rPr>
          <w:rFonts w:hint="eastAsia"/>
          <w:b w:val="0"/>
          <w:bCs/>
          <w:snapToGrid/>
          <w:color w:val="000000" w:themeColor="text1"/>
          <w:spacing w:val="12"/>
          <w:kern w:val="0"/>
          <w:sz w:val="40"/>
        </w:rPr>
        <w:t>賴鼎銘</w:t>
      </w:r>
    </w:p>
    <w:p w:rsidR="005B7C45" w:rsidRDefault="005B7C45" w:rsidP="005B7C45">
      <w:pPr>
        <w:pStyle w:val="aa"/>
        <w:spacing w:beforeLines="50" w:before="228" w:afterLines="100" w:after="457"/>
        <w:ind w:leftChars="1751" w:left="5956"/>
        <w:rPr>
          <w:b w:val="0"/>
          <w:bCs/>
          <w:snapToGrid/>
          <w:color w:val="000000" w:themeColor="text1"/>
          <w:spacing w:val="12"/>
          <w:kern w:val="0"/>
          <w:sz w:val="40"/>
        </w:rPr>
      </w:pPr>
      <w:r>
        <w:rPr>
          <w:b w:val="0"/>
          <w:bCs/>
          <w:snapToGrid/>
          <w:color w:val="000000" w:themeColor="text1"/>
          <w:spacing w:val="12"/>
          <w:kern w:val="0"/>
          <w:sz w:val="40"/>
        </w:rPr>
        <w:t>浦忠成</w:t>
      </w:r>
    </w:p>
    <w:p w:rsidR="005B7C45" w:rsidRPr="009423DD" w:rsidRDefault="005B7C45" w:rsidP="005B7C45">
      <w:pPr>
        <w:pStyle w:val="aa"/>
        <w:spacing w:beforeLines="50" w:before="228" w:afterLines="100" w:after="457"/>
        <w:ind w:leftChars="1751" w:left="5956"/>
        <w:rPr>
          <w:rFonts w:hint="eastAsia"/>
          <w:b w:val="0"/>
          <w:bCs/>
          <w:snapToGrid/>
          <w:color w:val="000000" w:themeColor="text1"/>
          <w:spacing w:val="12"/>
          <w:kern w:val="0"/>
          <w:sz w:val="40"/>
        </w:rPr>
      </w:pPr>
      <w:r>
        <w:rPr>
          <w:b w:val="0"/>
          <w:bCs/>
          <w:snapToGrid/>
          <w:color w:val="000000" w:themeColor="text1"/>
          <w:spacing w:val="12"/>
          <w:kern w:val="0"/>
          <w:sz w:val="40"/>
        </w:rPr>
        <w:t>王美玉</w:t>
      </w:r>
    </w:p>
    <w:p w:rsidR="00C33D88" w:rsidRPr="009423DD" w:rsidRDefault="00C33D88" w:rsidP="00770453">
      <w:pPr>
        <w:pStyle w:val="aa"/>
        <w:spacing w:beforeLines="50" w:before="228" w:afterLines="100" w:after="457"/>
        <w:ind w:leftChars="1100" w:left="3742"/>
        <w:rPr>
          <w:b w:val="0"/>
          <w:bCs/>
          <w:snapToGrid/>
          <w:color w:val="000000" w:themeColor="text1"/>
          <w:spacing w:val="12"/>
          <w:kern w:val="0"/>
          <w:sz w:val="40"/>
        </w:rPr>
      </w:pPr>
      <w:bookmarkStart w:id="107" w:name="_GoBack"/>
      <w:bookmarkEnd w:id="107"/>
    </w:p>
    <w:sectPr w:rsidR="00C33D88" w:rsidRPr="009423D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825" w:rsidRDefault="00F03825">
      <w:r>
        <w:separator/>
      </w:r>
    </w:p>
  </w:endnote>
  <w:endnote w:type="continuationSeparator" w:id="0">
    <w:p w:rsidR="00F03825" w:rsidRDefault="00F0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4F" w:rsidRDefault="000C0B4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B7C45">
      <w:rPr>
        <w:rStyle w:val="ac"/>
        <w:noProof/>
        <w:sz w:val="24"/>
      </w:rPr>
      <w:t>2</w:t>
    </w:r>
    <w:r>
      <w:rPr>
        <w:rStyle w:val="ac"/>
        <w:sz w:val="24"/>
      </w:rPr>
      <w:fldChar w:fldCharType="end"/>
    </w:r>
  </w:p>
  <w:p w:rsidR="000C0B4F" w:rsidRDefault="000C0B4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825" w:rsidRDefault="00F03825">
      <w:r>
        <w:separator/>
      </w:r>
    </w:p>
  </w:footnote>
  <w:footnote w:type="continuationSeparator" w:id="0">
    <w:p w:rsidR="00F03825" w:rsidRDefault="00F03825">
      <w:r>
        <w:continuationSeparator/>
      </w:r>
    </w:p>
  </w:footnote>
  <w:footnote w:id="1">
    <w:p w:rsidR="000C0B4F" w:rsidRPr="002B0089" w:rsidRDefault="000C0B4F" w:rsidP="00563F82">
      <w:pPr>
        <w:pStyle w:val="afc"/>
        <w:ind w:leftChars="5" w:left="140" w:hangingChars="56" w:hanging="123"/>
        <w:jc w:val="both"/>
      </w:pPr>
      <w:r>
        <w:rPr>
          <w:rStyle w:val="afe"/>
        </w:rPr>
        <w:footnoteRef/>
      </w:r>
      <w:r>
        <w:rPr>
          <w:rFonts w:hint="eastAsia"/>
        </w:rPr>
        <w:t>該校</w:t>
      </w:r>
      <w:r w:rsidRPr="002B0089">
        <w:rPr>
          <w:rFonts w:hint="eastAsia"/>
        </w:rPr>
        <w:t>董事會105年12月28日</w:t>
      </w:r>
      <w:r>
        <w:rPr>
          <w:rFonts w:hint="eastAsia"/>
        </w:rPr>
        <w:t>:</w:t>
      </w:r>
      <w:r w:rsidRPr="002B0089">
        <w:rPr>
          <w:rFonts w:hint="eastAsia"/>
        </w:rPr>
        <w:t>第9屆董事會第5次會議紀錄討論事項案由一，法人針對</w:t>
      </w:r>
      <w:r>
        <w:rPr>
          <w:rFonts w:hint="eastAsia"/>
        </w:rPr>
        <w:t>教育</w:t>
      </w:r>
      <w:r w:rsidRPr="002B0089">
        <w:rPr>
          <w:rFonts w:hint="eastAsia"/>
        </w:rPr>
        <w:t>部105年12月19日函請「審思未來辦學方向，籌募資金強化教學品質，或審慎評估私立學校法第70條停招、停辦之相關作為，避免招生及財務缺口持續擴大，影響教職員生權益」一節進行討論，經法人參酌社會大環境及學校現況，決議106學年度停止招生。</w:t>
      </w:r>
    </w:p>
  </w:footnote>
  <w:footnote w:id="2">
    <w:p w:rsidR="000C0B4F" w:rsidRDefault="000C0B4F" w:rsidP="00A053E6">
      <w:pPr>
        <w:pStyle w:val="afc"/>
        <w:wordWrap w:val="0"/>
        <w:ind w:leftChars="5" w:left="140" w:hangingChars="56" w:hanging="123"/>
        <w:jc w:val="both"/>
      </w:pPr>
      <w:r w:rsidRPr="005B7C45">
        <w:rPr>
          <w:rStyle w:val="afe"/>
        </w:rPr>
        <w:footnoteRef/>
      </w:r>
      <w:r w:rsidRPr="005B7C45">
        <w:t xml:space="preserve"> </w:t>
      </w:r>
      <w:r w:rsidRPr="005B7C45">
        <w:rPr>
          <w:rFonts w:hint="eastAsia"/>
        </w:rPr>
        <w:t>教育部統計處(民109)。</w:t>
      </w:r>
      <w:r w:rsidRPr="005B7C45">
        <w:t>教育統計簡訊</w:t>
      </w:r>
      <w:r w:rsidRPr="005B7C45">
        <w:rPr>
          <w:rFonts w:hint="eastAsia"/>
        </w:rPr>
        <w:t>：</w:t>
      </w:r>
      <w:r w:rsidRPr="005B7C45">
        <w:t>大專校院學生休、退學概況及就學穩定情形</w:t>
      </w:r>
      <w:r w:rsidRPr="005B7C45">
        <w:rPr>
          <w:rFonts w:hint="eastAsia"/>
        </w:rPr>
        <w:t>。111年，取自</w:t>
      </w:r>
      <w:r w:rsidRPr="005B7C45">
        <w:t>https://stats.moe.gov.tw/files/brief/%E5%A4%A7%E5%B0%88%E6%A0%A1%E9%99%A2%E5%AD%B8%E7%94%9F%E4%BC%91%E3%80%81%E9%80%80%E5%AD%B8%E6%A6%82%E6%B3%81%E5%8F%8A%E5%B</w:t>
      </w:r>
      <w:r w:rsidRPr="005A6B41">
        <w:t>0%B1%E5%AD%B8%E7%A9%A9%E5%AE%9A%E6%83%85%E5%BD%A2.pdf</w:t>
      </w:r>
    </w:p>
  </w:footnote>
  <w:footnote w:id="3">
    <w:p w:rsidR="000C0B4F" w:rsidRPr="00321DA9" w:rsidRDefault="000C0B4F">
      <w:pPr>
        <w:pStyle w:val="afc"/>
      </w:pPr>
      <w:r>
        <w:rPr>
          <w:rStyle w:val="afe"/>
        </w:rPr>
        <w:footnoteRef/>
      </w:r>
      <w:r>
        <w:t xml:space="preserve"> </w:t>
      </w:r>
      <w:r w:rsidRPr="007A6E74">
        <w:rPr>
          <w:rFonts w:hint="eastAsia"/>
        </w:rPr>
        <w:t>106、109學年度休退學生人數含因安置轉學辦理退學。</w:t>
      </w:r>
    </w:p>
  </w:footnote>
  <w:footnote w:id="4">
    <w:p w:rsidR="000C0B4F" w:rsidRPr="009A0FA9" w:rsidRDefault="000C0B4F" w:rsidP="009C1B2C">
      <w:pPr>
        <w:pStyle w:val="afc"/>
        <w:ind w:leftChars="5" w:left="140" w:hangingChars="56" w:hanging="123"/>
        <w:jc w:val="both"/>
        <w:rPr>
          <w:color w:val="000000" w:themeColor="text1"/>
        </w:rPr>
      </w:pPr>
      <w:r w:rsidRPr="009A0FA9">
        <w:rPr>
          <w:rStyle w:val="afe"/>
          <w:color w:val="000000" w:themeColor="text1"/>
        </w:rPr>
        <w:footnoteRef/>
      </w:r>
      <w:r w:rsidRPr="009A0FA9">
        <w:rPr>
          <w:rFonts w:hint="eastAsia"/>
          <w:color w:val="000000" w:themeColor="text1"/>
        </w:rPr>
        <w:t>經詢教育部說明略以，有關大學校院必、選修課程亦依大學法施行細則第24條第1項規定，為學校依特色與發展自主規劃範疇，係系所依</w:t>
      </w:r>
      <w:r w:rsidRPr="00A053E6">
        <w:rPr>
          <w:rFonts w:hint="eastAsia"/>
        </w:rPr>
        <w:t>人才</w:t>
      </w:r>
      <w:r w:rsidRPr="009A0FA9">
        <w:rPr>
          <w:rFonts w:hint="eastAsia"/>
          <w:color w:val="000000" w:themeColor="text1"/>
        </w:rPr>
        <w:t>培育目標和能力，規劃必修或選修課程及學分數，專家學者僅就學校之規劃提供意見供學校參考。</w:t>
      </w:r>
    </w:p>
  </w:footnote>
  <w:footnote w:id="5">
    <w:p w:rsidR="000C0B4F" w:rsidRPr="00CC6264" w:rsidRDefault="000C0B4F" w:rsidP="00DA1135">
      <w:pPr>
        <w:pStyle w:val="afc"/>
        <w:ind w:leftChars="5" w:left="140" w:hangingChars="56" w:hanging="123"/>
        <w:jc w:val="both"/>
        <w:rPr>
          <w:color w:val="C00000"/>
        </w:rPr>
      </w:pPr>
      <w:r w:rsidRPr="009A0FA9">
        <w:rPr>
          <w:rStyle w:val="afe"/>
          <w:color w:val="000000" w:themeColor="text1"/>
        </w:rPr>
        <w:footnoteRef/>
      </w:r>
      <w:r w:rsidRPr="009A0FA9">
        <w:rPr>
          <w:rFonts w:hint="eastAsia"/>
          <w:color w:val="000000" w:themeColor="text1"/>
        </w:rPr>
        <w:t>經詢教育部說明略以，有關大學校院課程依大學法施行細則第24條第1項規定，大學得依其發展特色規劃課程，經教務相關之校級會議通過後實施，並應定期檢討或修正。爰學校大專校院課程規劃(含校外實習課程)為學校依特色與發展自主規劃範疇。</w:t>
      </w:r>
      <w:r w:rsidRPr="009A0FA9">
        <w:rPr>
          <w:rFonts w:hint="eastAsia"/>
          <w:color w:val="000000" w:themeColor="text1"/>
          <w:u w:val="single"/>
        </w:rPr>
        <w:t>惟考量到部分學校校外實習學分偏高，恐排擠其他理論課程安排，影響學生專業養成</w:t>
      </w:r>
      <w:r w:rsidRPr="009A0FA9">
        <w:rPr>
          <w:rFonts w:hint="eastAsia"/>
          <w:color w:val="000000" w:themeColor="text1"/>
        </w:rPr>
        <w:t>。</w:t>
      </w:r>
    </w:p>
  </w:footnote>
  <w:footnote w:id="6">
    <w:p w:rsidR="00253810" w:rsidRDefault="00253810" w:rsidP="00253810">
      <w:pPr>
        <w:pStyle w:val="afc"/>
        <w:ind w:leftChars="3" w:left="151" w:hangingChars="64" w:hanging="141"/>
        <w:jc w:val="both"/>
      </w:pPr>
      <w:r w:rsidRPr="00EC68F8">
        <w:rPr>
          <w:rStyle w:val="afe"/>
          <w:color w:val="000000" w:themeColor="text1"/>
        </w:rPr>
        <w:footnoteRef/>
      </w:r>
      <w:r w:rsidRPr="00EC68F8">
        <w:rPr>
          <w:color w:val="000000" w:themeColor="text1"/>
        </w:rPr>
        <w:t xml:space="preserve"> </w:t>
      </w:r>
      <w:r w:rsidRPr="00EC68F8">
        <w:rPr>
          <w:rFonts w:hint="eastAsia"/>
          <w:color w:val="000000" w:themeColor="text1"/>
        </w:rPr>
        <w:tab/>
        <w:t>該校於109學年度第2學期(110年4月)申請停辦，爰教育部表示未進行109學年度第2學期教學品質查核。</w:t>
      </w:r>
    </w:p>
  </w:footnote>
  <w:footnote w:id="7">
    <w:p w:rsidR="000C0B4F" w:rsidRPr="005B7C45" w:rsidRDefault="000C0B4F">
      <w:pPr>
        <w:pStyle w:val="afc"/>
      </w:pPr>
      <w:r w:rsidRPr="005B7C45">
        <w:rPr>
          <w:rStyle w:val="afe"/>
        </w:rPr>
        <w:footnoteRef/>
      </w:r>
      <w:r w:rsidRPr="005B7C45">
        <w:t xml:space="preserve"> </w:t>
      </w:r>
      <w:r w:rsidRPr="005B7C45">
        <w:rPr>
          <w:rFonts w:hint="eastAsia"/>
        </w:rPr>
        <w:t>教育部指出該校予以補助費用。</w:t>
      </w:r>
    </w:p>
  </w:footnote>
  <w:footnote w:id="8">
    <w:p w:rsidR="000C0B4F" w:rsidRDefault="000C0B4F" w:rsidP="00FB31D1">
      <w:pPr>
        <w:pStyle w:val="afc"/>
        <w:ind w:leftChars="5" w:left="140" w:hangingChars="56" w:hanging="123"/>
        <w:jc w:val="both"/>
      </w:pPr>
      <w:r>
        <w:rPr>
          <w:rStyle w:val="afe"/>
        </w:rPr>
        <w:footnoteRef/>
      </w:r>
      <w:r>
        <w:rPr>
          <w:rFonts w:hint="eastAsia"/>
        </w:rPr>
        <w:t>據該校110年3月31日停辦計畫書載明調查方式略以，</w:t>
      </w:r>
      <w:r w:rsidRPr="00FF71D3">
        <w:rPr>
          <w:rFonts w:hint="eastAsia"/>
        </w:rPr>
        <w:t>自</w:t>
      </w:r>
      <w:r>
        <w:rPr>
          <w:rFonts w:hint="eastAsia"/>
        </w:rPr>
        <w:t>110</w:t>
      </w:r>
      <w:r w:rsidRPr="00FF71D3">
        <w:rPr>
          <w:rFonts w:hint="eastAsia"/>
        </w:rPr>
        <w:t>年3月18日起，透過班級導師通知全校學生，填答問卷。</w:t>
      </w:r>
    </w:p>
  </w:footnote>
  <w:footnote w:id="9">
    <w:p w:rsidR="000C0B4F" w:rsidRPr="005B7C45" w:rsidRDefault="000C0B4F">
      <w:pPr>
        <w:pStyle w:val="afc"/>
      </w:pPr>
      <w:r w:rsidRPr="005B7C45">
        <w:rPr>
          <w:rStyle w:val="afe"/>
        </w:rPr>
        <w:footnoteRef/>
      </w:r>
      <w:r w:rsidRPr="005B7C45">
        <w:t xml:space="preserve"> </w:t>
      </w:r>
      <w:r w:rsidRPr="005B7C45">
        <w:rPr>
          <w:rFonts w:hAnsi="標楷體" w:hint="eastAsia"/>
        </w:rPr>
        <w:t>教育部</w:t>
      </w:r>
      <w:r w:rsidRPr="005B7C45">
        <w:rPr>
          <w:rFonts w:hint="eastAsia"/>
        </w:rPr>
        <w:t>108年5月1日臺教技(二)字第1080060637號函。</w:t>
      </w:r>
    </w:p>
  </w:footnote>
  <w:footnote w:id="10">
    <w:p w:rsidR="000C0B4F" w:rsidRDefault="000C0B4F" w:rsidP="004203D9">
      <w:pPr>
        <w:pStyle w:val="afc"/>
      </w:pPr>
      <w:r>
        <w:rPr>
          <w:rStyle w:val="afe"/>
        </w:rPr>
        <w:footnoteRef/>
      </w:r>
      <w:r>
        <w:t xml:space="preserve"> </w:t>
      </w:r>
      <w:r>
        <w:rPr>
          <w:rFonts w:hint="eastAsia"/>
        </w:rPr>
        <w:t>涉個資部分於公布版以略表示。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890D3A"/>
    <w:multiLevelType w:val="hybridMultilevel"/>
    <w:tmpl w:val="D1E61208"/>
    <w:lvl w:ilvl="0" w:tplc="3E1AF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FD1E33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2B33D3"/>
    <w:multiLevelType w:val="hybridMultilevel"/>
    <w:tmpl w:val="D1E61208"/>
    <w:lvl w:ilvl="0" w:tplc="3E1AF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1D70ECD"/>
    <w:multiLevelType w:val="hybridMultilevel"/>
    <w:tmpl w:val="49D6155E"/>
    <w:lvl w:ilvl="0" w:tplc="3E1AF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4"/>
  </w:num>
  <w:num w:numId="5">
    <w:abstractNumId w:val="8"/>
  </w:num>
  <w:num w:numId="6">
    <w:abstractNumId w:val="2"/>
  </w:num>
  <w:num w:numId="7">
    <w:abstractNumId w:val="9"/>
  </w:num>
  <w:num w:numId="8">
    <w:abstractNumId w:val="5"/>
  </w:num>
  <w:num w:numId="9">
    <w:abstractNumId w:val="6"/>
  </w:num>
  <w:num w:numId="10">
    <w:abstractNumId w:val="1"/>
  </w:num>
  <w:num w:numId="11">
    <w:abstractNumId w:val="10"/>
  </w:num>
  <w:num w:numId="12">
    <w:abstractNumId w:val="2"/>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7"/>
  </w:num>
  <w:num w:numId="18">
    <w:abstractNumId w:val="7"/>
  </w:num>
  <w:num w:numId="19">
    <w:abstractNumId w:val="2"/>
  </w:num>
  <w:num w:numId="20">
    <w:abstractNumId w:val="7"/>
  </w:num>
  <w:num w:numId="21">
    <w:abstractNumId w:val="7"/>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C7"/>
    <w:rsid w:val="0000029E"/>
    <w:rsid w:val="00000383"/>
    <w:rsid w:val="00000CA4"/>
    <w:rsid w:val="00000D23"/>
    <w:rsid w:val="00001BB7"/>
    <w:rsid w:val="00001F74"/>
    <w:rsid w:val="00002DAE"/>
    <w:rsid w:val="000037C0"/>
    <w:rsid w:val="00005409"/>
    <w:rsid w:val="00005450"/>
    <w:rsid w:val="00005952"/>
    <w:rsid w:val="00006961"/>
    <w:rsid w:val="00006B34"/>
    <w:rsid w:val="00006F84"/>
    <w:rsid w:val="000079CD"/>
    <w:rsid w:val="00007B21"/>
    <w:rsid w:val="00010416"/>
    <w:rsid w:val="00010925"/>
    <w:rsid w:val="00010D9B"/>
    <w:rsid w:val="000112BF"/>
    <w:rsid w:val="00011E0C"/>
    <w:rsid w:val="00012233"/>
    <w:rsid w:val="0001235F"/>
    <w:rsid w:val="00012DD6"/>
    <w:rsid w:val="00013F01"/>
    <w:rsid w:val="00015D5E"/>
    <w:rsid w:val="00016738"/>
    <w:rsid w:val="00017318"/>
    <w:rsid w:val="000213F4"/>
    <w:rsid w:val="00021FD2"/>
    <w:rsid w:val="00022549"/>
    <w:rsid w:val="000229AD"/>
    <w:rsid w:val="00023023"/>
    <w:rsid w:val="000243D2"/>
    <w:rsid w:val="000246F7"/>
    <w:rsid w:val="00024873"/>
    <w:rsid w:val="00026080"/>
    <w:rsid w:val="00026A5F"/>
    <w:rsid w:val="00027292"/>
    <w:rsid w:val="0003114D"/>
    <w:rsid w:val="0003116F"/>
    <w:rsid w:val="00031412"/>
    <w:rsid w:val="000314A6"/>
    <w:rsid w:val="00032151"/>
    <w:rsid w:val="0003247F"/>
    <w:rsid w:val="000329CE"/>
    <w:rsid w:val="0003382E"/>
    <w:rsid w:val="0003400F"/>
    <w:rsid w:val="00035AE5"/>
    <w:rsid w:val="00035B25"/>
    <w:rsid w:val="00035CE5"/>
    <w:rsid w:val="0003661E"/>
    <w:rsid w:val="00036785"/>
    <w:rsid w:val="00036D76"/>
    <w:rsid w:val="00040D2F"/>
    <w:rsid w:val="0004180E"/>
    <w:rsid w:val="00041C6B"/>
    <w:rsid w:val="0004208D"/>
    <w:rsid w:val="00042449"/>
    <w:rsid w:val="0004331B"/>
    <w:rsid w:val="00045C2F"/>
    <w:rsid w:val="0004683B"/>
    <w:rsid w:val="00046EE8"/>
    <w:rsid w:val="000475E8"/>
    <w:rsid w:val="00047B49"/>
    <w:rsid w:val="000508B6"/>
    <w:rsid w:val="00051270"/>
    <w:rsid w:val="00051347"/>
    <w:rsid w:val="0005698B"/>
    <w:rsid w:val="00057349"/>
    <w:rsid w:val="00057F32"/>
    <w:rsid w:val="000611CA"/>
    <w:rsid w:val="00061638"/>
    <w:rsid w:val="00061FF2"/>
    <w:rsid w:val="000621F2"/>
    <w:rsid w:val="00062A25"/>
    <w:rsid w:val="0006304A"/>
    <w:rsid w:val="0006324F"/>
    <w:rsid w:val="00063669"/>
    <w:rsid w:val="00063C45"/>
    <w:rsid w:val="00066D17"/>
    <w:rsid w:val="00067135"/>
    <w:rsid w:val="00067173"/>
    <w:rsid w:val="000704B0"/>
    <w:rsid w:val="00070E02"/>
    <w:rsid w:val="00071418"/>
    <w:rsid w:val="00071E3F"/>
    <w:rsid w:val="00072080"/>
    <w:rsid w:val="00072F54"/>
    <w:rsid w:val="0007364F"/>
    <w:rsid w:val="00073CB5"/>
    <w:rsid w:val="00073CF8"/>
    <w:rsid w:val="00073F5D"/>
    <w:rsid w:val="0007425C"/>
    <w:rsid w:val="000743FA"/>
    <w:rsid w:val="00075039"/>
    <w:rsid w:val="000766E7"/>
    <w:rsid w:val="000766EB"/>
    <w:rsid w:val="00076C04"/>
    <w:rsid w:val="00077553"/>
    <w:rsid w:val="00081639"/>
    <w:rsid w:val="00081B8A"/>
    <w:rsid w:val="00083271"/>
    <w:rsid w:val="00085183"/>
    <w:rsid w:val="000851A2"/>
    <w:rsid w:val="00085BBF"/>
    <w:rsid w:val="00085F63"/>
    <w:rsid w:val="000860D7"/>
    <w:rsid w:val="00086FDA"/>
    <w:rsid w:val="000871DF"/>
    <w:rsid w:val="000902E7"/>
    <w:rsid w:val="0009277F"/>
    <w:rsid w:val="000932FF"/>
    <w:rsid w:val="0009352E"/>
    <w:rsid w:val="000943D1"/>
    <w:rsid w:val="0009681F"/>
    <w:rsid w:val="00096B96"/>
    <w:rsid w:val="00097DF9"/>
    <w:rsid w:val="000A15D5"/>
    <w:rsid w:val="000A182B"/>
    <w:rsid w:val="000A1834"/>
    <w:rsid w:val="000A1C56"/>
    <w:rsid w:val="000A2F3F"/>
    <w:rsid w:val="000A2F45"/>
    <w:rsid w:val="000A301F"/>
    <w:rsid w:val="000A480C"/>
    <w:rsid w:val="000A4DBE"/>
    <w:rsid w:val="000B0B4A"/>
    <w:rsid w:val="000B2753"/>
    <w:rsid w:val="000B279A"/>
    <w:rsid w:val="000B5290"/>
    <w:rsid w:val="000B61D2"/>
    <w:rsid w:val="000B6E32"/>
    <w:rsid w:val="000B6FF5"/>
    <w:rsid w:val="000B70A7"/>
    <w:rsid w:val="000B73DD"/>
    <w:rsid w:val="000C03B6"/>
    <w:rsid w:val="000C0977"/>
    <w:rsid w:val="000C0B4F"/>
    <w:rsid w:val="000C1148"/>
    <w:rsid w:val="000C137F"/>
    <w:rsid w:val="000C383E"/>
    <w:rsid w:val="000C4938"/>
    <w:rsid w:val="000C495F"/>
    <w:rsid w:val="000C7C98"/>
    <w:rsid w:val="000D019E"/>
    <w:rsid w:val="000D0636"/>
    <w:rsid w:val="000D09E2"/>
    <w:rsid w:val="000D14D8"/>
    <w:rsid w:val="000D32B5"/>
    <w:rsid w:val="000D35CF"/>
    <w:rsid w:val="000D479B"/>
    <w:rsid w:val="000D48F5"/>
    <w:rsid w:val="000D4911"/>
    <w:rsid w:val="000D5C52"/>
    <w:rsid w:val="000D66D9"/>
    <w:rsid w:val="000D692C"/>
    <w:rsid w:val="000D6DC6"/>
    <w:rsid w:val="000D7D21"/>
    <w:rsid w:val="000E011B"/>
    <w:rsid w:val="000E01BA"/>
    <w:rsid w:val="000E0220"/>
    <w:rsid w:val="000E1EA9"/>
    <w:rsid w:val="000E2DC5"/>
    <w:rsid w:val="000E41EF"/>
    <w:rsid w:val="000E4334"/>
    <w:rsid w:val="000E4DB1"/>
    <w:rsid w:val="000E6431"/>
    <w:rsid w:val="000E6D46"/>
    <w:rsid w:val="000E7546"/>
    <w:rsid w:val="000E7814"/>
    <w:rsid w:val="000F0FC2"/>
    <w:rsid w:val="000F21A5"/>
    <w:rsid w:val="000F2755"/>
    <w:rsid w:val="000F42A6"/>
    <w:rsid w:val="000F4E29"/>
    <w:rsid w:val="000F5548"/>
    <w:rsid w:val="000F5A84"/>
    <w:rsid w:val="000F5B20"/>
    <w:rsid w:val="000F65A5"/>
    <w:rsid w:val="000F67D4"/>
    <w:rsid w:val="000F6FD7"/>
    <w:rsid w:val="0010052E"/>
    <w:rsid w:val="00100ACE"/>
    <w:rsid w:val="00100C5C"/>
    <w:rsid w:val="00100E41"/>
    <w:rsid w:val="00102B9F"/>
    <w:rsid w:val="001041D2"/>
    <w:rsid w:val="001044D8"/>
    <w:rsid w:val="0010537F"/>
    <w:rsid w:val="001055CA"/>
    <w:rsid w:val="00105E04"/>
    <w:rsid w:val="001068C2"/>
    <w:rsid w:val="00106D71"/>
    <w:rsid w:val="00107AD0"/>
    <w:rsid w:val="00110485"/>
    <w:rsid w:val="0011135A"/>
    <w:rsid w:val="00112637"/>
    <w:rsid w:val="00112ABC"/>
    <w:rsid w:val="00112EB1"/>
    <w:rsid w:val="00113274"/>
    <w:rsid w:val="00113425"/>
    <w:rsid w:val="001151FF"/>
    <w:rsid w:val="001163A0"/>
    <w:rsid w:val="00116C2A"/>
    <w:rsid w:val="00116CF5"/>
    <w:rsid w:val="00117202"/>
    <w:rsid w:val="00117B68"/>
    <w:rsid w:val="00117EDC"/>
    <w:rsid w:val="0012001E"/>
    <w:rsid w:val="00120481"/>
    <w:rsid w:val="00120B0B"/>
    <w:rsid w:val="00121066"/>
    <w:rsid w:val="00121BDD"/>
    <w:rsid w:val="00122E87"/>
    <w:rsid w:val="001230A1"/>
    <w:rsid w:val="0012487C"/>
    <w:rsid w:val="00125779"/>
    <w:rsid w:val="00126A55"/>
    <w:rsid w:val="00127CA8"/>
    <w:rsid w:val="00130027"/>
    <w:rsid w:val="001304A9"/>
    <w:rsid w:val="00130D24"/>
    <w:rsid w:val="00130E15"/>
    <w:rsid w:val="00131026"/>
    <w:rsid w:val="00131EF7"/>
    <w:rsid w:val="0013274C"/>
    <w:rsid w:val="00133BCD"/>
    <w:rsid w:val="00133F08"/>
    <w:rsid w:val="001345E6"/>
    <w:rsid w:val="00134633"/>
    <w:rsid w:val="0013521F"/>
    <w:rsid w:val="0013565A"/>
    <w:rsid w:val="00135D43"/>
    <w:rsid w:val="00135E02"/>
    <w:rsid w:val="00136255"/>
    <w:rsid w:val="001362D7"/>
    <w:rsid w:val="001371CB"/>
    <w:rsid w:val="001378B0"/>
    <w:rsid w:val="001405B6"/>
    <w:rsid w:val="00142E00"/>
    <w:rsid w:val="00143633"/>
    <w:rsid w:val="00143E6E"/>
    <w:rsid w:val="001446B3"/>
    <w:rsid w:val="00145AAC"/>
    <w:rsid w:val="00146070"/>
    <w:rsid w:val="0014666F"/>
    <w:rsid w:val="00146782"/>
    <w:rsid w:val="00147A21"/>
    <w:rsid w:val="00147CC7"/>
    <w:rsid w:val="0015039A"/>
    <w:rsid w:val="00150C92"/>
    <w:rsid w:val="0015121F"/>
    <w:rsid w:val="001521BA"/>
    <w:rsid w:val="001523FB"/>
    <w:rsid w:val="00152793"/>
    <w:rsid w:val="00152ADF"/>
    <w:rsid w:val="00153A3B"/>
    <w:rsid w:val="00153B7E"/>
    <w:rsid w:val="001541FB"/>
    <w:rsid w:val="00154471"/>
    <w:rsid w:val="001545A9"/>
    <w:rsid w:val="00154A88"/>
    <w:rsid w:val="00154AB2"/>
    <w:rsid w:val="00154B06"/>
    <w:rsid w:val="001554E9"/>
    <w:rsid w:val="001566BE"/>
    <w:rsid w:val="00156C4F"/>
    <w:rsid w:val="001573E6"/>
    <w:rsid w:val="00162B1F"/>
    <w:rsid w:val="001637C7"/>
    <w:rsid w:val="00163D80"/>
    <w:rsid w:val="0016480E"/>
    <w:rsid w:val="001650A7"/>
    <w:rsid w:val="0016559F"/>
    <w:rsid w:val="0016659D"/>
    <w:rsid w:val="00170A8C"/>
    <w:rsid w:val="00170DAC"/>
    <w:rsid w:val="00171792"/>
    <w:rsid w:val="001726EA"/>
    <w:rsid w:val="001730B6"/>
    <w:rsid w:val="00173411"/>
    <w:rsid w:val="00173AA0"/>
    <w:rsid w:val="00174297"/>
    <w:rsid w:val="00174468"/>
    <w:rsid w:val="001744ED"/>
    <w:rsid w:val="00174C65"/>
    <w:rsid w:val="0017542F"/>
    <w:rsid w:val="00175B56"/>
    <w:rsid w:val="00175DE1"/>
    <w:rsid w:val="00177DCC"/>
    <w:rsid w:val="00180243"/>
    <w:rsid w:val="00180CBA"/>
    <w:rsid w:val="00180E06"/>
    <w:rsid w:val="001811EF"/>
    <w:rsid w:val="00181662"/>
    <w:rsid w:val="001817B3"/>
    <w:rsid w:val="00181E20"/>
    <w:rsid w:val="00181F87"/>
    <w:rsid w:val="00182014"/>
    <w:rsid w:val="00182693"/>
    <w:rsid w:val="00183014"/>
    <w:rsid w:val="00183162"/>
    <w:rsid w:val="00183ACC"/>
    <w:rsid w:val="00184DAD"/>
    <w:rsid w:val="00185230"/>
    <w:rsid w:val="00185451"/>
    <w:rsid w:val="00190554"/>
    <w:rsid w:val="001929E4"/>
    <w:rsid w:val="00193EC3"/>
    <w:rsid w:val="001951DE"/>
    <w:rsid w:val="001959C2"/>
    <w:rsid w:val="00195A65"/>
    <w:rsid w:val="00196CE0"/>
    <w:rsid w:val="00196D78"/>
    <w:rsid w:val="001972E5"/>
    <w:rsid w:val="0019770A"/>
    <w:rsid w:val="001A0AD1"/>
    <w:rsid w:val="001A0C6E"/>
    <w:rsid w:val="001A1706"/>
    <w:rsid w:val="001A19B5"/>
    <w:rsid w:val="001A1BF4"/>
    <w:rsid w:val="001A1F9F"/>
    <w:rsid w:val="001A25EB"/>
    <w:rsid w:val="001A27CB"/>
    <w:rsid w:val="001A396E"/>
    <w:rsid w:val="001A3E45"/>
    <w:rsid w:val="001A51E3"/>
    <w:rsid w:val="001A577F"/>
    <w:rsid w:val="001A5B5D"/>
    <w:rsid w:val="001A643A"/>
    <w:rsid w:val="001A6FE6"/>
    <w:rsid w:val="001A73FF"/>
    <w:rsid w:val="001A749F"/>
    <w:rsid w:val="001A7968"/>
    <w:rsid w:val="001A7B60"/>
    <w:rsid w:val="001A7E01"/>
    <w:rsid w:val="001B02A1"/>
    <w:rsid w:val="001B052B"/>
    <w:rsid w:val="001B0A90"/>
    <w:rsid w:val="001B0C81"/>
    <w:rsid w:val="001B0EDC"/>
    <w:rsid w:val="001B15AE"/>
    <w:rsid w:val="001B290D"/>
    <w:rsid w:val="001B2E98"/>
    <w:rsid w:val="001B3483"/>
    <w:rsid w:val="001B3C1E"/>
    <w:rsid w:val="001B4494"/>
    <w:rsid w:val="001B558E"/>
    <w:rsid w:val="001B5E0C"/>
    <w:rsid w:val="001C0D8B"/>
    <w:rsid w:val="001C0DA8"/>
    <w:rsid w:val="001C1EEA"/>
    <w:rsid w:val="001C2B73"/>
    <w:rsid w:val="001C2D97"/>
    <w:rsid w:val="001C2F76"/>
    <w:rsid w:val="001C31BD"/>
    <w:rsid w:val="001C3C02"/>
    <w:rsid w:val="001C3DAD"/>
    <w:rsid w:val="001C46ED"/>
    <w:rsid w:val="001C484D"/>
    <w:rsid w:val="001C4927"/>
    <w:rsid w:val="001C51FD"/>
    <w:rsid w:val="001D0383"/>
    <w:rsid w:val="001D0435"/>
    <w:rsid w:val="001D13A0"/>
    <w:rsid w:val="001D1AE1"/>
    <w:rsid w:val="001D22A1"/>
    <w:rsid w:val="001D23CD"/>
    <w:rsid w:val="001D3358"/>
    <w:rsid w:val="001D41B2"/>
    <w:rsid w:val="001D4AD7"/>
    <w:rsid w:val="001D5661"/>
    <w:rsid w:val="001E09B0"/>
    <w:rsid w:val="001E0B4D"/>
    <w:rsid w:val="001E0D8A"/>
    <w:rsid w:val="001E1173"/>
    <w:rsid w:val="001E21F5"/>
    <w:rsid w:val="001E387F"/>
    <w:rsid w:val="001E39D5"/>
    <w:rsid w:val="001E55F0"/>
    <w:rsid w:val="001E67BA"/>
    <w:rsid w:val="001E6941"/>
    <w:rsid w:val="001E6E28"/>
    <w:rsid w:val="001E74C2"/>
    <w:rsid w:val="001E75D2"/>
    <w:rsid w:val="001F073D"/>
    <w:rsid w:val="001F0E81"/>
    <w:rsid w:val="001F14F8"/>
    <w:rsid w:val="001F17B9"/>
    <w:rsid w:val="001F30D2"/>
    <w:rsid w:val="001F364F"/>
    <w:rsid w:val="001F398E"/>
    <w:rsid w:val="001F3B98"/>
    <w:rsid w:val="001F3D00"/>
    <w:rsid w:val="001F4F82"/>
    <w:rsid w:val="001F5A48"/>
    <w:rsid w:val="001F5A4A"/>
    <w:rsid w:val="001F6260"/>
    <w:rsid w:val="001F6495"/>
    <w:rsid w:val="001F7381"/>
    <w:rsid w:val="001F78F4"/>
    <w:rsid w:val="00200007"/>
    <w:rsid w:val="00200DCF"/>
    <w:rsid w:val="00201B13"/>
    <w:rsid w:val="00202C99"/>
    <w:rsid w:val="002030A5"/>
    <w:rsid w:val="00203131"/>
    <w:rsid w:val="002045DD"/>
    <w:rsid w:val="002048E7"/>
    <w:rsid w:val="00205712"/>
    <w:rsid w:val="002071DC"/>
    <w:rsid w:val="00210E98"/>
    <w:rsid w:val="0021114D"/>
    <w:rsid w:val="002118A6"/>
    <w:rsid w:val="002126F8"/>
    <w:rsid w:val="00212E88"/>
    <w:rsid w:val="00213C9C"/>
    <w:rsid w:val="002147B0"/>
    <w:rsid w:val="002158CE"/>
    <w:rsid w:val="00216367"/>
    <w:rsid w:val="00216923"/>
    <w:rsid w:val="00216DD0"/>
    <w:rsid w:val="00217366"/>
    <w:rsid w:val="00217907"/>
    <w:rsid w:val="0022009E"/>
    <w:rsid w:val="002207A5"/>
    <w:rsid w:val="00220C56"/>
    <w:rsid w:val="00221A28"/>
    <w:rsid w:val="00221AB4"/>
    <w:rsid w:val="00222123"/>
    <w:rsid w:val="002225D8"/>
    <w:rsid w:val="0022311D"/>
    <w:rsid w:val="00223241"/>
    <w:rsid w:val="002241DA"/>
    <w:rsid w:val="0022425C"/>
    <w:rsid w:val="00224330"/>
    <w:rsid w:val="002246DE"/>
    <w:rsid w:val="00226B83"/>
    <w:rsid w:val="00227602"/>
    <w:rsid w:val="00230290"/>
    <w:rsid w:val="002302DD"/>
    <w:rsid w:val="0023072C"/>
    <w:rsid w:val="00230DA0"/>
    <w:rsid w:val="0023128C"/>
    <w:rsid w:val="00232EE6"/>
    <w:rsid w:val="0023451F"/>
    <w:rsid w:val="002359AD"/>
    <w:rsid w:val="0023758E"/>
    <w:rsid w:val="00237E72"/>
    <w:rsid w:val="002413F2"/>
    <w:rsid w:val="00242573"/>
    <w:rsid w:val="0024280B"/>
    <w:rsid w:val="002429E2"/>
    <w:rsid w:val="00242A4D"/>
    <w:rsid w:val="00243371"/>
    <w:rsid w:val="002436E1"/>
    <w:rsid w:val="00243C61"/>
    <w:rsid w:val="00243E59"/>
    <w:rsid w:val="0024721A"/>
    <w:rsid w:val="00247405"/>
    <w:rsid w:val="00250E41"/>
    <w:rsid w:val="0025133A"/>
    <w:rsid w:val="002518CC"/>
    <w:rsid w:val="00251BA6"/>
    <w:rsid w:val="002528BC"/>
    <w:rsid w:val="00252BC4"/>
    <w:rsid w:val="00253148"/>
    <w:rsid w:val="00253810"/>
    <w:rsid w:val="00253E82"/>
    <w:rsid w:val="00254014"/>
    <w:rsid w:val="00254449"/>
    <w:rsid w:val="00254A81"/>
    <w:rsid w:val="00254B39"/>
    <w:rsid w:val="00254D76"/>
    <w:rsid w:val="0025554B"/>
    <w:rsid w:val="0025713D"/>
    <w:rsid w:val="002572DD"/>
    <w:rsid w:val="0025755F"/>
    <w:rsid w:val="00257A0B"/>
    <w:rsid w:val="00257EAE"/>
    <w:rsid w:val="00260626"/>
    <w:rsid w:val="0026129A"/>
    <w:rsid w:val="00263C8E"/>
    <w:rsid w:val="0026441C"/>
    <w:rsid w:val="00264C0E"/>
    <w:rsid w:val="0026504D"/>
    <w:rsid w:val="00265E0F"/>
    <w:rsid w:val="00265FDC"/>
    <w:rsid w:val="00266801"/>
    <w:rsid w:val="00267604"/>
    <w:rsid w:val="002679DB"/>
    <w:rsid w:val="002708BB"/>
    <w:rsid w:val="00270C65"/>
    <w:rsid w:val="0027220F"/>
    <w:rsid w:val="002732FA"/>
    <w:rsid w:val="00273A2F"/>
    <w:rsid w:val="002750FE"/>
    <w:rsid w:val="00275F18"/>
    <w:rsid w:val="002762A7"/>
    <w:rsid w:val="00276593"/>
    <w:rsid w:val="0027666C"/>
    <w:rsid w:val="00276C4F"/>
    <w:rsid w:val="00280986"/>
    <w:rsid w:val="00280D73"/>
    <w:rsid w:val="00280F84"/>
    <w:rsid w:val="00281ECE"/>
    <w:rsid w:val="002829C6"/>
    <w:rsid w:val="002831C7"/>
    <w:rsid w:val="002840C6"/>
    <w:rsid w:val="00285A54"/>
    <w:rsid w:val="00285EFC"/>
    <w:rsid w:val="00285F5B"/>
    <w:rsid w:val="00286798"/>
    <w:rsid w:val="0028688F"/>
    <w:rsid w:val="00286B35"/>
    <w:rsid w:val="00290E4C"/>
    <w:rsid w:val="0029103F"/>
    <w:rsid w:val="00291C83"/>
    <w:rsid w:val="00292D85"/>
    <w:rsid w:val="00293863"/>
    <w:rsid w:val="00294971"/>
    <w:rsid w:val="00295174"/>
    <w:rsid w:val="002952AA"/>
    <w:rsid w:val="002960C4"/>
    <w:rsid w:val="00296172"/>
    <w:rsid w:val="00296366"/>
    <w:rsid w:val="00296B92"/>
    <w:rsid w:val="00297B39"/>
    <w:rsid w:val="00297FE9"/>
    <w:rsid w:val="002A0F8C"/>
    <w:rsid w:val="002A2C22"/>
    <w:rsid w:val="002A3125"/>
    <w:rsid w:val="002A385C"/>
    <w:rsid w:val="002A4DC1"/>
    <w:rsid w:val="002A514C"/>
    <w:rsid w:val="002A5632"/>
    <w:rsid w:val="002A59D2"/>
    <w:rsid w:val="002A7A20"/>
    <w:rsid w:val="002B0089"/>
    <w:rsid w:val="002B02EB"/>
    <w:rsid w:val="002B0A35"/>
    <w:rsid w:val="002B1773"/>
    <w:rsid w:val="002B1BBE"/>
    <w:rsid w:val="002B2141"/>
    <w:rsid w:val="002B341F"/>
    <w:rsid w:val="002B3931"/>
    <w:rsid w:val="002B4512"/>
    <w:rsid w:val="002B4771"/>
    <w:rsid w:val="002B4D5C"/>
    <w:rsid w:val="002B51C4"/>
    <w:rsid w:val="002B5886"/>
    <w:rsid w:val="002B6D49"/>
    <w:rsid w:val="002C0602"/>
    <w:rsid w:val="002C07C4"/>
    <w:rsid w:val="002C0838"/>
    <w:rsid w:val="002C1F8E"/>
    <w:rsid w:val="002C3716"/>
    <w:rsid w:val="002C4EF7"/>
    <w:rsid w:val="002C5F09"/>
    <w:rsid w:val="002C61B6"/>
    <w:rsid w:val="002C69B9"/>
    <w:rsid w:val="002C7259"/>
    <w:rsid w:val="002C7930"/>
    <w:rsid w:val="002D050F"/>
    <w:rsid w:val="002D2489"/>
    <w:rsid w:val="002D28D7"/>
    <w:rsid w:val="002D2C2E"/>
    <w:rsid w:val="002D3145"/>
    <w:rsid w:val="002D40CC"/>
    <w:rsid w:val="002D55A0"/>
    <w:rsid w:val="002D5C16"/>
    <w:rsid w:val="002D5F86"/>
    <w:rsid w:val="002D7327"/>
    <w:rsid w:val="002E0745"/>
    <w:rsid w:val="002E104E"/>
    <w:rsid w:val="002E1795"/>
    <w:rsid w:val="002E383A"/>
    <w:rsid w:val="002E409A"/>
    <w:rsid w:val="002E4B13"/>
    <w:rsid w:val="002E4C2A"/>
    <w:rsid w:val="002E5730"/>
    <w:rsid w:val="002E6E10"/>
    <w:rsid w:val="002F1106"/>
    <w:rsid w:val="002F1CA2"/>
    <w:rsid w:val="002F1E64"/>
    <w:rsid w:val="002F2476"/>
    <w:rsid w:val="002F3802"/>
    <w:rsid w:val="002F3CCA"/>
    <w:rsid w:val="002F3DFF"/>
    <w:rsid w:val="002F4349"/>
    <w:rsid w:val="002F4F11"/>
    <w:rsid w:val="002F51F8"/>
    <w:rsid w:val="002F5CBA"/>
    <w:rsid w:val="002F5E05"/>
    <w:rsid w:val="002F61D8"/>
    <w:rsid w:val="002F6229"/>
    <w:rsid w:val="002F6279"/>
    <w:rsid w:val="002F7E9A"/>
    <w:rsid w:val="003007BE"/>
    <w:rsid w:val="00300A47"/>
    <w:rsid w:val="00301DDC"/>
    <w:rsid w:val="0030217A"/>
    <w:rsid w:val="00302F1B"/>
    <w:rsid w:val="00303B19"/>
    <w:rsid w:val="00303DC4"/>
    <w:rsid w:val="0030561A"/>
    <w:rsid w:val="00305936"/>
    <w:rsid w:val="00305C86"/>
    <w:rsid w:val="003065E8"/>
    <w:rsid w:val="00307A76"/>
    <w:rsid w:val="00307ABC"/>
    <w:rsid w:val="00311D30"/>
    <w:rsid w:val="00311F9A"/>
    <w:rsid w:val="0031263E"/>
    <w:rsid w:val="00312EEC"/>
    <w:rsid w:val="00313ED4"/>
    <w:rsid w:val="003142CA"/>
    <w:rsid w:val="0031455E"/>
    <w:rsid w:val="00315A16"/>
    <w:rsid w:val="00317053"/>
    <w:rsid w:val="00317515"/>
    <w:rsid w:val="00317723"/>
    <w:rsid w:val="00320BF3"/>
    <w:rsid w:val="0032109C"/>
    <w:rsid w:val="003210C3"/>
    <w:rsid w:val="00321695"/>
    <w:rsid w:val="00321DA9"/>
    <w:rsid w:val="0032252F"/>
    <w:rsid w:val="0032271C"/>
    <w:rsid w:val="003227E6"/>
    <w:rsid w:val="00322B45"/>
    <w:rsid w:val="00323809"/>
    <w:rsid w:val="00323B89"/>
    <w:rsid w:val="00323D41"/>
    <w:rsid w:val="00324339"/>
    <w:rsid w:val="00324B27"/>
    <w:rsid w:val="00325414"/>
    <w:rsid w:val="00325850"/>
    <w:rsid w:val="00325F36"/>
    <w:rsid w:val="00326202"/>
    <w:rsid w:val="00326465"/>
    <w:rsid w:val="003268BE"/>
    <w:rsid w:val="00326B28"/>
    <w:rsid w:val="00327094"/>
    <w:rsid w:val="00327530"/>
    <w:rsid w:val="0032798D"/>
    <w:rsid w:val="003302F1"/>
    <w:rsid w:val="00330D44"/>
    <w:rsid w:val="0033154D"/>
    <w:rsid w:val="003317C9"/>
    <w:rsid w:val="00332232"/>
    <w:rsid w:val="00333BF6"/>
    <w:rsid w:val="00333DBD"/>
    <w:rsid w:val="00334029"/>
    <w:rsid w:val="003346A9"/>
    <w:rsid w:val="003363F9"/>
    <w:rsid w:val="003401C0"/>
    <w:rsid w:val="0034035F"/>
    <w:rsid w:val="003404EE"/>
    <w:rsid w:val="00340C55"/>
    <w:rsid w:val="0034384D"/>
    <w:rsid w:val="00343C62"/>
    <w:rsid w:val="0034470E"/>
    <w:rsid w:val="00345CD7"/>
    <w:rsid w:val="003463AF"/>
    <w:rsid w:val="00346E25"/>
    <w:rsid w:val="00350194"/>
    <w:rsid w:val="003507C2"/>
    <w:rsid w:val="00350C52"/>
    <w:rsid w:val="00350FCF"/>
    <w:rsid w:val="003518A2"/>
    <w:rsid w:val="00351D72"/>
    <w:rsid w:val="00352787"/>
    <w:rsid w:val="00352BFB"/>
    <w:rsid w:val="00352DB0"/>
    <w:rsid w:val="003531F2"/>
    <w:rsid w:val="003532D6"/>
    <w:rsid w:val="003542F6"/>
    <w:rsid w:val="00354F23"/>
    <w:rsid w:val="00354FDF"/>
    <w:rsid w:val="0035504C"/>
    <w:rsid w:val="003565EE"/>
    <w:rsid w:val="00356A4E"/>
    <w:rsid w:val="00356C21"/>
    <w:rsid w:val="0035795B"/>
    <w:rsid w:val="00357D80"/>
    <w:rsid w:val="003609AA"/>
    <w:rsid w:val="00360F7E"/>
    <w:rsid w:val="00361063"/>
    <w:rsid w:val="003615E4"/>
    <w:rsid w:val="0036273B"/>
    <w:rsid w:val="0036316E"/>
    <w:rsid w:val="00363696"/>
    <w:rsid w:val="00363E2D"/>
    <w:rsid w:val="00363FBC"/>
    <w:rsid w:val="0036487E"/>
    <w:rsid w:val="003673C7"/>
    <w:rsid w:val="0037051F"/>
    <w:rsid w:val="00370632"/>
    <w:rsid w:val="0037094A"/>
    <w:rsid w:val="00370C03"/>
    <w:rsid w:val="00371AD3"/>
    <w:rsid w:val="00371ED3"/>
    <w:rsid w:val="00372051"/>
    <w:rsid w:val="00372458"/>
    <w:rsid w:val="00372657"/>
    <w:rsid w:val="00372659"/>
    <w:rsid w:val="00372E78"/>
    <w:rsid w:val="00372FFC"/>
    <w:rsid w:val="003736BC"/>
    <w:rsid w:val="003748ED"/>
    <w:rsid w:val="00374EFF"/>
    <w:rsid w:val="0037676E"/>
    <w:rsid w:val="00376915"/>
    <w:rsid w:val="0037728A"/>
    <w:rsid w:val="00380B7D"/>
    <w:rsid w:val="003818FB"/>
    <w:rsid w:val="00381A0E"/>
    <w:rsid w:val="00381A99"/>
    <w:rsid w:val="003829C2"/>
    <w:rsid w:val="003830B2"/>
    <w:rsid w:val="00383527"/>
    <w:rsid w:val="00384724"/>
    <w:rsid w:val="00384B43"/>
    <w:rsid w:val="003858B5"/>
    <w:rsid w:val="00385F6B"/>
    <w:rsid w:val="003866DA"/>
    <w:rsid w:val="003868D1"/>
    <w:rsid w:val="003876AC"/>
    <w:rsid w:val="00390232"/>
    <w:rsid w:val="00390C03"/>
    <w:rsid w:val="003919B7"/>
    <w:rsid w:val="00391D57"/>
    <w:rsid w:val="00391ED1"/>
    <w:rsid w:val="00392292"/>
    <w:rsid w:val="00392785"/>
    <w:rsid w:val="0039278F"/>
    <w:rsid w:val="00392E33"/>
    <w:rsid w:val="00392F5E"/>
    <w:rsid w:val="00393093"/>
    <w:rsid w:val="00393F63"/>
    <w:rsid w:val="00394F45"/>
    <w:rsid w:val="00395611"/>
    <w:rsid w:val="0039572C"/>
    <w:rsid w:val="00395C45"/>
    <w:rsid w:val="003969B7"/>
    <w:rsid w:val="00397532"/>
    <w:rsid w:val="003A0023"/>
    <w:rsid w:val="003A0089"/>
    <w:rsid w:val="003A0C1A"/>
    <w:rsid w:val="003A47D5"/>
    <w:rsid w:val="003A5927"/>
    <w:rsid w:val="003A627E"/>
    <w:rsid w:val="003B028F"/>
    <w:rsid w:val="003B073E"/>
    <w:rsid w:val="003B1017"/>
    <w:rsid w:val="003B2141"/>
    <w:rsid w:val="003B2A53"/>
    <w:rsid w:val="003B3C07"/>
    <w:rsid w:val="003B426E"/>
    <w:rsid w:val="003B44DF"/>
    <w:rsid w:val="003B4E5C"/>
    <w:rsid w:val="003B53E4"/>
    <w:rsid w:val="003B5E6A"/>
    <w:rsid w:val="003B6081"/>
    <w:rsid w:val="003B66CD"/>
    <w:rsid w:val="003B6775"/>
    <w:rsid w:val="003B7379"/>
    <w:rsid w:val="003B7CB2"/>
    <w:rsid w:val="003C13D0"/>
    <w:rsid w:val="003C1576"/>
    <w:rsid w:val="003C15ED"/>
    <w:rsid w:val="003C1C1C"/>
    <w:rsid w:val="003C27C4"/>
    <w:rsid w:val="003C3AFE"/>
    <w:rsid w:val="003C4B32"/>
    <w:rsid w:val="003C5FE2"/>
    <w:rsid w:val="003C77DC"/>
    <w:rsid w:val="003D05FB"/>
    <w:rsid w:val="003D09B5"/>
    <w:rsid w:val="003D0B96"/>
    <w:rsid w:val="003D1B16"/>
    <w:rsid w:val="003D1C9F"/>
    <w:rsid w:val="003D1CF1"/>
    <w:rsid w:val="003D2A02"/>
    <w:rsid w:val="003D3331"/>
    <w:rsid w:val="003D45BF"/>
    <w:rsid w:val="003D508A"/>
    <w:rsid w:val="003D537F"/>
    <w:rsid w:val="003D595E"/>
    <w:rsid w:val="003D5C7A"/>
    <w:rsid w:val="003D72F4"/>
    <w:rsid w:val="003D7B75"/>
    <w:rsid w:val="003E0208"/>
    <w:rsid w:val="003E18CE"/>
    <w:rsid w:val="003E1A8B"/>
    <w:rsid w:val="003E2ACB"/>
    <w:rsid w:val="003E4537"/>
    <w:rsid w:val="003E4B57"/>
    <w:rsid w:val="003E5344"/>
    <w:rsid w:val="003E5896"/>
    <w:rsid w:val="003E64BD"/>
    <w:rsid w:val="003E72E0"/>
    <w:rsid w:val="003E7572"/>
    <w:rsid w:val="003F0B98"/>
    <w:rsid w:val="003F1417"/>
    <w:rsid w:val="003F27E1"/>
    <w:rsid w:val="003F437A"/>
    <w:rsid w:val="003F4C4E"/>
    <w:rsid w:val="003F5320"/>
    <w:rsid w:val="003F5AEF"/>
    <w:rsid w:val="003F5C2B"/>
    <w:rsid w:val="003F5DA9"/>
    <w:rsid w:val="003F640D"/>
    <w:rsid w:val="004000B5"/>
    <w:rsid w:val="0040049C"/>
    <w:rsid w:val="004009AB"/>
    <w:rsid w:val="00400FAD"/>
    <w:rsid w:val="00402240"/>
    <w:rsid w:val="004023E9"/>
    <w:rsid w:val="004024CC"/>
    <w:rsid w:val="0040302A"/>
    <w:rsid w:val="00403895"/>
    <w:rsid w:val="00403E11"/>
    <w:rsid w:val="0040454A"/>
    <w:rsid w:val="004047C9"/>
    <w:rsid w:val="00405506"/>
    <w:rsid w:val="00405D61"/>
    <w:rsid w:val="0040781B"/>
    <w:rsid w:val="004079E7"/>
    <w:rsid w:val="00407CBA"/>
    <w:rsid w:val="0041045C"/>
    <w:rsid w:val="00410F89"/>
    <w:rsid w:val="004112F6"/>
    <w:rsid w:val="00411CB7"/>
    <w:rsid w:val="004128F5"/>
    <w:rsid w:val="00412ED5"/>
    <w:rsid w:val="004137AE"/>
    <w:rsid w:val="00413AAD"/>
    <w:rsid w:val="00413DC3"/>
    <w:rsid w:val="00413DE8"/>
    <w:rsid w:val="00413F83"/>
    <w:rsid w:val="004147D3"/>
    <w:rsid w:val="0041490C"/>
    <w:rsid w:val="00416191"/>
    <w:rsid w:val="00416721"/>
    <w:rsid w:val="00416C2E"/>
    <w:rsid w:val="0041764D"/>
    <w:rsid w:val="004176DC"/>
    <w:rsid w:val="004203D9"/>
    <w:rsid w:val="00421B6C"/>
    <w:rsid w:val="00421EF0"/>
    <w:rsid w:val="004221D2"/>
    <w:rsid w:val="004224FA"/>
    <w:rsid w:val="004225C3"/>
    <w:rsid w:val="00423D07"/>
    <w:rsid w:val="004241A9"/>
    <w:rsid w:val="00424785"/>
    <w:rsid w:val="00424EB0"/>
    <w:rsid w:val="00425869"/>
    <w:rsid w:val="004259E1"/>
    <w:rsid w:val="00425EAA"/>
    <w:rsid w:val="00427936"/>
    <w:rsid w:val="0043032D"/>
    <w:rsid w:val="00430C08"/>
    <w:rsid w:val="0043225A"/>
    <w:rsid w:val="00433015"/>
    <w:rsid w:val="00434401"/>
    <w:rsid w:val="00436A43"/>
    <w:rsid w:val="004372A0"/>
    <w:rsid w:val="00441445"/>
    <w:rsid w:val="00441CE6"/>
    <w:rsid w:val="00441FBE"/>
    <w:rsid w:val="004422E6"/>
    <w:rsid w:val="0044346F"/>
    <w:rsid w:val="004443A1"/>
    <w:rsid w:val="0044442D"/>
    <w:rsid w:val="00444A2A"/>
    <w:rsid w:val="00444B6F"/>
    <w:rsid w:val="004450DC"/>
    <w:rsid w:val="00445DA2"/>
    <w:rsid w:val="00446694"/>
    <w:rsid w:val="004467AD"/>
    <w:rsid w:val="0044795D"/>
    <w:rsid w:val="00447E79"/>
    <w:rsid w:val="00447EB9"/>
    <w:rsid w:val="00450883"/>
    <w:rsid w:val="00450C25"/>
    <w:rsid w:val="0045105F"/>
    <w:rsid w:val="004514E0"/>
    <w:rsid w:val="004528A8"/>
    <w:rsid w:val="00453291"/>
    <w:rsid w:val="00453814"/>
    <w:rsid w:val="00453FF6"/>
    <w:rsid w:val="00454746"/>
    <w:rsid w:val="00456044"/>
    <w:rsid w:val="00457939"/>
    <w:rsid w:val="0046158A"/>
    <w:rsid w:val="00462CB8"/>
    <w:rsid w:val="0046328B"/>
    <w:rsid w:val="00463C1A"/>
    <w:rsid w:val="004645FA"/>
    <w:rsid w:val="0046489F"/>
    <w:rsid w:val="0046520A"/>
    <w:rsid w:val="004653E1"/>
    <w:rsid w:val="004660E3"/>
    <w:rsid w:val="00466B66"/>
    <w:rsid w:val="00466F8C"/>
    <w:rsid w:val="004672AB"/>
    <w:rsid w:val="004679FB"/>
    <w:rsid w:val="00467C09"/>
    <w:rsid w:val="0047036F"/>
    <w:rsid w:val="004714FE"/>
    <w:rsid w:val="00472226"/>
    <w:rsid w:val="00472EEF"/>
    <w:rsid w:val="00472FE0"/>
    <w:rsid w:val="00474BB6"/>
    <w:rsid w:val="004751DE"/>
    <w:rsid w:val="00476794"/>
    <w:rsid w:val="00476FED"/>
    <w:rsid w:val="00477BAA"/>
    <w:rsid w:val="00480239"/>
    <w:rsid w:val="00480EFD"/>
    <w:rsid w:val="0048114F"/>
    <w:rsid w:val="00482DF3"/>
    <w:rsid w:val="004831FB"/>
    <w:rsid w:val="00483748"/>
    <w:rsid w:val="00483A87"/>
    <w:rsid w:val="004858DA"/>
    <w:rsid w:val="00485DDF"/>
    <w:rsid w:val="004872EE"/>
    <w:rsid w:val="00490239"/>
    <w:rsid w:val="0049026A"/>
    <w:rsid w:val="004907BB"/>
    <w:rsid w:val="0049099F"/>
    <w:rsid w:val="00491969"/>
    <w:rsid w:val="00493EA7"/>
    <w:rsid w:val="0049404B"/>
    <w:rsid w:val="00494310"/>
    <w:rsid w:val="00494B12"/>
    <w:rsid w:val="00495053"/>
    <w:rsid w:val="004954AD"/>
    <w:rsid w:val="00495609"/>
    <w:rsid w:val="00496CE1"/>
    <w:rsid w:val="004974E8"/>
    <w:rsid w:val="004A0E8F"/>
    <w:rsid w:val="004A0E91"/>
    <w:rsid w:val="004A10C0"/>
    <w:rsid w:val="004A1F59"/>
    <w:rsid w:val="004A29BE"/>
    <w:rsid w:val="004A2B72"/>
    <w:rsid w:val="004A2DFD"/>
    <w:rsid w:val="004A3225"/>
    <w:rsid w:val="004A33EE"/>
    <w:rsid w:val="004A3AA8"/>
    <w:rsid w:val="004A4421"/>
    <w:rsid w:val="004A5345"/>
    <w:rsid w:val="004A6743"/>
    <w:rsid w:val="004A7022"/>
    <w:rsid w:val="004A7165"/>
    <w:rsid w:val="004A76F9"/>
    <w:rsid w:val="004B1244"/>
    <w:rsid w:val="004B13C7"/>
    <w:rsid w:val="004B143D"/>
    <w:rsid w:val="004B209A"/>
    <w:rsid w:val="004B32FA"/>
    <w:rsid w:val="004B34DB"/>
    <w:rsid w:val="004B3CC8"/>
    <w:rsid w:val="004B4B3B"/>
    <w:rsid w:val="004B52E0"/>
    <w:rsid w:val="004B558B"/>
    <w:rsid w:val="004B708D"/>
    <w:rsid w:val="004B778F"/>
    <w:rsid w:val="004C0609"/>
    <w:rsid w:val="004C08D0"/>
    <w:rsid w:val="004C0AB7"/>
    <w:rsid w:val="004C0DC5"/>
    <w:rsid w:val="004C1D99"/>
    <w:rsid w:val="004C26DE"/>
    <w:rsid w:val="004C55D5"/>
    <w:rsid w:val="004C57A5"/>
    <w:rsid w:val="004C639F"/>
    <w:rsid w:val="004C66FD"/>
    <w:rsid w:val="004C6881"/>
    <w:rsid w:val="004C6A7E"/>
    <w:rsid w:val="004D0156"/>
    <w:rsid w:val="004D0963"/>
    <w:rsid w:val="004D141F"/>
    <w:rsid w:val="004D25F6"/>
    <w:rsid w:val="004D2742"/>
    <w:rsid w:val="004D44C5"/>
    <w:rsid w:val="004D4D14"/>
    <w:rsid w:val="004D6232"/>
    <w:rsid w:val="004D6310"/>
    <w:rsid w:val="004D6718"/>
    <w:rsid w:val="004D7ACF"/>
    <w:rsid w:val="004E0062"/>
    <w:rsid w:val="004E05A1"/>
    <w:rsid w:val="004E30B6"/>
    <w:rsid w:val="004E3178"/>
    <w:rsid w:val="004E3226"/>
    <w:rsid w:val="004E41C2"/>
    <w:rsid w:val="004E4535"/>
    <w:rsid w:val="004E4B5D"/>
    <w:rsid w:val="004E5754"/>
    <w:rsid w:val="004E5A06"/>
    <w:rsid w:val="004E6022"/>
    <w:rsid w:val="004E7F21"/>
    <w:rsid w:val="004F05CE"/>
    <w:rsid w:val="004F1713"/>
    <w:rsid w:val="004F179E"/>
    <w:rsid w:val="004F35A9"/>
    <w:rsid w:val="004F472A"/>
    <w:rsid w:val="004F4C75"/>
    <w:rsid w:val="004F4EA9"/>
    <w:rsid w:val="004F5E57"/>
    <w:rsid w:val="004F6710"/>
    <w:rsid w:val="004F7883"/>
    <w:rsid w:val="004F7A4E"/>
    <w:rsid w:val="0050081F"/>
    <w:rsid w:val="00500AFB"/>
    <w:rsid w:val="00500C3E"/>
    <w:rsid w:val="005026A4"/>
    <w:rsid w:val="0050274E"/>
    <w:rsid w:val="00502849"/>
    <w:rsid w:val="00503726"/>
    <w:rsid w:val="005038DD"/>
    <w:rsid w:val="00503B68"/>
    <w:rsid w:val="00503C82"/>
    <w:rsid w:val="00504100"/>
    <w:rsid w:val="005041E7"/>
    <w:rsid w:val="00504334"/>
    <w:rsid w:val="0050498D"/>
    <w:rsid w:val="00504DBC"/>
    <w:rsid w:val="00504F52"/>
    <w:rsid w:val="005050F6"/>
    <w:rsid w:val="00505C12"/>
    <w:rsid w:val="00506183"/>
    <w:rsid w:val="005069A7"/>
    <w:rsid w:val="00506D95"/>
    <w:rsid w:val="00507A19"/>
    <w:rsid w:val="005102F3"/>
    <w:rsid w:val="00510497"/>
    <w:rsid w:val="005104D7"/>
    <w:rsid w:val="00510B9E"/>
    <w:rsid w:val="00511008"/>
    <w:rsid w:val="00513C67"/>
    <w:rsid w:val="00514427"/>
    <w:rsid w:val="00516773"/>
    <w:rsid w:val="005179AA"/>
    <w:rsid w:val="0052053C"/>
    <w:rsid w:val="00520D98"/>
    <w:rsid w:val="00523A43"/>
    <w:rsid w:val="005240D3"/>
    <w:rsid w:val="00524C99"/>
    <w:rsid w:val="00525248"/>
    <w:rsid w:val="00525CD5"/>
    <w:rsid w:val="005263BB"/>
    <w:rsid w:val="005265C5"/>
    <w:rsid w:val="005276D4"/>
    <w:rsid w:val="00527EE6"/>
    <w:rsid w:val="005300E5"/>
    <w:rsid w:val="005312F2"/>
    <w:rsid w:val="005320E6"/>
    <w:rsid w:val="00532AB2"/>
    <w:rsid w:val="00532CBB"/>
    <w:rsid w:val="0053318E"/>
    <w:rsid w:val="005332BC"/>
    <w:rsid w:val="00533373"/>
    <w:rsid w:val="00534D9E"/>
    <w:rsid w:val="0053530A"/>
    <w:rsid w:val="00535A54"/>
    <w:rsid w:val="00536199"/>
    <w:rsid w:val="00536BC2"/>
    <w:rsid w:val="00537257"/>
    <w:rsid w:val="00537344"/>
    <w:rsid w:val="00537BEB"/>
    <w:rsid w:val="00540869"/>
    <w:rsid w:val="00540E35"/>
    <w:rsid w:val="00540EDF"/>
    <w:rsid w:val="00541012"/>
    <w:rsid w:val="005425E1"/>
    <w:rsid w:val="005427C5"/>
    <w:rsid w:val="00542CF6"/>
    <w:rsid w:val="0054433F"/>
    <w:rsid w:val="0054456A"/>
    <w:rsid w:val="005448B6"/>
    <w:rsid w:val="00544B07"/>
    <w:rsid w:val="00544C26"/>
    <w:rsid w:val="005455A1"/>
    <w:rsid w:val="005456DD"/>
    <w:rsid w:val="00545B83"/>
    <w:rsid w:val="00545BDC"/>
    <w:rsid w:val="00545CA4"/>
    <w:rsid w:val="0054677A"/>
    <w:rsid w:val="00546B6D"/>
    <w:rsid w:val="00547A89"/>
    <w:rsid w:val="00552EEB"/>
    <w:rsid w:val="00553202"/>
    <w:rsid w:val="005537F0"/>
    <w:rsid w:val="00553C03"/>
    <w:rsid w:val="00555735"/>
    <w:rsid w:val="00555C55"/>
    <w:rsid w:val="00555E26"/>
    <w:rsid w:val="00555F19"/>
    <w:rsid w:val="0055601A"/>
    <w:rsid w:val="00556F2E"/>
    <w:rsid w:val="00560DDA"/>
    <w:rsid w:val="00562B91"/>
    <w:rsid w:val="00562CB1"/>
    <w:rsid w:val="0056333E"/>
    <w:rsid w:val="005633D3"/>
    <w:rsid w:val="00563692"/>
    <w:rsid w:val="00563F82"/>
    <w:rsid w:val="00564326"/>
    <w:rsid w:val="00564492"/>
    <w:rsid w:val="00564979"/>
    <w:rsid w:val="00565036"/>
    <w:rsid w:val="005663FE"/>
    <w:rsid w:val="00566E8C"/>
    <w:rsid w:val="0056762B"/>
    <w:rsid w:val="00571679"/>
    <w:rsid w:val="005745CC"/>
    <w:rsid w:val="00575823"/>
    <w:rsid w:val="005760B8"/>
    <w:rsid w:val="0057620B"/>
    <w:rsid w:val="005768EB"/>
    <w:rsid w:val="00576F0E"/>
    <w:rsid w:val="00580E43"/>
    <w:rsid w:val="005821AC"/>
    <w:rsid w:val="0058274D"/>
    <w:rsid w:val="005833FA"/>
    <w:rsid w:val="00584235"/>
    <w:rsid w:val="005844E7"/>
    <w:rsid w:val="00584CC1"/>
    <w:rsid w:val="00584F00"/>
    <w:rsid w:val="00585E37"/>
    <w:rsid w:val="00587833"/>
    <w:rsid w:val="00587D5B"/>
    <w:rsid w:val="00590366"/>
    <w:rsid w:val="005908B8"/>
    <w:rsid w:val="005912FC"/>
    <w:rsid w:val="005913BA"/>
    <w:rsid w:val="00592114"/>
    <w:rsid w:val="0059292F"/>
    <w:rsid w:val="00593C52"/>
    <w:rsid w:val="00593C56"/>
    <w:rsid w:val="00593EBD"/>
    <w:rsid w:val="00594AE2"/>
    <w:rsid w:val="0059512E"/>
    <w:rsid w:val="00595DAA"/>
    <w:rsid w:val="0059632A"/>
    <w:rsid w:val="0059746B"/>
    <w:rsid w:val="005979A6"/>
    <w:rsid w:val="00597AD0"/>
    <w:rsid w:val="00597C4E"/>
    <w:rsid w:val="005A07B3"/>
    <w:rsid w:val="005A101E"/>
    <w:rsid w:val="005A1B36"/>
    <w:rsid w:val="005A3241"/>
    <w:rsid w:val="005A4178"/>
    <w:rsid w:val="005A4AB9"/>
    <w:rsid w:val="005A4D77"/>
    <w:rsid w:val="005A6280"/>
    <w:rsid w:val="005A676D"/>
    <w:rsid w:val="005A6988"/>
    <w:rsid w:val="005A6B41"/>
    <w:rsid w:val="005A6DD2"/>
    <w:rsid w:val="005B0186"/>
    <w:rsid w:val="005B0512"/>
    <w:rsid w:val="005B1F8F"/>
    <w:rsid w:val="005B2C20"/>
    <w:rsid w:val="005B2F7B"/>
    <w:rsid w:val="005B3293"/>
    <w:rsid w:val="005B3319"/>
    <w:rsid w:val="005B47BD"/>
    <w:rsid w:val="005B4EFF"/>
    <w:rsid w:val="005B67C8"/>
    <w:rsid w:val="005B6B14"/>
    <w:rsid w:val="005B7406"/>
    <w:rsid w:val="005B7B2D"/>
    <w:rsid w:val="005B7C45"/>
    <w:rsid w:val="005C1390"/>
    <w:rsid w:val="005C1A88"/>
    <w:rsid w:val="005C2034"/>
    <w:rsid w:val="005C358F"/>
    <w:rsid w:val="005C385D"/>
    <w:rsid w:val="005C39A6"/>
    <w:rsid w:val="005C3B91"/>
    <w:rsid w:val="005C5EC2"/>
    <w:rsid w:val="005D0B2E"/>
    <w:rsid w:val="005D1EE5"/>
    <w:rsid w:val="005D2015"/>
    <w:rsid w:val="005D23BB"/>
    <w:rsid w:val="005D33A3"/>
    <w:rsid w:val="005D3B20"/>
    <w:rsid w:val="005D43AF"/>
    <w:rsid w:val="005D455E"/>
    <w:rsid w:val="005D5E24"/>
    <w:rsid w:val="005D71B7"/>
    <w:rsid w:val="005D7668"/>
    <w:rsid w:val="005D77A5"/>
    <w:rsid w:val="005E0C86"/>
    <w:rsid w:val="005E2211"/>
    <w:rsid w:val="005E243B"/>
    <w:rsid w:val="005E3586"/>
    <w:rsid w:val="005E4187"/>
    <w:rsid w:val="005E4759"/>
    <w:rsid w:val="005E49F6"/>
    <w:rsid w:val="005E58E4"/>
    <w:rsid w:val="005E5C68"/>
    <w:rsid w:val="005E654F"/>
    <w:rsid w:val="005E65C0"/>
    <w:rsid w:val="005E6C6E"/>
    <w:rsid w:val="005E7B20"/>
    <w:rsid w:val="005F0390"/>
    <w:rsid w:val="005F0A7E"/>
    <w:rsid w:val="005F0C19"/>
    <w:rsid w:val="005F0CBA"/>
    <w:rsid w:val="005F12ED"/>
    <w:rsid w:val="005F19E6"/>
    <w:rsid w:val="005F2248"/>
    <w:rsid w:val="005F29E6"/>
    <w:rsid w:val="005F31F6"/>
    <w:rsid w:val="005F409A"/>
    <w:rsid w:val="005F447F"/>
    <w:rsid w:val="005F4D6F"/>
    <w:rsid w:val="005F5505"/>
    <w:rsid w:val="005F58BC"/>
    <w:rsid w:val="005F5C40"/>
    <w:rsid w:val="005F5CFA"/>
    <w:rsid w:val="005F620B"/>
    <w:rsid w:val="005F6FFF"/>
    <w:rsid w:val="005F72AB"/>
    <w:rsid w:val="005F7A17"/>
    <w:rsid w:val="0060005A"/>
    <w:rsid w:val="00600FFE"/>
    <w:rsid w:val="006013C0"/>
    <w:rsid w:val="0060179B"/>
    <w:rsid w:val="006018B1"/>
    <w:rsid w:val="00601AFE"/>
    <w:rsid w:val="00601BDD"/>
    <w:rsid w:val="00601C5A"/>
    <w:rsid w:val="006023CE"/>
    <w:rsid w:val="0060362B"/>
    <w:rsid w:val="00603957"/>
    <w:rsid w:val="006050FF"/>
    <w:rsid w:val="00606385"/>
    <w:rsid w:val="006072CD"/>
    <w:rsid w:val="0060798E"/>
    <w:rsid w:val="00607B47"/>
    <w:rsid w:val="00610EDF"/>
    <w:rsid w:val="006118EA"/>
    <w:rsid w:val="00612023"/>
    <w:rsid w:val="006120C6"/>
    <w:rsid w:val="006123BA"/>
    <w:rsid w:val="00612687"/>
    <w:rsid w:val="006128D0"/>
    <w:rsid w:val="00612D65"/>
    <w:rsid w:val="00614190"/>
    <w:rsid w:val="00614E71"/>
    <w:rsid w:val="006156B2"/>
    <w:rsid w:val="00615BA5"/>
    <w:rsid w:val="006164BF"/>
    <w:rsid w:val="0061694B"/>
    <w:rsid w:val="00617104"/>
    <w:rsid w:val="006202B5"/>
    <w:rsid w:val="00621757"/>
    <w:rsid w:val="00622377"/>
    <w:rsid w:val="006228EB"/>
    <w:rsid w:val="00622A99"/>
    <w:rsid w:val="00622E67"/>
    <w:rsid w:val="006247C3"/>
    <w:rsid w:val="00624D6D"/>
    <w:rsid w:val="00625961"/>
    <w:rsid w:val="00626B57"/>
    <w:rsid w:val="00626EDC"/>
    <w:rsid w:val="00627E17"/>
    <w:rsid w:val="00630EA6"/>
    <w:rsid w:val="006311B8"/>
    <w:rsid w:val="006323C6"/>
    <w:rsid w:val="00632633"/>
    <w:rsid w:val="006327EA"/>
    <w:rsid w:val="00632D3C"/>
    <w:rsid w:val="006331E1"/>
    <w:rsid w:val="006340CE"/>
    <w:rsid w:val="006350D6"/>
    <w:rsid w:val="00635E7D"/>
    <w:rsid w:val="0063627F"/>
    <w:rsid w:val="0064066C"/>
    <w:rsid w:val="00640DFC"/>
    <w:rsid w:val="0064122B"/>
    <w:rsid w:val="006413AF"/>
    <w:rsid w:val="00641E63"/>
    <w:rsid w:val="00642B49"/>
    <w:rsid w:val="00642EBD"/>
    <w:rsid w:val="00643698"/>
    <w:rsid w:val="006452D3"/>
    <w:rsid w:val="00646349"/>
    <w:rsid w:val="006470EC"/>
    <w:rsid w:val="00647464"/>
    <w:rsid w:val="006508B4"/>
    <w:rsid w:val="006512A0"/>
    <w:rsid w:val="00651361"/>
    <w:rsid w:val="00651BCC"/>
    <w:rsid w:val="0065322E"/>
    <w:rsid w:val="006538BC"/>
    <w:rsid w:val="006542D6"/>
    <w:rsid w:val="006549B2"/>
    <w:rsid w:val="0065539F"/>
    <w:rsid w:val="0065598E"/>
    <w:rsid w:val="00655AF2"/>
    <w:rsid w:val="00655BC5"/>
    <w:rsid w:val="006568BE"/>
    <w:rsid w:val="00657BD1"/>
    <w:rsid w:val="0066025D"/>
    <w:rsid w:val="006606BB"/>
    <w:rsid w:val="0066091A"/>
    <w:rsid w:val="006610B8"/>
    <w:rsid w:val="00661457"/>
    <w:rsid w:val="00661717"/>
    <w:rsid w:val="006630E4"/>
    <w:rsid w:val="00666CA6"/>
    <w:rsid w:val="00673F28"/>
    <w:rsid w:val="00674DED"/>
    <w:rsid w:val="006768EE"/>
    <w:rsid w:val="00676DF3"/>
    <w:rsid w:val="006773EC"/>
    <w:rsid w:val="006775CE"/>
    <w:rsid w:val="00680504"/>
    <w:rsid w:val="00680763"/>
    <w:rsid w:val="00680F48"/>
    <w:rsid w:val="00681CD9"/>
    <w:rsid w:val="006827A8"/>
    <w:rsid w:val="00683E30"/>
    <w:rsid w:val="00685806"/>
    <w:rsid w:val="0068592B"/>
    <w:rsid w:val="00685A65"/>
    <w:rsid w:val="00685A8F"/>
    <w:rsid w:val="00687024"/>
    <w:rsid w:val="00687066"/>
    <w:rsid w:val="006901DE"/>
    <w:rsid w:val="00693458"/>
    <w:rsid w:val="00693DC2"/>
    <w:rsid w:val="00693FC5"/>
    <w:rsid w:val="00694CA8"/>
    <w:rsid w:val="006956E1"/>
    <w:rsid w:val="00695B65"/>
    <w:rsid w:val="00695E22"/>
    <w:rsid w:val="00697EA6"/>
    <w:rsid w:val="006A1A65"/>
    <w:rsid w:val="006A216B"/>
    <w:rsid w:val="006A23F7"/>
    <w:rsid w:val="006A3313"/>
    <w:rsid w:val="006A419D"/>
    <w:rsid w:val="006A5857"/>
    <w:rsid w:val="006A5F44"/>
    <w:rsid w:val="006A6079"/>
    <w:rsid w:val="006A6366"/>
    <w:rsid w:val="006B0343"/>
    <w:rsid w:val="006B03BE"/>
    <w:rsid w:val="006B167A"/>
    <w:rsid w:val="006B2E7D"/>
    <w:rsid w:val="006B30CD"/>
    <w:rsid w:val="006B3C5D"/>
    <w:rsid w:val="006B4835"/>
    <w:rsid w:val="006B4E6A"/>
    <w:rsid w:val="006B5D4B"/>
    <w:rsid w:val="006B6C3B"/>
    <w:rsid w:val="006B7093"/>
    <w:rsid w:val="006B7417"/>
    <w:rsid w:val="006C23A2"/>
    <w:rsid w:val="006C2F5B"/>
    <w:rsid w:val="006C4BEE"/>
    <w:rsid w:val="006C53DB"/>
    <w:rsid w:val="006D0FE2"/>
    <w:rsid w:val="006D1520"/>
    <w:rsid w:val="006D192D"/>
    <w:rsid w:val="006D24B8"/>
    <w:rsid w:val="006D2CD0"/>
    <w:rsid w:val="006D31F9"/>
    <w:rsid w:val="006D3257"/>
    <w:rsid w:val="006D3691"/>
    <w:rsid w:val="006D38E9"/>
    <w:rsid w:val="006D3D7E"/>
    <w:rsid w:val="006D3EA0"/>
    <w:rsid w:val="006D42D8"/>
    <w:rsid w:val="006D486F"/>
    <w:rsid w:val="006D5477"/>
    <w:rsid w:val="006D5E98"/>
    <w:rsid w:val="006D5FA3"/>
    <w:rsid w:val="006D68F7"/>
    <w:rsid w:val="006D6CDC"/>
    <w:rsid w:val="006D704B"/>
    <w:rsid w:val="006E03E4"/>
    <w:rsid w:val="006E0F68"/>
    <w:rsid w:val="006E1574"/>
    <w:rsid w:val="006E4A0A"/>
    <w:rsid w:val="006E530B"/>
    <w:rsid w:val="006E5EDE"/>
    <w:rsid w:val="006E5EF0"/>
    <w:rsid w:val="006E60A9"/>
    <w:rsid w:val="006F1AD8"/>
    <w:rsid w:val="006F2C7A"/>
    <w:rsid w:val="006F2ED2"/>
    <w:rsid w:val="006F3563"/>
    <w:rsid w:val="006F3A55"/>
    <w:rsid w:val="006F3D2C"/>
    <w:rsid w:val="006F4298"/>
    <w:rsid w:val="006F42B9"/>
    <w:rsid w:val="006F4643"/>
    <w:rsid w:val="006F545E"/>
    <w:rsid w:val="006F5924"/>
    <w:rsid w:val="006F5AB5"/>
    <w:rsid w:val="006F6103"/>
    <w:rsid w:val="006F6431"/>
    <w:rsid w:val="006F7575"/>
    <w:rsid w:val="006F75F2"/>
    <w:rsid w:val="006F7A0E"/>
    <w:rsid w:val="006F7DF0"/>
    <w:rsid w:val="0070000D"/>
    <w:rsid w:val="00700828"/>
    <w:rsid w:val="007015CB"/>
    <w:rsid w:val="0070169E"/>
    <w:rsid w:val="007018B4"/>
    <w:rsid w:val="00702647"/>
    <w:rsid w:val="00703197"/>
    <w:rsid w:val="0070335F"/>
    <w:rsid w:val="007039E7"/>
    <w:rsid w:val="0070412A"/>
    <w:rsid w:val="00704E00"/>
    <w:rsid w:val="0070738F"/>
    <w:rsid w:val="00707DC5"/>
    <w:rsid w:val="00707E26"/>
    <w:rsid w:val="00707F0C"/>
    <w:rsid w:val="00710A27"/>
    <w:rsid w:val="00710B1E"/>
    <w:rsid w:val="00712540"/>
    <w:rsid w:val="007134A7"/>
    <w:rsid w:val="0071490E"/>
    <w:rsid w:val="007159CC"/>
    <w:rsid w:val="00715D06"/>
    <w:rsid w:val="00715D15"/>
    <w:rsid w:val="007163A2"/>
    <w:rsid w:val="00717097"/>
    <w:rsid w:val="007209E7"/>
    <w:rsid w:val="007211AA"/>
    <w:rsid w:val="007228DF"/>
    <w:rsid w:val="007231DD"/>
    <w:rsid w:val="00723204"/>
    <w:rsid w:val="00724236"/>
    <w:rsid w:val="007248D1"/>
    <w:rsid w:val="00724B61"/>
    <w:rsid w:val="00724E1A"/>
    <w:rsid w:val="0072564C"/>
    <w:rsid w:val="007257F5"/>
    <w:rsid w:val="00725EB4"/>
    <w:rsid w:val="00726182"/>
    <w:rsid w:val="007263F9"/>
    <w:rsid w:val="00727635"/>
    <w:rsid w:val="007307EF"/>
    <w:rsid w:val="007308A4"/>
    <w:rsid w:val="007312D5"/>
    <w:rsid w:val="00731577"/>
    <w:rsid w:val="007316F0"/>
    <w:rsid w:val="007317B1"/>
    <w:rsid w:val="00732329"/>
    <w:rsid w:val="007324FF"/>
    <w:rsid w:val="00732B65"/>
    <w:rsid w:val="0073344E"/>
    <w:rsid w:val="0073369F"/>
    <w:rsid w:val="007337CA"/>
    <w:rsid w:val="00734CE4"/>
    <w:rsid w:val="00734EEB"/>
    <w:rsid w:val="00735123"/>
    <w:rsid w:val="00735830"/>
    <w:rsid w:val="0073699E"/>
    <w:rsid w:val="00736F90"/>
    <w:rsid w:val="00740814"/>
    <w:rsid w:val="00740A91"/>
    <w:rsid w:val="0074141D"/>
    <w:rsid w:val="00741837"/>
    <w:rsid w:val="00742C6A"/>
    <w:rsid w:val="007432FB"/>
    <w:rsid w:val="0074395A"/>
    <w:rsid w:val="00743A30"/>
    <w:rsid w:val="007441E9"/>
    <w:rsid w:val="00744717"/>
    <w:rsid w:val="007453E6"/>
    <w:rsid w:val="0074654A"/>
    <w:rsid w:val="00746E56"/>
    <w:rsid w:val="00750236"/>
    <w:rsid w:val="0075023D"/>
    <w:rsid w:val="00750E26"/>
    <w:rsid w:val="00750E78"/>
    <w:rsid w:val="007514B1"/>
    <w:rsid w:val="0075276E"/>
    <w:rsid w:val="00752918"/>
    <w:rsid w:val="00752E23"/>
    <w:rsid w:val="007543E0"/>
    <w:rsid w:val="0075491F"/>
    <w:rsid w:val="0075647E"/>
    <w:rsid w:val="007570AF"/>
    <w:rsid w:val="00760795"/>
    <w:rsid w:val="00761001"/>
    <w:rsid w:val="007615E1"/>
    <w:rsid w:val="007619F1"/>
    <w:rsid w:val="00762439"/>
    <w:rsid w:val="007655DD"/>
    <w:rsid w:val="00765C73"/>
    <w:rsid w:val="00766BEC"/>
    <w:rsid w:val="007670B7"/>
    <w:rsid w:val="00767305"/>
    <w:rsid w:val="00770453"/>
    <w:rsid w:val="00770710"/>
    <w:rsid w:val="007711AF"/>
    <w:rsid w:val="007713E7"/>
    <w:rsid w:val="00771500"/>
    <w:rsid w:val="007715B9"/>
    <w:rsid w:val="00771B2D"/>
    <w:rsid w:val="0077309D"/>
    <w:rsid w:val="007743A7"/>
    <w:rsid w:val="00774E18"/>
    <w:rsid w:val="0077506E"/>
    <w:rsid w:val="007751C8"/>
    <w:rsid w:val="00775497"/>
    <w:rsid w:val="00776FC9"/>
    <w:rsid w:val="00777191"/>
    <w:rsid w:val="007774EE"/>
    <w:rsid w:val="007776EA"/>
    <w:rsid w:val="00777BC3"/>
    <w:rsid w:val="007814AB"/>
    <w:rsid w:val="007814C5"/>
    <w:rsid w:val="00781548"/>
    <w:rsid w:val="00781822"/>
    <w:rsid w:val="00781FD4"/>
    <w:rsid w:val="0078213D"/>
    <w:rsid w:val="00782471"/>
    <w:rsid w:val="00783F21"/>
    <w:rsid w:val="007841B9"/>
    <w:rsid w:val="00784782"/>
    <w:rsid w:val="00784FB3"/>
    <w:rsid w:val="0078589C"/>
    <w:rsid w:val="00785DA3"/>
    <w:rsid w:val="00785EB9"/>
    <w:rsid w:val="00786423"/>
    <w:rsid w:val="00787159"/>
    <w:rsid w:val="0078775A"/>
    <w:rsid w:val="00787828"/>
    <w:rsid w:val="0079043A"/>
    <w:rsid w:val="00791668"/>
    <w:rsid w:val="00791AA1"/>
    <w:rsid w:val="007924F7"/>
    <w:rsid w:val="0079285D"/>
    <w:rsid w:val="007931DE"/>
    <w:rsid w:val="00793501"/>
    <w:rsid w:val="00793D29"/>
    <w:rsid w:val="0079432B"/>
    <w:rsid w:val="00795848"/>
    <w:rsid w:val="0079591B"/>
    <w:rsid w:val="00796B42"/>
    <w:rsid w:val="00797964"/>
    <w:rsid w:val="007A06DC"/>
    <w:rsid w:val="007A072B"/>
    <w:rsid w:val="007A24C6"/>
    <w:rsid w:val="007A2A85"/>
    <w:rsid w:val="007A3793"/>
    <w:rsid w:val="007A491E"/>
    <w:rsid w:val="007A5B7A"/>
    <w:rsid w:val="007A6E74"/>
    <w:rsid w:val="007A7428"/>
    <w:rsid w:val="007A7B61"/>
    <w:rsid w:val="007B0B64"/>
    <w:rsid w:val="007B1749"/>
    <w:rsid w:val="007B2317"/>
    <w:rsid w:val="007B362C"/>
    <w:rsid w:val="007B4EAA"/>
    <w:rsid w:val="007B5616"/>
    <w:rsid w:val="007B5BB4"/>
    <w:rsid w:val="007C10E8"/>
    <w:rsid w:val="007C1BA2"/>
    <w:rsid w:val="007C241D"/>
    <w:rsid w:val="007C2B48"/>
    <w:rsid w:val="007C3293"/>
    <w:rsid w:val="007C3F92"/>
    <w:rsid w:val="007C3FB8"/>
    <w:rsid w:val="007C47A6"/>
    <w:rsid w:val="007C4C3D"/>
    <w:rsid w:val="007C546E"/>
    <w:rsid w:val="007C5552"/>
    <w:rsid w:val="007D16B8"/>
    <w:rsid w:val="007D1D52"/>
    <w:rsid w:val="007D20E9"/>
    <w:rsid w:val="007D2EAA"/>
    <w:rsid w:val="007D340F"/>
    <w:rsid w:val="007D4875"/>
    <w:rsid w:val="007D4C9D"/>
    <w:rsid w:val="007D6C31"/>
    <w:rsid w:val="007D6D32"/>
    <w:rsid w:val="007D75B7"/>
    <w:rsid w:val="007D7881"/>
    <w:rsid w:val="007D7E3A"/>
    <w:rsid w:val="007D7E9D"/>
    <w:rsid w:val="007E00C8"/>
    <w:rsid w:val="007E0974"/>
    <w:rsid w:val="007E0E10"/>
    <w:rsid w:val="007E196C"/>
    <w:rsid w:val="007E27C9"/>
    <w:rsid w:val="007E3152"/>
    <w:rsid w:val="007E3C5C"/>
    <w:rsid w:val="007E43B2"/>
    <w:rsid w:val="007E4768"/>
    <w:rsid w:val="007E481F"/>
    <w:rsid w:val="007E5F43"/>
    <w:rsid w:val="007E67E8"/>
    <w:rsid w:val="007E777B"/>
    <w:rsid w:val="007F178D"/>
    <w:rsid w:val="007F1D55"/>
    <w:rsid w:val="007F2070"/>
    <w:rsid w:val="007F2662"/>
    <w:rsid w:val="007F360A"/>
    <w:rsid w:val="007F3E7D"/>
    <w:rsid w:val="007F49B3"/>
    <w:rsid w:val="007F4C61"/>
    <w:rsid w:val="007F50AB"/>
    <w:rsid w:val="007F5313"/>
    <w:rsid w:val="007F54C6"/>
    <w:rsid w:val="007F63C1"/>
    <w:rsid w:val="007F674F"/>
    <w:rsid w:val="007F706C"/>
    <w:rsid w:val="008004AF"/>
    <w:rsid w:val="00800C5F"/>
    <w:rsid w:val="00802C91"/>
    <w:rsid w:val="008038FE"/>
    <w:rsid w:val="00804848"/>
    <w:rsid w:val="00804AF3"/>
    <w:rsid w:val="008053F5"/>
    <w:rsid w:val="00806E5C"/>
    <w:rsid w:val="0080704F"/>
    <w:rsid w:val="0080773F"/>
    <w:rsid w:val="00807AF7"/>
    <w:rsid w:val="00810198"/>
    <w:rsid w:val="0081109D"/>
    <w:rsid w:val="00811284"/>
    <w:rsid w:val="00811B27"/>
    <w:rsid w:val="00811D6F"/>
    <w:rsid w:val="00811DCB"/>
    <w:rsid w:val="00813984"/>
    <w:rsid w:val="00814BD1"/>
    <w:rsid w:val="00815171"/>
    <w:rsid w:val="00815C19"/>
    <w:rsid w:val="00815DA8"/>
    <w:rsid w:val="00815E7F"/>
    <w:rsid w:val="00816532"/>
    <w:rsid w:val="008179E5"/>
    <w:rsid w:val="00821151"/>
    <w:rsid w:val="0082194D"/>
    <w:rsid w:val="008221F9"/>
    <w:rsid w:val="008227D6"/>
    <w:rsid w:val="00822878"/>
    <w:rsid w:val="00822A3C"/>
    <w:rsid w:val="008234A9"/>
    <w:rsid w:val="0082500D"/>
    <w:rsid w:val="00825048"/>
    <w:rsid w:val="00826EF5"/>
    <w:rsid w:val="0083052C"/>
    <w:rsid w:val="00830FD9"/>
    <w:rsid w:val="00831543"/>
    <w:rsid w:val="00831693"/>
    <w:rsid w:val="00831B3A"/>
    <w:rsid w:val="00831D9F"/>
    <w:rsid w:val="00833006"/>
    <w:rsid w:val="0083369F"/>
    <w:rsid w:val="00837932"/>
    <w:rsid w:val="00837AC0"/>
    <w:rsid w:val="00837FD0"/>
    <w:rsid w:val="00840104"/>
    <w:rsid w:val="00840B90"/>
    <w:rsid w:val="00840C1F"/>
    <w:rsid w:val="008411C9"/>
    <w:rsid w:val="00841A0E"/>
    <w:rsid w:val="00841FC5"/>
    <w:rsid w:val="00843D0F"/>
    <w:rsid w:val="008444CD"/>
    <w:rsid w:val="00844F29"/>
    <w:rsid w:val="00845290"/>
    <w:rsid w:val="008454BC"/>
    <w:rsid w:val="00845709"/>
    <w:rsid w:val="00845E13"/>
    <w:rsid w:val="00847054"/>
    <w:rsid w:val="00847DBE"/>
    <w:rsid w:val="00850C6F"/>
    <w:rsid w:val="00851575"/>
    <w:rsid w:val="008521D8"/>
    <w:rsid w:val="00852552"/>
    <w:rsid w:val="00852750"/>
    <w:rsid w:val="00853522"/>
    <w:rsid w:val="0085402A"/>
    <w:rsid w:val="0085413F"/>
    <w:rsid w:val="00854278"/>
    <w:rsid w:val="00855241"/>
    <w:rsid w:val="008576BD"/>
    <w:rsid w:val="00857C0F"/>
    <w:rsid w:val="00860463"/>
    <w:rsid w:val="00860468"/>
    <w:rsid w:val="00860599"/>
    <w:rsid w:val="00863277"/>
    <w:rsid w:val="0086380D"/>
    <w:rsid w:val="00863C1C"/>
    <w:rsid w:val="008646CF"/>
    <w:rsid w:val="00867024"/>
    <w:rsid w:val="008704D0"/>
    <w:rsid w:val="008706DE"/>
    <w:rsid w:val="0087144B"/>
    <w:rsid w:val="008727AA"/>
    <w:rsid w:val="008733DA"/>
    <w:rsid w:val="00873452"/>
    <w:rsid w:val="00873F77"/>
    <w:rsid w:val="00874E61"/>
    <w:rsid w:val="0087730C"/>
    <w:rsid w:val="0087797F"/>
    <w:rsid w:val="008821E9"/>
    <w:rsid w:val="00882B30"/>
    <w:rsid w:val="00882E1B"/>
    <w:rsid w:val="008839B5"/>
    <w:rsid w:val="008850E4"/>
    <w:rsid w:val="00885B01"/>
    <w:rsid w:val="00885CA6"/>
    <w:rsid w:val="008864AE"/>
    <w:rsid w:val="00886CAE"/>
    <w:rsid w:val="00886CE5"/>
    <w:rsid w:val="00887636"/>
    <w:rsid w:val="008877FF"/>
    <w:rsid w:val="008878EF"/>
    <w:rsid w:val="00887C89"/>
    <w:rsid w:val="0089113B"/>
    <w:rsid w:val="00891601"/>
    <w:rsid w:val="00892BB5"/>
    <w:rsid w:val="00892C02"/>
    <w:rsid w:val="008939AB"/>
    <w:rsid w:val="00893E90"/>
    <w:rsid w:val="008942F0"/>
    <w:rsid w:val="008951BB"/>
    <w:rsid w:val="008958A8"/>
    <w:rsid w:val="00895AF0"/>
    <w:rsid w:val="00895FE8"/>
    <w:rsid w:val="008963FF"/>
    <w:rsid w:val="008964F2"/>
    <w:rsid w:val="00896579"/>
    <w:rsid w:val="00896DF6"/>
    <w:rsid w:val="008970D2"/>
    <w:rsid w:val="0089716D"/>
    <w:rsid w:val="008A0516"/>
    <w:rsid w:val="008A0596"/>
    <w:rsid w:val="008A12F5"/>
    <w:rsid w:val="008A16D6"/>
    <w:rsid w:val="008A1A2C"/>
    <w:rsid w:val="008A333E"/>
    <w:rsid w:val="008A3C17"/>
    <w:rsid w:val="008A4BD1"/>
    <w:rsid w:val="008A50D5"/>
    <w:rsid w:val="008A7C16"/>
    <w:rsid w:val="008A7D51"/>
    <w:rsid w:val="008B0137"/>
    <w:rsid w:val="008B0E34"/>
    <w:rsid w:val="008B0ED9"/>
    <w:rsid w:val="008B1587"/>
    <w:rsid w:val="008B1B01"/>
    <w:rsid w:val="008B1E87"/>
    <w:rsid w:val="008B28B8"/>
    <w:rsid w:val="008B2F90"/>
    <w:rsid w:val="008B3B30"/>
    <w:rsid w:val="008B3BCD"/>
    <w:rsid w:val="008B5DFD"/>
    <w:rsid w:val="008B6911"/>
    <w:rsid w:val="008B6C4D"/>
    <w:rsid w:val="008B6DF8"/>
    <w:rsid w:val="008B7283"/>
    <w:rsid w:val="008C021F"/>
    <w:rsid w:val="008C0FAD"/>
    <w:rsid w:val="008C106C"/>
    <w:rsid w:val="008C10F1"/>
    <w:rsid w:val="008C12B3"/>
    <w:rsid w:val="008C1569"/>
    <w:rsid w:val="008C1827"/>
    <w:rsid w:val="008C1926"/>
    <w:rsid w:val="008C1E99"/>
    <w:rsid w:val="008C21E0"/>
    <w:rsid w:val="008C32F6"/>
    <w:rsid w:val="008C3659"/>
    <w:rsid w:val="008C4A3B"/>
    <w:rsid w:val="008C4FEA"/>
    <w:rsid w:val="008C562B"/>
    <w:rsid w:val="008C66BC"/>
    <w:rsid w:val="008D0A42"/>
    <w:rsid w:val="008D1E7E"/>
    <w:rsid w:val="008D25AA"/>
    <w:rsid w:val="008D474A"/>
    <w:rsid w:val="008D4CFE"/>
    <w:rsid w:val="008D4DDA"/>
    <w:rsid w:val="008D5621"/>
    <w:rsid w:val="008D5767"/>
    <w:rsid w:val="008D5D14"/>
    <w:rsid w:val="008D6989"/>
    <w:rsid w:val="008D75A7"/>
    <w:rsid w:val="008E0067"/>
    <w:rsid w:val="008E0085"/>
    <w:rsid w:val="008E13AA"/>
    <w:rsid w:val="008E14F1"/>
    <w:rsid w:val="008E2AA6"/>
    <w:rsid w:val="008E311B"/>
    <w:rsid w:val="008E55FD"/>
    <w:rsid w:val="008E660D"/>
    <w:rsid w:val="008E677E"/>
    <w:rsid w:val="008F03FA"/>
    <w:rsid w:val="008F1C8C"/>
    <w:rsid w:val="008F1FBB"/>
    <w:rsid w:val="008F2045"/>
    <w:rsid w:val="008F2BE8"/>
    <w:rsid w:val="008F3A8A"/>
    <w:rsid w:val="008F46E7"/>
    <w:rsid w:val="008F4C46"/>
    <w:rsid w:val="008F5709"/>
    <w:rsid w:val="008F5EC3"/>
    <w:rsid w:val="008F6009"/>
    <w:rsid w:val="008F64CA"/>
    <w:rsid w:val="008F6F0B"/>
    <w:rsid w:val="008F7507"/>
    <w:rsid w:val="008F7E4B"/>
    <w:rsid w:val="00902A2F"/>
    <w:rsid w:val="00902CB1"/>
    <w:rsid w:val="00903874"/>
    <w:rsid w:val="0090488F"/>
    <w:rsid w:val="009050C8"/>
    <w:rsid w:val="0090522D"/>
    <w:rsid w:val="00905B69"/>
    <w:rsid w:val="00905D92"/>
    <w:rsid w:val="00907BA7"/>
    <w:rsid w:val="0091024B"/>
    <w:rsid w:val="0091064E"/>
    <w:rsid w:val="0091094D"/>
    <w:rsid w:val="00911619"/>
    <w:rsid w:val="00911CEB"/>
    <w:rsid w:val="00911FC5"/>
    <w:rsid w:val="00912F08"/>
    <w:rsid w:val="00913214"/>
    <w:rsid w:val="0091357A"/>
    <w:rsid w:val="009135ED"/>
    <w:rsid w:val="00914357"/>
    <w:rsid w:val="00914484"/>
    <w:rsid w:val="009164B6"/>
    <w:rsid w:val="00921212"/>
    <w:rsid w:val="0092168C"/>
    <w:rsid w:val="00921952"/>
    <w:rsid w:val="00921DC1"/>
    <w:rsid w:val="00923A25"/>
    <w:rsid w:val="00925C8E"/>
    <w:rsid w:val="009264F7"/>
    <w:rsid w:val="0093021E"/>
    <w:rsid w:val="0093034E"/>
    <w:rsid w:val="00930409"/>
    <w:rsid w:val="00930522"/>
    <w:rsid w:val="00930DB0"/>
    <w:rsid w:val="009315A9"/>
    <w:rsid w:val="009315D0"/>
    <w:rsid w:val="00931A10"/>
    <w:rsid w:val="009332BE"/>
    <w:rsid w:val="009334CE"/>
    <w:rsid w:val="009335C2"/>
    <w:rsid w:val="0093486B"/>
    <w:rsid w:val="0093546A"/>
    <w:rsid w:val="009367AD"/>
    <w:rsid w:val="00936DEF"/>
    <w:rsid w:val="00936FB8"/>
    <w:rsid w:val="009374DA"/>
    <w:rsid w:val="00937F54"/>
    <w:rsid w:val="0094050D"/>
    <w:rsid w:val="00940D22"/>
    <w:rsid w:val="009410A6"/>
    <w:rsid w:val="009410B7"/>
    <w:rsid w:val="00941846"/>
    <w:rsid w:val="009423DD"/>
    <w:rsid w:val="0094256A"/>
    <w:rsid w:val="0094282A"/>
    <w:rsid w:val="0094385F"/>
    <w:rsid w:val="00943D3E"/>
    <w:rsid w:val="00945FE5"/>
    <w:rsid w:val="00946380"/>
    <w:rsid w:val="0094710A"/>
    <w:rsid w:val="009476E1"/>
    <w:rsid w:val="00947967"/>
    <w:rsid w:val="009506DD"/>
    <w:rsid w:val="00951038"/>
    <w:rsid w:val="00952803"/>
    <w:rsid w:val="0095360E"/>
    <w:rsid w:val="00954347"/>
    <w:rsid w:val="00954351"/>
    <w:rsid w:val="009546AB"/>
    <w:rsid w:val="00955201"/>
    <w:rsid w:val="0095668D"/>
    <w:rsid w:val="0095731E"/>
    <w:rsid w:val="00957F1E"/>
    <w:rsid w:val="00960D2B"/>
    <w:rsid w:val="009616D7"/>
    <w:rsid w:val="00961ADF"/>
    <w:rsid w:val="009628BA"/>
    <w:rsid w:val="00963DF8"/>
    <w:rsid w:val="00965200"/>
    <w:rsid w:val="00965497"/>
    <w:rsid w:val="00965704"/>
    <w:rsid w:val="00965A42"/>
    <w:rsid w:val="009660AC"/>
    <w:rsid w:val="009668B3"/>
    <w:rsid w:val="00967499"/>
    <w:rsid w:val="0096757D"/>
    <w:rsid w:val="00970581"/>
    <w:rsid w:val="0097144F"/>
    <w:rsid w:val="00971471"/>
    <w:rsid w:val="00971A30"/>
    <w:rsid w:val="0097449A"/>
    <w:rsid w:val="009744F2"/>
    <w:rsid w:val="009746A9"/>
    <w:rsid w:val="00976706"/>
    <w:rsid w:val="00980AC1"/>
    <w:rsid w:val="00981CD6"/>
    <w:rsid w:val="00982157"/>
    <w:rsid w:val="0098346C"/>
    <w:rsid w:val="00983500"/>
    <w:rsid w:val="009835E7"/>
    <w:rsid w:val="009844C6"/>
    <w:rsid w:val="009849C2"/>
    <w:rsid w:val="00984D24"/>
    <w:rsid w:val="009858EB"/>
    <w:rsid w:val="009862EF"/>
    <w:rsid w:val="009875DF"/>
    <w:rsid w:val="009876D7"/>
    <w:rsid w:val="0098794C"/>
    <w:rsid w:val="00990C2B"/>
    <w:rsid w:val="0099215E"/>
    <w:rsid w:val="009921E1"/>
    <w:rsid w:val="0099315A"/>
    <w:rsid w:val="009934E4"/>
    <w:rsid w:val="00993AA3"/>
    <w:rsid w:val="0099474A"/>
    <w:rsid w:val="00995CA6"/>
    <w:rsid w:val="009968F2"/>
    <w:rsid w:val="0099787F"/>
    <w:rsid w:val="009A0913"/>
    <w:rsid w:val="009A0FA9"/>
    <w:rsid w:val="009A1969"/>
    <w:rsid w:val="009A1E34"/>
    <w:rsid w:val="009A27FB"/>
    <w:rsid w:val="009A28B5"/>
    <w:rsid w:val="009A2C5D"/>
    <w:rsid w:val="009A3120"/>
    <w:rsid w:val="009A3B53"/>
    <w:rsid w:val="009A3F47"/>
    <w:rsid w:val="009A4AA7"/>
    <w:rsid w:val="009A4E59"/>
    <w:rsid w:val="009A6419"/>
    <w:rsid w:val="009B0046"/>
    <w:rsid w:val="009B00A0"/>
    <w:rsid w:val="009B0EE5"/>
    <w:rsid w:val="009B1630"/>
    <w:rsid w:val="009B2429"/>
    <w:rsid w:val="009B2E88"/>
    <w:rsid w:val="009B3824"/>
    <w:rsid w:val="009B38B2"/>
    <w:rsid w:val="009B4FEA"/>
    <w:rsid w:val="009B51DC"/>
    <w:rsid w:val="009B6144"/>
    <w:rsid w:val="009B7EA9"/>
    <w:rsid w:val="009C1440"/>
    <w:rsid w:val="009C1596"/>
    <w:rsid w:val="009C18AD"/>
    <w:rsid w:val="009C1B2C"/>
    <w:rsid w:val="009C2107"/>
    <w:rsid w:val="009C36AA"/>
    <w:rsid w:val="009C3871"/>
    <w:rsid w:val="009C3A52"/>
    <w:rsid w:val="009C49D4"/>
    <w:rsid w:val="009C4EC3"/>
    <w:rsid w:val="009C4F4E"/>
    <w:rsid w:val="009C5D9E"/>
    <w:rsid w:val="009C6140"/>
    <w:rsid w:val="009C6665"/>
    <w:rsid w:val="009C6E9E"/>
    <w:rsid w:val="009C782A"/>
    <w:rsid w:val="009C7BDA"/>
    <w:rsid w:val="009D15D2"/>
    <w:rsid w:val="009D1E8E"/>
    <w:rsid w:val="009D22AE"/>
    <w:rsid w:val="009D26DE"/>
    <w:rsid w:val="009D27EA"/>
    <w:rsid w:val="009D2C3E"/>
    <w:rsid w:val="009D2DAD"/>
    <w:rsid w:val="009D2E4F"/>
    <w:rsid w:val="009D2E50"/>
    <w:rsid w:val="009D3CB4"/>
    <w:rsid w:val="009D3DC1"/>
    <w:rsid w:val="009D5F35"/>
    <w:rsid w:val="009D75C7"/>
    <w:rsid w:val="009E02BA"/>
    <w:rsid w:val="009E0625"/>
    <w:rsid w:val="009E07FD"/>
    <w:rsid w:val="009E105F"/>
    <w:rsid w:val="009E1F00"/>
    <w:rsid w:val="009E3034"/>
    <w:rsid w:val="009E3A08"/>
    <w:rsid w:val="009E4D28"/>
    <w:rsid w:val="009E549F"/>
    <w:rsid w:val="009E5D7C"/>
    <w:rsid w:val="009E62BB"/>
    <w:rsid w:val="009E6731"/>
    <w:rsid w:val="009F1270"/>
    <w:rsid w:val="009F1781"/>
    <w:rsid w:val="009F1C57"/>
    <w:rsid w:val="009F28A8"/>
    <w:rsid w:val="009F3E47"/>
    <w:rsid w:val="009F473E"/>
    <w:rsid w:val="009F4CD7"/>
    <w:rsid w:val="009F5247"/>
    <w:rsid w:val="009F6222"/>
    <w:rsid w:val="009F682A"/>
    <w:rsid w:val="009F693F"/>
    <w:rsid w:val="009F72AD"/>
    <w:rsid w:val="009F72D3"/>
    <w:rsid w:val="00A004EC"/>
    <w:rsid w:val="00A005ED"/>
    <w:rsid w:val="00A00647"/>
    <w:rsid w:val="00A01761"/>
    <w:rsid w:val="00A0194A"/>
    <w:rsid w:val="00A022BE"/>
    <w:rsid w:val="00A034A7"/>
    <w:rsid w:val="00A041DD"/>
    <w:rsid w:val="00A0523E"/>
    <w:rsid w:val="00A053E6"/>
    <w:rsid w:val="00A05892"/>
    <w:rsid w:val="00A05DAC"/>
    <w:rsid w:val="00A06739"/>
    <w:rsid w:val="00A07B4B"/>
    <w:rsid w:val="00A111B9"/>
    <w:rsid w:val="00A1166A"/>
    <w:rsid w:val="00A125B2"/>
    <w:rsid w:val="00A13C70"/>
    <w:rsid w:val="00A14062"/>
    <w:rsid w:val="00A140C7"/>
    <w:rsid w:val="00A1468F"/>
    <w:rsid w:val="00A16BB9"/>
    <w:rsid w:val="00A1775C"/>
    <w:rsid w:val="00A20FCC"/>
    <w:rsid w:val="00A22A63"/>
    <w:rsid w:val="00A22CAB"/>
    <w:rsid w:val="00A22CC7"/>
    <w:rsid w:val="00A22FE2"/>
    <w:rsid w:val="00A24C95"/>
    <w:rsid w:val="00A2509A"/>
    <w:rsid w:val="00A2599A"/>
    <w:rsid w:val="00A25A5B"/>
    <w:rsid w:val="00A25E1D"/>
    <w:rsid w:val="00A26094"/>
    <w:rsid w:val="00A260EA"/>
    <w:rsid w:val="00A26360"/>
    <w:rsid w:val="00A2664A"/>
    <w:rsid w:val="00A27279"/>
    <w:rsid w:val="00A27994"/>
    <w:rsid w:val="00A301BF"/>
    <w:rsid w:val="00A302B2"/>
    <w:rsid w:val="00A30F7B"/>
    <w:rsid w:val="00A31E1D"/>
    <w:rsid w:val="00A331B4"/>
    <w:rsid w:val="00A347AB"/>
    <w:rsid w:val="00A3484E"/>
    <w:rsid w:val="00A35520"/>
    <w:rsid w:val="00A356D3"/>
    <w:rsid w:val="00A35750"/>
    <w:rsid w:val="00A365FE"/>
    <w:rsid w:val="00A36ADA"/>
    <w:rsid w:val="00A37C4D"/>
    <w:rsid w:val="00A40E5F"/>
    <w:rsid w:val="00A41706"/>
    <w:rsid w:val="00A421F8"/>
    <w:rsid w:val="00A42C99"/>
    <w:rsid w:val="00A438D8"/>
    <w:rsid w:val="00A43F95"/>
    <w:rsid w:val="00A44749"/>
    <w:rsid w:val="00A450E6"/>
    <w:rsid w:val="00A4598A"/>
    <w:rsid w:val="00A45AC7"/>
    <w:rsid w:val="00A473F0"/>
    <w:rsid w:val="00A473F5"/>
    <w:rsid w:val="00A4797F"/>
    <w:rsid w:val="00A50115"/>
    <w:rsid w:val="00A51C90"/>
    <w:rsid w:val="00A51F9D"/>
    <w:rsid w:val="00A52782"/>
    <w:rsid w:val="00A52A66"/>
    <w:rsid w:val="00A5416A"/>
    <w:rsid w:val="00A5453D"/>
    <w:rsid w:val="00A54691"/>
    <w:rsid w:val="00A551F4"/>
    <w:rsid w:val="00A55652"/>
    <w:rsid w:val="00A56231"/>
    <w:rsid w:val="00A5681C"/>
    <w:rsid w:val="00A57EB9"/>
    <w:rsid w:val="00A62188"/>
    <w:rsid w:val="00A6318F"/>
    <w:rsid w:val="00A639F4"/>
    <w:rsid w:val="00A64422"/>
    <w:rsid w:val="00A6494C"/>
    <w:rsid w:val="00A64C3D"/>
    <w:rsid w:val="00A65864"/>
    <w:rsid w:val="00A65D31"/>
    <w:rsid w:val="00A65E05"/>
    <w:rsid w:val="00A65FAE"/>
    <w:rsid w:val="00A66007"/>
    <w:rsid w:val="00A666D6"/>
    <w:rsid w:val="00A6677C"/>
    <w:rsid w:val="00A668A6"/>
    <w:rsid w:val="00A67460"/>
    <w:rsid w:val="00A70410"/>
    <w:rsid w:val="00A70C52"/>
    <w:rsid w:val="00A71E0E"/>
    <w:rsid w:val="00A728B5"/>
    <w:rsid w:val="00A73818"/>
    <w:rsid w:val="00A73999"/>
    <w:rsid w:val="00A73C02"/>
    <w:rsid w:val="00A77070"/>
    <w:rsid w:val="00A81A32"/>
    <w:rsid w:val="00A83090"/>
    <w:rsid w:val="00A8337E"/>
    <w:rsid w:val="00A835BD"/>
    <w:rsid w:val="00A83B94"/>
    <w:rsid w:val="00A840A1"/>
    <w:rsid w:val="00A8560D"/>
    <w:rsid w:val="00A859B6"/>
    <w:rsid w:val="00A867E2"/>
    <w:rsid w:val="00A86A5E"/>
    <w:rsid w:val="00A87B44"/>
    <w:rsid w:val="00A909E6"/>
    <w:rsid w:val="00A92910"/>
    <w:rsid w:val="00A96A42"/>
    <w:rsid w:val="00A977FD"/>
    <w:rsid w:val="00A97B15"/>
    <w:rsid w:val="00AA0517"/>
    <w:rsid w:val="00AA1418"/>
    <w:rsid w:val="00AA1903"/>
    <w:rsid w:val="00AA27B2"/>
    <w:rsid w:val="00AA3063"/>
    <w:rsid w:val="00AA3699"/>
    <w:rsid w:val="00AA386B"/>
    <w:rsid w:val="00AA42D5"/>
    <w:rsid w:val="00AA5011"/>
    <w:rsid w:val="00AA5FA6"/>
    <w:rsid w:val="00AA6190"/>
    <w:rsid w:val="00AB178E"/>
    <w:rsid w:val="00AB1885"/>
    <w:rsid w:val="00AB1FF8"/>
    <w:rsid w:val="00AB2BC6"/>
    <w:rsid w:val="00AB2FAB"/>
    <w:rsid w:val="00AB30CF"/>
    <w:rsid w:val="00AB32F4"/>
    <w:rsid w:val="00AB3475"/>
    <w:rsid w:val="00AB371B"/>
    <w:rsid w:val="00AB46E8"/>
    <w:rsid w:val="00AB4D6F"/>
    <w:rsid w:val="00AB53E8"/>
    <w:rsid w:val="00AB57A4"/>
    <w:rsid w:val="00AB5C14"/>
    <w:rsid w:val="00AB6423"/>
    <w:rsid w:val="00AB79C6"/>
    <w:rsid w:val="00AB7F0C"/>
    <w:rsid w:val="00AC19B5"/>
    <w:rsid w:val="00AC1C47"/>
    <w:rsid w:val="00AC1EE7"/>
    <w:rsid w:val="00AC2200"/>
    <w:rsid w:val="00AC2777"/>
    <w:rsid w:val="00AC333F"/>
    <w:rsid w:val="00AC3AF4"/>
    <w:rsid w:val="00AC421C"/>
    <w:rsid w:val="00AC4A74"/>
    <w:rsid w:val="00AC585C"/>
    <w:rsid w:val="00AC5DFE"/>
    <w:rsid w:val="00AC5E97"/>
    <w:rsid w:val="00AC785E"/>
    <w:rsid w:val="00AD0692"/>
    <w:rsid w:val="00AD1925"/>
    <w:rsid w:val="00AD22AD"/>
    <w:rsid w:val="00AD355D"/>
    <w:rsid w:val="00AD44BF"/>
    <w:rsid w:val="00AD48F4"/>
    <w:rsid w:val="00AD543E"/>
    <w:rsid w:val="00AD66F1"/>
    <w:rsid w:val="00AE024F"/>
    <w:rsid w:val="00AE0593"/>
    <w:rsid w:val="00AE067D"/>
    <w:rsid w:val="00AE211A"/>
    <w:rsid w:val="00AE3D6E"/>
    <w:rsid w:val="00AE4CCC"/>
    <w:rsid w:val="00AE6DA1"/>
    <w:rsid w:val="00AE7785"/>
    <w:rsid w:val="00AF070F"/>
    <w:rsid w:val="00AF085F"/>
    <w:rsid w:val="00AF1181"/>
    <w:rsid w:val="00AF130D"/>
    <w:rsid w:val="00AF15AB"/>
    <w:rsid w:val="00AF17C0"/>
    <w:rsid w:val="00AF1E49"/>
    <w:rsid w:val="00AF2580"/>
    <w:rsid w:val="00AF2F37"/>
    <w:rsid w:val="00AF2F79"/>
    <w:rsid w:val="00AF3DE9"/>
    <w:rsid w:val="00AF4653"/>
    <w:rsid w:val="00AF49A3"/>
    <w:rsid w:val="00AF4F0B"/>
    <w:rsid w:val="00AF6A79"/>
    <w:rsid w:val="00AF779F"/>
    <w:rsid w:val="00AF7B6B"/>
    <w:rsid w:val="00AF7DB7"/>
    <w:rsid w:val="00B00021"/>
    <w:rsid w:val="00B02B91"/>
    <w:rsid w:val="00B02D9E"/>
    <w:rsid w:val="00B03AFA"/>
    <w:rsid w:val="00B044D8"/>
    <w:rsid w:val="00B047C3"/>
    <w:rsid w:val="00B05474"/>
    <w:rsid w:val="00B05CAD"/>
    <w:rsid w:val="00B065CB"/>
    <w:rsid w:val="00B07561"/>
    <w:rsid w:val="00B102BC"/>
    <w:rsid w:val="00B10D02"/>
    <w:rsid w:val="00B11276"/>
    <w:rsid w:val="00B1277F"/>
    <w:rsid w:val="00B1332D"/>
    <w:rsid w:val="00B13B08"/>
    <w:rsid w:val="00B15061"/>
    <w:rsid w:val="00B15765"/>
    <w:rsid w:val="00B173E7"/>
    <w:rsid w:val="00B178AF"/>
    <w:rsid w:val="00B179EA"/>
    <w:rsid w:val="00B201E2"/>
    <w:rsid w:val="00B22DA9"/>
    <w:rsid w:val="00B256DA"/>
    <w:rsid w:val="00B26B9B"/>
    <w:rsid w:val="00B26D54"/>
    <w:rsid w:val="00B27308"/>
    <w:rsid w:val="00B273EF"/>
    <w:rsid w:val="00B30704"/>
    <w:rsid w:val="00B30A54"/>
    <w:rsid w:val="00B315B7"/>
    <w:rsid w:val="00B316FA"/>
    <w:rsid w:val="00B32231"/>
    <w:rsid w:val="00B337DA"/>
    <w:rsid w:val="00B344CA"/>
    <w:rsid w:val="00B34619"/>
    <w:rsid w:val="00B358CD"/>
    <w:rsid w:val="00B360A0"/>
    <w:rsid w:val="00B3632F"/>
    <w:rsid w:val="00B36392"/>
    <w:rsid w:val="00B36EEF"/>
    <w:rsid w:val="00B37862"/>
    <w:rsid w:val="00B37CC2"/>
    <w:rsid w:val="00B42EDE"/>
    <w:rsid w:val="00B43F8C"/>
    <w:rsid w:val="00B443E4"/>
    <w:rsid w:val="00B44AF1"/>
    <w:rsid w:val="00B454F5"/>
    <w:rsid w:val="00B45C61"/>
    <w:rsid w:val="00B46095"/>
    <w:rsid w:val="00B460EB"/>
    <w:rsid w:val="00B462C3"/>
    <w:rsid w:val="00B470B0"/>
    <w:rsid w:val="00B501C6"/>
    <w:rsid w:val="00B51A8B"/>
    <w:rsid w:val="00B51E6C"/>
    <w:rsid w:val="00B523CC"/>
    <w:rsid w:val="00B533B3"/>
    <w:rsid w:val="00B54243"/>
    <w:rsid w:val="00B5484D"/>
    <w:rsid w:val="00B54A80"/>
    <w:rsid w:val="00B55984"/>
    <w:rsid w:val="00B563EA"/>
    <w:rsid w:val="00B56CDF"/>
    <w:rsid w:val="00B56F94"/>
    <w:rsid w:val="00B57B22"/>
    <w:rsid w:val="00B60E51"/>
    <w:rsid w:val="00B620A9"/>
    <w:rsid w:val="00B63A54"/>
    <w:rsid w:val="00B63F13"/>
    <w:rsid w:val="00B6466C"/>
    <w:rsid w:val="00B6469C"/>
    <w:rsid w:val="00B6596F"/>
    <w:rsid w:val="00B65C1B"/>
    <w:rsid w:val="00B65D19"/>
    <w:rsid w:val="00B65E76"/>
    <w:rsid w:val="00B7277D"/>
    <w:rsid w:val="00B72D77"/>
    <w:rsid w:val="00B75A8D"/>
    <w:rsid w:val="00B765F2"/>
    <w:rsid w:val="00B768EF"/>
    <w:rsid w:val="00B76D17"/>
    <w:rsid w:val="00B777ED"/>
    <w:rsid w:val="00B77D18"/>
    <w:rsid w:val="00B81000"/>
    <w:rsid w:val="00B81BC1"/>
    <w:rsid w:val="00B81C59"/>
    <w:rsid w:val="00B8313A"/>
    <w:rsid w:val="00B83347"/>
    <w:rsid w:val="00B83ACD"/>
    <w:rsid w:val="00B83BA0"/>
    <w:rsid w:val="00B83CAE"/>
    <w:rsid w:val="00B85DFE"/>
    <w:rsid w:val="00B8626C"/>
    <w:rsid w:val="00B86344"/>
    <w:rsid w:val="00B8676D"/>
    <w:rsid w:val="00B86BB1"/>
    <w:rsid w:val="00B90548"/>
    <w:rsid w:val="00B90580"/>
    <w:rsid w:val="00B906C3"/>
    <w:rsid w:val="00B91EA1"/>
    <w:rsid w:val="00B928C9"/>
    <w:rsid w:val="00B93503"/>
    <w:rsid w:val="00B93981"/>
    <w:rsid w:val="00B93D2C"/>
    <w:rsid w:val="00B94B74"/>
    <w:rsid w:val="00B95607"/>
    <w:rsid w:val="00B95A59"/>
    <w:rsid w:val="00BA184D"/>
    <w:rsid w:val="00BA1F8C"/>
    <w:rsid w:val="00BA2719"/>
    <w:rsid w:val="00BA272D"/>
    <w:rsid w:val="00BA2B78"/>
    <w:rsid w:val="00BA2F4D"/>
    <w:rsid w:val="00BA300C"/>
    <w:rsid w:val="00BA31E8"/>
    <w:rsid w:val="00BA3F7C"/>
    <w:rsid w:val="00BA42E2"/>
    <w:rsid w:val="00BA55E0"/>
    <w:rsid w:val="00BA67E9"/>
    <w:rsid w:val="00BA6BD4"/>
    <w:rsid w:val="00BA6C7A"/>
    <w:rsid w:val="00BA7223"/>
    <w:rsid w:val="00BA78EC"/>
    <w:rsid w:val="00BA797E"/>
    <w:rsid w:val="00BB16AE"/>
    <w:rsid w:val="00BB17D1"/>
    <w:rsid w:val="00BB2173"/>
    <w:rsid w:val="00BB23B9"/>
    <w:rsid w:val="00BB2495"/>
    <w:rsid w:val="00BB289F"/>
    <w:rsid w:val="00BB2A70"/>
    <w:rsid w:val="00BB3752"/>
    <w:rsid w:val="00BB38D8"/>
    <w:rsid w:val="00BB437D"/>
    <w:rsid w:val="00BB4843"/>
    <w:rsid w:val="00BB49F2"/>
    <w:rsid w:val="00BB4B3F"/>
    <w:rsid w:val="00BB50AC"/>
    <w:rsid w:val="00BB5206"/>
    <w:rsid w:val="00BB5259"/>
    <w:rsid w:val="00BB5522"/>
    <w:rsid w:val="00BB5F72"/>
    <w:rsid w:val="00BB6688"/>
    <w:rsid w:val="00BB780E"/>
    <w:rsid w:val="00BB7848"/>
    <w:rsid w:val="00BB7F3D"/>
    <w:rsid w:val="00BC0201"/>
    <w:rsid w:val="00BC26D4"/>
    <w:rsid w:val="00BC2B89"/>
    <w:rsid w:val="00BC2F78"/>
    <w:rsid w:val="00BC2FB3"/>
    <w:rsid w:val="00BC3096"/>
    <w:rsid w:val="00BC350C"/>
    <w:rsid w:val="00BC3A17"/>
    <w:rsid w:val="00BC47A0"/>
    <w:rsid w:val="00BC487D"/>
    <w:rsid w:val="00BC5991"/>
    <w:rsid w:val="00BC5AE7"/>
    <w:rsid w:val="00BC6A73"/>
    <w:rsid w:val="00BC7738"/>
    <w:rsid w:val="00BC7CFD"/>
    <w:rsid w:val="00BD05AB"/>
    <w:rsid w:val="00BD0E55"/>
    <w:rsid w:val="00BD2BBE"/>
    <w:rsid w:val="00BD4201"/>
    <w:rsid w:val="00BD4830"/>
    <w:rsid w:val="00BD4EC9"/>
    <w:rsid w:val="00BD4F3B"/>
    <w:rsid w:val="00BD4F7D"/>
    <w:rsid w:val="00BD6536"/>
    <w:rsid w:val="00BD65E7"/>
    <w:rsid w:val="00BD6D4D"/>
    <w:rsid w:val="00BD6DDA"/>
    <w:rsid w:val="00BE07E6"/>
    <w:rsid w:val="00BE0969"/>
    <w:rsid w:val="00BE0C80"/>
    <w:rsid w:val="00BE1351"/>
    <w:rsid w:val="00BE1BD1"/>
    <w:rsid w:val="00BE2B3F"/>
    <w:rsid w:val="00BE2B95"/>
    <w:rsid w:val="00BE35B6"/>
    <w:rsid w:val="00BE581F"/>
    <w:rsid w:val="00BE6CFF"/>
    <w:rsid w:val="00BE77F5"/>
    <w:rsid w:val="00BE7EEB"/>
    <w:rsid w:val="00BF0BC1"/>
    <w:rsid w:val="00BF0F51"/>
    <w:rsid w:val="00BF14D5"/>
    <w:rsid w:val="00BF188F"/>
    <w:rsid w:val="00BF1B7F"/>
    <w:rsid w:val="00BF2649"/>
    <w:rsid w:val="00BF2A42"/>
    <w:rsid w:val="00BF33C7"/>
    <w:rsid w:val="00BF349F"/>
    <w:rsid w:val="00BF34FC"/>
    <w:rsid w:val="00BF38D7"/>
    <w:rsid w:val="00BF41E0"/>
    <w:rsid w:val="00BF4D3E"/>
    <w:rsid w:val="00BF6172"/>
    <w:rsid w:val="00BF6CD7"/>
    <w:rsid w:val="00BF6EBE"/>
    <w:rsid w:val="00BF7617"/>
    <w:rsid w:val="00BF7827"/>
    <w:rsid w:val="00C00013"/>
    <w:rsid w:val="00C0009C"/>
    <w:rsid w:val="00C010E7"/>
    <w:rsid w:val="00C012B1"/>
    <w:rsid w:val="00C01BC1"/>
    <w:rsid w:val="00C025CF"/>
    <w:rsid w:val="00C02991"/>
    <w:rsid w:val="00C029E1"/>
    <w:rsid w:val="00C0311A"/>
    <w:rsid w:val="00C03D8C"/>
    <w:rsid w:val="00C04248"/>
    <w:rsid w:val="00C04995"/>
    <w:rsid w:val="00C04E3B"/>
    <w:rsid w:val="00C0500F"/>
    <w:rsid w:val="00C0524C"/>
    <w:rsid w:val="00C054F1"/>
    <w:rsid w:val="00C055EC"/>
    <w:rsid w:val="00C05A7F"/>
    <w:rsid w:val="00C05B70"/>
    <w:rsid w:val="00C07119"/>
    <w:rsid w:val="00C075EB"/>
    <w:rsid w:val="00C077EE"/>
    <w:rsid w:val="00C07983"/>
    <w:rsid w:val="00C108DF"/>
    <w:rsid w:val="00C109B2"/>
    <w:rsid w:val="00C10DC9"/>
    <w:rsid w:val="00C11562"/>
    <w:rsid w:val="00C11865"/>
    <w:rsid w:val="00C11887"/>
    <w:rsid w:val="00C11FEF"/>
    <w:rsid w:val="00C120F6"/>
    <w:rsid w:val="00C12474"/>
    <w:rsid w:val="00C12889"/>
    <w:rsid w:val="00C12FB3"/>
    <w:rsid w:val="00C13763"/>
    <w:rsid w:val="00C13D5D"/>
    <w:rsid w:val="00C1598B"/>
    <w:rsid w:val="00C15A8A"/>
    <w:rsid w:val="00C15DF6"/>
    <w:rsid w:val="00C16DFD"/>
    <w:rsid w:val="00C17341"/>
    <w:rsid w:val="00C17411"/>
    <w:rsid w:val="00C1775C"/>
    <w:rsid w:val="00C2085B"/>
    <w:rsid w:val="00C21033"/>
    <w:rsid w:val="00C219F0"/>
    <w:rsid w:val="00C22195"/>
    <w:rsid w:val="00C223CA"/>
    <w:rsid w:val="00C22500"/>
    <w:rsid w:val="00C23618"/>
    <w:rsid w:val="00C23636"/>
    <w:rsid w:val="00C23F77"/>
    <w:rsid w:val="00C2429D"/>
    <w:rsid w:val="00C24EEF"/>
    <w:rsid w:val="00C25CF6"/>
    <w:rsid w:val="00C260D1"/>
    <w:rsid w:val="00C2691D"/>
    <w:rsid w:val="00C26BA7"/>
    <w:rsid w:val="00C26C36"/>
    <w:rsid w:val="00C26D60"/>
    <w:rsid w:val="00C300DF"/>
    <w:rsid w:val="00C30966"/>
    <w:rsid w:val="00C3153E"/>
    <w:rsid w:val="00C31630"/>
    <w:rsid w:val="00C31778"/>
    <w:rsid w:val="00C32768"/>
    <w:rsid w:val="00C327E2"/>
    <w:rsid w:val="00C32EBC"/>
    <w:rsid w:val="00C33D88"/>
    <w:rsid w:val="00C35C6E"/>
    <w:rsid w:val="00C35FF4"/>
    <w:rsid w:val="00C36D51"/>
    <w:rsid w:val="00C3753A"/>
    <w:rsid w:val="00C40265"/>
    <w:rsid w:val="00C406E6"/>
    <w:rsid w:val="00C4076B"/>
    <w:rsid w:val="00C407E4"/>
    <w:rsid w:val="00C409B2"/>
    <w:rsid w:val="00C40C35"/>
    <w:rsid w:val="00C42079"/>
    <w:rsid w:val="00C42CC4"/>
    <w:rsid w:val="00C42D75"/>
    <w:rsid w:val="00C43143"/>
    <w:rsid w:val="00C431DF"/>
    <w:rsid w:val="00C43628"/>
    <w:rsid w:val="00C453A2"/>
    <w:rsid w:val="00C456BD"/>
    <w:rsid w:val="00C460B3"/>
    <w:rsid w:val="00C46284"/>
    <w:rsid w:val="00C530DC"/>
    <w:rsid w:val="00C5350D"/>
    <w:rsid w:val="00C54256"/>
    <w:rsid w:val="00C54369"/>
    <w:rsid w:val="00C56000"/>
    <w:rsid w:val="00C5688E"/>
    <w:rsid w:val="00C5698E"/>
    <w:rsid w:val="00C57AD8"/>
    <w:rsid w:val="00C6123C"/>
    <w:rsid w:val="00C6311A"/>
    <w:rsid w:val="00C66215"/>
    <w:rsid w:val="00C6689D"/>
    <w:rsid w:val="00C66A69"/>
    <w:rsid w:val="00C67B7C"/>
    <w:rsid w:val="00C7000B"/>
    <w:rsid w:val="00C7084D"/>
    <w:rsid w:val="00C70D01"/>
    <w:rsid w:val="00C718D4"/>
    <w:rsid w:val="00C71B8A"/>
    <w:rsid w:val="00C7240E"/>
    <w:rsid w:val="00C7315E"/>
    <w:rsid w:val="00C73214"/>
    <w:rsid w:val="00C74014"/>
    <w:rsid w:val="00C740E5"/>
    <w:rsid w:val="00C74363"/>
    <w:rsid w:val="00C75310"/>
    <w:rsid w:val="00C75895"/>
    <w:rsid w:val="00C75960"/>
    <w:rsid w:val="00C7659F"/>
    <w:rsid w:val="00C77E8F"/>
    <w:rsid w:val="00C80901"/>
    <w:rsid w:val="00C82E12"/>
    <w:rsid w:val="00C83C9F"/>
    <w:rsid w:val="00C840F8"/>
    <w:rsid w:val="00C84838"/>
    <w:rsid w:val="00C85E9C"/>
    <w:rsid w:val="00C87BC8"/>
    <w:rsid w:val="00C902A9"/>
    <w:rsid w:val="00C9142D"/>
    <w:rsid w:val="00C92834"/>
    <w:rsid w:val="00C93ACF"/>
    <w:rsid w:val="00C9400A"/>
    <w:rsid w:val="00C94519"/>
    <w:rsid w:val="00C94840"/>
    <w:rsid w:val="00C94BCC"/>
    <w:rsid w:val="00C94F2E"/>
    <w:rsid w:val="00C95240"/>
    <w:rsid w:val="00C96DAB"/>
    <w:rsid w:val="00C971D7"/>
    <w:rsid w:val="00C97BE4"/>
    <w:rsid w:val="00CA05C9"/>
    <w:rsid w:val="00CA153A"/>
    <w:rsid w:val="00CA2CEE"/>
    <w:rsid w:val="00CA2F1B"/>
    <w:rsid w:val="00CA30EE"/>
    <w:rsid w:val="00CA3822"/>
    <w:rsid w:val="00CA464F"/>
    <w:rsid w:val="00CA4ADA"/>
    <w:rsid w:val="00CA4C0D"/>
    <w:rsid w:val="00CA4EE3"/>
    <w:rsid w:val="00CA5029"/>
    <w:rsid w:val="00CA5FF9"/>
    <w:rsid w:val="00CA648E"/>
    <w:rsid w:val="00CA74AC"/>
    <w:rsid w:val="00CB027F"/>
    <w:rsid w:val="00CB135D"/>
    <w:rsid w:val="00CB22ED"/>
    <w:rsid w:val="00CB30BE"/>
    <w:rsid w:val="00CB4A4C"/>
    <w:rsid w:val="00CB4C05"/>
    <w:rsid w:val="00CB54A1"/>
    <w:rsid w:val="00CB56E4"/>
    <w:rsid w:val="00CB6B30"/>
    <w:rsid w:val="00CB7AB4"/>
    <w:rsid w:val="00CC0B79"/>
    <w:rsid w:val="00CC0EBB"/>
    <w:rsid w:val="00CC1750"/>
    <w:rsid w:val="00CC2AF7"/>
    <w:rsid w:val="00CC3110"/>
    <w:rsid w:val="00CC3B7F"/>
    <w:rsid w:val="00CC408E"/>
    <w:rsid w:val="00CC5E2F"/>
    <w:rsid w:val="00CC6169"/>
    <w:rsid w:val="00CC61EA"/>
    <w:rsid w:val="00CC6264"/>
    <w:rsid w:val="00CC6297"/>
    <w:rsid w:val="00CC6A56"/>
    <w:rsid w:val="00CC7690"/>
    <w:rsid w:val="00CD1986"/>
    <w:rsid w:val="00CD2032"/>
    <w:rsid w:val="00CD236B"/>
    <w:rsid w:val="00CD3813"/>
    <w:rsid w:val="00CD4368"/>
    <w:rsid w:val="00CD449E"/>
    <w:rsid w:val="00CD48F7"/>
    <w:rsid w:val="00CD4F16"/>
    <w:rsid w:val="00CD54BF"/>
    <w:rsid w:val="00CD66F4"/>
    <w:rsid w:val="00CD79AD"/>
    <w:rsid w:val="00CE040F"/>
    <w:rsid w:val="00CE18D7"/>
    <w:rsid w:val="00CE20AF"/>
    <w:rsid w:val="00CE2C4A"/>
    <w:rsid w:val="00CE30EE"/>
    <w:rsid w:val="00CE3CCE"/>
    <w:rsid w:val="00CE3E7A"/>
    <w:rsid w:val="00CE4D5C"/>
    <w:rsid w:val="00CE6003"/>
    <w:rsid w:val="00CE7F44"/>
    <w:rsid w:val="00CF05DA"/>
    <w:rsid w:val="00CF0A40"/>
    <w:rsid w:val="00CF0B0E"/>
    <w:rsid w:val="00CF1F28"/>
    <w:rsid w:val="00CF20D5"/>
    <w:rsid w:val="00CF2CA6"/>
    <w:rsid w:val="00CF31B7"/>
    <w:rsid w:val="00CF4CDD"/>
    <w:rsid w:val="00CF58EB"/>
    <w:rsid w:val="00CF5DC4"/>
    <w:rsid w:val="00CF6F86"/>
    <w:rsid w:val="00CF6FEC"/>
    <w:rsid w:val="00CF772F"/>
    <w:rsid w:val="00D006C8"/>
    <w:rsid w:val="00D00B36"/>
    <w:rsid w:val="00D00C54"/>
    <w:rsid w:val="00D0106E"/>
    <w:rsid w:val="00D01A57"/>
    <w:rsid w:val="00D02865"/>
    <w:rsid w:val="00D02DB4"/>
    <w:rsid w:val="00D034FC"/>
    <w:rsid w:val="00D040E3"/>
    <w:rsid w:val="00D044FA"/>
    <w:rsid w:val="00D04C98"/>
    <w:rsid w:val="00D06383"/>
    <w:rsid w:val="00D14472"/>
    <w:rsid w:val="00D147FC"/>
    <w:rsid w:val="00D153EF"/>
    <w:rsid w:val="00D1635E"/>
    <w:rsid w:val="00D1711C"/>
    <w:rsid w:val="00D17539"/>
    <w:rsid w:val="00D203F7"/>
    <w:rsid w:val="00D20E85"/>
    <w:rsid w:val="00D22632"/>
    <w:rsid w:val="00D230AD"/>
    <w:rsid w:val="00D23CAB"/>
    <w:rsid w:val="00D24615"/>
    <w:rsid w:val="00D264EB"/>
    <w:rsid w:val="00D27B2D"/>
    <w:rsid w:val="00D27E49"/>
    <w:rsid w:val="00D3065C"/>
    <w:rsid w:val="00D30BC3"/>
    <w:rsid w:val="00D315B6"/>
    <w:rsid w:val="00D32CBD"/>
    <w:rsid w:val="00D33E65"/>
    <w:rsid w:val="00D33E70"/>
    <w:rsid w:val="00D33F96"/>
    <w:rsid w:val="00D34D6B"/>
    <w:rsid w:val="00D34EB4"/>
    <w:rsid w:val="00D3593C"/>
    <w:rsid w:val="00D35B47"/>
    <w:rsid w:val="00D37842"/>
    <w:rsid w:val="00D3799B"/>
    <w:rsid w:val="00D4098C"/>
    <w:rsid w:val="00D417D3"/>
    <w:rsid w:val="00D42A98"/>
    <w:rsid w:val="00D42DC2"/>
    <w:rsid w:val="00D42FCD"/>
    <w:rsid w:val="00D4302B"/>
    <w:rsid w:val="00D432EE"/>
    <w:rsid w:val="00D4474D"/>
    <w:rsid w:val="00D45E2B"/>
    <w:rsid w:val="00D46177"/>
    <w:rsid w:val="00D46549"/>
    <w:rsid w:val="00D46E3B"/>
    <w:rsid w:val="00D4776E"/>
    <w:rsid w:val="00D4797B"/>
    <w:rsid w:val="00D50587"/>
    <w:rsid w:val="00D50829"/>
    <w:rsid w:val="00D51A0B"/>
    <w:rsid w:val="00D522F4"/>
    <w:rsid w:val="00D526E0"/>
    <w:rsid w:val="00D537E1"/>
    <w:rsid w:val="00D541DE"/>
    <w:rsid w:val="00D55AAE"/>
    <w:rsid w:val="00D55BB2"/>
    <w:rsid w:val="00D6091A"/>
    <w:rsid w:val="00D60D15"/>
    <w:rsid w:val="00D62EF9"/>
    <w:rsid w:val="00D63C95"/>
    <w:rsid w:val="00D64798"/>
    <w:rsid w:val="00D64C8A"/>
    <w:rsid w:val="00D6605A"/>
    <w:rsid w:val="00D6695F"/>
    <w:rsid w:val="00D71123"/>
    <w:rsid w:val="00D71D48"/>
    <w:rsid w:val="00D71D62"/>
    <w:rsid w:val="00D71E9D"/>
    <w:rsid w:val="00D722B5"/>
    <w:rsid w:val="00D72733"/>
    <w:rsid w:val="00D72D0E"/>
    <w:rsid w:val="00D748AF"/>
    <w:rsid w:val="00D74A0E"/>
    <w:rsid w:val="00D74E7A"/>
    <w:rsid w:val="00D74E95"/>
    <w:rsid w:val="00D754B1"/>
    <w:rsid w:val="00D75644"/>
    <w:rsid w:val="00D761B7"/>
    <w:rsid w:val="00D76BE9"/>
    <w:rsid w:val="00D76E36"/>
    <w:rsid w:val="00D81656"/>
    <w:rsid w:val="00D817FD"/>
    <w:rsid w:val="00D81945"/>
    <w:rsid w:val="00D82235"/>
    <w:rsid w:val="00D824A7"/>
    <w:rsid w:val="00D82E27"/>
    <w:rsid w:val="00D83D87"/>
    <w:rsid w:val="00D845D5"/>
    <w:rsid w:val="00D84A6D"/>
    <w:rsid w:val="00D84B9E"/>
    <w:rsid w:val="00D854A7"/>
    <w:rsid w:val="00D8594D"/>
    <w:rsid w:val="00D85FE5"/>
    <w:rsid w:val="00D86A30"/>
    <w:rsid w:val="00D87DF1"/>
    <w:rsid w:val="00D907D2"/>
    <w:rsid w:val="00D90880"/>
    <w:rsid w:val="00D90C25"/>
    <w:rsid w:val="00D9156F"/>
    <w:rsid w:val="00D91AE7"/>
    <w:rsid w:val="00D92B8D"/>
    <w:rsid w:val="00D92EB0"/>
    <w:rsid w:val="00D93988"/>
    <w:rsid w:val="00D94B8D"/>
    <w:rsid w:val="00D94E4F"/>
    <w:rsid w:val="00D95636"/>
    <w:rsid w:val="00D9587F"/>
    <w:rsid w:val="00D95AEA"/>
    <w:rsid w:val="00D96911"/>
    <w:rsid w:val="00D9732C"/>
    <w:rsid w:val="00D97CB4"/>
    <w:rsid w:val="00D97DD4"/>
    <w:rsid w:val="00DA080D"/>
    <w:rsid w:val="00DA1135"/>
    <w:rsid w:val="00DA3749"/>
    <w:rsid w:val="00DA3850"/>
    <w:rsid w:val="00DA4104"/>
    <w:rsid w:val="00DA4748"/>
    <w:rsid w:val="00DA4D84"/>
    <w:rsid w:val="00DA5238"/>
    <w:rsid w:val="00DA5A8A"/>
    <w:rsid w:val="00DA6CFF"/>
    <w:rsid w:val="00DA6D25"/>
    <w:rsid w:val="00DA71EB"/>
    <w:rsid w:val="00DB07B5"/>
    <w:rsid w:val="00DB0CC6"/>
    <w:rsid w:val="00DB1170"/>
    <w:rsid w:val="00DB13E6"/>
    <w:rsid w:val="00DB26CD"/>
    <w:rsid w:val="00DB2BA2"/>
    <w:rsid w:val="00DB2C27"/>
    <w:rsid w:val="00DB353D"/>
    <w:rsid w:val="00DB3800"/>
    <w:rsid w:val="00DB3C20"/>
    <w:rsid w:val="00DB441C"/>
    <w:rsid w:val="00DB44AF"/>
    <w:rsid w:val="00DB4781"/>
    <w:rsid w:val="00DB5070"/>
    <w:rsid w:val="00DB520C"/>
    <w:rsid w:val="00DB7E5E"/>
    <w:rsid w:val="00DC1F58"/>
    <w:rsid w:val="00DC1FF2"/>
    <w:rsid w:val="00DC339B"/>
    <w:rsid w:val="00DC4117"/>
    <w:rsid w:val="00DC5D34"/>
    <w:rsid w:val="00DC5D40"/>
    <w:rsid w:val="00DC69A7"/>
    <w:rsid w:val="00DD2FE7"/>
    <w:rsid w:val="00DD30E9"/>
    <w:rsid w:val="00DD4A2C"/>
    <w:rsid w:val="00DD4CA3"/>
    <w:rsid w:val="00DD4F47"/>
    <w:rsid w:val="00DD5A3E"/>
    <w:rsid w:val="00DD63E1"/>
    <w:rsid w:val="00DD6E49"/>
    <w:rsid w:val="00DD6FA7"/>
    <w:rsid w:val="00DD7828"/>
    <w:rsid w:val="00DD7FBB"/>
    <w:rsid w:val="00DE0B9F"/>
    <w:rsid w:val="00DE1021"/>
    <w:rsid w:val="00DE1611"/>
    <w:rsid w:val="00DE1E49"/>
    <w:rsid w:val="00DE2A9E"/>
    <w:rsid w:val="00DE385E"/>
    <w:rsid w:val="00DE41FE"/>
    <w:rsid w:val="00DE4238"/>
    <w:rsid w:val="00DE4496"/>
    <w:rsid w:val="00DE4FE9"/>
    <w:rsid w:val="00DE5FCA"/>
    <w:rsid w:val="00DE657F"/>
    <w:rsid w:val="00DE67FF"/>
    <w:rsid w:val="00DF0B38"/>
    <w:rsid w:val="00DF0B82"/>
    <w:rsid w:val="00DF1218"/>
    <w:rsid w:val="00DF1721"/>
    <w:rsid w:val="00DF1C2F"/>
    <w:rsid w:val="00DF2DCB"/>
    <w:rsid w:val="00DF45B8"/>
    <w:rsid w:val="00DF498A"/>
    <w:rsid w:val="00DF4CF7"/>
    <w:rsid w:val="00DF4ECA"/>
    <w:rsid w:val="00DF58ED"/>
    <w:rsid w:val="00DF6450"/>
    <w:rsid w:val="00DF6462"/>
    <w:rsid w:val="00DF6D8D"/>
    <w:rsid w:val="00DF6FB2"/>
    <w:rsid w:val="00DF74EC"/>
    <w:rsid w:val="00E007DF"/>
    <w:rsid w:val="00E00875"/>
    <w:rsid w:val="00E01E81"/>
    <w:rsid w:val="00E022CD"/>
    <w:rsid w:val="00E02FA0"/>
    <w:rsid w:val="00E036DC"/>
    <w:rsid w:val="00E03D05"/>
    <w:rsid w:val="00E04792"/>
    <w:rsid w:val="00E0534B"/>
    <w:rsid w:val="00E05E24"/>
    <w:rsid w:val="00E075B5"/>
    <w:rsid w:val="00E07A2D"/>
    <w:rsid w:val="00E07C76"/>
    <w:rsid w:val="00E07CAE"/>
    <w:rsid w:val="00E07E9E"/>
    <w:rsid w:val="00E10454"/>
    <w:rsid w:val="00E112E5"/>
    <w:rsid w:val="00E11B2B"/>
    <w:rsid w:val="00E122D8"/>
    <w:rsid w:val="00E127E2"/>
    <w:rsid w:val="00E12C28"/>
    <w:rsid w:val="00E12CC8"/>
    <w:rsid w:val="00E142E1"/>
    <w:rsid w:val="00E14773"/>
    <w:rsid w:val="00E15352"/>
    <w:rsid w:val="00E1585E"/>
    <w:rsid w:val="00E15B7A"/>
    <w:rsid w:val="00E15C43"/>
    <w:rsid w:val="00E16597"/>
    <w:rsid w:val="00E165DD"/>
    <w:rsid w:val="00E175F5"/>
    <w:rsid w:val="00E17F15"/>
    <w:rsid w:val="00E20C7E"/>
    <w:rsid w:val="00E21566"/>
    <w:rsid w:val="00E21CC7"/>
    <w:rsid w:val="00E222AB"/>
    <w:rsid w:val="00E22F10"/>
    <w:rsid w:val="00E23919"/>
    <w:rsid w:val="00E23D0A"/>
    <w:rsid w:val="00E23E5F"/>
    <w:rsid w:val="00E2457F"/>
    <w:rsid w:val="00E24D9E"/>
    <w:rsid w:val="00E25849"/>
    <w:rsid w:val="00E26639"/>
    <w:rsid w:val="00E30BE0"/>
    <w:rsid w:val="00E30E7F"/>
    <w:rsid w:val="00E314C2"/>
    <w:rsid w:val="00E3197E"/>
    <w:rsid w:val="00E31D7D"/>
    <w:rsid w:val="00E324C4"/>
    <w:rsid w:val="00E33F35"/>
    <w:rsid w:val="00E3405C"/>
    <w:rsid w:val="00E342F8"/>
    <w:rsid w:val="00E34576"/>
    <w:rsid w:val="00E348DB"/>
    <w:rsid w:val="00E34DC1"/>
    <w:rsid w:val="00E351ED"/>
    <w:rsid w:val="00E35CA3"/>
    <w:rsid w:val="00E366DC"/>
    <w:rsid w:val="00E36799"/>
    <w:rsid w:val="00E37A95"/>
    <w:rsid w:val="00E40571"/>
    <w:rsid w:val="00E4124E"/>
    <w:rsid w:val="00E41A93"/>
    <w:rsid w:val="00E41DC1"/>
    <w:rsid w:val="00E41EAE"/>
    <w:rsid w:val="00E42B19"/>
    <w:rsid w:val="00E43CA4"/>
    <w:rsid w:val="00E443FD"/>
    <w:rsid w:val="00E448C9"/>
    <w:rsid w:val="00E45086"/>
    <w:rsid w:val="00E45A63"/>
    <w:rsid w:val="00E45BF2"/>
    <w:rsid w:val="00E461B0"/>
    <w:rsid w:val="00E46A8F"/>
    <w:rsid w:val="00E47582"/>
    <w:rsid w:val="00E47C81"/>
    <w:rsid w:val="00E50E57"/>
    <w:rsid w:val="00E51B27"/>
    <w:rsid w:val="00E51D26"/>
    <w:rsid w:val="00E5236C"/>
    <w:rsid w:val="00E525FF"/>
    <w:rsid w:val="00E53081"/>
    <w:rsid w:val="00E55112"/>
    <w:rsid w:val="00E55BE3"/>
    <w:rsid w:val="00E5698B"/>
    <w:rsid w:val="00E5781C"/>
    <w:rsid w:val="00E6034B"/>
    <w:rsid w:val="00E61207"/>
    <w:rsid w:val="00E61692"/>
    <w:rsid w:val="00E621CF"/>
    <w:rsid w:val="00E646E1"/>
    <w:rsid w:val="00E64C6C"/>
    <w:rsid w:val="00E64CCF"/>
    <w:rsid w:val="00E65102"/>
    <w:rsid w:val="00E65161"/>
    <w:rsid w:val="00E6549E"/>
    <w:rsid w:val="00E657F5"/>
    <w:rsid w:val="00E65EDE"/>
    <w:rsid w:val="00E65FAC"/>
    <w:rsid w:val="00E66370"/>
    <w:rsid w:val="00E66701"/>
    <w:rsid w:val="00E707D0"/>
    <w:rsid w:val="00E70D96"/>
    <w:rsid w:val="00E70F81"/>
    <w:rsid w:val="00E717F5"/>
    <w:rsid w:val="00E73440"/>
    <w:rsid w:val="00E735E1"/>
    <w:rsid w:val="00E7448C"/>
    <w:rsid w:val="00E7481F"/>
    <w:rsid w:val="00E74B0D"/>
    <w:rsid w:val="00E756A4"/>
    <w:rsid w:val="00E75C32"/>
    <w:rsid w:val="00E76305"/>
    <w:rsid w:val="00E76D12"/>
    <w:rsid w:val="00E77055"/>
    <w:rsid w:val="00E7743F"/>
    <w:rsid w:val="00E77460"/>
    <w:rsid w:val="00E7775A"/>
    <w:rsid w:val="00E80A8A"/>
    <w:rsid w:val="00E80D98"/>
    <w:rsid w:val="00E816F8"/>
    <w:rsid w:val="00E81725"/>
    <w:rsid w:val="00E81788"/>
    <w:rsid w:val="00E81B2B"/>
    <w:rsid w:val="00E82EBD"/>
    <w:rsid w:val="00E83AB3"/>
    <w:rsid w:val="00E83ABC"/>
    <w:rsid w:val="00E83CCA"/>
    <w:rsid w:val="00E844F2"/>
    <w:rsid w:val="00E84A7F"/>
    <w:rsid w:val="00E8621C"/>
    <w:rsid w:val="00E866D1"/>
    <w:rsid w:val="00E871BA"/>
    <w:rsid w:val="00E901B3"/>
    <w:rsid w:val="00E901C5"/>
    <w:rsid w:val="00E909E5"/>
    <w:rsid w:val="00E90AD0"/>
    <w:rsid w:val="00E90D7B"/>
    <w:rsid w:val="00E914E1"/>
    <w:rsid w:val="00E91DFD"/>
    <w:rsid w:val="00E9277D"/>
    <w:rsid w:val="00E92FCB"/>
    <w:rsid w:val="00E9339E"/>
    <w:rsid w:val="00E933F8"/>
    <w:rsid w:val="00E94B8D"/>
    <w:rsid w:val="00E94FAB"/>
    <w:rsid w:val="00E958D9"/>
    <w:rsid w:val="00E959A4"/>
    <w:rsid w:val="00E965EF"/>
    <w:rsid w:val="00E976D6"/>
    <w:rsid w:val="00E977DC"/>
    <w:rsid w:val="00EA0A57"/>
    <w:rsid w:val="00EA0E34"/>
    <w:rsid w:val="00EA147F"/>
    <w:rsid w:val="00EA274D"/>
    <w:rsid w:val="00EA2DFB"/>
    <w:rsid w:val="00EA32BB"/>
    <w:rsid w:val="00EA4A27"/>
    <w:rsid w:val="00EA4D3A"/>
    <w:rsid w:val="00EA4FA6"/>
    <w:rsid w:val="00EA546D"/>
    <w:rsid w:val="00EA57D1"/>
    <w:rsid w:val="00EA5F84"/>
    <w:rsid w:val="00EA757F"/>
    <w:rsid w:val="00EA7C85"/>
    <w:rsid w:val="00EB0487"/>
    <w:rsid w:val="00EB05D8"/>
    <w:rsid w:val="00EB06F2"/>
    <w:rsid w:val="00EB1716"/>
    <w:rsid w:val="00EB1A25"/>
    <w:rsid w:val="00EB2193"/>
    <w:rsid w:val="00EB2D18"/>
    <w:rsid w:val="00EB378F"/>
    <w:rsid w:val="00EB41DF"/>
    <w:rsid w:val="00EB42A4"/>
    <w:rsid w:val="00EB42E1"/>
    <w:rsid w:val="00EB4E91"/>
    <w:rsid w:val="00EB53D7"/>
    <w:rsid w:val="00EB5D53"/>
    <w:rsid w:val="00EB683D"/>
    <w:rsid w:val="00EB73E6"/>
    <w:rsid w:val="00EB7A27"/>
    <w:rsid w:val="00EB7C49"/>
    <w:rsid w:val="00EB7FD8"/>
    <w:rsid w:val="00EC03C8"/>
    <w:rsid w:val="00EC2595"/>
    <w:rsid w:val="00EC2598"/>
    <w:rsid w:val="00EC2DD9"/>
    <w:rsid w:val="00EC3812"/>
    <w:rsid w:val="00EC4AEF"/>
    <w:rsid w:val="00EC51AF"/>
    <w:rsid w:val="00EC5285"/>
    <w:rsid w:val="00EC65C7"/>
    <w:rsid w:val="00EC68F8"/>
    <w:rsid w:val="00EC7363"/>
    <w:rsid w:val="00EC7B15"/>
    <w:rsid w:val="00ED03AB"/>
    <w:rsid w:val="00ED082E"/>
    <w:rsid w:val="00ED10BF"/>
    <w:rsid w:val="00ED1963"/>
    <w:rsid w:val="00ED19BC"/>
    <w:rsid w:val="00ED1CD4"/>
    <w:rsid w:val="00ED1D2B"/>
    <w:rsid w:val="00ED1F81"/>
    <w:rsid w:val="00ED435B"/>
    <w:rsid w:val="00ED64B5"/>
    <w:rsid w:val="00ED67F6"/>
    <w:rsid w:val="00ED6BEC"/>
    <w:rsid w:val="00ED72F5"/>
    <w:rsid w:val="00ED7A56"/>
    <w:rsid w:val="00EE0822"/>
    <w:rsid w:val="00EE08F8"/>
    <w:rsid w:val="00EE0A3D"/>
    <w:rsid w:val="00EE121D"/>
    <w:rsid w:val="00EE1404"/>
    <w:rsid w:val="00EE1AB2"/>
    <w:rsid w:val="00EE1B5D"/>
    <w:rsid w:val="00EE4FA1"/>
    <w:rsid w:val="00EE5901"/>
    <w:rsid w:val="00EE7CCA"/>
    <w:rsid w:val="00EF029D"/>
    <w:rsid w:val="00EF0937"/>
    <w:rsid w:val="00EF116E"/>
    <w:rsid w:val="00EF2112"/>
    <w:rsid w:val="00EF261D"/>
    <w:rsid w:val="00EF2FBA"/>
    <w:rsid w:val="00EF4857"/>
    <w:rsid w:val="00EF495D"/>
    <w:rsid w:val="00EF6172"/>
    <w:rsid w:val="00EF61AA"/>
    <w:rsid w:val="00EF70D0"/>
    <w:rsid w:val="00EF7E22"/>
    <w:rsid w:val="00F001DD"/>
    <w:rsid w:val="00F003B0"/>
    <w:rsid w:val="00F00FF8"/>
    <w:rsid w:val="00F027C3"/>
    <w:rsid w:val="00F034FF"/>
    <w:rsid w:val="00F0363B"/>
    <w:rsid w:val="00F03825"/>
    <w:rsid w:val="00F049F6"/>
    <w:rsid w:val="00F04D96"/>
    <w:rsid w:val="00F057A0"/>
    <w:rsid w:val="00F06E53"/>
    <w:rsid w:val="00F0755B"/>
    <w:rsid w:val="00F07F89"/>
    <w:rsid w:val="00F106E6"/>
    <w:rsid w:val="00F118F8"/>
    <w:rsid w:val="00F1206B"/>
    <w:rsid w:val="00F12922"/>
    <w:rsid w:val="00F139CE"/>
    <w:rsid w:val="00F13CD5"/>
    <w:rsid w:val="00F14400"/>
    <w:rsid w:val="00F1450E"/>
    <w:rsid w:val="00F1481D"/>
    <w:rsid w:val="00F14A61"/>
    <w:rsid w:val="00F14B01"/>
    <w:rsid w:val="00F14BD1"/>
    <w:rsid w:val="00F15EFA"/>
    <w:rsid w:val="00F161EC"/>
    <w:rsid w:val="00F16646"/>
    <w:rsid w:val="00F16A14"/>
    <w:rsid w:val="00F178BE"/>
    <w:rsid w:val="00F2075B"/>
    <w:rsid w:val="00F225E8"/>
    <w:rsid w:val="00F231A9"/>
    <w:rsid w:val="00F243E6"/>
    <w:rsid w:val="00F24BEA"/>
    <w:rsid w:val="00F24E59"/>
    <w:rsid w:val="00F279F5"/>
    <w:rsid w:val="00F305ED"/>
    <w:rsid w:val="00F3089D"/>
    <w:rsid w:val="00F31533"/>
    <w:rsid w:val="00F316A7"/>
    <w:rsid w:val="00F31CB5"/>
    <w:rsid w:val="00F32A6B"/>
    <w:rsid w:val="00F33EAE"/>
    <w:rsid w:val="00F3574E"/>
    <w:rsid w:val="00F362D7"/>
    <w:rsid w:val="00F37D7B"/>
    <w:rsid w:val="00F401E4"/>
    <w:rsid w:val="00F403D8"/>
    <w:rsid w:val="00F409CC"/>
    <w:rsid w:val="00F41E4F"/>
    <w:rsid w:val="00F41F9C"/>
    <w:rsid w:val="00F4282E"/>
    <w:rsid w:val="00F42BF0"/>
    <w:rsid w:val="00F4310B"/>
    <w:rsid w:val="00F43250"/>
    <w:rsid w:val="00F443BE"/>
    <w:rsid w:val="00F459A9"/>
    <w:rsid w:val="00F476FF"/>
    <w:rsid w:val="00F50EA9"/>
    <w:rsid w:val="00F529FE"/>
    <w:rsid w:val="00F5314C"/>
    <w:rsid w:val="00F54334"/>
    <w:rsid w:val="00F5481E"/>
    <w:rsid w:val="00F5576E"/>
    <w:rsid w:val="00F55C29"/>
    <w:rsid w:val="00F5688C"/>
    <w:rsid w:val="00F57604"/>
    <w:rsid w:val="00F60048"/>
    <w:rsid w:val="00F60453"/>
    <w:rsid w:val="00F61926"/>
    <w:rsid w:val="00F630FB"/>
    <w:rsid w:val="00F631D0"/>
    <w:rsid w:val="00F63492"/>
    <w:rsid w:val="00F635DD"/>
    <w:rsid w:val="00F63C59"/>
    <w:rsid w:val="00F63CD7"/>
    <w:rsid w:val="00F641AC"/>
    <w:rsid w:val="00F65CBE"/>
    <w:rsid w:val="00F6627B"/>
    <w:rsid w:val="00F66AF6"/>
    <w:rsid w:val="00F672C3"/>
    <w:rsid w:val="00F676D8"/>
    <w:rsid w:val="00F67E14"/>
    <w:rsid w:val="00F7093C"/>
    <w:rsid w:val="00F70FA4"/>
    <w:rsid w:val="00F7336E"/>
    <w:rsid w:val="00F734F2"/>
    <w:rsid w:val="00F74D59"/>
    <w:rsid w:val="00F74E97"/>
    <w:rsid w:val="00F75052"/>
    <w:rsid w:val="00F75567"/>
    <w:rsid w:val="00F75DB6"/>
    <w:rsid w:val="00F76DF3"/>
    <w:rsid w:val="00F77278"/>
    <w:rsid w:val="00F8007B"/>
    <w:rsid w:val="00F802A6"/>
    <w:rsid w:val="00F804D3"/>
    <w:rsid w:val="00F806CA"/>
    <w:rsid w:val="00F816CB"/>
    <w:rsid w:val="00F81CD2"/>
    <w:rsid w:val="00F82641"/>
    <w:rsid w:val="00F82DF0"/>
    <w:rsid w:val="00F832FA"/>
    <w:rsid w:val="00F837DE"/>
    <w:rsid w:val="00F83BC0"/>
    <w:rsid w:val="00F84A20"/>
    <w:rsid w:val="00F85041"/>
    <w:rsid w:val="00F85261"/>
    <w:rsid w:val="00F85BB4"/>
    <w:rsid w:val="00F87741"/>
    <w:rsid w:val="00F90F18"/>
    <w:rsid w:val="00F91B12"/>
    <w:rsid w:val="00F920E4"/>
    <w:rsid w:val="00F93711"/>
    <w:rsid w:val="00F937E4"/>
    <w:rsid w:val="00F93D2D"/>
    <w:rsid w:val="00F95C43"/>
    <w:rsid w:val="00F95EE7"/>
    <w:rsid w:val="00F96140"/>
    <w:rsid w:val="00F96428"/>
    <w:rsid w:val="00F96B22"/>
    <w:rsid w:val="00F973DC"/>
    <w:rsid w:val="00FA064F"/>
    <w:rsid w:val="00FA1E31"/>
    <w:rsid w:val="00FA3311"/>
    <w:rsid w:val="00FA3823"/>
    <w:rsid w:val="00FA39E6"/>
    <w:rsid w:val="00FA3BB0"/>
    <w:rsid w:val="00FA3FCD"/>
    <w:rsid w:val="00FA4584"/>
    <w:rsid w:val="00FA4E48"/>
    <w:rsid w:val="00FA5761"/>
    <w:rsid w:val="00FA589E"/>
    <w:rsid w:val="00FA6DDA"/>
    <w:rsid w:val="00FA711C"/>
    <w:rsid w:val="00FA723D"/>
    <w:rsid w:val="00FA74B5"/>
    <w:rsid w:val="00FA7BC9"/>
    <w:rsid w:val="00FB060C"/>
    <w:rsid w:val="00FB0612"/>
    <w:rsid w:val="00FB16EE"/>
    <w:rsid w:val="00FB31D1"/>
    <w:rsid w:val="00FB378E"/>
    <w:rsid w:val="00FB37F1"/>
    <w:rsid w:val="00FB47C0"/>
    <w:rsid w:val="00FB484A"/>
    <w:rsid w:val="00FB501B"/>
    <w:rsid w:val="00FB50AF"/>
    <w:rsid w:val="00FB5256"/>
    <w:rsid w:val="00FB61D0"/>
    <w:rsid w:val="00FB6697"/>
    <w:rsid w:val="00FB6A63"/>
    <w:rsid w:val="00FB719A"/>
    <w:rsid w:val="00FB7770"/>
    <w:rsid w:val="00FB7F82"/>
    <w:rsid w:val="00FC3D72"/>
    <w:rsid w:val="00FC7572"/>
    <w:rsid w:val="00FC7FAB"/>
    <w:rsid w:val="00FD0300"/>
    <w:rsid w:val="00FD0588"/>
    <w:rsid w:val="00FD1D41"/>
    <w:rsid w:val="00FD2025"/>
    <w:rsid w:val="00FD2593"/>
    <w:rsid w:val="00FD3B91"/>
    <w:rsid w:val="00FD48B3"/>
    <w:rsid w:val="00FD576B"/>
    <w:rsid w:val="00FD579E"/>
    <w:rsid w:val="00FD67D7"/>
    <w:rsid w:val="00FD6845"/>
    <w:rsid w:val="00FD6D73"/>
    <w:rsid w:val="00FD6FDB"/>
    <w:rsid w:val="00FD7AF0"/>
    <w:rsid w:val="00FD7C18"/>
    <w:rsid w:val="00FE0555"/>
    <w:rsid w:val="00FE0AD5"/>
    <w:rsid w:val="00FE279F"/>
    <w:rsid w:val="00FE4256"/>
    <w:rsid w:val="00FE4516"/>
    <w:rsid w:val="00FE4D06"/>
    <w:rsid w:val="00FE5532"/>
    <w:rsid w:val="00FE5CC8"/>
    <w:rsid w:val="00FE64C8"/>
    <w:rsid w:val="00FE6CEB"/>
    <w:rsid w:val="00FE7AE3"/>
    <w:rsid w:val="00FE7E55"/>
    <w:rsid w:val="00FF0E21"/>
    <w:rsid w:val="00FF0EBA"/>
    <w:rsid w:val="00FF1D43"/>
    <w:rsid w:val="00FF20A0"/>
    <w:rsid w:val="00FF4671"/>
    <w:rsid w:val="00FF4FEE"/>
    <w:rsid w:val="00FF6FC2"/>
    <w:rsid w:val="00FF71D3"/>
    <w:rsid w:val="00FF7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811284"/>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AD355D"/>
    <w:pPr>
      <w:snapToGrid w:val="0"/>
      <w:jc w:val="left"/>
    </w:pPr>
    <w:rPr>
      <w:sz w:val="20"/>
    </w:rPr>
  </w:style>
  <w:style w:type="character" w:customStyle="1" w:styleId="afd">
    <w:name w:val="註腳文字 字元"/>
    <w:basedOn w:val="a7"/>
    <w:link w:val="afc"/>
    <w:uiPriority w:val="99"/>
    <w:semiHidden/>
    <w:rsid w:val="00AD355D"/>
    <w:rPr>
      <w:rFonts w:ascii="標楷體" w:eastAsia="標楷體"/>
      <w:kern w:val="2"/>
    </w:rPr>
  </w:style>
  <w:style w:type="character" w:styleId="afe">
    <w:name w:val="footnote reference"/>
    <w:basedOn w:val="a7"/>
    <w:uiPriority w:val="99"/>
    <w:semiHidden/>
    <w:unhideWhenUsed/>
    <w:rsid w:val="00AD355D"/>
    <w:rPr>
      <w:vertAlign w:val="superscript"/>
    </w:rPr>
  </w:style>
  <w:style w:type="paragraph" w:customStyle="1" w:styleId="Default">
    <w:name w:val="Default"/>
    <w:rsid w:val="00B95607"/>
    <w:pPr>
      <w:widowControl w:val="0"/>
      <w:autoSpaceDE w:val="0"/>
      <w:autoSpaceDN w:val="0"/>
      <w:adjustRightInd w:val="0"/>
    </w:pPr>
    <w:rPr>
      <w:rFonts w:ascii="標楷體" w:eastAsia="標楷體" w:cs="標楷體"/>
      <w:color w:val="000000"/>
      <w:sz w:val="24"/>
      <w:szCs w:val="24"/>
    </w:rPr>
  </w:style>
  <w:style w:type="paragraph" w:styleId="aff">
    <w:name w:val="No Spacing"/>
    <w:qFormat/>
    <w:rsid w:val="00943D3E"/>
    <w:pPr>
      <w:widowControl w:val="0"/>
    </w:pPr>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5375">
      <w:bodyDiv w:val="1"/>
      <w:marLeft w:val="0"/>
      <w:marRight w:val="0"/>
      <w:marTop w:val="0"/>
      <w:marBottom w:val="0"/>
      <w:divBdr>
        <w:top w:val="none" w:sz="0" w:space="0" w:color="auto"/>
        <w:left w:val="none" w:sz="0" w:space="0" w:color="auto"/>
        <w:bottom w:val="none" w:sz="0" w:space="0" w:color="auto"/>
        <w:right w:val="none" w:sz="0" w:space="0" w:color="auto"/>
      </w:divBdr>
    </w:div>
    <w:div w:id="104470268">
      <w:bodyDiv w:val="1"/>
      <w:marLeft w:val="0"/>
      <w:marRight w:val="0"/>
      <w:marTop w:val="0"/>
      <w:marBottom w:val="0"/>
      <w:divBdr>
        <w:top w:val="none" w:sz="0" w:space="0" w:color="auto"/>
        <w:left w:val="none" w:sz="0" w:space="0" w:color="auto"/>
        <w:bottom w:val="none" w:sz="0" w:space="0" w:color="auto"/>
        <w:right w:val="none" w:sz="0" w:space="0" w:color="auto"/>
      </w:divBdr>
    </w:div>
    <w:div w:id="357049507">
      <w:bodyDiv w:val="1"/>
      <w:marLeft w:val="0"/>
      <w:marRight w:val="0"/>
      <w:marTop w:val="0"/>
      <w:marBottom w:val="0"/>
      <w:divBdr>
        <w:top w:val="none" w:sz="0" w:space="0" w:color="auto"/>
        <w:left w:val="none" w:sz="0" w:space="0" w:color="auto"/>
        <w:bottom w:val="none" w:sz="0" w:space="0" w:color="auto"/>
        <w:right w:val="none" w:sz="0" w:space="0" w:color="auto"/>
      </w:divBdr>
    </w:div>
    <w:div w:id="64863533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4704525">
      <w:bodyDiv w:val="1"/>
      <w:marLeft w:val="0"/>
      <w:marRight w:val="0"/>
      <w:marTop w:val="0"/>
      <w:marBottom w:val="0"/>
      <w:divBdr>
        <w:top w:val="none" w:sz="0" w:space="0" w:color="auto"/>
        <w:left w:val="none" w:sz="0" w:space="0" w:color="auto"/>
        <w:bottom w:val="none" w:sz="0" w:space="0" w:color="auto"/>
        <w:right w:val="none" w:sz="0" w:space="0" w:color="auto"/>
      </w:divBdr>
    </w:div>
    <w:div w:id="908806682">
      <w:bodyDiv w:val="1"/>
      <w:marLeft w:val="0"/>
      <w:marRight w:val="0"/>
      <w:marTop w:val="0"/>
      <w:marBottom w:val="0"/>
      <w:divBdr>
        <w:top w:val="none" w:sz="0" w:space="0" w:color="auto"/>
        <w:left w:val="none" w:sz="0" w:space="0" w:color="auto"/>
        <w:bottom w:val="none" w:sz="0" w:space="0" w:color="auto"/>
        <w:right w:val="none" w:sz="0" w:space="0" w:color="auto"/>
      </w:divBdr>
    </w:div>
    <w:div w:id="950627857">
      <w:bodyDiv w:val="1"/>
      <w:marLeft w:val="0"/>
      <w:marRight w:val="0"/>
      <w:marTop w:val="0"/>
      <w:marBottom w:val="0"/>
      <w:divBdr>
        <w:top w:val="none" w:sz="0" w:space="0" w:color="auto"/>
        <w:left w:val="none" w:sz="0" w:space="0" w:color="auto"/>
        <w:bottom w:val="none" w:sz="0" w:space="0" w:color="auto"/>
        <w:right w:val="none" w:sz="0" w:space="0" w:color="auto"/>
      </w:divBdr>
    </w:div>
    <w:div w:id="952514890">
      <w:bodyDiv w:val="1"/>
      <w:marLeft w:val="0"/>
      <w:marRight w:val="0"/>
      <w:marTop w:val="0"/>
      <w:marBottom w:val="0"/>
      <w:divBdr>
        <w:top w:val="none" w:sz="0" w:space="0" w:color="auto"/>
        <w:left w:val="none" w:sz="0" w:space="0" w:color="auto"/>
        <w:bottom w:val="none" w:sz="0" w:space="0" w:color="auto"/>
        <w:right w:val="none" w:sz="0" w:space="0" w:color="auto"/>
      </w:divBdr>
    </w:div>
    <w:div w:id="961182916">
      <w:bodyDiv w:val="1"/>
      <w:marLeft w:val="0"/>
      <w:marRight w:val="0"/>
      <w:marTop w:val="0"/>
      <w:marBottom w:val="0"/>
      <w:divBdr>
        <w:top w:val="none" w:sz="0" w:space="0" w:color="auto"/>
        <w:left w:val="none" w:sz="0" w:space="0" w:color="auto"/>
        <w:bottom w:val="none" w:sz="0" w:space="0" w:color="auto"/>
        <w:right w:val="none" w:sz="0" w:space="0" w:color="auto"/>
      </w:divBdr>
    </w:div>
    <w:div w:id="1003704811">
      <w:bodyDiv w:val="1"/>
      <w:marLeft w:val="0"/>
      <w:marRight w:val="0"/>
      <w:marTop w:val="0"/>
      <w:marBottom w:val="0"/>
      <w:divBdr>
        <w:top w:val="none" w:sz="0" w:space="0" w:color="auto"/>
        <w:left w:val="none" w:sz="0" w:space="0" w:color="auto"/>
        <w:bottom w:val="none" w:sz="0" w:space="0" w:color="auto"/>
        <w:right w:val="none" w:sz="0" w:space="0" w:color="auto"/>
      </w:divBdr>
    </w:div>
    <w:div w:id="1060858129">
      <w:bodyDiv w:val="1"/>
      <w:marLeft w:val="0"/>
      <w:marRight w:val="0"/>
      <w:marTop w:val="0"/>
      <w:marBottom w:val="0"/>
      <w:divBdr>
        <w:top w:val="none" w:sz="0" w:space="0" w:color="auto"/>
        <w:left w:val="none" w:sz="0" w:space="0" w:color="auto"/>
        <w:bottom w:val="none" w:sz="0" w:space="0" w:color="auto"/>
        <w:right w:val="none" w:sz="0" w:space="0" w:color="auto"/>
      </w:divBdr>
    </w:div>
    <w:div w:id="1119253691">
      <w:bodyDiv w:val="1"/>
      <w:marLeft w:val="0"/>
      <w:marRight w:val="0"/>
      <w:marTop w:val="0"/>
      <w:marBottom w:val="0"/>
      <w:divBdr>
        <w:top w:val="none" w:sz="0" w:space="0" w:color="auto"/>
        <w:left w:val="none" w:sz="0" w:space="0" w:color="auto"/>
        <w:bottom w:val="none" w:sz="0" w:space="0" w:color="auto"/>
        <w:right w:val="none" w:sz="0" w:space="0" w:color="auto"/>
      </w:divBdr>
    </w:div>
    <w:div w:id="1187057033">
      <w:bodyDiv w:val="1"/>
      <w:marLeft w:val="0"/>
      <w:marRight w:val="0"/>
      <w:marTop w:val="0"/>
      <w:marBottom w:val="0"/>
      <w:divBdr>
        <w:top w:val="none" w:sz="0" w:space="0" w:color="auto"/>
        <w:left w:val="none" w:sz="0" w:space="0" w:color="auto"/>
        <w:bottom w:val="none" w:sz="0" w:space="0" w:color="auto"/>
        <w:right w:val="none" w:sz="0" w:space="0" w:color="auto"/>
      </w:divBdr>
    </w:div>
    <w:div w:id="1330986588">
      <w:bodyDiv w:val="1"/>
      <w:marLeft w:val="0"/>
      <w:marRight w:val="0"/>
      <w:marTop w:val="0"/>
      <w:marBottom w:val="0"/>
      <w:divBdr>
        <w:top w:val="none" w:sz="0" w:space="0" w:color="auto"/>
        <w:left w:val="none" w:sz="0" w:space="0" w:color="auto"/>
        <w:bottom w:val="none" w:sz="0" w:space="0" w:color="auto"/>
        <w:right w:val="none" w:sz="0" w:space="0" w:color="auto"/>
      </w:divBdr>
    </w:div>
    <w:div w:id="1373923033">
      <w:bodyDiv w:val="1"/>
      <w:marLeft w:val="0"/>
      <w:marRight w:val="0"/>
      <w:marTop w:val="0"/>
      <w:marBottom w:val="0"/>
      <w:divBdr>
        <w:top w:val="none" w:sz="0" w:space="0" w:color="auto"/>
        <w:left w:val="none" w:sz="0" w:space="0" w:color="auto"/>
        <w:bottom w:val="none" w:sz="0" w:space="0" w:color="auto"/>
        <w:right w:val="none" w:sz="0" w:space="0" w:color="auto"/>
      </w:divBdr>
    </w:div>
    <w:div w:id="1580213954">
      <w:bodyDiv w:val="1"/>
      <w:marLeft w:val="0"/>
      <w:marRight w:val="0"/>
      <w:marTop w:val="0"/>
      <w:marBottom w:val="0"/>
      <w:divBdr>
        <w:top w:val="none" w:sz="0" w:space="0" w:color="auto"/>
        <w:left w:val="none" w:sz="0" w:space="0" w:color="auto"/>
        <w:bottom w:val="none" w:sz="0" w:space="0" w:color="auto"/>
        <w:right w:val="none" w:sz="0" w:space="0" w:color="auto"/>
      </w:divBdr>
    </w:div>
    <w:div w:id="182812744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BA41A-EE28-4FEB-9BAD-2BB9CBBE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21</Pages>
  <Words>1866</Words>
  <Characters>10641</Characters>
  <Application>Microsoft Office Word</Application>
  <DocSecurity>0</DocSecurity>
  <Lines>88</Lines>
  <Paragraphs>24</Paragraphs>
  <ScaleCrop>false</ScaleCrop>
  <Company>cy</Company>
  <LinksUpToDate>false</LinksUpToDate>
  <CharactersWithSpaces>12483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2022-05-12T06:03:00Z</cp:lastPrinted>
  <dcterms:created xsi:type="dcterms:W3CDTF">2022-05-18T01:35:00Z</dcterms:created>
  <dcterms:modified xsi:type="dcterms:W3CDTF">2022-05-18T01:35:00Z</dcterms:modified>
  <cp:contentStatus/>
</cp:coreProperties>
</file>