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E37" w:rsidRPr="007D10AC" w:rsidRDefault="00F06E37" w:rsidP="00F06E37">
      <w:pPr>
        <w:pStyle w:val="af5"/>
        <w:rPr>
          <w:rFonts w:hAnsi="標楷體"/>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D10AC">
        <w:rPr>
          <w:rFonts w:hAnsi="標楷體" w:hint="eastAsia"/>
          <w:color w:val="000000" w:themeColor="text1"/>
        </w:rPr>
        <w:t>調查報告</w:t>
      </w:r>
    </w:p>
    <w:p w:rsidR="00E25849" w:rsidRPr="007D10AC" w:rsidRDefault="00E25849" w:rsidP="005A3038">
      <w:pPr>
        <w:pStyle w:val="1"/>
        <w:ind w:left="2380" w:hanging="2380"/>
        <w:rPr>
          <w:rFonts w:hAnsi="標楷體"/>
          <w:color w:val="000000" w:themeColor="text1"/>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D10AC">
        <w:rPr>
          <w:rFonts w:hAnsi="標楷體" w:hint="eastAsia"/>
          <w:color w:val="000000" w:themeColor="text1"/>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215C44" w:rsidRPr="007D10AC">
        <w:rPr>
          <w:rFonts w:hAnsi="標楷體"/>
          <w:color w:val="000000" w:themeColor="text1"/>
        </w:rPr>
        <w:t>課稅處分縱然提起「復查決定」及「訴願決定」後訴訟，然因法院僅會撤銷「復查決定」及「訴願決定」，而非原來的「課稅處分」，所以稅捐</w:t>
      </w:r>
      <w:proofErr w:type="gramStart"/>
      <w:r w:rsidR="00215C44" w:rsidRPr="007D10AC">
        <w:rPr>
          <w:rFonts w:hAnsi="標楷體"/>
          <w:color w:val="000000" w:themeColor="text1"/>
        </w:rPr>
        <w:t>稽</w:t>
      </w:r>
      <w:proofErr w:type="gramEnd"/>
      <w:r w:rsidR="00215C44" w:rsidRPr="007D10AC">
        <w:rPr>
          <w:rFonts w:hAnsi="標楷體"/>
          <w:color w:val="000000" w:themeColor="text1"/>
        </w:rPr>
        <w:t>徵機關只要重新作成新的「復查決定」，當事人就必須重新再進行司法救濟，導致成功打贏稅法官司的當事人，反而陷入無限輪迴的司法救濟困境。究稅捐「復查程序」是否已經喪失「迅速維護當事人之權益」之目的？以復查前置主義為由，認為當事人可申請復查，是否反而讓課稅處分無法尋求有效之司法救濟？實務上認為「訴訟即以該復查決定為對象，且復查決定經法院判決撤銷後，原核定處分仍屬存在，並未當然同時歸於消滅」之見解，是否違反憲法第16條保障人民之訴訟權，且無法實質上讓人民藉由訴訟權行使來獲得「及時有效」之救濟？又「納稅者權利保護法」第21條</w:t>
      </w:r>
      <w:proofErr w:type="gramStart"/>
      <w:r w:rsidR="00215C44" w:rsidRPr="007D10AC">
        <w:rPr>
          <w:rFonts w:hAnsi="標楷體"/>
          <w:color w:val="000000" w:themeColor="text1"/>
        </w:rPr>
        <w:t>前段雖特別</w:t>
      </w:r>
      <w:proofErr w:type="gramEnd"/>
      <w:r w:rsidR="00215C44" w:rsidRPr="007D10AC">
        <w:rPr>
          <w:rFonts w:hAnsi="標楷體"/>
          <w:color w:val="000000" w:themeColor="text1"/>
        </w:rPr>
        <w:t>規定，行政法院應查明事證，「核實確認應繳納之稅額」，然實務上因有「因案情複雜而難以查明者，不在此限」之但書規定，反而「以但書為原則」，違反依照法律目的解釋應「原則從寬、例外從嚴」之法理，但書之規定是否有應再修正？</w:t>
      </w:r>
      <w:proofErr w:type="gramStart"/>
      <w:r w:rsidR="00215C44" w:rsidRPr="007D10AC">
        <w:rPr>
          <w:rFonts w:hAnsi="標楷體"/>
          <w:color w:val="000000" w:themeColor="text1"/>
        </w:rPr>
        <w:t>另</w:t>
      </w:r>
      <w:proofErr w:type="gramEnd"/>
      <w:r w:rsidR="00215C44" w:rsidRPr="007D10AC">
        <w:rPr>
          <w:rFonts w:hAnsi="標楷體"/>
          <w:color w:val="000000" w:themeColor="text1"/>
        </w:rPr>
        <w:t>，稅捐機關於處分撤銷後，是否有怠於依撤銷意旨進行調查，僅修改稅額再度發單，致使課稅事實未獲釐清？或擱置數年，造成案件延宕，人民卻須負擔利息及財產權因禁止處分而受限制，侵害賦稅人權之情形？凡此，</w:t>
      </w:r>
      <w:proofErr w:type="gramStart"/>
      <w:r w:rsidR="00215C44" w:rsidRPr="007D10AC">
        <w:rPr>
          <w:rFonts w:hAnsi="標楷體"/>
          <w:color w:val="000000" w:themeColor="text1"/>
        </w:rPr>
        <w:t>均有究</w:t>
      </w:r>
      <w:proofErr w:type="gramEnd"/>
      <w:r w:rsidR="00215C44" w:rsidRPr="007D10AC">
        <w:rPr>
          <w:rFonts w:hAnsi="標楷體"/>
          <w:color w:val="000000" w:themeColor="text1"/>
        </w:rPr>
        <w:t>明之必要</w:t>
      </w:r>
      <w:r w:rsidR="00215C44" w:rsidRPr="007D10AC">
        <w:rPr>
          <w:rFonts w:hAnsi="標楷體" w:hint="eastAsia"/>
          <w:color w:val="000000" w:themeColor="text1"/>
        </w:rPr>
        <w:t>案。</w:t>
      </w:r>
    </w:p>
    <w:p w:rsidR="00E25849" w:rsidRPr="007D10AC" w:rsidRDefault="00E25849" w:rsidP="00417EB2">
      <w:pPr>
        <w:pStyle w:val="1"/>
        <w:spacing w:line="480" w:lineRule="exact"/>
        <w:rPr>
          <w:rFonts w:hAnsi="標楷體"/>
          <w:color w:val="000000" w:themeColor="text1"/>
        </w:rPr>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r w:rsidRPr="007D10AC">
        <w:rPr>
          <w:rFonts w:hAnsi="標楷體"/>
          <w:color w:val="000000" w:themeColor="text1"/>
        </w:rPr>
        <w:br w:type="page"/>
      </w:r>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422834157"/>
      <w:r w:rsidR="005A3038" w:rsidRPr="007D10AC">
        <w:rPr>
          <w:rFonts w:hAnsi="標楷體" w:hint="eastAsia"/>
          <w:color w:val="000000" w:themeColor="text1"/>
        </w:rPr>
        <w:lastRenderedPageBreak/>
        <w:t>調查意見</w:t>
      </w:r>
      <w:r w:rsidRPr="007D10AC">
        <w:rPr>
          <w:rFonts w:hAnsi="標楷體" w:hint="eastAsia"/>
          <w:color w:val="000000" w:themeColor="text1"/>
        </w:rPr>
        <w: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A3038" w:rsidRPr="007D10AC" w:rsidRDefault="00E77B8E" w:rsidP="00417EB2">
      <w:pPr>
        <w:pStyle w:val="10"/>
        <w:spacing w:line="480" w:lineRule="exact"/>
        <w:ind w:left="680" w:firstLine="680"/>
        <w:rPr>
          <w:rFonts w:hAnsi="標楷體"/>
          <w:color w:val="000000" w:themeColor="text1"/>
        </w:rPr>
      </w:pPr>
      <w:bookmarkStart w:id="73" w:name="_Toc524902730"/>
      <w:r w:rsidRPr="007D10AC">
        <w:rPr>
          <w:rFonts w:hAnsi="標楷體"/>
          <w:color w:val="000000" w:themeColor="text1"/>
        </w:rPr>
        <w:t>課稅處分縱然提起「復查決定」及「訴願決定」後訴訟，然因法院僅會撤銷「復查決定」及「訴願決定」，而非原來的「課稅處分」，所以稅捐</w:t>
      </w:r>
      <w:proofErr w:type="gramStart"/>
      <w:r w:rsidRPr="007D10AC">
        <w:rPr>
          <w:rFonts w:hAnsi="標楷體"/>
          <w:color w:val="000000" w:themeColor="text1"/>
        </w:rPr>
        <w:t>稽</w:t>
      </w:r>
      <w:proofErr w:type="gramEnd"/>
      <w:r w:rsidRPr="007D10AC">
        <w:rPr>
          <w:rFonts w:hAnsi="標楷體"/>
          <w:color w:val="000000" w:themeColor="text1"/>
        </w:rPr>
        <w:t>徵機關只要重新作成新的「復查決定」，當事人就必須重新再進行司法救濟，導致成功打贏稅法官司的當事人，反而陷入無限輪迴的司法救濟困境。究稅捐「復查程序」是否已經喪失「迅速維護當事人之權益」之目的？以復查前置主義為由，認為當事人可申請復查，是否反而讓課稅處分無法尋求有效之司法救濟？實務上認為「訴訟即以該復查決定為對象，且復查決定經法院判決撤銷後，原核定處分仍屬存在，並未當然同時歸於消滅」之見解，是否違反憲法第16條保障人民之訴訟權，且無法實質上讓人民藉由訴訟權行使來獲得「及時有效」之救濟？又「納稅者權利保護法」第21條</w:t>
      </w:r>
      <w:proofErr w:type="gramStart"/>
      <w:r w:rsidRPr="007D10AC">
        <w:rPr>
          <w:rFonts w:hAnsi="標楷體"/>
          <w:color w:val="000000" w:themeColor="text1"/>
        </w:rPr>
        <w:t>前段雖特別</w:t>
      </w:r>
      <w:proofErr w:type="gramEnd"/>
      <w:r w:rsidRPr="007D10AC">
        <w:rPr>
          <w:rFonts w:hAnsi="標楷體"/>
          <w:color w:val="000000" w:themeColor="text1"/>
        </w:rPr>
        <w:t>規定，行政法院應查明事證，「核實確認應繳納之稅額」，然實務上因有「因案情複雜而難以查明者，不在此限」之但書規定，反而「以但書為原則」，違反依照法律目的解釋應「原則從寬、例外從嚴」之法理，但書之規定是否有應再修正？</w:t>
      </w:r>
      <w:proofErr w:type="gramStart"/>
      <w:r w:rsidRPr="007D10AC">
        <w:rPr>
          <w:rFonts w:hAnsi="標楷體"/>
          <w:color w:val="000000" w:themeColor="text1"/>
        </w:rPr>
        <w:t>另</w:t>
      </w:r>
      <w:proofErr w:type="gramEnd"/>
      <w:r w:rsidRPr="007D10AC">
        <w:rPr>
          <w:rFonts w:hAnsi="標楷體"/>
          <w:color w:val="000000" w:themeColor="text1"/>
        </w:rPr>
        <w:t>，稅捐機關於處分撤銷後，是否有怠於依撤銷意旨進行調查，僅修改稅額再度發單，致使課稅事實未獲釐清？或擱置數年，造成案件延宕，人民卻須負擔利息及財產權因禁止處分而受限制，侵害賦稅人權之情形？</w:t>
      </w:r>
      <w:r w:rsidR="005A3038" w:rsidRPr="007D10AC">
        <w:rPr>
          <w:rFonts w:hAnsi="標楷體"/>
          <w:color w:val="000000" w:themeColor="text1"/>
        </w:rPr>
        <w:t>凡此，</w:t>
      </w:r>
      <w:proofErr w:type="gramStart"/>
      <w:r w:rsidR="005A3038" w:rsidRPr="007D10AC">
        <w:rPr>
          <w:rFonts w:hAnsi="標楷體"/>
          <w:color w:val="000000" w:themeColor="text1"/>
        </w:rPr>
        <w:t>均有究</w:t>
      </w:r>
      <w:proofErr w:type="gramEnd"/>
      <w:r w:rsidR="005A3038" w:rsidRPr="007D10AC">
        <w:rPr>
          <w:rFonts w:hAnsi="標楷體"/>
          <w:color w:val="000000" w:themeColor="text1"/>
        </w:rPr>
        <w:t>明之必要</w:t>
      </w:r>
      <w:r w:rsidR="005A3038" w:rsidRPr="007D10AC">
        <w:rPr>
          <w:rFonts w:hAnsi="標楷體" w:hint="eastAsia"/>
          <w:color w:val="000000" w:themeColor="text1"/>
        </w:rPr>
        <w:t>案，經</w:t>
      </w:r>
      <w:r w:rsidR="00432F66" w:rsidRPr="007D10AC">
        <w:rPr>
          <w:rFonts w:hAnsi="標楷體" w:hint="eastAsia"/>
          <w:color w:val="000000" w:themeColor="text1"/>
        </w:rPr>
        <w:t>5次</w:t>
      </w:r>
      <w:r w:rsidR="005A3038" w:rsidRPr="007D10AC">
        <w:rPr>
          <w:rFonts w:hAnsi="標楷體" w:hint="eastAsia"/>
          <w:color w:val="000000" w:themeColor="text1"/>
        </w:rPr>
        <w:t>函請財政部說明並提供相關統計數據及佐證資料，再請陳訴人補充相關資料，</w:t>
      </w:r>
      <w:r w:rsidR="00FA032E" w:rsidRPr="007D10AC">
        <w:rPr>
          <w:rFonts w:hAnsi="標楷體" w:hint="eastAsia"/>
          <w:color w:val="000000" w:themeColor="text1"/>
        </w:rPr>
        <w:t>另</w:t>
      </w:r>
      <w:r w:rsidR="005A3038" w:rsidRPr="007D10AC">
        <w:rPr>
          <w:rFonts w:hAnsi="標楷體" w:hint="eastAsia"/>
          <w:color w:val="000000" w:themeColor="text1"/>
        </w:rPr>
        <w:t>於民國（下同）108年5月20日諮詢中興大學法律學系</w:t>
      </w:r>
      <w:proofErr w:type="gramStart"/>
      <w:r w:rsidR="005A3038" w:rsidRPr="007D10AC">
        <w:rPr>
          <w:rFonts w:hAnsi="標楷體" w:hint="eastAsia"/>
          <w:color w:val="000000" w:themeColor="text1"/>
        </w:rPr>
        <w:t>李教授惠</w:t>
      </w:r>
      <w:proofErr w:type="gramEnd"/>
      <w:r w:rsidR="005A3038" w:rsidRPr="007D10AC">
        <w:rPr>
          <w:rFonts w:hAnsi="標楷體" w:hint="eastAsia"/>
          <w:color w:val="000000" w:themeColor="text1"/>
        </w:rPr>
        <w:t>宗、</w:t>
      </w:r>
      <w:r w:rsidR="005A3038" w:rsidRPr="007D10AC">
        <w:rPr>
          <w:rFonts w:hAnsi="標楷體"/>
          <w:color w:val="000000" w:themeColor="text1"/>
        </w:rPr>
        <w:t>中正大學</w:t>
      </w:r>
      <w:r w:rsidR="005A3038" w:rsidRPr="007D10AC">
        <w:rPr>
          <w:rFonts w:hAnsi="標楷體" w:hint="eastAsia"/>
          <w:color w:val="000000" w:themeColor="text1"/>
        </w:rPr>
        <w:t>財經法律學系黃教授俊杰、東吳大學法學院系葛教授克昌</w:t>
      </w:r>
      <w:r w:rsidR="005F1149" w:rsidRPr="007D10AC">
        <w:rPr>
          <w:rFonts w:hAnsi="標楷體" w:hint="eastAsia"/>
          <w:color w:val="000000" w:themeColor="text1"/>
        </w:rPr>
        <w:t>及</w:t>
      </w:r>
      <w:r w:rsidR="005A3038" w:rsidRPr="007D10AC">
        <w:rPr>
          <w:rFonts w:hAnsi="標楷體" w:hint="eastAsia"/>
          <w:color w:val="000000" w:themeColor="text1"/>
        </w:rPr>
        <w:t>東吳大學法學院系范教授文清，</w:t>
      </w:r>
      <w:r w:rsidR="006D09C9" w:rsidRPr="007D10AC">
        <w:rPr>
          <w:rFonts w:hAnsi="標楷體" w:hint="eastAsia"/>
          <w:color w:val="000000" w:themeColor="text1"/>
        </w:rPr>
        <w:t>又</w:t>
      </w:r>
      <w:r w:rsidR="005A3038" w:rsidRPr="007D10AC">
        <w:rPr>
          <w:rFonts w:hAnsi="標楷體" w:hint="eastAsia"/>
          <w:color w:val="000000" w:themeColor="text1"/>
        </w:rPr>
        <w:t>於同年9月20</w:t>
      </w:r>
      <w:r w:rsidR="005A3038" w:rsidRPr="007D10AC">
        <w:rPr>
          <w:rFonts w:hAnsi="標楷體" w:hint="eastAsia"/>
          <w:color w:val="000000" w:themeColor="text1"/>
        </w:rPr>
        <w:lastRenderedPageBreak/>
        <w:t>日上午詢問財政部次長吳自心、臺北國稅局局長許慈美、高雄國稅局局長蔡碧珍、北區國稅局局長王綉忠、中區國稅局局長宋秀玲、南區國稅局局長盧貞秀、財政部法制處處長胡坤明、財政部賦稅署副署長吳蓮英及相關承辦人員，釐清案情癥結</w:t>
      </w:r>
      <w:r w:rsidR="001346DE" w:rsidRPr="007D10AC">
        <w:rPr>
          <w:rFonts w:hAnsi="標楷體" w:hint="eastAsia"/>
          <w:color w:val="000000" w:themeColor="text1"/>
        </w:rPr>
        <w:t>，另於同年12月2日諮詢東吳大學法學院陳教授清秀、台灣稅法學會王秘書長健安及冠恆聯合會計師事務所張所長進德，業已</w:t>
      </w:r>
      <w:r w:rsidR="005A3038" w:rsidRPr="007D10AC">
        <w:rPr>
          <w:rFonts w:hAnsi="標楷體" w:hint="eastAsia"/>
          <w:color w:val="000000" w:themeColor="text1"/>
        </w:rPr>
        <w:t>調查竣事，茲臚陳調查意見如下：</w:t>
      </w:r>
    </w:p>
    <w:p w:rsidR="008F7AAA" w:rsidRPr="007D10AC" w:rsidRDefault="008F7AAA" w:rsidP="00417EB2">
      <w:pPr>
        <w:pStyle w:val="2"/>
        <w:spacing w:line="480" w:lineRule="exact"/>
        <w:rPr>
          <w:rFonts w:hAnsi="標楷體"/>
          <w:b/>
          <w:color w:val="000000" w:themeColor="text1"/>
        </w:rPr>
      </w:pPr>
      <w:r w:rsidRPr="007D10AC">
        <w:rPr>
          <w:rFonts w:hAnsi="標楷體" w:hint="eastAsia"/>
          <w:b/>
          <w:color w:val="000000" w:themeColor="text1"/>
        </w:rPr>
        <w:t>稅務案件反覆訴訟、</w:t>
      </w:r>
      <w:r w:rsidRPr="007D10AC">
        <w:rPr>
          <w:rFonts w:hAnsi="標楷體"/>
          <w:b/>
          <w:color w:val="000000" w:themeColor="text1"/>
        </w:rPr>
        <w:t>久懸未決</w:t>
      </w:r>
      <w:r w:rsidRPr="007D10AC">
        <w:rPr>
          <w:rFonts w:hAnsi="標楷體" w:hint="eastAsia"/>
          <w:b/>
          <w:color w:val="000000" w:themeColor="text1"/>
        </w:rPr>
        <w:t>向為外界所</w:t>
      </w:r>
      <w:r w:rsidRPr="007D10AC">
        <w:rPr>
          <w:rFonts w:hAnsi="標楷體" w:cs="細明體"/>
          <w:b/>
          <w:color w:val="000000" w:themeColor="text1"/>
        </w:rPr>
        <w:t>訾議</w:t>
      </w:r>
      <w:r w:rsidRPr="007D10AC">
        <w:rPr>
          <w:rFonts w:hAnsi="標楷體" w:hint="eastAsia"/>
          <w:b/>
          <w:color w:val="000000" w:themeColor="text1"/>
        </w:rPr>
        <w:t>，復以</w:t>
      </w:r>
      <w:r w:rsidRPr="007D10AC">
        <w:rPr>
          <w:rFonts w:hAnsi="標楷體"/>
          <w:b/>
          <w:color w:val="000000" w:themeColor="text1"/>
        </w:rPr>
        <w:t>稅捐「復查程序」已喪失「迅速維護當事人之權益」之目的</w:t>
      </w:r>
      <w:r w:rsidRPr="007D10AC">
        <w:rPr>
          <w:rFonts w:hAnsi="標楷體" w:hint="eastAsia"/>
          <w:b/>
          <w:color w:val="000000" w:themeColor="text1"/>
        </w:rPr>
        <w:t>，</w:t>
      </w:r>
      <w:r w:rsidR="007C43CA" w:rsidRPr="007D10AC">
        <w:rPr>
          <w:rFonts w:hAnsi="標楷體" w:hint="eastAsia"/>
          <w:b/>
          <w:color w:val="000000" w:themeColor="text1"/>
        </w:rPr>
        <w:t>財政部</w:t>
      </w:r>
      <w:r w:rsidRPr="007D10AC">
        <w:rPr>
          <w:rFonts w:hAnsi="標楷體" w:hint="eastAsia"/>
          <w:b/>
          <w:color w:val="000000" w:themeColor="text1"/>
        </w:rPr>
        <w:t>允宜審慎檢討，</w:t>
      </w:r>
      <w:proofErr w:type="gramStart"/>
      <w:r w:rsidRPr="007D10AC">
        <w:rPr>
          <w:rFonts w:hAnsi="標楷體" w:hint="eastAsia"/>
          <w:b/>
          <w:color w:val="000000" w:themeColor="text1"/>
        </w:rPr>
        <w:t>俾</w:t>
      </w:r>
      <w:proofErr w:type="gramEnd"/>
      <w:r w:rsidR="00DD1E20" w:rsidRPr="007D10AC">
        <w:rPr>
          <w:rFonts w:hAnsi="標楷體" w:hint="eastAsia"/>
          <w:b/>
          <w:color w:val="000000" w:themeColor="text1"/>
        </w:rPr>
        <w:t>於</w:t>
      </w:r>
      <w:r w:rsidR="007C43CA" w:rsidRPr="007D10AC">
        <w:rPr>
          <w:rFonts w:hAnsi="標楷體" w:hint="eastAsia"/>
          <w:b/>
          <w:color w:val="000000" w:themeColor="text1"/>
        </w:rPr>
        <w:t>納稅者</w:t>
      </w:r>
      <w:r w:rsidRPr="007D10AC">
        <w:rPr>
          <w:rFonts w:hAnsi="標楷體" w:hint="eastAsia"/>
          <w:b/>
          <w:color w:val="000000" w:themeColor="text1"/>
        </w:rPr>
        <w:t>權益</w:t>
      </w:r>
      <w:r w:rsidR="00DD1E20" w:rsidRPr="007D10AC">
        <w:rPr>
          <w:rFonts w:hAnsi="標楷體" w:hint="eastAsia"/>
          <w:b/>
          <w:color w:val="000000" w:themeColor="text1"/>
        </w:rPr>
        <w:t>保障與財政公益之間取得平衡</w:t>
      </w:r>
      <w:r w:rsidR="007C0599" w:rsidRPr="007D10AC">
        <w:rPr>
          <w:rFonts w:hAnsi="標楷體" w:hint="eastAsia"/>
          <w:b/>
          <w:color w:val="000000" w:themeColor="text1"/>
        </w:rPr>
        <w:t>：</w:t>
      </w:r>
    </w:p>
    <w:p w:rsidR="008F7AAA" w:rsidRPr="007D10AC" w:rsidRDefault="008F7AAA" w:rsidP="00417EB2">
      <w:pPr>
        <w:pStyle w:val="3"/>
        <w:numPr>
          <w:ilvl w:val="2"/>
          <w:numId w:val="1"/>
        </w:numPr>
        <w:spacing w:line="480" w:lineRule="exact"/>
        <w:rPr>
          <w:rFonts w:hAnsi="標楷體"/>
          <w:color w:val="000000" w:themeColor="text1"/>
        </w:rPr>
      </w:pPr>
      <w:r w:rsidRPr="007D10AC">
        <w:rPr>
          <w:rFonts w:hAnsi="標楷體" w:hint="eastAsia"/>
          <w:color w:val="000000" w:themeColor="text1"/>
        </w:rPr>
        <w:t>稅務案件反覆訴訟、</w:t>
      </w:r>
      <w:r w:rsidRPr="007D10AC">
        <w:rPr>
          <w:rFonts w:hAnsi="標楷體"/>
          <w:color w:val="000000" w:themeColor="text1"/>
        </w:rPr>
        <w:t>久懸未決</w:t>
      </w:r>
      <w:r w:rsidRPr="007D10AC">
        <w:rPr>
          <w:rFonts w:hAnsi="標楷體" w:hint="eastAsia"/>
          <w:color w:val="000000" w:themeColor="text1"/>
        </w:rPr>
        <w:t>向為外界所</w:t>
      </w:r>
      <w:r w:rsidRPr="007D10AC">
        <w:rPr>
          <w:rFonts w:hAnsi="標楷體" w:cs="細明體"/>
          <w:color w:val="000000" w:themeColor="text1"/>
        </w:rPr>
        <w:t>訾議</w:t>
      </w:r>
      <w:r w:rsidRPr="007D10AC">
        <w:rPr>
          <w:rFonts w:hAnsi="標楷體" w:hint="eastAsia"/>
          <w:color w:val="000000" w:themeColor="text1"/>
        </w:rPr>
        <w:t>，由於行政法院判決撤銷原處分後，責成原處分機</w:t>
      </w:r>
      <w:r w:rsidRPr="007D10AC">
        <w:rPr>
          <w:rFonts w:hAnsi="標楷體"/>
          <w:color w:val="000000" w:themeColor="text1"/>
        </w:rPr>
        <w:t>關另為適法處分，其後原處分機關所作成之處分，可能仍維持原稅額及罰鍰，或</w:t>
      </w:r>
      <w:r w:rsidRPr="007D10AC">
        <w:rPr>
          <w:rFonts w:hAnsi="標楷體" w:hint="eastAsia"/>
          <w:color w:val="000000" w:themeColor="text1"/>
        </w:rPr>
        <w:t>僅修改稅額再度發單，惟</w:t>
      </w:r>
      <w:r w:rsidRPr="007D10AC">
        <w:rPr>
          <w:rFonts w:hAnsi="標楷體"/>
          <w:color w:val="000000" w:themeColor="text1"/>
        </w:rPr>
        <w:t>仍難</w:t>
      </w:r>
      <w:r w:rsidRPr="007D10AC">
        <w:rPr>
          <w:rFonts w:hAnsi="標楷體" w:hint="eastAsia"/>
          <w:color w:val="000000" w:themeColor="text1"/>
        </w:rPr>
        <w:t>被</w:t>
      </w:r>
      <w:r w:rsidR="007C43CA" w:rsidRPr="007D10AC">
        <w:rPr>
          <w:rFonts w:hAnsi="標楷體"/>
          <w:color w:val="000000" w:themeColor="text1"/>
        </w:rPr>
        <w:t>納稅者</w:t>
      </w:r>
      <w:r w:rsidRPr="007D10AC">
        <w:rPr>
          <w:rFonts w:hAnsi="標楷體"/>
          <w:color w:val="000000" w:themeColor="text1"/>
        </w:rPr>
        <w:t>所接受而續行爭訟，如此反覆結果</w:t>
      </w:r>
      <w:r w:rsidRPr="007D10AC">
        <w:rPr>
          <w:rFonts w:hAnsi="標楷體" w:hint="eastAsia"/>
          <w:color w:val="000000" w:themeColor="text1"/>
        </w:rPr>
        <w:t>造成案件懸而不決</w:t>
      </w:r>
      <w:r w:rsidRPr="007D10AC">
        <w:rPr>
          <w:rFonts w:hAnsi="標楷體"/>
          <w:color w:val="000000" w:themeColor="text1"/>
        </w:rPr>
        <w:t>。</w:t>
      </w:r>
      <w:r w:rsidRPr="007D10AC">
        <w:rPr>
          <w:rFonts w:hAnsi="標楷體" w:hint="eastAsia"/>
          <w:color w:val="000000" w:themeColor="text1"/>
        </w:rPr>
        <w:t>依</w:t>
      </w:r>
      <w:r w:rsidR="002633C1" w:rsidRPr="007D10AC">
        <w:rPr>
          <w:rFonts w:hAnsi="標楷體" w:hint="eastAsia"/>
          <w:color w:val="000000" w:themeColor="text1"/>
        </w:rPr>
        <w:t>據</w:t>
      </w:r>
      <w:r w:rsidR="00497755" w:rsidRPr="007D10AC">
        <w:rPr>
          <w:rFonts w:hAnsi="標楷體" w:hint="eastAsia"/>
          <w:color w:val="000000" w:themeColor="text1"/>
        </w:rPr>
        <w:t>財政部</w:t>
      </w:r>
      <w:r w:rsidRPr="007D10AC">
        <w:rPr>
          <w:rFonts w:hAnsi="標楷體" w:hint="eastAsia"/>
          <w:color w:val="000000" w:themeColor="text1"/>
        </w:rPr>
        <w:t>賦稅署提供資料顯示，</w:t>
      </w:r>
      <w:r w:rsidR="00F54B52" w:rsidRPr="007D10AC">
        <w:rPr>
          <w:rFonts w:hAnsi="標楷體" w:hint="eastAsia"/>
          <w:color w:val="000000" w:themeColor="text1"/>
        </w:rPr>
        <w:t>105至109年度稅務案件行政救濟程序完結，惟復查決定曾經行政法院判決撤銷後，再經</w:t>
      </w:r>
      <w:proofErr w:type="gramStart"/>
      <w:r w:rsidR="00F54B52" w:rsidRPr="007D10AC">
        <w:rPr>
          <w:rFonts w:hAnsi="標楷體" w:hint="eastAsia"/>
          <w:color w:val="000000" w:themeColor="text1"/>
        </w:rPr>
        <w:t>稽</w:t>
      </w:r>
      <w:proofErr w:type="gramEnd"/>
      <w:r w:rsidR="00F54B52" w:rsidRPr="007D10AC">
        <w:rPr>
          <w:rFonts w:hAnsi="標楷體" w:hint="eastAsia"/>
          <w:color w:val="000000" w:themeColor="text1"/>
        </w:rPr>
        <w:t>徵機關重為處分及復查決定計1</w:t>
      </w:r>
      <w:r w:rsidR="00F54B52" w:rsidRPr="007D10AC">
        <w:rPr>
          <w:rFonts w:hAnsi="標楷體"/>
          <w:color w:val="000000" w:themeColor="text1"/>
        </w:rPr>
        <w:t>36</w:t>
      </w:r>
      <w:r w:rsidR="00F54B52" w:rsidRPr="007D10AC">
        <w:rPr>
          <w:rFonts w:hAnsi="標楷體" w:hint="eastAsia"/>
          <w:color w:val="000000" w:themeColor="text1"/>
        </w:rPr>
        <w:t>件</w:t>
      </w:r>
      <w:r w:rsidR="00273637" w:rsidRPr="007D10AC">
        <w:rPr>
          <w:rFonts w:hAnsi="標楷體" w:hint="eastAsia"/>
          <w:color w:val="000000" w:themeColor="text1"/>
        </w:rPr>
        <w:t>（詳表</w:t>
      </w:r>
      <w:r w:rsidR="00273637" w:rsidRPr="007D10AC">
        <w:rPr>
          <w:rFonts w:hAnsi="標楷體"/>
          <w:color w:val="000000" w:themeColor="text1"/>
        </w:rPr>
        <w:t>10</w:t>
      </w:r>
      <w:r w:rsidR="00273637" w:rsidRPr="007D10AC">
        <w:rPr>
          <w:rFonts w:hAnsi="標楷體" w:hint="eastAsia"/>
          <w:color w:val="000000" w:themeColor="text1"/>
        </w:rPr>
        <w:t>）</w:t>
      </w:r>
      <w:r w:rsidR="00F54B52" w:rsidRPr="007D10AC">
        <w:rPr>
          <w:rFonts w:hAnsi="標楷體" w:hint="eastAsia"/>
          <w:color w:val="000000" w:themeColor="text1"/>
        </w:rPr>
        <w:t>，其中重為復查決定2次計1</w:t>
      </w:r>
      <w:r w:rsidR="00F54B52" w:rsidRPr="007D10AC">
        <w:rPr>
          <w:rFonts w:hAnsi="標楷體"/>
          <w:color w:val="000000" w:themeColor="text1"/>
        </w:rPr>
        <w:t>3</w:t>
      </w:r>
      <w:r w:rsidR="00F54B52" w:rsidRPr="007D10AC">
        <w:rPr>
          <w:rFonts w:hAnsi="標楷體" w:hint="eastAsia"/>
          <w:color w:val="000000" w:themeColor="text1"/>
        </w:rPr>
        <w:t>件，行政救濟期間3至1</w:t>
      </w:r>
      <w:r w:rsidR="00F54B52" w:rsidRPr="007D10AC">
        <w:rPr>
          <w:rFonts w:hAnsi="標楷體"/>
          <w:color w:val="000000" w:themeColor="text1"/>
        </w:rPr>
        <w:t>0</w:t>
      </w:r>
      <w:r w:rsidR="00F54B52" w:rsidRPr="007D10AC">
        <w:rPr>
          <w:rFonts w:hAnsi="標楷體" w:hint="eastAsia"/>
          <w:color w:val="000000" w:themeColor="text1"/>
        </w:rPr>
        <w:t>年</w:t>
      </w:r>
      <w:r w:rsidR="00685EAF" w:rsidRPr="007D10AC">
        <w:rPr>
          <w:rFonts w:hAnsi="標楷體" w:hint="eastAsia"/>
          <w:color w:val="000000" w:themeColor="text1"/>
        </w:rPr>
        <w:t>計8</w:t>
      </w:r>
      <w:r w:rsidR="00685EAF" w:rsidRPr="007D10AC">
        <w:rPr>
          <w:rFonts w:hAnsi="標楷體"/>
          <w:color w:val="000000" w:themeColor="text1"/>
        </w:rPr>
        <w:t>7</w:t>
      </w:r>
      <w:r w:rsidR="00685EAF" w:rsidRPr="007D10AC">
        <w:rPr>
          <w:rFonts w:hAnsi="標楷體" w:hint="eastAsia"/>
          <w:color w:val="000000" w:themeColor="text1"/>
        </w:rPr>
        <w:t>件，</w:t>
      </w:r>
      <w:r w:rsidR="00F54B52" w:rsidRPr="007D10AC">
        <w:rPr>
          <w:rFonts w:hAnsi="標楷體" w:hint="eastAsia"/>
          <w:color w:val="000000" w:themeColor="text1"/>
        </w:rPr>
        <w:t>超逾1</w:t>
      </w:r>
      <w:r w:rsidR="00F54B52" w:rsidRPr="007D10AC">
        <w:rPr>
          <w:rFonts w:hAnsi="標楷體"/>
          <w:color w:val="000000" w:themeColor="text1"/>
        </w:rPr>
        <w:t>0</w:t>
      </w:r>
      <w:r w:rsidR="00F54B52" w:rsidRPr="007D10AC">
        <w:rPr>
          <w:rFonts w:hAnsi="標楷體" w:hint="eastAsia"/>
          <w:color w:val="000000" w:themeColor="text1"/>
        </w:rPr>
        <w:t>年計2</w:t>
      </w:r>
      <w:r w:rsidR="00F54B52" w:rsidRPr="007D10AC">
        <w:rPr>
          <w:rFonts w:hAnsi="標楷體"/>
          <w:color w:val="000000" w:themeColor="text1"/>
        </w:rPr>
        <w:t>9</w:t>
      </w:r>
      <w:r w:rsidR="00F54B52" w:rsidRPr="007D10AC">
        <w:rPr>
          <w:rFonts w:hAnsi="標楷體" w:hint="eastAsia"/>
          <w:color w:val="000000" w:themeColor="text1"/>
        </w:rPr>
        <w:t>件；又</w:t>
      </w:r>
      <w:r w:rsidR="008768AF" w:rsidRPr="007D10AC">
        <w:rPr>
          <w:rFonts w:hAnsi="標楷體" w:hint="eastAsia"/>
          <w:color w:val="000000" w:themeColor="text1"/>
        </w:rPr>
        <w:t>截至109年12月31日行政救濟尚未確定，且曾經行政法院撤銷</w:t>
      </w:r>
      <w:r w:rsidRPr="007D10AC">
        <w:rPr>
          <w:rFonts w:hAnsi="標楷體" w:hint="eastAsia"/>
          <w:color w:val="000000" w:themeColor="text1"/>
        </w:rPr>
        <w:t>訴願決定及原處分（即復查決定），惟</w:t>
      </w:r>
      <w:proofErr w:type="gramStart"/>
      <w:r w:rsidRPr="007D10AC">
        <w:rPr>
          <w:rFonts w:hAnsi="標楷體" w:hint="eastAsia"/>
          <w:color w:val="000000" w:themeColor="text1"/>
        </w:rPr>
        <w:t>稽</w:t>
      </w:r>
      <w:proofErr w:type="gramEnd"/>
      <w:r w:rsidRPr="007D10AC">
        <w:rPr>
          <w:rFonts w:hAnsi="標楷體" w:hint="eastAsia"/>
          <w:color w:val="000000" w:themeColor="text1"/>
        </w:rPr>
        <w:t>徵機關仍重為復查決定計</w:t>
      </w:r>
      <w:r w:rsidR="003A431F" w:rsidRPr="007D10AC">
        <w:rPr>
          <w:rFonts w:hAnsi="標楷體" w:hint="eastAsia"/>
          <w:color w:val="000000" w:themeColor="text1"/>
        </w:rPr>
        <w:t>4</w:t>
      </w:r>
      <w:r w:rsidR="00F54B52" w:rsidRPr="007D10AC">
        <w:rPr>
          <w:rFonts w:hAnsi="標楷體"/>
          <w:color w:val="000000" w:themeColor="text1"/>
        </w:rPr>
        <w:t>8</w:t>
      </w:r>
      <w:r w:rsidRPr="007D10AC">
        <w:rPr>
          <w:rFonts w:hAnsi="標楷體" w:hint="eastAsia"/>
          <w:color w:val="000000" w:themeColor="text1"/>
        </w:rPr>
        <w:t>件</w:t>
      </w:r>
      <w:r w:rsidR="008768AF" w:rsidRPr="007D10AC">
        <w:rPr>
          <w:rFonts w:hAnsi="標楷體" w:hint="eastAsia"/>
          <w:color w:val="000000" w:themeColor="text1"/>
        </w:rPr>
        <w:t>（詳表</w:t>
      </w:r>
      <w:r w:rsidR="00816952" w:rsidRPr="007D10AC">
        <w:rPr>
          <w:rFonts w:hAnsi="標楷體"/>
          <w:color w:val="000000" w:themeColor="text1"/>
        </w:rPr>
        <w:t>1</w:t>
      </w:r>
      <w:r w:rsidR="00273637" w:rsidRPr="007D10AC">
        <w:rPr>
          <w:rFonts w:hAnsi="標楷體"/>
          <w:color w:val="000000" w:themeColor="text1"/>
        </w:rPr>
        <w:t>1</w:t>
      </w:r>
      <w:r w:rsidR="008768AF" w:rsidRPr="007D10AC">
        <w:rPr>
          <w:rFonts w:hAnsi="標楷體" w:hint="eastAsia"/>
          <w:color w:val="000000" w:themeColor="text1"/>
        </w:rPr>
        <w:t>）</w:t>
      </w:r>
      <w:r w:rsidRPr="007D10AC">
        <w:rPr>
          <w:rFonts w:hAnsi="標楷體" w:hint="eastAsia"/>
          <w:color w:val="000000" w:themeColor="text1"/>
        </w:rPr>
        <w:t>，其中重為復查決定2次者</w:t>
      </w:r>
      <w:r w:rsidR="003A431F" w:rsidRPr="007D10AC">
        <w:rPr>
          <w:rFonts w:hAnsi="標楷體" w:hint="eastAsia"/>
          <w:color w:val="000000" w:themeColor="text1"/>
        </w:rPr>
        <w:t>計</w:t>
      </w:r>
      <w:r w:rsidR="008768AF" w:rsidRPr="007D10AC">
        <w:rPr>
          <w:rFonts w:hAnsi="標楷體"/>
          <w:color w:val="000000" w:themeColor="text1"/>
        </w:rPr>
        <w:t>4</w:t>
      </w:r>
      <w:r w:rsidRPr="007D10AC">
        <w:rPr>
          <w:rFonts w:hAnsi="標楷體" w:hint="eastAsia"/>
          <w:color w:val="000000" w:themeColor="text1"/>
        </w:rPr>
        <w:t>件</w:t>
      </w:r>
      <w:r w:rsidR="00F54B52" w:rsidRPr="007D10AC">
        <w:rPr>
          <w:rFonts w:hAnsi="標楷體" w:hint="eastAsia"/>
          <w:color w:val="000000" w:themeColor="text1"/>
        </w:rPr>
        <w:t>，</w:t>
      </w:r>
      <w:r w:rsidRPr="007D10AC">
        <w:rPr>
          <w:rFonts w:hAnsi="標楷體" w:hint="eastAsia"/>
          <w:color w:val="000000" w:themeColor="text1"/>
        </w:rPr>
        <w:t>行政救濟期間</w:t>
      </w:r>
      <w:r w:rsidR="008768AF" w:rsidRPr="007D10AC">
        <w:rPr>
          <w:rFonts w:hAnsi="標楷體" w:hint="eastAsia"/>
          <w:color w:val="000000" w:themeColor="text1"/>
        </w:rPr>
        <w:t>3至1</w:t>
      </w:r>
      <w:r w:rsidR="008768AF" w:rsidRPr="007D10AC">
        <w:rPr>
          <w:rFonts w:hAnsi="標楷體"/>
          <w:color w:val="000000" w:themeColor="text1"/>
        </w:rPr>
        <w:t>0</w:t>
      </w:r>
      <w:r w:rsidR="008768AF" w:rsidRPr="007D10AC">
        <w:rPr>
          <w:rFonts w:hAnsi="標楷體" w:hint="eastAsia"/>
          <w:color w:val="000000" w:themeColor="text1"/>
        </w:rPr>
        <w:t>年</w:t>
      </w:r>
      <w:r w:rsidR="00502FFB" w:rsidRPr="007D10AC">
        <w:rPr>
          <w:rFonts w:hAnsi="標楷體" w:hint="eastAsia"/>
          <w:color w:val="000000" w:themeColor="text1"/>
        </w:rPr>
        <w:t>計4</w:t>
      </w:r>
      <w:r w:rsidR="00502FFB" w:rsidRPr="007D10AC">
        <w:rPr>
          <w:rFonts w:hAnsi="標楷體"/>
          <w:color w:val="000000" w:themeColor="text1"/>
        </w:rPr>
        <w:t>3</w:t>
      </w:r>
      <w:r w:rsidR="00502FFB" w:rsidRPr="007D10AC">
        <w:rPr>
          <w:rFonts w:hAnsi="標楷體" w:hint="eastAsia"/>
          <w:color w:val="000000" w:themeColor="text1"/>
        </w:rPr>
        <w:t>件，</w:t>
      </w:r>
      <w:r w:rsidRPr="007D10AC">
        <w:rPr>
          <w:rFonts w:hAnsi="標楷體" w:hint="eastAsia"/>
          <w:color w:val="000000" w:themeColor="text1"/>
        </w:rPr>
        <w:t>超逾10年</w:t>
      </w:r>
      <w:r w:rsidR="00502FFB" w:rsidRPr="007D10AC">
        <w:rPr>
          <w:rFonts w:hAnsi="標楷體" w:hint="eastAsia"/>
          <w:color w:val="000000" w:themeColor="text1"/>
        </w:rPr>
        <w:t>計</w:t>
      </w:r>
      <w:r w:rsidR="008768AF" w:rsidRPr="007D10AC">
        <w:rPr>
          <w:rFonts w:hAnsi="標楷體" w:hint="eastAsia"/>
          <w:color w:val="000000" w:themeColor="text1"/>
        </w:rPr>
        <w:t>2</w:t>
      </w:r>
      <w:r w:rsidRPr="007D10AC">
        <w:rPr>
          <w:rFonts w:hAnsi="標楷體" w:hint="eastAsia"/>
          <w:color w:val="000000" w:themeColor="text1"/>
        </w:rPr>
        <w:t>件，</w:t>
      </w:r>
      <w:r w:rsidR="00F54B52" w:rsidRPr="007D10AC">
        <w:rPr>
          <w:rFonts w:hAnsi="標楷體" w:hint="eastAsia"/>
          <w:color w:val="000000" w:themeColor="text1"/>
        </w:rPr>
        <w:t>綜上可見</w:t>
      </w:r>
      <w:r w:rsidRPr="007D10AC">
        <w:rPr>
          <w:rFonts w:hAnsi="標楷體" w:hint="eastAsia"/>
          <w:color w:val="000000" w:themeColor="text1"/>
        </w:rPr>
        <w:t>稅務案件</w:t>
      </w:r>
      <w:r w:rsidR="00502FFB" w:rsidRPr="007D10AC">
        <w:rPr>
          <w:rFonts w:hAnsi="標楷體" w:hint="eastAsia"/>
          <w:color w:val="000000" w:themeColor="text1"/>
        </w:rPr>
        <w:t>經行政法院判決撤銷後又再</w:t>
      </w:r>
      <w:r w:rsidRPr="007D10AC">
        <w:rPr>
          <w:rFonts w:hAnsi="標楷體" w:hint="eastAsia"/>
          <w:color w:val="000000" w:themeColor="text1"/>
        </w:rPr>
        <w:t>反覆訴訟、</w:t>
      </w:r>
      <w:r w:rsidRPr="007D10AC">
        <w:rPr>
          <w:rFonts w:hAnsi="標楷體"/>
          <w:color w:val="000000" w:themeColor="text1"/>
        </w:rPr>
        <w:lastRenderedPageBreak/>
        <w:t>久懸未決</w:t>
      </w:r>
      <w:r w:rsidRPr="007D10AC">
        <w:rPr>
          <w:rFonts w:hAnsi="標楷體" w:hint="eastAsia"/>
          <w:color w:val="000000" w:themeColor="text1"/>
        </w:rPr>
        <w:t>，恐</w:t>
      </w:r>
      <w:r w:rsidRPr="007D10AC">
        <w:rPr>
          <w:rFonts w:hAnsi="標楷體"/>
          <w:color w:val="000000" w:themeColor="text1"/>
        </w:rPr>
        <w:t>影響政府形象及人民對司法</w:t>
      </w:r>
      <w:r w:rsidRPr="007D10AC">
        <w:rPr>
          <w:rFonts w:hAnsi="標楷體" w:hint="eastAsia"/>
          <w:color w:val="000000" w:themeColor="text1"/>
        </w:rPr>
        <w:t>之</w:t>
      </w:r>
      <w:r w:rsidRPr="007D10AC">
        <w:rPr>
          <w:rFonts w:hAnsi="標楷體"/>
          <w:color w:val="000000" w:themeColor="text1"/>
        </w:rPr>
        <w:t>信</w:t>
      </w:r>
      <w:r w:rsidRPr="007D10AC">
        <w:rPr>
          <w:rFonts w:hAnsi="標楷體" w:hint="eastAsia"/>
          <w:color w:val="000000" w:themeColor="text1"/>
        </w:rPr>
        <w:t>任。</w:t>
      </w:r>
    </w:p>
    <w:p w:rsidR="008F7AAA" w:rsidRPr="007D10AC" w:rsidRDefault="008F7AAA" w:rsidP="00417EB2">
      <w:pPr>
        <w:pStyle w:val="3"/>
        <w:numPr>
          <w:ilvl w:val="2"/>
          <w:numId w:val="1"/>
        </w:numPr>
        <w:spacing w:line="480" w:lineRule="exact"/>
        <w:rPr>
          <w:rFonts w:hAnsi="標楷體"/>
          <w:color w:val="000000" w:themeColor="text1"/>
        </w:rPr>
      </w:pPr>
      <w:r w:rsidRPr="007D10AC">
        <w:rPr>
          <w:rFonts w:hAnsi="標楷體" w:hint="eastAsia"/>
          <w:color w:val="000000" w:themeColor="text1"/>
        </w:rPr>
        <w:t>稅捐案件涉及全體國民或地方居民之</w:t>
      </w:r>
      <w:r w:rsidR="007C43CA" w:rsidRPr="007D10AC">
        <w:rPr>
          <w:rFonts w:hAnsi="標楷體" w:hint="eastAsia"/>
          <w:color w:val="000000" w:themeColor="text1"/>
        </w:rPr>
        <w:t>納稅者</w:t>
      </w:r>
      <w:r w:rsidRPr="007D10AC">
        <w:rPr>
          <w:rFonts w:hAnsi="標楷體" w:hint="eastAsia"/>
          <w:color w:val="000000" w:themeColor="text1"/>
        </w:rPr>
        <w:t>，性質上為大量、反覆之事件，</w:t>
      </w:r>
      <w:proofErr w:type="gramStart"/>
      <w:r w:rsidRPr="007D10AC">
        <w:rPr>
          <w:rFonts w:hAnsi="標楷體" w:hint="eastAsia"/>
          <w:color w:val="000000" w:themeColor="text1"/>
        </w:rPr>
        <w:t>稽</w:t>
      </w:r>
      <w:proofErr w:type="gramEnd"/>
      <w:r w:rsidRPr="007D10AC">
        <w:rPr>
          <w:rFonts w:hAnsi="標楷體" w:hint="eastAsia"/>
          <w:color w:val="000000" w:themeColor="text1"/>
        </w:rPr>
        <w:t>徵機關為講求稽徵效率，迅速處理起見，難免認事用法發生錯誤，而有賴行政救濟程序加以糾正，以符依法課稅原則，並維護</w:t>
      </w:r>
      <w:r w:rsidR="007C43CA" w:rsidRPr="007D10AC">
        <w:rPr>
          <w:rFonts w:hAnsi="標楷體" w:hint="eastAsia"/>
          <w:color w:val="000000" w:themeColor="text1"/>
        </w:rPr>
        <w:t>納稅者</w:t>
      </w:r>
      <w:r w:rsidRPr="007D10AC">
        <w:rPr>
          <w:rFonts w:hAnsi="標楷體" w:hint="eastAsia"/>
          <w:color w:val="000000" w:themeColor="text1"/>
        </w:rPr>
        <w:t>權利。又稅捐事件經常涉及稅務會計之專業知識，並需查核帳簿憑證，調查許多複雜之事實與證據，故必須備有充分專業人力始能處理。因此，為減輕訴願機關及行政法院的工作負擔，疏減訟源，並使稽徵機關就近本於其查核專業，重新查核，以維護</w:t>
      </w:r>
      <w:r w:rsidR="007C43CA" w:rsidRPr="007D10AC">
        <w:rPr>
          <w:rFonts w:hAnsi="標楷體" w:hint="eastAsia"/>
          <w:color w:val="000000" w:themeColor="text1"/>
        </w:rPr>
        <w:t>納稅者</w:t>
      </w:r>
      <w:r w:rsidRPr="007D10AC">
        <w:rPr>
          <w:rFonts w:hAnsi="標楷體" w:hint="eastAsia"/>
          <w:color w:val="000000" w:themeColor="text1"/>
        </w:rPr>
        <w:t>權益，有關稅捐行政救濟程序，乃採復查前置主義。對於稽徵機關的課稅處分，強制規定非經申請復查，不得逕行提起訴願。惟</w:t>
      </w:r>
      <w:r w:rsidRPr="007D10AC">
        <w:rPr>
          <w:rFonts w:hAnsi="標楷體"/>
          <w:color w:val="000000" w:themeColor="text1"/>
        </w:rPr>
        <w:t>實務上認為「訴訟即以該復查決定為對象，且復查決定經法院判決撤銷後，原核定處分仍屬存在，並未當然同時歸於消滅」之見解，</w:t>
      </w:r>
      <w:r w:rsidRPr="007D10AC">
        <w:rPr>
          <w:rFonts w:hAnsi="標楷體" w:hint="eastAsia"/>
          <w:color w:val="000000" w:themeColor="text1"/>
        </w:rPr>
        <w:t>反而導致</w:t>
      </w:r>
      <w:r w:rsidRPr="007D10AC">
        <w:rPr>
          <w:rFonts w:hAnsi="標楷體"/>
          <w:color w:val="000000" w:themeColor="text1"/>
        </w:rPr>
        <w:t>實質上</w:t>
      </w:r>
      <w:r w:rsidRPr="007D10AC">
        <w:rPr>
          <w:rFonts w:hAnsi="標楷體" w:hint="eastAsia"/>
          <w:color w:val="000000" w:themeColor="text1"/>
        </w:rPr>
        <w:t>無法</w:t>
      </w:r>
      <w:r w:rsidRPr="007D10AC">
        <w:rPr>
          <w:rFonts w:hAnsi="標楷體"/>
          <w:color w:val="000000" w:themeColor="text1"/>
        </w:rPr>
        <w:t>讓人民藉由訴訟權行使獲得「及時有效」之救濟</w:t>
      </w:r>
      <w:r w:rsidR="002633C1" w:rsidRPr="007D10AC">
        <w:rPr>
          <w:rFonts w:hAnsi="標楷體" w:hint="eastAsia"/>
          <w:color w:val="000000" w:themeColor="text1"/>
        </w:rPr>
        <w:t>，並</w:t>
      </w:r>
      <w:r w:rsidR="002633C1" w:rsidRPr="007D10AC">
        <w:rPr>
          <w:rFonts w:hAnsi="標楷體"/>
          <w:color w:val="000000" w:themeColor="text1"/>
        </w:rPr>
        <w:t>造成案件延宕，人民卻須負擔利息及財產權因禁止處分而受限制，侵害賦稅人權之情形</w:t>
      </w:r>
      <w:r w:rsidR="00022AAA" w:rsidRPr="007D10AC">
        <w:rPr>
          <w:rFonts w:hAnsi="標楷體" w:hint="eastAsia"/>
          <w:color w:val="000000" w:themeColor="text1"/>
        </w:rPr>
        <w:t>。</w:t>
      </w:r>
    </w:p>
    <w:p w:rsidR="008F7AAA" w:rsidRPr="007D10AC" w:rsidRDefault="008F7AAA" w:rsidP="00417EB2">
      <w:pPr>
        <w:pStyle w:val="3"/>
        <w:spacing w:line="480" w:lineRule="exact"/>
        <w:rPr>
          <w:rFonts w:hAnsi="標楷體"/>
          <w:color w:val="000000" w:themeColor="text1"/>
        </w:rPr>
      </w:pPr>
      <w:r w:rsidRPr="007D10AC">
        <w:rPr>
          <w:rFonts w:hAnsi="標楷體" w:hint="eastAsia"/>
          <w:color w:val="000000" w:themeColor="text1"/>
        </w:rPr>
        <w:t>對原課稅處分不服，而踐行申請復查等訴願前之先行程序，該行政爭訟之程序標的，究為原課稅處分或復查決定﹖向有爭議。就此，實務見解指出，參酌稅捐稽徵法第</w:t>
      </w:r>
      <w:r w:rsidRPr="007D10AC">
        <w:rPr>
          <w:rFonts w:hAnsi="標楷體"/>
          <w:color w:val="000000" w:themeColor="text1"/>
        </w:rPr>
        <w:t>35</w:t>
      </w:r>
      <w:r w:rsidRPr="007D10AC">
        <w:rPr>
          <w:rFonts w:hAnsi="標楷體" w:hint="eastAsia"/>
          <w:color w:val="000000" w:themeColor="text1"/>
        </w:rPr>
        <w:t>條第</w:t>
      </w:r>
      <w:r w:rsidRPr="007D10AC">
        <w:rPr>
          <w:rFonts w:hAnsi="標楷體"/>
          <w:color w:val="000000" w:themeColor="text1"/>
        </w:rPr>
        <w:t>1</w:t>
      </w:r>
      <w:r w:rsidRPr="007D10AC">
        <w:rPr>
          <w:rFonts w:hAnsi="標楷體" w:hint="eastAsia"/>
          <w:color w:val="000000" w:themeColor="text1"/>
        </w:rPr>
        <w:t>項規定「納稅義務人對於核定稅捐之處分如有不服，應依規定格式，敘明理由，連同証明文件，依左列規定申請復查……」及第</w:t>
      </w:r>
      <w:r w:rsidRPr="007D10AC">
        <w:rPr>
          <w:rFonts w:hAnsi="標楷體"/>
          <w:color w:val="000000" w:themeColor="text1"/>
        </w:rPr>
        <w:t>38</w:t>
      </w:r>
      <w:r w:rsidRPr="007D10AC">
        <w:rPr>
          <w:rFonts w:hAnsi="標楷體" w:hint="eastAsia"/>
          <w:color w:val="000000" w:themeColor="text1"/>
        </w:rPr>
        <w:t>條第</w:t>
      </w:r>
      <w:r w:rsidRPr="007D10AC">
        <w:rPr>
          <w:rFonts w:hAnsi="標楷體"/>
          <w:color w:val="000000" w:themeColor="text1"/>
        </w:rPr>
        <w:t>1</w:t>
      </w:r>
      <w:r w:rsidRPr="007D10AC">
        <w:rPr>
          <w:rFonts w:hAnsi="標楷體" w:hint="eastAsia"/>
          <w:color w:val="000000" w:themeColor="text1"/>
        </w:rPr>
        <w:t>項規定「納稅義務人對於稅捐稽徵機關之復查決定如有不服，得依法提起訴願及行政訴訟」，當事人對於核定稅捐處分如有不服，應申請復</w:t>
      </w:r>
      <w:r w:rsidRPr="007D10AC">
        <w:rPr>
          <w:rFonts w:hAnsi="標楷體" w:hint="eastAsia"/>
          <w:color w:val="000000" w:themeColor="text1"/>
        </w:rPr>
        <w:lastRenderedPageBreak/>
        <w:t>查，經復查程序後，如仍有不服，僅得對復查決定提起訴願。參酌行政法院</w:t>
      </w:r>
      <w:r w:rsidRPr="007D10AC">
        <w:rPr>
          <w:rFonts w:hAnsi="標楷體"/>
          <w:color w:val="000000" w:themeColor="text1"/>
        </w:rPr>
        <w:t>48</w:t>
      </w:r>
      <w:r w:rsidRPr="007D10AC">
        <w:rPr>
          <w:rFonts w:hAnsi="標楷體" w:hint="eastAsia"/>
          <w:color w:val="000000" w:themeColor="text1"/>
        </w:rPr>
        <w:t>裁</w:t>
      </w:r>
      <w:r w:rsidRPr="007D10AC">
        <w:rPr>
          <w:rFonts w:hAnsi="標楷體"/>
          <w:color w:val="000000" w:themeColor="text1"/>
        </w:rPr>
        <w:t>40</w:t>
      </w:r>
      <w:r w:rsidRPr="007D10AC">
        <w:rPr>
          <w:rFonts w:hAnsi="標楷體" w:hint="eastAsia"/>
          <w:color w:val="000000" w:themeColor="text1"/>
        </w:rPr>
        <w:t>判例「查關於再審原告所得稅部分之原處分及訴願再訴願決定，業經本院原判決予以撤銷，應由再審被告官署依復查程序另為處分」，故稅務行政訴訟判決，應以「復查決定」為標的（最高行政法院</w:t>
      </w:r>
      <w:r w:rsidRPr="007D10AC">
        <w:rPr>
          <w:rFonts w:hAnsi="標楷體"/>
          <w:color w:val="000000" w:themeColor="text1"/>
        </w:rPr>
        <w:t>94</w:t>
      </w:r>
      <w:r w:rsidRPr="007D10AC">
        <w:rPr>
          <w:rFonts w:hAnsi="標楷體" w:hint="eastAsia"/>
          <w:color w:val="000000" w:themeColor="text1"/>
        </w:rPr>
        <w:t>年度判字第</w:t>
      </w:r>
      <w:r w:rsidRPr="007D10AC">
        <w:rPr>
          <w:rFonts w:hAnsi="標楷體"/>
          <w:color w:val="000000" w:themeColor="text1"/>
        </w:rPr>
        <w:t>1579</w:t>
      </w:r>
      <w:r w:rsidRPr="007D10AC">
        <w:rPr>
          <w:rFonts w:hAnsi="標楷體" w:hint="eastAsia"/>
          <w:color w:val="000000" w:themeColor="text1"/>
        </w:rPr>
        <w:t>號判決）。</w:t>
      </w:r>
    </w:p>
    <w:p w:rsidR="00FF6DB2" w:rsidRPr="007D10AC" w:rsidRDefault="00022AAA" w:rsidP="00417EB2">
      <w:pPr>
        <w:pStyle w:val="3"/>
        <w:spacing w:line="480" w:lineRule="exact"/>
        <w:rPr>
          <w:rFonts w:hAnsi="標楷體"/>
          <w:color w:val="000000" w:themeColor="text1"/>
        </w:rPr>
      </w:pPr>
      <w:r w:rsidRPr="007D10AC">
        <w:rPr>
          <w:rFonts w:hAnsi="標楷體" w:hint="eastAsia"/>
          <w:color w:val="000000" w:themeColor="text1"/>
        </w:rPr>
        <w:t>惟</w:t>
      </w:r>
      <w:r w:rsidR="008F7AAA" w:rsidRPr="007D10AC">
        <w:rPr>
          <w:rFonts w:hAnsi="標楷體" w:hint="eastAsia"/>
          <w:color w:val="000000" w:themeColor="text1"/>
        </w:rPr>
        <w:t>法安定性作為重要之公法原則，稅捐行政救濟制度之建立，亦應遵守法安定性之要求。因此，在稅捐復查決定被依法撤銷變更，復查決定是否取代原處分，原處分於復查決定作成後是否即不復存在？</w:t>
      </w:r>
      <w:r w:rsidRPr="007D10AC">
        <w:rPr>
          <w:rFonts w:hAnsi="標楷體" w:hint="eastAsia"/>
          <w:color w:val="000000" w:themeColor="text1"/>
        </w:rPr>
        <w:t>若</w:t>
      </w:r>
      <w:r w:rsidR="008F7AAA" w:rsidRPr="007D10AC">
        <w:rPr>
          <w:rFonts w:hAnsi="標楷體" w:hint="eastAsia"/>
          <w:color w:val="000000" w:themeColor="text1"/>
        </w:rPr>
        <w:t>認為僅回復至申請復查程序，原處分未撤銷，則將經常造成反覆爭訟之不安狀態，稅捐法律關係無法確定致妨礙法安定性</w:t>
      </w:r>
      <w:r w:rsidRPr="007D10AC">
        <w:rPr>
          <w:rFonts w:hAnsi="標楷體" w:hint="eastAsia"/>
          <w:color w:val="000000" w:themeColor="text1"/>
        </w:rPr>
        <w:t>，並</w:t>
      </w:r>
      <w:r w:rsidR="008F7AAA" w:rsidRPr="007D10AC">
        <w:rPr>
          <w:rFonts w:hAnsi="標楷體" w:hint="eastAsia"/>
          <w:color w:val="000000" w:themeColor="text1"/>
        </w:rPr>
        <w:t>形成萬年稅單之結果；再者，倘行政救濟標的僅係針對復查決定，而原處分卻未納入稅捐爭訟程序標的，造成行政法院未予審查及裁判，則行政法院</w:t>
      </w:r>
      <w:r w:rsidRPr="007D10AC">
        <w:rPr>
          <w:rFonts w:hAnsi="標楷體" w:hint="eastAsia"/>
          <w:color w:val="000000" w:themeColor="text1"/>
        </w:rPr>
        <w:t>將無法</w:t>
      </w:r>
      <w:r w:rsidR="008F7AAA" w:rsidRPr="007D10AC">
        <w:rPr>
          <w:rFonts w:hAnsi="標楷體" w:hint="eastAsia"/>
          <w:color w:val="000000" w:themeColor="text1"/>
        </w:rPr>
        <w:t>作成變更原處分核定之應納稅額之判決</w:t>
      </w:r>
      <w:r w:rsidRPr="007D10AC">
        <w:rPr>
          <w:rFonts w:hAnsi="標楷體" w:hint="eastAsia"/>
          <w:color w:val="000000" w:themeColor="text1"/>
        </w:rPr>
        <w:t>。</w:t>
      </w:r>
      <w:r w:rsidR="00C926C7" w:rsidRPr="007D10AC">
        <w:rPr>
          <w:rFonts w:hAnsi="標楷體" w:hint="eastAsia"/>
          <w:color w:val="000000" w:themeColor="text1"/>
        </w:rPr>
        <w:t>財政部雖以107年3月15日台財稅字第10704536520號令補充核釋50年5月25日台財稅發第03497號函如下：本函係適用於稅捐案件依法申請復查及提起訴願，經訴願決定認為復查決定違法或不當，原處分機關應重行查核，撤銷復查決定之情形。稅捐案件依法申請復查及提起訴願，經訴願決定認為復查決定及原核定稅捐處分均違法或不當，且無重行查核必要，撤銷復查決定及原核定稅捐處分者，非本函適用範圍。</w:t>
      </w:r>
    </w:p>
    <w:p w:rsidR="008F7AAA" w:rsidRPr="007D10AC" w:rsidRDefault="00FF6DB2" w:rsidP="00417EB2">
      <w:pPr>
        <w:pStyle w:val="3"/>
        <w:spacing w:line="480" w:lineRule="exact"/>
        <w:rPr>
          <w:rFonts w:hAnsi="標楷體"/>
          <w:color w:val="000000" w:themeColor="text1"/>
        </w:rPr>
      </w:pPr>
      <w:r w:rsidRPr="007D10AC">
        <w:rPr>
          <w:rFonts w:hAnsi="標楷體" w:hint="eastAsia"/>
          <w:color w:val="000000" w:themeColor="text1"/>
        </w:rPr>
        <w:t>惟如財政部自承略</w:t>
      </w:r>
      <w:proofErr w:type="gramStart"/>
      <w:r w:rsidRPr="007D10AC">
        <w:rPr>
          <w:rFonts w:hAnsi="標楷體" w:hint="eastAsia"/>
          <w:color w:val="000000" w:themeColor="text1"/>
        </w:rPr>
        <w:t>以</w:t>
      </w:r>
      <w:proofErr w:type="gramEnd"/>
      <w:r w:rsidRPr="007D10AC">
        <w:rPr>
          <w:rFonts w:hAnsi="標楷體" w:hint="eastAsia"/>
          <w:color w:val="000000" w:themeColor="text1"/>
        </w:rPr>
        <w:t>，依現行司法實務，對於課稅事實尚不明確之稅捐爭議案件，為保留稅捐稽徵機</w:t>
      </w:r>
      <w:r w:rsidRPr="007D10AC">
        <w:rPr>
          <w:rFonts w:hAnsi="標楷體" w:hint="eastAsia"/>
          <w:color w:val="000000" w:themeColor="text1"/>
        </w:rPr>
        <w:lastRenderedPageBreak/>
        <w:t>關重為斟酌之空間，避免影響國家租稅債權及稽徵公平，原則上採取「裁決主義」，僅撤銷至復查決定，並囑由原處分機關查明事實後重為復查決定，原核定稅捐處分不受行政訴訟結果之影響，例外僅在原核定稅捐處分明顯違法，個案中完全沒有核課或裁罰之可行性時，始撤銷至原核定稅捐處分，此有臺北高等行政法院</w:t>
      </w:r>
      <w:proofErr w:type="gramStart"/>
      <w:r w:rsidRPr="007D10AC">
        <w:rPr>
          <w:rFonts w:hAnsi="標楷體" w:hint="eastAsia"/>
          <w:color w:val="000000" w:themeColor="text1"/>
        </w:rPr>
        <w:t>91年度訴字第3766</w:t>
      </w:r>
      <w:proofErr w:type="gramEnd"/>
      <w:r w:rsidRPr="007D10AC">
        <w:rPr>
          <w:rFonts w:hAnsi="標楷體" w:hint="eastAsia"/>
          <w:color w:val="000000" w:themeColor="text1"/>
        </w:rPr>
        <w:t>號判決、最高行政法院92年度判字第902號判決、</w:t>
      </w:r>
      <w:proofErr w:type="gramStart"/>
      <w:r w:rsidRPr="007D10AC">
        <w:rPr>
          <w:rFonts w:hAnsi="標楷體" w:hint="eastAsia"/>
          <w:color w:val="000000" w:themeColor="text1"/>
        </w:rPr>
        <w:t>10</w:t>
      </w:r>
      <w:proofErr w:type="gramEnd"/>
      <w:r w:rsidRPr="007D10AC">
        <w:rPr>
          <w:rFonts w:hAnsi="標楷體" w:hint="eastAsia"/>
          <w:color w:val="000000" w:themeColor="text1"/>
        </w:rPr>
        <w:t>0年度判字第1548號判決及</w:t>
      </w:r>
      <w:proofErr w:type="gramStart"/>
      <w:r w:rsidRPr="007D10AC">
        <w:rPr>
          <w:rFonts w:hAnsi="標楷體" w:hint="eastAsia"/>
          <w:color w:val="000000" w:themeColor="text1"/>
        </w:rPr>
        <w:t>10</w:t>
      </w:r>
      <w:proofErr w:type="gramEnd"/>
      <w:r w:rsidRPr="007D10AC">
        <w:rPr>
          <w:rFonts w:hAnsi="標楷體" w:hint="eastAsia"/>
          <w:color w:val="000000" w:themeColor="text1"/>
        </w:rPr>
        <w:t>5年度判字第475號判決可資參照。</w:t>
      </w:r>
      <w:proofErr w:type="gramStart"/>
      <w:r w:rsidRPr="007D10AC">
        <w:rPr>
          <w:rFonts w:hAnsi="標楷體" w:hint="eastAsia"/>
          <w:color w:val="000000" w:themeColor="text1"/>
        </w:rPr>
        <w:t>爰</w:t>
      </w:r>
      <w:proofErr w:type="gramEnd"/>
      <w:r w:rsidRPr="007D10AC">
        <w:rPr>
          <w:rFonts w:hAnsi="標楷體" w:hint="eastAsia"/>
          <w:color w:val="000000" w:themeColor="text1"/>
        </w:rPr>
        <w:t>行政法院之判決若僅撤銷至復查決定，亦恐難解決</w:t>
      </w:r>
      <w:r w:rsidR="00F352AD" w:rsidRPr="007D10AC">
        <w:rPr>
          <w:rFonts w:hAnsi="標楷體" w:hint="eastAsia"/>
          <w:color w:val="000000" w:themeColor="text1"/>
        </w:rPr>
        <w:t>陳年稅單反覆纏訟</w:t>
      </w:r>
      <w:r w:rsidRPr="007D10AC">
        <w:rPr>
          <w:rFonts w:hAnsi="標楷體" w:hint="eastAsia"/>
          <w:color w:val="000000" w:themeColor="text1"/>
        </w:rPr>
        <w:t>仍無法定案之問題。</w:t>
      </w:r>
    </w:p>
    <w:p w:rsidR="008F7AAA" w:rsidRPr="007D10AC" w:rsidRDefault="00FF6DB2" w:rsidP="00417EB2">
      <w:pPr>
        <w:pStyle w:val="3"/>
        <w:spacing w:line="480" w:lineRule="exact"/>
        <w:rPr>
          <w:rFonts w:hAnsi="標楷體"/>
          <w:color w:val="000000" w:themeColor="text1"/>
        </w:rPr>
      </w:pPr>
      <w:r w:rsidRPr="007D10AC">
        <w:rPr>
          <w:rFonts w:hAnsi="標楷體" w:hint="eastAsia"/>
          <w:color w:val="000000" w:themeColor="text1"/>
        </w:rPr>
        <w:t>綜上，按</w:t>
      </w:r>
      <w:bookmarkStart w:id="74" w:name="_Hlk99546101"/>
      <w:r w:rsidR="008F7AAA" w:rsidRPr="007D10AC">
        <w:rPr>
          <w:rFonts w:hAnsi="標楷體" w:hint="eastAsia"/>
          <w:color w:val="000000" w:themeColor="text1"/>
        </w:rPr>
        <w:t>稅捐機關擁有核課稅單之公權力，可供調查、勾</w:t>
      </w:r>
      <w:proofErr w:type="gramStart"/>
      <w:r w:rsidR="008F7AAA" w:rsidRPr="007D10AC">
        <w:rPr>
          <w:rFonts w:hAnsi="標楷體" w:hint="eastAsia"/>
          <w:color w:val="000000" w:themeColor="text1"/>
        </w:rPr>
        <w:t>稽</w:t>
      </w:r>
      <w:proofErr w:type="gramEnd"/>
      <w:r w:rsidR="008F7AAA" w:rsidRPr="007D10AC">
        <w:rPr>
          <w:rFonts w:hAnsi="標楷體" w:hint="eastAsia"/>
          <w:color w:val="000000" w:themeColor="text1"/>
        </w:rPr>
        <w:t>，且稅捐爭訟案件，納稅者勝訴比率已屬微小，倘維持原處分之復查決定經多次撤銷，顯見</w:t>
      </w:r>
      <w:proofErr w:type="gramStart"/>
      <w:r w:rsidR="008F7AAA" w:rsidRPr="007D10AC">
        <w:rPr>
          <w:rFonts w:hAnsi="標楷體" w:hint="eastAsia"/>
          <w:color w:val="000000" w:themeColor="text1"/>
        </w:rPr>
        <w:t>原處分確</w:t>
      </w:r>
      <w:proofErr w:type="gramEnd"/>
      <w:r w:rsidR="008F7AAA" w:rsidRPr="007D10AC">
        <w:rPr>
          <w:rFonts w:hAnsi="標楷體" w:hint="eastAsia"/>
          <w:color w:val="000000" w:themeColor="text1"/>
        </w:rPr>
        <w:t>有違誤，</w:t>
      </w:r>
      <w:r w:rsidR="00022AAA" w:rsidRPr="007D10AC">
        <w:rPr>
          <w:rFonts w:hAnsi="標楷體" w:hint="eastAsia"/>
          <w:color w:val="000000" w:themeColor="text1"/>
        </w:rPr>
        <w:t>若</w:t>
      </w:r>
      <w:r w:rsidR="008F7AAA" w:rsidRPr="007D10AC">
        <w:rPr>
          <w:rFonts w:hAnsi="標楷體" w:hint="eastAsia"/>
          <w:color w:val="000000" w:themeColor="text1"/>
        </w:rPr>
        <w:t>未能盡速確定，任由稽徵機關不斷重核復查發單，將嚴重侵害人民之財產權、</w:t>
      </w:r>
      <w:proofErr w:type="gramStart"/>
      <w:r w:rsidR="008F7AAA" w:rsidRPr="007D10AC">
        <w:rPr>
          <w:rFonts w:hAnsi="標楷體" w:hint="eastAsia"/>
          <w:color w:val="000000" w:themeColor="text1"/>
        </w:rPr>
        <w:t>訴願權</w:t>
      </w:r>
      <w:proofErr w:type="gramEnd"/>
      <w:r w:rsidR="008F7AAA" w:rsidRPr="007D10AC">
        <w:rPr>
          <w:rFonts w:hAnsi="標楷體" w:hint="eastAsia"/>
          <w:color w:val="000000" w:themeColor="text1"/>
        </w:rPr>
        <w:t>及訴訟權，且來回進行訴願及行政訴訟程序，浪費無數行政、司法資源及社會成本，違背稅捐程序正義之期待。為避免</w:t>
      </w:r>
      <w:r w:rsidR="00DD1E20" w:rsidRPr="007D10AC">
        <w:rPr>
          <w:rFonts w:hAnsi="標楷體" w:hint="eastAsia"/>
          <w:color w:val="000000" w:themeColor="text1"/>
        </w:rPr>
        <w:t>陳</w:t>
      </w:r>
      <w:r w:rsidR="008F7AAA" w:rsidRPr="007D10AC">
        <w:rPr>
          <w:rFonts w:hAnsi="標楷體" w:hint="eastAsia"/>
          <w:color w:val="000000" w:themeColor="text1"/>
        </w:rPr>
        <w:t>年稅單纏</w:t>
      </w:r>
      <w:proofErr w:type="gramStart"/>
      <w:r w:rsidR="008F7AAA" w:rsidRPr="007D10AC">
        <w:rPr>
          <w:rFonts w:hAnsi="標楷體" w:hint="eastAsia"/>
          <w:color w:val="000000" w:themeColor="text1"/>
        </w:rPr>
        <w:t>訟</w:t>
      </w:r>
      <w:proofErr w:type="gramEnd"/>
      <w:r w:rsidR="008F7AAA" w:rsidRPr="007D10AC">
        <w:rPr>
          <w:rFonts w:hAnsi="標楷體" w:hint="eastAsia"/>
          <w:color w:val="000000" w:themeColor="text1"/>
        </w:rPr>
        <w:t>多年仍無法定案，導致</w:t>
      </w:r>
      <w:r w:rsidR="007C43CA" w:rsidRPr="007D10AC">
        <w:rPr>
          <w:rFonts w:hAnsi="標楷體" w:hint="eastAsia"/>
          <w:color w:val="000000" w:themeColor="text1"/>
        </w:rPr>
        <w:t>納稅者</w:t>
      </w:r>
      <w:r w:rsidR="008F7AAA" w:rsidRPr="007D10AC">
        <w:rPr>
          <w:rFonts w:hAnsi="標楷體" w:hint="eastAsia"/>
          <w:color w:val="000000" w:themeColor="text1"/>
        </w:rPr>
        <w:t>遭受長年精神折磨，</w:t>
      </w:r>
      <w:r w:rsidR="007C43CA" w:rsidRPr="007D10AC">
        <w:rPr>
          <w:rFonts w:hAnsi="標楷體" w:hint="eastAsia"/>
          <w:color w:val="000000" w:themeColor="text1"/>
        </w:rPr>
        <w:t>財政部允應</w:t>
      </w:r>
      <w:r w:rsidR="008F7AAA" w:rsidRPr="007D10AC">
        <w:rPr>
          <w:rFonts w:hAnsi="標楷體" w:hint="eastAsia"/>
          <w:color w:val="000000" w:themeColor="text1"/>
        </w:rPr>
        <w:t>參考</w:t>
      </w:r>
      <w:proofErr w:type="gramStart"/>
      <w:r w:rsidR="008F7AAA" w:rsidRPr="007D10AC">
        <w:rPr>
          <w:rFonts w:hAnsi="標楷體" w:hint="eastAsia"/>
          <w:color w:val="000000" w:themeColor="text1"/>
        </w:rPr>
        <w:t>刑事</w:t>
      </w:r>
      <w:proofErr w:type="gramEnd"/>
      <w:r w:rsidR="008F7AAA" w:rsidRPr="007D10AC">
        <w:rPr>
          <w:rFonts w:hAnsi="標楷體" w:hint="eastAsia"/>
          <w:color w:val="000000" w:themeColor="text1"/>
        </w:rPr>
        <w:t>妥速審判法之立法原則，修法</w:t>
      </w:r>
      <w:r w:rsidR="007236F9" w:rsidRPr="007D10AC">
        <w:rPr>
          <w:rFonts w:hAnsi="標楷體" w:hint="eastAsia"/>
          <w:color w:val="000000" w:themeColor="text1"/>
        </w:rPr>
        <w:t>澈底</w:t>
      </w:r>
      <w:r w:rsidR="008F7AAA" w:rsidRPr="007D10AC">
        <w:rPr>
          <w:rFonts w:hAnsi="標楷體" w:hint="eastAsia"/>
          <w:color w:val="000000" w:themeColor="text1"/>
        </w:rPr>
        <w:t>解決萬年稅單之長年沉痾</w:t>
      </w:r>
      <w:r w:rsidR="00022AAA" w:rsidRPr="007D10AC">
        <w:rPr>
          <w:rFonts w:hAnsi="標楷體" w:hint="eastAsia"/>
          <w:color w:val="000000" w:themeColor="text1"/>
        </w:rPr>
        <w:t>，以儘速終結解決民怨</w:t>
      </w:r>
      <w:r w:rsidR="008F7AAA" w:rsidRPr="007D10AC">
        <w:rPr>
          <w:rFonts w:hAnsi="標楷體" w:hint="eastAsia"/>
          <w:color w:val="000000" w:themeColor="text1"/>
        </w:rPr>
        <w:t>，</w:t>
      </w:r>
      <w:r w:rsidR="00DD1E20" w:rsidRPr="007D10AC">
        <w:rPr>
          <w:rFonts w:hAnsi="標楷體" w:hint="eastAsia"/>
          <w:color w:val="000000" w:themeColor="text1"/>
        </w:rPr>
        <w:t>俾於納稅者權益保障與財政公益之間取得平衡</w:t>
      </w:r>
      <w:r w:rsidR="008F7AAA" w:rsidRPr="007D10AC">
        <w:rPr>
          <w:rFonts w:hAnsi="標楷體" w:hint="eastAsia"/>
          <w:color w:val="000000" w:themeColor="text1"/>
        </w:rPr>
        <w:t>。</w:t>
      </w:r>
      <w:bookmarkEnd w:id="74"/>
    </w:p>
    <w:p w:rsidR="009E2352" w:rsidRPr="007D10AC" w:rsidRDefault="009E2352">
      <w:pPr>
        <w:widowControl/>
        <w:overflowPunct/>
        <w:autoSpaceDE/>
        <w:autoSpaceDN/>
        <w:jc w:val="left"/>
        <w:rPr>
          <w:rFonts w:hAnsi="標楷體"/>
          <w:bCs/>
          <w:color w:val="000000" w:themeColor="text1"/>
          <w:spacing w:val="-10"/>
          <w:kern w:val="28"/>
          <w:sz w:val="28"/>
          <w:szCs w:val="36"/>
        </w:rPr>
      </w:pPr>
      <w:r w:rsidRPr="007D10AC">
        <w:rPr>
          <w:rFonts w:hAnsi="標楷體"/>
          <w:color w:val="000000" w:themeColor="text1"/>
          <w:szCs w:val="36"/>
        </w:rPr>
        <w:br w:type="page"/>
      </w:r>
    </w:p>
    <w:p w:rsidR="00273637" w:rsidRPr="007D10AC" w:rsidRDefault="00273637" w:rsidP="00273637">
      <w:pPr>
        <w:pStyle w:val="a4"/>
        <w:keepLines/>
        <w:rPr>
          <w:rFonts w:hAnsi="標楷體"/>
          <w:color w:val="000000" w:themeColor="text1"/>
        </w:rPr>
      </w:pPr>
      <w:r w:rsidRPr="007D10AC">
        <w:rPr>
          <w:rFonts w:hAnsi="標楷體" w:hint="eastAsia"/>
          <w:color w:val="000000" w:themeColor="text1"/>
          <w:szCs w:val="36"/>
        </w:rPr>
        <w:lastRenderedPageBreak/>
        <w:t>稅務案件復查決定曾經行政法院判決撤銷後重為處分及復查決定之案件</w:t>
      </w:r>
      <w:r w:rsidRPr="007D10AC">
        <w:rPr>
          <w:rFonts w:hAnsi="標楷體" w:hint="eastAsia"/>
          <w:color w:val="000000" w:themeColor="text1"/>
        </w:rPr>
        <w:t>情形表</w:t>
      </w:r>
    </w:p>
    <w:p w:rsidR="00273637" w:rsidRPr="007D10AC" w:rsidRDefault="00273637" w:rsidP="00273637">
      <w:pPr>
        <w:keepNext/>
        <w:keepLines/>
        <w:overflowPunct/>
        <w:autoSpaceDE/>
        <w:autoSpaceDN/>
        <w:adjustRightInd w:val="0"/>
        <w:snapToGrid w:val="0"/>
        <w:spacing w:line="240" w:lineRule="exact"/>
        <w:jc w:val="right"/>
        <w:rPr>
          <w:rFonts w:hAnsi="標楷體"/>
          <w:color w:val="000000" w:themeColor="text1"/>
          <w:sz w:val="24"/>
          <w:szCs w:val="24"/>
        </w:rPr>
      </w:pPr>
      <w:r w:rsidRPr="007D10AC">
        <w:rPr>
          <w:rFonts w:hAnsi="標楷體" w:hint="eastAsia"/>
          <w:color w:val="000000" w:themeColor="text1"/>
          <w:sz w:val="24"/>
          <w:szCs w:val="24"/>
        </w:rPr>
        <w:t>單位：件</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92"/>
        <w:gridCol w:w="1441"/>
        <w:gridCol w:w="763"/>
        <w:gridCol w:w="763"/>
        <w:gridCol w:w="763"/>
        <w:gridCol w:w="763"/>
        <w:gridCol w:w="763"/>
        <w:gridCol w:w="1666"/>
      </w:tblGrid>
      <w:tr w:rsidR="007D10AC" w:rsidRPr="007D10AC" w:rsidTr="009E2352">
        <w:trPr>
          <w:trHeight w:val="397"/>
          <w:tblHeader/>
        </w:trPr>
        <w:tc>
          <w:tcPr>
            <w:tcW w:w="1890" w:type="pct"/>
            <w:gridSpan w:val="2"/>
            <w:vMerge w:val="restart"/>
            <w:tcBorders>
              <w:top w:val="single" w:sz="12" w:space="0" w:color="000000"/>
              <w:left w:val="single" w:sz="12" w:space="0" w:color="000000"/>
              <w:bottom w:val="single" w:sz="6" w:space="0" w:color="000000"/>
              <w:right w:val="single" w:sz="6" w:space="0" w:color="000000"/>
            </w:tcBorders>
            <w:vAlign w:val="center"/>
            <w:hideMark/>
          </w:tcPr>
          <w:p w:rsidR="00273637" w:rsidRPr="007D10AC" w:rsidRDefault="00273637" w:rsidP="00341A4C">
            <w:pPr>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行政救濟期間</w:t>
            </w:r>
          </w:p>
        </w:tc>
        <w:tc>
          <w:tcPr>
            <w:tcW w:w="3110" w:type="pct"/>
            <w:gridSpan w:val="6"/>
            <w:tcBorders>
              <w:top w:val="single" w:sz="12" w:space="0" w:color="000000"/>
              <w:left w:val="single" w:sz="6" w:space="0" w:color="000000"/>
              <w:bottom w:val="single" w:sz="6" w:space="0" w:color="000000"/>
              <w:right w:val="single" w:sz="12" w:space="0" w:color="000000"/>
            </w:tcBorders>
            <w:vAlign w:val="center"/>
            <w:hideMark/>
          </w:tcPr>
          <w:p w:rsidR="00273637" w:rsidRPr="007D10AC" w:rsidRDefault="00273637" w:rsidP="00341A4C">
            <w:pPr>
              <w:widowControl/>
              <w:adjustRightInd w:val="0"/>
              <w:snapToGrid w:val="0"/>
              <w:spacing w:line="24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重為處分及復查決定次數</w:t>
            </w:r>
          </w:p>
        </w:tc>
      </w:tr>
      <w:tr w:rsidR="007D10AC" w:rsidRPr="007D10AC" w:rsidTr="009E2352">
        <w:trPr>
          <w:trHeight w:val="397"/>
          <w:tblHeader/>
        </w:trPr>
        <w:tc>
          <w:tcPr>
            <w:tcW w:w="1890" w:type="pct"/>
            <w:gridSpan w:val="2"/>
            <w:vMerge/>
            <w:tcBorders>
              <w:top w:val="single" w:sz="12"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433" w:type="pct"/>
            <w:tcBorders>
              <w:top w:val="single" w:sz="6" w:space="0" w:color="000000"/>
              <w:left w:val="single" w:sz="6" w:space="0" w:color="000000"/>
              <w:bottom w:val="single" w:sz="6" w:space="0" w:color="000000"/>
              <w:right w:val="single" w:sz="6" w:space="0" w:color="auto"/>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1次</w:t>
            </w:r>
          </w:p>
        </w:tc>
        <w:tc>
          <w:tcPr>
            <w:tcW w:w="433" w:type="pct"/>
            <w:tcBorders>
              <w:top w:val="single" w:sz="6" w:space="0" w:color="000000"/>
              <w:left w:val="single" w:sz="6" w:space="0" w:color="auto"/>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5次</w:t>
            </w:r>
          </w:p>
        </w:tc>
        <w:tc>
          <w:tcPr>
            <w:tcW w:w="945" w:type="pct"/>
            <w:tcBorders>
              <w:top w:val="single" w:sz="6" w:space="0" w:color="000000"/>
              <w:left w:val="single" w:sz="6" w:space="0" w:color="000000"/>
              <w:bottom w:val="single" w:sz="6" w:space="0" w:color="000000"/>
              <w:right w:val="single" w:sz="12" w:space="0" w:color="000000"/>
            </w:tcBorders>
            <w:vAlign w:val="center"/>
            <w:hideMark/>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5次以上</w:t>
            </w:r>
          </w:p>
        </w:tc>
      </w:tr>
      <w:tr w:rsidR="007D10AC" w:rsidRPr="007D10AC" w:rsidTr="009E2352">
        <w:trPr>
          <w:trHeight w:val="397"/>
        </w:trPr>
        <w:tc>
          <w:tcPr>
            <w:tcW w:w="1073" w:type="pct"/>
            <w:vMerge w:val="restart"/>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3年以內</w:t>
            </w: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19</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val="restart"/>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3~10年</w:t>
            </w: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82</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6"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83</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val="restart"/>
            <w:tcBorders>
              <w:top w:val="single" w:sz="6" w:space="0" w:color="000000"/>
              <w:left w:val="single" w:sz="12" w:space="0" w:color="000000"/>
              <w:bottom w:val="single" w:sz="12"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超過10年</w:t>
            </w: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9</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12"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6" w:space="0" w:color="000000"/>
              <w:right w:val="single" w:sz="6" w:space="0" w:color="000000"/>
            </w:tcBorders>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6" w:space="0" w:color="000000"/>
              <w:right w:val="single" w:sz="12" w:space="0" w:color="000000"/>
            </w:tcBorders>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9E2352">
        <w:trPr>
          <w:trHeight w:val="397"/>
        </w:trPr>
        <w:tc>
          <w:tcPr>
            <w:tcW w:w="1073" w:type="pct"/>
            <w:vMerge/>
            <w:tcBorders>
              <w:top w:val="single" w:sz="6" w:space="0" w:color="000000"/>
              <w:left w:val="single" w:sz="12" w:space="0" w:color="000000"/>
              <w:bottom w:val="single" w:sz="12" w:space="0" w:color="000000"/>
              <w:right w:val="single" w:sz="6" w:space="0" w:color="000000"/>
            </w:tcBorders>
            <w:vAlign w:val="center"/>
            <w:hideMark/>
          </w:tcPr>
          <w:p w:rsidR="00273637" w:rsidRPr="007D10AC" w:rsidRDefault="00273637" w:rsidP="00341A4C">
            <w:pPr>
              <w:widowControl/>
              <w:rPr>
                <w:rFonts w:hAnsi="標楷體"/>
                <w:color w:val="000000" w:themeColor="text1"/>
                <w:kern w:val="0"/>
                <w:sz w:val="28"/>
                <w:szCs w:val="28"/>
              </w:rPr>
            </w:pPr>
          </w:p>
        </w:tc>
        <w:tc>
          <w:tcPr>
            <w:tcW w:w="817"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hideMark/>
          </w:tcPr>
          <w:p w:rsidR="00273637" w:rsidRPr="007D10AC" w:rsidRDefault="00273637" w:rsidP="00341A4C">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9</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5" w:type="pct"/>
            <w:tcBorders>
              <w:top w:val="single" w:sz="6" w:space="0" w:color="000000"/>
              <w:left w:val="single" w:sz="6" w:space="0" w:color="000000"/>
              <w:bottom w:val="single" w:sz="12" w:space="0" w:color="000000"/>
              <w:right w:val="single" w:sz="12" w:space="0" w:color="000000"/>
            </w:tcBorders>
            <w:shd w:val="clear" w:color="auto" w:fill="D9D9D9" w:themeFill="background1" w:themeFillShade="D9"/>
            <w:vAlign w:val="center"/>
          </w:tcPr>
          <w:p w:rsidR="00273637" w:rsidRPr="007D10AC" w:rsidRDefault="00273637" w:rsidP="00341A4C">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bl>
    <w:p w:rsidR="00273637" w:rsidRPr="007D10AC" w:rsidRDefault="00273637" w:rsidP="00273637">
      <w:pPr>
        <w:pStyle w:val="af9"/>
        <w:spacing w:before="0" w:after="0" w:line="300" w:lineRule="exact"/>
        <w:ind w:left="567" w:hangingChars="236" w:hanging="567"/>
        <w:rPr>
          <w:rFonts w:hAnsi="標楷體"/>
          <w:color w:val="000000" w:themeColor="text1"/>
          <w:sz w:val="24"/>
          <w:szCs w:val="24"/>
        </w:rPr>
      </w:pPr>
      <w:proofErr w:type="gramStart"/>
      <w:r w:rsidRPr="007D10AC">
        <w:rPr>
          <w:rFonts w:hAnsi="標楷體" w:hint="eastAsia"/>
          <w:color w:val="000000" w:themeColor="text1"/>
          <w:sz w:val="24"/>
          <w:szCs w:val="24"/>
        </w:rPr>
        <w:t>註</w:t>
      </w:r>
      <w:proofErr w:type="gramEnd"/>
      <w:r w:rsidRPr="007D10AC">
        <w:rPr>
          <w:rFonts w:hAnsi="標楷體" w:hint="eastAsia"/>
          <w:color w:val="000000" w:themeColor="text1"/>
          <w:sz w:val="24"/>
          <w:szCs w:val="24"/>
        </w:rPr>
        <w:t>：105至109年度已確定案件作為統計基準；如僅經訴願決定撤銷，則</w:t>
      </w:r>
      <w:proofErr w:type="gramStart"/>
      <w:r w:rsidRPr="007D10AC">
        <w:rPr>
          <w:rFonts w:hAnsi="標楷體" w:hint="eastAsia"/>
          <w:color w:val="000000" w:themeColor="text1"/>
          <w:sz w:val="24"/>
          <w:szCs w:val="24"/>
        </w:rPr>
        <w:t>不予</w:t>
      </w:r>
      <w:proofErr w:type="gramEnd"/>
      <w:r w:rsidRPr="007D10AC">
        <w:rPr>
          <w:rFonts w:hAnsi="標楷體" w:hint="eastAsia"/>
          <w:color w:val="000000" w:themeColor="text1"/>
          <w:sz w:val="24"/>
          <w:szCs w:val="24"/>
        </w:rPr>
        <w:t>計入。</w:t>
      </w:r>
    </w:p>
    <w:p w:rsidR="00273637" w:rsidRPr="007D10AC" w:rsidRDefault="00273637" w:rsidP="00273637">
      <w:pPr>
        <w:pStyle w:val="af9"/>
        <w:spacing w:before="0" w:afterLines="80" w:after="365" w:line="300" w:lineRule="exact"/>
        <w:ind w:left="567" w:hangingChars="236" w:hanging="567"/>
        <w:rPr>
          <w:rFonts w:hAnsi="標楷體"/>
          <w:color w:val="000000" w:themeColor="text1"/>
          <w:sz w:val="24"/>
          <w:szCs w:val="24"/>
        </w:rPr>
      </w:pPr>
      <w:r w:rsidRPr="007D10AC">
        <w:rPr>
          <w:rFonts w:hAnsi="標楷體" w:hint="eastAsia"/>
          <w:color w:val="000000" w:themeColor="text1"/>
          <w:sz w:val="24"/>
          <w:szCs w:val="24"/>
        </w:rPr>
        <w:t>資料來源：財政部函復本院資料。</w:t>
      </w:r>
    </w:p>
    <w:p w:rsidR="003A431F" w:rsidRPr="007D10AC" w:rsidRDefault="003A431F" w:rsidP="003A431F">
      <w:pPr>
        <w:pStyle w:val="a4"/>
        <w:rPr>
          <w:rFonts w:hAnsi="標楷體"/>
          <w:color w:val="000000" w:themeColor="text1"/>
        </w:rPr>
      </w:pPr>
      <w:r w:rsidRPr="007D10AC">
        <w:rPr>
          <w:rFonts w:hAnsi="標楷體" w:hint="eastAsia"/>
          <w:color w:val="000000" w:themeColor="text1"/>
        </w:rPr>
        <w:t>稅務案件行政救濟程序經判決撤銷仍重為處分及復查決定情形表</w:t>
      </w:r>
    </w:p>
    <w:p w:rsidR="003A431F" w:rsidRPr="007D10AC" w:rsidRDefault="003A431F" w:rsidP="003A431F">
      <w:pPr>
        <w:widowControl/>
        <w:overflowPunct/>
        <w:autoSpaceDE/>
        <w:autoSpaceDN/>
        <w:jc w:val="right"/>
        <w:rPr>
          <w:rFonts w:hAnsi="標楷體"/>
          <w:color w:val="000000" w:themeColor="text1"/>
          <w:sz w:val="24"/>
          <w:szCs w:val="24"/>
        </w:rPr>
      </w:pPr>
      <w:r w:rsidRPr="007D10AC">
        <w:rPr>
          <w:rFonts w:hAnsi="標楷體" w:hint="eastAsia"/>
          <w:color w:val="000000" w:themeColor="text1"/>
          <w:sz w:val="24"/>
          <w:szCs w:val="24"/>
        </w:rPr>
        <w:t>單位：件</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87"/>
        <w:gridCol w:w="1437"/>
        <w:gridCol w:w="765"/>
        <w:gridCol w:w="763"/>
        <w:gridCol w:w="763"/>
        <w:gridCol w:w="763"/>
        <w:gridCol w:w="763"/>
        <w:gridCol w:w="1673"/>
      </w:tblGrid>
      <w:tr w:rsidR="007D10AC" w:rsidRPr="007D10AC" w:rsidTr="002353E4">
        <w:trPr>
          <w:trHeight w:val="397"/>
          <w:tblHeader/>
        </w:trPr>
        <w:tc>
          <w:tcPr>
            <w:tcW w:w="1885" w:type="pct"/>
            <w:gridSpan w:val="2"/>
            <w:vMerge w:val="restart"/>
            <w:tcBorders>
              <w:top w:val="single" w:sz="12" w:space="0" w:color="000000"/>
              <w:left w:val="single" w:sz="12" w:space="0" w:color="000000"/>
              <w:bottom w:val="single" w:sz="6" w:space="0" w:color="000000"/>
              <w:right w:val="single" w:sz="6" w:space="0" w:color="000000"/>
            </w:tcBorders>
            <w:vAlign w:val="center"/>
            <w:hideMark/>
          </w:tcPr>
          <w:p w:rsidR="007F566E" w:rsidRPr="007D10AC" w:rsidRDefault="007F566E" w:rsidP="00BB57F0">
            <w:pPr>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行政救濟期間</w:t>
            </w:r>
          </w:p>
        </w:tc>
        <w:tc>
          <w:tcPr>
            <w:tcW w:w="3115" w:type="pct"/>
            <w:gridSpan w:val="6"/>
            <w:tcBorders>
              <w:top w:val="single" w:sz="12" w:space="0" w:color="000000"/>
              <w:left w:val="single" w:sz="6" w:space="0" w:color="000000"/>
              <w:bottom w:val="single" w:sz="6" w:space="0" w:color="000000"/>
              <w:right w:val="single" w:sz="12" w:space="0" w:color="000000"/>
            </w:tcBorders>
            <w:vAlign w:val="center"/>
            <w:hideMark/>
          </w:tcPr>
          <w:p w:rsidR="007F566E" w:rsidRPr="007D10AC" w:rsidRDefault="007F566E" w:rsidP="00BB57F0">
            <w:pPr>
              <w:widowControl/>
              <w:adjustRightInd w:val="0"/>
              <w:snapToGrid w:val="0"/>
              <w:spacing w:line="24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須重為處分及復查決定次數</w:t>
            </w:r>
          </w:p>
        </w:tc>
      </w:tr>
      <w:tr w:rsidR="007D10AC" w:rsidRPr="007D10AC" w:rsidTr="002353E4">
        <w:trPr>
          <w:trHeight w:val="397"/>
          <w:tblHeader/>
        </w:trPr>
        <w:tc>
          <w:tcPr>
            <w:tcW w:w="1885" w:type="pct"/>
            <w:gridSpan w:val="2"/>
            <w:vMerge/>
            <w:tcBorders>
              <w:top w:val="single" w:sz="12"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434" w:type="pct"/>
            <w:tcBorders>
              <w:top w:val="single" w:sz="6" w:space="0" w:color="000000"/>
              <w:left w:val="single" w:sz="6" w:space="0" w:color="000000"/>
              <w:bottom w:val="single" w:sz="6" w:space="0" w:color="000000"/>
              <w:right w:val="single" w:sz="6" w:space="0" w:color="auto"/>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1次</w:t>
            </w:r>
          </w:p>
        </w:tc>
        <w:tc>
          <w:tcPr>
            <w:tcW w:w="433" w:type="pct"/>
            <w:tcBorders>
              <w:top w:val="single" w:sz="6" w:space="0" w:color="000000"/>
              <w:left w:val="single" w:sz="6" w:space="0" w:color="auto"/>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4次</w:t>
            </w:r>
          </w:p>
        </w:tc>
        <w:tc>
          <w:tcPr>
            <w:tcW w:w="433"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5次</w:t>
            </w:r>
          </w:p>
        </w:tc>
        <w:tc>
          <w:tcPr>
            <w:tcW w:w="947" w:type="pct"/>
            <w:tcBorders>
              <w:top w:val="single" w:sz="6" w:space="0" w:color="000000"/>
              <w:left w:val="single" w:sz="6" w:space="0" w:color="000000"/>
              <w:bottom w:val="single" w:sz="6" w:space="0" w:color="000000"/>
              <w:right w:val="single" w:sz="12" w:space="0" w:color="000000"/>
            </w:tcBorders>
            <w:vAlign w:val="center"/>
            <w:hideMark/>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5次以上</w:t>
            </w:r>
          </w:p>
        </w:tc>
      </w:tr>
      <w:tr w:rsidR="007D10AC" w:rsidRPr="007D10AC" w:rsidTr="002353E4">
        <w:trPr>
          <w:trHeight w:val="397"/>
        </w:trPr>
        <w:tc>
          <w:tcPr>
            <w:tcW w:w="1070" w:type="pct"/>
            <w:vMerge w:val="restart"/>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3年以內</w:t>
            </w: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1</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val="restart"/>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3~10年</w:t>
            </w: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39</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6"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39</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4</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val="restart"/>
            <w:tcBorders>
              <w:top w:val="single" w:sz="6" w:space="0" w:color="000000"/>
              <w:left w:val="single" w:sz="12" w:space="0" w:color="000000"/>
              <w:bottom w:val="single" w:sz="12"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超過10年</w:t>
            </w: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國稅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12"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6" w:space="0" w:color="000000"/>
              <w:right w:val="single" w:sz="6" w:space="0" w:color="000000"/>
            </w:tcBorders>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地方稅</w:t>
            </w:r>
          </w:p>
        </w:tc>
        <w:tc>
          <w:tcPr>
            <w:tcW w:w="434"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6" w:space="0" w:color="000000"/>
              <w:right w:val="single" w:sz="6"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6" w:space="0" w:color="000000"/>
              <w:right w:val="single" w:sz="12" w:space="0" w:color="000000"/>
            </w:tcBorders>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r w:rsidR="007D10AC" w:rsidRPr="007D10AC" w:rsidTr="002353E4">
        <w:trPr>
          <w:trHeight w:val="397"/>
        </w:trPr>
        <w:tc>
          <w:tcPr>
            <w:tcW w:w="1070" w:type="pct"/>
            <w:vMerge/>
            <w:tcBorders>
              <w:top w:val="single" w:sz="6" w:space="0" w:color="000000"/>
              <w:left w:val="single" w:sz="12" w:space="0" w:color="000000"/>
              <w:bottom w:val="single" w:sz="12" w:space="0" w:color="000000"/>
              <w:right w:val="single" w:sz="6" w:space="0" w:color="000000"/>
            </w:tcBorders>
            <w:vAlign w:val="center"/>
            <w:hideMark/>
          </w:tcPr>
          <w:p w:rsidR="007F566E" w:rsidRPr="007D10AC" w:rsidRDefault="007F566E" w:rsidP="00BB57F0">
            <w:pPr>
              <w:widowControl/>
              <w:rPr>
                <w:rFonts w:hAnsi="標楷體"/>
                <w:color w:val="000000" w:themeColor="text1"/>
                <w:kern w:val="0"/>
                <w:sz w:val="28"/>
                <w:szCs w:val="28"/>
              </w:rPr>
            </w:pPr>
          </w:p>
        </w:tc>
        <w:tc>
          <w:tcPr>
            <w:tcW w:w="815"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hideMark/>
          </w:tcPr>
          <w:p w:rsidR="007F566E" w:rsidRPr="007D10AC" w:rsidRDefault="007F566E" w:rsidP="00BB57F0">
            <w:pPr>
              <w:widowControl/>
              <w:adjustRightInd w:val="0"/>
              <w:snapToGrid w:val="0"/>
              <w:spacing w:line="32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合計</w:t>
            </w:r>
          </w:p>
        </w:tc>
        <w:tc>
          <w:tcPr>
            <w:tcW w:w="434"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2</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433"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c>
          <w:tcPr>
            <w:tcW w:w="947" w:type="pct"/>
            <w:tcBorders>
              <w:top w:val="single" w:sz="6" w:space="0" w:color="000000"/>
              <w:left w:val="single" w:sz="6" w:space="0" w:color="000000"/>
              <w:bottom w:val="single" w:sz="12" w:space="0" w:color="000000"/>
              <w:right w:val="single" w:sz="12" w:space="0" w:color="000000"/>
            </w:tcBorders>
            <w:shd w:val="clear" w:color="auto" w:fill="D9D9D9" w:themeFill="background1" w:themeFillShade="D9"/>
            <w:vAlign w:val="center"/>
          </w:tcPr>
          <w:p w:rsidR="007F566E" w:rsidRPr="007D10AC" w:rsidRDefault="007F566E" w:rsidP="00BB57F0">
            <w:pPr>
              <w:widowControl/>
              <w:adjustRightInd w:val="0"/>
              <w:snapToGrid w:val="0"/>
              <w:spacing w:line="300" w:lineRule="exact"/>
              <w:jc w:val="center"/>
              <w:rPr>
                <w:rFonts w:hAnsi="標楷體"/>
                <w:color w:val="000000" w:themeColor="text1"/>
                <w:kern w:val="0"/>
                <w:sz w:val="28"/>
                <w:szCs w:val="28"/>
              </w:rPr>
            </w:pPr>
            <w:r w:rsidRPr="007D10AC">
              <w:rPr>
                <w:rFonts w:hAnsi="標楷體" w:hint="eastAsia"/>
                <w:color w:val="000000" w:themeColor="text1"/>
                <w:kern w:val="0"/>
                <w:sz w:val="28"/>
                <w:szCs w:val="28"/>
              </w:rPr>
              <w:t>0</w:t>
            </w:r>
          </w:p>
        </w:tc>
      </w:tr>
    </w:tbl>
    <w:p w:rsidR="007F566E" w:rsidRPr="007D10AC" w:rsidRDefault="007F566E" w:rsidP="007F566E">
      <w:pPr>
        <w:pStyle w:val="af9"/>
        <w:spacing w:before="0" w:after="0" w:line="280" w:lineRule="exact"/>
        <w:ind w:left="567" w:hangingChars="236" w:hanging="567"/>
        <w:rPr>
          <w:rFonts w:hAnsi="標楷體"/>
          <w:color w:val="000000" w:themeColor="text1"/>
          <w:sz w:val="24"/>
          <w:szCs w:val="24"/>
        </w:rPr>
      </w:pPr>
      <w:proofErr w:type="gramStart"/>
      <w:r w:rsidRPr="007D10AC">
        <w:rPr>
          <w:rFonts w:hAnsi="標楷體" w:hint="eastAsia"/>
          <w:color w:val="000000" w:themeColor="text1"/>
          <w:sz w:val="24"/>
          <w:szCs w:val="24"/>
        </w:rPr>
        <w:t>註</w:t>
      </w:r>
      <w:proofErr w:type="gramEnd"/>
      <w:r w:rsidRPr="007D10AC">
        <w:rPr>
          <w:rFonts w:hAnsi="標楷體" w:hint="eastAsia"/>
          <w:color w:val="000000" w:themeColor="text1"/>
          <w:sz w:val="24"/>
          <w:szCs w:val="24"/>
        </w:rPr>
        <w:t>1：截至109年12月31日行政救濟尚未確定，且曾經行政法院撤銷重核之案件作為統計基準，如僅經訴願決定撤銷，則</w:t>
      </w:r>
      <w:proofErr w:type="gramStart"/>
      <w:r w:rsidRPr="007D10AC">
        <w:rPr>
          <w:rFonts w:hAnsi="標楷體" w:hint="eastAsia"/>
          <w:color w:val="000000" w:themeColor="text1"/>
          <w:sz w:val="24"/>
          <w:szCs w:val="24"/>
        </w:rPr>
        <w:t>不予</w:t>
      </w:r>
      <w:proofErr w:type="gramEnd"/>
      <w:r w:rsidRPr="007D10AC">
        <w:rPr>
          <w:rFonts w:hAnsi="標楷體" w:hint="eastAsia"/>
          <w:color w:val="000000" w:themeColor="text1"/>
          <w:sz w:val="24"/>
          <w:szCs w:val="24"/>
        </w:rPr>
        <w:t>計入。</w:t>
      </w:r>
    </w:p>
    <w:p w:rsidR="007F566E" w:rsidRPr="007D10AC" w:rsidRDefault="007F566E" w:rsidP="007F566E">
      <w:pPr>
        <w:pStyle w:val="af9"/>
        <w:spacing w:before="0" w:after="0" w:line="280" w:lineRule="exact"/>
        <w:ind w:left="567" w:hangingChars="236" w:hanging="567"/>
        <w:rPr>
          <w:rFonts w:hAnsi="標楷體"/>
          <w:color w:val="000000" w:themeColor="text1"/>
          <w:szCs w:val="24"/>
        </w:rPr>
      </w:pPr>
      <w:r w:rsidRPr="007D10AC">
        <w:rPr>
          <w:rFonts w:hAnsi="標楷體" w:hint="eastAsia"/>
          <w:color w:val="000000" w:themeColor="text1"/>
          <w:sz w:val="24"/>
          <w:szCs w:val="24"/>
        </w:rPr>
        <w:t>註2：「須重為處分及復查決定之案件數」係指已重為或尚未重為處分及復查決定之案件數。</w:t>
      </w:r>
    </w:p>
    <w:p w:rsidR="003A431F" w:rsidRPr="007D10AC" w:rsidRDefault="003A431F" w:rsidP="003A431F">
      <w:pPr>
        <w:pStyle w:val="af9"/>
        <w:spacing w:before="0" w:afterLines="80" w:after="365" w:line="300" w:lineRule="exact"/>
        <w:ind w:left="567" w:hangingChars="236" w:hanging="567"/>
        <w:rPr>
          <w:rFonts w:hAnsi="標楷體"/>
          <w:color w:val="000000" w:themeColor="text1"/>
          <w:sz w:val="24"/>
          <w:szCs w:val="24"/>
        </w:rPr>
      </w:pPr>
      <w:r w:rsidRPr="007D10AC">
        <w:rPr>
          <w:rFonts w:hAnsi="標楷體" w:hint="eastAsia"/>
          <w:color w:val="000000" w:themeColor="text1"/>
          <w:sz w:val="24"/>
          <w:szCs w:val="24"/>
        </w:rPr>
        <w:t>資料來源：財政部函復本院資料。</w:t>
      </w:r>
    </w:p>
    <w:p w:rsidR="00E93FB8" w:rsidRPr="007D10AC" w:rsidRDefault="00D1149E" w:rsidP="009E2352">
      <w:pPr>
        <w:pStyle w:val="2"/>
        <w:numPr>
          <w:ilvl w:val="1"/>
          <w:numId w:val="1"/>
        </w:numPr>
        <w:spacing w:line="480" w:lineRule="exact"/>
        <w:ind w:left="1020" w:hanging="680"/>
        <w:rPr>
          <w:rFonts w:hAnsi="標楷體"/>
          <w:b/>
          <w:color w:val="000000" w:themeColor="text1"/>
        </w:rPr>
      </w:pPr>
      <w:r w:rsidRPr="007D10AC">
        <w:rPr>
          <w:rFonts w:hAnsi="標楷體" w:hint="eastAsia"/>
          <w:b/>
          <w:color w:val="000000" w:themeColor="text1"/>
          <w:szCs w:val="32"/>
        </w:rPr>
        <w:lastRenderedPageBreak/>
        <w:t>稅捐機關得依</w:t>
      </w:r>
      <w:r w:rsidR="00E93FB8" w:rsidRPr="007D10AC">
        <w:rPr>
          <w:rFonts w:hAnsi="標楷體"/>
          <w:b/>
          <w:color w:val="000000" w:themeColor="text1"/>
        </w:rPr>
        <w:t>財政部</w:t>
      </w:r>
      <w:smartTag w:uri="urn:schemas-microsoft-com:office:smarttags" w:element="chsdate">
        <w:smartTagPr>
          <w:attr w:name="IsROCDate" w:val="False"/>
          <w:attr w:name="IsLunarDate" w:val="False"/>
          <w:attr w:name="Day" w:val="25"/>
          <w:attr w:name="Month" w:val="5"/>
          <w:attr w:name="Year" w:val="1950"/>
        </w:smartTagPr>
        <w:r w:rsidR="00E93FB8" w:rsidRPr="007D10AC">
          <w:rPr>
            <w:rFonts w:hAnsi="標楷體" w:hint="eastAsia"/>
            <w:b/>
            <w:color w:val="000000" w:themeColor="text1"/>
          </w:rPr>
          <w:t>50年5月25日</w:t>
        </w:r>
      </w:smartTag>
      <w:r w:rsidR="00E93FB8" w:rsidRPr="007D10AC">
        <w:rPr>
          <w:rFonts w:hAnsi="標楷體" w:hint="eastAsia"/>
          <w:b/>
          <w:color w:val="000000" w:themeColor="text1"/>
        </w:rPr>
        <w:t>台財稅發字第03497號函及</w:t>
      </w:r>
      <w:smartTag w:uri="urn:schemas-microsoft-com:office:smarttags" w:element="chsdate">
        <w:smartTagPr>
          <w:attr w:name="IsROCDate" w:val="False"/>
          <w:attr w:name="IsLunarDate" w:val="False"/>
          <w:attr w:name="Day" w:val="29"/>
          <w:attr w:name="Month" w:val="7"/>
          <w:attr w:name="Year" w:val="1967"/>
        </w:smartTagPr>
        <w:r w:rsidR="00E93FB8" w:rsidRPr="007D10AC">
          <w:rPr>
            <w:rFonts w:hAnsi="標楷體" w:hint="eastAsia"/>
            <w:b/>
            <w:color w:val="000000" w:themeColor="text1"/>
          </w:rPr>
          <w:t>6</w:t>
        </w:r>
        <w:r w:rsidR="00E93FB8" w:rsidRPr="007D10AC">
          <w:rPr>
            <w:rFonts w:hAnsi="標楷體"/>
            <w:b/>
            <w:color w:val="000000" w:themeColor="text1"/>
          </w:rPr>
          <w:t>7年7月29日</w:t>
        </w:r>
      </w:smartTag>
      <w:r w:rsidR="00E93FB8" w:rsidRPr="007D10AC">
        <w:rPr>
          <w:rFonts w:hAnsi="標楷體"/>
          <w:b/>
          <w:color w:val="000000" w:themeColor="text1"/>
        </w:rPr>
        <w:t>台財稅字第35047號函釋</w:t>
      </w:r>
      <w:r w:rsidR="00E93FB8" w:rsidRPr="007D10AC">
        <w:rPr>
          <w:rFonts w:hAnsi="標楷體" w:hint="eastAsia"/>
          <w:b/>
          <w:color w:val="000000" w:themeColor="text1"/>
        </w:rPr>
        <w:t>之意旨，一再重為課稅處分，規避稅捐</w:t>
      </w:r>
      <w:proofErr w:type="gramStart"/>
      <w:r w:rsidR="00E93FB8" w:rsidRPr="007D10AC">
        <w:rPr>
          <w:rFonts w:hAnsi="標楷體" w:hint="eastAsia"/>
          <w:b/>
          <w:color w:val="000000" w:themeColor="text1"/>
        </w:rPr>
        <w:t>稽</w:t>
      </w:r>
      <w:proofErr w:type="gramEnd"/>
      <w:r w:rsidR="00E93FB8" w:rsidRPr="007D10AC">
        <w:rPr>
          <w:rFonts w:hAnsi="標楷體" w:hint="eastAsia"/>
          <w:b/>
          <w:color w:val="000000" w:themeColor="text1"/>
        </w:rPr>
        <w:t>徵法第21條核課期間規定，</w:t>
      </w:r>
      <w:r w:rsidR="00581DBE" w:rsidRPr="007D10AC">
        <w:rPr>
          <w:rFonts w:hAnsi="標楷體" w:hint="eastAsia"/>
          <w:b/>
          <w:color w:val="000000" w:themeColor="text1"/>
        </w:rPr>
        <w:t>形成</w:t>
      </w:r>
      <w:r w:rsidR="00F352AD" w:rsidRPr="007D10AC">
        <w:rPr>
          <w:rFonts w:hAnsi="標楷體" w:hint="eastAsia"/>
          <w:b/>
          <w:color w:val="000000" w:themeColor="text1"/>
        </w:rPr>
        <w:t>陳年稅單反覆纏訟</w:t>
      </w:r>
      <w:r w:rsidR="00581DBE" w:rsidRPr="007D10AC">
        <w:rPr>
          <w:rFonts w:hAnsi="標楷體" w:hint="eastAsia"/>
          <w:b/>
          <w:color w:val="000000" w:themeColor="text1"/>
        </w:rPr>
        <w:t>現象，</w:t>
      </w:r>
      <w:r w:rsidR="00E93FB8" w:rsidRPr="007D10AC">
        <w:rPr>
          <w:rFonts w:hAnsi="標楷體" w:hint="eastAsia"/>
          <w:b/>
          <w:color w:val="000000" w:themeColor="text1"/>
        </w:rPr>
        <w:t>破壞法律安定性，明顯違反租稅法定主義</w:t>
      </w:r>
      <w:r w:rsidR="00E93FB8" w:rsidRPr="007D10AC">
        <w:rPr>
          <w:rFonts w:hAnsi="標楷體"/>
          <w:b/>
          <w:color w:val="000000" w:themeColor="text1"/>
        </w:rPr>
        <w:t>，</w:t>
      </w:r>
      <w:r w:rsidR="00E93FB8" w:rsidRPr="007D10AC">
        <w:rPr>
          <w:rFonts w:hAnsi="標楷體" w:hint="eastAsia"/>
          <w:b/>
          <w:color w:val="000000" w:themeColor="text1"/>
        </w:rPr>
        <w:t>對人民權利侵害至鉅</w:t>
      </w:r>
      <w:r w:rsidR="00B31320" w:rsidRPr="007D10AC">
        <w:rPr>
          <w:rFonts w:hAnsi="標楷體" w:hint="eastAsia"/>
          <w:b/>
          <w:color w:val="000000" w:themeColor="text1"/>
        </w:rPr>
        <w:t>；110年12月17日公布修正「稅捐</w:t>
      </w:r>
      <w:proofErr w:type="gramStart"/>
      <w:r w:rsidR="00B31320" w:rsidRPr="007D10AC">
        <w:rPr>
          <w:rFonts w:hAnsi="標楷體" w:hint="eastAsia"/>
          <w:b/>
          <w:color w:val="000000" w:themeColor="text1"/>
        </w:rPr>
        <w:t>稽</w:t>
      </w:r>
      <w:proofErr w:type="gramEnd"/>
      <w:r w:rsidR="00B31320" w:rsidRPr="007D10AC">
        <w:rPr>
          <w:rFonts w:hAnsi="標楷體" w:hint="eastAsia"/>
          <w:b/>
          <w:color w:val="000000" w:themeColor="text1"/>
        </w:rPr>
        <w:t>徵法」部分條文，</w:t>
      </w:r>
      <w:r w:rsidR="007E276E" w:rsidRPr="007D10AC">
        <w:rPr>
          <w:rFonts w:hAnsi="標楷體" w:hint="eastAsia"/>
          <w:b/>
          <w:color w:val="000000" w:themeColor="text1"/>
        </w:rPr>
        <w:t>其中第3項第1款明</w:t>
      </w:r>
      <w:r w:rsidR="00EC5C3C" w:rsidRPr="007D10AC">
        <w:rPr>
          <w:rFonts w:hAnsi="標楷體" w:hint="eastAsia"/>
          <w:b/>
          <w:color w:val="000000" w:themeColor="text1"/>
        </w:rPr>
        <w:t>定</w:t>
      </w:r>
      <w:r w:rsidR="007E276E" w:rsidRPr="007D10AC">
        <w:rPr>
          <w:rFonts w:hAnsi="標楷體" w:hint="eastAsia"/>
          <w:b/>
          <w:color w:val="000000" w:themeColor="text1"/>
        </w:rPr>
        <w:t>納稅義務人對核定稅捐處分提起行政救濟尚未終結者，自核定稅捐處分經訴願或行政訴訟撤銷須另為處分確定之日起算一年內時效不完成，惟稽徵機關僅須於另為處分確定之日起算一年內重新核課，然重新核定之稅額若</w:t>
      </w:r>
      <w:r w:rsidR="007E276E" w:rsidRPr="007D10AC">
        <w:rPr>
          <w:rFonts w:hAnsi="標楷體"/>
          <w:b/>
          <w:color w:val="000000" w:themeColor="text1"/>
        </w:rPr>
        <w:t>仍難</w:t>
      </w:r>
      <w:r w:rsidR="007E276E" w:rsidRPr="007D10AC">
        <w:rPr>
          <w:rFonts w:hAnsi="標楷體" w:hint="eastAsia"/>
          <w:b/>
          <w:color w:val="000000" w:themeColor="text1"/>
        </w:rPr>
        <w:t>被</w:t>
      </w:r>
      <w:r w:rsidR="007E276E" w:rsidRPr="007D10AC">
        <w:rPr>
          <w:rFonts w:hAnsi="標楷體"/>
          <w:b/>
          <w:color w:val="000000" w:themeColor="text1"/>
        </w:rPr>
        <w:t>納稅</w:t>
      </w:r>
      <w:r w:rsidR="007E276E" w:rsidRPr="007D10AC">
        <w:rPr>
          <w:rFonts w:hAnsi="標楷體" w:hint="eastAsia"/>
          <w:b/>
          <w:color w:val="000000" w:themeColor="text1"/>
        </w:rPr>
        <w:t>人</w:t>
      </w:r>
      <w:r w:rsidR="007E276E" w:rsidRPr="007D10AC">
        <w:rPr>
          <w:rFonts w:hAnsi="標楷體"/>
          <w:b/>
          <w:color w:val="000000" w:themeColor="text1"/>
        </w:rPr>
        <w:t>所接受而續行爭訟，</w:t>
      </w:r>
      <w:r w:rsidR="00360266" w:rsidRPr="007D10AC">
        <w:rPr>
          <w:rFonts w:hAnsi="標楷體" w:hint="eastAsia"/>
          <w:b/>
          <w:color w:val="000000" w:themeColor="text1"/>
        </w:rPr>
        <w:t>能</w:t>
      </w:r>
      <w:r w:rsidR="00DD1E20" w:rsidRPr="007D10AC">
        <w:rPr>
          <w:rFonts w:hAnsi="標楷體"/>
          <w:b/>
          <w:color w:val="000000" w:themeColor="text1"/>
        </w:rPr>
        <w:t>否</w:t>
      </w:r>
      <w:r w:rsidR="00DD1E20" w:rsidRPr="007D10AC">
        <w:rPr>
          <w:rFonts w:hAnsi="標楷體" w:hint="eastAsia"/>
          <w:b/>
          <w:color w:val="000000" w:themeColor="text1"/>
        </w:rPr>
        <w:t>有效</w:t>
      </w:r>
      <w:r w:rsidR="00DD1E20" w:rsidRPr="007D10AC">
        <w:rPr>
          <w:rFonts w:hAnsi="標楷體"/>
          <w:b/>
          <w:color w:val="000000" w:themeColor="text1"/>
        </w:rPr>
        <w:t>解決</w:t>
      </w:r>
      <w:r w:rsidR="00F352AD" w:rsidRPr="007D10AC">
        <w:rPr>
          <w:rFonts w:hAnsi="標楷體"/>
          <w:b/>
          <w:color w:val="000000" w:themeColor="text1"/>
        </w:rPr>
        <w:t>陳年稅單反覆纏訟</w:t>
      </w:r>
      <w:r w:rsidR="00DD1E20" w:rsidRPr="007D10AC">
        <w:rPr>
          <w:rFonts w:hAnsi="標楷體" w:hint="eastAsia"/>
          <w:b/>
          <w:color w:val="000000" w:themeColor="text1"/>
        </w:rPr>
        <w:t>現象</w:t>
      </w:r>
      <w:r w:rsidR="00DD1E20" w:rsidRPr="007D10AC">
        <w:rPr>
          <w:rFonts w:hAnsi="標楷體"/>
          <w:b/>
          <w:color w:val="000000" w:themeColor="text1"/>
        </w:rPr>
        <w:t>仍有待觀察</w:t>
      </w:r>
      <w:r w:rsidR="00E93FB8" w:rsidRPr="007D10AC">
        <w:rPr>
          <w:rFonts w:hAnsi="標楷體" w:hint="eastAsia"/>
          <w:b/>
          <w:color w:val="000000" w:themeColor="text1"/>
        </w:rPr>
        <w:t>：</w:t>
      </w:r>
    </w:p>
    <w:p w:rsidR="00E93FB8" w:rsidRPr="007D10AC" w:rsidRDefault="00E93FB8" w:rsidP="009E2352">
      <w:pPr>
        <w:pStyle w:val="3"/>
        <w:numPr>
          <w:ilvl w:val="2"/>
          <w:numId w:val="1"/>
        </w:numPr>
        <w:spacing w:line="480" w:lineRule="exact"/>
        <w:rPr>
          <w:rFonts w:hAnsi="標楷體"/>
          <w:color w:val="000000" w:themeColor="text1"/>
        </w:rPr>
      </w:pPr>
      <w:r w:rsidRPr="007D10AC">
        <w:rPr>
          <w:rFonts w:hAnsi="標楷體" w:hint="eastAsia"/>
          <w:color w:val="000000" w:themeColor="text1"/>
        </w:rPr>
        <w:t>憲法第19條規定：「人民有依法律納稅之義務。」此為憲法上之租稅法</w:t>
      </w:r>
      <w:r w:rsidR="00157C45" w:rsidRPr="007D10AC">
        <w:rPr>
          <w:rFonts w:hAnsi="標楷體" w:hint="eastAsia"/>
          <w:color w:val="000000" w:themeColor="text1"/>
        </w:rPr>
        <w:t>定</w:t>
      </w:r>
      <w:r w:rsidRPr="007D10AC">
        <w:rPr>
          <w:rFonts w:hAnsi="標楷體" w:hint="eastAsia"/>
          <w:color w:val="000000" w:themeColor="text1"/>
        </w:rPr>
        <w:t>主義，即非依法律規定，國家不得對人民課徵稅收。依司法院釋字第706號解釋理由書：「憲法第</w:t>
      </w:r>
      <w:r w:rsidR="00157C45" w:rsidRPr="007D10AC">
        <w:rPr>
          <w:rFonts w:hAnsi="標楷體" w:hint="eastAsia"/>
          <w:color w:val="000000" w:themeColor="text1"/>
        </w:rPr>
        <w:t>19</w:t>
      </w:r>
      <w:r w:rsidRPr="007D10AC">
        <w:rPr>
          <w:rFonts w:hAnsi="標楷體" w:hint="eastAsia"/>
          <w:color w:val="000000" w:themeColor="text1"/>
        </w:rPr>
        <w:t>條規定，人民有依法律納稅之義務，係指國家課人民以繳納稅捐之義務或給予人民減免稅捐之優惠時，應就租稅主體、租稅客體、稅基、稅率、納稅方法及納稅期間等租稅構成要件，以法律或法律明確授權之命令定之；主管機關本於法定職權就相關法律所為之闡釋，自應秉持憲法原則及相關法律之立法意旨，遵守一般法律解釋方法而為之；如逾越法律解釋之範圍，而增加法律所無之租稅義務，則非憲法第</w:t>
      </w:r>
      <w:r w:rsidR="007C0599" w:rsidRPr="007D10AC">
        <w:rPr>
          <w:rFonts w:hAnsi="標楷體" w:hint="eastAsia"/>
          <w:color w:val="000000" w:themeColor="text1"/>
        </w:rPr>
        <w:t>19</w:t>
      </w:r>
      <w:r w:rsidRPr="007D10AC">
        <w:rPr>
          <w:rFonts w:hAnsi="標楷體" w:hint="eastAsia"/>
          <w:color w:val="000000" w:themeColor="text1"/>
        </w:rPr>
        <w:t>條規定之租稅法律主義所許（本院釋字第</w:t>
      </w:r>
      <w:r w:rsidR="00157C45" w:rsidRPr="007D10AC">
        <w:rPr>
          <w:rFonts w:hAnsi="標楷體" w:hint="eastAsia"/>
          <w:color w:val="000000" w:themeColor="text1"/>
        </w:rPr>
        <w:t>622</w:t>
      </w:r>
      <w:r w:rsidRPr="007D10AC">
        <w:rPr>
          <w:rFonts w:hAnsi="標楷體" w:hint="eastAsia"/>
          <w:color w:val="000000" w:themeColor="text1"/>
        </w:rPr>
        <w:t>號、第</w:t>
      </w:r>
      <w:r w:rsidR="00157C45" w:rsidRPr="007D10AC">
        <w:rPr>
          <w:rFonts w:hAnsi="標楷體" w:hint="eastAsia"/>
          <w:color w:val="000000" w:themeColor="text1"/>
        </w:rPr>
        <w:t>640</w:t>
      </w:r>
      <w:r w:rsidRPr="007D10AC">
        <w:rPr>
          <w:rFonts w:hAnsi="標楷體" w:hint="eastAsia"/>
          <w:color w:val="000000" w:themeColor="text1"/>
        </w:rPr>
        <w:t>號、第</w:t>
      </w:r>
      <w:r w:rsidR="00157C45" w:rsidRPr="007D10AC">
        <w:rPr>
          <w:rFonts w:hAnsi="標楷體" w:hint="eastAsia"/>
          <w:color w:val="000000" w:themeColor="text1"/>
        </w:rPr>
        <w:t>674</w:t>
      </w:r>
      <w:r w:rsidRPr="007D10AC">
        <w:rPr>
          <w:rFonts w:hAnsi="標楷體" w:hint="eastAsia"/>
          <w:color w:val="000000" w:themeColor="text1"/>
        </w:rPr>
        <w:t>號、第</w:t>
      </w:r>
      <w:r w:rsidR="00157C45" w:rsidRPr="007D10AC">
        <w:rPr>
          <w:rFonts w:hAnsi="標楷體" w:hint="eastAsia"/>
          <w:color w:val="000000" w:themeColor="text1"/>
        </w:rPr>
        <w:t>692</w:t>
      </w:r>
      <w:r w:rsidRPr="007D10AC">
        <w:rPr>
          <w:rFonts w:hAnsi="標楷體" w:hint="eastAsia"/>
          <w:color w:val="000000" w:themeColor="text1"/>
        </w:rPr>
        <w:t>號、第</w:t>
      </w:r>
      <w:r w:rsidR="00157C45" w:rsidRPr="007D10AC">
        <w:rPr>
          <w:rFonts w:hAnsi="標楷體" w:hint="eastAsia"/>
          <w:color w:val="000000" w:themeColor="text1"/>
        </w:rPr>
        <w:t>703</w:t>
      </w:r>
      <w:r w:rsidRPr="007D10AC">
        <w:rPr>
          <w:rFonts w:hAnsi="標楷體" w:hint="eastAsia"/>
          <w:color w:val="000000" w:themeColor="text1"/>
        </w:rPr>
        <w:t>號解釋參照）。」另司法院釋字第367號、第385號、第413號、第415號及第566號等多號解釋</w:t>
      </w:r>
      <w:r w:rsidRPr="007D10AC">
        <w:rPr>
          <w:rFonts w:hAnsi="標楷體" w:hint="eastAsia"/>
          <w:color w:val="000000" w:themeColor="text1"/>
        </w:rPr>
        <w:lastRenderedPageBreak/>
        <w:t>意旨，均採取相同之意旨。</w:t>
      </w:r>
      <w:r w:rsidR="0028685E" w:rsidRPr="007D10AC">
        <w:rPr>
          <w:rFonts w:hAnsi="標楷體" w:hint="eastAsia"/>
          <w:color w:val="000000" w:themeColor="text1"/>
        </w:rPr>
        <w:t>又</w:t>
      </w:r>
      <w:r w:rsidR="009A22D0" w:rsidRPr="007D10AC">
        <w:rPr>
          <w:rFonts w:hAnsi="標楷體" w:hint="eastAsia"/>
          <w:color w:val="000000" w:themeColor="text1"/>
        </w:rPr>
        <w:t>納保法</w:t>
      </w:r>
      <w:r w:rsidRPr="007D10AC">
        <w:rPr>
          <w:rFonts w:hAnsi="標楷體" w:hint="eastAsia"/>
          <w:color w:val="000000" w:themeColor="text1"/>
        </w:rPr>
        <w:t>第3條亦規定：「主管機關所發布之行政規則及解釋函令，僅得解釋法律原意、規範執行法律所必要之技術性、細節性事項，不得增加法律所未明定之納稅義務或減免稅捐。」故稅捐機關自不得以其發布之法規命令及行政函令，無視法律明定稅捐機關就納稅核課期間之規定，延長</w:t>
      </w:r>
      <w:r w:rsidR="007C43CA" w:rsidRPr="007D10AC">
        <w:rPr>
          <w:rFonts w:hAnsi="標楷體" w:hint="eastAsia"/>
          <w:color w:val="000000" w:themeColor="text1"/>
        </w:rPr>
        <w:t>納稅</w:t>
      </w:r>
      <w:r w:rsidR="0028685E" w:rsidRPr="007D10AC">
        <w:rPr>
          <w:rFonts w:hAnsi="標楷體" w:hint="eastAsia"/>
          <w:color w:val="000000" w:themeColor="text1"/>
        </w:rPr>
        <w:t>者</w:t>
      </w:r>
      <w:r w:rsidRPr="007D10AC">
        <w:rPr>
          <w:rFonts w:hAnsi="標楷體" w:hint="eastAsia"/>
          <w:color w:val="000000" w:themeColor="text1"/>
        </w:rPr>
        <w:t>納稅義務之法定期間。</w:t>
      </w:r>
    </w:p>
    <w:p w:rsidR="00E93FB8" w:rsidRPr="007D10AC" w:rsidRDefault="00E93FB8" w:rsidP="009E2352">
      <w:pPr>
        <w:pStyle w:val="3"/>
        <w:numPr>
          <w:ilvl w:val="2"/>
          <w:numId w:val="1"/>
        </w:numPr>
        <w:spacing w:line="480" w:lineRule="exact"/>
        <w:rPr>
          <w:rFonts w:hAnsi="標楷體" w:cs="Helvetica"/>
          <w:color w:val="000000" w:themeColor="text1"/>
          <w:kern w:val="0"/>
        </w:rPr>
      </w:pPr>
      <w:r w:rsidRPr="007D10AC">
        <w:rPr>
          <w:rFonts w:hAnsi="標楷體" w:hint="eastAsia"/>
          <w:color w:val="000000" w:themeColor="text1"/>
        </w:rPr>
        <w:t>詎</w:t>
      </w:r>
      <w:r w:rsidRPr="007D10AC">
        <w:rPr>
          <w:rFonts w:hAnsi="標楷體"/>
          <w:color w:val="000000" w:themeColor="text1"/>
        </w:rPr>
        <w:t>財政部</w:t>
      </w:r>
      <w:smartTag w:uri="urn:schemas-microsoft-com:office:smarttags" w:element="chsdate">
        <w:smartTagPr>
          <w:attr w:name="IsROCDate" w:val="False"/>
          <w:attr w:name="IsLunarDate" w:val="False"/>
          <w:attr w:name="Day" w:val="25"/>
          <w:attr w:name="Month" w:val="5"/>
          <w:attr w:name="Year" w:val="1950"/>
        </w:smartTagPr>
        <w:r w:rsidRPr="007D10AC">
          <w:rPr>
            <w:rFonts w:hAnsi="標楷體" w:hint="eastAsia"/>
            <w:color w:val="000000" w:themeColor="text1"/>
          </w:rPr>
          <w:t>50年</w:t>
        </w:r>
        <w:r w:rsidRPr="007D10AC">
          <w:rPr>
            <w:rFonts w:hAnsi="標楷體"/>
            <w:color w:val="000000" w:themeColor="text1"/>
          </w:rPr>
          <w:t>5月25日</w:t>
        </w:r>
      </w:smartTag>
      <w:r w:rsidRPr="007D10AC">
        <w:rPr>
          <w:rFonts w:hAnsi="標楷體"/>
          <w:color w:val="000000" w:themeColor="text1"/>
        </w:rPr>
        <w:t>台財稅發字第03497號函</w:t>
      </w:r>
      <w:r w:rsidRPr="007D10AC">
        <w:rPr>
          <w:rFonts w:hAnsi="標楷體" w:hint="eastAsia"/>
          <w:color w:val="000000" w:themeColor="text1"/>
        </w:rPr>
        <w:t>略以</w:t>
      </w:r>
      <w:r w:rsidRPr="007D10AC">
        <w:rPr>
          <w:rFonts w:hAnsi="標楷體"/>
          <w:color w:val="000000" w:themeColor="text1"/>
        </w:rPr>
        <w:t>：「</w:t>
      </w:r>
      <w:r w:rsidRPr="007D10AC">
        <w:rPr>
          <w:rFonts w:hAnsi="標楷體" w:hint="eastAsia"/>
          <w:color w:val="000000" w:themeColor="text1"/>
        </w:rPr>
        <w:t>查訴願決定『原處分撤銷』係指撤銷復查決定之處分而言，復查決定既因訴願決定而撤銷，則原處分之稽徵機關應依照訴願決定意旨就原核定之所得額及應納稅額『重行查核』，此項重行查核即係踐行另一『復查』程序，故所作之『復查決定』處分已屬另一新處分，訴願人對此項新處分如仍有不服，得逕依法提起訴願及行政訴訟」。再按</w:t>
      </w:r>
      <w:r w:rsidRPr="007D10AC">
        <w:rPr>
          <w:rFonts w:hAnsi="標楷體"/>
          <w:color w:val="000000" w:themeColor="text1"/>
        </w:rPr>
        <w:t>財政部</w:t>
      </w:r>
      <w:smartTag w:uri="urn:schemas-microsoft-com:office:smarttags" w:element="chsdate">
        <w:smartTagPr>
          <w:attr w:name="IsROCDate" w:val="False"/>
          <w:attr w:name="IsLunarDate" w:val="False"/>
          <w:attr w:name="Day" w:val="29"/>
          <w:attr w:name="Month" w:val="7"/>
          <w:attr w:name="Year" w:val="1967"/>
        </w:smartTagPr>
        <w:r w:rsidRPr="007D10AC">
          <w:rPr>
            <w:rFonts w:hAnsi="標楷體"/>
            <w:color w:val="000000" w:themeColor="text1"/>
          </w:rPr>
          <w:t>67年7月29日</w:t>
        </w:r>
      </w:smartTag>
      <w:r w:rsidRPr="007D10AC">
        <w:rPr>
          <w:rFonts w:hAnsi="標楷體"/>
          <w:color w:val="000000" w:themeColor="text1"/>
        </w:rPr>
        <w:t>台財稅字第35047號函表示：「至於判決主文</w:t>
      </w:r>
      <w:r w:rsidRPr="007D10AC">
        <w:rPr>
          <w:rFonts w:hAnsi="標楷體" w:hint="eastAsia"/>
          <w:color w:val="000000" w:themeColor="text1"/>
        </w:rPr>
        <w:t>『</w:t>
      </w:r>
      <w:r w:rsidRPr="007D10AC">
        <w:rPr>
          <w:rFonts w:hAnsi="標楷體"/>
          <w:color w:val="000000" w:themeColor="text1"/>
        </w:rPr>
        <w:t>原處分撤銷</w:t>
      </w:r>
      <w:r w:rsidRPr="007D10AC">
        <w:rPr>
          <w:rFonts w:hAnsi="標楷體" w:hint="eastAsia"/>
          <w:color w:val="000000" w:themeColor="text1"/>
        </w:rPr>
        <w:t>』</w:t>
      </w:r>
      <w:r w:rsidRPr="007D10AC">
        <w:rPr>
          <w:rFonts w:hAnsi="標楷體"/>
          <w:color w:val="000000" w:themeColor="text1"/>
        </w:rPr>
        <w:t>一語，係指撤銷原處分機關所為之處分，復查決定既被撤銷，則原處分機關依照行政法院判決意旨所重為之查核，應屬另一復查程序。」</w:t>
      </w:r>
      <w:r w:rsidRPr="007D10AC">
        <w:rPr>
          <w:rFonts w:hAnsi="標楷體" w:hint="eastAsia"/>
          <w:color w:val="000000" w:themeColor="text1"/>
        </w:rPr>
        <w:t>揆前揭函釋即認為行政法院「</w:t>
      </w:r>
      <w:r w:rsidRPr="007D10AC">
        <w:rPr>
          <w:rFonts w:hAnsi="標楷體"/>
          <w:color w:val="000000" w:themeColor="text1"/>
        </w:rPr>
        <w:t>原處分撤銷」</w:t>
      </w:r>
      <w:r w:rsidRPr="007D10AC">
        <w:rPr>
          <w:rFonts w:hAnsi="標楷體" w:hint="eastAsia"/>
          <w:color w:val="000000" w:themeColor="text1"/>
        </w:rPr>
        <w:t>係撤銷復查決定而非原課稅處分，爰復查決定被撤銷後，稅捐稽徵機關得重行作成另一新處分</w:t>
      </w:r>
      <w:r w:rsidR="007C43CA" w:rsidRPr="007D10AC">
        <w:rPr>
          <w:rFonts w:hAnsi="標楷體" w:hint="eastAsia"/>
          <w:color w:val="000000" w:themeColor="text1"/>
        </w:rPr>
        <w:t>（</w:t>
      </w:r>
      <w:r w:rsidRPr="007D10AC">
        <w:rPr>
          <w:rFonts w:hAnsi="標楷體" w:hint="eastAsia"/>
          <w:color w:val="000000" w:themeColor="text1"/>
        </w:rPr>
        <w:t>即所謂復查決定</w:t>
      </w:r>
      <w:r w:rsidR="007C43CA" w:rsidRPr="007D10AC">
        <w:rPr>
          <w:rFonts w:hAnsi="標楷體" w:hint="eastAsia"/>
          <w:color w:val="000000" w:themeColor="text1"/>
        </w:rPr>
        <w:t>）</w:t>
      </w:r>
      <w:r w:rsidRPr="007D10AC">
        <w:rPr>
          <w:rFonts w:hAnsi="標楷體" w:hint="eastAsia"/>
          <w:color w:val="000000" w:themeColor="text1"/>
        </w:rPr>
        <w:t>，復因原課稅處分仍存在，故無須計算與考量租稅課徵之核課期間，稅捐稽徵機關僅須重為復查決定即可。</w:t>
      </w:r>
    </w:p>
    <w:p w:rsidR="00E93FB8" w:rsidRPr="007D10AC" w:rsidRDefault="00E93FB8" w:rsidP="009E2352">
      <w:pPr>
        <w:pStyle w:val="3"/>
        <w:numPr>
          <w:ilvl w:val="2"/>
          <w:numId w:val="1"/>
        </w:numPr>
        <w:spacing w:line="480" w:lineRule="exact"/>
        <w:rPr>
          <w:rFonts w:hAnsi="標楷體" w:cs="Helvetica"/>
          <w:color w:val="000000" w:themeColor="text1"/>
          <w:kern w:val="0"/>
        </w:rPr>
      </w:pPr>
      <w:r w:rsidRPr="007D10AC">
        <w:rPr>
          <w:rFonts w:hAnsi="標楷體" w:hint="eastAsia"/>
          <w:color w:val="000000" w:themeColor="text1"/>
        </w:rPr>
        <w:t>我國稅捐機關、訴願機關及行政法院向來依</w:t>
      </w:r>
      <w:r w:rsidRPr="007D10AC">
        <w:rPr>
          <w:rFonts w:hAnsi="標楷體" w:hint="eastAsia"/>
          <w:color w:val="000000" w:themeColor="text1"/>
          <w:lang w:eastAsia="zh-HK"/>
        </w:rPr>
        <w:t>兩</w:t>
      </w:r>
      <w:r w:rsidRPr="007D10AC">
        <w:rPr>
          <w:rFonts w:hAnsi="標楷體" w:hint="eastAsia"/>
          <w:color w:val="000000" w:themeColor="text1"/>
        </w:rPr>
        <w:t>函釋見解，認為「復查決定」乃獨立之處分，以致復查程序中，原處分機關作成復查決定時，原課稅處分</w:t>
      </w:r>
      <w:r w:rsidRPr="007D10AC">
        <w:rPr>
          <w:rFonts w:hAnsi="標楷體" w:hint="eastAsia"/>
          <w:color w:val="000000" w:themeColor="text1"/>
        </w:rPr>
        <w:lastRenderedPageBreak/>
        <w:t>並非由復查決定所取代，而僅係處於「效力未定」之狀態。亦即形成於法律上同時存在兩個對於人民之課稅處分，一為持續存在效力未定之原課稅處分，另一則為復查決定。則縱然嗣後</w:t>
      </w:r>
      <w:r w:rsidRPr="007D10AC">
        <w:rPr>
          <w:rFonts w:hAnsi="標楷體"/>
          <w:color w:val="000000" w:themeColor="text1"/>
        </w:rPr>
        <w:t>訴願機關及行政法院</w:t>
      </w:r>
      <w:r w:rsidRPr="007D10AC">
        <w:rPr>
          <w:rFonts w:hAnsi="標楷體" w:hint="eastAsia"/>
          <w:color w:val="000000" w:themeColor="text1"/>
        </w:rPr>
        <w:t>作成「</w:t>
      </w:r>
      <w:r w:rsidRPr="007D10AC">
        <w:rPr>
          <w:rFonts w:hAnsi="標楷體"/>
          <w:color w:val="000000" w:themeColor="text1"/>
        </w:rPr>
        <w:t>撤銷</w:t>
      </w:r>
      <w:r w:rsidRPr="007D10AC">
        <w:rPr>
          <w:rFonts w:hAnsi="標楷體" w:hint="eastAsia"/>
          <w:color w:val="000000" w:themeColor="text1"/>
        </w:rPr>
        <w:t>原</w:t>
      </w:r>
      <w:r w:rsidRPr="007D10AC">
        <w:rPr>
          <w:rFonts w:hAnsi="標楷體"/>
          <w:color w:val="000000" w:themeColor="text1"/>
        </w:rPr>
        <w:t>處分」</w:t>
      </w:r>
      <w:r w:rsidRPr="007D10AC">
        <w:rPr>
          <w:rFonts w:hAnsi="標楷體" w:hint="eastAsia"/>
          <w:color w:val="000000" w:themeColor="text1"/>
        </w:rPr>
        <w:t>之決定，亦</w:t>
      </w:r>
      <w:r w:rsidRPr="007D10AC">
        <w:rPr>
          <w:rFonts w:hAnsi="標楷體"/>
          <w:color w:val="000000" w:themeColor="text1"/>
        </w:rPr>
        <w:t>僅指</w:t>
      </w:r>
      <w:r w:rsidRPr="007D10AC">
        <w:rPr>
          <w:rFonts w:hAnsi="標楷體" w:hint="eastAsia"/>
          <w:color w:val="000000" w:themeColor="text1"/>
        </w:rPr>
        <w:t>撤銷原處分機關作成之</w:t>
      </w:r>
      <w:r w:rsidRPr="007D10AC">
        <w:rPr>
          <w:rFonts w:hAnsi="標楷體"/>
          <w:color w:val="000000" w:themeColor="text1"/>
        </w:rPr>
        <w:t>「復查決定」</w:t>
      </w:r>
      <w:r w:rsidRPr="007D10AC">
        <w:rPr>
          <w:rFonts w:hAnsi="標楷體" w:hint="eastAsia"/>
          <w:color w:val="000000" w:themeColor="text1"/>
        </w:rPr>
        <w:t>處分，而「原課稅處分」於復查決定未確定前，仍處於「效力未定」之地位。然而，因原課稅處分仍存在，是稅捐稽徵機關依訴願機關之訴願決定書及行政法院之判決再重為「新復查決定」時，自得不受核課期間之限制。因此復查決定遭訴願機關或行政法院數度撤銷並要求原處分機關重為決定，原處分機關將不受稅捐稽徵法第21條之稅捐核課期間之限制，亦即可得拖延數月、甚至數年始重新作成「新復查決定」。</w:t>
      </w:r>
      <w:r w:rsidR="007C43CA" w:rsidRPr="007D10AC">
        <w:rPr>
          <w:rFonts w:hAnsi="標楷體"/>
          <w:color w:val="000000" w:themeColor="text1"/>
        </w:rPr>
        <w:t>納稅人</w:t>
      </w:r>
      <w:r w:rsidRPr="007D10AC">
        <w:rPr>
          <w:rFonts w:hAnsi="標楷體" w:hint="eastAsia"/>
          <w:color w:val="000000" w:themeColor="text1"/>
        </w:rPr>
        <w:t>僅能一再與稅捐</w:t>
      </w:r>
      <w:proofErr w:type="gramStart"/>
      <w:r w:rsidRPr="007D10AC">
        <w:rPr>
          <w:rFonts w:hAnsi="標楷體" w:hint="eastAsia"/>
          <w:color w:val="000000" w:themeColor="text1"/>
        </w:rPr>
        <w:t>稽</w:t>
      </w:r>
      <w:proofErr w:type="gramEnd"/>
      <w:r w:rsidRPr="007D10AC">
        <w:rPr>
          <w:rFonts w:hAnsi="標楷體" w:hint="eastAsia"/>
          <w:color w:val="000000" w:themeColor="text1"/>
        </w:rPr>
        <w:t>徵機關對抗，而導致其權利無法獲得及時有效之保障，此即已為學者所詬病之</w:t>
      </w:r>
      <w:r w:rsidR="00F352AD" w:rsidRPr="007D10AC">
        <w:rPr>
          <w:rFonts w:hAnsi="標楷體" w:hint="eastAsia"/>
          <w:color w:val="000000" w:themeColor="text1"/>
        </w:rPr>
        <w:t>陳年稅單反覆纏訟</w:t>
      </w:r>
      <w:r w:rsidRPr="007D10AC">
        <w:rPr>
          <w:rFonts w:hAnsi="標楷體" w:hint="eastAsia"/>
          <w:color w:val="000000" w:themeColor="text1"/>
        </w:rPr>
        <w:t>之亂象。基於法律安定性之要求，稅捐稽徵法設有核課期間之制度，惟財政部以解釋函令規避稅捐稽徵法核課期間之拘束，</w:t>
      </w:r>
      <w:r w:rsidRPr="007D10AC">
        <w:rPr>
          <w:rFonts w:hAnsi="標楷體" w:hint="eastAsia"/>
          <w:color w:val="000000" w:themeColor="text1"/>
          <w:szCs w:val="32"/>
        </w:rPr>
        <w:t>明顯違反租稅法定主義</w:t>
      </w:r>
      <w:r w:rsidRPr="007D10AC">
        <w:rPr>
          <w:rFonts w:hAnsi="標楷體"/>
          <w:color w:val="000000" w:themeColor="text1"/>
          <w:szCs w:val="32"/>
        </w:rPr>
        <w:t>，</w:t>
      </w:r>
      <w:r w:rsidRPr="007D10AC">
        <w:rPr>
          <w:rFonts w:hAnsi="標楷體" w:hint="eastAsia"/>
          <w:color w:val="000000" w:themeColor="text1"/>
          <w:szCs w:val="32"/>
        </w:rPr>
        <w:t>對人民權利侵害至鉅。</w:t>
      </w:r>
    </w:p>
    <w:p w:rsidR="008C427B" w:rsidRPr="007D10AC" w:rsidRDefault="005504D2" w:rsidP="009E2352">
      <w:pPr>
        <w:pStyle w:val="3"/>
        <w:numPr>
          <w:ilvl w:val="2"/>
          <w:numId w:val="1"/>
        </w:numPr>
        <w:spacing w:line="480" w:lineRule="exact"/>
        <w:rPr>
          <w:rFonts w:hAnsi="標楷體"/>
          <w:color w:val="000000" w:themeColor="text1"/>
        </w:rPr>
      </w:pPr>
      <w:r w:rsidRPr="007D10AC">
        <w:rPr>
          <w:rFonts w:hAnsi="標楷體" w:hint="eastAsia"/>
          <w:color w:val="000000" w:themeColor="text1"/>
        </w:rPr>
        <w:t>110年12月17日公布修正「稅捐</w:t>
      </w:r>
      <w:proofErr w:type="gramStart"/>
      <w:r w:rsidRPr="007D10AC">
        <w:rPr>
          <w:rFonts w:hAnsi="標楷體" w:hint="eastAsia"/>
          <w:color w:val="000000" w:themeColor="text1"/>
        </w:rPr>
        <w:t>稽</w:t>
      </w:r>
      <w:proofErr w:type="gramEnd"/>
      <w:r w:rsidRPr="007D10AC">
        <w:rPr>
          <w:rFonts w:hAnsi="標楷體" w:hint="eastAsia"/>
          <w:color w:val="000000" w:themeColor="text1"/>
        </w:rPr>
        <w:t>徵法」部分條文，</w:t>
      </w:r>
      <w:r w:rsidRPr="007D10AC">
        <w:rPr>
          <w:rFonts w:hAnsi="標楷體"/>
          <w:color w:val="000000" w:themeColor="text1"/>
        </w:rPr>
        <w:t>其中</w:t>
      </w:r>
      <w:r w:rsidRPr="007D10AC">
        <w:rPr>
          <w:rFonts w:hAnsi="標楷體" w:hint="eastAsia"/>
          <w:color w:val="000000" w:themeColor="text1"/>
        </w:rPr>
        <w:t>修正第2</w:t>
      </w:r>
      <w:r w:rsidRPr="007D10AC">
        <w:rPr>
          <w:rFonts w:hAnsi="標楷體"/>
          <w:color w:val="000000" w:themeColor="text1"/>
        </w:rPr>
        <w:t>1</w:t>
      </w:r>
      <w:r w:rsidRPr="007D10AC">
        <w:rPr>
          <w:rFonts w:hAnsi="標楷體" w:hint="eastAsia"/>
          <w:color w:val="000000" w:themeColor="text1"/>
        </w:rPr>
        <w:t>條</w:t>
      </w:r>
      <w:r w:rsidR="0022475F" w:rsidRPr="007D10AC">
        <w:rPr>
          <w:rFonts w:hAnsi="標楷體" w:hint="eastAsia"/>
          <w:color w:val="000000" w:themeColor="text1"/>
        </w:rPr>
        <w:t>（</w:t>
      </w:r>
      <w:r w:rsidRPr="007D10AC">
        <w:rPr>
          <w:rFonts w:hAnsi="標楷體" w:hint="eastAsia"/>
          <w:color w:val="000000" w:themeColor="text1"/>
        </w:rPr>
        <w:t>詳表1</w:t>
      </w:r>
      <w:r w:rsidR="00273637" w:rsidRPr="007D10AC">
        <w:rPr>
          <w:rFonts w:hAnsi="標楷體"/>
          <w:color w:val="000000" w:themeColor="text1"/>
        </w:rPr>
        <w:t>2</w:t>
      </w:r>
      <w:r w:rsidR="0022475F" w:rsidRPr="007D10AC">
        <w:rPr>
          <w:rFonts w:hAnsi="標楷體"/>
          <w:color w:val="000000" w:themeColor="text1"/>
        </w:rPr>
        <w:t>）</w:t>
      </w:r>
      <w:r w:rsidRPr="007D10AC">
        <w:rPr>
          <w:rFonts w:hAnsi="標楷體" w:hint="eastAsia"/>
          <w:color w:val="000000" w:themeColor="text1"/>
        </w:rPr>
        <w:t>規定</w:t>
      </w:r>
      <w:r w:rsidR="003D16CB" w:rsidRPr="007D10AC">
        <w:rPr>
          <w:rFonts w:hAnsi="標楷體" w:hint="eastAsia"/>
          <w:color w:val="000000" w:themeColor="text1"/>
        </w:rPr>
        <w:t>，</w:t>
      </w:r>
      <w:r w:rsidR="0080077D" w:rsidRPr="007D10AC">
        <w:rPr>
          <w:rFonts w:hAnsi="標楷體" w:hint="eastAsia"/>
          <w:color w:val="000000" w:themeColor="text1"/>
          <w:szCs w:val="32"/>
        </w:rPr>
        <w:t>增訂第</w:t>
      </w:r>
      <w:r w:rsidR="007E276E" w:rsidRPr="007D10AC">
        <w:rPr>
          <w:rFonts w:hAnsi="標楷體" w:hint="eastAsia"/>
          <w:color w:val="000000" w:themeColor="text1"/>
          <w:szCs w:val="32"/>
        </w:rPr>
        <w:t>3</w:t>
      </w:r>
      <w:r w:rsidR="0080077D" w:rsidRPr="007D10AC">
        <w:rPr>
          <w:rFonts w:hAnsi="標楷體" w:hint="eastAsia"/>
          <w:color w:val="000000" w:themeColor="text1"/>
          <w:szCs w:val="32"/>
        </w:rPr>
        <w:t>項至第</w:t>
      </w:r>
      <w:r w:rsidR="007E276E" w:rsidRPr="007D10AC">
        <w:rPr>
          <w:rFonts w:hAnsi="標楷體" w:hint="eastAsia"/>
          <w:color w:val="000000" w:themeColor="text1"/>
          <w:szCs w:val="32"/>
        </w:rPr>
        <w:t>5</w:t>
      </w:r>
      <w:r w:rsidR="0080077D" w:rsidRPr="007D10AC">
        <w:rPr>
          <w:rFonts w:hAnsi="標楷體" w:hint="eastAsia"/>
          <w:color w:val="000000" w:themeColor="text1"/>
          <w:szCs w:val="32"/>
        </w:rPr>
        <w:t>項有關稅捐核課期間時效不完成之規定，其立法意旨主要為現行核課期間之規定，造成受理訴願機關或行政法院認為納稅義務人主張有理由時，為避免核定稅捐處分一經訴願或行政訴訟撤銷確定</w:t>
      </w:r>
      <w:proofErr w:type="gramStart"/>
      <w:r w:rsidR="0080077D" w:rsidRPr="007D10AC">
        <w:rPr>
          <w:rFonts w:hAnsi="標楷體" w:hint="eastAsia"/>
          <w:color w:val="000000" w:themeColor="text1"/>
          <w:szCs w:val="32"/>
        </w:rPr>
        <w:t>即逾或</w:t>
      </w:r>
      <w:proofErr w:type="gramEnd"/>
      <w:r w:rsidR="0080077D" w:rsidRPr="007D10AC">
        <w:rPr>
          <w:rFonts w:hAnsi="標楷體" w:hint="eastAsia"/>
          <w:color w:val="000000" w:themeColor="text1"/>
          <w:szCs w:val="32"/>
        </w:rPr>
        <w:t>已逾核課</w:t>
      </w:r>
      <w:proofErr w:type="gramStart"/>
      <w:r w:rsidR="0080077D" w:rsidRPr="007D10AC">
        <w:rPr>
          <w:rFonts w:hAnsi="標楷體" w:hint="eastAsia"/>
          <w:color w:val="000000" w:themeColor="text1"/>
          <w:szCs w:val="32"/>
        </w:rPr>
        <w:t>期間</w:t>
      </w:r>
      <w:proofErr w:type="gramEnd"/>
      <w:r w:rsidR="0080077D" w:rsidRPr="007D10AC">
        <w:rPr>
          <w:rFonts w:hAnsi="標楷體" w:hint="eastAsia"/>
          <w:color w:val="000000" w:themeColor="text1"/>
          <w:szCs w:val="32"/>
        </w:rPr>
        <w:t>，影響稅捐稽徵機關依判決意旨</w:t>
      </w:r>
      <w:proofErr w:type="gramStart"/>
      <w:r w:rsidR="0080077D" w:rsidRPr="007D10AC">
        <w:rPr>
          <w:rFonts w:hAnsi="標楷體" w:hint="eastAsia"/>
          <w:color w:val="000000" w:themeColor="text1"/>
          <w:szCs w:val="32"/>
        </w:rPr>
        <w:t>重為審</w:t>
      </w:r>
      <w:proofErr w:type="gramEnd"/>
      <w:r w:rsidR="0080077D" w:rsidRPr="007D10AC">
        <w:rPr>
          <w:rFonts w:hAnsi="標楷體" w:hint="eastAsia"/>
          <w:color w:val="000000" w:themeColor="text1"/>
          <w:szCs w:val="32"/>
        </w:rPr>
        <w:t>酌空間，以維國家租稅債權及稽徵公平</w:t>
      </w:r>
      <w:r w:rsidR="00287FAD" w:rsidRPr="007D10AC">
        <w:rPr>
          <w:rFonts w:hAnsi="標楷體" w:hint="eastAsia"/>
          <w:color w:val="000000" w:themeColor="text1"/>
          <w:szCs w:val="32"/>
        </w:rPr>
        <w:t>；</w:t>
      </w:r>
      <w:r w:rsidR="003D16CB" w:rsidRPr="007D10AC">
        <w:rPr>
          <w:rFonts w:hAnsi="標楷體" w:hint="eastAsia"/>
          <w:color w:val="000000" w:themeColor="text1"/>
        </w:rPr>
        <w:t>讓</w:t>
      </w:r>
      <w:proofErr w:type="gramStart"/>
      <w:r w:rsidR="003D16CB" w:rsidRPr="007D10AC">
        <w:rPr>
          <w:rFonts w:hAnsi="標楷體" w:hint="eastAsia"/>
          <w:color w:val="000000" w:themeColor="text1"/>
        </w:rPr>
        <w:t>稽</w:t>
      </w:r>
      <w:proofErr w:type="gramEnd"/>
      <w:r w:rsidR="003D16CB" w:rsidRPr="007D10AC">
        <w:rPr>
          <w:rFonts w:hAnsi="標楷體" w:hint="eastAsia"/>
          <w:color w:val="000000" w:themeColor="text1"/>
        </w:rPr>
        <w:lastRenderedPageBreak/>
        <w:t>徵機關於核課期間將屆，方接獲需有為適法處分之決定或判決時，能有更充足之時間重新核定，</w:t>
      </w:r>
      <w:r w:rsidR="00E72F20" w:rsidRPr="007D10AC">
        <w:rPr>
          <w:rFonts w:hAnsi="標楷體" w:hint="eastAsia"/>
          <w:color w:val="000000" w:themeColor="text1"/>
        </w:rPr>
        <w:t>可望改善以往稽徵機關為避免逾核課期間而不敢撤銷原稅單，僅能撤銷復查決定之不合理現象減少，</w:t>
      </w:r>
      <w:r w:rsidR="00B22A0A" w:rsidRPr="007D10AC">
        <w:rPr>
          <w:rFonts w:hAnsi="標楷體" w:hint="eastAsia"/>
          <w:color w:val="000000" w:themeColor="text1"/>
        </w:rPr>
        <w:t>其中</w:t>
      </w:r>
      <w:r w:rsidR="00287FAD" w:rsidRPr="007D10AC">
        <w:rPr>
          <w:rFonts w:hAnsi="標楷體" w:hint="eastAsia"/>
          <w:color w:val="000000" w:themeColor="text1"/>
        </w:rPr>
        <w:t>第</w:t>
      </w:r>
      <w:r w:rsidR="007E276E" w:rsidRPr="007D10AC">
        <w:rPr>
          <w:rFonts w:hAnsi="標楷體" w:hint="eastAsia"/>
          <w:color w:val="000000" w:themeColor="text1"/>
        </w:rPr>
        <w:t>3</w:t>
      </w:r>
      <w:r w:rsidR="00287FAD" w:rsidRPr="007D10AC">
        <w:rPr>
          <w:rFonts w:hAnsi="標楷體" w:hint="eastAsia"/>
          <w:color w:val="000000" w:themeColor="text1"/>
        </w:rPr>
        <w:t>項</w:t>
      </w:r>
      <w:r w:rsidR="00B22A0A" w:rsidRPr="007D10AC">
        <w:rPr>
          <w:rFonts w:hAnsi="標楷體" w:hint="eastAsia"/>
          <w:color w:val="000000" w:themeColor="text1"/>
        </w:rPr>
        <w:t>第</w:t>
      </w:r>
      <w:r w:rsidR="007E276E" w:rsidRPr="007D10AC">
        <w:rPr>
          <w:rFonts w:hAnsi="標楷體" w:hint="eastAsia"/>
          <w:color w:val="000000" w:themeColor="text1"/>
        </w:rPr>
        <w:t>1</w:t>
      </w:r>
      <w:r w:rsidR="00B22A0A" w:rsidRPr="007D10AC">
        <w:rPr>
          <w:rFonts w:hAnsi="標楷體" w:hint="eastAsia"/>
          <w:color w:val="000000" w:themeColor="text1"/>
        </w:rPr>
        <w:t>款明</w:t>
      </w:r>
      <w:r w:rsidR="00EC5C3C" w:rsidRPr="007D10AC">
        <w:rPr>
          <w:rFonts w:hAnsi="標楷體" w:hint="eastAsia"/>
          <w:color w:val="000000" w:themeColor="text1"/>
        </w:rPr>
        <w:t>定</w:t>
      </w:r>
      <w:r w:rsidR="00B22A0A" w:rsidRPr="007D10AC">
        <w:rPr>
          <w:rFonts w:hAnsi="標楷體" w:hint="eastAsia"/>
          <w:color w:val="000000" w:themeColor="text1"/>
        </w:rPr>
        <w:t>納稅義務人對核定稅捐處分提起行政救濟尚未終結者，自核定稅捐處分經訴願或行政訴訟撤銷須另為處分確定之日起算一年內時效不完成，惟稽徵機關僅須於另為處分確定之日起算一年內重新核課，然重新核定之稅額若</w:t>
      </w:r>
      <w:r w:rsidR="00B22A0A" w:rsidRPr="007D10AC">
        <w:rPr>
          <w:rFonts w:hAnsi="標楷體"/>
          <w:color w:val="000000" w:themeColor="text1"/>
        </w:rPr>
        <w:t>仍難</w:t>
      </w:r>
      <w:r w:rsidR="00B22A0A" w:rsidRPr="007D10AC">
        <w:rPr>
          <w:rFonts w:hAnsi="標楷體" w:hint="eastAsia"/>
          <w:color w:val="000000" w:themeColor="text1"/>
        </w:rPr>
        <w:t>被</w:t>
      </w:r>
      <w:r w:rsidR="00B22A0A" w:rsidRPr="007D10AC">
        <w:rPr>
          <w:rFonts w:hAnsi="標楷體"/>
          <w:color w:val="000000" w:themeColor="text1"/>
        </w:rPr>
        <w:t>納稅</w:t>
      </w:r>
      <w:r w:rsidR="00B22A0A" w:rsidRPr="007D10AC">
        <w:rPr>
          <w:rFonts w:hAnsi="標楷體" w:hint="eastAsia"/>
          <w:color w:val="000000" w:themeColor="text1"/>
        </w:rPr>
        <w:t>人</w:t>
      </w:r>
      <w:r w:rsidR="00B22A0A" w:rsidRPr="007D10AC">
        <w:rPr>
          <w:rFonts w:hAnsi="標楷體"/>
          <w:color w:val="000000" w:themeColor="text1"/>
        </w:rPr>
        <w:t>所接受而續行爭訟，</w:t>
      </w:r>
      <w:r w:rsidR="001E2DFD" w:rsidRPr="007D10AC">
        <w:rPr>
          <w:rFonts w:hAnsi="標楷體" w:hint="eastAsia"/>
          <w:color w:val="000000" w:themeColor="text1"/>
        </w:rPr>
        <w:t>亦恐難以有效解決反覆訴訟之問題</w:t>
      </w:r>
      <w:r w:rsidRPr="007D10AC">
        <w:rPr>
          <w:rFonts w:hAnsi="標楷體" w:hint="eastAsia"/>
          <w:color w:val="000000" w:themeColor="text1"/>
        </w:rPr>
        <w:t>。</w:t>
      </w:r>
    </w:p>
    <w:p w:rsidR="00E93FB8" w:rsidRPr="007D10AC" w:rsidRDefault="00D0114C" w:rsidP="009E2352">
      <w:pPr>
        <w:pStyle w:val="3"/>
        <w:numPr>
          <w:ilvl w:val="2"/>
          <w:numId w:val="1"/>
        </w:numPr>
        <w:spacing w:line="480" w:lineRule="exact"/>
        <w:rPr>
          <w:rFonts w:hAnsi="標楷體" w:cs="Helvetica"/>
          <w:color w:val="000000" w:themeColor="text1"/>
          <w:kern w:val="0"/>
          <w:szCs w:val="32"/>
        </w:rPr>
      </w:pPr>
      <w:r w:rsidRPr="007D10AC">
        <w:rPr>
          <w:rFonts w:hAnsi="標楷體" w:hint="eastAsia"/>
          <w:color w:val="000000" w:themeColor="text1"/>
        </w:rPr>
        <w:t>基</w:t>
      </w:r>
      <w:r w:rsidR="00E93FB8" w:rsidRPr="007D10AC">
        <w:rPr>
          <w:rFonts w:hAnsi="標楷體" w:hint="eastAsia"/>
          <w:color w:val="000000" w:themeColor="text1"/>
        </w:rPr>
        <w:t>上，</w:t>
      </w:r>
      <w:r w:rsidR="00E93FB8" w:rsidRPr="007D10AC">
        <w:rPr>
          <w:rFonts w:hAnsi="標楷體"/>
          <w:color w:val="000000" w:themeColor="text1"/>
        </w:rPr>
        <w:t>課人民以租稅負擔，關於租稅構成要件，首應形式上符合租稅法定主義，次應實質上符合量能課稅及公平原則</w:t>
      </w:r>
      <w:r w:rsidR="00E93FB8" w:rsidRPr="007D10AC">
        <w:rPr>
          <w:rFonts w:hAnsi="標楷體" w:hint="eastAsia"/>
          <w:color w:val="000000" w:themeColor="text1"/>
        </w:rPr>
        <w:t>，尤其對人民財產權之侵害更應受</w:t>
      </w:r>
      <w:proofErr w:type="gramStart"/>
      <w:r w:rsidR="00E93FB8" w:rsidRPr="007D10AC">
        <w:rPr>
          <w:rFonts w:hAnsi="標楷體" w:hint="eastAsia"/>
          <w:color w:val="000000" w:themeColor="text1"/>
        </w:rPr>
        <w:t>羈</w:t>
      </w:r>
      <w:proofErr w:type="gramEnd"/>
      <w:r w:rsidR="00E93FB8" w:rsidRPr="007D10AC">
        <w:rPr>
          <w:rFonts w:hAnsi="標楷體" w:hint="eastAsia"/>
          <w:color w:val="000000" w:themeColor="text1"/>
        </w:rPr>
        <w:t>束，</w:t>
      </w:r>
      <w:r w:rsidR="00D1149E" w:rsidRPr="007D10AC">
        <w:rPr>
          <w:rFonts w:hAnsi="標楷體" w:hint="eastAsia"/>
          <w:color w:val="000000" w:themeColor="text1"/>
          <w:szCs w:val="32"/>
        </w:rPr>
        <w:t>稅捐機關依</w:t>
      </w:r>
      <w:r w:rsidR="00E93FB8" w:rsidRPr="007D10AC">
        <w:rPr>
          <w:rFonts w:hAnsi="標楷體"/>
          <w:color w:val="000000" w:themeColor="text1"/>
        </w:rPr>
        <w:t>財政部</w:t>
      </w:r>
      <w:smartTag w:uri="urn:schemas-microsoft-com:office:smarttags" w:element="chsdate">
        <w:smartTagPr>
          <w:attr w:name="IsROCDate" w:val="False"/>
          <w:attr w:name="IsLunarDate" w:val="False"/>
          <w:attr w:name="Day" w:val="25"/>
          <w:attr w:name="Month" w:val="5"/>
          <w:attr w:name="Year" w:val="1950"/>
        </w:smartTagPr>
        <w:r w:rsidR="00E93FB8" w:rsidRPr="007D10AC">
          <w:rPr>
            <w:rFonts w:hAnsi="標楷體" w:hint="eastAsia"/>
            <w:color w:val="000000" w:themeColor="text1"/>
          </w:rPr>
          <w:t>50年5月25日</w:t>
        </w:r>
      </w:smartTag>
      <w:r w:rsidR="00E93FB8" w:rsidRPr="007D10AC">
        <w:rPr>
          <w:rFonts w:hAnsi="標楷體" w:hint="eastAsia"/>
          <w:color w:val="000000" w:themeColor="text1"/>
        </w:rPr>
        <w:t>台財稅發字第03497號函及</w:t>
      </w:r>
      <w:smartTag w:uri="urn:schemas-microsoft-com:office:smarttags" w:element="chsdate">
        <w:smartTagPr>
          <w:attr w:name="IsROCDate" w:val="False"/>
          <w:attr w:name="IsLunarDate" w:val="False"/>
          <w:attr w:name="Day" w:val="29"/>
          <w:attr w:name="Month" w:val="7"/>
          <w:attr w:name="Year" w:val="1967"/>
        </w:smartTagPr>
        <w:r w:rsidR="00E93FB8" w:rsidRPr="007D10AC">
          <w:rPr>
            <w:rFonts w:hAnsi="標楷體" w:hint="eastAsia"/>
            <w:color w:val="000000" w:themeColor="text1"/>
          </w:rPr>
          <w:t>6</w:t>
        </w:r>
        <w:r w:rsidR="00E93FB8" w:rsidRPr="007D10AC">
          <w:rPr>
            <w:rFonts w:hAnsi="標楷體"/>
            <w:color w:val="000000" w:themeColor="text1"/>
          </w:rPr>
          <w:t>7年7月29日</w:t>
        </w:r>
      </w:smartTag>
      <w:r w:rsidR="00E93FB8" w:rsidRPr="007D10AC">
        <w:rPr>
          <w:rFonts w:hAnsi="標楷體"/>
          <w:color w:val="000000" w:themeColor="text1"/>
        </w:rPr>
        <w:t>台財稅字第35047號函</w:t>
      </w:r>
      <w:r w:rsidR="00E93FB8" w:rsidRPr="007D10AC">
        <w:rPr>
          <w:rFonts w:hAnsi="標楷體"/>
          <w:color w:val="000000" w:themeColor="text1"/>
          <w:szCs w:val="32"/>
        </w:rPr>
        <w:t>釋</w:t>
      </w:r>
      <w:r w:rsidR="00E93FB8" w:rsidRPr="007D10AC">
        <w:rPr>
          <w:rFonts w:hAnsi="標楷體" w:hint="eastAsia"/>
          <w:color w:val="000000" w:themeColor="text1"/>
          <w:szCs w:val="32"/>
        </w:rPr>
        <w:t>之意旨，規避法律明定之納稅核課</w:t>
      </w:r>
      <w:proofErr w:type="gramStart"/>
      <w:r w:rsidR="00E93FB8" w:rsidRPr="007D10AC">
        <w:rPr>
          <w:rFonts w:hAnsi="標楷體" w:hint="eastAsia"/>
          <w:color w:val="000000" w:themeColor="text1"/>
          <w:szCs w:val="32"/>
        </w:rPr>
        <w:t>期間</w:t>
      </w:r>
      <w:proofErr w:type="gramEnd"/>
      <w:r w:rsidR="00E93FB8" w:rsidRPr="007D10AC">
        <w:rPr>
          <w:rFonts w:hAnsi="標楷體" w:hint="eastAsia"/>
          <w:color w:val="000000" w:themeColor="text1"/>
          <w:szCs w:val="32"/>
        </w:rPr>
        <w:t>，破壞</w:t>
      </w:r>
      <w:r w:rsidR="00E93FB8" w:rsidRPr="007D10AC">
        <w:rPr>
          <w:rFonts w:hAnsi="標楷體" w:hint="eastAsia"/>
          <w:color w:val="000000" w:themeColor="text1"/>
        </w:rPr>
        <w:t>法律安定性，</w:t>
      </w:r>
      <w:r w:rsidR="00E93FB8" w:rsidRPr="007D10AC">
        <w:rPr>
          <w:rFonts w:hAnsi="標楷體" w:hint="eastAsia"/>
          <w:color w:val="000000" w:themeColor="text1"/>
          <w:szCs w:val="32"/>
        </w:rPr>
        <w:t>致稅捐稽徵機關得無視納稅核課期間一再重為新課稅處分</w:t>
      </w:r>
      <w:r w:rsidR="007C43CA" w:rsidRPr="007D10AC">
        <w:rPr>
          <w:rFonts w:hAnsi="標楷體" w:hint="eastAsia"/>
          <w:color w:val="000000" w:themeColor="text1"/>
          <w:szCs w:val="32"/>
        </w:rPr>
        <w:t>（</w:t>
      </w:r>
      <w:r w:rsidR="00E93FB8" w:rsidRPr="007D10AC">
        <w:rPr>
          <w:rFonts w:hAnsi="標楷體" w:hint="eastAsia"/>
          <w:color w:val="000000" w:themeColor="text1"/>
          <w:szCs w:val="32"/>
        </w:rPr>
        <w:t>復查決定</w:t>
      </w:r>
      <w:r w:rsidR="007C43CA" w:rsidRPr="007D10AC">
        <w:rPr>
          <w:rFonts w:hAnsi="標楷體" w:hint="eastAsia"/>
          <w:color w:val="000000" w:themeColor="text1"/>
          <w:szCs w:val="32"/>
        </w:rPr>
        <w:t>）</w:t>
      </w:r>
      <w:r w:rsidR="00E93FB8" w:rsidRPr="007D10AC">
        <w:rPr>
          <w:rFonts w:hAnsi="標楷體" w:hint="eastAsia"/>
          <w:color w:val="000000" w:themeColor="text1"/>
          <w:szCs w:val="32"/>
        </w:rPr>
        <w:t>，顯違反租稅法定主義</w:t>
      </w:r>
      <w:r w:rsidR="00E93FB8" w:rsidRPr="007D10AC">
        <w:rPr>
          <w:rFonts w:hAnsi="標楷體"/>
          <w:color w:val="000000" w:themeColor="text1"/>
          <w:szCs w:val="32"/>
        </w:rPr>
        <w:t>，</w:t>
      </w:r>
      <w:r w:rsidR="00E93FB8" w:rsidRPr="007D10AC">
        <w:rPr>
          <w:rFonts w:hAnsi="標楷體" w:hint="eastAsia"/>
          <w:color w:val="000000" w:themeColor="text1"/>
          <w:szCs w:val="32"/>
        </w:rPr>
        <w:t>對人民權利侵害至鉅</w:t>
      </w:r>
      <w:r w:rsidR="00F508E2" w:rsidRPr="007D10AC">
        <w:rPr>
          <w:rFonts w:hAnsi="標楷體" w:hint="eastAsia"/>
          <w:color w:val="000000" w:themeColor="text1"/>
          <w:szCs w:val="32"/>
        </w:rPr>
        <w:t>；110年12月17日公布修正「稅捐</w:t>
      </w:r>
      <w:proofErr w:type="gramStart"/>
      <w:r w:rsidR="00F508E2" w:rsidRPr="007D10AC">
        <w:rPr>
          <w:rFonts w:hAnsi="標楷體" w:hint="eastAsia"/>
          <w:color w:val="000000" w:themeColor="text1"/>
          <w:szCs w:val="32"/>
        </w:rPr>
        <w:t>稽</w:t>
      </w:r>
      <w:proofErr w:type="gramEnd"/>
      <w:r w:rsidR="00F508E2" w:rsidRPr="007D10AC">
        <w:rPr>
          <w:rFonts w:hAnsi="標楷體" w:hint="eastAsia"/>
          <w:color w:val="000000" w:themeColor="text1"/>
          <w:szCs w:val="32"/>
        </w:rPr>
        <w:t>徵法」部分條文，</w:t>
      </w:r>
      <w:r w:rsidR="00F508E2" w:rsidRPr="007D10AC">
        <w:rPr>
          <w:rFonts w:hAnsi="標楷體"/>
          <w:color w:val="000000" w:themeColor="text1"/>
          <w:szCs w:val="32"/>
        </w:rPr>
        <w:t>其中</w:t>
      </w:r>
      <w:r w:rsidR="001E2DFD" w:rsidRPr="007D10AC">
        <w:rPr>
          <w:rFonts w:hAnsi="標楷體" w:hint="eastAsia"/>
          <w:color w:val="000000" w:themeColor="text1"/>
          <w:szCs w:val="32"/>
        </w:rPr>
        <w:t>增訂第</w:t>
      </w:r>
      <w:r w:rsidR="00FA78A7" w:rsidRPr="007D10AC">
        <w:rPr>
          <w:rFonts w:hAnsi="標楷體" w:hint="eastAsia"/>
          <w:color w:val="000000" w:themeColor="text1"/>
          <w:szCs w:val="32"/>
        </w:rPr>
        <w:t>3</w:t>
      </w:r>
      <w:r w:rsidR="001E2DFD" w:rsidRPr="007D10AC">
        <w:rPr>
          <w:rFonts w:hAnsi="標楷體" w:hint="eastAsia"/>
          <w:color w:val="000000" w:themeColor="text1"/>
          <w:szCs w:val="32"/>
        </w:rPr>
        <w:t>項至第</w:t>
      </w:r>
      <w:r w:rsidR="00FA78A7" w:rsidRPr="007D10AC">
        <w:rPr>
          <w:rFonts w:hAnsi="標楷體" w:hint="eastAsia"/>
          <w:color w:val="000000" w:themeColor="text1"/>
          <w:szCs w:val="32"/>
        </w:rPr>
        <w:t>5</w:t>
      </w:r>
      <w:r w:rsidR="001E2DFD" w:rsidRPr="007D10AC">
        <w:rPr>
          <w:rFonts w:hAnsi="標楷體" w:hint="eastAsia"/>
          <w:color w:val="000000" w:themeColor="text1"/>
          <w:szCs w:val="32"/>
        </w:rPr>
        <w:t>項有關稅捐核課期間時效不完成之規定，其立法意旨主要為現行核課期間之規定，造成受理訴願機關或行政法院認為納稅義務人主張有理由時，為避免核定稅捐處分一經訴願或行政訴訟撤銷確定</w:t>
      </w:r>
      <w:proofErr w:type="gramStart"/>
      <w:r w:rsidR="001E2DFD" w:rsidRPr="007D10AC">
        <w:rPr>
          <w:rFonts w:hAnsi="標楷體" w:hint="eastAsia"/>
          <w:color w:val="000000" w:themeColor="text1"/>
          <w:szCs w:val="32"/>
        </w:rPr>
        <w:t>即逾</w:t>
      </w:r>
      <w:r w:rsidR="007A58E0" w:rsidRPr="007D10AC">
        <w:rPr>
          <w:rFonts w:hAnsi="標楷體" w:hint="eastAsia"/>
          <w:color w:val="000000" w:themeColor="text1"/>
          <w:szCs w:val="32"/>
        </w:rPr>
        <w:t>或</w:t>
      </w:r>
      <w:proofErr w:type="gramEnd"/>
      <w:r w:rsidR="007A58E0" w:rsidRPr="007D10AC">
        <w:rPr>
          <w:rFonts w:hAnsi="標楷體" w:hint="eastAsia"/>
          <w:color w:val="000000" w:themeColor="text1"/>
          <w:szCs w:val="32"/>
        </w:rPr>
        <w:t>已逾</w:t>
      </w:r>
      <w:r w:rsidR="001E2DFD" w:rsidRPr="007D10AC">
        <w:rPr>
          <w:rFonts w:hAnsi="標楷體" w:hint="eastAsia"/>
          <w:color w:val="000000" w:themeColor="text1"/>
          <w:szCs w:val="32"/>
        </w:rPr>
        <w:t>核課</w:t>
      </w:r>
      <w:proofErr w:type="gramStart"/>
      <w:r w:rsidR="001E2DFD" w:rsidRPr="007D10AC">
        <w:rPr>
          <w:rFonts w:hAnsi="標楷體" w:hint="eastAsia"/>
          <w:color w:val="000000" w:themeColor="text1"/>
          <w:szCs w:val="32"/>
        </w:rPr>
        <w:t>期間</w:t>
      </w:r>
      <w:proofErr w:type="gramEnd"/>
      <w:r w:rsidR="001E2DFD" w:rsidRPr="007D10AC">
        <w:rPr>
          <w:rFonts w:hAnsi="標楷體" w:hint="eastAsia"/>
          <w:color w:val="000000" w:themeColor="text1"/>
          <w:szCs w:val="32"/>
        </w:rPr>
        <w:t>，影響稅捐稽徵機關依判決意旨</w:t>
      </w:r>
      <w:proofErr w:type="gramStart"/>
      <w:r w:rsidR="001E2DFD" w:rsidRPr="007D10AC">
        <w:rPr>
          <w:rFonts w:hAnsi="標楷體" w:hint="eastAsia"/>
          <w:color w:val="000000" w:themeColor="text1"/>
          <w:szCs w:val="32"/>
        </w:rPr>
        <w:t>重為審</w:t>
      </w:r>
      <w:proofErr w:type="gramEnd"/>
      <w:r w:rsidR="001E2DFD" w:rsidRPr="007D10AC">
        <w:rPr>
          <w:rFonts w:hAnsi="標楷體" w:hint="eastAsia"/>
          <w:color w:val="000000" w:themeColor="text1"/>
          <w:szCs w:val="32"/>
        </w:rPr>
        <w:t>酌空間，以維國家租稅債權及稽徵公平</w:t>
      </w:r>
      <w:r w:rsidR="00F508E2" w:rsidRPr="007D10AC">
        <w:rPr>
          <w:rFonts w:hAnsi="標楷體"/>
          <w:color w:val="000000" w:themeColor="text1"/>
          <w:szCs w:val="32"/>
        </w:rPr>
        <w:t>，</w:t>
      </w:r>
      <w:r w:rsidR="001E2DFD" w:rsidRPr="007D10AC">
        <w:rPr>
          <w:rFonts w:hAnsi="標楷體" w:hint="eastAsia"/>
          <w:color w:val="000000" w:themeColor="text1"/>
          <w:szCs w:val="32"/>
        </w:rPr>
        <w:t>惟納稅人若</w:t>
      </w:r>
      <w:r w:rsidR="00F508E2" w:rsidRPr="007D10AC">
        <w:rPr>
          <w:rFonts w:hAnsi="標楷體"/>
          <w:color w:val="000000" w:themeColor="text1"/>
          <w:szCs w:val="32"/>
        </w:rPr>
        <w:t>不服新</w:t>
      </w:r>
      <w:r w:rsidR="001E2DFD" w:rsidRPr="007D10AC">
        <w:rPr>
          <w:rFonts w:hAnsi="標楷體" w:hint="eastAsia"/>
          <w:color w:val="000000" w:themeColor="text1"/>
          <w:szCs w:val="32"/>
        </w:rPr>
        <w:t>行政處分</w:t>
      </w:r>
      <w:r w:rsidR="00F508E2" w:rsidRPr="007D10AC">
        <w:rPr>
          <w:rFonts w:hAnsi="標楷體"/>
          <w:color w:val="000000" w:themeColor="text1"/>
          <w:szCs w:val="32"/>
        </w:rPr>
        <w:t>而</w:t>
      </w:r>
      <w:r w:rsidR="001E2DFD" w:rsidRPr="007D10AC">
        <w:rPr>
          <w:rFonts w:hAnsi="標楷體" w:hint="eastAsia"/>
          <w:color w:val="000000" w:themeColor="text1"/>
          <w:szCs w:val="32"/>
        </w:rPr>
        <w:t>續行訴訟</w:t>
      </w:r>
      <w:r w:rsidR="00F508E2" w:rsidRPr="007D10AC">
        <w:rPr>
          <w:rFonts w:hAnsi="標楷體"/>
          <w:color w:val="000000" w:themeColor="text1"/>
          <w:szCs w:val="32"/>
        </w:rPr>
        <w:t>，</w:t>
      </w:r>
      <w:r w:rsidR="00F352AD" w:rsidRPr="007D10AC">
        <w:rPr>
          <w:rFonts w:hAnsi="標楷體"/>
          <w:color w:val="000000" w:themeColor="text1"/>
          <w:szCs w:val="32"/>
        </w:rPr>
        <w:t>陳年稅單反覆纏</w:t>
      </w:r>
      <w:r w:rsidR="00F352AD" w:rsidRPr="007D10AC">
        <w:rPr>
          <w:rFonts w:hAnsi="標楷體"/>
          <w:color w:val="000000" w:themeColor="text1"/>
          <w:szCs w:val="32"/>
        </w:rPr>
        <w:lastRenderedPageBreak/>
        <w:t>訟</w:t>
      </w:r>
      <w:r w:rsidR="00360266" w:rsidRPr="007D10AC">
        <w:rPr>
          <w:rFonts w:hAnsi="標楷體" w:hint="eastAsia"/>
          <w:color w:val="000000" w:themeColor="text1"/>
          <w:szCs w:val="32"/>
        </w:rPr>
        <w:t>現象能否</w:t>
      </w:r>
      <w:r w:rsidR="007A58E0" w:rsidRPr="007D10AC">
        <w:rPr>
          <w:rFonts w:hAnsi="標楷體" w:hint="eastAsia"/>
          <w:color w:val="000000" w:themeColor="text1"/>
          <w:szCs w:val="32"/>
        </w:rPr>
        <w:t>有效</w:t>
      </w:r>
      <w:r w:rsidR="00F508E2" w:rsidRPr="007D10AC">
        <w:rPr>
          <w:rFonts w:hAnsi="標楷體"/>
          <w:color w:val="000000" w:themeColor="text1"/>
          <w:szCs w:val="32"/>
        </w:rPr>
        <w:t>解決仍有待觀察</w:t>
      </w:r>
      <w:r w:rsidR="00E93FB8" w:rsidRPr="007D10AC">
        <w:rPr>
          <w:rFonts w:hAnsi="標楷體" w:hint="eastAsia"/>
          <w:color w:val="000000" w:themeColor="text1"/>
          <w:szCs w:val="32"/>
        </w:rPr>
        <w:t>。</w:t>
      </w:r>
    </w:p>
    <w:p w:rsidR="00A970F2" w:rsidRPr="007D10AC" w:rsidRDefault="00A970F2" w:rsidP="00A970F2">
      <w:pPr>
        <w:pStyle w:val="a4"/>
        <w:rPr>
          <w:rFonts w:hAnsi="標楷體"/>
          <w:color w:val="000000" w:themeColor="text1"/>
        </w:rPr>
      </w:pPr>
      <w:r w:rsidRPr="007D10AC">
        <w:rPr>
          <w:rFonts w:hAnsi="標楷體" w:hint="eastAsia"/>
          <w:color w:val="000000" w:themeColor="text1"/>
        </w:rPr>
        <w:t>稅捐</w:t>
      </w:r>
      <w:proofErr w:type="gramStart"/>
      <w:r w:rsidRPr="007D10AC">
        <w:rPr>
          <w:rFonts w:hAnsi="標楷體" w:hint="eastAsia"/>
          <w:color w:val="000000" w:themeColor="text1"/>
        </w:rPr>
        <w:t>稽</w:t>
      </w:r>
      <w:proofErr w:type="gramEnd"/>
      <w:r w:rsidRPr="007D10AC">
        <w:rPr>
          <w:rFonts w:hAnsi="標楷體" w:hint="eastAsia"/>
          <w:color w:val="000000" w:themeColor="text1"/>
        </w:rPr>
        <w:t>徵法部分條文修正條文對照表</w:t>
      </w:r>
      <w:bookmarkStart w:id="75" w:name="TA5072251"/>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96"/>
        <w:gridCol w:w="2505"/>
        <w:gridCol w:w="3633"/>
      </w:tblGrid>
      <w:tr w:rsidR="007D10AC" w:rsidRPr="007D10AC" w:rsidTr="008A500E">
        <w:trPr>
          <w:tblHeader/>
        </w:trPr>
        <w:tc>
          <w:tcPr>
            <w:tcW w:w="1526" w:type="pct"/>
            <w:shd w:val="clear" w:color="auto" w:fill="auto"/>
          </w:tcPr>
          <w:p w:rsidR="00A970F2" w:rsidRPr="007D10AC" w:rsidRDefault="00A970F2" w:rsidP="00F352AD">
            <w:pPr>
              <w:pStyle w:val="affd"/>
              <w:spacing w:line="300" w:lineRule="exact"/>
              <w:ind w:left="170" w:right="170"/>
              <w:rPr>
                <w:rFonts w:ascii="標楷體" w:eastAsia="標楷體" w:hAnsi="標楷體"/>
                <w:color w:val="000000" w:themeColor="text1"/>
                <w:sz w:val="28"/>
                <w:szCs w:val="28"/>
              </w:rPr>
            </w:pPr>
            <w:r w:rsidRPr="007D10AC">
              <w:rPr>
                <w:rFonts w:ascii="標楷體" w:eastAsia="標楷體" w:hAnsi="標楷體" w:hint="eastAsia"/>
                <w:color w:val="000000" w:themeColor="text1"/>
                <w:sz w:val="28"/>
                <w:szCs w:val="28"/>
              </w:rPr>
              <w:t>修正條文</w:t>
            </w:r>
          </w:p>
        </w:tc>
        <w:tc>
          <w:tcPr>
            <w:tcW w:w="1418" w:type="pct"/>
            <w:shd w:val="clear" w:color="auto" w:fill="auto"/>
          </w:tcPr>
          <w:p w:rsidR="00A970F2" w:rsidRPr="007D10AC" w:rsidRDefault="00A970F2" w:rsidP="00F352AD">
            <w:pPr>
              <w:pStyle w:val="affd"/>
              <w:spacing w:line="300" w:lineRule="exact"/>
              <w:ind w:left="170" w:right="170"/>
              <w:rPr>
                <w:rFonts w:ascii="標楷體" w:eastAsia="標楷體" w:hAnsi="標楷體"/>
                <w:color w:val="000000" w:themeColor="text1"/>
                <w:sz w:val="28"/>
                <w:szCs w:val="28"/>
              </w:rPr>
            </w:pPr>
            <w:r w:rsidRPr="007D10AC">
              <w:rPr>
                <w:rFonts w:ascii="標楷體" w:eastAsia="標楷體" w:hAnsi="標楷體" w:hint="eastAsia"/>
                <w:color w:val="000000" w:themeColor="text1"/>
                <w:sz w:val="28"/>
                <w:szCs w:val="28"/>
              </w:rPr>
              <w:t>現行條文</w:t>
            </w:r>
          </w:p>
        </w:tc>
        <w:tc>
          <w:tcPr>
            <w:tcW w:w="2056" w:type="pct"/>
            <w:shd w:val="clear" w:color="auto" w:fill="auto"/>
          </w:tcPr>
          <w:p w:rsidR="00A970F2" w:rsidRPr="007D10AC" w:rsidRDefault="00A970F2" w:rsidP="00F352AD">
            <w:pPr>
              <w:pStyle w:val="affd"/>
              <w:spacing w:line="300" w:lineRule="exact"/>
              <w:ind w:left="170" w:right="170"/>
              <w:rPr>
                <w:rFonts w:ascii="標楷體" w:eastAsia="標楷體" w:hAnsi="標楷體"/>
                <w:color w:val="000000" w:themeColor="text1"/>
                <w:sz w:val="28"/>
                <w:szCs w:val="28"/>
              </w:rPr>
            </w:pPr>
            <w:r w:rsidRPr="007D10AC">
              <w:rPr>
                <w:rFonts w:ascii="標楷體" w:eastAsia="標楷體" w:hAnsi="標楷體" w:hint="eastAsia"/>
                <w:color w:val="000000" w:themeColor="text1"/>
                <w:sz w:val="28"/>
                <w:szCs w:val="28"/>
              </w:rPr>
              <w:t>說明</w:t>
            </w:r>
          </w:p>
        </w:tc>
      </w:tr>
      <w:tr w:rsidR="00A970F2" w:rsidRPr="007D10AC" w:rsidTr="008A500E">
        <w:tc>
          <w:tcPr>
            <w:tcW w:w="1526" w:type="pct"/>
            <w:shd w:val="clear" w:color="auto" w:fill="auto"/>
          </w:tcPr>
          <w:p w:rsidR="00A970F2" w:rsidRPr="007D10AC" w:rsidRDefault="00A970F2" w:rsidP="00F352AD">
            <w:pPr>
              <w:spacing w:line="300" w:lineRule="exact"/>
              <w:ind w:left="2"/>
              <w:rPr>
                <w:rFonts w:hAnsi="標楷體"/>
                <w:color w:val="000000" w:themeColor="text1"/>
                <w:sz w:val="28"/>
                <w:szCs w:val="28"/>
              </w:rPr>
            </w:pPr>
            <w:r w:rsidRPr="007D10AC">
              <w:rPr>
                <w:rFonts w:hAnsi="標楷體" w:hint="eastAsia"/>
                <w:color w:val="000000" w:themeColor="text1"/>
                <w:sz w:val="28"/>
                <w:szCs w:val="28"/>
              </w:rPr>
              <w:t>第二十一條　稅捐之核課</w:t>
            </w:r>
            <w:proofErr w:type="gramStart"/>
            <w:r w:rsidRPr="007D10AC">
              <w:rPr>
                <w:rFonts w:hAnsi="標楷體" w:hint="eastAsia"/>
                <w:color w:val="000000" w:themeColor="text1"/>
                <w:sz w:val="28"/>
                <w:szCs w:val="28"/>
              </w:rPr>
              <w:t>期間，</w:t>
            </w:r>
            <w:proofErr w:type="gramEnd"/>
            <w:r w:rsidRPr="007D10AC">
              <w:rPr>
                <w:rFonts w:hAnsi="標楷體" w:hint="eastAsia"/>
                <w:color w:val="000000" w:themeColor="text1"/>
                <w:sz w:val="28"/>
                <w:szCs w:val="28"/>
              </w:rPr>
              <w:t>依</w:t>
            </w:r>
            <w:r w:rsidRPr="007D10AC">
              <w:rPr>
                <w:rFonts w:hAnsi="標楷體" w:hint="eastAsia"/>
                <w:color w:val="000000" w:themeColor="text1"/>
                <w:sz w:val="28"/>
                <w:szCs w:val="28"/>
                <w:u w:val="single"/>
              </w:rPr>
              <w:t>下</w:t>
            </w:r>
            <w:r w:rsidRPr="007D10AC">
              <w:rPr>
                <w:rFonts w:hAnsi="標楷體" w:hint="eastAsia"/>
                <w:color w:val="000000" w:themeColor="text1"/>
                <w:sz w:val="28"/>
                <w:szCs w:val="28"/>
              </w:rPr>
              <w:t>列規定：</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一、依法應由納稅義務人申報繳納之稅捐，已在規定期間內申報，且無故意以詐欺或其他不正當方法逃漏稅捐者，其核課期間為五年。</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二、依法應由納稅義務</w:t>
            </w:r>
            <w:proofErr w:type="gramStart"/>
            <w:r w:rsidRPr="007D10AC">
              <w:rPr>
                <w:rFonts w:hAnsi="標楷體" w:hint="eastAsia"/>
                <w:color w:val="000000" w:themeColor="text1"/>
                <w:sz w:val="28"/>
                <w:szCs w:val="28"/>
              </w:rPr>
              <w:t>人實貼之</w:t>
            </w:r>
            <w:proofErr w:type="gramEnd"/>
            <w:r w:rsidRPr="007D10AC">
              <w:rPr>
                <w:rFonts w:hAnsi="標楷體" w:hint="eastAsia"/>
                <w:color w:val="000000" w:themeColor="text1"/>
                <w:sz w:val="28"/>
                <w:szCs w:val="28"/>
              </w:rPr>
              <w:t>印花稅，及應由稅捐稽徵</w:t>
            </w:r>
            <w:proofErr w:type="gramStart"/>
            <w:r w:rsidRPr="007D10AC">
              <w:rPr>
                <w:rFonts w:hAnsi="標楷體" w:hint="eastAsia"/>
                <w:color w:val="000000" w:themeColor="text1"/>
                <w:sz w:val="28"/>
                <w:szCs w:val="28"/>
              </w:rPr>
              <w:t>機關依稅</w:t>
            </w:r>
            <w:proofErr w:type="gramEnd"/>
            <w:r w:rsidRPr="007D10AC">
              <w:rPr>
                <w:rFonts w:hAnsi="標楷體" w:hint="eastAsia"/>
                <w:color w:val="000000" w:themeColor="text1"/>
                <w:sz w:val="28"/>
                <w:szCs w:val="28"/>
              </w:rPr>
              <w:t>籍底冊或查得資料核定課徵之稅捐，其核課期間為五年。</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三、未於規定期間內申報，或故意以詐欺或其他不正當方法逃漏稅捐者，其核課期間為七年。</w:t>
            </w:r>
          </w:p>
          <w:p w:rsidR="00A970F2" w:rsidRPr="007D10AC" w:rsidRDefault="00A970F2" w:rsidP="00F352AD">
            <w:pPr>
              <w:spacing w:line="300" w:lineRule="exact"/>
              <w:ind w:leftChars="-10" w:left="-34" w:firstLineChars="236" w:firstLine="708"/>
              <w:rPr>
                <w:rFonts w:hAnsi="標楷體"/>
                <w:color w:val="000000" w:themeColor="text1"/>
                <w:sz w:val="28"/>
                <w:szCs w:val="28"/>
              </w:rPr>
            </w:pPr>
            <w:r w:rsidRPr="007D10AC">
              <w:rPr>
                <w:rFonts w:hAnsi="標楷體" w:hint="eastAsia"/>
                <w:color w:val="000000" w:themeColor="text1"/>
                <w:sz w:val="28"/>
                <w:szCs w:val="28"/>
              </w:rPr>
              <w:t>在前項核課期間內，經另發現應徵之稅捐者，仍應依法補</w:t>
            </w:r>
            <w:proofErr w:type="gramStart"/>
            <w:r w:rsidRPr="007D10AC">
              <w:rPr>
                <w:rFonts w:hAnsi="標楷體" w:hint="eastAsia"/>
                <w:color w:val="000000" w:themeColor="text1"/>
                <w:sz w:val="28"/>
                <w:szCs w:val="28"/>
              </w:rPr>
              <w:t>徵或並予</w:t>
            </w:r>
            <w:proofErr w:type="gramEnd"/>
            <w:r w:rsidRPr="007D10AC">
              <w:rPr>
                <w:rFonts w:hAnsi="標楷體" w:hint="eastAsia"/>
                <w:color w:val="000000" w:themeColor="text1"/>
                <w:sz w:val="28"/>
                <w:szCs w:val="28"/>
              </w:rPr>
              <w:t>處罰；在核課期間內未經發現者，以後不得再補稅處罰。</w:t>
            </w:r>
          </w:p>
          <w:p w:rsidR="00A970F2" w:rsidRPr="007D10AC" w:rsidRDefault="00A970F2" w:rsidP="00F352AD">
            <w:pPr>
              <w:spacing w:line="300" w:lineRule="exact"/>
              <w:ind w:firstLineChars="224" w:firstLine="672"/>
              <w:rPr>
                <w:rFonts w:hAnsi="標楷體"/>
                <w:color w:val="000000" w:themeColor="text1"/>
                <w:sz w:val="28"/>
                <w:szCs w:val="28"/>
                <w:u w:val="single"/>
              </w:rPr>
            </w:pPr>
            <w:r w:rsidRPr="007D10AC">
              <w:rPr>
                <w:rFonts w:hAnsi="標楷體" w:hint="eastAsia"/>
                <w:color w:val="000000" w:themeColor="text1"/>
                <w:sz w:val="28"/>
                <w:szCs w:val="28"/>
                <w:u w:val="single"/>
              </w:rPr>
              <w:t>稅捐之核課期間屆滿時，有下列情形之</w:t>
            </w:r>
            <w:proofErr w:type="gramStart"/>
            <w:r w:rsidRPr="007D10AC">
              <w:rPr>
                <w:rFonts w:hAnsi="標楷體" w:hint="eastAsia"/>
                <w:color w:val="000000" w:themeColor="text1"/>
                <w:sz w:val="28"/>
                <w:szCs w:val="28"/>
                <w:u w:val="single"/>
              </w:rPr>
              <w:t>一</w:t>
            </w:r>
            <w:proofErr w:type="gramEnd"/>
            <w:r w:rsidRPr="007D10AC">
              <w:rPr>
                <w:rFonts w:hAnsi="標楷體" w:hint="eastAsia"/>
                <w:color w:val="000000" w:themeColor="text1"/>
                <w:sz w:val="28"/>
                <w:szCs w:val="28"/>
                <w:u w:val="single"/>
              </w:rPr>
              <w:t>者，其時效不完成：</w:t>
            </w:r>
          </w:p>
          <w:p w:rsidR="00A970F2" w:rsidRPr="007D10AC" w:rsidRDefault="00A970F2" w:rsidP="00F352AD">
            <w:pPr>
              <w:spacing w:line="300" w:lineRule="exact"/>
              <w:ind w:leftChars="1" w:left="390" w:hangingChars="129" w:hanging="387"/>
              <w:rPr>
                <w:rFonts w:hAnsi="標楷體"/>
                <w:color w:val="000000" w:themeColor="text1"/>
                <w:sz w:val="28"/>
                <w:szCs w:val="28"/>
                <w:u w:val="single"/>
              </w:rPr>
            </w:pPr>
            <w:r w:rsidRPr="007D10AC">
              <w:rPr>
                <w:rFonts w:hAnsi="標楷體" w:hint="eastAsia"/>
                <w:color w:val="000000" w:themeColor="text1"/>
                <w:sz w:val="28"/>
                <w:szCs w:val="28"/>
                <w:u w:val="single"/>
              </w:rPr>
              <w:t>一、納稅義務人對核定稅捐處分提起行政救濟尚未終</w:t>
            </w:r>
            <w:r w:rsidRPr="007D10AC">
              <w:rPr>
                <w:rFonts w:hAnsi="標楷體" w:hint="eastAsia"/>
                <w:color w:val="000000" w:themeColor="text1"/>
                <w:sz w:val="28"/>
                <w:szCs w:val="28"/>
                <w:u w:val="single"/>
              </w:rPr>
              <w:lastRenderedPageBreak/>
              <w:t>結者，自核定稅捐處分經訴願或行政訴訟撤銷須另為處分確定之日起算</w:t>
            </w:r>
            <w:proofErr w:type="gramStart"/>
            <w:r w:rsidRPr="007D10AC">
              <w:rPr>
                <w:rFonts w:hAnsi="標楷體" w:hint="eastAsia"/>
                <w:color w:val="000000" w:themeColor="text1"/>
                <w:sz w:val="28"/>
                <w:szCs w:val="28"/>
                <w:u w:val="single"/>
              </w:rPr>
              <w:t>一</w:t>
            </w:r>
            <w:proofErr w:type="gramEnd"/>
            <w:r w:rsidRPr="007D10AC">
              <w:rPr>
                <w:rFonts w:hAnsi="標楷體" w:hint="eastAsia"/>
                <w:color w:val="000000" w:themeColor="text1"/>
                <w:sz w:val="28"/>
                <w:szCs w:val="28"/>
                <w:u w:val="single"/>
              </w:rPr>
              <w:t>年內。</w:t>
            </w:r>
          </w:p>
          <w:p w:rsidR="00A970F2" w:rsidRPr="007D10AC" w:rsidRDefault="00A970F2" w:rsidP="00F352AD">
            <w:pPr>
              <w:spacing w:line="300" w:lineRule="exact"/>
              <w:ind w:leftChars="1" w:left="390" w:hangingChars="129" w:hanging="387"/>
              <w:rPr>
                <w:rFonts w:hAnsi="標楷體"/>
                <w:color w:val="000000" w:themeColor="text1"/>
                <w:sz w:val="28"/>
                <w:szCs w:val="28"/>
                <w:u w:val="single"/>
              </w:rPr>
            </w:pPr>
            <w:r w:rsidRPr="007D10AC">
              <w:rPr>
                <w:rFonts w:hAnsi="標楷體" w:hint="eastAsia"/>
                <w:color w:val="000000" w:themeColor="text1"/>
                <w:sz w:val="28"/>
                <w:szCs w:val="28"/>
                <w:u w:val="single"/>
              </w:rPr>
              <w:t>二、因天災、事變或不可抗力之事由致未能作成核定稅捐處分者，自妨礙事由消滅之日起算六個月內。</w:t>
            </w:r>
          </w:p>
          <w:p w:rsidR="00A970F2" w:rsidRPr="007D10AC" w:rsidRDefault="00A970F2" w:rsidP="00F352AD">
            <w:pPr>
              <w:spacing w:line="300" w:lineRule="exact"/>
              <w:ind w:firstLineChars="200" w:firstLine="600"/>
              <w:rPr>
                <w:rFonts w:hAnsi="標楷體"/>
                <w:color w:val="000000" w:themeColor="text1"/>
                <w:sz w:val="28"/>
                <w:szCs w:val="28"/>
                <w:u w:val="single"/>
              </w:rPr>
            </w:pPr>
            <w:r w:rsidRPr="007D10AC">
              <w:rPr>
                <w:rFonts w:hAnsi="標楷體" w:hint="eastAsia"/>
                <w:color w:val="000000" w:themeColor="text1"/>
                <w:sz w:val="28"/>
                <w:szCs w:val="28"/>
                <w:u w:val="single"/>
              </w:rPr>
              <w:t>核定稅捐處分經納稅義務人於核課期間屆滿後申請復查或於核課期間屆滿前一年內經訴願或行政訴訟撤銷須另為處分確定者，</w:t>
            </w:r>
            <w:proofErr w:type="gramStart"/>
            <w:r w:rsidRPr="007D10AC">
              <w:rPr>
                <w:rFonts w:hAnsi="標楷體" w:hint="eastAsia"/>
                <w:color w:val="000000" w:themeColor="text1"/>
                <w:sz w:val="28"/>
                <w:szCs w:val="28"/>
                <w:u w:val="single"/>
              </w:rPr>
              <w:t>準</w:t>
            </w:r>
            <w:proofErr w:type="gramEnd"/>
            <w:r w:rsidRPr="007D10AC">
              <w:rPr>
                <w:rFonts w:hAnsi="標楷體" w:hint="eastAsia"/>
                <w:color w:val="000000" w:themeColor="text1"/>
                <w:sz w:val="28"/>
                <w:szCs w:val="28"/>
                <w:u w:val="single"/>
              </w:rPr>
              <w:t>用前項第一款規定。</w:t>
            </w:r>
          </w:p>
          <w:p w:rsidR="00A970F2" w:rsidRPr="007D10AC" w:rsidRDefault="00A970F2" w:rsidP="00F352AD">
            <w:pPr>
              <w:spacing w:line="300" w:lineRule="exact"/>
              <w:ind w:firstLineChars="200" w:firstLine="600"/>
              <w:rPr>
                <w:rFonts w:hAnsi="標楷體"/>
                <w:color w:val="000000" w:themeColor="text1"/>
                <w:sz w:val="28"/>
                <w:szCs w:val="28"/>
                <w:u w:val="single"/>
              </w:rPr>
            </w:pPr>
            <w:r w:rsidRPr="007D10AC">
              <w:rPr>
                <w:rFonts w:hAnsi="標楷體" w:hint="eastAsia"/>
                <w:color w:val="000000" w:themeColor="text1"/>
                <w:sz w:val="28"/>
                <w:szCs w:val="28"/>
                <w:u w:val="single"/>
              </w:rPr>
              <w:t>稅捐之核課</w:t>
            </w:r>
            <w:proofErr w:type="gramStart"/>
            <w:r w:rsidRPr="007D10AC">
              <w:rPr>
                <w:rFonts w:hAnsi="標楷體" w:hint="eastAsia"/>
                <w:color w:val="000000" w:themeColor="text1"/>
                <w:sz w:val="28"/>
                <w:szCs w:val="28"/>
                <w:u w:val="single"/>
              </w:rPr>
              <w:t>期間，</w:t>
            </w:r>
            <w:proofErr w:type="gramEnd"/>
            <w:r w:rsidRPr="007D10AC">
              <w:rPr>
                <w:rFonts w:hAnsi="標楷體" w:hint="eastAsia"/>
                <w:color w:val="000000" w:themeColor="text1"/>
                <w:sz w:val="28"/>
                <w:szCs w:val="28"/>
                <w:u w:val="single"/>
              </w:rPr>
              <w:t>不適用行政程序法第一百三十一條第三項至第一百三十四條有關時效中斷之規定。</w:t>
            </w:r>
          </w:p>
          <w:p w:rsidR="00A970F2" w:rsidRPr="007D10AC" w:rsidRDefault="00A970F2" w:rsidP="00F352AD">
            <w:pPr>
              <w:spacing w:line="300" w:lineRule="exact"/>
              <w:ind w:firstLineChars="200" w:firstLine="600"/>
              <w:rPr>
                <w:rFonts w:hAnsi="標楷體"/>
                <w:color w:val="000000" w:themeColor="text1"/>
                <w:sz w:val="28"/>
                <w:szCs w:val="28"/>
              </w:rPr>
            </w:pPr>
            <w:r w:rsidRPr="007D10AC">
              <w:rPr>
                <w:rFonts w:hAnsi="標楷體" w:hint="eastAsia"/>
                <w:color w:val="000000" w:themeColor="text1"/>
                <w:sz w:val="28"/>
                <w:szCs w:val="28"/>
                <w:u w:val="single"/>
              </w:rPr>
              <w:t>中華民國○年○月○日修正之本條文施行時，尚未核課確定之案件，亦適用前三項規定。</w:t>
            </w:r>
          </w:p>
        </w:tc>
        <w:tc>
          <w:tcPr>
            <w:tcW w:w="1418" w:type="pct"/>
            <w:shd w:val="clear" w:color="auto" w:fill="auto"/>
          </w:tcPr>
          <w:p w:rsidR="00A970F2" w:rsidRPr="007D10AC" w:rsidRDefault="00A970F2" w:rsidP="00F352AD">
            <w:pPr>
              <w:spacing w:line="300" w:lineRule="exact"/>
              <w:ind w:left="2"/>
              <w:rPr>
                <w:rFonts w:hAnsi="標楷體"/>
                <w:color w:val="000000" w:themeColor="text1"/>
                <w:sz w:val="28"/>
                <w:szCs w:val="28"/>
              </w:rPr>
            </w:pPr>
            <w:r w:rsidRPr="007D10AC">
              <w:rPr>
                <w:rFonts w:hAnsi="標楷體" w:hint="eastAsia"/>
                <w:color w:val="000000" w:themeColor="text1"/>
                <w:sz w:val="28"/>
                <w:szCs w:val="28"/>
              </w:rPr>
              <w:lastRenderedPageBreak/>
              <w:t>第二十一條　稅捐之核課</w:t>
            </w:r>
            <w:proofErr w:type="gramStart"/>
            <w:r w:rsidRPr="007D10AC">
              <w:rPr>
                <w:rFonts w:hAnsi="標楷體" w:hint="eastAsia"/>
                <w:color w:val="000000" w:themeColor="text1"/>
                <w:sz w:val="28"/>
                <w:szCs w:val="28"/>
              </w:rPr>
              <w:t>期間，</w:t>
            </w:r>
            <w:proofErr w:type="gramEnd"/>
            <w:r w:rsidRPr="007D10AC">
              <w:rPr>
                <w:rFonts w:hAnsi="標楷體" w:hint="eastAsia"/>
                <w:color w:val="000000" w:themeColor="text1"/>
                <w:sz w:val="28"/>
                <w:szCs w:val="28"/>
              </w:rPr>
              <w:t>依左列規定：</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一、依法應由納稅義務人申報繳納之稅捐，已在規定期間內申報，且無故意以詐欺或其他不正當方法逃漏稅捐者，其核課期間為五年。</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二、依法應由納稅義務</w:t>
            </w:r>
            <w:proofErr w:type="gramStart"/>
            <w:r w:rsidRPr="007D10AC">
              <w:rPr>
                <w:rFonts w:hAnsi="標楷體" w:hint="eastAsia"/>
                <w:color w:val="000000" w:themeColor="text1"/>
                <w:sz w:val="28"/>
                <w:szCs w:val="28"/>
              </w:rPr>
              <w:t>人實貼之</w:t>
            </w:r>
            <w:proofErr w:type="gramEnd"/>
            <w:r w:rsidRPr="007D10AC">
              <w:rPr>
                <w:rFonts w:hAnsi="標楷體" w:hint="eastAsia"/>
                <w:color w:val="000000" w:themeColor="text1"/>
                <w:sz w:val="28"/>
                <w:szCs w:val="28"/>
              </w:rPr>
              <w:t>印花稅，及應由稅捐稽徵</w:t>
            </w:r>
            <w:proofErr w:type="gramStart"/>
            <w:r w:rsidRPr="007D10AC">
              <w:rPr>
                <w:rFonts w:hAnsi="標楷體" w:hint="eastAsia"/>
                <w:color w:val="000000" w:themeColor="text1"/>
                <w:sz w:val="28"/>
                <w:szCs w:val="28"/>
              </w:rPr>
              <w:t>機關依稅</w:t>
            </w:r>
            <w:proofErr w:type="gramEnd"/>
            <w:r w:rsidRPr="007D10AC">
              <w:rPr>
                <w:rFonts w:hAnsi="標楷體" w:hint="eastAsia"/>
                <w:color w:val="000000" w:themeColor="text1"/>
                <w:sz w:val="28"/>
                <w:szCs w:val="28"/>
              </w:rPr>
              <w:t>籍底冊或查得資料核定課徵之稅捐，其核課期間為五年。</w:t>
            </w:r>
          </w:p>
          <w:p w:rsidR="00A970F2" w:rsidRPr="007D10AC" w:rsidRDefault="00A970F2" w:rsidP="00F352AD">
            <w:pPr>
              <w:spacing w:line="300" w:lineRule="exact"/>
              <w:ind w:leftChars="1" w:left="528" w:hangingChars="175" w:hanging="525"/>
              <w:rPr>
                <w:rFonts w:hAnsi="標楷體"/>
                <w:color w:val="000000" w:themeColor="text1"/>
                <w:sz w:val="28"/>
                <w:szCs w:val="28"/>
              </w:rPr>
            </w:pPr>
            <w:r w:rsidRPr="007D10AC">
              <w:rPr>
                <w:rFonts w:hAnsi="標楷體" w:hint="eastAsia"/>
                <w:color w:val="000000" w:themeColor="text1"/>
                <w:sz w:val="28"/>
                <w:szCs w:val="28"/>
              </w:rPr>
              <w:t>三、未於規定期間內申報，或故意以詐欺或其他不正當方法逃漏稅捐者，其核課期間為七年。</w:t>
            </w:r>
          </w:p>
          <w:p w:rsidR="00A970F2" w:rsidRPr="007D10AC" w:rsidRDefault="00A970F2" w:rsidP="00F352AD">
            <w:pPr>
              <w:spacing w:line="300" w:lineRule="exact"/>
              <w:ind w:leftChars="92" w:left="313" w:firstLineChars="1" w:firstLine="3"/>
              <w:rPr>
                <w:rFonts w:hAnsi="標楷體"/>
                <w:color w:val="000000" w:themeColor="text1"/>
                <w:sz w:val="28"/>
                <w:szCs w:val="28"/>
              </w:rPr>
            </w:pPr>
            <w:r w:rsidRPr="007D10AC">
              <w:rPr>
                <w:rFonts w:hAnsi="標楷體" w:hint="eastAsia"/>
                <w:color w:val="000000" w:themeColor="text1"/>
                <w:sz w:val="28"/>
                <w:szCs w:val="28"/>
              </w:rPr>
              <w:t>在前項核課期間內，經另發現應徵之稅捐者，仍應依法補</w:t>
            </w:r>
            <w:proofErr w:type="gramStart"/>
            <w:r w:rsidRPr="007D10AC">
              <w:rPr>
                <w:rFonts w:hAnsi="標楷體" w:hint="eastAsia"/>
                <w:color w:val="000000" w:themeColor="text1"/>
                <w:sz w:val="28"/>
                <w:szCs w:val="28"/>
              </w:rPr>
              <w:t>徵或並予</w:t>
            </w:r>
            <w:proofErr w:type="gramEnd"/>
            <w:r w:rsidRPr="007D10AC">
              <w:rPr>
                <w:rFonts w:hAnsi="標楷體" w:hint="eastAsia"/>
                <w:color w:val="000000" w:themeColor="text1"/>
                <w:sz w:val="28"/>
                <w:szCs w:val="28"/>
              </w:rPr>
              <w:t>處罰；在核課期間內未經發現者，以後不得再補稅處罰。</w:t>
            </w:r>
          </w:p>
        </w:tc>
        <w:tc>
          <w:tcPr>
            <w:tcW w:w="2056" w:type="pct"/>
            <w:shd w:val="clear" w:color="auto" w:fill="auto"/>
          </w:tcPr>
          <w:p w:rsidR="00A970F2" w:rsidRPr="007D10AC" w:rsidRDefault="00A970F2" w:rsidP="00F352AD">
            <w:pPr>
              <w:spacing w:line="300" w:lineRule="exact"/>
              <w:ind w:leftChars="1" w:left="528" w:rightChars="6" w:right="20" w:hangingChars="175" w:hanging="525"/>
              <w:rPr>
                <w:rFonts w:hAnsi="標楷體"/>
                <w:color w:val="000000" w:themeColor="text1"/>
                <w:sz w:val="28"/>
                <w:szCs w:val="28"/>
              </w:rPr>
            </w:pPr>
            <w:r w:rsidRPr="007D10AC">
              <w:rPr>
                <w:rFonts w:hAnsi="標楷體" w:hint="eastAsia"/>
                <w:color w:val="000000" w:themeColor="text1"/>
                <w:sz w:val="28"/>
                <w:szCs w:val="28"/>
              </w:rPr>
              <w:t>一、第一項</w:t>
            </w:r>
            <w:proofErr w:type="gramStart"/>
            <w:r w:rsidRPr="007D10AC">
              <w:rPr>
                <w:rFonts w:hAnsi="標楷體" w:hint="eastAsia"/>
                <w:color w:val="000000" w:themeColor="text1"/>
                <w:sz w:val="28"/>
                <w:szCs w:val="28"/>
              </w:rPr>
              <w:t>序文酌作文字</w:t>
            </w:r>
            <w:proofErr w:type="gramEnd"/>
            <w:r w:rsidRPr="007D10AC">
              <w:rPr>
                <w:rFonts w:hAnsi="標楷體" w:hint="eastAsia"/>
                <w:color w:val="000000" w:themeColor="text1"/>
                <w:sz w:val="28"/>
                <w:szCs w:val="28"/>
              </w:rPr>
              <w:t>修正；第二項未修正。</w:t>
            </w:r>
          </w:p>
          <w:p w:rsidR="00A970F2" w:rsidRPr="007D10AC" w:rsidRDefault="00A970F2" w:rsidP="00F352AD">
            <w:pPr>
              <w:spacing w:line="300" w:lineRule="exact"/>
              <w:ind w:leftChars="1" w:left="528" w:rightChars="6" w:right="20" w:hangingChars="175" w:hanging="525"/>
              <w:rPr>
                <w:rFonts w:hAnsi="標楷體"/>
                <w:color w:val="000000" w:themeColor="text1"/>
                <w:sz w:val="28"/>
                <w:szCs w:val="28"/>
              </w:rPr>
            </w:pPr>
            <w:r w:rsidRPr="007D10AC">
              <w:rPr>
                <w:rFonts w:hAnsi="標楷體" w:hint="eastAsia"/>
                <w:color w:val="000000" w:themeColor="text1"/>
                <w:sz w:val="28"/>
                <w:szCs w:val="28"/>
              </w:rPr>
              <w:t>二、增訂第三項有關稅捐核課期間時效不完成之規定：</w:t>
            </w:r>
          </w:p>
          <w:p w:rsidR="00A970F2" w:rsidRPr="007D10AC" w:rsidRDefault="00A970F2" w:rsidP="00F352AD">
            <w:pPr>
              <w:pStyle w:val="affc"/>
              <w:wordWrap/>
              <w:spacing w:line="300" w:lineRule="exact"/>
              <w:ind w:leftChars="53" w:left="810" w:rightChars="6" w:right="20" w:hangingChars="210" w:hanging="630"/>
              <w:rPr>
                <w:rFonts w:ascii="標楷體" w:eastAsia="標楷體" w:hAnsi="標楷體"/>
                <w:color w:val="000000" w:themeColor="text1"/>
                <w:sz w:val="28"/>
                <w:szCs w:val="28"/>
              </w:rPr>
            </w:pPr>
            <w:r w:rsidRPr="007D10AC">
              <w:rPr>
                <w:rFonts w:ascii="標楷體" w:eastAsia="標楷體" w:hAnsi="標楷體" w:hint="eastAsia"/>
                <w:color w:val="000000" w:themeColor="text1"/>
                <w:sz w:val="28"/>
                <w:szCs w:val="28"/>
              </w:rPr>
              <w:t>(一)現行核課期間之規定，造成受理訴願機關或行政法院認為納稅義務人主張有理由時，為避免核定稅捐處分一經訴願或行政訴訟撤銷確定即逾核課期間，影響稅捐稽徵機關依判決意旨重為審酌空間，於實務上多僅撤銷復查決定，而未包含核定稅捐處分，致遭外界質疑法制未臻完備及影響行政救濟有效性。</w:t>
            </w:r>
          </w:p>
          <w:p w:rsidR="00A970F2" w:rsidRPr="007D10AC" w:rsidRDefault="00A970F2" w:rsidP="00F352AD">
            <w:pPr>
              <w:pStyle w:val="affc"/>
              <w:wordWrap/>
              <w:spacing w:line="300" w:lineRule="exact"/>
              <w:ind w:leftChars="53" w:left="810" w:rightChars="6" w:right="20" w:hangingChars="210" w:hanging="630"/>
              <w:rPr>
                <w:rFonts w:ascii="標楷體" w:eastAsia="標楷體" w:hAnsi="標楷體"/>
                <w:color w:val="000000" w:themeColor="text1"/>
                <w:sz w:val="28"/>
                <w:szCs w:val="28"/>
              </w:rPr>
            </w:pPr>
            <w:r w:rsidRPr="007D10AC">
              <w:rPr>
                <w:rFonts w:ascii="標楷體" w:eastAsia="標楷體" w:hAnsi="標楷體" w:hint="eastAsia"/>
                <w:color w:val="000000" w:themeColor="text1"/>
                <w:sz w:val="28"/>
                <w:szCs w:val="28"/>
              </w:rPr>
              <w:t>(二)參酌國內學者通說及國外立法例，核課期間宜定性為公法上請求權之消滅時效，並採時效不完成作為核課期間適用時效之配套措施，以兼顧納稅義務人權益及國家租稅債權，爰參考國內學者意見及德國租稅通則第一百七十一條規定，增訂二款有關核課期間屆滿時之時效不完成事由，其中第一款定明納稅義務人對核定稅捐處分提起行政救濟尚未終結者，自核定稅捐處分經訴願或行政訴訟撤銷須另為處分確定之</w:t>
            </w:r>
            <w:r w:rsidRPr="007D10AC">
              <w:rPr>
                <w:rFonts w:ascii="標楷體" w:eastAsia="標楷體" w:hAnsi="標楷體" w:hint="eastAsia"/>
                <w:color w:val="000000" w:themeColor="text1"/>
                <w:sz w:val="28"/>
                <w:szCs w:val="28"/>
              </w:rPr>
              <w:lastRenderedPageBreak/>
              <w:t>日起算一年內時效不完成；第二款定明因天災、事變或不可抗力之事由致未能作成核定稅捐處分者，自妨礙事由消滅之日起算六個月內時效不完成。另第一款所稱「行政救濟尚未終結」，包含核課期間屆滿時，「復查、訴願決定或判決尚未作成」、「已作成復查決定，提起訴願之法定期間經過前」、「已作成訴願決定，提起行政訴訟之法定期間經過前」及「行政法院已作成裁判，提起上訴或抗告之法定期間經過前」。</w:t>
            </w:r>
          </w:p>
          <w:p w:rsidR="00A970F2" w:rsidRPr="007D10AC" w:rsidRDefault="00A970F2" w:rsidP="00F352AD">
            <w:pPr>
              <w:spacing w:line="300" w:lineRule="exact"/>
              <w:ind w:leftChars="1" w:left="528" w:rightChars="6" w:right="20" w:hangingChars="175" w:hanging="525"/>
              <w:rPr>
                <w:rFonts w:hAnsi="標楷體"/>
                <w:color w:val="000000" w:themeColor="text1"/>
                <w:sz w:val="28"/>
                <w:szCs w:val="28"/>
              </w:rPr>
            </w:pPr>
            <w:r w:rsidRPr="007D10AC">
              <w:rPr>
                <w:rFonts w:hAnsi="標楷體" w:hint="eastAsia"/>
                <w:color w:val="000000" w:themeColor="text1"/>
                <w:sz w:val="28"/>
                <w:szCs w:val="28"/>
              </w:rPr>
              <w:t>三、對於納稅義務人於核課期間屆滿後始</w:t>
            </w:r>
            <w:proofErr w:type="gramStart"/>
            <w:r w:rsidRPr="007D10AC">
              <w:rPr>
                <w:rFonts w:hAnsi="標楷體" w:hint="eastAsia"/>
                <w:color w:val="000000" w:themeColor="text1"/>
                <w:sz w:val="28"/>
                <w:szCs w:val="28"/>
              </w:rPr>
              <w:t>依限對核定</w:t>
            </w:r>
            <w:proofErr w:type="gramEnd"/>
            <w:r w:rsidRPr="007D10AC">
              <w:rPr>
                <w:rFonts w:hAnsi="標楷體" w:hint="eastAsia"/>
                <w:color w:val="000000" w:themeColor="text1"/>
                <w:sz w:val="28"/>
                <w:szCs w:val="28"/>
              </w:rPr>
              <w:t>稅捐處分申請復查，經訴願或行政訴訟撤銷須另為處分之確定案件，或將逾核課期間始經訴願或行政訴訟撤銷核定稅捐處分須另為處分之確定案件，為利稅捐稽徵機關依訴願決定或行政法院判決撤銷意旨</w:t>
            </w:r>
            <w:proofErr w:type="gramStart"/>
            <w:r w:rsidRPr="007D10AC">
              <w:rPr>
                <w:rFonts w:hAnsi="標楷體" w:hint="eastAsia"/>
                <w:color w:val="000000" w:themeColor="text1"/>
                <w:sz w:val="28"/>
                <w:szCs w:val="28"/>
              </w:rPr>
              <w:t>重為審</w:t>
            </w:r>
            <w:proofErr w:type="gramEnd"/>
            <w:r w:rsidRPr="007D10AC">
              <w:rPr>
                <w:rFonts w:hAnsi="標楷體" w:hint="eastAsia"/>
                <w:color w:val="000000" w:themeColor="text1"/>
                <w:sz w:val="28"/>
                <w:szCs w:val="28"/>
              </w:rPr>
              <w:t>酌，避免影響國家租稅債權及稽徵公平，爰增訂第四項，定明是類案件準用第三項第一款法律效果，自核定稅捐處分經訴願或行政訴訟撤銷須另為處分確定之日起一年內，其時效不完成。</w:t>
            </w:r>
          </w:p>
          <w:p w:rsidR="00A970F2" w:rsidRPr="007D10AC" w:rsidRDefault="00A970F2" w:rsidP="00F352AD">
            <w:pPr>
              <w:spacing w:line="300" w:lineRule="exact"/>
              <w:ind w:leftChars="1" w:left="528" w:rightChars="6" w:right="20" w:hangingChars="175" w:hanging="525"/>
              <w:rPr>
                <w:rFonts w:hAnsi="標楷體"/>
                <w:color w:val="000000" w:themeColor="text1"/>
                <w:sz w:val="28"/>
                <w:szCs w:val="28"/>
              </w:rPr>
            </w:pPr>
            <w:r w:rsidRPr="007D10AC">
              <w:rPr>
                <w:rFonts w:hAnsi="標楷體" w:hint="eastAsia"/>
                <w:color w:val="000000" w:themeColor="text1"/>
                <w:sz w:val="28"/>
                <w:szCs w:val="28"/>
              </w:rPr>
              <w:t>四、</w:t>
            </w:r>
            <w:proofErr w:type="gramStart"/>
            <w:r w:rsidRPr="007D10AC">
              <w:rPr>
                <w:rFonts w:hAnsi="標楷體" w:hint="eastAsia"/>
                <w:color w:val="000000" w:themeColor="text1"/>
                <w:sz w:val="28"/>
                <w:szCs w:val="28"/>
              </w:rPr>
              <w:t>按核課</w:t>
            </w:r>
            <w:proofErr w:type="gramEnd"/>
            <w:r w:rsidRPr="007D10AC">
              <w:rPr>
                <w:rFonts w:hAnsi="標楷體" w:hint="eastAsia"/>
                <w:color w:val="000000" w:themeColor="text1"/>
                <w:sz w:val="28"/>
                <w:szCs w:val="28"/>
              </w:rPr>
              <w:t>期間係在要求稅捐稽徵機關儘速行使</w:t>
            </w:r>
            <w:proofErr w:type="gramStart"/>
            <w:r w:rsidRPr="007D10AC">
              <w:rPr>
                <w:rFonts w:hAnsi="標楷體" w:hint="eastAsia"/>
                <w:color w:val="000000" w:themeColor="text1"/>
                <w:sz w:val="28"/>
                <w:szCs w:val="28"/>
              </w:rPr>
              <w:t>核課</w:t>
            </w:r>
            <w:proofErr w:type="gramEnd"/>
            <w:r w:rsidRPr="007D10AC">
              <w:rPr>
                <w:rFonts w:hAnsi="標楷體" w:hint="eastAsia"/>
                <w:color w:val="000000" w:themeColor="text1"/>
                <w:sz w:val="28"/>
                <w:szCs w:val="28"/>
              </w:rPr>
              <w:t>權，性質上不宜採時效中斷而重新起算五年</w:t>
            </w:r>
            <w:r w:rsidRPr="007D10AC">
              <w:rPr>
                <w:rFonts w:hAnsi="標楷體" w:hint="eastAsia"/>
                <w:color w:val="000000" w:themeColor="text1"/>
                <w:sz w:val="28"/>
                <w:szCs w:val="28"/>
              </w:rPr>
              <w:lastRenderedPageBreak/>
              <w:t>或七年，避免課稅法律關係長期處於不確定狀態，為期明確，爰增訂第五項，定明稅捐之核課</w:t>
            </w:r>
            <w:proofErr w:type="gramStart"/>
            <w:r w:rsidRPr="007D10AC">
              <w:rPr>
                <w:rFonts w:hAnsi="標楷體" w:hint="eastAsia"/>
                <w:color w:val="000000" w:themeColor="text1"/>
                <w:sz w:val="28"/>
                <w:szCs w:val="28"/>
              </w:rPr>
              <w:t>期間</w:t>
            </w:r>
            <w:proofErr w:type="gramEnd"/>
            <w:r w:rsidRPr="007D10AC">
              <w:rPr>
                <w:rFonts w:hAnsi="標楷體" w:hint="eastAsia"/>
                <w:color w:val="000000" w:themeColor="text1"/>
                <w:sz w:val="28"/>
                <w:szCs w:val="28"/>
              </w:rPr>
              <w:t>，不適用行政程序法第一百三十一條第三項至第一百三十四條有關時效中斷之規定。</w:t>
            </w:r>
          </w:p>
          <w:p w:rsidR="00A970F2" w:rsidRPr="007D10AC" w:rsidRDefault="00A970F2" w:rsidP="00F352AD">
            <w:pPr>
              <w:spacing w:line="300" w:lineRule="exact"/>
              <w:ind w:leftChars="1" w:left="528" w:rightChars="6" w:right="20" w:hangingChars="175" w:hanging="525"/>
              <w:rPr>
                <w:rFonts w:hAnsi="標楷體"/>
                <w:color w:val="000000" w:themeColor="text1"/>
                <w:sz w:val="28"/>
                <w:szCs w:val="28"/>
              </w:rPr>
            </w:pPr>
            <w:r w:rsidRPr="007D10AC">
              <w:rPr>
                <w:rFonts w:hAnsi="標楷體" w:hint="eastAsia"/>
                <w:color w:val="000000" w:themeColor="text1"/>
                <w:sz w:val="28"/>
                <w:szCs w:val="28"/>
              </w:rPr>
              <w:t>五、本條修正施行時，核定稅捐處分尚未確定者，應適用第三項至第五項規定，</w:t>
            </w:r>
            <w:proofErr w:type="gramStart"/>
            <w:r w:rsidRPr="007D10AC">
              <w:rPr>
                <w:rFonts w:hAnsi="標楷體" w:hint="eastAsia"/>
                <w:color w:val="000000" w:themeColor="text1"/>
                <w:sz w:val="28"/>
                <w:szCs w:val="28"/>
              </w:rPr>
              <w:t>爰</w:t>
            </w:r>
            <w:proofErr w:type="gramEnd"/>
            <w:r w:rsidRPr="007D10AC">
              <w:rPr>
                <w:rFonts w:hAnsi="標楷體" w:hint="eastAsia"/>
                <w:color w:val="000000" w:themeColor="text1"/>
                <w:sz w:val="28"/>
                <w:szCs w:val="28"/>
              </w:rPr>
              <w:t>增訂第六項，定明是類案件於過渡期間之適用原則。</w:t>
            </w:r>
          </w:p>
        </w:tc>
      </w:tr>
    </w:tbl>
    <w:p w:rsidR="00A970F2" w:rsidRPr="007D10AC" w:rsidRDefault="00A970F2" w:rsidP="00A970F2">
      <w:pPr>
        <w:pStyle w:val="3"/>
        <w:numPr>
          <w:ilvl w:val="0"/>
          <w:numId w:val="0"/>
        </w:numPr>
        <w:ind w:left="1361"/>
        <w:rPr>
          <w:rFonts w:hAnsi="標楷體" w:cs="Helvetica"/>
          <w:color w:val="000000" w:themeColor="text1"/>
          <w:kern w:val="0"/>
        </w:rPr>
      </w:pPr>
    </w:p>
    <w:p w:rsidR="00F35022" w:rsidRPr="007D10AC" w:rsidRDefault="001F062F" w:rsidP="009E2352">
      <w:pPr>
        <w:pStyle w:val="2"/>
        <w:spacing w:line="480" w:lineRule="exact"/>
        <w:rPr>
          <w:rFonts w:hAnsi="標楷體"/>
          <w:b/>
          <w:color w:val="000000" w:themeColor="text1"/>
        </w:rPr>
      </w:pPr>
      <w:bookmarkStart w:id="76" w:name="_Hlk98408520"/>
      <w:r w:rsidRPr="007D10AC">
        <w:rPr>
          <w:rFonts w:hAnsi="標楷體" w:hint="eastAsia"/>
          <w:b/>
          <w:color w:val="000000" w:themeColor="text1"/>
        </w:rPr>
        <w:t>納稅者權利保護法</w:t>
      </w:r>
      <w:r w:rsidR="002633C1" w:rsidRPr="007D10AC">
        <w:rPr>
          <w:rFonts w:hAnsi="標楷體" w:hint="eastAsia"/>
          <w:b/>
          <w:color w:val="000000" w:themeColor="text1"/>
        </w:rPr>
        <w:t>第21條第4項本係為解決</w:t>
      </w:r>
      <w:r w:rsidR="00F352AD" w:rsidRPr="007D10AC">
        <w:rPr>
          <w:rFonts w:hAnsi="標楷體" w:hint="eastAsia"/>
          <w:b/>
          <w:color w:val="000000" w:themeColor="text1"/>
        </w:rPr>
        <w:t>陳年稅單反覆纏</w:t>
      </w:r>
      <w:proofErr w:type="gramStart"/>
      <w:r w:rsidR="00F352AD" w:rsidRPr="007D10AC">
        <w:rPr>
          <w:rFonts w:hAnsi="標楷體" w:hint="eastAsia"/>
          <w:b/>
          <w:color w:val="000000" w:themeColor="text1"/>
        </w:rPr>
        <w:t>訟</w:t>
      </w:r>
      <w:proofErr w:type="gramEnd"/>
      <w:r w:rsidR="002633C1" w:rsidRPr="007D10AC">
        <w:rPr>
          <w:rFonts w:hAnsi="標楷體" w:hint="eastAsia"/>
          <w:b/>
          <w:color w:val="000000" w:themeColor="text1"/>
        </w:rPr>
        <w:t>而設，</w:t>
      </w:r>
      <w:r w:rsidR="00D75CEC" w:rsidRPr="007D10AC">
        <w:rPr>
          <w:rFonts w:hAnsi="標楷體" w:hint="eastAsia"/>
          <w:b/>
          <w:color w:val="000000" w:themeColor="text1"/>
        </w:rPr>
        <w:t>惟自法院作成撤銷或變更裁判之</w:t>
      </w:r>
      <w:proofErr w:type="gramStart"/>
      <w:r w:rsidR="00D75CEC" w:rsidRPr="007D10AC">
        <w:rPr>
          <w:rFonts w:hAnsi="標楷體" w:hint="eastAsia"/>
          <w:b/>
          <w:color w:val="000000" w:themeColor="text1"/>
        </w:rPr>
        <w:t>日起逾15</w:t>
      </w:r>
      <w:proofErr w:type="gramEnd"/>
      <w:r w:rsidR="00D75CEC" w:rsidRPr="007D10AC">
        <w:rPr>
          <w:rFonts w:hAnsi="標楷體" w:hint="eastAsia"/>
          <w:b/>
          <w:color w:val="000000" w:themeColor="text1"/>
        </w:rPr>
        <w:t>年未能確定其應納稅額者，始不得再行核課，期限過長，</w:t>
      </w:r>
      <w:r w:rsidR="0016639B" w:rsidRPr="007D10AC">
        <w:rPr>
          <w:rFonts w:hAnsi="標楷體" w:hint="eastAsia"/>
          <w:b/>
          <w:color w:val="000000" w:themeColor="text1"/>
        </w:rPr>
        <w:t>致形成納稅者權利保護之空洞化，並</w:t>
      </w:r>
      <w:r w:rsidR="002633C1" w:rsidRPr="007D10AC">
        <w:rPr>
          <w:rFonts w:hAnsi="標楷體" w:hint="eastAsia"/>
          <w:b/>
          <w:color w:val="000000" w:themeColor="text1"/>
        </w:rPr>
        <w:t>與核課期間時效之規範</w:t>
      </w:r>
      <w:r w:rsidR="00D75CEC" w:rsidRPr="007D10AC">
        <w:rPr>
          <w:rFonts w:hAnsi="標楷體" w:hint="eastAsia"/>
          <w:b/>
          <w:color w:val="000000" w:themeColor="text1"/>
        </w:rPr>
        <w:t>未</w:t>
      </w:r>
      <w:r w:rsidR="008C024B" w:rsidRPr="007D10AC">
        <w:rPr>
          <w:rFonts w:hAnsi="標楷體" w:hint="eastAsia"/>
          <w:b/>
          <w:color w:val="000000" w:themeColor="text1"/>
        </w:rPr>
        <w:t>盡</w:t>
      </w:r>
      <w:r w:rsidR="00D75CEC" w:rsidRPr="007D10AC">
        <w:rPr>
          <w:rFonts w:hAnsi="標楷體" w:hint="eastAsia"/>
          <w:b/>
          <w:color w:val="000000" w:themeColor="text1"/>
        </w:rPr>
        <w:t>一致</w:t>
      </w:r>
      <w:r w:rsidR="0028685E" w:rsidRPr="007D10AC">
        <w:rPr>
          <w:rFonts w:hAnsi="標楷體" w:hint="eastAsia"/>
          <w:b/>
          <w:color w:val="000000" w:themeColor="text1"/>
        </w:rPr>
        <w:t>，財政部允應研議「納保法」第</w:t>
      </w:r>
      <w:r w:rsidR="0028685E" w:rsidRPr="007D10AC">
        <w:rPr>
          <w:rFonts w:hAnsi="標楷體"/>
          <w:b/>
          <w:color w:val="000000" w:themeColor="text1"/>
        </w:rPr>
        <w:t>21</w:t>
      </w:r>
      <w:r w:rsidR="0028685E" w:rsidRPr="007D10AC">
        <w:rPr>
          <w:rFonts w:hAnsi="標楷體" w:hint="eastAsia"/>
          <w:b/>
          <w:color w:val="000000" w:themeColor="text1"/>
        </w:rPr>
        <w:t>條第</w:t>
      </w:r>
      <w:r w:rsidR="0028685E" w:rsidRPr="007D10AC">
        <w:rPr>
          <w:rFonts w:hAnsi="標楷體"/>
          <w:b/>
          <w:color w:val="000000" w:themeColor="text1"/>
        </w:rPr>
        <w:t>4</w:t>
      </w:r>
      <w:r w:rsidR="0028685E" w:rsidRPr="007D10AC">
        <w:rPr>
          <w:rFonts w:hAnsi="標楷體" w:hint="eastAsia"/>
          <w:b/>
          <w:color w:val="000000" w:themeColor="text1"/>
        </w:rPr>
        <w:t>項之規定回歸「行政程序法」及「稅捐稽徵法」等行政法之體制</w:t>
      </w:r>
      <w:r w:rsidR="00D16039" w:rsidRPr="007D10AC">
        <w:rPr>
          <w:rFonts w:hAnsi="標楷體" w:hint="eastAsia"/>
          <w:b/>
          <w:color w:val="000000" w:themeColor="text1"/>
        </w:rPr>
        <w:t>：</w:t>
      </w:r>
    </w:p>
    <w:bookmarkEnd w:id="76"/>
    <w:p w:rsidR="004A0E10" w:rsidRPr="007D10AC" w:rsidRDefault="001F062F" w:rsidP="009E2352">
      <w:pPr>
        <w:pStyle w:val="3"/>
        <w:spacing w:line="480" w:lineRule="exact"/>
        <w:rPr>
          <w:rFonts w:hAnsi="標楷體"/>
          <w:color w:val="000000" w:themeColor="text1"/>
        </w:rPr>
      </w:pPr>
      <w:r w:rsidRPr="007D10AC">
        <w:rPr>
          <w:rFonts w:hAnsi="標楷體" w:hint="eastAsia"/>
          <w:snapToGrid w:val="0"/>
          <w:color w:val="000000" w:themeColor="text1"/>
        </w:rPr>
        <w:t>納稅者權利保護法（下稱納保法）</w:t>
      </w:r>
      <w:r w:rsidR="004A0E10" w:rsidRPr="007D10AC">
        <w:rPr>
          <w:rFonts w:hAnsi="標楷體" w:hint="eastAsia"/>
          <w:color w:val="000000" w:themeColor="text1"/>
        </w:rPr>
        <w:t>第21條第4項規定</w:t>
      </w:r>
      <w:r w:rsidR="007C0599" w:rsidRPr="007D10AC">
        <w:rPr>
          <w:rFonts w:hAnsi="標楷體" w:hint="eastAsia"/>
          <w:color w:val="000000" w:themeColor="text1"/>
        </w:rPr>
        <w:t>：「納稅者不服課稅處分、復查或訴願決定提出行政爭</w:t>
      </w:r>
      <w:proofErr w:type="gramStart"/>
      <w:r w:rsidR="007C0599" w:rsidRPr="007D10AC">
        <w:rPr>
          <w:rFonts w:hAnsi="標楷體" w:hint="eastAsia"/>
          <w:color w:val="000000" w:themeColor="text1"/>
        </w:rPr>
        <w:t>訟</w:t>
      </w:r>
      <w:proofErr w:type="gramEnd"/>
      <w:r w:rsidR="007C0599" w:rsidRPr="007D10AC">
        <w:rPr>
          <w:rFonts w:hAnsi="標楷體" w:hint="eastAsia"/>
          <w:color w:val="000000" w:themeColor="text1"/>
        </w:rPr>
        <w:t>之案件，其課稅處分、復查或訴願決定自本法施行後因違法而受法院撤銷或變更，自法院作成撤銷或變更裁判之</w:t>
      </w:r>
      <w:proofErr w:type="gramStart"/>
      <w:r w:rsidR="007C0599" w:rsidRPr="007D10AC">
        <w:rPr>
          <w:rFonts w:hAnsi="標楷體" w:hint="eastAsia"/>
          <w:color w:val="000000" w:themeColor="text1"/>
        </w:rPr>
        <w:t>日起逾15</w:t>
      </w:r>
      <w:proofErr w:type="gramEnd"/>
      <w:r w:rsidR="007C0599" w:rsidRPr="007D10AC">
        <w:rPr>
          <w:rFonts w:hAnsi="標楷體" w:hint="eastAsia"/>
          <w:color w:val="000000" w:themeColor="text1"/>
        </w:rPr>
        <w:t>年未能確定其應納稅額者，不得再行核課。但逾期係因納稅者之故意延滯訴訟或因其他不可抗力之事由所致者，不在此限。」</w:t>
      </w:r>
      <w:r w:rsidR="004A0E10" w:rsidRPr="007D10AC">
        <w:rPr>
          <w:rFonts w:hAnsi="標楷體" w:hint="eastAsia"/>
          <w:color w:val="000000" w:themeColor="text1"/>
        </w:rPr>
        <w:t>本係為解決</w:t>
      </w:r>
      <w:r w:rsidR="00F352AD" w:rsidRPr="007D10AC">
        <w:rPr>
          <w:rFonts w:hAnsi="標楷體" w:hint="eastAsia"/>
          <w:color w:val="000000" w:themeColor="text1"/>
        </w:rPr>
        <w:t>陳年稅單反覆纏</w:t>
      </w:r>
      <w:proofErr w:type="gramStart"/>
      <w:r w:rsidR="00F352AD" w:rsidRPr="007D10AC">
        <w:rPr>
          <w:rFonts w:hAnsi="標楷體" w:hint="eastAsia"/>
          <w:color w:val="000000" w:themeColor="text1"/>
        </w:rPr>
        <w:t>訟</w:t>
      </w:r>
      <w:proofErr w:type="gramEnd"/>
      <w:r w:rsidR="004A0E10" w:rsidRPr="007D10AC">
        <w:rPr>
          <w:rFonts w:hAnsi="標楷體" w:hint="eastAsia"/>
          <w:color w:val="000000" w:themeColor="text1"/>
        </w:rPr>
        <w:t>而設，然該</w:t>
      </w:r>
      <w:r w:rsidR="007C0599" w:rsidRPr="007D10AC">
        <w:rPr>
          <w:rFonts w:hAnsi="標楷體" w:hint="eastAsia"/>
          <w:color w:val="000000" w:themeColor="text1"/>
        </w:rPr>
        <w:t>項</w:t>
      </w:r>
      <w:r w:rsidR="004A0E10" w:rsidRPr="007D10AC">
        <w:rPr>
          <w:rFonts w:hAnsi="標楷體" w:hint="eastAsia"/>
          <w:color w:val="000000" w:themeColor="text1"/>
        </w:rPr>
        <w:t>卻規定該規定給予稅捐機關於納保法施行後法院作成撤銷或變更之稅單，自裁判日起，再</w:t>
      </w:r>
      <w:r w:rsidR="00D75CEC" w:rsidRPr="007D10AC">
        <w:rPr>
          <w:rFonts w:hAnsi="標楷體" w:hint="eastAsia"/>
          <w:color w:val="000000" w:themeColor="text1"/>
        </w:rPr>
        <w:t>經</w:t>
      </w:r>
      <w:r w:rsidR="004A0E10" w:rsidRPr="007D10AC">
        <w:rPr>
          <w:rFonts w:hAnsi="標楷體" w:hint="eastAsia"/>
          <w:color w:val="000000" w:themeColor="text1"/>
        </w:rPr>
        <w:t>15年</w:t>
      </w:r>
      <w:r w:rsidR="00D75CEC" w:rsidRPr="007D10AC">
        <w:rPr>
          <w:rFonts w:hAnsi="標楷體" w:hint="eastAsia"/>
          <w:color w:val="000000" w:themeColor="text1"/>
        </w:rPr>
        <w:t>之</w:t>
      </w:r>
      <w:r w:rsidR="004A0E10" w:rsidRPr="007D10AC">
        <w:rPr>
          <w:rFonts w:hAnsi="標楷體" w:hint="eastAsia"/>
          <w:color w:val="000000" w:themeColor="text1"/>
        </w:rPr>
        <w:t>調查時</w:t>
      </w:r>
      <w:r w:rsidR="004A0E10" w:rsidRPr="007D10AC">
        <w:rPr>
          <w:rFonts w:hAnsi="標楷體" w:hint="eastAsia"/>
          <w:color w:val="000000" w:themeColor="text1"/>
        </w:rPr>
        <w:lastRenderedPageBreak/>
        <w:t>間。</w:t>
      </w:r>
      <w:r w:rsidR="00D75CEC" w:rsidRPr="007D10AC">
        <w:rPr>
          <w:rFonts w:hAnsi="標楷體" w:hint="eastAsia"/>
          <w:color w:val="000000" w:themeColor="text1"/>
        </w:rPr>
        <w:t>不僅</w:t>
      </w:r>
      <w:r w:rsidR="004A0E10" w:rsidRPr="007D10AC">
        <w:rPr>
          <w:rFonts w:hAnsi="標楷體" w:hint="eastAsia"/>
          <w:color w:val="000000" w:themeColor="text1"/>
        </w:rPr>
        <w:t>與</w:t>
      </w:r>
      <w:r w:rsidR="00D75CEC" w:rsidRPr="007D10AC">
        <w:rPr>
          <w:rFonts w:hAnsi="標楷體" w:hint="eastAsia"/>
          <w:color w:val="000000" w:themeColor="text1"/>
        </w:rPr>
        <w:t>稅捐</w:t>
      </w:r>
      <w:r w:rsidR="004A0E10" w:rsidRPr="007D10AC">
        <w:rPr>
          <w:rFonts w:hAnsi="標楷體" w:hint="eastAsia"/>
          <w:color w:val="000000" w:themeColor="text1"/>
        </w:rPr>
        <w:t>核課期間</w:t>
      </w:r>
      <w:r w:rsidR="00D75CEC" w:rsidRPr="007D10AC">
        <w:rPr>
          <w:rFonts w:hAnsi="標楷體" w:hint="eastAsia"/>
          <w:color w:val="000000" w:themeColor="text1"/>
        </w:rPr>
        <w:t>5年或7年</w:t>
      </w:r>
      <w:r w:rsidR="004A0E10" w:rsidRPr="007D10AC">
        <w:rPr>
          <w:rFonts w:hAnsi="標楷體" w:hint="eastAsia"/>
          <w:color w:val="000000" w:themeColor="text1"/>
        </w:rPr>
        <w:t>之規範</w:t>
      </w:r>
      <w:r w:rsidR="008C024B" w:rsidRPr="007D10AC">
        <w:rPr>
          <w:rFonts w:hAnsi="標楷體" w:hint="eastAsia"/>
          <w:color w:val="000000" w:themeColor="text1"/>
        </w:rPr>
        <w:t>未盡</w:t>
      </w:r>
      <w:r w:rsidR="00D75CEC" w:rsidRPr="007D10AC">
        <w:rPr>
          <w:rFonts w:hAnsi="標楷體" w:hint="eastAsia"/>
          <w:color w:val="000000" w:themeColor="text1"/>
        </w:rPr>
        <w:t>一致</w:t>
      </w:r>
      <w:r w:rsidR="004A0E10" w:rsidRPr="007D10AC">
        <w:rPr>
          <w:rFonts w:hAnsi="標楷體" w:hint="eastAsia"/>
          <w:color w:val="000000" w:themeColor="text1"/>
        </w:rPr>
        <w:t>，</w:t>
      </w:r>
      <w:r w:rsidR="00D75CEC" w:rsidRPr="007D10AC">
        <w:rPr>
          <w:rFonts w:hAnsi="標楷體" w:hint="eastAsia"/>
          <w:color w:val="000000" w:themeColor="text1"/>
        </w:rPr>
        <w:t>除</w:t>
      </w:r>
      <w:r w:rsidR="004A0E10" w:rsidRPr="007D10AC">
        <w:rPr>
          <w:rFonts w:hAnsi="標楷體" w:hint="eastAsia"/>
          <w:color w:val="000000" w:themeColor="text1"/>
        </w:rPr>
        <w:t>有損人民權益</w:t>
      </w:r>
      <w:r w:rsidR="00D75CEC" w:rsidRPr="007D10AC">
        <w:rPr>
          <w:rFonts w:hAnsi="標楷體" w:hint="eastAsia"/>
          <w:color w:val="000000" w:themeColor="text1"/>
        </w:rPr>
        <w:t>，更</w:t>
      </w:r>
      <w:r w:rsidR="004A0E10" w:rsidRPr="007D10AC">
        <w:rPr>
          <w:rFonts w:hAnsi="標楷體" w:hint="eastAsia"/>
          <w:color w:val="000000" w:themeColor="text1"/>
        </w:rPr>
        <w:t>違反</w:t>
      </w:r>
      <w:r w:rsidR="004A0E10" w:rsidRPr="007D10AC">
        <w:rPr>
          <w:rFonts w:hAnsi="標楷體" w:hint="eastAsia"/>
          <w:color w:val="000000" w:themeColor="text1"/>
          <w:lang w:eastAsia="zh-HK"/>
        </w:rPr>
        <w:t>納保法第1條：「為落實憲法生存權、工作權、財產權及其他相關基本權利之保障，確保納稅者權利，實現課稅公平及貫徹正當法律程序，特制定本法。」</w:t>
      </w:r>
      <w:r w:rsidR="00D75CEC" w:rsidRPr="007D10AC">
        <w:rPr>
          <w:rFonts w:hAnsi="標楷體" w:hint="eastAsia"/>
          <w:color w:val="000000" w:themeColor="text1"/>
        </w:rPr>
        <w:t>之意旨。</w:t>
      </w:r>
    </w:p>
    <w:p w:rsidR="00000655" w:rsidRPr="007D10AC" w:rsidRDefault="006B2ECF" w:rsidP="009E2352">
      <w:pPr>
        <w:pStyle w:val="3"/>
        <w:spacing w:line="480" w:lineRule="exact"/>
        <w:rPr>
          <w:rFonts w:hAnsi="標楷體"/>
          <w:color w:val="000000" w:themeColor="text1"/>
        </w:rPr>
      </w:pPr>
      <w:r w:rsidRPr="007D10AC">
        <w:rPr>
          <w:rFonts w:hAnsi="標楷體" w:hint="eastAsia"/>
          <w:color w:val="000000" w:themeColor="text1"/>
        </w:rPr>
        <w:t>依稅捐稽徵法第21條第1項第1款規定，依法應由納稅義務人申報繳納之稅捐，已在規定期間內申報，且無故意以詐欺或其他不正當方法逃漏稅捐者，其核課期間為</w:t>
      </w:r>
      <w:r w:rsidR="00225A63" w:rsidRPr="007D10AC">
        <w:rPr>
          <w:rFonts w:hAnsi="標楷體" w:hint="eastAsia"/>
          <w:color w:val="000000" w:themeColor="text1"/>
        </w:rPr>
        <w:t>5</w:t>
      </w:r>
      <w:r w:rsidRPr="007D10AC">
        <w:rPr>
          <w:rFonts w:hAnsi="標楷體" w:hint="eastAsia"/>
          <w:color w:val="000000" w:themeColor="text1"/>
        </w:rPr>
        <w:t>年。</w:t>
      </w:r>
      <w:r w:rsidR="0090170D" w:rsidRPr="007D10AC">
        <w:rPr>
          <w:rFonts w:hAnsi="標楷體" w:hint="eastAsia"/>
          <w:color w:val="000000" w:themeColor="text1"/>
        </w:rPr>
        <w:t>同法第22條第1款規定，依法應由納稅義務人申報繳納之稅捐，已在規定期間內申報者，自申報日起算。同法第23條第1項規定，稅捐之徵收期間為</w:t>
      </w:r>
      <w:r w:rsidR="00225A63" w:rsidRPr="007D10AC">
        <w:rPr>
          <w:rFonts w:hAnsi="標楷體" w:hint="eastAsia"/>
          <w:color w:val="000000" w:themeColor="text1"/>
        </w:rPr>
        <w:t>5</w:t>
      </w:r>
      <w:r w:rsidR="0090170D" w:rsidRPr="007D10AC">
        <w:rPr>
          <w:rFonts w:hAnsi="標楷體" w:hint="eastAsia"/>
          <w:color w:val="000000" w:themeColor="text1"/>
        </w:rPr>
        <w:t>年，自繳納期間屆滿之翌日起算；應徵之稅捐未於徵收期間徵起者，不得再行徵收。但於徵收期間屆滿前，已移送執行，或已依強制執行法規定聲明參與分配，或已依破產法規定申報債權尚未結案者，不在此限。同法同條第4項規定，</w:t>
      </w:r>
      <w:r w:rsidR="001D42D5" w:rsidRPr="007D10AC">
        <w:rPr>
          <w:rFonts w:hAnsi="標楷體" w:hint="eastAsia"/>
          <w:color w:val="000000" w:themeColor="text1"/>
        </w:rPr>
        <w:t>稅</w:t>
      </w:r>
      <w:r w:rsidR="0090170D" w:rsidRPr="007D10AC">
        <w:rPr>
          <w:rFonts w:hAnsi="標楷體" w:hint="eastAsia"/>
          <w:color w:val="000000" w:themeColor="text1"/>
        </w:rPr>
        <w:t>捐之徵收，於徵收期間屆滿前已移送執行者，自徵收期間屆滿之翌日起，</w:t>
      </w:r>
      <w:r w:rsidR="00225A63" w:rsidRPr="007D10AC">
        <w:rPr>
          <w:rFonts w:hAnsi="標楷體" w:hint="eastAsia"/>
          <w:color w:val="000000" w:themeColor="text1"/>
        </w:rPr>
        <w:t>5</w:t>
      </w:r>
      <w:r w:rsidR="0090170D" w:rsidRPr="007D10AC">
        <w:rPr>
          <w:rFonts w:hAnsi="標楷體" w:hint="eastAsia"/>
          <w:color w:val="000000" w:themeColor="text1"/>
        </w:rPr>
        <w:t>年內未經執行者，不再執行，其於</w:t>
      </w:r>
      <w:r w:rsidR="00225A63" w:rsidRPr="007D10AC">
        <w:rPr>
          <w:rFonts w:hAnsi="標楷體" w:hint="eastAsia"/>
          <w:color w:val="000000" w:themeColor="text1"/>
        </w:rPr>
        <w:t>5</w:t>
      </w:r>
      <w:r w:rsidR="0090170D" w:rsidRPr="007D10AC">
        <w:rPr>
          <w:rFonts w:hAnsi="標楷體" w:hint="eastAsia"/>
          <w:color w:val="000000" w:themeColor="text1"/>
        </w:rPr>
        <w:t>年期間屆滿前已開始執行，仍得繼續執行；但自</w:t>
      </w:r>
      <w:r w:rsidR="00225A63" w:rsidRPr="007D10AC">
        <w:rPr>
          <w:rFonts w:hAnsi="標楷體" w:hint="eastAsia"/>
          <w:color w:val="000000" w:themeColor="text1"/>
        </w:rPr>
        <w:t>5</w:t>
      </w:r>
      <w:r w:rsidR="0090170D" w:rsidRPr="007D10AC">
        <w:rPr>
          <w:rFonts w:hAnsi="標楷體" w:hint="eastAsia"/>
          <w:color w:val="000000" w:themeColor="text1"/>
        </w:rPr>
        <w:t>年期間屆滿之日起已逾</w:t>
      </w:r>
      <w:r w:rsidR="00225A63" w:rsidRPr="007D10AC">
        <w:rPr>
          <w:rFonts w:hAnsi="標楷體" w:hint="eastAsia"/>
          <w:color w:val="000000" w:themeColor="text1"/>
        </w:rPr>
        <w:t>5</w:t>
      </w:r>
      <w:r w:rsidR="0090170D" w:rsidRPr="007D10AC">
        <w:rPr>
          <w:rFonts w:hAnsi="標楷體" w:hint="eastAsia"/>
          <w:color w:val="000000" w:themeColor="text1"/>
        </w:rPr>
        <w:t>年尚未執行終結者，不得再執行。揆諸前項稅捐</w:t>
      </w:r>
      <w:r w:rsidR="0090170D" w:rsidRPr="007D10AC">
        <w:rPr>
          <w:rFonts w:hAnsi="標楷體"/>
          <w:color w:val="000000" w:themeColor="text1"/>
        </w:rPr>
        <w:t>稽徵法</w:t>
      </w:r>
      <w:r w:rsidR="0090170D" w:rsidRPr="007D10AC">
        <w:rPr>
          <w:rFonts w:hAnsi="標楷體" w:hint="eastAsia"/>
          <w:color w:val="000000" w:themeColor="text1"/>
        </w:rPr>
        <w:t>之規定，稅捐</w:t>
      </w:r>
      <w:r w:rsidR="0090170D" w:rsidRPr="007D10AC">
        <w:rPr>
          <w:rFonts w:hAnsi="標楷體"/>
          <w:color w:val="000000" w:themeColor="text1"/>
        </w:rPr>
        <w:t>核課期間</w:t>
      </w:r>
      <w:r w:rsidR="007C43CA" w:rsidRPr="007D10AC">
        <w:rPr>
          <w:rFonts w:hAnsi="標楷體"/>
          <w:color w:val="000000" w:themeColor="text1"/>
        </w:rPr>
        <w:t>（</w:t>
      </w:r>
      <w:r w:rsidR="0090170D" w:rsidRPr="007D10AC">
        <w:rPr>
          <w:rFonts w:hAnsi="標楷體"/>
          <w:color w:val="000000" w:themeColor="text1"/>
        </w:rPr>
        <w:t>第21條</w:t>
      </w:r>
      <w:r w:rsidR="007C43CA" w:rsidRPr="007D10AC">
        <w:rPr>
          <w:rFonts w:hAnsi="標楷體"/>
          <w:color w:val="000000" w:themeColor="text1"/>
        </w:rPr>
        <w:t>）</w:t>
      </w:r>
      <w:r w:rsidR="0090170D" w:rsidRPr="007D10AC">
        <w:rPr>
          <w:rFonts w:hAnsi="標楷體"/>
          <w:color w:val="000000" w:themeColor="text1"/>
        </w:rPr>
        <w:t>、徵收期間</w:t>
      </w:r>
      <w:r w:rsidR="007C43CA" w:rsidRPr="007D10AC">
        <w:rPr>
          <w:rFonts w:hAnsi="標楷體"/>
          <w:color w:val="000000" w:themeColor="text1"/>
        </w:rPr>
        <w:t>（</w:t>
      </w:r>
      <w:r w:rsidR="0090170D" w:rsidRPr="007D10AC">
        <w:rPr>
          <w:rFonts w:hAnsi="標楷體"/>
          <w:color w:val="000000" w:themeColor="text1"/>
        </w:rPr>
        <w:t>第23條</w:t>
      </w:r>
      <w:r w:rsidR="0090170D" w:rsidRPr="007D10AC">
        <w:rPr>
          <w:rFonts w:hAnsi="標楷體" w:hint="eastAsia"/>
          <w:color w:val="000000" w:themeColor="text1"/>
        </w:rPr>
        <w:t>第1項</w:t>
      </w:r>
      <w:r w:rsidR="007C43CA" w:rsidRPr="007D10AC">
        <w:rPr>
          <w:rFonts w:hAnsi="標楷體"/>
          <w:color w:val="000000" w:themeColor="text1"/>
        </w:rPr>
        <w:t>）</w:t>
      </w:r>
      <w:r w:rsidR="0090170D" w:rsidRPr="007D10AC">
        <w:rPr>
          <w:rFonts w:hAnsi="標楷體"/>
          <w:color w:val="000000" w:themeColor="text1"/>
        </w:rPr>
        <w:t>以及執行期間</w:t>
      </w:r>
      <w:r w:rsidR="007C43CA" w:rsidRPr="007D10AC">
        <w:rPr>
          <w:rFonts w:hAnsi="標楷體"/>
          <w:color w:val="000000" w:themeColor="text1"/>
        </w:rPr>
        <w:t>（</w:t>
      </w:r>
      <w:r w:rsidR="0090170D" w:rsidRPr="007D10AC">
        <w:rPr>
          <w:rFonts w:hAnsi="標楷體"/>
          <w:color w:val="000000" w:themeColor="text1"/>
        </w:rPr>
        <w:t>第23條</w:t>
      </w:r>
      <w:r w:rsidR="0090170D" w:rsidRPr="007D10AC">
        <w:rPr>
          <w:rFonts w:hAnsi="標楷體" w:hint="eastAsia"/>
          <w:color w:val="000000" w:themeColor="text1"/>
        </w:rPr>
        <w:t>第4項</w:t>
      </w:r>
      <w:r w:rsidR="007C43CA" w:rsidRPr="007D10AC">
        <w:rPr>
          <w:rFonts w:hAnsi="標楷體"/>
          <w:color w:val="000000" w:themeColor="text1"/>
        </w:rPr>
        <w:t>）</w:t>
      </w:r>
      <w:r w:rsidR="0090170D" w:rsidRPr="007D10AC">
        <w:rPr>
          <w:rFonts w:hAnsi="標楷體"/>
          <w:color w:val="000000" w:themeColor="text1"/>
        </w:rPr>
        <w:t>之規定，</w:t>
      </w:r>
      <w:r w:rsidR="007C43CA" w:rsidRPr="007D10AC">
        <w:rPr>
          <w:rFonts w:hAnsi="標楷體" w:hint="eastAsia"/>
          <w:color w:val="000000" w:themeColor="text1"/>
        </w:rPr>
        <w:t>納稅者</w:t>
      </w:r>
      <w:r w:rsidR="0090170D" w:rsidRPr="007D10AC">
        <w:rPr>
          <w:rFonts w:hAnsi="標楷體" w:hint="eastAsia"/>
          <w:color w:val="000000" w:themeColor="text1"/>
        </w:rPr>
        <w:t>若已於規定期間內申報，且無故意以詐欺或其他不正當方法逃漏稅捐者，</w:t>
      </w:r>
      <w:r w:rsidR="00225A63" w:rsidRPr="007D10AC">
        <w:rPr>
          <w:rFonts w:hAnsi="標楷體" w:hint="eastAsia"/>
          <w:color w:val="000000" w:themeColor="text1"/>
        </w:rPr>
        <w:t>3</w:t>
      </w:r>
      <w:r w:rsidR="0090170D" w:rsidRPr="007D10AC">
        <w:rPr>
          <w:rFonts w:hAnsi="標楷體"/>
          <w:color w:val="000000" w:themeColor="text1"/>
        </w:rPr>
        <w:t>種期間加總後原則上最長於15年後該項稅捐即不應再予以執行，</w:t>
      </w:r>
      <w:r w:rsidR="0090170D" w:rsidRPr="007D10AC">
        <w:rPr>
          <w:rFonts w:hAnsi="標楷體" w:hint="eastAsia"/>
          <w:color w:val="000000" w:themeColor="text1"/>
        </w:rPr>
        <w:t>惟</w:t>
      </w:r>
      <w:r w:rsidR="0090170D" w:rsidRPr="007D10AC">
        <w:rPr>
          <w:rFonts w:hAnsi="標楷體"/>
          <w:color w:val="000000" w:themeColor="text1"/>
        </w:rPr>
        <w:t>現行納</w:t>
      </w:r>
      <w:r w:rsidR="0090170D" w:rsidRPr="007D10AC">
        <w:rPr>
          <w:rFonts w:hAnsi="標楷體" w:hint="eastAsia"/>
          <w:color w:val="000000" w:themeColor="text1"/>
        </w:rPr>
        <w:t>保法</w:t>
      </w:r>
      <w:r w:rsidR="0090170D" w:rsidRPr="007D10AC">
        <w:rPr>
          <w:rFonts w:hAnsi="標楷體"/>
          <w:color w:val="000000" w:themeColor="text1"/>
        </w:rPr>
        <w:t>卻規定為「納稅者不服課稅處分、復查或訴願決定提出行政爭訟之案件，其課稅處分、復查或訴願決定自本法</w:t>
      </w:r>
      <w:r w:rsidR="0090170D" w:rsidRPr="007D10AC">
        <w:rPr>
          <w:rFonts w:hAnsi="標楷體"/>
          <w:color w:val="000000" w:themeColor="text1"/>
        </w:rPr>
        <w:lastRenderedPageBreak/>
        <w:t>施行後因違法而受法院撤銷或變更，自法院作成撤銷或變更裁判之日起逾</w:t>
      </w:r>
      <w:r w:rsidR="00225A63" w:rsidRPr="007D10AC">
        <w:rPr>
          <w:rFonts w:hAnsi="標楷體" w:hint="eastAsia"/>
          <w:color w:val="000000" w:themeColor="text1"/>
        </w:rPr>
        <w:t>15</w:t>
      </w:r>
      <w:r w:rsidR="0090170D" w:rsidRPr="007D10AC">
        <w:rPr>
          <w:rFonts w:hAnsi="標楷體"/>
          <w:color w:val="000000" w:themeColor="text1"/>
        </w:rPr>
        <w:t>年未能確定其應納稅額者，不得再行核課。但逾期係因納稅者之故意延滯訴訟或因其他不可抗力之事由所致者，不在此限。」對照於稅捐稽徵法之規定，</w:t>
      </w:r>
      <w:r w:rsidR="0090170D" w:rsidRPr="007D10AC">
        <w:rPr>
          <w:rFonts w:hAnsi="標楷體" w:hint="eastAsia"/>
          <w:color w:val="000000" w:themeColor="text1"/>
        </w:rPr>
        <w:t>其</w:t>
      </w:r>
      <w:r w:rsidR="0090170D" w:rsidRPr="007D10AC">
        <w:rPr>
          <w:rFonts w:hAnsi="標楷體"/>
          <w:color w:val="000000" w:themeColor="text1"/>
        </w:rPr>
        <w:t>稅捐之可執行期間長於稅捐稽徵法</w:t>
      </w:r>
      <w:r w:rsidR="0090170D" w:rsidRPr="007D10AC">
        <w:rPr>
          <w:rFonts w:hAnsi="標楷體" w:hint="eastAsia"/>
          <w:color w:val="000000" w:themeColor="text1"/>
        </w:rPr>
        <w:t>之</w:t>
      </w:r>
      <w:r w:rsidR="0090170D" w:rsidRPr="007D10AC">
        <w:rPr>
          <w:rFonts w:hAnsi="標楷體"/>
          <w:color w:val="000000" w:themeColor="text1"/>
        </w:rPr>
        <w:t>規定，</w:t>
      </w:r>
      <w:r w:rsidR="0090170D" w:rsidRPr="007D10AC">
        <w:rPr>
          <w:rFonts w:hAnsi="標楷體" w:hint="eastAsia"/>
          <w:color w:val="000000" w:themeColor="text1"/>
        </w:rPr>
        <w:t>且係自</w:t>
      </w:r>
      <w:r w:rsidR="0090170D" w:rsidRPr="007D10AC">
        <w:rPr>
          <w:rFonts w:hAnsi="標楷體"/>
          <w:color w:val="000000" w:themeColor="text1"/>
        </w:rPr>
        <w:t>法院作成撤銷或變更裁判之日起</w:t>
      </w:r>
      <w:r w:rsidR="0090170D" w:rsidRPr="007D10AC">
        <w:rPr>
          <w:rFonts w:hAnsi="標楷體" w:hint="eastAsia"/>
          <w:color w:val="000000" w:themeColor="text1"/>
        </w:rPr>
        <w:t>，再加上行政訴訟</w:t>
      </w:r>
      <w:r w:rsidR="00000655" w:rsidRPr="007D10AC">
        <w:rPr>
          <w:rFonts w:hAnsi="標楷體" w:hint="eastAsia"/>
          <w:color w:val="000000" w:themeColor="text1"/>
        </w:rPr>
        <w:t>之期間，恐自課稅事實發生日後逾20年，稅捐機關始不得再行核課，</w:t>
      </w:r>
      <w:r w:rsidR="0090170D" w:rsidRPr="007D10AC">
        <w:rPr>
          <w:rFonts w:hAnsi="標楷體" w:hint="eastAsia"/>
          <w:color w:val="000000" w:themeColor="text1"/>
        </w:rPr>
        <w:t>形成納稅者權利保護之空洞化。</w:t>
      </w:r>
    </w:p>
    <w:p w:rsidR="00441C95" w:rsidRPr="007D10AC" w:rsidRDefault="00225A63" w:rsidP="009E2352">
      <w:pPr>
        <w:pStyle w:val="3"/>
        <w:spacing w:line="480" w:lineRule="exact"/>
        <w:rPr>
          <w:rFonts w:hAnsi="標楷體"/>
          <w:color w:val="000000" w:themeColor="text1"/>
        </w:rPr>
      </w:pPr>
      <w:r w:rsidRPr="007D10AC">
        <w:rPr>
          <w:rFonts w:hAnsi="標楷體"/>
          <w:color w:val="000000" w:themeColor="text1"/>
        </w:rPr>
        <w:t>中正大學</w:t>
      </w:r>
      <w:r w:rsidRPr="007D10AC">
        <w:rPr>
          <w:rFonts w:hAnsi="標楷體" w:hint="eastAsia"/>
          <w:color w:val="000000" w:themeColor="text1"/>
        </w:rPr>
        <w:t>財經法律學系黃教授俊</w:t>
      </w:r>
      <w:proofErr w:type="gramStart"/>
      <w:r w:rsidRPr="007D10AC">
        <w:rPr>
          <w:rFonts w:hAnsi="標楷體" w:hint="eastAsia"/>
          <w:color w:val="000000" w:themeColor="text1"/>
        </w:rPr>
        <w:t>杰</w:t>
      </w:r>
      <w:proofErr w:type="gramEnd"/>
      <w:r w:rsidRPr="007D10AC">
        <w:rPr>
          <w:rFonts w:hAnsi="標楷體" w:hint="eastAsia"/>
          <w:color w:val="000000" w:themeColor="text1"/>
        </w:rPr>
        <w:t>於本院諮詢時表示，</w:t>
      </w:r>
      <w:r w:rsidR="008B36D1" w:rsidRPr="007D10AC">
        <w:rPr>
          <w:rFonts w:hAnsi="標楷體" w:hint="eastAsia"/>
          <w:color w:val="000000" w:themeColor="text1"/>
        </w:rPr>
        <w:t>納保法第21</w:t>
      </w:r>
      <w:r w:rsidR="009F05ED" w:rsidRPr="007D10AC">
        <w:rPr>
          <w:rFonts w:hAnsi="標楷體" w:hint="eastAsia"/>
          <w:color w:val="000000" w:themeColor="text1"/>
        </w:rPr>
        <w:t>條第</w:t>
      </w:r>
      <w:r w:rsidR="009F05ED" w:rsidRPr="007D10AC">
        <w:rPr>
          <w:rFonts w:hAnsi="標楷體"/>
          <w:color w:val="000000" w:themeColor="text1"/>
        </w:rPr>
        <w:t>4</w:t>
      </w:r>
      <w:r w:rsidR="009F05ED" w:rsidRPr="007D10AC">
        <w:rPr>
          <w:rFonts w:hAnsi="標楷體" w:hint="eastAsia"/>
          <w:color w:val="000000" w:themeColor="text1"/>
        </w:rPr>
        <w:t>項係以「</w:t>
      </w:r>
      <w:r w:rsidR="00B55BFC" w:rsidRPr="007D10AC">
        <w:rPr>
          <w:rFonts w:hAnsi="標楷體" w:hint="eastAsia"/>
          <w:color w:val="000000" w:themeColor="text1"/>
        </w:rPr>
        <w:t>自</w:t>
      </w:r>
      <w:r w:rsidR="009F05ED" w:rsidRPr="007D10AC">
        <w:rPr>
          <w:rFonts w:hAnsi="標楷體" w:hint="eastAsia"/>
          <w:color w:val="000000" w:themeColor="text1"/>
        </w:rPr>
        <w:t>本法施行後」因違法而受法院撤銷或變更，自法院作成撤銷或變更裁判之日起「逾</w:t>
      </w:r>
      <w:r w:rsidR="009F05ED" w:rsidRPr="007D10AC">
        <w:rPr>
          <w:rFonts w:hAnsi="標楷體"/>
          <w:color w:val="000000" w:themeColor="text1"/>
        </w:rPr>
        <w:t>15</w:t>
      </w:r>
      <w:r w:rsidR="009F05ED" w:rsidRPr="007D10AC">
        <w:rPr>
          <w:rFonts w:hAnsi="標楷體" w:hint="eastAsia"/>
          <w:color w:val="000000" w:themeColor="text1"/>
        </w:rPr>
        <w:t>年未能確定其應納稅額者」，不得再行核課。至於「本法施行前」因違法而受法院撤銷或變更者，似無法直接援用。</w:t>
      </w:r>
      <w:r w:rsidR="00000655" w:rsidRPr="007D10AC">
        <w:rPr>
          <w:rFonts w:hAnsi="標楷體" w:hint="eastAsia"/>
          <w:color w:val="000000" w:themeColor="text1"/>
        </w:rPr>
        <w:t>此</w:t>
      </w:r>
      <w:r w:rsidR="009F05ED" w:rsidRPr="007D10AC">
        <w:rPr>
          <w:rFonts w:hAnsi="標楷體" w:hint="eastAsia"/>
          <w:color w:val="000000" w:themeColor="text1"/>
        </w:rPr>
        <w:t>種差別待遇，明顯欠缺合理性</w:t>
      </w:r>
      <w:r w:rsidR="00000655" w:rsidRPr="007D10AC">
        <w:rPr>
          <w:rFonts w:hAnsi="標楷體" w:hint="eastAsia"/>
          <w:color w:val="000000" w:themeColor="text1"/>
        </w:rPr>
        <w:t>，導致</w:t>
      </w:r>
      <w:r w:rsidR="00441C95" w:rsidRPr="007D10AC">
        <w:rPr>
          <w:rFonts w:hAnsi="標楷體" w:hint="eastAsia"/>
          <w:color w:val="000000" w:themeColor="text1"/>
        </w:rPr>
        <w:t>不論案件歷時</w:t>
      </w:r>
      <w:proofErr w:type="gramStart"/>
      <w:r w:rsidR="00441C95" w:rsidRPr="007D10AC">
        <w:rPr>
          <w:rFonts w:hAnsi="標楷體" w:hint="eastAsia"/>
          <w:color w:val="000000" w:themeColor="text1"/>
        </w:rPr>
        <w:t>多久，</w:t>
      </w:r>
      <w:proofErr w:type="gramEnd"/>
      <w:r w:rsidR="00000655" w:rsidRPr="007D10AC">
        <w:rPr>
          <w:rFonts w:hAnsi="標楷體" w:hint="eastAsia"/>
          <w:color w:val="000000" w:themeColor="text1"/>
        </w:rPr>
        <w:t>均須俟</w:t>
      </w:r>
      <w:r w:rsidR="00441C95" w:rsidRPr="007D10AC">
        <w:rPr>
          <w:rFonts w:hAnsi="標楷體" w:hint="eastAsia"/>
          <w:color w:val="000000" w:themeColor="text1"/>
        </w:rPr>
        <w:t>納保法施行後，再一次經過行政法院判決撤銷課稅處分後，</w:t>
      </w:r>
      <w:r w:rsidR="00000655" w:rsidRPr="007D10AC">
        <w:rPr>
          <w:rFonts w:hAnsi="標楷體" w:hint="eastAsia"/>
          <w:color w:val="000000" w:themeColor="text1"/>
        </w:rPr>
        <w:t>始</w:t>
      </w:r>
      <w:r w:rsidR="00441C95" w:rsidRPr="007D10AC">
        <w:rPr>
          <w:rFonts w:hAnsi="標楷體" w:hint="eastAsia"/>
          <w:color w:val="000000" w:themeColor="text1"/>
        </w:rPr>
        <w:t>起算</w:t>
      </w:r>
      <w:r w:rsidR="00441C95" w:rsidRPr="007D10AC">
        <w:rPr>
          <w:rFonts w:hAnsi="標楷體"/>
          <w:color w:val="000000" w:themeColor="text1"/>
        </w:rPr>
        <w:t>15</w:t>
      </w:r>
      <w:r w:rsidR="000B381E" w:rsidRPr="007D10AC">
        <w:rPr>
          <w:rFonts w:hAnsi="標楷體" w:hint="eastAsia"/>
          <w:color w:val="000000" w:themeColor="text1"/>
        </w:rPr>
        <w:t>年，</w:t>
      </w:r>
      <w:r w:rsidR="00000655" w:rsidRPr="007D10AC">
        <w:rPr>
          <w:rFonts w:hAnsi="標楷體" w:hint="eastAsia"/>
          <w:color w:val="000000" w:themeColor="text1"/>
        </w:rPr>
        <w:t>簡言之</w:t>
      </w:r>
      <w:r w:rsidR="000B381E" w:rsidRPr="007D10AC">
        <w:rPr>
          <w:rFonts w:hAnsi="標楷體" w:hint="eastAsia"/>
          <w:color w:val="000000" w:themeColor="text1"/>
        </w:rPr>
        <w:t>，</w:t>
      </w:r>
      <w:r w:rsidR="007C43CA" w:rsidRPr="007D10AC">
        <w:rPr>
          <w:rFonts w:hAnsi="標楷體" w:hint="eastAsia"/>
          <w:color w:val="000000" w:themeColor="text1"/>
        </w:rPr>
        <w:t>納稅者</w:t>
      </w:r>
      <w:r w:rsidR="000B381E" w:rsidRPr="007D10AC">
        <w:rPr>
          <w:rFonts w:hAnsi="標楷體" w:hint="eastAsia"/>
          <w:color w:val="000000" w:themeColor="text1"/>
        </w:rPr>
        <w:t>最快要到</w:t>
      </w:r>
      <w:r w:rsidR="00441C95" w:rsidRPr="007D10AC">
        <w:rPr>
          <w:rFonts w:hAnsi="標楷體"/>
          <w:color w:val="000000" w:themeColor="text1"/>
        </w:rPr>
        <w:t>121</w:t>
      </w:r>
      <w:r w:rsidR="00441C95" w:rsidRPr="007D10AC">
        <w:rPr>
          <w:rFonts w:hAnsi="標楷體" w:hint="eastAsia"/>
          <w:color w:val="000000" w:themeColor="text1"/>
        </w:rPr>
        <w:t>年（</w:t>
      </w:r>
      <w:r w:rsidR="00441C95" w:rsidRPr="007D10AC">
        <w:rPr>
          <w:rFonts w:hAnsi="標楷體"/>
          <w:color w:val="000000" w:themeColor="text1"/>
        </w:rPr>
        <w:t>106</w:t>
      </w:r>
      <w:r w:rsidR="00441C95" w:rsidRPr="007D10AC">
        <w:rPr>
          <w:rFonts w:hAnsi="標楷體" w:hint="eastAsia"/>
          <w:color w:val="000000" w:themeColor="text1"/>
        </w:rPr>
        <w:t>年</w:t>
      </w:r>
      <w:r w:rsidR="000917C5" w:rsidRPr="007D10AC">
        <w:rPr>
          <w:rFonts w:hAnsi="標楷體"/>
          <w:color w:val="000000" w:themeColor="text1"/>
        </w:rPr>
        <w:t>+</w:t>
      </w:r>
      <w:r w:rsidR="00441C95" w:rsidRPr="007D10AC">
        <w:rPr>
          <w:rFonts w:hAnsi="標楷體"/>
          <w:color w:val="000000" w:themeColor="text1"/>
        </w:rPr>
        <w:t>15</w:t>
      </w:r>
      <w:r w:rsidR="00441C95" w:rsidRPr="007D10AC">
        <w:rPr>
          <w:rFonts w:hAnsi="標楷體" w:hint="eastAsia"/>
          <w:color w:val="000000" w:themeColor="text1"/>
        </w:rPr>
        <w:t>年）</w:t>
      </w:r>
      <w:r w:rsidR="00000655" w:rsidRPr="007D10AC">
        <w:rPr>
          <w:rFonts w:hAnsi="標楷體" w:hint="eastAsia"/>
          <w:color w:val="000000" w:themeColor="text1"/>
        </w:rPr>
        <w:t>始</w:t>
      </w:r>
      <w:r w:rsidR="00441C95" w:rsidRPr="007D10AC">
        <w:rPr>
          <w:rFonts w:hAnsi="標楷體" w:hint="eastAsia"/>
          <w:color w:val="000000" w:themeColor="text1"/>
        </w:rPr>
        <w:t>有機會解脫萬年稅單桎梏，且必須經過</w:t>
      </w:r>
      <w:r w:rsidR="00441C95" w:rsidRPr="007D10AC">
        <w:rPr>
          <w:rFonts w:hAnsi="標楷體"/>
          <w:color w:val="000000" w:themeColor="text1"/>
        </w:rPr>
        <w:t>15</w:t>
      </w:r>
      <w:r w:rsidR="00441C95" w:rsidRPr="007D10AC">
        <w:rPr>
          <w:rFonts w:hAnsi="標楷體" w:hint="eastAsia"/>
          <w:color w:val="000000" w:themeColor="text1"/>
        </w:rPr>
        <w:t>年沒有任何敗訴，且無法確定應納稅額，</w:t>
      </w:r>
      <w:r w:rsidR="00000655" w:rsidRPr="007D10AC">
        <w:rPr>
          <w:rFonts w:hAnsi="標楷體" w:hint="eastAsia"/>
          <w:color w:val="000000" w:themeColor="text1"/>
        </w:rPr>
        <w:t>始</w:t>
      </w:r>
      <w:r w:rsidR="00441C95" w:rsidRPr="007D10AC">
        <w:rPr>
          <w:rFonts w:hAnsi="標楷體" w:hint="eastAsia"/>
          <w:color w:val="000000" w:themeColor="text1"/>
        </w:rPr>
        <w:t>不得再核課。</w:t>
      </w:r>
      <w:r w:rsidR="00000655" w:rsidRPr="007D10AC">
        <w:rPr>
          <w:rFonts w:hAnsi="標楷體" w:hint="eastAsia"/>
          <w:color w:val="000000" w:themeColor="text1"/>
        </w:rPr>
        <w:t>「刑事妥速審判法」規定</w:t>
      </w:r>
      <w:r w:rsidR="00000655" w:rsidRPr="007D10AC">
        <w:rPr>
          <w:rFonts w:hAnsi="標楷體"/>
          <w:color w:val="000000" w:themeColor="text1"/>
        </w:rPr>
        <w:t>8</w:t>
      </w:r>
      <w:r w:rsidR="00000655" w:rsidRPr="007D10AC">
        <w:rPr>
          <w:rFonts w:hAnsi="標楷體" w:hint="eastAsia"/>
          <w:color w:val="000000" w:themeColor="text1"/>
        </w:rPr>
        <w:t>年內須完成訴訟，惟稅案爭訟甚至極可能拖到</w:t>
      </w:r>
      <w:r w:rsidR="00000655" w:rsidRPr="007D10AC">
        <w:rPr>
          <w:rFonts w:hAnsi="標楷體"/>
          <w:color w:val="000000" w:themeColor="text1"/>
        </w:rPr>
        <w:t>20</w:t>
      </w:r>
      <w:r w:rsidR="00000655" w:rsidRPr="007D10AC">
        <w:rPr>
          <w:rFonts w:hAnsi="標楷體" w:hint="eastAsia"/>
          <w:color w:val="000000" w:themeColor="text1"/>
        </w:rPr>
        <w:t>年以上，「納保法」規定之</w:t>
      </w:r>
      <w:r w:rsidR="00000655" w:rsidRPr="007D10AC">
        <w:rPr>
          <w:rFonts w:hAnsi="標楷體"/>
          <w:color w:val="000000" w:themeColor="text1"/>
        </w:rPr>
        <w:t>15</w:t>
      </w:r>
      <w:r w:rsidR="00000655" w:rsidRPr="007D10AC">
        <w:rPr>
          <w:rFonts w:hAnsi="標楷體" w:hint="eastAsia"/>
          <w:color w:val="000000" w:themeColor="text1"/>
        </w:rPr>
        <w:t>年時效，相較於「刑事妥速審判法」、「行政執行法」、「刑法」、「行政程序法」及稅捐稽徵法等法律所規定之時效為最長，且時效的起算日及期間亦更加嚴苛，顯</w:t>
      </w:r>
      <w:r w:rsidR="00441C95" w:rsidRPr="007D10AC">
        <w:rPr>
          <w:rFonts w:hAnsi="標楷體" w:hint="eastAsia"/>
          <w:color w:val="000000" w:themeColor="text1"/>
        </w:rPr>
        <w:t>無法達到保護</w:t>
      </w:r>
      <w:r w:rsidR="007C43CA" w:rsidRPr="007D10AC">
        <w:rPr>
          <w:rFonts w:hAnsi="標楷體" w:hint="eastAsia"/>
          <w:color w:val="000000" w:themeColor="text1"/>
        </w:rPr>
        <w:t>納稅者</w:t>
      </w:r>
      <w:r w:rsidR="00441C95" w:rsidRPr="007D10AC">
        <w:rPr>
          <w:rFonts w:hAnsi="標楷體" w:hint="eastAsia"/>
          <w:color w:val="000000" w:themeColor="text1"/>
        </w:rPr>
        <w:t>權利</w:t>
      </w:r>
      <w:r w:rsidR="00000655" w:rsidRPr="007D10AC">
        <w:rPr>
          <w:rFonts w:hAnsi="標楷體" w:hint="eastAsia"/>
          <w:color w:val="000000" w:themeColor="text1"/>
        </w:rPr>
        <w:t>之</w:t>
      </w:r>
      <w:r w:rsidR="00441C95" w:rsidRPr="007D10AC">
        <w:rPr>
          <w:rFonts w:hAnsi="標楷體" w:hint="eastAsia"/>
          <w:color w:val="000000" w:themeColor="text1"/>
        </w:rPr>
        <w:t>效果。</w:t>
      </w:r>
      <w:r w:rsidR="0028685E" w:rsidRPr="007D10AC">
        <w:rPr>
          <w:rFonts w:hAnsi="標楷體" w:hint="eastAsia"/>
          <w:color w:val="000000" w:themeColor="text1"/>
        </w:rPr>
        <w:t>爰</w:t>
      </w:r>
      <w:r w:rsidRPr="007D10AC">
        <w:rPr>
          <w:rFonts w:hAnsi="標楷體" w:hint="eastAsia"/>
          <w:color w:val="000000" w:themeColor="text1"/>
        </w:rPr>
        <w:t>黃教授</w:t>
      </w:r>
      <w:r w:rsidR="0028685E" w:rsidRPr="007D10AC">
        <w:rPr>
          <w:rFonts w:hAnsi="標楷體" w:hint="eastAsia"/>
          <w:color w:val="000000" w:themeColor="text1"/>
        </w:rPr>
        <w:t>俊杰</w:t>
      </w:r>
      <w:r w:rsidRPr="007D10AC">
        <w:rPr>
          <w:rFonts w:hAnsi="標楷體" w:hint="eastAsia"/>
          <w:color w:val="000000" w:themeColor="text1"/>
        </w:rPr>
        <w:t>建議</w:t>
      </w:r>
      <w:r w:rsidR="00D16039" w:rsidRPr="007D10AC">
        <w:rPr>
          <w:rFonts w:hAnsi="標楷體" w:hint="eastAsia"/>
          <w:color w:val="000000" w:themeColor="text1"/>
        </w:rPr>
        <w:t>納保法第21條第4項應參酌修正為「自課稅處分作成後，5年內未能確定應納</w:t>
      </w:r>
      <w:r w:rsidR="00D16039" w:rsidRPr="007D10AC">
        <w:rPr>
          <w:rFonts w:hAnsi="標楷體" w:hint="eastAsia"/>
          <w:color w:val="000000" w:themeColor="text1"/>
        </w:rPr>
        <w:lastRenderedPageBreak/>
        <w:t>稅額者，不得再行核課。」並增列「本條修正前尚未確定應納稅額之案件，亦追溯適用之」以使救濟與訴訟進行中之案件亦得追溯適用之</w:t>
      </w:r>
      <w:r w:rsidR="004C4239" w:rsidRPr="007D10AC">
        <w:rPr>
          <w:rStyle w:val="aff6"/>
          <w:rFonts w:hAnsi="標楷體"/>
          <w:color w:val="000000" w:themeColor="text1"/>
        </w:rPr>
        <w:footnoteReference w:id="1"/>
      </w:r>
      <w:r w:rsidR="00D16039" w:rsidRPr="007D10AC">
        <w:rPr>
          <w:rFonts w:hAnsi="標楷體" w:hint="eastAsia"/>
          <w:color w:val="000000" w:themeColor="text1"/>
        </w:rPr>
        <w:t>。</w:t>
      </w:r>
    </w:p>
    <w:p w:rsidR="00441C95" w:rsidRPr="007D10AC" w:rsidRDefault="001263DD" w:rsidP="009E2352">
      <w:pPr>
        <w:pStyle w:val="3"/>
        <w:spacing w:line="480" w:lineRule="exact"/>
        <w:rPr>
          <w:rFonts w:hAnsi="標楷體"/>
          <w:color w:val="000000" w:themeColor="text1"/>
        </w:rPr>
      </w:pPr>
      <w:r w:rsidRPr="007D10AC">
        <w:rPr>
          <w:rFonts w:hAnsi="標楷體" w:hint="eastAsia"/>
          <w:color w:val="000000" w:themeColor="text1"/>
        </w:rPr>
        <w:t>據上</w:t>
      </w:r>
      <w:r w:rsidR="00441C95" w:rsidRPr="007D10AC">
        <w:rPr>
          <w:rFonts w:hAnsi="標楷體" w:hint="eastAsia"/>
          <w:color w:val="000000" w:themeColor="text1"/>
        </w:rPr>
        <w:t>，</w:t>
      </w:r>
      <w:r w:rsidR="00D16039" w:rsidRPr="007D10AC">
        <w:rPr>
          <w:rFonts w:hAnsi="標楷體" w:hint="eastAsia"/>
          <w:color w:val="000000" w:themeColor="text1"/>
        </w:rPr>
        <w:t>納保法第21條第4項本係為解決</w:t>
      </w:r>
      <w:r w:rsidR="00F352AD" w:rsidRPr="007D10AC">
        <w:rPr>
          <w:rFonts w:hAnsi="標楷體" w:hint="eastAsia"/>
          <w:color w:val="000000" w:themeColor="text1"/>
        </w:rPr>
        <w:t>陳年稅單反覆纏</w:t>
      </w:r>
      <w:proofErr w:type="gramStart"/>
      <w:r w:rsidR="00F352AD" w:rsidRPr="007D10AC">
        <w:rPr>
          <w:rFonts w:hAnsi="標楷體" w:hint="eastAsia"/>
          <w:color w:val="000000" w:themeColor="text1"/>
        </w:rPr>
        <w:t>訟</w:t>
      </w:r>
      <w:proofErr w:type="gramEnd"/>
      <w:r w:rsidR="00D16039" w:rsidRPr="007D10AC">
        <w:rPr>
          <w:rFonts w:hAnsi="標楷體" w:hint="eastAsia"/>
          <w:color w:val="000000" w:themeColor="text1"/>
        </w:rPr>
        <w:t>而設，惟自法院作成撤銷或變更裁判之</w:t>
      </w:r>
      <w:proofErr w:type="gramStart"/>
      <w:r w:rsidR="00D16039" w:rsidRPr="007D10AC">
        <w:rPr>
          <w:rFonts w:hAnsi="標楷體" w:hint="eastAsia"/>
          <w:color w:val="000000" w:themeColor="text1"/>
        </w:rPr>
        <w:t>日起逾15</w:t>
      </w:r>
      <w:proofErr w:type="gramEnd"/>
      <w:r w:rsidR="00D16039" w:rsidRPr="007D10AC">
        <w:rPr>
          <w:rFonts w:hAnsi="標楷體" w:hint="eastAsia"/>
          <w:color w:val="000000" w:themeColor="text1"/>
        </w:rPr>
        <w:t>年未能確定其應納稅額者，始不得再行核課，期限過長，致形成納稅者權利保護之空洞化，並與核課期間時效之規範</w:t>
      </w:r>
      <w:r w:rsidR="008C024B" w:rsidRPr="007D10AC">
        <w:rPr>
          <w:rFonts w:hAnsi="標楷體" w:hint="eastAsia"/>
          <w:color w:val="000000" w:themeColor="text1"/>
        </w:rPr>
        <w:t>未盡</w:t>
      </w:r>
      <w:r w:rsidR="00D16039" w:rsidRPr="007D10AC">
        <w:rPr>
          <w:rFonts w:hAnsi="標楷體" w:hint="eastAsia"/>
          <w:color w:val="000000" w:themeColor="text1"/>
        </w:rPr>
        <w:t>一致，財政部允應研</w:t>
      </w:r>
      <w:r w:rsidR="00441C95" w:rsidRPr="007D10AC">
        <w:rPr>
          <w:rFonts w:hAnsi="標楷體" w:hint="eastAsia"/>
          <w:color w:val="000000" w:themeColor="text1"/>
        </w:rPr>
        <w:t>議「納保法」第</w:t>
      </w:r>
      <w:r w:rsidR="00441C95" w:rsidRPr="007D10AC">
        <w:rPr>
          <w:rFonts w:hAnsi="標楷體"/>
          <w:color w:val="000000" w:themeColor="text1"/>
        </w:rPr>
        <w:t>21</w:t>
      </w:r>
      <w:r w:rsidR="00441C95" w:rsidRPr="007D10AC">
        <w:rPr>
          <w:rFonts w:hAnsi="標楷體" w:hint="eastAsia"/>
          <w:color w:val="000000" w:themeColor="text1"/>
        </w:rPr>
        <w:t>條第</w:t>
      </w:r>
      <w:r w:rsidR="00441C95" w:rsidRPr="007D10AC">
        <w:rPr>
          <w:rFonts w:hAnsi="標楷體"/>
          <w:color w:val="000000" w:themeColor="text1"/>
        </w:rPr>
        <w:t>4</w:t>
      </w:r>
      <w:r w:rsidR="00441C95" w:rsidRPr="007D10AC">
        <w:rPr>
          <w:rFonts w:hAnsi="標楷體" w:hint="eastAsia"/>
          <w:color w:val="000000" w:themeColor="text1"/>
        </w:rPr>
        <w:t>項之規定回歸「行政程序法」及「稅捐稽徵法」等行政法之體制。</w:t>
      </w:r>
    </w:p>
    <w:p w:rsidR="001F062F" w:rsidRPr="007D10AC" w:rsidRDefault="00BB6053" w:rsidP="009E2352">
      <w:pPr>
        <w:pStyle w:val="2"/>
        <w:numPr>
          <w:ilvl w:val="1"/>
          <w:numId w:val="1"/>
        </w:numPr>
        <w:spacing w:beforeLines="50" w:before="228" w:line="480" w:lineRule="exact"/>
        <w:ind w:left="1020" w:hanging="680"/>
        <w:rPr>
          <w:rFonts w:hAnsi="標楷體"/>
          <w:b/>
          <w:snapToGrid w:val="0"/>
          <w:color w:val="000000" w:themeColor="text1"/>
        </w:rPr>
      </w:pPr>
      <w:r w:rsidRPr="007D10AC">
        <w:rPr>
          <w:rFonts w:hAnsi="標楷體" w:hint="eastAsia"/>
          <w:b/>
          <w:snapToGrid w:val="0"/>
          <w:color w:val="000000" w:themeColor="text1"/>
        </w:rPr>
        <w:t>財政部公布仍有效之稅法函釋高達9千餘則</w:t>
      </w:r>
      <w:r w:rsidR="008A0631" w:rsidRPr="007D10AC">
        <w:rPr>
          <w:rFonts w:hAnsi="標楷體" w:hint="eastAsia"/>
          <w:b/>
          <w:snapToGrid w:val="0"/>
          <w:color w:val="000000" w:themeColor="text1"/>
        </w:rPr>
        <w:t>，多如牛毛，</w:t>
      </w:r>
      <w:r w:rsidR="00903BC8" w:rsidRPr="007D10AC">
        <w:rPr>
          <w:rFonts w:hAnsi="標楷體" w:hint="eastAsia"/>
          <w:b/>
          <w:snapToGrid w:val="0"/>
          <w:color w:val="000000" w:themeColor="text1"/>
        </w:rPr>
        <w:t>卻</w:t>
      </w:r>
      <w:r w:rsidRPr="007D10AC">
        <w:rPr>
          <w:rFonts w:hAnsi="標楷體" w:hint="eastAsia"/>
          <w:b/>
          <w:snapToGrid w:val="0"/>
          <w:color w:val="000000" w:themeColor="text1"/>
        </w:rPr>
        <w:t>具有與稅法相當實質規範效力，</w:t>
      </w:r>
      <w:r w:rsidR="008A0631" w:rsidRPr="007D10AC">
        <w:rPr>
          <w:rFonts w:hAnsi="標楷體" w:hint="eastAsia"/>
          <w:b/>
          <w:snapToGrid w:val="0"/>
          <w:color w:val="000000" w:themeColor="text1"/>
        </w:rPr>
        <w:t>資訊透明度不足，無法構成有體系、脈絡之規範架構</w:t>
      </w:r>
      <w:r w:rsidRPr="007D10AC">
        <w:rPr>
          <w:rFonts w:hAnsi="標楷體" w:hint="eastAsia"/>
          <w:b/>
          <w:snapToGrid w:val="0"/>
          <w:color w:val="000000" w:themeColor="text1"/>
        </w:rPr>
        <w:t>；又</w:t>
      </w:r>
      <w:r w:rsidR="00273637" w:rsidRPr="007D10AC">
        <w:rPr>
          <w:rFonts w:hAnsi="標楷體" w:hint="eastAsia"/>
          <w:b/>
          <w:snapToGrid w:val="0"/>
          <w:color w:val="000000" w:themeColor="text1"/>
        </w:rPr>
        <w:t>近來</w:t>
      </w:r>
      <w:r w:rsidR="001F062F" w:rsidRPr="007D10AC">
        <w:rPr>
          <w:rFonts w:hAnsi="標楷體" w:hint="eastAsia"/>
          <w:b/>
          <w:snapToGrid w:val="0"/>
          <w:color w:val="000000" w:themeColor="text1"/>
        </w:rPr>
        <w:t>租稅事件經司法院</w:t>
      </w:r>
      <w:r w:rsidR="001F062F" w:rsidRPr="007D10AC">
        <w:rPr>
          <w:rFonts w:hAnsi="標楷體"/>
          <w:b/>
          <w:snapToGrid w:val="0"/>
          <w:color w:val="000000" w:themeColor="text1"/>
        </w:rPr>
        <w:t>大法官解釋違憲</w:t>
      </w:r>
      <w:r w:rsidR="008377C0" w:rsidRPr="007D10AC">
        <w:rPr>
          <w:rFonts w:hAnsi="標楷體" w:hint="eastAsia"/>
          <w:b/>
          <w:snapToGrid w:val="0"/>
          <w:color w:val="000000" w:themeColor="text1"/>
        </w:rPr>
        <w:t>或部分違憲</w:t>
      </w:r>
      <w:r w:rsidR="001F062F" w:rsidRPr="007D10AC">
        <w:rPr>
          <w:rFonts w:hAnsi="標楷體" w:hint="eastAsia"/>
          <w:b/>
          <w:snapToGrid w:val="0"/>
          <w:color w:val="000000" w:themeColor="text1"/>
        </w:rPr>
        <w:t>者居多，</w:t>
      </w:r>
      <w:r w:rsidR="001F062F" w:rsidRPr="007D10AC">
        <w:rPr>
          <w:rFonts w:hAnsi="標楷體"/>
          <w:b/>
          <w:snapToGrid w:val="0"/>
          <w:color w:val="000000" w:themeColor="text1"/>
        </w:rPr>
        <w:t>對於違法或違憲之</w:t>
      </w:r>
      <w:r w:rsidR="001F062F" w:rsidRPr="007D10AC">
        <w:rPr>
          <w:rFonts w:hAnsi="標楷體" w:hint="eastAsia"/>
          <w:b/>
          <w:snapToGrid w:val="0"/>
          <w:color w:val="000000" w:themeColor="text1"/>
        </w:rPr>
        <w:t>虞之法</w:t>
      </w:r>
      <w:r w:rsidR="001F062F" w:rsidRPr="007D10AC">
        <w:rPr>
          <w:rFonts w:hAnsi="標楷體"/>
          <w:b/>
          <w:snapToGrid w:val="0"/>
          <w:color w:val="000000" w:themeColor="text1"/>
        </w:rPr>
        <w:t>令，</w:t>
      </w:r>
      <w:r w:rsidR="001F062F" w:rsidRPr="007D10AC">
        <w:rPr>
          <w:rFonts w:hAnsi="標楷體" w:hint="eastAsia"/>
          <w:b/>
          <w:snapToGrid w:val="0"/>
          <w:color w:val="000000" w:themeColor="text1"/>
        </w:rPr>
        <w:t>財政部允宜先行自我</w:t>
      </w:r>
      <w:r w:rsidR="001F062F" w:rsidRPr="007D10AC">
        <w:rPr>
          <w:rFonts w:hAnsi="標楷體"/>
          <w:b/>
          <w:snapToGrid w:val="0"/>
          <w:color w:val="000000" w:themeColor="text1"/>
        </w:rPr>
        <w:t>審</w:t>
      </w:r>
      <w:r w:rsidR="001F062F" w:rsidRPr="007D10AC">
        <w:rPr>
          <w:rFonts w:hAnsi="標楷體" w:hint="eastAsia"/>
          <w:b/>
          <w:snapToGrid w:val="0"/>
          <w:color w:val="000000" w:themeColor="text1"/>
        </w:rPr>
        <w:t>視，並儘速檢討修正</w:t>
      </w:r>
      <w:r w:rsidR="001F062F" w:rsidRPr="007D10AC">
        <w:rPr>
          <w:rFonts w:hAnsi="標楷體"/>
          <w:b/>
          <w:snapToGrid w:val="0"/>
          <w:color w:val="000000" w:themeColor="text1"/>
        </w:rPr>
        <w:t>，以</w:t>
      </w:r>
      <w:r w:rsidRPr="007D10AC">
        <w:rPr>
          <w:rFonts w:hAnsi="標楷體" w:hint="eastAsia"/>
          <w:b/>
          <w:snapToGrid w:val="0"/>
          <w:color w:val="000000" w:themeColor="text1"/>
        </w:rPr>
        <w:t>符合納保法要求</w:t>
      </w:r>
      <w:r w:rsidRPr="007D10AC">
        <w:rPr>
          <w:rFonts w:hAnsi="標楷體" w:hint="eastAsia"/>
          <w:b/>
          <w:color w:val="000000" w:themeColor="text1"/>
        </w:rPr>
        <w:t>從租稅法律主義</w:t>
      </w:r>
      <w:proofErr w:type="gramStart"/>
      <w:r w:rsidRPr="007D10AC">
        <w:rPr>
          <w:rFonts w:hAnsi="標楷體" w:hint="eastAsia"/>
          <w:b/>
          <w:color w:val="000000" w:themeColor="text1"/>
        </w:rPr>
        <w:t>及各稅立法</w:t>
      </w:r>
      <w:proofErr w:type="gramEnd"/>
      <w:r w:rsidRPr="007D10AC">
        <w:rPr>
          <w:rFonts w:hAnsi="標楷體" w:hint="eastAsia"/>
          <w:b/>
          <w:color w:val="000000" w:themeColor="text1"/>
        </w:rPr>
        <w:t>意旨積極逐案深度審視之規範</w:t>
      </w:r>
      <w:r w:rsidR="001F062F" w:rsidRPr="007D10AC">
        <w:rPr>
          <w:rFonts w:hAnsi="標楷體" w:hint="eastAsia"/>
          <w:b/>
          <w:snapToGrid w:val="0"/>
          <w:color w:val="000000" w:themeColor="text1"/>
        </w:rPr>
        <w:t>：</w:t>
      </w:r>
    </w:p>
    <w:p w:rsidR="001F062F" w:rsidRPr="007D10AC" w:rsidRDefault="001F062F" w:rsidP="009E2352">
      <w:pPr>
        <w:pStyle w:val="3"/>
        <w:spacing w:line="480" w:lineRule="exact"/>
        <w:rPr>
          <w:rFonts w:hAnsi="標楷體"/>
          <w:snapToGrid w:val="0"/>
          <w:color w:val="000000" w:themeColor="text1"/>
        </w:rPr>
      </w:pPr>
      <w:bookmarkStart w:id="77" w:name="_Hlk97563338"/>
      <w:r w:rsidRPr="007D10AC">
        <w:rPr>
          <w:rFonts w:hAnsi="標楷體" w:hint="eastAsia"/>
          <w:snapToGrid w:val="0"/>
          <w:color w:val="000000" w:themeColor="text1"/>
        </w:rPr>
        <w:t>依據納稅者權利保護法（下稱納保法）第3條第3項規定：「</w:t>
      </w:r>
      <w:r w:rsidRPr="007D10AC">
        <w:rPr>
          <w:rFonts w:hAnsi="標楷體" w:hint="eastAsia"/>
          <w:color w:val="000000" w:themeColor="text1"/>
        </w:rPr>
        <w:t>主管機關所發布之行政規則及解釋函令，僅得解釋法律原意、規範執行法律所必要之技術性、細節性事項，不得增加法律所未明定之納稅義務或減免稅捐。」為貫徹憲第1</w:t>
      </w:r>
      <w:r w:rsidRPr="007D10AC">
        <w:rPr>
          <w:rFonts w:hAnsi="標楷體"/>
          <w:color w:val="000000" w:themeColor="text1"/>
        </w:rPr>
        <w:t>9</w:t>
      </w:r>
      <w:r w:rsidRPr="007D10AC">
        <w:rPr>
          <w:rFonts w:hAnsi="標楷體" w:hint="eastAsia"/>
          <w:color w:val="000000" w:themeColor="text1"/>
        </w:rPr>
        <w:t>條「稅捐法定主義」，藉以保障人民可在透明、安定之稅捐環境中，從事獨立自主經濟活動，及確保人民法律生活秩序安定性與預測可能性；同法</w:t>
      </w:r>
      <w:r w:rsidRPr="007D10AC">
        <w:rPr>
          <w:rFonts w:hAnsi="標楷體" w:hint="eastAsia"/>
          <w:snapToGrid w:val="0"/>
          <w:color w:val="000000" w:themeColor="text1"/>
        </w:rPr>
        <w:t>第9條第3項規定：「中央主管機關應每四年檢視解釋函令有無違反法律之規定、意旨，或增</w:t>
      </w:r>
      <w:r w:rsidRPr="007D10AC">
        <w:rPr>
          <w:rFonts w:hAnsi="標楷體" w:hint="eastAsia"/>
          <w:snapToGrid w:val="0"/>
          <w:color w:val="000000" w:themeColor="text1"/>
        </w:rPr>
        <w:lastRenderedPageBreak/>
        <w:t>加法律所無之納稅義務，並得委託外部研究單位辦理。」</w:t>
      </w:r>
      <w:r w:rsidRPr="007D10AC">
        <w:rPr>
          <w:rFonts w:hAnsi="標楷體"/>
          <w:snapToGrid w:val="0"/>
          <w:color w:val="000000" w:themeColor="text1"/>
        </w:rPr>
        <w:t>賦予</w:t>
      </w:r>
      <w:r w:rsidRPr="007D10AC">
        <w:rPr>
          <w:rFonts w:hAnsi="標楷體" w:hint="eastAsia"/>
          <w:snapToGrid w:val="0"/>
          <w:color w:val="000000" w:themeColor="text1"/>
        </w:rPr>
        <w:t>主管機關</w:t>
      </w:r>
      <w:r w:rsidRPr="007D10AC">
        <w:rPr>
          <w:rFonts w:hAnsi="標楷體"/>
          <w:snapToGrid w:val="0"/>
          <w:color w:val="000000" w:themeColor="text1"/>
        </w:rPr>
        <w:t>定期檢視解釋</w:t>
      </w:r>
      <w:proofErr w:type="gramStart"/>
      <w:r w:rsidRPr="007D10AC">
        <w:rPr>
          <w:rFonts w:hAnsi="標楷體"/>
          <w:snapToGrid w:val="0"/>
          <w:color w:val="000000" w:themeColor="text1"/>
        </w:rPr>
        <w:t>函令適法</w:t>
      </w:r>
      <w:proofErr w:type="gramEnd"/>
      <w:r w:rsidRPr="007D10AC">
        <w:rPr>
          <w:rFonts w:hAnsi="標楷體"/>
          <w:snapToGrid w:val="0"/>
          <w:color w:val="000000" w:themeColor="text1"/>
        </w:rPr>
        <w:t>性</w:t>
      </w:r>
      <w:r w:rsidRPr="007D10AC">
        <w:rPr>
          <w:rFonts w:hAnsi="標楷體" w:hint="eastAsia"/>
          <w:snapToGrid w:val="0"/>
          <w:color w:val="000000" w:themeColor="text1"/>
        </w:rPr>
        <w:t>之</w:t>
      </w:r>
      <w:r w:rsidRPr="007D10AC">
        <w:rPr>
          <w:rFonts w:hAnsi="標楷體"/>
          <w:snapToGrid w:val="0"/>
          <w:color w:val="000000" w:themeColor="text1"/>
        </w:rPr>
        <w:t>義務，</w:t>
      </w:r>
      <w:r w:rsidRPr="007D10AC">
        <w:rPr>
          <w:rFonts w:hAnsi="標楷體" w:cs="Arial"/>
          <w:snapToGrid w:val="0"/>
          <w:color w:val="000000" w:themeColor="text1"/>
        </w:rPr>
        <w:t>對於</w:t>
      </w:r>
      <w:r w:rsidRPr="007D10AC">
        <w:rPr>
          <w:rFonts w:hAnsi="標楷體" w:cs="Arial" w:hint="eastAsia"/>
          <w:snapToGrid w:val="0"/>
          <w:color w:val="000000" w:themeColor="text1"/>
        </w:rPr>
        <w:t>有</w:t>
      </w:r>
      <w:r w:rsidRPr="007D10AC">
        <w:rPr>
          <w:rFonts w:hAnsi="標楷體" w:cs="Arial"/>
          <w:snapToGrid w:val="0"/>
          <w:color w:val="000000" w:themeColor="text1"/>
        </w:rPr>
        <w:t>違法或違憲之</w:t>
      </w:r>
      <w:r w:rsidRPr="007D10AC">
        <w:rPr>
          <w:rFonts w:hAnsi="標楷體" w:cs="Arial" w:hint="eastAsia"/>
          <w:snapToGrid w:val="0"/>
          <w:color w:val="000000" w:themeColor="text1"/>
        </w:rPr>
        <w:t>虞之</w:t>
      </w:r>
      <w:r w:rsidRPr="007D10AC">
        <w:rPr>
          <w:rFonts w:hAnsi="標楷體"/>
          <w:snapToGrid w:val="0"/>
          <w:color w:val="000000" w:themeColor="text1"/>
        </w:rPr>
        <w:t>解釋函令</w:t>
      </w:r>
      <w:r w:rsidRPr="007D10AC">
        <w:rPr>
          <w:rFonts w:hAnsi="標楷體" w:cs="Arial"/>
          <w:snapToGrid w:val="0"/>
          <w:color w:val="000000" w:themeColor="text1"/>
        </w:rPr>
        <w:t>，</w:t>
      </w:r>
      <w:r w:rsidRPr="007D10AC">
        <w:rPr>
          <w:rFonts w:hAnsi="標楷體" w:cs="Arial" w:hint="eastAsia"/>
          <w:snapToGrid w:val="0"/>
          <w:color w:val="000000" w:themeColor="text1"/>
        </w:rPr>
        <w:t>先行自我</w:t>
      </w:r>
      <w:r w:rsidRPr="007D10AC">
        <w:rPr>
          <w:rFonts w:hAnsi="標楷體" w:cs="Arial"/>
          <w:snapToGrid w:val="0"/>
          <w:color w:val="000000" w:themeColor="text1"/>
        </w:rPr>
        <w:t>審</w:t>
      </w:r>
      <w:r w:rsidRPr="007D10AC">
        <w:rPr>
          <w:rFonts w:hAnsi="標楷體" w:cs="Arial" w:hint="eastAsia"/>
          <w:snapToGrid w:val="0"/>
          <w:color w:val="000000" w:themeColor="text1"/>
        </w:rPr>
        <w:t>視、儘速檢討修正</w:t>
      </w:r>
      <w:r w:rsidRPr="007D10AC">
        <w:rPr>
          <w:rFonts w:hAnsi="標楷體" w:cs="Arial"/>
          <w:snapToGrid w:val="0"/>
          <w:color w:val="000000" w:themeColor="text1"/>
        </w:rPr>
        <w:t>，以保障納稅者權益</w:t>
      </w:r>
      <w:r w:rsidRPr="007D10AC">
        <w:rPr>
          <w:rFonts w:hAnsi="標楷體" w:hint="eastAsia"/>
          <w:snapToGrid w:val="0"/>
          <w:color w:val="000000" w:themeColor="text1"/>
        </w:rPr>
        <w:t>。據</w:t>
      </w:r>
      <w:r w:rsidRPr="007D10AC">
        <w:rPr>
          <w:rFonts w:hAnsi="標楷體" w:hint="eastAsia"/>
          <w:color w:val="000000" w:themeColor="text1"/>
        </w:rPr>
        <w:t>財政部說明，每年以多元方式蒐集外界意見</w:t>
      </w:r>
      <w:proofErr w:type="gramStart"/>
      <w:r w:rsidRPr="007D10AC">
        <w:rPr>
          <w:rFonts w:hAnsi="標楷體" w:hint="eastAsia"/>
          <w:color w:val="000000" w:themeColor="text1"/>
        </w:rPr>
        <w:t>（</w:t>
      </w:r>
      <w:proofErr w:type="gramEnd"/>
      <w:r w:rsidRPr="007D10AC">
        <w:rPr>
          <w:rFonts w:hAnsi="標楷體" w:hint="eastAsia"/>
          <w:color w:val="000000" w:themeColor="text1"/>
        </w:rPr>
        <w:t>例如依公會團體、學者專家、立法委員提案、稅（關）務機關報請研議、訴願審議之附帶決議等），隨時滾動檢討不合時宜之解釋函令。另就該部歷年發布之解釋函令所編纂成冊之各稅法令彙編，每年排定稅目，定期邀集賦稅署、關務署、各相關稅捐</w:t>
      </w:r>
      <w:proofErr w:type="gramStart"/>
      <w:r w:rsidRPr="007D10AC">
        <w:rPr>
          <w:rFonts w:hAnsi="標楷體" w:hint="eastAsia"/>
          <w:color w:val="000000" w:themeColor="text1"/>
        </w:rPr>
        <w:t>稽</w:t>
      </w:r>
      <w:proofErr w:type="gramEnd"/>
      <w:r w:rsidRPr="007D10AC">
        <w:rPr>
          <w:rFonts w:hAnsi="標楷體" w:hint="eastAsia"/>
          <w:color w:val="000000" w:themeColor="text1"/>
        </w:rPr>
        <w:t>徵機關及專家學者召開法令彙編研審會議，全面檢視其合宜性。</w:t>
      </w:r>
      <w:proofErr w:type="gramStart"/>
      <w:r w:rsidRPr="007D10AC">
        <w:rPr>
          <w:rFonts w:hAnsi="標楷體" w:hint="eastAsia"/>
          <w:color w:val="000000" w:themeColor="text1"/>
        </w:rPr>
        <w:t>108</w:t>
      </w:r>
      <w:proofErr w:type="gramEnd"/>
      <w:r w:rsidRPr="007D10AC">
        <w:rPr>
          <w:rFonts w:hAnsi="標楷體" w:hint="eastAsia"/>
          <w:color w:val="000000" w:themeColor="text1"/>
        </w:rPr>
        <w:t>年度就「遺產及贈與稅法令彙編」、「土地稅法令彙編」及</w:t>
      </w:r>
      <w:proofErr w:type="gramStart"/>
      <w:r w:rsidRPr="007D10AC">
        <w:rPr>
          <w:rFonts w:hAnsi="標楷體" w:hint="eastAsia"/>
          <w:color w:val="000000" w:themeColor="text1"/>
        </w:rPr>
        <w:t>10</w:t>
      </w:r>
      <w:proofErr w:type="gramEnd"/>
      <w:r w:rsidRPr="007D10AC">
        <w:rPr>
          <w:rFonts w:hAnsi="標楷體" w:hint="eastAsia"/>
          <w:color w:val="000000" w:themeColor="text1"/>
        </w:rPr>
        <w:t>9年度就「稅捐稽徵法令彙編」及「貨物稅菸酒稅法令彙編」進行研審作業為例，共召開26次研審會議，研審解釋函令共3,028則，其中新增58則、</w:t>
      </w:r>
      <w:proofErr w:type="gramStart"/>
      <w:r w:rsidRPr="007D10AC">
        <w:rPr>
          <w:rFonts w:hAnsi="標楷體" w:hint="eastAsia"/>
          <w:color w:val="000000" w:themeColor="text1"/>
        </w:rPr>
        <w:t>免列129</w:t>
      </w:r>
      <w:proofErr w:type="gramEnd"/>
      <w:r w:rsidRPr="007D10AC">
        <w:rPr>
          <w:rFonts w:hAnsi="標楷體" w:hint="eastAsia"/>
          <w:color w:val="000000" w:themeColor="text1"/>
        </w:rPr>
        <w:t>則，請業務單位檢討修正59則。前揭定期</w:t>
      </w:r>
      <w:proofErr w:type="gramStart"/>
      <w:r w:rsidRPr="007D10AC">
        <w:rPr>
          <w:rFonts w:hAnsi="標楷體" w:hint="eastAsia"/>
          <w:color w:val="000000" w:themeColor="text1"/>
        </w:rPr>
        <w:t>研</w:t>
      </w:r>
      <w:proofErr w:type="gramEnd"/>
      <w:r w:rsidRPr="007D10AC">
        <w:rPr>
          <w:rFonts w:hAnsi="標楷體" w:hint="eastAsia"/>
          <w:color w:val="000000" w:themeColor="text1"/>
        </w:rPr>
        <w:t>審之法令彙編，業放置於該部網站/財政法規/各稅法令函釋/各稅法令函釋檢索系統，並於每年編纂完成後，隨即上網更新版本。至滾動檢討之最新解釋函令（含內地稅及關稅），亦於該函令發布後，隨即更新網站資訊，民眾可透過上開法令函釋檢索系統</w:t>
      </w:r>
      <w:proofErr w:type="gramStart"/>
      <w:r w:rsidRPr="007D10AC">
        <w:rPr>
          <w:rFonts w:hAnsi="標楷體" w:hint="eastAsia"/>
          <w:color w:val="000000" w:themeColor="text1"/>
        </w:rPr>
        <w:t>（</w:t>
      </w:r>
      <w:proofErr w:type="gramEnd"/>
      <w:r w:rsidRPr="007D10AC">
        <w:rPr>
          <w:rFonts w:hAnsi="標楷體" w:hint="eastAsia"/>
          <w:color w:val="000000" w:themeColor="text1"/>
        </w:rPr>
        <w:t>選項名稱：內地稅</w:t>
      </w:r>
      <w:proofErr w:type="gramStart"/>
      <w:r w:rsidRPr="007D10AC">
        <w:rPr>
          <w:rFonts w:hAnsi="標楷體" w:hint="eastAsia"/>
          <w:color w:val="000000" w:themeColor="text1"/>
        </w:rPr>
        <w:t>新頒函釋</w:t>
      </w:r>
      <w:proofErr w:type="gramEnd"/>
      <w:r w:rsidRPr="007D10AC">
        <w:rPr>
          <w:rFonts w:hAnsi="標楷體" w:hint="eastAsia"/>
          <w:color w:val="000000" w:themeColor="text1"/>
        </w:rPr>
        <w:t>、關稅</w:t>
      </w:r>
      <w:proofErr w:type="gramStart"/>
      <w:r w:rsidRPr="007D10AC">
        <w:rPr>
          <w:rFonts w:hAnsi="標楷體" w:hint="eastAsia"/>
          <w:color w:val="000000" w:themeColor="text1"/>
        </w:rPr>
        <w:t>新頒函</w:t>
      </w:r>
      <w:proofErr w:type="gramEnd"/>
      <w:r w:rsidRPr="007D10AC">
        <w:rPr>
          <w:rFonts w:hAnsi="標楷體" w:hint="eastAsia"/>
          <w:color w:val="000000" w:themeColor="text1"/>
        </w:rPr>
        <w:t>釋），連結至該部賦稅署及關務署網站查詢，或可至財政部網站/財政法規/財政主管法規系統查詢。</w:t>
      </w:r>
    </w:p>
    <w:p w:rsidR="00502FFB" w:rsidRPr="007D10AC" w:rsidRDefault="001F062F" w:rsidP="00F352AD">
      <w:pPr>
        <w:pStyle w:val="3"/>
        <w:rPr>
          <w:rFonts w:hAnsi="標楷體"/>
          <w:snapToGrid w:val="0"/>
          <w:color w:val="000000" w:themeColor="text1"/>
        </w:rPr>
      </w:pPr>
      <w:r w:rsidRPr="007D10AC">
        <w:rPr>
          <w:rFonts w:hAnsi="標楷體" w:hint="eastAsia"/>
          <w:snapToGrid w:val="0"/>
          <w:color w:val="000000" w:themeColor="text1"/>
        </w:rPr>
        <w:t>現行稅務解釋函令公開、發布及檢索服務係透過「行政院公報資訊網」、「財政部各稅法令函釋檢索系統」與「內地稅</w:t>
      </w:r>
      <w:proofErr w:type="gramStart"/>
      <w:r w:rsidRPr="007D10AC">
        <w:rPr>
          <w:rFonts w:hAnsi="標楷體" w:hint="eastAsia"/>
          <w:snapToGrid w:val="0"/>
          <w:color w:val="000000" w:themeColor="text1"/>
        </w:rPr>
        <w:t>新頒函釋</w:t>
      </w:r>
      <w:proofErr w:type="gramEnd"/>
      <w:r w:rsidRPr="007D10AC">
        <w:rPr>
          <w:rFonts w:hAnsi="標楷體" w:hint="eastAsia"/>
          <w:snapToGrid w:val="0"/>
          <w:color w:val="000000" w:themeColor="text1"/>
        </w:rPr>
        <w:t>」，及「新頒關稅法令釋函」等3項線上系統提供，</w:t>
      </w:r>
      <w:proofErr w:type="gramStart"/>
      <w:r w:rsidRPr="007D10AC">
        <w:rPr>
          <w:rFonts w:hAnsi="標楷體" w:hint="eastAsia"/>
          <w:snapToGrid w:val="0"/>
          <w:color w:val="000000" w:themeColor="text1"/>
        </w:rPr>
        <w:t>新頒函</w:t>
      </w:r>
      <w:proofErr w:type="gramEnd"/>
      <w:r w:rsidRPr="007D10AC">
        <w:rPr>
          <w:rFonts w:hAnsi="標楷體" w:hint="eastAsia"/>
          <w:snapToGrid w:val="0"/>
          <w:color w:val="000000" w:themeColor="text1"/>
        </w:rPr>
        <w:t>釋系統收錄自</w:t>
      </w:r>
      <w:r w:rsidRPr="007D10AC">
        <w:rPr>
          <w:rFonts w:hAnsi="標楷體"/>
          <w:snapToGrid w:val="0"/>
          <w:color w:val="000000" w:themeColor="text1"/>
        </w:rPr>
        <w:t>88</w:t>
      </w:r>
      <w:r w:rsidRPr="007D10AC">
        <w:rPr>
          <w:rFonts w:hAnsi="標楷體" w:hint="eastAsia"/>
          <w:snapToGrid w:val="0"/>
          <w:color w:val="000000" w:themeColor="text1"/>
        </w:rPr>
        <w:t>年以來發布之內</w:t>
      </w:r>
      <w:r w:rsidRPr="007D10AC">
        <w:rPr>
          <w:rFonts w:hAnsi="標楷體" w:hint="eastAsia"/>
          <w:snapToGrid w:val="0"/>
          <w:color w:val="000000" w:themeColor="text1"/>
        </w:rPr>
        <w:lastRenderedPageBreak/>
        <w:t>地稅與關稅函釋，惟</w:t>
      </w:r>
      <w:proofErr w:type="gramStart"/>
      <w:r w:rsidRPr="007D10AC">
        <w:rPr>
          <w:rFonts w:hAnsi="標楷體" w:hint="eastAsia"/>
          <w:snapToGrid w:val="0"/>
          <w:color w:val="000000" w:themeColor="text1"/>
        </w:rPr>
        <w:t>各稅</w:t>
      </w:r>
      <w:proofErr w:type="gramEnd"/>
      <w:r w:rsidRPr="007D10AC">
        <w:rPr>
          <w:rFonts w:hAnsi="標楷體" w:hint="eastAsia"/>
          <w:snapToGrid w:val="0"/>
          <w:color w:val="000000" w:themeColor="text1"/>
        </w:rPr>
        <w:t>函釋彙編更新時程不一，</w:t>
      </w:r>
      <w:r w:rsidRPr="007D10AC">
        <w:rPr>
          <w:rFonts w:hAnsi="標楷體" w:hint="eastAsia"/>
          <w:color w:val="000000" w:themeColor="text1"/>
          <w:szCs w:val="32"/>
        </w:rPr>
        <w:t>稅法函釋</w:t>
      </w:r>
      <w:r w:rsidRPr="007D10AC">
        <w:rPr>
          <w:rFonts w:hAnsi="標楷體" w:hint="eastAsia"/>
          <w:color w:val="000000" w:themeColor="text1"/>
        </w:rPr>
        <w:t>主要透過</w:t>
      </w:r>
      <w:r w:rsidRPr="007D10AC">
        <w:rPr>
          <w:rFonts w:hAnsi="標楷體" w:hint="eastAsia"/>
          <w:snapToGrid w:val="0"/>
          <w:color w:val="000000" w:themeColor="text1"/>
        </w:rPr>
        <w:t>個案解釋，亦無法構成有體系、脈絡之規範架構，部分新頒解釋函令仍有疑義，且恐與舊有函令彙編系統亦存在論述及價值矛盾衝突。</w:t>
      </w:r>
      <w:r w:rsidR="00903BC8" w:rsidRPr="007D10AC">
        <w:rPr>
          <w:rFonts w:hAnsi="標楷體" w:hint="eastAsia"/>
          <w:snapToGrid w:val="0"/>
          <w:color w:val="000000" w:themeColor="text1"/>
          <w:u w:val="single"/>
        </w:rPr>
        <w:t>本院諮詢東吳大學法學院陳教授清秀亦表示，目前稅法解釋函令多如牛毛，資訊不透明。德</w:t>
      </w:r>
      <w:r w:rsidR="00F352AD" w:rsidRPr="007D10AC">
        <w:rPr>
          <w:rFonts w:hAnsi="標楷體" w:hint="eastAsia"/>
          <w:snapToGrid w:val="0"/>
          <w:color w:val="000000" w:themeColor="text1"/>
          <w:u w:val="single"/>
        </w:rPr>
        <w:t>、</w:t>
      </w:r>
      <w:r w:rsidR="00903BC8" w:rsidRPr="007D10AC">
        <w:rPr>
          <w:rFonts w:hAnsi="標楷體" w:hint="eastAsia"/>
          <w:snapToGrid w:val="0"/>
          <w:color w:val="000000" w:themeColor="text1"/>
          <w:u w:val="single"/>
        </w:rPr>
        <w:t>日</w:t>
      </w:r>
      <w:r w:rsidR="00F352AD" w:rsidRPr="007D10AC">
        <w:rPr>
          <w:rFonts w:hAnsi="標楷體" w:hint="eastAsia"/>
          <w:snapToGrid w:val="0"/>
          <w:color w:val="000000" w:themeColor="text1"/>
          <w:u w:val="single"/>
        </w:rPr>
        <w:t>、</w:t>
      </w:r>
      <w:r w:rsidR="00903BC8" w:rsidRPr="007D10AC">
        <w:rPr>
          <w:rFonts w:hAnsi="標楷體" w:hint="eastAsia"/>
          <w:snapToGrid w:val="0"/>
          <w:color w:val="000000" w:themeColor="text1"/>
          <w:u w:val="single"/>
        </w:rPr>
        <w:t>美</w:t>
      </w:r>
      <w:r w:rsidR="00F352AD" w:rsidRPr="007D10AC">
        <w:rPr>
          <w:rFonts w:hAnsi="標楷體" w:hint="eastAsia"/>
          <w:snapToGrid w:val="0"/>
          <w:color w:val="000000" w:themeColor="text1"/>
          <w:u w:val="single"/>
        </w:rPr>
        <w:t>(等國)</w:t>
      </w:r>
      <w:r w:rsidR="00903BC8" w:rsidRPr="007D10AC">
        <w:rPr>
          <w:rFonts w:hAnsi="標楷體" w:hint="eastAsia"/>
          <w:snapToGrid w:val="0"/>
          <w:color w:val="000000" w:themeColor="text1"/>
          <w:u w:val="single"/>
        </w:rPr>
        <w:t>是系統化排列，很有體系，並舉例說明。臺灣按年度(彙編)，比較零亂，法制無法透明化。</w:t>
      </w:r>
    </w:p>
    <w:p w:rsidR="00502FFB" w:rsidRPr="007D10AC" w:rsidRDefault="001F062F" w:rsidP="009E2352">
      <w:pPr>
        <w:pStyle w:val="3"/>
        <w:spacing w:line="480" w:lineRule="exact"/>
        <w:rPr>
          <w:rFonts w:hAnsi="標楷體"/>
          <w:color w:val="000000" w:themeColor="text1"/>
          <w:kern w:val="0"/>
        </w:rPr>
      </w:pPr>
      <w:r w:rsidRPr="007D10AC">
        <w:rPr>
          <w:rFonts w:hAnsi="標楷體" w:hint="eastAsia"/>
          <w:snapToGrid w:val="0"/>
          <w:color w:val="000000" w:themeColor="text1"/>
        </w:rPr>
        <w:t>依行政程序法明文規定，稅務解釋</w:t>
      </w:r>
      <w:proofErr w:type="gramStart"/>
      <w:r w:rsidRPr="007D10AC">
        <w:rPr>
          <w:rFonts w:hAnsi="標楷體" w:hint="eastAsia"/>
          <w:snapToGrid w:val="0"/>
          <w:color w:val="000000" w:themeColor="text1"/>
        </w:rPr>
        <w:t>函令僅具有</w:t>
      </w:r>
      <w:proofErr w:type="gramEnd"/>
      <w:r w:rsidRPr="007D10AC">
        <w:rPr>
          <w:rFonts w:hAnsi="標楷體" w:hint="eastAsia"/>
          <w:snapToGrid w:val="0"/>
          <w:color w:val="000000" w:themeColor="text1"/>
        </w:rPr>
        <w:t>拘束稽徵機關內部效力之法律地位，就稅捐法令解釋與課稅事實認定僅代表稽徵機關之法律及事實見解，對納稅義務人及行政法院並無拘束效力。最高行政法院稅務裁判援引函令比例遠超過不予適用之案件數量，納稅義務人極易產生對稅務函釋函令全盤適用之負面刻板印象，顯示憲法及行政法對稅務解釋函令所建置之基本法理，運用於稅捐</w:t>
      </w:r>
      <w:proofErr w:type="gramStart"/>
      <w:r w:rsidRPr="007D10AC">
        <w:rPr>
          <w:rFonts w:hAnsi="標楷體" w:hint="eastAsia"/>
          <w:snapToGrid w:val="0"/>
          <w:color w:val="000000" w:themeColor="text1"/>
        </w:rPr>
        <w:t>稽</w:t>
      </w:r>
      <w:proofErr w:type="gramEnd"/>
      <w:r w:rsidRPr="007D10AC">
        <w:rPr>
          <w:rFonts w:hAnsi="標楷體" w:hint="eastAsia"/>
          <w:snapToGrid w:val="0"/>
          <w:color w:val="000000" w:themeColor="text1"/>
        </w:rPr>
        <w:t>徵及裁判實務呈現不少落差</w:t>
      </w:r>
      <w:r w:rsidRPr="007D10AC">
        <w:rPr>
          <w:rStyle w:val="aff6"/>
          <w:rFonts w:hAnsi="標楷體"/>
          <w:color w:val="000000" w:themeColor="text1"/>
          <w:kern w:val="0"/>
        </w:rPr>
        <w:footnoteReference w:id="2"/>
      </w:r>
      <w:r w:rsidRPr="007D10AC">
        <w:rPr>
          <w:rFonts w:hAnsi="標楷體" w:hint="eastAsia"/>
          <w:snapToGrid w:val="0"/>
          <w:color w:val="000000" w:themeColor="text1"/>
        </w:rPr>
        <w:t>。</w:t>
      </w:r>
      <w:proofErr w:type="gramStart"/>
      <w:r w:rsidRPr="007D10AC">
        <w:rPr>
          <w:rFonts w:hAnsi="標楷體" w:hint="eastAsia"/>
          <w:color w:val="000000" w:themeColor="text1"/>
          <w:szCs w:val="32"/>
        </w:rPr>
        <w:t>揆</w:t>
      </w:r>
      <w:proofErr w:type="gramEnd"/>
      <w:r w:rsidRPr="007D10AC">
        <w:rPr>
          <w:rFonts w:hAnsi="標楷體" w:hint="eastAsia"/>
          <w:color w:val="000000" w:themeColor="text1"/>
          <w:szCs w:val="32"/>
        </w:rPr>
        <w:t>以目前財政部公布仍有效之稅法函釋高達9千餘則</w:t>
      </w:r>
      <w:r w:rsidRPr="007D10AC">
        <w:rPr>
          <w:rFonts w:hAnsi="標楷體"/>
          <w:color w:val="000000" w:themeColor="text1"/>
          <w:vertAlign w:val="superscript"/>
        </w:rPr>
        <w:footnoteReference w:id="3"/>
      </w:r>
      <w:r w:rsidRPr="007D10AC">
        <w:rPr>
          <w:rFonts w:hAnsi="標楷體" w:hint="eastAsia"/>
          <w:color w:val="000000" w:themeColor="text1"/>
          <w:szCs w:val="32"/>
        </w:rPr>
        <w:t>，巨量稅務解釋函令擁有不亞於租稅法規之實質規範效力，納稅義務人若違反解釋</w:t>
      </w:r>
      <w:proofErr w:type="gramStart"/>
      <w:r w:rsidRPr="007D10AC">
        <w:rPr>
          <w:rFonts w:hAnsi="標楷體" w:hint="eastAsia"/>
          <w:color w:val="000000" w:themeColor="text1"/>
          <w:szCs w:val="32"/>
        </w:rPr>
        <w:t>函令亦</w:t>
      </w:r>
      <w:proofErr w:type="gramEnd"/>
      <w:r w:rsidRPr="007D10AC">
        <w:rPr>
          <w:rFonts w:hAnsi="標楷體" w:hint="eastAsia"/>
          <w:color w:val="000000" w:themeColor="text1"/>
          <w:szCs w:val="32"/>
        </w:rPr>
        <w:t>多被認定為漏稅違章過失。</w:t>
      </w:r>
    </w:p>
    <w:p w:rsidR="001F062F" w:rsidRPr="007D10AC" w:rsidRDefault="001F062F" w:rsidP="009E2352">
      <w:pPr>
        <w:pStyle w:val="3"/>
        <w:spacing w:line="480" w:lineRule="exact"/>
        <w:rPr>
          <w:rFonts w:hAnsi="標楷體"/>
          <w:color w:val="000000" w:themeColor="text1"/>
          <w:kern w:val="0"/>
        </w:rPr>
      </w:pPr>
      <w:r w:rsidRPr="007D10AC">
        <w:rPr>
          <w:rFonts w:hAnsi="標楷體" w:hint="eastAsia"/>
          <w:color w:val="000000" w:themeColor="text1"/>
          <w:szCs w:val="32"/>
        </w:rPr>
        <w:t>有學者研究發現</w:t>
      </w:r>
      <w:r w:rsidR="00502FFB" w:rsidRPr="007D10AC">
        <w:rPr>
          <w:rFonts w:hAnsi="標楷體" w:hint="eastAsia"/>
          <w:color w:val="000000" w:themeColor="text1"/>
          <w:szCs w:val="32"/>
        </w:rPr>
        <w:t>，</w:t>
      </w:r>
      <w:r w:rsidRPr="007D10AC">
        <w:rPr>
          <w:rFonts w:hAnsi="標楷體" w:hint="eastAsia"/>
          <w:color w:val="000000" w:themeColor="text1"/>
          <w:szCs w:val="32"/>
        </w:rPr>
        <w:t>所得稅及土地稅解釋函令發布年代，7</w:t>
      </w:r>
      <w:r w:rsidRPr="007D10AC">
        <w:rPr>
          <w:rFonts w:hAnsi="標楷體"/>
          <w:color w:val="000000" w:themeColor="text1"/>
          <w:szCs w:val="32"/>
        </w:rPr>
        <w:t>0</w:t>
      </w:r>
      <w:r w:rsidRPr="007D10AC">
        <w:rPr>
          <w:rFonts w:hAnsi="標楷體" w:hint="eastAsia"/>
          <w:color w:val="000000" w:themeColor="text1"/>
          <w:szCs w:val="32"/>
        </w:rPr>
        <w:t>年代以前占總數量約3</w:t>
      </w:r>
      <w:r w:rsidRPr="007D10AC">
        <w:rPr>
          <w:rFonts w:hAnsi="標楷體"/>
          <w:color w:val="000000" w:themeColor="text1"/>
          <w:szCs w:val="32"/>
        </w:rPr>
        <w:t>9％</w:t>
      </w:r>
      <w:r w:rsidRPr="007D10AC">
        <w:rPr>
          <w:rFonts w:hAnsi="標楷體" w:hint="eastAsia"/>
          <w:color w:val="000000" w:themeColor="text1"/>
          <w:szCs w:val="32"/>
        </w:rPr>
        <w:t>，</w:t>
      </w:r>
      <w:r w:rsidR="00D47582" w:rsidRPr="007D10AC">
        <w:rPr>
          <w:rFonts w:hAnsi="標楷體" w:hint="eastAsia"/>
          <w:color w:val="000000" w:themeColor="text1"/>
          <w:szCs w:val="32"/>
        </w:rPr>
        <w:t>（民國）</w:t>
      </w:r>
      <w:r w:rsidRPr="007D10AC">
        <w:rPr>
          <w:rFonts w:hAnsi="標楷體" w:hint="eastAsia"/>
          <w:color w:val="000000" w:themeColor="text1"/>
          <w:szCs w:val="32"/>
        </w:rPr>
        <w:t>9</w:t>
      </w:r>
      <w:r w:rsidRPr="007D10AC">
        <w:rPr>
          <w:rFonts w:hAnsi="標楷體"/>
          <w:color w:val="000000" w:themeColor="text1"/>
          <w:szCs w:val="32"/>
        </w:rPr>
        <w:t>0</w:t>
      </w:r>
      <w:r w:rsidRPr="007D10AC">
        <w:rPr>
          <w:rFonts w:hAnsi="標楷體" w:hint="eastAsia"/>
          <w:color w:val="000000" w:themeColor="text1"/>
          <w:szCs w:val="32"/>
        </w:rPr>
        <w:t>年前發布之解釋</w:t>
      </w:r>
      <w:proofErr w:type="gramStart"/>
      <w:r w:rsidRPr="007D10AC">
        <w:rPr>
          <w:rFonts w:hAnsi="標楷體" w:hint="eastAsia"/>
          <w:color w:val="000000" w:themeColor="text1"/>
          <w:szCs w:val="32"/>
        </w:rPr>
        <w:t>函令占總</w:t>
      </w:r>
      <w:proofErr w:type="gramEnd"/>
      <w:r w:rsidRPr="007D10AC">
        <w:rPr>
          <w:rFonts w:hAnsi="標楷體" w:hint="eastAsia"/>
          <w:color w:val="000000" w:themeColor="text1"/>
          <w:szCs w:val="32"/>
        </w:rPr>
        <w:t>數量高達2</w:t>
      </w:r>
      <w:r w:rsidRPr="007D10AC">
        <w:rPr>
          <w:rFonts w:hAnsi="標楷體"/>
          <w:color w:val="000000" w:themeColor="text1"/>
          <w:szCs w:val="32"/>
        </w:rPr>
        <w:t>/3</w:t>
      </w:r>
      <w:r w:rsidRPr="007D10AC">
        <w:rPr>
          <w:rStyle w:val="aff6"/>
          <w:rFonts w:hAnsi="標楷體"/>
          <w:color w:val="000000" w:themeColor="text1"/>
          <w:kern w:val="0"/>
        </w:rPr>
        <w:footnoteReference w:id="4"/>
      </w:r>
      <w:r w:rsidRPr="007D10AC">
        <w:rPr>
          <w:rFonts w:hAnsi="標楷體" w:hint="eastAsia"/>
          <w:color w:val="000000" w:themeColor="text1"/>
          <w:szCs w:val="32"/>
        </w:rPr>
        <w:t>，</w:t>
      </w:r>
      <w:r w:rsidRPr="007D10AC">
        <w:rPr>
          <w:rFonts w:hAnsi="標楷體" w:hint="eastAsia"/>
          <w:color w:val="000000" w:themeColor="text1"/>
        </w:rPr>
        <w:t>例如：所得稅法</w:t>
      </w:r>
      <w:r w:rsidRPr="007D10AC">
        <w:rPr>
          <w:rFonts w:hAnsi="標楷體" w:hint="eastAsia"/>
          <w:color w:val="000000" w:themeColor="text1"/>
        </w:rPr>
        <w:lastRenderedPageBreak/>
        <w:t>解釋彙編（106年版）之解釋函令共計2,305則，其中發布於59年前為107則、60~69年為522則、70~79年為431則、80~89年為497則，亦即70年以前約占27.29％、</w:t>
      </w:r>
      <w:r w:rsidR="00D47582" w:rsidRPr="007D10AC">
        <w:rPr>
          <w:rFonts w:hAnsi="標楷體" w:hint="eastAsia"/>
          <w:color w:val="000000" w:themeColor="text1"/>
          <w:szCs w:val="32"/>
        </w:rPr>
        <w:t>（民國）</w:t>
      </w:r>
      <w:r w:rsidRPr="007D10AC">
        <w:rPr>
          <w:rFonts w:hAnsi="標楷體" w:hint="eastAsia"/>
          <w:color w:val="000000" w:themeColor="text1"/>
        </w:rPr>
        <w:t>90年以前約占67.55％；另土地稅法解釋彙編（105年版）之解釋函令共計1,065則，其中發布於59年前為9則、60~69年為57則、70~79年為183則、80~89年為401則，亦即70年以前約占6.20％、90年以前約占6</w:t>
      </w:r>
      <w:r w:rsidRPr="007D10AC">
        <w:rPr>
          <w:rFonts w:hAnsi="標楷體"/>
          <w:color w:val="000000" w:themeColor="text1"/>
        </w:rPr>
        <w:t>1</w:t>
      </w:r>
      <w:r w:rsidRPr="007D10AC">
        <w:rPr>
          <w:rFonts w:hAnsi="標楷體" w:hint="eastAsia"/>
          <w:color w:val="000000" w:themeColor="text1"/>
        </w:rPr>
        <w:t>.</w:t>
      </w:r>
      <w:r w:rsidRPr="007D10AC">
        <w:rPr>
          <w:rFonts w:hAnsi="標楷體"/>
          <w:color w:val="000000" w:themeColor="text1"/>
        </w:rPr>
        <w:t>03</w:t>
      </w:r>
      <w:r w:rsidRPr="007D10AC">
        <w:rPr>
          <w:rFonts w:hAnsi="標楷體" w:hint="eastAsia"/>
          <w:color w:val="000000" w:themeColor="text1"/>
        </w:rPr>
        <w:t>％，顯然已不符</w:t>
      </w:r>
      <w:r w:rsidRPr="007D10AC">
        <w:rPr>
          <w:rFonts w:hAnsi="標楷體" w:hint="eastAsia"/>
          <w:color w:val="000000" w:themeColor="text1"/>
          <w:kern w:val="0"/>
        </w:rPr>
        <w:t>現今法令及社經情況，甚或可能與</w:t>
      </w:r>
      <w:proofErr w:type="gramStart"/>
      <w:r w:rsidRPr="007D10AC">
        <w:rPr>
          <w:rFonts w:hAnsi="標楷體" w:hint="eastAsia"/>
          <w:color w:val="000000" w:themeColor="text1"/>
          <w:kern w:val="0"/>
        </w:rPr>
        <w:t>新頒函釋</w:t>
      </w:r>
      <w:proofErr w:type="gramEnd"/>
      <w:r w:rsidRPr="007D10AC">
        <w:rPr>
          <w:rFonts w:hAnsi="標楷體" w:hint="eastAsia"/>
          <w:color w:val="000000" w:themeColor="text1"/>
          <w:kern w:val="0"/>
        </w:rPr>
        <w:t>產生內容或價值矛盾與衝突</w:t>
      </w:r>
      <w:r w:rsidR="002652DE" w:rsidRPr="007D10AC">
        <w:rPr>
          <w:rStyle w:val="aff6"/>
          <w:rFonts w:hAnsi="標楷體"/>
          <w:color w:val="000000" w:themeColor="text1"/>
          <w:kern w:val="0"/>
        </w:rPr>
        <w:footnoteReference w:id="5"/>
      </w:r>
      <w:r w:rsidRPr="007D10AC">
        <w:rPr>
          <w:rFonts w:hAnsi="標楷體" w:hint="eastAsia"/>
          <w:color w:val="000000" w:themeColor="text1"/>
          <w:kern w:val="0"/>
        </w:rPr>
        <w:t>，部分稅捐實務難解爭議源自稅務解釋函令，</w:t>
      </w:r>
      <w:proofErr w:type="gramStart"/>
      <w:r w:rsidRPr="007D10AC">
        <w:rPr>
          <w:rFonts w:hAnsi="標楷體" w:hint="eastAsia"/>
          <w:color w:val="000000" w:themeColor="text1"/>
          <w:kern w:val="0"/>
        </w:rPr>
        <w:t>續經行政法</w:t>
      </w:r>
      <w:proofErr w:type="gramEnd"/>
      <w:r w:rsidRPr="007D10AC">
        <w:rPr>
          <w:rFonts w:hAnsi="標楷體" w:hint="eastAsia"/>
          <w:color w:val="000000" w:themeColor="text1"/>
          <w:kern w:val="0"/>
        </w:rPr>
        <w:t>院判決適用或不適用該解釋函令後，又再衍生其他新函釋，恐造成爭議無法有效解決，實應通盤檢討。</w:t>
      </w:r>
    </w:p>
    <w:p w:rsidR="001F062F" w:rsidRPr="007D10AC" w:rsidRDefault="001F062F" w:rsidP="00F352AD">
      <w:pPr>
        <w:pStyle w:val="3"/>
        <w:spacing w:line="480" w:lineRule="exact"/>
        <w:rPr>
          <w:rFonts w:hAnsi="標楷體"/>
          <w:snapToGrid w:val="0"/>
          <w:color w:val="000000" w:themeColor="text1"/>
        </w:rPr>
      </w:pPr>
      <w:r w:rsidRPr="007D10AC">
        <w:rPr>
          <w:rFonts w:hAnsi="標楷體" w:hint="eastAsia"/>
          <w:color w:val="000000" w:themeColor="text1"/>
          <w:kern w:val="0"/>
        </w:rPr>
        <w:t>且據本院諮詢之專家學者表示，目前財政部公布仍有效之稅法函釋，其中不乏涉及租稅構成要件應以法律或法律具體明確授權之法規命令定之者，有違反法律保留原則、法律明確性原則，以及增加法律所無限制之情形，例如：如個人處分不良債權，財政部於98年7月21日發布台財稅字第09800177380號函，個人處分不良債權必須有債權憑證，方能申</w:t>
      </w:r>
      <w:r w:rsidRPr="007D10AC">
        <w:rPr>
          <w:rFonts w:hAnsi="標楷體" w:hint="eastAsia"/>
          <w:color w:val="000000" w:themeColor="text1"/>
          <w:kern w:val="0"/>
        </w:rPr>
        <w:lastRenderedPageBreak/>
        <w:t>報處分不良債權之必要費用，為增加法律所無限制，應無效。但最高行政法院</w:t>
      </w:r>
      <w:proofErr w:type="gramStart"/>
      <w:r w:rsidRPr="007D10AC">
        <w:rPr>
          <w:rFonts w:hAnsi="標楷體" w:hint="eastAsia"/>
          <w:color w:val="000000" w:themeColor="text1"/>
          <w:kern w:val="0"/>
        </w:rPr>
        <w:t>100</w:t>
      </w:r>
      <w:proofErr w:type="gramEnd"/>
      <w:r w:rsidRPr="007D10AC">
        <w:rPr>
          <w:rFonts w:hAnsi="標楷體" w:hint="eastAsia"/>
          <w:color w:val="000000" w:themeColor="text1"/>
          <w:kern w:val="0"/>
        </w:rPr>
        <w:t>年度判字第1052號認為，「該</w:t>
      </w:r>
      <w:proofErr w:type="gramStart"/>
      <w:r w:rsidRPr="007D10AC">
        <w:rPr>
          <w:rFonts w:hAnsi="標楷體" w:hint="eastAsia"/>
          <w:color w:val="000000" w:themeColor="text1"/>
          <w:kern w:val="0"/>
        </w:rPr>
        <w:t>函釋僅</w:t>
      </w:r>
      <w:proofErr w:type="gramEnd"/>
      <w:r w:rsidRPr="007D10AC">
        <w:rPr>
          <w:rFonts w:hAnsi="標楷體" w:hint="eastAsia"/>
          <w:color w:val="000000" w:themeColor="text1"/>
          <w:kern w:val="0"/>
        </w:rPr>
        <w:t>是『成本費用認列所需具備之證據方法』為適度之規範指示，以利所屬下級機關有所遵循。法院在參酌時，即需考量該函釋意旨是否思慮不周之處，並依法律之規範意旨予以闡明。不能</w:t>
      </w:r>
      <w:proofErr w:type="gramStart"/>
      <w:r w:rsidRPr="007D10AC">
        <w:rPr>
          <w:rFonts w:hAnsi="標楷體" w:hint="eastAsia"/>
          <w:color w:val="000000" w:themeColor="text1"/>
          <w:kern w:val="0"/>
        </w:rPr>
        <w:t>緊守函釋</w:t>
      </w:r>
      <w:proofErr w:type="gramEnd"/>
      <w:r w:rsidRPr="007D10AC">
        <w:rPr>
          <w:rFonts w:hAnsi="標楷體" w:hint="eastAsia"/>
          <w:color w:val="000000" w:themeColor="text1"/>
          <w:kern w:val="0"/>
        </w:rPr>
        <w:t>之字義，而忽略文字背後規範之意旨，……，因此不能以債權憑證當成認定成本費用之唯一證據。」雖將該部分廢棄發回高等行政法院，但並未認定該函釋無效。惟因其已涉及租稅構成要件，增加法律所無限制。另以臺灣</w:t>
      </w:r>
      <w:proofErr w:type="gramStart"/>
      <w:r w:rsidRPr="007D10AC">
        <w:rPr>
          <w:rFonts w:hAnsi="標楷體" w:hint="eastAsia"/>
          <w:color w:val="000000" w:themeColor="text1"/>
          <w:kern w:val="0"/>
        </w:rPr>
        <w:t>臺</w:t>
      </w:r>
      <w:proofErr w:type="gramEnd"/>
      <w:r w:rsidRPr="007D10AC">
        <w:rPr>
          <w:rFonts w:hAnsi="標楷體" w:hint="eastAsia"/>
          <w:color w:val="000000" w:themeColor="text1"/>
          <w:kern w:val="0"/>
        </w:rPr>
        <w:t>北地方法院</w:t>
      </w:r>
      <w:proofErr w:type="gramStart"/>
      <w:r w:rsidRPr="007D10AC">
        <w:rPr>
          <w:rFonts w:hAnsi="標楷體" w:hint="eastAsia"/>
          <w:color w:val="000000" w:themeColor="text1"/>
          <w:kern w:val="0"/>
        </w:rPr>
        <w:t>10</w:t>
      </w:r>
      <w:proofErr w:type="gramEnd"/>
      <w:r w:rsidRPr="007D10AC">
        <w:rPr>
          <w:rFonts w:hAnsi="標楷體" w:hint="eastAsia"/>
          <w:color w:val="000000" w:themeColor="text1"/>
          <w:kern w:val="0"/>
        </w:rPr>
        <w:t>7年度稅簡字第5號行政訴訟判決為例，該件背景事實原告為A公司之登記名義負責人，但在其遭董事會及股東會解除其負責人職務後，因公司「怠於」變更負責人登記，而使A公司於後續違反所得稅法上扣繳義務時，國稅局竟仍對於「毫無行使扣繳義務」可能之名義負責人，追究其「扣繳義務人」之責任，深究該案件中以「登記負責人」為扣繳義務人之「法律依據」，僅係財政部70年8月12日台財稅第36704號函釋，而認定依法登記之公司有登記之負責人及執行業務之實際負責人，違反扣繳義務時，按「登記之負責人」為受處分主體。臺灣</w:t>
      </w:r>
      <w:proofErr w:type="gramStart"/>
      <w:r w:rsidRPr="007D10AC">
        <w:rPr>
          <w:rFonts w:hAnsi="標楷體" w:hint="eastAsia"/>
          <w:color w:val="000000" w:themeColor="text1"/>
          <w:kern w:val="0"/>
        </w:rPr>
        <w:t>臺</w:t>
      </w:r>
      <w:proofErr w:type="gramEnd"/>
      <w:r w:rsidRPr="007D10AC">
        <w:rPr>
          <w:rFonts w:hAnsi="標楷體" w:hint="eastAsia"/>
          <w:color w:val="000000" w:themeColor="text1"/>
          <w:kern w:val="0"/>
        </w:rPr>
        <w:t>北地方法院</w:t>
      </w:r>
      <w:proofErr w:type="gramStart"/>
      <w:r w:rsidRPr="007D10AC">
        <w:rPr>
          <w:rFonts w:hAnsi="標楷體" w:hint="eastAsia"/>
          <w:color w:val="000000" w:themeColor="text1"/>
          <w:kern w:val="0"/>
        </w:rPr>
        <w:t>10</w:t>
      </w:r>
      <w:proofErr w:type="gramEnd"/>
      <w:r w:rsidRPr="007D10AC">
        <w:rPr>
          <w:rFonts w:hAnsi="標楷體" w:hint="eastAsia"/>
          <w:color w:val="000000" w:themeColor="text1"/>
          <w:kern w:val="0"/>
        </w:rPr>
        <w:t>7年度稅簡字第5號行政訴訟判決中，法官亦明確指出：「故在行政程序法施行後，類此有關公司第12條變更事項對抗要件之規定，應</w:t>
      </w:r>
      <w:proofErr w:type="gramStart"/>
      <w:r w:rsidRPr="007D10AC">
        <w:rPr>
          <w:rFonts w:hAnsi="標楷體" w:hint="eastAsia"/>
          <w:color w:val="000000" w:themeColor="text1"/>
          <w:kern w:val="0"/>
        </w:rPr>
        <w:t>併</w:t>
      </w:r>
      <w:proofErr w:type="gramEnd"/>
      <w:r w:rsidRPr="007D10AC">
        <w:rPr>
          <w:rFonts w:hAnsi="標楷體" w:hint="eastAsia"/>
          <w:color w:val="000000" w:themeColor="text1"/>
          <w:kern w:val="0"/>
        </w:rPr>
        <w:t>同適用行政程序法第36條職權調查證據之規定，僅有在行政機關依職權調查證據仍無法確定事實情形下，始有公司法變更事項對抗要件規定之適用。故被告</w:t>
      </w:r>
      <w:r w:rsidRPr="007D10AC">
        <w:rPr>
          <w:rFonts w:hAnsi="標楷體" w:hint="eastAsia"/>
          <w:color w:val="000000" w:themeColor="text1"/>
          <w:kern w:val="0"/>
        </w:rPr>
        <w:lastRenderedPageBreak/>
        <w:t>所引財政部70年8月12日台財稅第36704號函釋，認依法登記之公司有登記之負責人及執行業務之實際負責人，違反扣繳義務時，按登記之負責人為受處分主體，忽視行政程序法第36條職權調查證據之規定，已不合時宜，且有違所得稅法第88條第1項第2款、第89條第1項第2款扣繳義務人之認定，自</w:t>
      </w:r>
      <w:proofErr w:type="gramStart"/>
      <w:r w:rsidRPr="007D10AC">
        <w:rPr>
          <w:rFonts w:hAnsi="標楷體" w:hint="eastAsia"/>
          <w:color w:val="000000" w:themeColor="text1"/>
          <w:kern w:val="0"/>
        </w:rPr>
        <w:t>不</w:t>
      </w:r>
      <w:proofErr w:type="gramEnd"/>
      <w:r w:rsidRPr="007D10AC">
        <w:rPr>
          <w:rFonts w:hAnsi="標楷體" w:hint="eastAsia"/>
          <w:color w:val="000000" w:themeColor="text1"/>
          <w:kern w:val="0"/>
        </w:rPr>
        <w:t>應予適用。」財政部及所屬賦稅署迄今竟遲未檢討</w:t>
      </w:r>
      <w:proofErr w:type="gramStart"/>
      <w:r w:rsidRPr="007D10AC">
        <w:rPr>
          <w:rFonts w:hAnsi="標楷體" w:hint="eastAsia"/>
          <w:color w:val="000000" w:themeColor="text1"/>
          <w:kern w:val="0"/>
        </w:rPr>
        <w:t>前揭函釋</w:t>
      </w:r>
      <w:proofErr w:type="gramEnd"/>
      <w:r w:rsidRPr="007D10AC">
        <w:rPr>
          <w:rFonts w:hAnsi="標楷體" w:hint="eastAsia"/>
          <w:color w:val="000000" w:themeColor="text1"/>
          <w:kern w:val="0"/>
        </w:rPr>
        <w:t>之適法性。</w:t>
      </w:r>
    </w:p>
    <w:p w:rsidR="001F062F" w:rsidRPr="007D10AC" w:rsidRDefault="001F062F" w:rsidP="009E2352">
      <w:pPr>
        <w:pStyle w:val="3"/>
        <w:spacing w:line="480" w:lineRule="exact"/>
        <w:rPr>
          <w:rFonts w:hAnsi="標楷體"/>
          <w:snapToGrid w:val="0"/>
          <w:color w:val="000000" w:themeColor="text1"/>
        </w:rPr>
      </w:pPr>
      <w:bookmarkStart w:id="78" w:name="_Hlk99540679"/>
      <w:bookmarkEnd w:id="77"/>
      <w:r w:rsidRPr="007D10AC">
        <w:rPr>
          <w:rFonts w:hAnsi="標楷體" w:hint="eastAsia"/>
          <w:snapToGrid w:val="0"/>
          <w:color w:val="000000" w:themeColor="text1"/>
        </w:rPr>
        <w:t>經財政部統計歷年司法院大法官解釋涉及租稅事項計125則，占全部解釋案件（</w:t>
      </w:r>
      <w:r w:rsidRPr="007D10AC">
        <w:rPr>
          <w:rFonts w:hAnsi="標楷體"/>
          <w:snapToGrid w:val="0"/>
          <w:color w:val="000000" w:themeColor="text1"/>
        </w:rPr>
        <w:t>813</w:t>
      </w:r>
      <w:r w:rsidRPr="007D10AC">
        <w:rPr>
          <w:rFonts w:hAnsi="標楷體" w:hint="eastAsia"/>
          <w:snapToGrid w:val="0"/>
          <w:color w:val="000000" w:themeColor="text1"/>
        </w:rPr>
        <w:t>則）1</w:t>
      </w:r>
      <w:r w:rsidRPr="007D10AC">
        <w:rPr>
          <w:rFonts w:hAnsi="標楷體"/>
          <w:snapToGrid w:val="0"/>
          <w:color w:val="000000" w:themeColor="text1"/>
        </w:rPr>
        <w:t>5.38</w:t>
      </w:r>
      <w:r w:rsidRPr="007D10AC">
        <w:rPr>
          <w:rFonts w:hAnsi="標楷體" w:hint="eastAsia"/>
          <w:snapToGrid w:val="0"/>
          <w:color w:val="000000" w:themeColor="text1"/>
        </w:rPr>
        <w:t>％，其中合憲71則、合憲非難</w:t>
      </w:r>
      <w:r w:rsidRPr="007D10AC">
        <w:rPr>
          <w:rFonts w:hAnsi="標楷體"/>
          <w:snapToGrid w:val="0"/>
          <w:color w:val="000000" w:themeColor="text1"/>
          <w:vertAlign w:val="superscript"/>
        </w:rPr>
        <w:footnoteReference w:id="6"/>
      </w:r>
      <w:r w:rsidRPr="007D10AC">
        <w:rPr>
          <w:rFonts w:hAnsi="標楷體" w:hint="eastAsia"/>
          <w:snapToGrid w:val="0"/>
          <w:color w:val="000000" w:themeColor="text1"/>
        </w:rPr>
        <w:t>9則、部分合憲及部分違憲6則及違憲3</w:t>
      </w:r>
      <w:r w:rsidRPr="007D10AC">
        <w:rPr>
          <w:rFonts w:hAnsi="標楷體"/>
          <w:snapToGrid w:val="0"/>
          <w:color w:val="000000" w:themeColor="text1"/>
        </w:rPr>
        <w:t>9</w:t>
      </w:r>
      <w:r w:rsidRPr="007D10AC">
        <w:rPr>
          <w:rFonts w:hAnsi="標楷體" w:hint="eastAsia"/>
          <w:snapToGrid w:val="0"/>
          <w:color w:val="000000" w:themeColor="text1"/>
        </w:rPr>
        <w:t>則。經統計近年來司法院大法官解釋（</w:t>
      </w:r>
      <w:r w:rsidR="00D47582" w:rsidRPr="007D10AC">
        <w:rPr>
          <w:rFonts w:hAnsi="標楷體" w:hint="eastAsia"/>
          <w:snapToGrid w:val="0"/>
          <w:color w:val="000000" w:themeColor="text1"/>
        </w:rPr>
        <w:t>94年07月22日公布</w:t>
      </w:r>
      <w:r w:rsidRPr="007D10AC">
        <w:rPr>
          <w:rFonts w:hAnsi="標楷體" w:hint="eastAsia"/>
          <w:snapToGrid w:val="0"/>
          <w:color w:val="000000" w:themeColor="text1"/>
        </w:rPr>
        <w:t>600</w:t>
      </w:r>
      <w:r w:rsidR="00D47582" w:rsidRPr="007D10AC">
        <w:rPr>
          <w:rFonts w:hAnsi="標楷體" w:hint="eastAsia"/>
          <w:snapToGrid w:val="0"/>
          <w:color w:val="000000" w:themeColor="text1"/>
        </w:rPr>
        <w:t>號</w:t>
      </w:r>
      <w:r w:rsidRPr="007D10AC">
        <w:rPr>
          <w:rFonts w:hAnsi="標楷體" w:hint="eastAsia"/>
          <w:snapToGrid w:val="0"/>
          <w:color w:val="000000" w:themeColor="text1"/>
        </w:rPr>
        <w:t>~</w:t>
      </w:r>
      <w:r w:rsidRPr="007D10AC">
        <w:rPr>
          <w:rFonts w:hAnsi="標楷體"/>
          <w:snapToGrid w:val="0"/>
          <w:color w:val="000000" w:themeColor="text1"/>
        </w:rPr>
        <w:t>813</w:t>
      </w:r>
      <w:r w:rsidRPr="007D10AC">
        <w:rPr>
          <w:rFonts w:hAnsi="標楷體" w:hint="eastAsia"/>
          <w:snapToGrid w:val="0"/>
          <w:color w:val="000000" w:themeColor="text1"/>
        </w:rPr>
        <w:t>號），其中有關租稅之事件計</w:t>
      </w:r>
      <w:r w:rsidRPr="007D10AC">
        <w:rPr>
          <w:rFonts w:hAnsi="標楷體"/>
          <w:snapToGrid w:val="0"/>
          <w:color w:val="000000" w:themeColor="text1"/>
        </w:rPr>
        <w:t>44</w:t>
      </w:r>
      <w:r w:rsidRPr="007D10AC">
        <w:rPr>
          <w:rFonts w:hAnsi="標楷體" w:hint="eastAsia"/>
          <w:snapToGrid w:val="0"/>
          <w:color w:val="000000" w:themeColor="text1"/>
        </w:rPr>
        <w:t>件（詳表</w:t>
      </w:r>
      <w:r w:rsidRPr="007D10AC">
        <w:rPr>
          <w:rFonts w:hAnsi="標楷體"/>
          <w:snapToGrid w:val="0"/>
          <w:color w:val="000000" w:themeColor="text1"/>
        </w:rPr>
        <w:t>1</w:t>
      </w:r>
      <w:r w:rsidR="00273637" w:rsidRPr="007D10AC">
        <w:rPr>
          <w:rFonts w:hAnsi="標楷體"/>
          <w:snapToGrid w:val="0"/>
          <w:color w:val="000000" w:themeColor="text1"/>
        </w:rPr>
        <w:t>3</w:t>
      </w:r>
      <w:r w:rsidRPr="007D10AC">
        <w:rPr>
          <w:rFonts w:hAnsi="標楷體" w:hint="eastAsia"/>
          <w:snapToGrid w:val="0"/>
          <w:color w:val="000000" w:themeColor="text1"/>
        </w:rPr>
        <w:t>），占</w:t>
      </w:r>
      <w:r w:rsidRPr="007D10AC">
        <w:rPr>
          <w:rFonts w:hAnsi="標楷體"/>
          <w:snapToGrid w:val="0"/>
          <w:color w:val="000000" w:themeColor="text1"/>
        </w:rPr>
        <w:t>20</w:t>
      </w:r>
      <w:r w:rsidRPr="007D10AC">
        <w:rPr>
          <w:rFonts w:hAnsi="標楷體" w:hint="eastAsia"/>
          <w:snapToGrid w:val="0"/>
          <w:color w:val="000000" w:themeColor="text1"/>
        </w:rPr>
        <w:t>.5</w:t>
      </w:r>
      <w:r w:rsidRPr="007D10AC">
        <w:rPr>
          <w:rFonts w:hAnsi="標楷體"/>
          <w:snapToGrid w:val="0"/>
          <w:color w:val="000000" w:themeColor="text1"/>
        </w:rPr>
        <w:t>6</w:t>
      </w:r>
      <w:r w:rsidRPr="007D10AC">
        <w:rPr>
          <w:rFonts w:hAnsi="標楷體" w:hint="eastAsia"/>
          <w:snapToGrid w:val="0"/>
          <w:color w:val="000000" w:themeColor="text1"/>
        </w:rPr>
        <w:t>％；上開</w:t>
      </w:r>
      <w:r w:rsidRPr="007D10AC">
        <w:rPr>
          <w:rFonts w:hAnsi="標楷體"/>
          <w:snapToGrid w:val="0"/>
          <w:color w:val="000000" w:themeColor="text1"/>
        </w:rPr>
        <w:t>44</w:t>
      </w:r>
      <w:r w:rsidRPr="007D10AC">
        <w:rPr>
          <w:rFonts w:hAnsi="標楷體" w:hint="eastAsia"/>
          <w:snapToGrid w:val="0"/>
          <w:color w:val="000000" w:themeColor="text1"/>
        </w:rPr>
        <w:t>件經司法院</w:t>
      </w:r>
      <w:r w:rsidRPr="007D10AC">
        <w:rPr>
          <w:rFonts w:hAnsi="標楷體"/>
          <w:snapToGrid w:val="0"/>
          <w:color w:val="000000" w:themeColor="text1"/>
        </w:rPr>
        <w:t>大法官解釋宣告</w:t>
      </w:r>
      <w:proofErr w:type="gramStart"/>
      <w:r w:rsidR="003D771C" w:rsidRPr="007D10AC">
        <w:rPr>
          <w:rFonts w:hAnsi="標楷體" w:hint="eastAsia"/>
          <w:snapToGrid w:val="0"/>
          <w:color w:val="000000" w:themeColor="text1"/>
        </w:rPr>
        <w:t>合憲計1</w:t>
      </w:r>
      <w:r w:rsidR="003D771C" w:rsidRPr="007D10AC">
        <w:rPr>
          <w:rFonts w:hAnsi="標楷體"/>
          <w:snapToGrid w:val="0"/>
          <w:color w:val="000000" w:themeColor="text1"/>
        </w:rPr>
        <w:t>4</w:t>
      </w:r>
      <w:r w:rsidR="003D771C" w:rsidRPr="007D10AC">
        <w:rPr>
          <w:rFonts w:hAnsi="標楷體" w:hint="eastAsia"/>
          <w:snapToGrid w:val="0"/>
          <w:color w:val="000000" w:themeColor="text1"/>
        </w:rPr>
        <w:t>件</w:t>
      </w:r>
      <w:proofErr w:type="gramEnd"/>
      <w:r w:rsidR="00FE6A01" w:rsidRPr="007D10AC">
        <w:rPr>
          <w:rFonts w:hAnsi="標楷體" w:hint="eastAsia"/>
          <w:snapToGrid w:val="0"/>
          <w:color w:val="000000" w:themeColor="text1"/>
        </w:rPr>
        <w:t>占3</w:t>
      </w:r>
      <w:r w:rsidR="00FE6A01" w:rsidRPr="007D10AC">
        <w:rPr>
          <w:rFonts w:hAnsi="標楷體"/>
          <w:snapToGrid w:val="0"/>
          <w:color w:val="000000" w:themeColor="text1"/>
        </w:rPr>
        <w:t>1.82</w:t>
      </w:r>
      <w:r w:rsidR="00FE6A01" w:rsidRPr="007D10AC">
        <w:rPr>
          <w:rFonts w:hAnsi="標楷體" w:hint="eastAsia"/>
          <w:snapToGrid w:val="0"/>
          <w:color w:val="000000" w:themeColor="text1"/>
        </w:rPr>
        <w:t>％</w:t>
      </w:r>
      <w:r w:rsidR="003D771C" w:rsidRPr="007D10AC">
        <w:rPr>
          <w:rFonts w:hAnsi="標楷體" w:hint="eastAsia"/>
          <w:snapToGrid w:val="0"/>
          <w:color w:val="000000" w:themeColor="text1"/>
        </w:rPr>
        <w:t>，</w:t>
      </w:r>
      <w:r w:rsidR="003D771C" w:rsidRPr="007D10AC">
        <w:rPr>
          <w:rFonts w:hAnsi="標楷體"/>
          <w:snapToGrid w:val="0"/>
          <w:color w:val="000000" w:themeColor="text1"/>
        </w:rPr>
        <w:t>合憲非難</w:t>
      </w:r>
      <w:r w:rsidR="003D771C" w:rsidRPr="007D10AC">
        <w:rPr>
          <w:rFonts w:hAnsi="標楷體" w:hint="eastAsia"/>
          <w:snapToGrid w:val="0"/>
          <w:color w:val="000000" w:themeColor="text1"/>
        </w:rPr>
        <w:t>計2件</w:t>
      </w:r>
      <w:r w:rsidR="00FE6A01" w:rsidRPr="007D10AC">
        <w:rPr>
          <w:rFonts w:hAnsi="標楷體" w:hint="eastAsia"/>
          <w:snapToGrid w:val="0"/>
          <w:color w:val="000000" w:themeColor="text1"/>
        </w:rPr>
        <w:t>占4</w:t>
      </w:r>
      <w:r w:rsidR="00FE6A01" w:rsidRPr="007D10AC">
        <w:rPr>
          <w:rFonts w:hAnsi="標楷體"/>
          <w:snapToGrid w:val="0"/>
          <w:color w:val="000000" w:themeColor="text1"/>
        </w:rPr>
        <w:t>.55</w:t>
      </w:r>
      <w:r w:rsidR="00FE6A01" w:rsidRPr="007D10AC">
        <w:rPr>
          <w:rFonts w:hAnsi="標楷體" w:hint="eastAsia"/>
          <w:snapToGrid w:val="0"/>
          <w:color w:val="000000" w:themeColor="text1"/>
        </w:rPr>
        <w:t>％</w:t>
      </w:r>
      <w:r w:rsidR="003D771C" w:rsidRPr="007D10AC">
        <w:rPr>
          <w:rFonts w:hAnsi="標楷體" w:hint="eastAsia"/>
          <w:snapToGrid w:val="0"/>
          <w:color w:val="000000" w:themeColor="text1"/>
        </w:rPr>
        <w:t>，部分合憲</w:t>
      </w:r>
      <w:r w:rsidRPr="007D10AC">
        <w:rPr>
          <w:rFonts w:hAnsi="標楷體" w:hint="eastAsia"/>
          <w:snapToGrid w:val="0"/>
          <w:color w:val="000000" w:themeColor="text1"/>
        </w:rPr>
        <w:t>部分</w:t>
      </w:r>
      <w:proofErr w:type="gramStart"/>
      <w:r w:rsidRPr="007D10AC">
        <w:rPr>
          <w:rFonts w:hAnsi="標楷體" w:hint="eastAsia"/>
          <w:snapToGrid w:val="0"/>
          <w:color w:val="000000" w:themeColor="text1"/>
        </w:rPr>
        <w:t>違憲</w:t>
      </w:r>
      <w:r w:rsidR="003D771C" w:rsidRPr="007D10AC">
        <w:rPr>
          <w:rFonts w:hAnsi="標楷體" w:hint="eastAsia"/>
          <w:snapToGrid w:val="0"/>
          <w:color w:val="000000" w:themeColor="text1"/>
        </w:rPr>
        <w:t>計5</w:t>
      </w:r>
      <w:proofErr w:type="gramEnd"/>
      <w:r w:rsidR="003D771C" w:rsidRPr="007D10AC">
        <w:rPr>
          <w:rFonts w:hAnsi="標楷體" w:hint="eastAsia"/>
          <w:snapToGrid w:val="0"/>
          <w:color w:val="000000" w:themeColor="text1"/>
        </w:rPr>
        <w:t>件</w:t>
      </w:r>
      <w:r w:rsidR="00FE6A01" w:rsidRPr="007D10AC">
        <w:rPr>
          <w:rFonts w:hAnsi="標楷體" w:hint="eastAsia"/>
          <w:snapToGrid w:val="0"/>
          <w:color w:val="000000" w:themeColor="text1"/>
        </w:rPr>
        <w:t>占1</w:t>
      </w:r>
      <w:r w:rsidR="00FE6A01" w:rsidRPr="007D10AC">
        <w:rPr>
          <w:rFonts w:hAnsi="標楷體"/>
          <w:snapToGrid w:val="0"/>
          <w:color w:val="000000" w:themeColor="text1"/>
        </w:rPr>
        <w:t>1.36</w:t>
      </w:r>
      <w:r w:rsidR="00FE6A01" w:rsidRPr="007D10AC">
        <w:rPr>
          <w:rFonts w:hAnsi="標楷體" w:hint="eastAsia"/>
          <w:snapToGrid w:val="0"/>
          <w:color w:val="000000" w:themeColor="text1"/>
        </w:rPr>
        <w:t>％</w:t>
      </w:r>
      <w:r w:rsidR="003D771C" w:rsidRPr="007D10AC">
        <w:rPr>
          <w:rFonts w:hAnsi="標楷體" w:hint="eastAsia"/>
          <w:snapToGrid w:val="0"/>
          <w:color w:val="000000" w:themeColor="text1"/>
        </w:rPr>
        <w:t>，</w:t>
      </w:r>
      <w:proofErr w:type="gramStart"/>
      <w:r w:rsidR="003D771C" w:rsidRPr="007D10AC">
        <w:rPr>
          <w:rFonts w:hAnsi="標楷體" w:hint="eastAsia"/>
          <w:snapToGrid w:val="0"/>
          <w:color w:val="000000" w:themeColor="text1"/>
        </w:rPr>
        <w:t>違憲計</w:t>
      </w:r>
      <w:r w:rsidR="00FE6A01" w:rsidRPr="007D10AC">
        <w:rPr>
          <w:rFonts w:hAnsi="標楷體"/>
          <w:snapToGrid w:val="0"/>
          <w:color w:val="000000" w:themeColor="text1"/>
        </w:rPr>
        <w:t>23</w:t>
      </w:r>
      <w:proofErr w:type="gramEnd"/>
      <w:r w:rsidRPr="007D10AC">
        <w:rPr>
          <w:rFonts w:hAnsi="標楷體" w:hint="eastAsia"/>
          <w:snapToGrid w:val="0"/>
          <w:color w:val="000000" w:themeColor="text1"/>
        </w:rPr>
        <w:t>件</w:t>
      </w:r>
      <w:r w:rsidR="00FE6A01" w:rsidRPr="007D10AC">
        <w:rPr>
          <w:rFonts w:hAnsi="標楷體" w:hint="eastAsia"/>
          <w:snapToGrid w:val="0"/>
          <w:color w:val="000000" w:themeColor="text1"/>
        </w:rPr>
        <w:t>占5</w:t>
      </w:r>
      <w:r w:rsidR="00FE6A01" w:rsidRPr="007D10AC">
        <w:rPr>
          <w:rFonts w:hAnsi="標楷體"/>
          <w:snapToGrid w:val="0"/>
          <w:color w:val="000000" w:themeColor="text1"/>
        </w:rPr>
        <w:t>2.27</w:t>
      </w:r>
      <w:r w:rsidR="00FE6A01" w:rsidRPr="007D10AC">
        <w:rPr>
          <w:rFonts w:hAnsi="標楷體" w:hint="eastAsia"/>
          <w:snapToGrid w:val="0"/>
          <w:color w:val="000000" w:themeColor="text1"/>
        </w:rPr>
        <w:t>％</w:t>
      </w:r>
      <w:r w:rsidRPr="007D10AC">
        <w:rPr>
          <w:rFonts w:hAnsi="標楷體" w:hint="eastAsia"/>
          <w:snapToGrid w:val="0"/>
          <w:color w:val="000000" w:themeColor="text1"/>
        </w:rPr>
        <w:t>，顯示</w:t>
      </w:r>
      <w:r w:rsidR="00FE6A01" w:rsidRPr="007D10AC">
        <w:rPr>
          <w:rFonts w:hAnsi="標楷體" w:hint="eastAsia"/>
          <w:snapToGrid w:val="0"/>
          <w:color w:val="000000" w:themeColor="text1"/>
        </w:rPr>
        <w:t>大</w:t>
      </w:r>
      <w:r w:rsidRPr="007D10AC">
        <w:rPr>
          <w:rFonts w:hAnsi="標楷體" w:hint="eastAsia"/>
          <w:snapToGrid w:val="0"/>
          <w:color w:val="000000" w:themeColor="text1"/>
        </w:rPr>
        <w:t>部分租稅法（釋）令存在諸多問題，致使司法院大法官傾向宣告違憲或不當。</w:t>
      </w:r>
      <w:bookmarkEnd w:id="78"/>
      <w:r w:rsidRPr="007D10AC">
        <w:rPr>
          <w:rFonts w:hAnsi="標楷體" w:hint="eastAsia"/>
          <w:snapToGrid w:val="0"/>
          <w:color w:val="000000" w:themeColor="text1"/>
        </w:rPr>
        <w:t>司法院大法官稅務釋憲對象主要集中於稅務解釋函令現象，與行政法院法官決定個案是否援用稅務解釋函令時，其判決說理多寬泛認定財政部基於職權規範細節、技術事項而認可</w:t>
      </w:r>
      <w:proofErr w:type="gramStart"/>
      <w:r w:rsidRPr="007D10AC">
        <w:rPr>
          <w:rFonts w:hAnsi="標楷體" w:hint="eastAsia"/>
          <w:snapToGrid w:val="0"/>
          <w:color w:val="000000" w:themeColor="text1"/>
        </w:rPr>
        <w:t>稽</w:t>
      </w:r>
      <w:proofErr w:type="gramEnd"/>
      <w:r w:rsidRPr="007D10AC">
        <w:rPr>
          <w:rFonts w:hAnsi="標楷體" w:hint="eastAsia"/>
          <w:snapToGrid w:val="0"/>
          <w:color w:val="000000" w:themeColor="text1"/>
        </w:rPr>
        <w:t>徵機關，未能細緻地從納稅人權保障角度說服當事人，亦未進一步強化稅務解釋函令擁有接近稅法實質規範效力，致納稅義務人若認為解釋函令有違憲、違法疑義之處，必須訴諸「最高憲法權威」，此現象弱化稅務司</w:t>
      </w:r>
      <w:r w:rsidRPr="007D10AC">
        <w:rPr>
          <w:rFonts w:hAnsi="標楷體" w:hint="eastAsia"/>
          <w:snapToGrid w:val="0"/>
          <w:color w:val="000000" w:themeColor="text1"/>
        </w:rPr>
        <w:lastRenderedPageBreak/>
        <w:t>法之權利保護功效</w:t>
      </w:r>
      <w:r w:rsidRPr="007D10AC">
        <w:rPr>
          <w:rStyle w:val="aff6"/>
          <w:rFonts w:hAnsi="標楷體"/>
          <w:color w:val="000000" w:themeColor="text1"/>
          <w:kern w:val="0"/>
        </w:rPr>
        <w:footnoteReference w:id="7"/>
      </w:r>
      <w:r w:rsidRPr="007D10AC">
        <w:rPr>
          <w:rFonts w:hAnsi="標楷體" w:hint="eastAsia"/>
          <w:snapToGrid w:val="0"/>
          <w:color w:val="000000" w:themeColor="text1"/>
        </w:rPr>
        <w:t>。</w:t>
      </w:r>
    </w:p>
    <w:p w:rsidR="001F062F" w:rsidRPr="007D10AC" w:rsidRDefault="001F062F" w:rsidP="009E2352">
      <w:pPr>
        <w:pStyle w:val="3"/>
        <w:spacing w:line="480" w:lineRule="exact"/>
        <w:rPr>
          <w:rFonts w:hAnsi="標楷體"/>
          <w:color w:val="000000" w:themeColor="text1"/>
        </w:rPr>
      </w:pPr>
      <w:r w:rsidRPr="007D10AC">
        <w:rPr>
          <w:rFonts w:hAnsi="標楷體" w:hint="eastAsia"/>
          <w:color w:val="000000" w:themeColor="text1"/>
        </w:rPr>
        <w:t>依據司法院大法官解釋理由書，大法官解釋多以違反「租稅法律原則」、「比例原則」、「稅捐平等原則」或「不符保障人民權利」之理由宣告違憲</w:t>
      </w:r>
      <w:r w:rsidRPr="007D10AC">
        <w:rPr>
          <w:rFonts w:hAnsi="標楷體" w:hint="eastAsia"/>
          <w:snapToGrid w:val="0"/>
          <w:color w:val="000000" w:themeColor="text1"/>
        </w:rPr>
        <w:t>或不當</w:t>
      </w:r>
      <w:r w:rsidRPr="007D10AC">
        <w:rPr>
          <w:rFonts w:hAnsi="標楷體" w:hint="eastAsia"/>
          <w:color w:val="000000" w:themeColor="text1"/>
        </w:rPr>
        <w:t>，茲列舉如下：</w:t>
      </w:r>
    </w:p>
    <w:p w:rsidR="001F062F" w:rsidRPr="007D10AC" w:rsidRDefault="001F062F" w:rsidP="009E2352">
      <w:pPr>
        <w:pStyle w:val="4"/>
        <w:spacing w:line="480" w:lineRule="exact"/>
        <w:rPr>
          <w:rFonts w:hAnsi="標楷體"/>
          <w:color w:val="000000" w:themeColor="text1"/>
          <w:kern w:val="0"/>
          <w:szCs w:val="28"/>
        </w:rPr>
      </w:pPr>
      <w:r w:rsidRPr="007D10AC">
        <w:rPr>
          <w:rFonts w:hAnsi="標楷體" w:hint="eastAsia"/>
          <w:color w:val="000000" w:themeColor="text1"/>
          <w:kern w:val="0"/>
          <w:szCs w:val="28"/>
        </w:rPr>
        <w:t>違反租稅法律原則：</w:t>
      </w:r>
      <w:r w:rsidRPr="007D10AC">
        <w:rPr>
          <w:rFonts w:hAnsi="標楷體" w:hint="eastAsia"/>
          <w:snapToGrid w:val="0"/>
          <w:color w:val="000000" w:themeColor="text1"/>
        </w:rPr>
        <w:t>釋字第619號</w:t>
      </w:r>
      <w:r w:rsidRPr="007D10AC">
        <w:rPr>
          <w:rFonts w:hAnsi="標楷體" w:hint="eastAsia"/>
          <w:color w:val="000000" w:themeColor="text1"/>
          <w:kern w:val="0"/>
          <w:szCs w:val="28"/>
        </w:rPr>
        <w:t>、</w:t>
      </w:r>
      <w:r w:rsidRPr="007D10AC">
        <w:rPr>
          <w:rFonts w:hAnsi="標楷體" w:hint="eastAsia"/>
          <w:snapToGrid w:val="0"/>
          <w:color w:val="000000" w:themeColor="text1"/>
        </w:rPr>
        <w:t>釋字第622號</w:t>
      </w:r>
      <w:r w:rsidRPr="007D10AC">
        <w:rPr>
          <w:rFonts w:hAnsi="標楷體" w:hint="eastAsia"/>
          <w:color w:val="000000" w:themeColor="text1"/>
          <w:kern w:val="0"/>
          <w:szCs w:val="28"/>
        </w:rPr>
        <w:t>、</w:t>
      </w:r>
      <w:r w:rsidRPr="007D10AC">
        <w:rPr>
          <w:rFonts w:hAnsi="標楷體" w:hint="eastAsia"/>
          <w:snapToGrid w:val="0"/>
          <w:color w:val="000000" w:themeColor="text1"/>
        </w:rPr>
        <w:t>釋字第640號</w:t>
      </w:r>
      <w:r w:rsidRPr="007D10AC">
        <w:rPr>
          <w:rFonts w:hAnsi="標楷體" w:hint="eastAsia"/>
          <w:color w:val="000000" w:themeColor="text1"/>
          <w:kern w:val="0"/>
          <w:szCs w:val="28"/>
        </w:rPr>
        <w:t>、</w:t>
      </w:r>
      <w:r w:rsidRPr="007D10AC">
        <w:rPr>
          <w:rFonts w:hAnsi="標楷體" w:hint="eastAsia"/>
          <w:snapToGrid w:val="0"/>
          <w:color w:val="000000" w:themeColor="text1"/>
        </w:rPr>
        <w:t>釋字第650號</w:t>
      </w:r>
      <w:r w:rsidRPr="007D10AC">
        <w:rPr>
          <w:rFonts w:hAnsi="標楷體" w:hint="eastAsia"/>
          <w:color w:val="000000" w:themeColor="text1"/>
          <w:kern w:val="0"/>
          <w:szCs w:val="28"/>
        </w:rPr>
        <w:t>、</w:t>
      </w:r>
      <w:r w:rsidRPr="007D10AC">
        <w:rPr>
          <w:rFonts w:hAnsi="標楷體" w:hint="eastAsia"/>
          <w:snapToGrid w:val="0"/>
          <w:color w:val="000000" w:themeColor="text1"/>
        </w:rPr>
        <w:t>釋字第657號</w:t>
      </w:r>
      <w:r w:rsidRPr="007D10AC">
        <w:rPr>
          <w:rFonts w:hAnsi="標楷體" w:hint="eastAsia"/>
          <w:color w:val="000000" w:themeColor="text1"/>
          <w:kern w:val="0"/>
          <w:szCs w:val="28"/>
        </w:rPr>
        <w:t>、</w:t>
      </w:r>
      <w:r w:rsidRPr="007D10AC">
        <w:rPr>
          <w:rFonts w:hAnsi="標楷體" w:hint="eastAsia"/>
          <w:snapToGrid w:val="0"/>
          <w:color w:val="000000" w:themeColor="text1"/>
        </w:rPr>
        <w:t>釋字第661號</w:t>
      </w:r>
      <w:r w:rsidRPr="007D10AC">
        <w:rPr>
          <w:rFonts w:hAnsi="標楷體" w:hint="eastAsia"/>
          <w:color w:val="000000" w:themeColor="text1"/>
          <w:kern w:val="0"/>
          <w:szCs w:val="28"/>
        </w:rPr>
        <w:t>、</w:t>
      </w:r>
      <w:r w:rsidRPr="007D10AC">
        <w:rPr>
          <w:rFonts w:hAnsi="標楷體" w:hint="eastAsia"/>
          <w:snapToGrid w:val="0"/>
          <w:color w:val="000000" w:themeColor="text1"/>
        </w:rPr>
        <w:t>釋字第674號</w:t>
      </w:r>
      <w:r w:rsidRPr="007D10AC">
        <w:rPr>
          <w:rFonts w:hAnsi="標楷體" w:hint="eastAsia"/>
          <w:color w:val="000000" w:themeColor="text1"/>
          <w:kern w:val="0"/>
          <w:szCs w:val="28"/>
        </w:rPr>
        <w:t>、</w:t>
      </w:r>
      <w:r w:rsidRPr="007D10AC">
        <w:rPr>
          <w:rFonts w:hAnsi="標楷體" w:cs="Arial"/>
          <w:snapToGrid w:val="0"/>
          <w:color w:val="000000" w:themeColor="text1"/>
        </w:rPr>
        <w:t>釋字</w:t>
      </w:r>
      <w:r w:rsidRPr="007D10AC">
        <w:rPr>
          <w:rFonts w:hAnsi="標楷體" w:cs="Arial" w:hint="eastAsia"/>
          <w:snapToGrid w:val="0"/>
          <w:color w:val="000000" w:themeColor="text1"/>
        </w:rPr>
        <w:t>第</w:t>
      </w:r>
      <w:r w:rsidRPr="007D10AC">
        <w:rPr>
          <w:rFonts w:hAnsi="標楷體" w:cs="Arial"/>
          <w:snapToGrid w:val="0"/>
          <w:color w:val="000000" w:themeColor="text1"/>
        </w:rPr>
        <w:t>692號</w:t>
      </w:r>
      <w:r w:rsidRPr="007D10AC">
        <w:rPr>
          <w:rFonts w:hAnsi="標楷體" w:hint="eastAsia"/>
          <w:color w:val="000000" w:themeColor="text1"/>
          <w:kern w:val="0"/>
          <w:szCs w:val="28"/>
        </w:rPr>
        <w:t>、</w:t>
      </w:r>
      <w:r w:rsidRPr="007D10AC">
        <w:rPr>
          <w:rFonts w:hAnsi="標楷體" w:cs="Arial"/>
          <w:snapToGrid w:val="0"/>
          <w:color w:val="000000" w:themeColor="text1"/>
        </w:rPr>
        <w:t>釋字第70</w:t>
      </w:r>
      <w:r w:rsidRPr="007D10AC">
        <w:rPr>
          <w:rFonts w:hAnsi="標楷體" w:cs="Arial" w:hint="eastAsia"/>
          <w:snapToGrid w:val="0"/>
          <w:color w:val="000000" w:themeColor="text1"/>
        </w:rPr>
        <w:t>3</w:t>
      </w:r>
      <w:r w:rsidRPr="007D10AC">
        <w:rPr>
          <w:rFonts w:hAnsi="標楷體" w:cs="Arial"/>
          <w:snapToGrid w:val="0"/>
          <w:color w:val="000000" w:themeColor="text1"/>
        </w:rPr>
        <w:t>號</w:t>
      </w:r>
      <w:r w:rsidRPr="007D10AC">
        <w:rPr>
          <w:rFonts w:hAnsi="標楷體" w:hint="eastAsia"/>
          <w:color w:val="000000" w:themeColor="text1"/>
          <w:kern w:val="0"/>
          <w:szCs w:val="28"/>
        </w:rPr>
        <w:t>、</w:t>
      </w:r>
      <w:r w:rsidRPr="007D10AC">
        <w:rPr>
          <w:rFonts w:hAnsi="標楷體" w:cs="Arial"/>
          <w:snapToGrid w:val="0"/>
          <w:color w:val="000000" w:themeColor="text1"/>
        </w:rPr>
        <w:t>釋字第705號</w:t>
      </w:r>
      <w:r w:rsidRPr="007D10AC">
        <w:rPr>
          <w:rFonts w:hAnsi="標楷體" w:hint="eastAsia"/>
          <w:color w:val="000000" w:themeColor="text1"/>
          <w:kern w:val="0"/>
          <w:szCs w:val="28"/>
        </w:rPr>
        <w:t>、</w:t>
      </w:r>
      <w:r w:rsidRPr="007D10AC">
        <w:rPr>
          <w:rFonts w:hAnsi="標楷體" w:cs="Arial"/>
          <w:snapToGrid w:val="0"/>
          <w:color w:val="000000" w:themeColor="text1"/>
        </w:rPr>
        <w:t>釋字第706號</w:t>
      </w:r>
      <w:r w:rsidRPr="007D10AC">
        <w:rPr>
          <w:rFonts w:hAnsi="標楷體" w:cs="Arial" w:hint="eastAsia"/>
          <w:snapToGrid w:val="0"/>
          <w:color w:val="000000" w:themeColor="text1"/>
        </w:rPr>
        <w:t>。</w:t>
      </w:r>
    </w:p>
    <w:p w:rsidR="001F062F" w:rsidRPr="007D10AC" w:rsidRDefault="001F062F" w:rsidP="009E2352">
      <w:pPr>
        <w:pStyle w:val="4"/>
        <w:spacing w:line="480" w:lineRule="exact"/>
        <w:rPr>
          <w:rFonts w:hAnsi="標楷體"/>
          <w:color w:val="000000" w:themeColor="text1"/>
          <w:kern w:val="0"/>
          <w:szCs w:val="28"/>
        </w:rPr>
      </w:pPr>
      <w:r w:rsidRPr="007D10AC">
        <w:rPr>
          <w:rFonts w:hAnsi="標楷體" w:hint="eastAsia"/>
          <w:color w:val="000000" w:themeColor="text1"/>
          <w:kern w:val="0"/>
          <w:szCs w:val="28"/>
        </w:rPr>
        <w:t>違反比例原則：釋字第616號、釋字第641號、</w:t>
      </w:r>
      <w:r w:rsidRPr="007D10AC">
        <w:rPr>
          <w:rFonts w:hAnsi="標楷體"/>
          <w:color w:val="000000" w:themeColor="text1"/>
          <w:kern w:val="0"/>
          <w:szCs w:val="28"/>
        </w:rPr>
        <w:t>釋字第713號</w:t>
      </w:r>
      <w:r w:rsidRPr="007D10AC">
        <w:rPr>
          <w:rFonts w:hAnsi="標楷體" w:hint="eastAsia"/>
          <w:color w:val="000000" w:themeColor="text1"/>
          <w:kern w:val="0"/>
          <w:szCs w:val="28"/>
        </w:rPr>
        <w:t>、</w:t>
      </w:r>
      <w:r w:rsidRPr="007D10AC">
        <w:rPr>
          <w:rFonts w:hAnsi="標楷體" w:cs="Arial"/>
          <w:snapToGrid w:val="0"/>
          <w:color w:val="000000" w:themeColor="text1"/>
        </w:rPr>
        <w:t>釋字第746號</w:t>
      </w:r>
      <w:r w:rsidRPr="007D10AC">
        <w:rPr>
          <w:rFonts w:hAnsi="標楷體" w:hint="eastAsia"/>
          <w:color w:val="000000" w:themeColor="text1"/>
          <w:kern w:val="0"/>
          <w:szCs w:val="28"/>
        </w:rPr>
        <w:t>、</w:t>
      </w:r>
      <w:r w:rsidRPr="007D10AC">
        <w:rPr>
          <w:rFonts w:hAnsi="標楷體" w:cs="Arial"/>
          <w:snapToGrid w:val="0"/>
          <w:color w:val="000000" w:themeColor="text1"/>
        </w:rPr>
        <w:t>釋字第754號</w:t>
      </w:r>
      <w:r w:rsidRPr="007D10AC">
        <w:rPr>
          <w:rFonts w:hAnsi="標楷體" w:cs="Arial" w:hint="eastAsia"/>
          <w:snapToGrid w:val="0"/>
          <w:color w:val="000000" w:themeColor="text1"/>
        </w:rPr>
        <w:t>。</w:t>
      </w:r>
    </w:p>
    <w:p w:rsidR="001F062F" w:rsidRPr="007D10AC" w:rsidRDefault="001F062F" w:rsidP="009E2352">
      <w:pPr>
        <w:pStyle w:val="4"/>
        <w:spacing w:line="480" w:lineRule="exact"/>
        <w:rPr>
          <w:rFonts w:hAnsi="標楷體"/>
          <w:color w:val="000000" w:themeColor="text1"/>
          <w:kern w:val="0"/>
          <w:szCs w:val="28"/>
        </w:rPr>
      </w:pPr>
      <w:r w:rsidRPr="007D10AC">
        <w:rPr>
          <w:rFonts w:hAnsi="標楷體" w:hint="eastAsia"/>
          <w:color w:val="000000" w:themeColor="text1"/>
          <w:kern w:val="0"/>
          <w:szCs w:val="28"/>
        </w:rPr>
        <w:t>違反平等原則：</w:t>
      </w:r>
      <w:r w:rsidRPr="007D10AC">
        <w:rPr>
          <w:rFonts w:hAnsi="標楷體" w:hint="eastAsia"/>
          <w:snapToGrid w:val="0"/>
          <w:color w:val="000000" w:themeColor="text1"/>
        </w:rPr>
        <w:t>釋字第625號</w:t>
      </w:r>
      <w:r w:rsidRPr="007D10AC">
        <w:rPr>
          <w:rFonts w:hAnsi="標楷體" w:hint="eastAsia"/>
          <w:color w:val="000000" w:themeColor="text1"/>
          <w:kern w:val="0"/>
          <w:szCs w:val="28"/>
        </w:rPr>
        <w:t>、</w:t>
      </w:r>
      <w:r w:rsidRPr="007D10AC">
        <w:rPr>
          <w:rFonts w:hAnsi="標楷體" w:cs="Arial" w:hint="eastAsia"/>
          <w:snapToGrid w:val="0"/>
          <w:color w:val="000000" w:themeColor="text1"/>
        </w:rPr>
        <w:t>釋字第687號</w:t>
      </w:r>
      <w:r w:rsidRPr="007D10AC">
        <w:rPr>
          <w:rFonts w:hAnsi="標楷體" w:hint="eastAsia"/>
          <w:color w:val="000000" w:themeColor="text1"/>
          <w:kern w:val="0"/>
          <w:szCs w:val="28"/>
        </w:rPr>
        <w:t>、</w:t>
      </w:r>
      <w:r w:rsidRPr="007D10AC">
        <w:rPr>
          <w:rFonts w:hAnsi="標楷體" w:cs="Arial"/>
          <w:snapToGrid w:val="0"/>
          <w:color w:val="000000" w:themeColor="text1"/>
        </w:rPr>
        <w:t>釋字第69</w:t>
      </w:r>
      <w:r w:rsidRPr="007D10AC">
        <w:rPr>
          <w:rFonts w:hAnsi="標楷體" w:cs="Arial" w:hint="eastAsia"/>
          <w:snapToGrid w:val="0"/>
          <w:color w:val="000000" w:themeColor="text1"/>
        </w:rPr>
        <w:t>4</w:t>
      </w:r>
      <w:r w:rsidRPr="007D10AC">
        <w:rPr>
          <w:rFonts w:hAnsi="標楷體" w:cs="Arial"/>
          <w:snapToGrid w:val="0"/>
          <w:color w:val="000000" w:themeColor="text1"/>
        </w:rPr>
        <w:t>號</w:t>
      </w:r>
      <w:r w:rsidRPr="007D10AC">
        <w:rPr>
          <w:rFonts w:hAnsi="標楷體" w:hint="eastAsia"/>
          <w:color w:val="000000" w:themeColor="text1"/>
          <w:kern w:val="0"/>
          <w:szCs w:val="28"/>
        </w:rPr>
        <w:t>、</w:t>
      </w:r>
      <w:r w:rsidRPr="007D10AC">
        <w:rPr>
          <w:rFonts w:hAnsi="標楷體" w:cs="Arial"/>
          <w:snapToGrid w:val="0"/>
          <w:color w:val="000000" w:themeColor="text1"/>
        </w:rPr>
        <w:t>釋字</w:t>
      </w:r>
      <w:r w:rsidRPr="007D10AC">
        <w:rPr>
          <w:rFonts w:hAnsi="標楷體" w:cs="Arial" w:hint="eastAsia"/>
          <w:snapToGrid w:val="0"/>
          <w:color w:val="000000" w:themeColor="text1"/>
        </w:rPr>
        <w:t>第</w:t>
      </w:r>
      <w:r w:rsidRPr="007D10AC">
        <w:rPr>
          <w:rFonts w:hAnsi="標楷體" w:cs="Arial"/>
          <w:snapToGrid w:val="0"/>
          <w:color w:val="000000" w:themeColor="text1"/>
        </w:rPr>
        <w:t>69</w:t>
      </w:r>
      <w:r w:rsidRPr="007D10AC">
        <w:rPr>
          <w:rFonts w:hAnsi="標楷體" w:cs="Arial" w:hint="eastAsia"/>
          <w:snapToGrid w:val="0"/>
          <w:color w:val="000000" w:themeColor="text1"/>
        </w:rPr>
        <w:t>6</w:t>
      </w:r>
      <w:r w:rsidRPr="007D10AC">
        <w:rPr>
          <w:rFonts w:hAnsi="標楷體" w:cs="Arial"/>
          <w:snapToGrid w:val="0"/>
          <w:color w:val="000000" w:themeColor="text1"/>
        </w:rPr>
        <w:t>號</w:t>
      </w:r>
      <w:r w:rsidRPr="007D10AC">
        <w:rPr>
          <w:rFonts w:hAnsi="標楷體" w:hint="eastAsia"/>
          <w:color w:val="000000" w:themeColor="text1"/>
          <w:kern w:val="0"/>
          <w:szCs w:val="28"/>
        </w:rPr>
        <w:t>、</w:t>
      </w:r>
      <w:r w:rsidRPr="007D10AC">
        <w:rPr>
          <w:rFonts w:hAnsi="標楷體" w:cs="Arial"/>
          <w:snapToGrid w:val="0"/>
          <w:color w:val="000000" w:themeColor="text1"/>
        </w:rPr>
        <w:t>釋字第701號</w:t>
      </w:r>
      <w:r w:rsidRPr="007D10AC">
        <w:rPr>
          <w:rFonts w:hAnsi="標楷體" w:hint="eastAsia"/>
          <w:color w:val="000000" w:themeColor="text1"/>
          <w:kern w:val="0"/>
          <w:szCs w:val="28"/>
        </w:rPr>
        <w:t>、</w:t>
      </w:r>
      <w:r w:rsidRPr="007D10AC">
        <w:rPr>
          <w:rFonts w:hAnsi="標楷體" w:cs="Arial"/>
          <w:snapToGrid w:val="0"/>
          <w:color w:val="000000" w:themeColor="text1"/>
        </w:rPr>
        <w:t>釋字第745號</w:t>
      </w:r>
      <w:r w:rsidRPr="007D10AC">
        <w:rPr>
          <w:rFonts w:hAnsi="標楷體" w:cs="Arial" w:hint="eastAsia"/>
          <w:snapToGrid w:val="0"/>
          <w:color w:val="000000" w:themeColor="text1"/>
        </w:rPr>
        <w:t>、</w:t>
      </w:r>
      <w:proofErr w:type="gramStart"/>
      <w:r w:rsidRPr="007D10AC">
        <w:rPr>
          <w:rFonts w:hAnsi="標楷體" w:cs="Arial" w:hint="eastAsia"/>
          <w:snapToGrid w:val="0"/>
          <w:color w:val="000000" w:themeColor="text1"/>
        </w:rPr>
        <w:t>釋用第7</w:t>
      </w:r>
      <w:r w:rsidRPr="007D10AC">
        <w:rPr>
          <w:rFonts w:hAnsi="標楷體" w:cs="Arial"/>
          <w:snapToGrid w:val="0"/>
          <w:color w:val="000000" w:themeColor="text1"/>
        </w:rPr>
        <w:t>79</w:t>
      </w:r>
      <w:r w:rsidRPr="007D10AC">
        <w:rPr>
          <w:rFonts w:hAnsi="標楷體" w:cs="Arial" w:hint="eastAsia"/>
          <w:snapToGrid w:val="0"/>
          <w:color w:val="000000" w:themeColor="text1"/>
        </w:rPr>
        <w:t>號</w:t>
      </w:r>
      <w:proofErr w:type="gramEnd"/>
      <w:r w:rsidRPr="007D10AC">
        <w:rPr>
          <w:rFonts w:hAnsi="標楷體" w:cs="Arial" w:hint="eastAsia"/>
          <w:snapToGrid w:val="0"/>
          <w:color w:val="000000" w:themeColor="text1"/>
        </w:rPr>
        <w:t>。</w:t>
      </w:r>
    </w:p>
    <w:p w:rsidR="001F062F" w:rsidRPr="007D10AC" w:rsidRDefault="001F062F" w:rsidP="009E2352">
      <w:pPr>
        <w:pStyle w:val="4"/>
        <w:spacing w:line="480" w:lineRule="exact"/>
        <w:rPr>
          <w:rFonts w:hAnsi="標楷體"/>
          <w:color w:val="000000" w:themeColor="text1"/>
          <w:kern w:val="0"/>
          <w:szCs w:val="28"/>
        </w:rPr>
      </w:pPr>
      <w:r w:rsidRPr="007D10AC">
        <w:rPr>
          <w:rFonts w:hAnsi="標楷體" w:hint="eastAsia"/>
          <w:color w:val="000000" w:themeColor="text1"/>
          <w:kern w:val="0"/>
          <w:szCs w:val="28"/>
        </w:rPr>
        <w:t>不符保障人民權利：釋字第663號、釋字第673號、釋字第685號。</w:t>
      </w:r>
    </w:p>
    <w:p w:rsidR="001F062F" w:rsidRPr="007D10AC" w:rsidRDefault="001F062F" w:rsidP="009E2352">
      <w:pPr>
        <w:pStyle w:val="3"/>
        <w:spacing w:line="480" w:lineRule="exact"/>
        <w:rPr>
          <w:rFonts w:hAnsi="標楷體" w:cs="Arial"/>
          <w:snapToGrid w:val="0"/>
          <w:color w:val="000000" w:themeColor="text1"/>
        </w:rPr>
      </w:pPr>
      <w:r w:rsidRPr="007D10AC">
        <w:rPr>
          <w:rFonts w:hAnsi="標楷體" w:cs="Arial" w:hint="eastAsia"/>
          <w:snapToGrid w:val="0"/>
          <w:color w:val="000000" w:themeColor="text1"/>
        </w:rPr>
        <w:t>綜上，</w:t>
      </w:r>
      <w:r w:rsidR="00BB6053" w:rsidRPr="007D10AC">
        <w:rPr>
          <w:rFonts w:hAnsi="標楷體" w:hint="eastAsia"/>
          <w:snapToGrid w:val="0"/>
          <w:color w:val="000000" w:themeColor="text1"/>
        </w:rPr>
        <w:t>財政部公布仍有效之稅法函釋高達9千餘則，</w:t>
      </w:r>
      <w:r w:rsidR="008A0631" w:rsidRPr="007D10AC">
        <w:rPr>
          <w:rFonts w:hAnsi="標楷體" w:hint="eastAsia"/>
          <w:snapToGrid w:val="0"/>
          <w:color w:val="000000" w:themeColor="text1"/>
        </w:rPr>
        <w:t>多如牛毛，</w:t>
      </w:r>
      <w:r w:rsidR="00903BC8" w:rsidRPr="007D10AC">
        <w:rPr>
          <w:rFonts w:hAnsi="標楷體" w:hint="eastAsia"/>
          <w:snapToGrid w:val="0"/>
          <w:color w:val="000000" w:themeColor="text1"/>
        </w:rPr>
        <w:t>卻</w:t>
      </w:r>
      <w:r w:rsidR="00BB6053" w:rsidRPr="007D10AC">
        <w:rPr>
          <w:rFonts w:hAnsi="標楷體" w:hint="eastAsia"/>
          <w:snapToGrid w:val="0"/>
          <w:color w:val="000000" w:themeColor="text1"/>
        </w:rPr>
        <w:t>具有與稅法相當實質規範效力，多數已不符現今法令及社經情況，</w:t>
      </w:r>
      <w:r w:rsidR="008A0631" w:rsidRPr="007D10AC">
        <w:rPr>
          <w:rFonts w:hAnsi="標楷體" w:hint="eastAsia"/>
          <w:snapToGrid w:val="0"/>
          <w:color w:val="000000" w:themeColor="text1"/>
        </w:rPr>
        <w:t>資訊透明度不足，無法構成有體系、脈絡之規範架構</w:t>
      </w:r>
      <w:r w:rsidR="00BB6053" w:rsidRPr="007D10AC">
        <w:rPr>
          <w:rFonts w:hAnsi="標楷體" w:hint="eastAsia"/>
          <w:snapToGrid w:val="0"/>
          <w:color w:val="000000" w:themeColor="text1"/>
        </w:rPr>
        <w:t>；又租稅事件經司法院</w:t>
      </w:r>
      <w:r w:rsidR="00BB6053" w:rsidRPr="007D10AC">
        <w:rPr>
          <w:rFonts w:hAnsi="標楷體"/>
          <w:snapToGrid w:val="0"/>
          <w:color w:val="000000" w:themeColor="text1"/>
        </w:rPr>
        <w:t>大法官解釋違憲或</w:t>
      </w:r>
      <w:r w:rsidR="008377C0" w:rsidRPr="007D10AC">
        <w:rPr>
          <w:rFonts w:hAnsi="標楷體" w:hint="eastAsia"/>
          <w:snapToGrid w:val="0"/>
          <w:color w:val="000000" w:themeColor="text1"/>
        </w:rPr>
        <w:t>部分違憲者</w:t>
      </w:r>
      <w:r w:rsidR="00BB6053" w:rsidRPr="007D10AC">
        <w:rPr>
          <w:rFonts w:hAnsi="標楷體" w:hint="eastAsia"/>
          <w:snapToGrid w:val="0"/>
          <w:color w:val="000000" w:themeColor="text1"/>
        </w:rPr>
        <w:t>居多，</w:t>
      </w:r>
      <w:r w:rsidR="00BB6053" w:rsidRPr="007D10AC">
        <w:rPr>
          <w:rFonts w:hAnsi="標楷體"/>
          <w:snapToGrid w:val="0"/>
          <w:color w:val="000000" w:themeColor="text1"/>
        </w:rPr>
        <w:t>對於違法或違憲之</w:t>
      </w:r>
      <w:r w:rsidR="00BB6053" w:rsidRPr="007D10AC">
        <w:rPr>
          <w:rFonts w:hAnsi="標楷體" w:hint="eastAsia"/>
          <w:snapToGrid w:val="0"/>
          <w:color w:val="000000" w:themeColor="text1"/>
        </w:rPr>
        <w:t>虞之法</w:t>
      </w:r>
      <w:r w:rsidR="00BB6053" w:rsidRPr="007D10AC">
        <w:rPr>
          <w:rFonts w:hAnsi="標楷體"/>
          <w:snapToGrid w:val="0"/>
          <w:color w:val="000000" w:themeColor="text1"/>
        </w:rPr>
        <w:t>令，</w:t>
      </w:r>
      <w:r w:rsidR="00BB6053" w:rsidRPr="007D10AC">
        <w:rPr>
          <w:rFonts w:hAnsi="標楷體" w:hint="eastAsia"/>
          <w:snapToGrid w:val="0"/>
          <w:color w:val="000000" w:themeColor="text1"/>
        </w:rPr>
        <w:t>財政部允宜先行自我</w:t>
      </w:r>
      <w:r w:rsidR="00BB6053" w:rsidRPr="007D10AC">
        <w:rPr>
          <w:rFonts w:hAnsi="標楷體"/>
          <w:snapToGrid w:val="0"/>
          <w:color w:val="000000" w:themeColor="text1"/>
        </w:rPr>
        <w:t>審</w:t>
      </w:r>
      <w:r w:rsidR="00BB6053" w:rsidRPr="007D10AC">
        <w:rPr>
          <w:rFonts w:hAnsi="標楷體" w:hint="eastAsia"/>
          <w:snapToGrid w:val="0"/>
          <w:color w:val="000000" w:themeColor="text1"/>
        </w:rPr>
        <w:t>視，並儘速檢討修正</w:t>
      </w:r>
      <w:r w:rsidR="00BB6053" w:rsidRPr="007D10AC">
        <w:rPr>
          <w:rFonts w:hAnsi="標楷體"/>
          <w:snapToGrid w:val="0"/>
          <w:color w:val="000000" w:themeColor="text1"/>
        </w:rPr>
        <w:t>，以</w:t>
      </w:r>
      <w:r w:rsidR="00BB6053" w:rsidRPr="007D10AC">
        <w:rPr>
          <w:rFonts w:hAnsi="標楷體" w:hint="eastAsia"/>
          <w:snapToGrid w:val="0"/>
          <w:color w:val="000000" w:themeColor="text1"/>
        </w:rPr>
        <w:t>符合納保法要求</w:t>
      </w:r>
      <w:r w:rsidR="00BB6053" w:rsidRPr="007D10AC">
        <w:rPr>
          <w:rFonts w:hAnsi="標楷體" w:hint="eastAsia"/>
          <w:color w:val="000000" w:themeColor="text1"/>
        </w:rPr>
        <w:t>從租稅法律主義</w:t>
      </w:r>
      <w:proofErr w:type="gramStart"/>
      <w:r w:rsidR="00BB6053" w:rsidRPr="007D10AC">
        <w:rPr>
          <w:rFonts w:hAnsi="標楷體" w:hint="eastAsia"/>
          <w:color w:val="000000" w:themeColor="text1"/>
        </w:rPr>
        <w:t>及各稅立法</w:t>
      </w:r>
      <w:proofErr w:type="gramEnd"/>
      <w:r w:rsidR="00BB6053" w:rsidRPr="007D10AC">
        <w:rPr>
          <w:rFonts w:hAnsi="標楷體" w:hint="eastAsia"/>
          <w:color w:val="000000" w:themeColor="text1"/>
        </w:rPr>
        <w:t>意旨積極逐案深度審視之規範</w:t>
      </w:r>
      <w:r w:rsidRPr="007D10AC">
        <w:rPr>
          <w:rFonts w:hAnsi="標楷體" w:cs="Arial" w:hint="eastAsia"/>
          <w:snapToGrid w:val="0"/>
          <w:color w:val="000000" w:themeColor="text1"/>
        </w:rPr>
        <w:t>。</w:t>
      </w:r>
    </w:p>
    <w:p w:rsidR="001F062F" w:rsidRPr="007D10AC" w:rsidRDefault="001F062F" w:rsidP="001F062F">
      <w:pPr>
        <w:pStyle w:val="a4"/>
        <w:keepLines/>
        <w:ind w:left="697" w:hanging="697"/>
        <w:rPr>
          <w:rFonts w:hAnsi="標楷體"/>
          <w:color w:val="000000" w:themeColor="text1"/>
        </w:rPr>
      </w:pPr>
      <w:r w:rsidRPr="007D10AC">
        <w:rPr>
          <w:rFonts w:hAnsi="標楷體" w:hint="eastAsia"/>
          <w:color w:val="000000" w:themeColor="text1"/>
        </w:rPr>
        <w:lastRenderedPageBreak/>
        <w:t>近年</w:t>
      </w:r>
      <w:r w:rsidR="00273637" w:rsidRPr="007D10AC">
        <w:rPr>
          <w:rFonts w:hAnsi="標楷體" w:hint="eastAsia"/>
          <w:color w:val="000000" w:themeColor="text1"/>
        </w:rPr>
        <w:t>來</w:t>
      </w:r>
      <w:r w:rsidRPr="007D10AC">
        <w:rPr>
          <w:rFonts w:hAnsi="標楷體" w:hint="eastAsia"/>
          <w:color w:val="000000" w:themeColor="text1"/>
        </w:rPr>
        <w:t>司法院大法官解釋</w:t>
      </w:r>
      <w:r w:rsidR="00273637" w:rsidRPr="007D10AC">
        <w:rPr>
          <w:rFonts w:hAnsi="標楷體" w:hint="eastAsia"/>
          <w:snapToGrid w:val="0"/>
          <w:color w:val="000000" w:themeColor="text1"/>
        </w:rPr>
        <w:t>（94年07月22日公布600號~</w:t>
      </w:r>
      <w:r w:rsidR="00273637" w:rsidRPr="007D10AC">
        <w:rPr>
          <w:rFonts w:hAnsi="標楷體"/>
          <w:snapToGrid w:val="0"/>
          <w:color w:val="000000" w:themeColor="text1"/>
        </w:rPr>
        <w:t>813</w:t>
      </w:r>
      <w:r w:rsidR="00273637" w:rsidRPr="007D10AC">
        <w:rPr>
          <w:rFonts w:hAnsi="標楷體" w:hint="eastAsia"/>
          <w:snapToGrid w:val="0"/>
          <w:color w:val="000000" w:themeColor="text1"/>
        </w:rPr>
        <w:t>號）</w:t>
      </w:r>
      <w:r w:rsidRPr="007D10AC">
        <w:rPr>
          <w:rFonts w:hAnsi="標楷體" w:hint="eastAsia"/>
          <w:color w:val="000000" w:themeColor="text1"/>
        </w:rPr>
        <w:t>租稅案件彙整表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06"/>
        <w:gridCol w:w="723"/>
        <w:gridCol w:w="401"/>
        <w:gridCol w:w="5167"/>
        <w:gridCol w:w="368"/>
        <w:gridCol w:w="340"/>
        <w:gridCol w:w="453"/>
        <w:gridCol w:w="373"/>
        <w:gridCol w:w="366"/>
        <w:gridCol w:w="341"/>
      </w:tblGrid>
      <w:tr w:rsidR="007D10AC" w:rsidRPr="007D10AC" w:rsidTr="00D47582">
        <w:trPr>
          <w:trHeight w:val="20"/>
          <w:tblHeader/>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序號</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稅目</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解釋</w:t>
            </w:r>
          </w:p>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字號</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解釋文</w:t>
            </w:r>
          </w:p>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重點摘要</w:t>
            </w:r>
          </w:p>
          <w:p w:rsidR="001F062F" w:rsidRPr="007D10AC" w:rsidRDefault="001F062F" w:rsidP="00D47582">
            <w:pPr>
              <w:adjustRightInd w:val="0"/>
              <w:snapToGrid w:val="0"/>
              <w:spacing w:line="220" w:lineRule="exact"/>
              <w:jc w:val="left"/>
              <w:rPr>
                <w:rFonts w:hAnsi="標楷體" w:cs="新細明體"/>
                <w:bCs/>
                <w:color w:val="000000" w:themeColor="text1"/>
                <w:kern w:val="0"/>
                <w:sz w:val="20"/>
              </w:rPr>
            </w:pPr>
          </w:p>
        </w:tc>
        <w:tc>
          <w:tcPr>
            <w:tcW w:w="0" w:type="auto"/>
            <w:gridSpan w:val="2"/>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合憲</w:t>
            </w:r>
          </w:p>
        </w:tc>
        <w:tc>
          <w:tcPr>
            <w:tcW w:w="0" w:type="auto"/>
            <w:gridSpan w:val="3"/>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違憲</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6"/>
                <w:szCs w:val="16"/>
              </w:rPr>
            </w:pPr>
            <w:r w:rsidRPr="007D10AC">
              <w:rPr>
                <w:rFonts w:hAnsi="標楷體" w:cs="新細明體" w:hint="eastAsia"/>
                <w:bCs/>
                <w:color w:val="000000" w:themeColor="text1"/>
                <w:kern w:val="0"/>
                <w:sz w:val="16"/>
                <w:szCs w:val="16"/>
              </w:rPr>
              <w:t>部分合憲</w:t>
            </w:r>
          </w:p>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6"/>
                <w:szCs w:val="16"/>
              </w:rPr>
            </w:pPr>
            <w:r w:rsidRPr="007D10AC">
              <w:rPr>
                <w:rFonts w:hAnsi="標楷體" w:cs="新細明體" w:hint="eastAsia"/>
                <w:bCs/>
                <w:color w:val="000000" w:themeColor="text1"/>
                <w:kern w:val="0"/>
                <w:sz w:val="16"/>
                <w:szCs w:val="16"/>
              </w:rPr>
              <w:t>部分違憲</w:t>
            </w:r>
          </w:p>
        </w:tc>
      </w:tr>
      <w:tr w:rsidR="007D10AC" w:rsidRPr="007D10AC" w:rsidTr="00D47582">
        <w:trPr>
          <w:trHeight w:val="20"/>
          <w:tblHeader/>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c>
          <w:tcPr>
            <w:tcW w:w="0" w:type="auto"/>
            <w:vMerge/>
            <w:shd w:val="clear" w:color="auto" w:fill="auto"/>
            <w:vAlign w:val="center"/>
            <w:hideMark/>
          </w:tcPr>
          <w:p w:rsidR="001F062F" w:rsidRPr="007D10AC" w:rsidRDefault="001F062F" w:rsidP="00D47582">
            <w:pPr>
              <w:adjustRightInd w:val="0"/>
              <w:snapToGrid w:val="0"/>
              <w:spacing w:line="220" w:lineRule="exact"/>
              <w:jc w:val="left"/>
              <w:rPr>
                <w:rFonts w:hAnsi="標楷體" w:cs="新細明體"/>
                <w:bCs/>
                <w:color w:val="000000" w:themeColor="text1"/>
                <w:kern w:val="0"/>
                <w:sz w:val="20"/>
              </w:rPr>
            </w:pPr>
          </w:p>
        </w:tc>
        <w:tc>
          <w:tcPr>
            <w:tcW w:w="0" w:type="auto"/>
            <w:vMerge/>
            <w:shd w:val="clear" w:color="auto" w:fill="auto"/>
            <w:vAlign w:val="center"/>
            <w:hideMark/>
          </w:tcPr>
          <w:p w:rsidR="001F062F" w:rsidRPr="007D10AC" w:rsidRDefault="001F062F" w:rsidP="00D47582">
            <w:pPr>
              <w:adjustRightInd w:val="0"/>
              <w:snapToGrid w:val="0"/>
              <w:spacing w:line="220" w:lineRule="exact"/>
              <w:jc w:val="left"/>
              <w:rPr>
                <w:rFonts w:hAnsi="標楷體" w:cs="新細明體"/>
                <w:bCs/>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合憲性</w:t>
            </w:r>
          </w:p>
          <w:p w:rsidR="001F062F" w:rsidRPr="007D10AC" w:rsidRDefault="001F062F" w:rsidP="00D47582">
            <w:pPr>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解釋</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合憲</w:t>
            </w:r>
          </w:p>
          <w:p w:rsidR="001F062F" w:rsidRPr="007D10AC" w:rsidRDefault="001F062F" w:rsidP="00D47582">
            <w:pPr>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非難</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定期檢討修正</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定期</w:t>
            </w:r>
          </w:p>
          <w:p w:rsidR="001F062F" w:rsidRPr="007D10AC" w:rsidRDefault="001F062F" w:rsidP="00D47582">
            <w:pPr>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失效</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立即</w:t>
            </w:r>
          </w:p>
          <w:p w:rsidR="001F062F" w:rsidRPr="007D10AC" w:rsidRDefault="001F062F" w:rsidP="00D47582">
            <w:pPr>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失效</w:t>
            </w:r>
          </w:p>
        </w:tc>
        <w:tc>
          <w:tcPr>
            <w:tcW w:w="0" w:type="auto"/>
            <w:vMerge/>
            <w:shd w:val="clear" w:color="auto" w:fill="auto"/>
            <w:vAlign w:val="center"/>
            <w:hideMark/>
          </w:tcPr>
          <w:p w:rsidR="001F062F" w:rsidRPr="007D10AC" w:rsidRDefault="001F062F" w:rsidP="00D47582">
            <w:pPr>
              <w:adjustRightInd w:val="0"/>
              <w:snapToGrid w:val="0"/>
              <w:spacing w:line="220" w:lineRule="exact"/>
              <w:jc w:val="left"/>
              <w:rPr>
                <w:rFonts w:hAnsi="標楷體" w:cs="新細明體"/>
                <w:bCs/>
                <w:color w:val="000000" w:themeColor="text1"/>
                <w:kern w:val="0"/>
                <w:sz w:val="16"/>
                <w:szCs w:val="16"/>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606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86年促進產業升級條例施行細則第42條規定，增資發放股東之股票股利緩課所得稅應於主管機關核准增資後6個月內向</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徵機關申請，屬執行該條例第16條第3款規定所必要，與憲法第15條及第23條並無牴觸。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607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82年7月19日台財稅第821491681號函、84年8月16日台財稅第841641639號函及87年9月23日台財稅第871966516號函有關營利事業依拆遷補償辦法規定領取之各項補償費應列為其他收入核實課徵所得稅之規定，符合所得稅法第3條及第24條第1項規定之意旨，與租稅法律主義及憲法第7條、第15條規定之平等原則、保障人民財產權意旨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所得稅、遺產及贈與稅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608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67年10月5日台財稅字第36761號函有關繼承人於繼承事實發生後領取之股利屬繼承人之所得，符合遺產及贈與稅法、所得稅法規定之意旨，不生重複課稅問題，與憲法第19條之租稅法律主義及第15條保障人民財產權之規定，</w:t>
            </w:r>
            <w:proofErr w:type="gramStart"/>
            <w:r w:rsidRPr="007D10AC">
              <w:rPr>
                <w:rFonts w:hAnsi="標楷體" w:cs="新細明體" w:hint="eastAsia"/>
                <w:color w:val="000000" w:themeColor="text1"/>
                <w:kern w:val="0"/>
                <w:sz w:val="20"/>
              </w:rPr>
              <w:t>均無牴觸</w:t>
            </w:r>
            <w:proofErr w:type="gramEnd"/>
            <w:r w:rsidRPr="007D10AC">
              <w:rPr>
                <w:rFonts w:hAnsi="標楷體" w:cs="新細明體" w:hint="eastAsia"/>
                <w:color w:val="000000" w:themeColor="text1"/>
                <w:kern w:val="0"/>
                <w:sz w:val="20"/>
              </w:rPr>
              <w:t>。</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615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73年8月16日修正發布所得稅法施行細則第25條第2項規定經</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徵機關核定應納稅額後不得要求變更適用列舉扣除額規定，及財政部81年2月11日台財稅字第801799973號及87年3月19日台財稅字第871934606號函，</w:t>
            </w:r>
            <w:proofErr w:type="gramStart"/>
            <w:r w:rsidRPr="007D10AC">
              <w:rPr>
                <w:rFonts w:hAnsi="標楷體" w:cs="新細明體" w:hint="eastAsia"/>
                <w:color w:val="000000" w:themeColor="text1"/>
                <w:kern w:val="0"/>
                <w:sz w:val="20"/>
              </w:rPr>
              <w:t>均與憲</w:t>
            </w:r>
            <w:proofErr w:type="gramEnd"/>
            <w:r w:rsidRPr="007D10AC">
              <w:rPr>
                <w:rFonts w:hAnsi="標楷體" w:cs="新細明體" w:hint="eastAsia"/>
                <w:color w:val="000000" w:themeColor="text1"/>
                <w:kern w:val="0"/>
                <w:sz w:val="20"/>
              </w:rPr>
              <w:t>法第19條租稅法律原則無違。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616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78年12月30日修正公布之所得稅法第108條第1項、86年12月30日增訂公布同法第108條之1第1項有關納稅義務人未依限申報所得稅，就應納稅額加徵滯報金未設合理上限，顯已逾越處罰之必要程度而違反憲法第23條之比例原則，與憲法第15條保障人民財產權之意旨有違，應自本解釋公布之日起，至遲於屆滿1年時，失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地價稅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619</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土地稅法施行細則第15條，將非依土地稅法第6條規定標準及程序之地價稅減免情形，未依期限內申報，得依同法第54條第1項第1款規定處罰，顯以法規命令增加裁罰性法律所未規定之處罰對象，與法律保留原則意旨不符，應於本解釋公布之日起至遲於屆滿1年時失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621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罰鍰乃公法上金錢給付義務之一種，罰鍰之處分作成而具</w:t>
            </w:r>
            <w:proofErr w:type="gramStart"/>
            <w:r w:rsidRPr="007D10AC">
              <w:rPr>
                <w:rFonts w:hAnsi="標楷體" w:cs="新細明體" w:hint="eastAsia"/>
                <w:color w:val="000000" w:themeColor="text1"/>
                <w:kern w:val="0"/>
                <w:sz w:val="20"/>
              </w:rPr>
              <w:t>執行力後</w:t>
            </w:r>
            <w:proofErr w:type="gramEnd"/>
            <w:r w:rsidRPr="007D10AC">
              <w:rPr>
                <w:rFonts w:hAnsi="標楷體" w:cs="新細明體" w:hint="eastAsia"/>
                <w:color w:val="000000" w:themeColor="text1"/>
                <w:kern w:val="0"/>
                <w:sz w:val="20"/>
              </w:rPr>
              <w:t>，義務人死亡並遺有財產者，依行政執行法第15條規定意旨，該基於罰鍰處分所發生之公法上金錢給付義務，得為強制執行，其執行標的限於義務人之遺產。</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地價稅、稅捐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625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財政部68年台財稅第35521號函主旨及69年台財稅第33756號函說明二前段，</w:t>
            </w:r>
            <w:proofErr w:type="gramStart"/>
            <w:r w:rsidRPr="007D10AC">
              <w:rPr>
                <w:rFonts w:hAnsi="標楷體" w:cs="新細明體" w:hint="eastAsia"/>
                <w:color w:val="000000" w:themeColor="text1"/>
                <w:kern w:val="0"/>
                <w:sz w:val="20"/>
              </w:rPr>
              <w:t>就地籍</w:t>
            </w:r>
            <w:proofErr w:type="gramEnd"/>
            <w:r w:rsidRPr="007D10AC">
              <w:rPr>
                <w:rFonts w:hAnsi="標楷體" w:cs="新細明體" w:hint="eastAsia"/>
                <w:color w:val="000000" w:themeColor="text1"/>
                <w:kern w:val="0"/>
                <w:sz w:val="20"/>
              </w:rPr>
              <w:t>重測時發現與鄰地有界址重疊，重測後面積減少，認為不適用稅捐稽徵法第28條退稅之釋示，與本解釋意旨不符，應自本解釋公布之日起不再援用。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9</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土地增值稅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635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財政部82年10月7日</w:t>
            </w:r>
            <w:proofErr w:type="gramStart"/>
            <w:r w:rsidRPr="007D10AC">
              <w:rPr>
                <w:rFonts w:hAnsi="標楷體" w:cs="新細明體" w:hint="eastAsia"/>
                <w:color w:val="000000" w:themeColor="text1"/>
                <w:kern w:val="0"/>
                <w:sz w:val="20"/>
              </w:rPr>
              <w:t>臺</w:t>
            </w:r>
            <w:proofErr w:type="gramEnd"/>
            <w:r w:rsidRPr="007D10AC">
              <w:rPr>
                <w:rFonts w:hAnsi="標楷體" w:cs="新細明體" w:hint="eastAsia"/>
                <w:color w:val="000000" w:themeColor="text1"/>
                <w:kern w:val="0"/>
                <w:sz w:val="20"/>
              </w:rPr>
              <w:t>財稅第821498791號函釋，符合立法意旨及國家農業與租稅政策，並未逾越對人民正當合理之稅課範圍。與法律明確性原則及憲法</w:t>
            </w:r>
            <w:proofErr w:type="gramStart"/>
            <w:r w:rsidRPr="007D10AC">
              <w:rPr>
                <w:rFonts w:hAnsi="標楷體" w:cs="新細明體" w:hint="eastAsia"/>
                <w:color w:val="000000" w:themeColor="text1"/>
                <w:kern w:val="0"/>
                <w:sz w:val="20"/>
              </w:rPr>
              <w:t>規定均無牴觸</w:t>
            </w:r>
            <w:proofErr w:type="gramEnd"/>
            <w:r w:rsidRPr="007D10AC">
              <w:rPr>
                <w:rFonts w:hAnsi="標楷體" w:cs="新細明體" w:hint="eastAsia"/>
                <w:color w:val="000000" w:themeColor="text1"/>
                <w:kern w:val="0"/>
                <w:sz w:val="20"/>
              </w:rPr>
              <w:t>，亦未侵害人民受憲法保障之財產權。</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lastRenderedPageBreak/>
              <w:t>10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640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86年5月23日訂定之「財政部臺灣省北區國稅局書面審核綜合所得稅執行業務者及補習班幼稚園托兒所簡化查核要點」</w:t>
            </w:r>
            <w:proofErr w:type="gramStart"/>
            <w:r w:rsidRPr="007D10AC">
              <w:rPr>
                <w:rFonts w:hAnsi="標楷體" w:cs="新細明體" w:hint="eastAsia"/>
                <w:color w:val="000000" w:themeColor="text1"/>
                <w:kern w:val="0"/>
                <w:sz w:val="20"/>
              </w:rPr>
              <w:t>笫</w:t>
            </w:r>
            <w:proofErr w:type="gramEnd"/>
            <w:r w:rsidRPr="007D10AC">
              <w:rPr>
                <w:rFonts w:hAnsi="標楷體" w:cs="新細明體" w:hint="eastAsia"/>
                <w:color w:val="000000" w:themeColor="text1"/>
                <w:kern w:val="0"/>
                <w:sz w:val="20"/>
              </w:rPr>
              <w:t>7點有關對申報之所得額在主管機關核定之各該業所得額之標準以上者，仍可實施抽查，再予個別查核認定規定，增加人民法律所未規定之租稅程序上負擔，有違憲法第19條租稅法律主義，應自本解釋公布之日起至遲1年內失效。本院釋字第247號解釋應予補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菸酒稅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641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菸酒稅法第21條採取劃一之處罰方式之規定，對人民受憲法第15條保障之財產權所為限制，顯不符妥當性而與憲法第23條之比例原則尚有未符，至遲於本解釋公布之日起屆滿1年時停止適用。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642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財政部84年7月26日台財稅字第841637712號函，營利事業未依法保存憑證，須於未經檢舉及未經</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徵機關或財政部指定之調查人員進行調查前，取得與原應保存憑證相當之證明者，始得免除相關處罰，其與本解釋意旨不符部分，自本解釋公布之日起，應不予援用。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遺產及贈與稅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647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遺贈法第20條限配偶間贈與免稅，為維護法律上婚姻關係之考量，目的正當，手段並有助於婚姻制度之維護，自難認與憲法第7條之平等原則有違。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關稅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648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進出口貨物查驗準則第15條第1項，限定同一發貨人發貨兩批以上之互相誤</w:t>
            </w:r>
            <w:proofErr w:type="gramStart"/>
            <w:r w:rsidRPr="007D10AC">
              <w:rPr>
                <w:rFonts w:hAnsi="標楷體" w:cs="新細明體" w:hint="eastAsia"/>
                <w:color w:val="000000" w:themeColor="text1"/>
                <w:kern w:val="0"/>
                <w:sz w:val="20"/>
              </w:rPr>
              <w:t>裝錯運</w:t>
            </w:r>
            <w:proofErr w:type="gramEnd"/>
            <w:r w:rsidRPr="007D10AC">
              <w:rPr>
                <w:rFonts w:hAnsi="標楷體" w:cs="新細明體" w:hint="eastAsia"/>
                <w:color w:val="000000" w:themeColor="text1"/>
                <w:kern w:val="0"/>
                <w:sz w:val="20"/>
              </w:rPr>
              <w:t>，其進口人始得併案處理免予議處，至於不同發貨人發貨兩批以上之互相誤</w:t>
            </w:r>
            <w:proofErr w:type="gramStart"/>
            <w:r w:rsidRPr="007D10AC">
              <w:rPr>
                <w:rFonts w:hAnsi="標楷體" w:cs="新細明體" w:hint="eastAsia"/>
                <w:color w:val="000000" w:themeColor="text1"/>
                <w:kern w:val="0"/>
                <w:sz w:val="20"/>
              </w:rPr>
              <w:t>裝錯</w:t>
            </w:r>
            <w:proofErr w:type="gramEnd"/>
            <w:r w:rsidRPr="007D10AC">
              <w:rPr>
                <w:rFonts w:hAnsi="標楷體" w:cs="新細明體" w:hint="eastAsia"/>
                <w:color w:val="000000" w:themeColor="text1"/>
                <w:kern w:val="0"/>
                <w:sz w:val="20"/>
              </w:rPr>
              <w:t>運，其進口人應依海關緝私條例有關規定論處，尚未違背憲法第7條平等原則。</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650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81年1月13日修正發布之營利事業所得稅查核準則第36條之1第2項規定，就公司資金貸與股東或他人而未收取利息等情形</w:t>
            </w:r>
            <w:proofErr w:type="gramStart"/>
            <w:r w:rsidRPr="007D10AC">
              <w:rPr>
                <w:rFonts w:hAnsi="標楷體" w:cs="新細明體" w:hint="eastAsia"/>
                <w:color w:val="000000" w:themeColor="text1"/>
                <w:kern w:val="0"/>
                <w:sz w:val="20"/>
              </w:rPr>
              <w:t>逕予設</w:t>
            </w:r>
            <w:proofErr w:type="gramEnd"/>
            <w:r w:rsidRPr="007D10AC">
              <w:rPr>
                <w:rFonts w:hAnsi="標楷體" w:cs="新細明體" w:hint="eastAsia"/>
                <w:color w:val="000000" w:themeColor="text1"/>
                <w:kern w:val="0"/>
                <w:sz w:val="20"/>
              </w:rPr>
              <w:t>算利息收入，欠缺所得稅法之明確授權，增加納稅義務人法律所無之租稅義務，與憲法第19條規定之意旨不符，應自本解釋公布之</w:t>
            </w:r>
            <w:proofErr w:type="gramStart"/>
            <w:r w:rsidRPr="007D10AC">
              <w:rPr>
                <w:rFonts w:hAnsi="標楷體" w:cs="新細明體" w:hint="eastAsia"/>
                <w:color w:val="000000" w:themeColor="text1"/>
                <w:kern w:val="0"/>
                <w:sz w:val="20"/>
              </w:rPr>
              <w:t>日起失</w:t>
            </w:r>
            <w:proofErr w:type="gramEnd"/>
            <w:r w:rsidRPr="007D10AC">
              <w:rPr>
                <w:rFonts w:hAnsi="標楷體" w:cs="新細明體" w:hint="eastAsia"/>
                <w:color w:val="000000" w:themeColor="text1"/>
                <w:kern w:val="0"/>
                <w:sz w:val="20"/>
              </w:rPr>
              <w:t>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關稅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651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軍用物品進口免稅辦法第8條第1項規定授權所為之補充規定，並未逾越授權範圍，與憲法第19條租稅法律主義尚無牴觸。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657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所得稅法施行細則第82條第3項、營利事業所得稅查核準則第108條之1規定，應將</w:t>
            </w:r>
            <w:proofErr w:type="gramStart"/>
            <w:r w:rsidRPr="007D10AC">
              <w:rPr>
                <w:rFonts w:hAnsi="標楷體" w:cs="新細明體" w:hint="eastAsia"/>
                <w:color w:val="000000" w:themeColor="text1"/>
                <w:kern w:val="0"/>
                <w:sz w:val="20"/>
              </w:rPr>
              <w:t>帳載逾2年</w:t>
            </w:r>
            <w:proofErr w:type="gramEnd"/>
            <w:r w:rsidRPr="007D10AC">
              <w:rPr>
                <w:rFonts w:hAnsi="標楷體" w:cs="新細明體" w:hint="eastAsia"/>
                <w:color w:val="000000" w:themeColor="text1"/>
                <w:kern w:val="0"/>
                <w:sz w:val="20"/>
              </w:rPr>
              <w:t>仍未給付之應付費用轉列其他收入，增加營利事業當年度之所得及應納稅額，顯非執行法律之細節性或技術性事項，且逾越所得稅法之授權，違反憲法第19條租稅法律主義，應自本解釋公布之日起至遲於1年內失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660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查獲短漏報</w:t>
            </w:r>
            <w:proofErr w:type="gramStart"/>
            <w:r w:rsidRPr="007D10AC">
              <w:rPr>
                <w:rFonts w:hAnsi="標楷體" w:cs="新細明體" w:hint="eastAsia"/>
                <w:color w:val="000000" w:themeColor="text1"/>
                <w:kern w:val="0"/>
                <w:sz w:val="20"/>
              </w:rPr>
              <w:t>銷售額始提出</w:t>
            </w:r>
            <w:proofErr w:type="gramEnd"/>
            <w:r w:rsidRPr="007D10AC">
              <w:rPr>
                <w:rFonts w:hAnsi="標楷體" w:cs="新細明體" w:hint="eastAsia"/>
                <w:color w:val="000000" w:themeColor="text1"/>
                <w:kern w:val="0"/>
                <w:sz w:val="20"/>
              </w:rPr>
              <w:t>進項憑證，不准扣抵銷項稅額之函釋，符合營業稅法第35條第1項、第43條第1項第4款及第51條第3款之立法意旨，與憲法尚無牴觸。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19</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661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就偏遠或服務性路線之補貼收入應課營業稅之函釋，與憲法第19條規定之意旨不符，應不予適用。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663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對公同共有人中之一人為送達，即對全體公同共有人發生送達效力之部分，不符憲法正當法律程序之要求，致侵害未受送達之公同共有人之訴願、訴訟權，應自本解釋公布日起，至遲於屆滿2年時，失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21</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673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一、有關以機關、團體之主辦會計人員為扣繳義務人及以事業負責人為扣繳義務人部分，與憲法第23條比</w:t>
            </w:r>
            <w:r w:rsidRPr="007D10AC">
              <w:rPr>
                <w:rFonts w:hAnsi="標楷體" w:cs="新細明體" w:hint="eastAsia"/>
                <w:color w:val="000000" w:themeColor="text1"/>
                <w:kern w:val="0"/>
                <w:sz w:val="20"/>
              </w:rPr>
              <w:lastRenderedPageBreak/>
              <w:t>例原則尚無牴觸；78年12月30日及90年1月3日修正公布所得稅法第114條第1款規定短、漏扣繳稅款罰鍰，尚未牴觸憲法第23條比例原則，與憲法第15條保障人民財產權之意旨無違。</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lastRenderedPageBreak/>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w:t>
            </w: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二、上開所得稅法第114條第1款後段，限期內已補繳扣繳稅款僅未按實補報憑單處3倍之罰鍰部分，未賦予稅捐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徵機關得參酌具體違章狀況，按情節輕重裁量罰鍰之數額，其處罰顯已逾越必要程度，就此範圍內，不符憲法第23條之比例原則，與憲法第15條保障人民財產權之意旨有違，應自本解釋公布之日起停止適用。</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田賦</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674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財政部82年12月16日台財稅字第820570901號函關於都市土地依法不能建築，仍作農業用地使用之</w:t>
            </w:r>
            <w:proofErr w:type="gramStart"/>
            <w:r w:rsidRPr="007D10AC">
              <w:rPr>
                <w:rFonts w:hAnsi="標楷體" w:cs="新細明體" w:hint="eastAsia"/>
                <w:color w:val="000000" w:themeColor="text1"/>
                <w:kern w:val="0"/>
                <w:sz w:val="20"/>
              </w:rPr>
              <w:t>畸</w:t>
            </w:r>
            <w:proofErr w:type="gramEnd"/>
            <w:r w:rsidRPr="007D10AC">
              <w:rPr>
                <w:rFonts w:hAnsi="標楷體" w:cs="新細明體" w:hint="eastAsia"/>
                <w:color w:val="000000" w:themeColor="text1"/>
                <w:kern w:val="0"/>
                <w:sz w:val="20"/>
              </w:rPr>
              <w:t>零地適用課徵田賦之規定，增加法律所無之要件，違反憲法第19條租稅法律主義，應不再援用。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23</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685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一、營業人於合作店銷貨並自收貨款，營業稅納稅義務人之認定，與憲法尚無牴觸。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w:t>
            </w: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徵法第44條處罰金額未設合理最高額之限制，違反憲法第23條之比例原則，與憲法第15條保障人民財產權之意旨有違，應不予適用。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4"/>
                <w:szCs w:val="14"/>
              </w:rPr>
            </w:pPr>
            <w:r w:rsidRPr="007D10AC">
              <w:rPr>
                <w:rFonts w:hAnsi="標楷體" w:cs="新細明體" w:hint="eastAsia"/>
                <w:bCs/>
                <w:color w:val="000000" w:themeColor="text1"/>
                <w:kern w:val="0"/>
                <w:sz w:val="14"/>
                <w:szCs w:val="14"/>
              </w:rPr>
              <w:t>(營業稅)</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4"/>
                <w:szCs w:val="14"/>
              </w:rPr>
            </w:pPr>
            <w:r w:rsidRPr="007D10AC">
              <w:rPr>
                <w:rFonts w:hAnsi="標楷體" w:cs="新細明體" w:hint="eastAsia"/>
                <w:bCs/>
                <w:color w:val="000000" w:themeColor="text1"/>
                <w:kern w:val="0"/>
                <w:sz w:val="14"/>
                <w:szCs w:val="14"/>
              </w:rPr>
              <w:t>(稅</w:t>
            </w:r>
            <w:proofErr w:type="gramStart"/>
            <w:r w:rsidRPr="007D10AC">
              <w:rPr>
                <w:rFonts w:hAnsi="標楷體" w:cs="新細明體" w:hint="eastAsia"/>
                <w:bCs/>
                <w:color w:val="000000" w:themeColor="text1"/>
                <w:kern w:val="0"/>
                <w:sz w:val="14"/>
                <w:szCs w:val="14"/>
              </w:rPr>
              <w:t>稽</w:t>
            </w:r>
            <w:proofErr w:type="gramEnd"/>
            <w:r w:rsidRPr="007D10AC">
              <w:rPr>
                <w:rFonts w:hAnsi="標楷體" w:cs="新細明體" w:hint="eastAsia"/>
                <w:bCs/>
                <w:color w:val="000000" w:themeColor="text1"/>
                <w:kern w:val="0"/>
                <w:sz w:val="14"/>
                <w:szCs w:val="14"/>
              </w:rPr>
              <w:t>法)</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24</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687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徵法第47條第1款規定，</w:t>
            </w:r>
            <w:proofErr w:type="gramStart"/>
            <w:r w:rsidRPr="007D10AC">
              <w:rPr>
                <w:rFonts w:hAnsi="標楷體" w:cs="新細明體" w:hint="eastAsia"/>
                <w:color w:val="000000" w:themeColor="text1"/>
                <w:kern w:val="0"/>
                <w:sz w:val="20"/>
              </w:rPr>
              <w:t>係使公</w:t>
            </w:r>
            <w:proofErr w:type="gramEnd"/>
            <w:r w:rsidRPr="007D10AC">
              <w:rPr>
                <w:rFonts w:hAnsi="標楷體" w:cs="新細明體" w:hint="eastAsia"/>
                <w:color w:val="000000" w:themeColor="text1"/>
                <w:kern w:val="0"/>
                <w:sz w:val="20"/>
              </w:rPr>
              <w:t>司負責人因自己之刑事違法且有責之行為，承擔刑事責任，與無責任即無處罰之憲法原則並無牴觸。</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w:t>
            </w: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二、至「應處徒刑之規定」部分，有違憲法第7條之平等原則，應自本解釋公布日起，至遲於屆滿1年時，失其效力。</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25</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688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一、包作業營業人應「依其工程合約</w:t>
            </w:r>
            <w:proofErr w:type="gramStart"/>
            <w:r w:rsidRPr="007D10AC">
              <w:rPr>
                <w:rFonts w:hAnsi="標楷體" w:cs="新細明體" w:hint="eastAsia"/>
                <w:color w:val="000000" w:themeColor="text1"/>
                <w:kern w:val="0"/>
                <w:sz w:val="20"/>
              </w:rPr>
              <w:t>所載每期</w:t>
            </w:r>
            <w:proofErr w:type="gramEnd"/>
            <w:r w:rsidRPr="007D10AC">
              <w:rPr>
                <w:rFonts w:hAnsi="標楷體" w:cs="新細明體" w:hint="eastAsia"/>
                <w:color w:val="000000" w:themeColor="text1"/>
                <w:kern w:val="0"/>
                <w:sz w:val="20"/>
              </w:rPr>
              <w:t>應收價款時」開立銷售憑證之規定，與憲法尚無牴觸。</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二、惟營業人開立銷售憑證之時限早於實際收款時，倘嗣後買受人因陷於無資力或其他事由，致營業人無從將已繳納之營業稅，轉嫁予買受人負擔，主管機關應依本解釋意旨就營業稅法相關規定儘速檢討改進。</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84年11月15日台財稅第841657896號函有關臺灣地區人民年滿20歲，就讀學歷未經教育部認可之大陸地區學校，不得列報扶養親屬免稅額規定，限縮所得稅法規定之適用，違反憲法第19條租稅法律主義，應自本解釋公布之日起不再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財政部86年12月1日台財稅</w:t>
            </w:r>
            <w:proofErr w:type="gramStart"/>
            <w:r w:rsidRPr="007D10AC">
              <w:rPr>
                <w:rFonts w:hAnsi="標楷體" w:cs="新細明體" w:hint="eastAsia"/>
                <w:color w:val="000000" w:themeColor="text1"/>
                <w:kern w:val="0"/>
                <w:sz w:val="20"/>
              </w:rPr>
              <w:t>第861922464號函前段</w:t>
            </w:r>
            <w:proofErr w:type="gramEnd"/>
            <w:r w:rsidRPr="007D10AC">
              <w:rPr>
                <w:rFonts w:hAnsi="標楷體" w:cs="新細明體" w:hint="eastAsia"/>
                <w:color w:val="000000" w:themeColor="text1"/>
                <w:kern w:val="0"/>
                <w:sz w:val="20"/>
              </w:rPr>
              <w:t>規定，認購（售）權證發行人於發行時所取得之發行價款非屬證券交易收入，無所得稅法第4條之1之適用；中段有關認購(售)權證發行人因投資人行使權利於履約時損益產生損益及財政部86年7月31日台財稅第861909311號函有關認購(售)持有人將權證賣回發行人之所得，依所得稅法第4條之1規定停徵所得稅，與憲法第19條之租稅法律主義尚無違背。</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90年1月3日所得稅法第17條第1項第1款第4目有關納稅義務人其他親屬或家屬以未滿20歲或滿60歲以上為減除免稅額之限制要件，違反憲法第7條平等原則，應自本解釋公布日起，至遲於屆滿1年時，失其效力。</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29</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696</w:t>
            </w:r>
            <w:r w:rsidRPr="007D10AC">
              <w:rPr>
                <w:rFonts w:hAnsi="標楷體" w:cs="新細明體" w:hint="eastAsia"/>
                <w:color w:val="000000" w:themeColor="text1"/>
                <w:kern w:val="0"/>
                <w:sz w:val="20"/>
              </w:rPr>
              <w:br/>
            </w:r>
            <w:proofErr w:type="gramStart"/>
            <w:r w:rsidRPr="007D10AC">
              <w:rPr>
                <w:rFonts w:hAnsi="標楷體" w:cs="新細明體" w:hint="eastAsia"/>
                <w:color w:val="000000" w:themeColor="text1"/>
                <w:kern w:val="0"/>
                <w:sz w:val="20"/>
              </w:rPr>
              <w:t>註</w:t>
            </w:r>
            <w:proofErr w:type="gramEnd"/>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一、78年12月30日所得稅法第15條第1項規定有關夫妻非薪資所得強制合併計算，較之單獨計算增加稅額，增加其稅負部分，違反憲法第7條平等原則，應自本解釋公布之日起至遲於屆滿2年時失其效力。</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二、財政部76年3月4日台財稅第7519463號函關於分居之夫妻如何分擔其全部應繳納稅額之計算方式規定，與租稅公平有違，應不予援用。</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(所得稅法)</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(函釋)</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30</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貨物稅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貨物稅條例第2條第1項第2款規定納稅義務人與法律明確性原則尚無違背，惟於委託多家廠商分工之情形，立法機關宜考量產製之分工、製程及各種委託製造關係，明定完成應稅貨物之產製階段，作為認定受託產製廠商之依據，適時檢討相關規定改進之。</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二、貨物稅條例規定，凡設</w:t>
            </w:r>
            <w:proofErr w:type="gramStart"/>
            <w:r w:rsidRPr="007D10AC">
              <w:rPr>
                <w:rFonts w:hAnsi="標楷體" w:cs="新細明體" w:hint="eastAsia"/>
                <w:color w:val="000000" w:themeColor="text1"/>
                <w:kern w:val="0"/>
                <w:sz w:val="20"/>
              </w:rPr>
              <w:t>廠機製之</w:t>
            </w:r>
            <w:proofErr w:type="gramEnd"/>
            <w:r w:rsidRPr="007D10AC">
              <w:rPr>
                <w:rFonts w:hAnsi="標楷體" w:cs="新細明體" w:hint="eastAsia"/>
                <w:color w:val="000000" w:themeColor="text1"/>
                <w:kern w:val="0"/>
                <w:sz w:val="20"/>
              </w:rPr>
              <w:t>清涼飲料品應課徵貨物稅，與法律明確性原則尚無不合。又前開規定僅對設</w:t>
            </w:r>
            <w:proofErr w:type="gramStart"/>
            <w:r w:rsidRPr="007D10AC">
              <w:rPr>
                <w:rFonts w:hAnsi="標楷體" w:cs="新細明體" w:hint="eastAsia"/>
                <w:color w:val="000000" w:themeColor="text1"/>
                <w:kern w:val="0"/>
                <w:sz w:val="20"/>
              </w:rPr>
              <w:t>廠機製之</w:t>
            </w:r>
            <w:proofErr w:type="gramEnd"/>
            <w:r w:rsidRPr="007D10AC">
              <w:rPr>
                <w:rFonts w:hAnsi="標楷體" w:cs="新細明體" w:hint="eastAsia"/>
                <w:color w:val="000000" w:themeColor="text1"/>
                <w:kern w:val="0"/>
                <w:sz w:val="20"/>
              </w:rPr>
              <w:t>清涼飲料品課徵貨物稅，而未對非設</w:t>
            </w:r>
            <w:proofErr w:type="gramStart"/>
            <w:r w:rsidRPr="007D10AC">
              <w:rPr>
                <w:rFonts w:hAnsi="標楷體" w:cs="新細明體" w:hint="eastAsia"/>
                <w:color w:val="000000" w:themeColor="text1"/>
                <w:kern w:val="0"/>
                <w:sz w:val="20"/>
              </w:rPr>
              <w:t>廠機製</w:t>
            </w:r>
            <w:proofErr w:type="gramEnd"/>
            <w:r w:rsidRPr="007D10AC">
              <w:rPr>
                <w:rFonts w:hAnsi="標楷體" w:cs="新細明體" w:hint="eastAsia"/>
                <w:color w:val="000000" w:themeColor="text1"/>
                <w:kern w:val="0"/>
                <w:sz w:val="20"/>
              </w:rPr>
              <w:t>者課徵貨物稅，與憲法尚無牴觸。</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貨物稅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698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貨物稅條例規定彩色電視機應課徵貨物稅與財政部96年6月14日台財稅字第09604501870號令以顯示器及調諧器二者未</w:t>
            </w:r>
            <w:proofErr w:type="gramStart"/>
            <w:r w:rsidRPr="007D10AC">
              <w:rPr>
                <w:rFonts w:hAnsi="標楷體" w:cs="新細明體" w:hint="eastAsia"/>
                <w:color w:val="000000" w:themeColor="text1"/>
                <w:kern w:val="0"/>
                <w:sz w:val="20"/>
              </w:rPr>
              <w:t>併</w:t>
            </w:r>
            <w:proofErr w:type="gramEnd"/>
            <w:r w:rsidRPr="007D10AC">
              <w:rPr>
                <w:rFonts w:hAnsi="標楷體" w:cs="新細明體" w:hint="eastAsia"/>
                <w:color w:val="000000" w:themeColor="text1"/>
                <w:kern w:val="0"/>
                <w:sz w:val="20"/>
              </w:rPr>
              <w:t>同出廠，即非應稅之「彩色電視機」範圍，與憲法尚無牴觸。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700</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財政部89年10月19日台財稅第890457254號函，未辦登記短漏營業稅漏稅額之認定，不許以查獲後始提出之進項憑證扣抵銷項稅額，與憲法尚無牴觸。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701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94年12月28日所得稅法第17條第1項第2款第2目之3前段醫藥費列舉扣除規定，不包括身心失能無力自理生活而須長期照護者(如失智症、植物人、極重度慢性精神病、因中風或其他重症長期臥病在床等)付與其他合法醫療院所之醫藥費，與憲法第7條平等原則之意旨不符，應不予適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703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財政部賦稅署</w:t>
            </w:r>
            <w:proofErr w:type="gramStart"/>
            <w:r w:rsidRPr="007D10AC">
              <w:rPr>
                <w:rFonts w:hAnsi="標楷體" w:cs="新細明體" w:hint="eastAsia"/>
                <w:color w:val="000000" w:themeColor="text1"/>
                <w:kern w:val="0"/>
                <w:sz w:val="20"/>
              </w:rPr>
              <w:t>84年12月19日台稅一發</w:t>
            </w:r>
            <w:proofErr w:type="gramEnd"/>
            <w:r w:rsidRPr="007D10AC">
              <w:rPr>
                <w:rFonts w:hAnsi="標楷體" w:cs="新細明體" w:hint="eastAsia"/>
                <w:color w:val="000000" w:themeColor="text1"/>
                <w:kern w:val="0"/>
                <w:sz w:val="20"/>
              </w:rPr>
              <w:t>第841664043號函一（五）決議1與3，關於計算教育文化公益慈善機關或團體免納所得稅適用標準第2條第1項第8款之免稅要件時，就醫療用途所購置之建物、設備選擇全額列為購置年度資本支出，於計算課稅所得時不得再提列折舊，違反憲法第19條租稅法律主義，應自本解釋公布之日起不再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705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財政部92年6月3日台財稅字第0920452464號令等6令有關捐贈列舉扣除額金額依財政部核定之標準認定，以及非屬公共設施保留地得專案報部核定或依土地公告現值之16％計算部分，與憲法第19條租稅法律主義不符，</w:t>
            </w:r>
            <w:proofErr w:type="gramStart"/>
            <w:r w:rsidRPr="007D10AC">
              <w:rPr>
                <w:rFonts w:hAnsi="標楷體" w:cs="新細明體" w:hint="eastAsia"/>
                <w:color w:val="000000" w:themeColor="text1"/>
                <w:kern w:val="0"/>
                <w:sz w:val="20"/>
              </w:rPr>
              <w:t>均應自</w:t>
            </w:r>
            <w:proofErr w:type="gramEnd"/>
            <w:r w:rsidRPr="007D10AC">
              <w:rPr>
                <w:rFonts w:hAnsi="標楷體" w:cs="新細明體" w:hint="eastAsia"/>
                <w:color w:val="000000" w:themeColor="text1"/>
                <w:kern w:val="0"/>
                <w:sz w:val="20"/>
              </w:rPr>
              <w:t>本解釋公布之日起不予援用。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706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買受法院拍賣物限以非賣方之</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徵機關所填發營業稅繳款書第三聯（扣抵聯）為進項憑證相關規範，均違反憲法第19條租稅法律主義，應不予援用。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713</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扣繳義務人無論</w:t>
            </w:r>
            <w:proofErr w:type="gramStart"/>
            <w:r w:rsidRPr="007D10AC">
              <w:rPr>
                <w:rFonts w:hAnsi="標楷體" w:cs="新細明體" w:hint="eastAsia"/>
                <w:color w:val="000000" w:themeColor="text1"/>
                <w:kern w:val="0"/>
                <w:sz w:val="20"/>
              </w:rPr>
              <w:t>違</w:t>
            </w:r>
            <w:proofErr w:type="gramEnd"/>
            <w:r w:rsidRPr="007D10AC">
              <w:rPr>
                <w:rFonts w:hAnsi="標楷體" w:cs="新細明體" w:hint="eastAsia"/>
                <w:color w:val="000000" w:themeColor="text1"/>
                <w:kern w:val="0"/>
                <w:sz w:val="20"/>
              </w:rPr>
              <w:t>申報扣繳憑單義務或違扣繳稅款義務，一律處稅額1.5倍罰鍰，已逾越必要程度，就此範圍內，不符憲法第23條之比例原則，與憲法第15條保障人民財產權之意旨有違，應自本解釋公布之日起不再適用。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722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104年3月26日修正前執行業務所得查核辦法第10條第2項得按權責發生制計算所得規定，未涵蓋業務收支跨年度、經營規模大且會計事項複雜而與公司經營型態相類之單獨執行業務者在內，與憲法第7條平等原則之意旨不符。</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39</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所得稅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745</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一、所得稅法第14條第1項第3類第1款及第2款、同法第17條第1項第2款第3目之2有關薪資所得</w:t>
            </w:r>
            <w:proofErr w:type="gramStart"/>
            <w:r w:rsidRPr="007D10AC">
              <w:rPr>
                <w:rFonts w:hAnsi="標楷體" w:cs="新細明體" w:hint="eastAsia"/>
                <w:color w:val="000000" w:themeColor="text1"/>
                <w:kern w:val="0"/>
                <w:sz w:val="20"/>
              </w:rPr>
              <w:t>採</w:t>
            </w:r>
            <w:proofErr w:type="gramEnd"/>
            <w:r w:rsidRPr="007D10AC">
              <w:rPr>
                <w:rFonts w:hAnsi="標楷體" w:cs="新細明體" w:hint="eastAsia"/>
                <w:color w:val="000000" w:themeColor="text1"/>
                <w:kern w:val="0"/>
                <w:sz w:val="20"/>
              </w:rPr>
              <w:t>定額減除方式，不許必要費用超過定額者得以列舉或</w:t>
            </w:r>
            <w:r w:rsidRPr="007D10AC">
              <w:rPr>
                <w:rFonts w:hAnsi="標楷體" w:cs="新細明體" w:hint="eastAsia"/>
                <w:color w:val="000000" w:themeColor="text1"/>
                <w:kern w:val="0"/>
                <w:sz w:val="20"/>
              </w:rPr>
              <w:lastRenderedPageBreak/>
              <w:t>其他方式減除必要費用，與憲法第7條平等權保障之意旨不符。</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lastRenderedPageBreak/>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w:t>
            </w: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二、財政部74年4月23日台財稅第14917號函有關大專院校兼任教師授課鐘點費屬薪資所得部分，與憲法第19條租稅法律主義及第23條規定尚無牴觸。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(函釋)</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(所得稅法)</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40</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遺產及贈與稅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746</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一、稅捐</w:t>
            </w:r>
            <w:proofErr w:type="gramStart"/>
            <w:r w:rsidRPr="007D10AC">
              <w:rPr>
                <w:rFonts w:hAnsi="標楷體" w:cs="新細明體" w:hint="eastAsia"/>
                <w:color w:val="000000" w:themeColor="text1"/>
                <w:kern w:val="0"/>
                <w:sz w:val="20"/>
              </w:rPr>
              <w:t>稽</w:t>
            </w:r>
            <w:proofErr w:type="gramEnd"/>
            <w:r w:rsidRPr="007D10AC">
              <w:rPr>
                <w:rFonts w:hAnsi="標楷體" w:cs="新細明體" w:hint="eastAsia"/>
                <w:color w:val="000000" w:themeColor="text1"/>
                <w:kern w:val="0"/>
                <w:sz w:val="20"/>
              </w:rPr>
              <w:t>徵法第20條及遺產稅及贈與稅法第51條第1項規定有關逾期繳納稅捐應加徵滯納金；及財政部80年4月8日台財稅第790445422號函及81年10月9日台財稅第811680291號函，認為納稅義務人就復查決定補徵之應納稅額依法提起訴願，逾繳納期限始繳納應納稅額半數時，應就該半數加徵滯納金；</w:t>
            </w:r>
            <w:proofErr w:type="gramStart"/>
            <w:r w:rsidRPr="007D10AC">
              <w:rPr>
                <w:rFonts w:hAnsi="標楷體" w:cs="新細明體" w:hint="eastAsia"/>
                <w:color w:val="000000" w:themeColor="text1"/>
                <w:kern w:val="0"/>
                <w:sz w:val="20"/>
              </w:rPr>
              <w:t>及自滯納</w:t>
            </w:r>
            <w:proofErr w:type="gramEnd"/>
            <w:r w:rsidRPr="007D10AC">
              <w:rPr>
                <w:rFonts w:hAnsi="標楷體" w:cs="新細明體" w:hint="eastAsia"/>
                <w:color w:val="000000" w:themeColor="text1"/>
                <w:kern w:val="0"/>
                <w:sz w:val="20"/>
              </w:rPr>
              <w:t>期限翌日起加徵滯納利息等部分，合憲。</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u w:val="single"/>
              </w:rPr>
            </w:pPr>
            <w:r w:rsidRPr="007D10AC">
              <w:rPr>
                <w:rFonts w:hAnsi="標楷體" w:cs="新細明體" w:hint="eastAsia"/>
                <w:bCs/>
                <w:color w:val="000000" w:themeColor="text1"/>
                <w:kern w:val="0"/>
                <w:sz w:val="24"/>
                <w:szCs w:val="24"/>
                <w:u w:val="single"/>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0"/>
              </w:rPr>
            </w:pPr>
            <w:r w:rsidRPr="007D10AC">
              <w:rPr>
                <w:rFonts w:hAnsi="標楷體" w:cs="新細明體" w:hint="eastAsia"/>
                <w:bCs/>
                <w:color w:val="000000" w:themeColor="text1"/>
                <w:kern w:val="0"/>
                <w:sz w:val="20"/>
              </w:rPr>
              <w:t>▲</w:t>
            </w: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二、惟就滯納金部分加徵利息，欠缺合理性，不符憲法比例原則，與憲法保障人民財產權之意旨有違，應自本解釋公布之</w:t>
            </w:r>
            <w:proofErr w:type="gramStart"/>
            <w:r w:rsidRPr="007D10AC">
              <w:rPr>
                <w:rFonts w:hAnsi="標楷體" w:cs="新細明體" w:hint="eastAsia"/>
                <w:color w:val="000000" w:themeColor="text1"/>
                <w:kern w:val="0"/>
                <w:sz w:val="20"/>
              </w:rPr>
              <w:t>日起失其</w:t>
            </w:r>
            <w:proofErr w:type="gramEnd"/>
            <w:r w:rsidRPr="007D10AC">
              <w:rPr>
                <w:rFonts w:hAnsi="標楷體" w:cs="新細明體" w:hint="eastAsia"/>
                <w:color w:val="000000" w:themeColor="text1"/>
                <w:kern w:val="0"/>
                <w:sz w:val="20"/>
              </w:rPr>
              <w:t>效力。</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u w:val="single"/>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41</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關稅、貨物稅、營業稅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754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最高行政法院</w:t>
            </w:r>
            <w:proofErr w:type="gramStart"/>
            <w:r w:rsidRPr="007D10AC">
              <w:rPr>
                <w:rFonts w:hAnsi="標楷體" w:cs="新細明體" w:hint="eastAsia"/>
                <w:color w:val="000000" w:themeColor="text1"/>
                <w:kern w:val="0"/>
                <w:sz w:val="20"/>
              </w:rPr>
              <w:t>100</w:t>
            </w:r>
            <w:proofErr w:type="gramEnd"/>
            <w:r w:rsidRPr="007D10AC">
              <w:rPr>
                <w:rFonts w:hAnsi="標楷體" w:cs="新細明體" w:hint="eastAsia"/>
                <w:color w:val="000000" w:themeColor="text1"/>
                <w:kern w:val="0"/>
                <w:sz w:val="20"/>
              </w:rPr>
              <w:t>年度5月份第2次庭長法官聯席會議有關填具一張進口報單逃漏進口稅、貨物稅及營業稅，併合處罰之決議，與法治國一行為不二罰之原則並無牴觸。</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42</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營業稅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757</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司法院釋字第706號解釋之聲請人，得自本解釋送達之日起3個月內，以執行法院拍賣開立之繳款收據作為聲請人進項稅額憑證，據以申報扣抵銷項稅額。本院釋字第706號解釋應予補充。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Calibri"/>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488"/>
        </w:trPr>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43</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土地增值稅</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779</w:t>
            </w:r>
          </w:p>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roofErr w:type="gramStart"/>
            <w:r w:rsidRPr="007D10AC">
              <w:rPr>
                <w:rFonts w:hAnsi="標楷體" w:cs="新細明體" w:hint="eastAsia"/>
                <w:color w:val="000000" w:themeColor="text1"/>
                <w:kern w:val="0"/>
                <w:sz w:val="20"/>
              </w:rPr>
              <w:t>註</w:t>
            </w:r>
            <w:proofErr w:type="gramEnd"/>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土地稅法第39條第2項僅就依都市計畫法指定之公共設施保留地，免徵其土地增值稅；至非都市土地經編定為交通用地，且依法核定為公共設施用地者，則不予免徵土地增值稅，於此範圍內，與憲法第7條保障平等權之意旨不符。</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vMerge w:val="restart"/>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rPr>
            </w:pP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(土地稅法)</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12"/>
                <w:szCs w:val="12"/>
              </w:rPr>
            </w:pPr>
            <w:r w:rsidRPr="007D10AC">
              <w:rPr>
                <w:rFonts w:hAnsi="標楷體" w:cs="新細明體" w:hint="eastAsia"/>
                <w:bCs/>
                <w:color w:val="000000" w:themeColor="text1"/>
                <w:kern w:val="0"/>
                <w:sz w:val="12"/>
                <w:szCs w:val="12"/>
              </w:rPr>
              <w:t>(函釋)</w:t>
            </w:r>
          </w:p>
        </w:tc>
        <w:tc>
          <w:tcPr>
            <w:tcW w:w="0" w:type="auto"/>
            <w:vMerge/>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left"/>
              <w:rPr>
                <w:rFonts w:hAnsi="標楷體" w:cs="新細明體"/>
                <w:color w:val="000000" w:themeColor="text1"/>
                <w:kern w:val="0"/>
                <w:sz w:val="20"/>
              </w:rPr>
            </w:pPr>
          </w:p>
        </w:tc>
      </w:tr>
      <w:tr w:rsidR="007D10AC" w:rsidRPr="007D10AC" w:rsidTr="00D47582">
        <w:trPr>
          <w:trHeight w:val="20"/>
        </w:trPr>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44</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使用牌照稅</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798</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rPr>
                <w:rFonts w:hAnsi="標楷體" w:cs="新細明體"/>
                <w:color w:val="000000" w:themeColor="text1"/>
                <w:kern w:val="0"/>
                <w:sz w:val="20"/>
              </w:rPr>
            </w:pPr>
            <w:r w:rsidRPr="007D10AC">
              <w:rPr>
                <w:rFonts w:hAnsi="標楷體" w:cs="新細明體" w:hint="eastAsia"/>
                <w:color w:val="000000" w:themeColor="text1"/>
                <w:kern w:val="0"/>
                <w:sz w:val="20"/>
              </w:rPr>
              <w:t>財政部92年2月12日台財稅字第0920450239號令及105年8月31日台財稅字第10504576330號函，就90年1月17日修正公布之使用牌照稅法第7條第1項第9款關於交通工具免徵使用牌照稅之規定，所稱「每一團體和機構以3輛為限」，明示應以同一法人於同一行政區域[同一直轄市或縣（市）]內之總分支機構合計3輛為限，違反憲法第19條租稅法律主義，應不予援用。</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bCs/>
                <w:color w:val="000000" w:themeColor="text1"/>
                <w:kern w:val="0"/>
                <w:sz w:val="24"/>
                <w:szCs w:val="24"/>
              </w:rPr>
            </w:pPr>
            <w:r w:rsidRPr="007D10AC">
              <w:rPr>
                <w:rFonts w:hAnsi="標楷體" w:cs="新細明體" w:hint="eastAsia"/>
                <w:bCs/>
                <w:color w:val="000000" w:themeColor="text1"/>
                <w:kern w:val="0"/>
                <w:sz w:val="24"/>
                <w:szCs w:val="24"/>
              </w:rPr>
              <w:t>Ⅴ</w:t>
            </w:r>
          </w:p>
        </w:tc>
        <w:tc>
          <w:tcPr>
            <w:tcW w:w="0" w:type="auto"/>
            <w:shd w:val="clear" w:color="auto" w:fill="auto"/>
            <w:vAlign w:val="center"/>
            <w:hideMark/>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p>
        </w:tc>
      </w:tr>
      <w:tr w:rsidR="007D10AC" w:rsidRPr="007D10AC" w:rsidTr="00D47582">
        <w:trPr>
          <w:trHeight w:val="20"/>
        </w:trPr>
        <w:tc>
          <w:tcPr>
            <w:tcW w:w="0" w:type="auto"/>
            <w:gridSpan w:val="3"/>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件數合計</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4</w:t>
            </w:r>
            <w:r w:rsidRPr="007D10AC">
              <w:rPr>
                <w:rFonts w:hAnsi="標楷體" w:cs="新細明體"/>
                <w:color w:val="000000" w:themeColor="text1"/>
                <w:kern w:val="0"/>
                <w:sz w:val="20"/>
              </w:rPr>
              <w:t>4</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w:t>
            </w:r>
            <w:r w:rsidRPr="007D10AC">
              <w:rPr>
                <w:rFonts w:hAnsi="標楷體" w:cs="新細明體"/>
                <w:color w:val="000000" w:themeColor="text1"/>
                <w:kern w:val="0"/>
                <w:sz w:val="20"/>
              </w:rPr>
              <w:t>4</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2</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color w:val="000000" w:themeColor="text1"/>
                <w:kern w:val="0"/>
                <w:sz w:val="20"/>
              </w:rPr>
              <w:t>1</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8</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1</w:t>
            </w:r>
            <w:r w:rsidRPr="007D10AC">
              <w:rPr>
                <w:rFonts w:hAnsi="標楷體" w:cs="新細明體"/>
                <w:color w:val="000000" w:themeColor="text1"/>
                <w:kern w:val="0"/>
                <w:sz w:val="20"/>
              </w:rPr>
              <w:t>4</w:t>
            </w:r>
          </w:p>
        </w:tc>
        <w:tc>
          <w:tcPr>
            <w:tcW w:w="0" w:type="auto"/>
            <w:shd w:val="clear" w:color="auto" w:fill="auto"/>
            <w:vAlign w:val="center"/>
          </w:tcPr>
          <w:p w:rsidR="001F062F" w:rsidRPr="007D10AC" w:rsidRDefault="001F062F" w:rsidP="00D47582">
            <w:pPr>
              <w:widowControl/>
              <w:overflowPunct/>
              <w:autoSpaceDE/>
              <w:autoSpaceDN/>
              <w:adjustRightInd w:val="0"/>
              <w:snapToGrid w:val="0"/>
              <w:spacing w:line="220" w:lineRule="exact"/>
              <w:jc w:val="center"/>
              <w:rPr>
                <w:rFonts w:hAnsi="標楷體" w:cs="新細明體"/>
                <w:color w:val="000000" w:themeColor="text1"/>
                <w:kern w:val="0"/>
                <w:sz w:val="20"/>
              </w:rPr>
            </w:pPr>
            <w:r w:rsidRPr="007D10AC">
              <w:rPr>
                <w:rFonts w:hAnsi="標楷體" w:cs="新細明體" w:hint="eastAsia"/>
                <w:color w:val="000000" w:themeColor="text1"/>
                <w:kern w:val="0"/>
                <w:sz w:val="20"/>
              </w:rPr>
              <w:t>5</w:t>
            </w:r>
          </w:p>
        </w:tc>
      </w:tr>
    </w:tbl>
    <w:p w:rsidR="001F062F" w:rsidRPr="007D10AC" w:rsidRDefault="001F062F" w:rsidP="001F062F">
      <w:pPr>
        <w:pStyle w:val="af9"/>
        <w:spacing w:before="0" w:after="0" w:line="300" w:lineRule="exact"/>
        <w:ind w:left="425" w:hangingChars="177" w:hanging="425"/>
        <w:rPr>
          <w:rFonts w:hAnsi="標楷體"/>
          <w:color w:val="000000" w:themeColor="text1"/>
          <w:sz w:val="24"/>
          <w:szCs w:val="24"/>
        </w:rPr>
      </w:pPr>
      <w:proofErr w:type="gramStart"/>
      <w:r w:rsidRPr="007D10AC">
        <w:rPr>
          <w:rFonts w:hAnsi="標楷體" w:hint="eastAsia"/>
          <w:color w:val="000000" w:themeColor="text1"/>
          <w:sz w:val="24"/>
          <w:szCs w:val="24"/>
        </w:rPr>
        <w:t>註</w:t>
      </w:r>
      <w:proofErr w:type="gramEnd"/>
      <w:r w:rsidRPr="007D10AC">
        <w:rPr>
          <w:rFonts w:hAnsi="標楷體" w:hint="eastAsia"/>
          <w:color w:val="000000" w:themeColor="text1"/>
          <w:sz w:val="24"/>
          <w:szCs w:val="24"/>
        </w:rPr>
        <w:t>：同一解釋文部分定期失效、部分立即失效者，計入定期失效(釋字6</w:t>
      </w:r>
      <w:r w:rsidRPr="007D10AC">
        <w:rPr>
          <w:rFonts w:hAnsi="標楷體"/>
          <w:color w:val="000000" w:themeColor="text1"/>
          <w:sz w:val="24"/>
          <w:szCs w:val="24"/>
        </w:rPr>
        <w:t>96</w:t>
      </w:r>
      <w:r w:rsidRPr="007D10AC">
        <w:rPr>
          <w:rFonts w:hAnsi="標楷體" w:hint="eastAsia"/>
          <w:color w:val="000000" w:themeColor="text1"/>
          <w:sz w:val="24"/>
          <w:szCs w:val="24"/>
        </w:rPr>
        <w:t>號計1件)；同一解釋文部分定期檢討修正、部分立即失效者，計入定期檢討修正(釋字7</w:t>
      </w:r>
      <w:r w:rsidRPr="007D10AC">
        <w:rPr>
          <w:rFonts w:hAnsi="標楷體"/>
          <w:color w:val="000000" w:themeColor="text1"/>
          <w:sz w:val="24"/>
          <w:szCs w:val="24"/>
        </w:rPr>
        <w:t>79</w:t>
      </w:r>
      <w:r w:rsidRPr="007D10AC">
        <w:rPr>
          <w:rFonts w:hAnsi="標楷體" w:hint="eastAsia"/>
          <w:color w:val="000000" w:themeColor="text1"/>
          <w:sz w:val="24"/>
          <w:szCs w:val="24"/>
        </w:rPr>
        <w:t>號計1件)。</w:t>
      </w:r>
    </w:p>
    <w:p w:rsidR="001F062F" w:rsidRPr="007D10AC" w:rsidRDefault="001F062F" w:rsidP="001F062F">
      <w:pPr>
        <w:pStyle w:val="af9"/>
        <w:spacing w:before="0" w:after="0" w:line="300" w:lineRule="exact"/>
        <w:ind w:left="567" w:hangingChars="236" w:hanging="567"/>
        <w:rPr>
          <w:rFonts w:hAnsi="標楷體"/>
          <w:color w:val="000000" w:themeColor="text1"/>
          <w:sz w:val="24"/>
          <w:szCs w:val="24"/>
        </w:rPr>
      </w:pPr>
      <w:r w:rsidRPr="007D10AC">
        <w:rPr>
          <w:rFonts w:hAnsi="標楷體" w:hint="eastAsia"/>
          <w:color w:val="000000" w:themeColor="text1"/>
          <w:sz w:val="24"/>
          <w:szCs w:val="24"/>
        </w:rPr>
        <w:t>資料來源，整理自財政部函復本院資料。</w:t>
      </w:r>
    </w:p>
    <w:p w:rsidR="001F062F" w:rsidRPr="007D10AC" w:rsidRDefault="001F062F" w:rsidP="001F062F">
      <w:pPr>
        <w:pStyle w:val="31"/>
        <w:ind w:left="1361" w:firstLine="680"/>
        <w:rPr>
          <w:rFonts w:hAnsi="標楷體"/>
          <w:color w:val="000000" w:themeColor="text1"/>
        </w:rPr>
      </w:pPr>
    </w:p>
    <w:p w:rsidR="00C3655C" w:rsidRPr="007D10AC" w:rsidRDefault="00C3655C" w:rsidP="00417EB2">
      <w:pPr>
        <w:pStyle w:val="2"/>
        <w:spacing w:line="480" w:lineRule="exact"/>
        <w:ind w:hanging="680"/>
        <w:rPr>
          <w:rFonts w:hAnsi="標楷體"/>
          <w:b/>
          <w:color w:val="000000" w:themeColor="text1"/>
          <w:szCs w:val="20"/>
        </w:rPr>
      </w:pPr>
      <w:r w:rsidRPr="007D10AC">
        <w:rPr>
          <w:rFonts w:hAnsi="標楷體" w:hint="eastAsia"/>
          <w:b/>
          <w:color w:val="000000" w:themeColor="text1"/>
          <w:szCs w:val="20"/>
        </w:rPr>
        <w:t>稅務訴訟事件</w:t>
      </w:r>
      <w:r w:rsidR="00E9015D" w:rsidRPr="007D10AC">
        <w:rPr>
          <w:rFonts w:hAnsi="標楷體"/>
          <w:b/>
          <w:color w:val="000000" w:themeColor="text1"/>
          <w:szCs w:val="20"/>
        </w:rPr>
        <w:t>援引納保法作成有利納稅人</w:t>
      </w:r>
      <w:r w:rsidR="00E9015D" w:rsidRPr="007D10AC">
        <w:rPr>
          <w:rFonts w:hAnsi="標楷體" w:hint="eastAsia"/>
          <w:b/>
          <w:color w:val="000000" w:themeColor="text1"/>
          <w:szCs w:val="20"/>
        </w:rPr>
        <w:t>判決之</w:t>
      </w:r>
      <w:r w:rsidR="00E9015D" w:rsidRPr="007D10AC">
        <w:rPr>
          <w:rFonts w:hAnsi="標楷體"/>
          <w:b/>
          <w:color w:val="000000" w:themeColor="text1"/>
          <w:szCs w:val="20"/>
        </w:rPr>
        <w:t>比</w:t>
      </w:r>
      <w:r w:rsidR="00E9015D" w:rsidRPr="007D10AC">
        <w:rPr>
          <w:rFonts w:hAnsi="標楷體" w:hint="eastAsia"/>
          <w:b/>
          <w:color w:val="000000" w:themeColor="text1"/>
          <w:szCs w:val="20"/>
        </w:rPr>
        <w:t>率雖增加，惟</w:t>
      </w:r>
      <w:r w:rsidRPr="007D10AC">
        <w:rPr>
          <w:rFonts w:hAnsi="標楷體" w:hint="eastAsia"/>
          <w:b/>
          <w:color w:val="000000" w:themeColor="text1"/>
          <w:szCs w:val="20"/>
        </w:rPr>
        <w:t>納稅義務人整體勝訴率並未因納保法施行明顯提高，法院</w:t>
      </w:r>
      <w:r w:rsidRPr="007D10AC">
        <w:rPr>
          <w:rFonts w:hAnsi="標楷體"/>
          <w:b/>
          <w:color w:val="000000" w:themeColor="text1"/>
          <w:szCs w:val="20"/>
        </w:rPr>
        <w:t>自為判決</w:t>
      </w:r>
      <w:r w:rsidRPr="007D10AC">
        <w:rPr>
          <w:rFonts w:hAnsi="標楷體" w:hint="eastAsia"/>
          <w:b/>
          <w:color w:val="000000" w:themeColor="text1"/>
          <w:szCs w:val="20"/>
        </w:rPr>
        <w:t>之件數亦未隨納保法之施行而有所增加，顯示行政法院法官</w:t>
      </w:r>
      <w:r w:rsidR="0095735E" w:rsidRPr="007D10AC">
        <w:rPr>
          <w:rFonts w:hAnsi="標楷體" w:hint="eastAsia"/>
          <w:b/>
          <w:color w:val="000000" w:themeColor="text1"/>
          <w:szCs w:val="20"/>
        </w:rPr>
        <w:t>實務上</w:t>
      </w:r>
      <w:r w:rsidRPr="007D10AC">
        <w:rPr>
          <w:rFonts w:hAnsi="標楷體" w:hint="eastAsia"/>
          <w:b/>
          <w:color w:val="000000" w:themeColor="text1"/>
          <w:szCs w:val="20"/>
        </w:rPr>
        <w:t>並未依納保</w:t>
      </w:r>
      <w:r w:rsidRPr="007D10AC">
        <w:rPr>
          <w:rFonts w:hAnsi="標楷體" w:hint="eastAsia"/>
          <w:b/>
          <w:color w:val="000000" w:themeColor="text1"/>
          <w:szCs w:val="20"/>
        </w:rPr>
        <w:lastRenderedPageBreak/>
        <w:t>法第2</w:t>
      </w:r>
      <w:r w:rsidRPr="007D10AC">
        <w:rPr>
          <w:rFonts w:hAnsi="標楷體"/>
          <w:b/>
          <w:color w:val="000000" w:themeColor="text1"/>
          <w:szCs w:val="20"/>
        </w:rPr>
        <w:t>1</w:t>
      </w:r>
      <w:r w:rsidRPr="007D10AC">
        <w:rPr>
          <w:rFonts w:hAnsi="標楷體" w:hint="eastAsia"/>
          <w:b/>
          <w:color w:val="000000" w:themeColor="text1"/>
          <w:szCs w:val="20"/>
        </w:rPr>
        <w:t>條第3項規定，以「核實確認應繳納之稅額」為原則，慎重發回為例外</w:t>
      </w:r>
      <w:r w:rsidR="00816952" w:rsidRPr="007D10AC">
        <w:rPr>
          <w:rFonts w:hAnsi="標楷體" w:hint="eastAsia"/>
          <w:b/>
          <w:color w:val="000000" w:themeColor="text1"/>
          <w:szCs w:val="20"/>
        </w:rPr>
        <w:t>；</w:t>
      </w:r>
      <w:r w:rsidRPr="007D10AC">
        <w:rPr>
          <w:rFonts w:hAnsi="標楷體" w:hint="eastAsia"/>
          <w:b/>
          <w:color w:val="000000" w:themeColor="text1"/>
          <w:szCs w:val="20"/>
        </w:rPr>
        <w:t>且對於發回時，應將適用之「法律關係及事實」確定，因未能認定即發回，以致於訴訟至最高行政法院發回時，「法律關係及事實」仍未明，撤銷僅撤銷復查，造成稅務案件反覆訴訟、</w:t>
      </w:r>
      <w:r w:rsidRPr="007D10AC">
        <w:rPr>
          <w:rFonts w:hAnsi="標楷體"/>
          <w:b/>
          <w:color w:val="000000" w:themeColor="text1"/>
          <w:szCs w:val="20"/>
        </w:rPr>
        <w:t>久懸未決</w:t>
      </w:r>
      <w:r w:rsidR="0095735E" w:rsidRPr="007D10AC">
        <w:rPr>
          <w:rFonts w:hAnsi="標楷體"/>
          <w:b/>
          <w:color w:val="000000" w:themeColor="text1"/>
        </w:rPr>
        <w:t>，違反依照法律目的解釋應「原則從寬、例外從嚴」之法理，</w:t>
      </w:r>
      <w:r w:rsidR="0095735E" w:rsidRPr="007D10AC">
        <w:rPr>
          <w:rFonts w:hAnsi="標楷體" w:hint="eastAsia"/>
          <w:b/>
          <w:color w:val="000000" w:themeColor="text1"/>
        </w:rPr>
        <w:t>財政部允應儘速</w:t>
      </w:r>
      <w:proofErr w:type="gramStart"/>
      <w:r w:rsidR="0095735E" w:rsidRPr="007D10AC">
        <w:rPr>
          <w:rFonts w:hAnsi="標楷體" w:hint="eastAsia"/>
          <w:b/>
          <w:color w:val="000000" w:themeColor="text1"/>
        </w:rPr>
        <w:t>研</w:t>
      </w:r>
      <w:proofErr w:type="gramEnd"/>
      <w:r w:rsidR="0095735E" w:rsidRPr="007D10AC">
        <w:rPr>
          <w:rFonts w:hAnsi="標楷體" w:hint="eastAsia"/>
          <w:b/>
          <w:color w:val="000000" w:themeColor="text1"/>
        </w:rPr>
        <w:t>議修正上開</w:t>
      </w:r>
      <w:r w:rsidR="0095735E" w:rsidRPr="007D10AC">
        <w:rPr>
          <w:rFonts w:hAnsi="標楷體"/>
          <w:b/>
          <w:color w:val="000000" w:themeColor="text1"/>
        </w:rPr>
        <w:t>「因案情複雜而難以查明者，不在此限」但書之規定</w:t>
      </w:r>
      <w:r w:rsidRPr="007D10AC">
        <w:rPr>
          <w:rFonts w:hAnsi="標楷體" w:hint="eastAsia"/>
          <w:b/>
          <w:color w:val="000000" w:themeColor="text1"/>
          <w:szCs w:val="20"/>
        </w:rPr>
        <w:t>，司法</w:t>
      </w:r>
      <w:proofErr w:type="gramStart"/>
      <w:r w:rsidRPr="007D10AC">
        <w:rPr>
          <w:rFonts w:hAnsi="標楷體" w:hint="eastAsia"/>
          <w:b/>
          <w:color w:val="000000" w:themeColor="text1"/>
          <w:szCs w:val="20"/>
        </w:rPr>
        <w:t>院</w:t>
      </w:r>
      <w:r w:rsidR="0095735E" w:rsidRPr="007D10AC">
        <w:rPr>
          <w:rFonts w:hAnsi="標楷體" w:hint="eastAsia"/>
          <w:b/>
          <w:color w:val="000000" w:themeColor="text1"/>
          <w:szCs w:val="20"/>
        </w:rPr>
        <w:t>亦</w:t>
      </w:r>
      <w:r w:rsidRPr="007D10AC">
        <w:rPr>
          <w:rFonts w:hAnsi="標楷體" w:hint="eastAsia"/>
          <w:b/>
          <w:color w:val="000000" w:themeColor="text1"/>
          <w:szCs w:val="20"/>
        </w:rPr>
        <w:t>允</w:t>
      </w:r>
      <w:proofErr w:type="gramEnd"/>
      <w:r w:rsidRPr="007D10AC">
        <w:rPr>
          <w:rFonts w:hAnsi="標楷體" w:hint="eastAsia"/>
          <w:b/>
          <w:color w:val="000000" w:themeColor="text1"/>
          <w:szCs w:val="20"/>
        </w:rPr>
        <w:t>應加強稅務法官專業訓練：</w:t>
      </w:r>
    </w:p>
    <w:p w:rsidR="0095735E" w:rsidRPr="007D10AC" w:rsidRDefault="0095735E" w:rsidP="00417EB2">
      <w:pPr>
        <w:pStyle w:val="3"/>
        <w:spacing w:line="480" w:lineRule="exact"/>
        <w:ind w:hanging="680"/>
        <w:rPr>
          <w:rFonts w:hAnsi="標楷體"/>
          <w:color w:val="000000" w:themeColor="text1"/>
        </w:rPr>
      </w:pPr>
      <w:r w:rsidRPr="007D10AC">
        <w:rPr>
          <w:rFonts w:hAnsi="標楷體" w:hint="eastAsia"/>
          <w:color w:val="000000" w:themeColor="text1"/>
        </w:rPr>
        <w:t>依納保法第</w:t>
      </w:r>
      <w:r w:rsidRPr="007D10AC">
        <w:rPr>
          <w:rFonts w:hAnsi="標楷體"/>
          <w:color w:val="000000" w:themeColor="text1"/>
        </w:rPr>
        <w:t>21</w:t>
      </w:r>
      <w:r w:rsidRPr="007D10AC">
        <w:rPr>
          <w:rFonts w:hAnsi="標楷體" w:hint="eastAsia"/>
          <w:color w:val="000000" w:themeColor="text1"/>
        </w:rPr>
        <w:t>條規定：「納稅者不服課稅處分，經復查決定後提起行政爭訟，於訴願審議委員會決議前或行政訴訟事實審言詞辯論終結前，得追加或變更主張課稅處分違法事由，受理訴願機關或行政法院應予審酌。其由受理訴願機關或行政法院依職權發現課稅處分違法者，亦同。前項情形，稅捐稽徵機關應提出答辯書狀，具體表明對於該追加或變更事由之意見。行政法院對於納稅者之應納稅額，應查明事證以核實確認，在納稅者聲明不服之範圍內定其數額。但因案情複雜而難以查明者，不在此限。……」本條第</w:t>
      </w:r>
      <w:r w:rsidRPr="007D10AC">
        <w:rPr>
          <w:rFonts w:hAnsi="標楷體"/>
          <w:color w:val="000000" w:themeColor="text1"/>
        </w:rPr>
        <w:t>3</w:t>
      </w:r>
      <w:r w:rsidRPr="007D10AC">
        <w:rPr>
          <w:rFonts w:hAnsi="標楷體" w:hint="eastAsia"/>
          <w:color w:val="000000" w:themeColor="text1"/>
        </w:rPr>
        <w:t>項，要求行政法院除「因案情複雜而難以查明者」以外，對於納稅者之應納稅額，應查明事證以核實確認，在納稅者聲明不服之範圍內定其數額。</w:t>
      </w:r>
    </w:p>
    <w:p w:rsidR="00676E0F" w:rsidRPr="007D10AC" w:rsidRDefault="00676E0F" w:rsidP="00A42DBA">
      <w:pPr>
        <w:pStyle w:val="3"/>
        <w:spacing w:line="480" w:lineRule="exact"/>
        <w:ind w:left="1360" w:hanging="680"/>
        <w:rPr>
          <w:rFonts w:hAnsi="標楷體"/>
          <w:color w:val="000000" w:themeColor="text1"/>
        </w:rPr>
      </w:pPr>
      <w:r w:rsidRPr="007D10AC">
        <w:rPr>
          <w:rFonts w:hAnsi="標楷體" w:hint="eastAsia"/>
          <w:color w:val="000000" w:themeColor="text1"/>
        </w:rPr>
        <w:t>為瞭解</w:t>
      </w:r>
      <w:r w:rsidRPr="007D10AC">
        <w:rPr>
          <w:rFonts w:hAnsi="標楷體"/>
          <w:color w:val="000000" w:themeColor="text1"/>
        </w:rPr>
        <w:t>納保法</w:t>
      </w:r>
      <w:r w:rsidRPr="007D10AC">
        <w:rPr>
          <w:rFonts w:hAnsi="標楷體" w:hint="eastAsia"/>
          <w:color w:val="000000" w:themeColor="text1"/>
        </w:rPr>
        <w:t>之施行</w:t>
      </w:r>
      <w:r w:rsidRPr="007D10AC">
        <w:rPr>
          <w:rFonts w:hAnsi="標楷體"/>
          <w:color w:val="000000" w:themeColor="text1"/>
        </w:rPr>
        <w:t>對</w:t>
      </w:r>
      <w:r w:rsidRPr="007D10AC">
        <w:rPr>
          <w:rFonts w:hAnsi="標楷體" w:hint="eastAsia"/>
          <w:color w:val="000000" w:themeColor="text1"/>
        </w:rPr>
        <w:t>行政</w:t>
      </w:r>
      <w:r w:rsidRPr="007D10AC">
        <w:rPr>
          <w:rFonts w:hAnsi="標楷體"/>
          <w:color w:val="000000" w:themeColor="text1"/>
        </w:rPr>
        <w:t>訴訟</w:t>
      </w:r>
      <w:r w:rsidRPr="007D10AC">
        <w:rPr>
          <w:rFonts w:hAnsi="標楷體" w:hint="eastAsia"/>
          <w:color w:val="000000" w:themeColor="text1"/>
        </w:rPr>
        <w:t>之</w:t>
      </w:r>
      <w:r w:rsidRPr="007D10AC">
        <w:rPr>
          <w:rFonts w:hAnsi="標楷體"/>
          <w:color w:val="000000" w:themeColor="text1"/>
        </w:rPr>
        <w:t>影響</w:t>
      </w:r>
      <w:r w:rsidRPr="007D10AC">
        <w:rPr>
          <w:rFonts w:hAnsi="標楷體" w:hint="eastAsia"/>
          <w:color w:val="000000" w:themeColor="text1"/>
        </w:rPr>
        <w:t>，據10</w:t>
      </w:r>
      <w:r w:rsidRPr="007D10AC">
        <w:rPr>
          <w:rFonts w:hAnsi="標楷體"/>
          <w:color w:val="000000" w:themeColor="text1"/>
        </w:rPr>
        <w:t>4</w:t>
      </w:r>
      <w:r w:rsidRPr="007D10AC">
        <w:rPr>
          <w:rFonts w:hAnsi="標楷體" w:hint="eastAsia"/>
          <w:color w:val="000000" w:themeColor="text1"/>
        </w:rPr>
        <w:t>至109年</w:t>
      </w:r>
      <w:r w:rsidRPr="007D10AC">
        <w:rPr>
          <w:rFonts w:hAnsi="標楷體"/>
          <w:color w:val="000000" w:themeColor="text1"/>
        </w:rPr>
        <w:t>最高行政法院稅</w:t>
      </w:r>
      <w:r w:rsidRPr="007D10AC">
        <w:rPr>
          <w:rFonts w:hAnsi="標楷體" w:hint="eastAsia"/>
          <w:color w:val="000000" w:themeColor="text1"/>
        </w:rPr>
        <w:t>捐上訴事件終結情形及106至109年前</w:t>
      </w:r>
      <w:proofErr w:type="gramStart"/>
      <w:r w:rsidRPr="007D10AC">
        <w:rPr>
          <w:rFonts w:hAnsi="標楷體" w:hint="eastAsia"/>
          <w:color w:val="000000" w:themeColor="text1"/>
        </w:rPr>
        <w:t>揭</w:t>
      </w:r>
      <w:proofErr w:type="gramEnd"/>
      <w:r w:rsidRPr="007D10AC">
        <w:rPr>
          <w:rFonts w:hAnsi="標楷體" w:hint="eastAsia"/>
          <w:color w:val="000000" w:themeColor="text1"/>
        </w:rPr>
        <w:t>案件</w:t>
      </w:r>
      <w:r w:rsidRPr="007D10AC">
        <w:rPr>
          <w:rFonts w:hAnsi="標楷體"/>
          <w:color w:val="000000" w:themeColor="text1"/>
        </w:rPr>
        <w:t>中援引納保法</w:t>
      </w:r>
      <w:r w:rsidRPr="007D10AC">
        <w:rPr>
          <w:rFonts w:hAnsi="標楷體" w:hint="eastAsia"/>
          <w:color w:val="000000" w:themeColor="text1"/>
        </w:rPr>
        <w:t>之</w:t>
      </w:r>
      <w:r w:rsidRPr="007D10AC">
        <w:rPr>
          <w:rFonts w:hAnsi="標楷體"/>
          <w:color w:val="000000" w:themeColor="text1"/>
        </w:rPr>
        <w:t>情況</w:t>
      </w:r>
      <w:r w:rsidRPr="007D10AC">
        <w:rPr>
          <w:rFonts w:hAnsi="標楷體"/>
          <w:color w:val="000000" w:themeColor="text1"/>
          <w:vertAlign w:val="superscript"/>
        </w:rPr>
        <w:footnoteReference w:id="8"/>
      </w:r>
      <w:r w:rsidR="0022475F" w:rsidRPr="007D10AC">
        <w:rPr>
          <w:rFonts w:hAnsi="標楷體"/>
          <w:color w:val="000000" w:themeColor="text1"/>
        </w:rPr>
        <w:t>（</w:t>
      </w:r>
      <w:r w:rsidRPr="007D10AC">
        <w:rPr>
          <w:rFonts w:hAnsi="標楷體" w:hint="eastAsia"/>
          <w:color w:val="000000" w:themeColor="text1"/>
        </w:rPr>
        <w:t>詳表</w:t>
      </w:r>
      <w:r w:rsidR="00816952" w:rsidRPr="007D10AC">
        <w:rPr>
          <w:rFonts w:hAnsi="標楷體"/>
          <w:color w:val="000000" w:themeColor="text1"/>
        </w:rPr>
        <w:t>1</w:t>
      </w:r>
      <w:r w:rsidR="00273637" w:rsidRPr="007D10AC">
        <w:rPr>
          <w:rFonts w:hAnsi="標楷體"/>
          <w:color w:val="000000" w:themeColor="text1"/>
        </w:rPr>
        <w:t>5</w:t>
      </w:r>
      <w:r w:rsidR="0022475F" w:rsidRPr="007D10AC">
        <w:rPr>
          <w:rFonts w:hAnsi="標楷體"/>
          <w:color w:val="000000" w:themeColor="text1"/>
        </w:rPr>
        <w:t>）</w:t>
      </w:r>
      <w:r w:rsidRPr="007D10AC">
        <w:rPr>
          <w:rFonts w:hAnsi="標楷體"/>
          <w:color w:val="000000" w:themeColor="text1"/>
        </w:rPr>
        <w:t>，</w:t>
      </w:r>
      <w:r w:rsidRPr="007D10AC">
        <w:rPr>
          <w:rFonts w:hAnsi="標楷體" w:hint="eastAsia"/>
          <w:color w:val="000000" w:themeColor="text1"/>
        </w:rPr>
        <w:t>其</w:t>
      </w:r>
      <w:r w:rsidRPr="007D10AC">
        <w:rPr>
          <w:rFonts w:hAnsi="標楷體"/>
          <w:color w:val="000000" w:themeColor="text1"/>
        </w:rPr>
        <w:lastRenderedPageBreak/>
        <w:t>中納稅義務人、或稽徵機關、或法院有援引納保法規定</w:t>
      </w:r>
      <w:r w:rsidRPr="007D10AC">
        <w:rPr>
          <w:rFonts w:hAnsi="標楷體" w:hint="eastAsia"/>
          <w:color w:val="000000" w:themeColor="text1"/>
        </w:rPr>
        <w:t>之稅務訴訟事件，106至109年度分別為15</w:t>
      </w:r>
      <w:r w:rsidRPr="007D10AC">
        <w:rPr>
          <w:rFonts w:hAnsi="標楷體"/>
          <w:color w:val="000000" w:themeColor="text1"/>
        </w:rPr>
        <w:t>、</w:t>
      </w:r>
      <w:r w:rsidRPr="007D10AC">
        <w:rPr>
          <w:rFonts w:hAnsi="標楷體" w:hint="eastAsia"/>
          <w:color w:val="000000" w:themeColor="text1"/>
        </w:rPr>
        <w:t>81</w:t>
      </w:r>
      <w:r w:rsidRPr="007D10AC">
        <w:rPr>
          <w:rFonts w:hAnsi="標楷體"/>
          <w:color w:val="000000" w:themeColor="text1"/>
        </w:rPr>
        <w:t>、</w:t>
      </w:r>
      <w:r w:rsidRPr="007D10AC">
        <w:rPr>
          <w:rFonts w:hAnsi="標楷體" w:hint="eastAsia"/>
          <w:color w:val="000000" w:themeColor="text1"/>
        </w:rPr>
        <w:t>103</w:t>
      </w:r>
      <w:r w:rsidRPr="007D10AC">
        <w:rPr>
          <w:rFonts w:hAnsi="標楷體"/>
          <w:color w:val="000000" w:themeColor="text1"/>
        </w:rPr>
        <w:t>、</w:t>
      </w:r>
      <w:r w:rsidRPr="007D10AC">
        <w:rPr>
          <w:rFonts w:hAnsi="標楷體" w:hint="eastAsia"/>
          <w:color w:val="000000" w:themeColor="text1"/>
        </w:rPr>
        <w:t>90件，</w:t>
      </w:r>
      <w:proofErr w:type="gramStart"/>
      <w:r w:rsidRPr="007D10AC">
        <w:rPr>
          <w:rFonts w:hAnsi="標楷體" w:hint="eastAsia"/>
          <w:color w:val="000000" w:themeColor="text1"/>
        </w:rPr>
        <w:t>概呈成</w:t>
      </w:r>
      <w:proofErr w:type="gramEnd"/>
      <w:r w:rsidRPr="007D10AC">
        <w:rPr>
          <w:rFonts w:hAnsi="標楷體" w:hint="eastAsia"/>
          <w:color w:val="000000" w:themeColor="text1"/>
        </w:rPr>
        <w:t>長趨勢，而</w:t>
      </w:r>
      <w:r w:rsidRPr="007D10AC">
        <w:rPr>
          <w:rFonts w:hAnsi="標楷體"/>
          <w:color w:val="000000" w:themeColor="text1"/>
        </w:rPr>
        <w:t>最高行政法院</w:t>
      </w:r>
      <w:r w:rsidRPr="007D10AC">
        <w:rPr>
          <w:rFonts w:hAnsi="標楷體" w:hint="eastAsia"/>
          <w:color w:val="000000" w:themeColor="text1"/>
        </w:rPr>
        <w:t>因</w:t>
      </w:r>
      <w:r w:rsidRPr="007D10AC">
        <w:rPr>
          <w:rFonts w:hAnsi="標楷體"/>
          <w:color w:val="000000" w:themeColor="text1"/>
        </w:rPr>
        <w:t>納稅義務人、或稽徵機關、或法院援引納保法作成有利納稅人</w:t>
      </w:r>
      <w:r w:rsidRPr="007D10AC">
        <w:rPr>
          <w:rFonts w:hAnsi="標楷體" w:hint="eastAsia"/>
          <w:color w:val="000000" w:themeColor="text1"/>
        </w:rPr>
        <w:t>判決之</w:t>
      </w:r>
      <w:r w:rsidRPr="007D10AC">
        <w:rPr>
          <w:rFonts w:hAnsi="標楷體"/>
          <w:color w:val="000000" w:themeColor="text1"/>
        </w:rPr>
        <w:t>比</w:t>
      </w:r>
      <w:r w:rsidRPr="007D10AC">
        <w:rPr>
          <w:rFonts w:hAnsi="標楷體" w:hint="eastAsia"/>
          <w:color w:val="000000" w:themeColor="text1"/>
        </w:rPr>
        <w:t>率亦維持在</w:t>
      </w:r>
      <w:proofErr w:type="gramStart"/>
      <w:r w:rsidRPr="007D10AC">
        <w:rPr>
          <w:rFonts w:hAnsi="標楷體" w:hint="eastAsia"/>
          <w:color w:val="000000" w:themeColor="text1"/>
        </w:rPr>
        <w:t>2</w:t>
      </w:r>
      <w:proofErr w:type="gramEnd"/>
      <w:r w:rsidRPr="007D10AC">
        <w:rPr>
          <w:rFonts w:hAnsi="標楷體" w:hint="eastAsia"/>
          <w:color w:val="000000" w:themeColor="text1"/>
        </w:rPr>
        <w:t>成</w:t>
      </w:r>
      <w:r w:rsidRPr="007D10AC">
        <w:rPr>
          <w:rFonts w:hAnsi="標楷體"/>
          <w:color w:val="000000" w:themeColor="text1"/>
        </w:rPr>
        <w:t>，</w:t>
      </w:r>
      <w:r w:rsidRPr="007D10AC">
        <w:rPr>
          <w:rFonts w:hAnsi="標楷體" w:hint="eastAsia"/>
          <w:color w:val="000000" w:themeColor="text1"/>
        </w:rPr>
        <w:t>顯示納保法之實施在行政</w:t>
      </w:r>
      <w:r w:rsidRPr="007D10AC">
        <w:rPr>
          <w:rFonts w:hAnsi="標楷體"/>
          <w:color w:val="000000" w:themeColor="text1"/>
        </w:rPr>
        <w:t>訴訟</w:t>
      </w:r>
      <w:r w:rsidRPr="007D10AC">
        <w:rPr>
          <w:rFonts w:hAnsi="標楷體" w:hint="eastAsia"/>
          <w:color w:val="000000" w:themeColor="text1"/>
        </w:rPr>
        <w:t>上對納稅義務人似有正面效果。</w:t>
      </w:r>
      <w:r w:rsidR="00AE27B7" w:rsidRPr="007D10AC">
        <w:rPr>
          <w:rFonts w:hAnsi="標楷體" w:hint="eastAsia"/>
          <w:color w:val="000000" w:themeColor="text1"/>
        </w:rPr>
        <w:t>復</w:t>
      </w:r>
      <w:r w:rsidRPr="007D10AC">
        <w:rPr>
          <w:rFonts w:hAnsi="標楷體" w:hint="eastAsia"/>
          <w:color w:val="000000" w:themeColor="text1"/>
        </w:rPr>
        <w:t>經彙整財政部訴願決定經行政法院裁判結果及撤銷理由分析統計表</w:t>
      </w:r>
      <w:r w:rsidR="0022475F" w:rsidRPr="007D10AC">
        <w:rPr>
          <w:rFonts w:hAnsi="標楷體" w:hint="eastAsia"/>
          <w:color w:val="000000" w:themeColor="text1"/>
        </w:rPr>
        <w:t>（</w:t>
      </w:r>
      <w:r w:rsidRPr="007D10AC">
        <w:rPr>
          <w:rFonts w:hAnsi="標楷體" w:hint="eastAsia"/>
          <w:color w:val="000000" w:themeColor="text1"/>
        </w:rPr>
        <w:t>詳表</w:t>
      </w:r>
      <w:r w:rsidR="00BE5FD0" w:rsidRPr="007D10AC">
        <w:rPr>
          <w:rFonts w:hAnsi="標楷體"/>
          <w:color w:val="000000" w:themeColor="text1"/>
        </w:rPr>
        <w:t>1</w:t>
      </w:r>
      <w:r w:rsidR="00273637" w:rsidRPr="007D10AC">
        <w:rPr>
          <w:rFonts w:hAnsi="標楷體"/>
          <w:color w:val="000000" w:themeColor="text1"/>
        </w:rPr>
        <w:t>6</w:t>
      </w:r>
      <w:r w:rsidR="0022475F" w:rsidRPr="007D10AC">
        <w:rPr>
          <w:rFonts w:hAnsi="標楷體" w:hint="eastAsia"/>
          <w:color w:val="000000" w:themeColor="text1"/>
        </w:rPr>
        <w:t>）</w:t>
      </w:r>
      <w:r w:rsidRPr="007D10AC">
        <w:rPr>
          <w:rFonts w:hAnsi="標楷體" w:hint="eastAsia"/>
          <w:color w:val="000000" w:themeColor="text1"/>
        </w:rPr>
        <w:t>，104至10</w:t>
      </w:r>
      <w:r w:rsidR="00885489" w:rsidRPr="007D10AC">
        <w:rPr>
          <w:rFonts w:hAnsi="標楷體"/>
          <w:color w:val="000000" w:themeColor="text1"/>
        </w:rPr>
        <w:t>9</w:t>
      </w:r>
      <w:r w:rsidRPr="007D10AC">
        <w:rPr>
          <w:rFonts w:hAnsi="標楷體" w:hint="eastAsia"/>
          <w:color w:val="000000" w:themeColor="text1"/>
        </w:rPr>
        <w:t>年裁判件數分別為864、872、705、586、489</w:t>
      </w:r>
      <w:r w:rsidR="00885489" w:rsidRPr="007D10AC">
        <w:rPr>
          <w:rFonts w:hAnsi="標楷體" w:hint="eastAsia"/>
          <w:color w:val="000000" w:themeColor="text1"/>
        </w:rPr>
        <w:t>、3</w:t>
      </w:r>
      <w:r w:rsidR="00885489" w:rsidRPr="007D10AC">
        <w:rPr>
          <w:rFonts w:hAnsi="標楷體"/>
          <w:color w:val="000000" w:themeColor="text1"/>
        </w:rPr>
        <w:t>77</w:t>
      </w:r>
      <w:r w:rsidRPr="007D10AC">
        <w:rPr>
          <w:rFonts w:hAnsi="標楷體" w:hint="eastAsia"/>
          <w:color w:val="000000" w:themeColor="text1"/>
        </w:rPr>
        <w:t>件，同期間撤銷件數分別為88、69、65、55、41</w:t>
      </w:r>
      <w:r w:rsidR="00885489" w:rsidRPr="007D10AC">
        <w:rPr>
          <w:rFonts w:hAnsi="標楷體" w:hint="eastAsia"/>
          <w:color w:val="000000" w:themeColor="text1"/>
        </w:rPr>
        <w:t>、3</w:t>
      </w:r>
      <w:r w:rsidR="00885489" w:rsidRPr="007D10AC">
        <w:rPr>
          <w:rFonts w:hAnsi="標楷體"/>
          <w:color w:val="000000" w:themeColor="text1"/>
        </w:rPr>
        <w:t>6</w:t>
      </w:r>
      <w:r w:rsidRPr="007D10AC">
        <w:rPr>
          <w:rFonts w:hAnsi="標楷體" w:hint="eastAsia"/>
          <w:color w:val="000000" w:themeColor="text1"/>
        </w:rPr>
        <w:t>件，撤銷比率分別為10.19</w:t>
      </w:r>
      <w:r w:rsidR="00BA2B80" w:rsidRPr="007D10AC">
        <w:rPr>
          <w:rFonts w:hAnsi="標楷體" w:hint="eastAsia"/>
          <w:color w:val="000000" w:themeColor="text1"/>
        </w:rPr>
        <w:t>％</w:t>
      </w:r>
      <w:r w:rsidRPr="007D10AC">
        <w:rPr>
          <w:rFonts w:hAnsi="標楷體" w:hint="eastAsia"/>
          <w:color w:val="000000" w:themeColor="text1"/>
        </w:rPr>
        <w:t>、7.91</w:t>
      </w:r>
      <w:r w:rsidR="00BA2B80" w:rsidRPr="007D10AC">
        <w:rPr>
          <w:rFonts w:hAnsi="標楷體" w:hint="eastAsia"/>
          <w:color w:val="000000" w:themeColor="text1"/>
        </w:rPr>
        <w:t>％</w:t>
      </w:r>
      <w:r w:rsidRPr="007D10AC">
        <w:rPr>
          <w:rFonts w:hAnsi="標楷體" w:hint="eastAsia"/>
          <w:color w:val="000000" w:themeColor="text1"/>
        </w:rPr>
        <w:t>、9.22</w:t>
      </w:r>
      <w:r w:rsidR="00BA2B80" w:rsidRPr="007D10AC">
        <w:rPr>
          <w:rFonts w:hAnsi="標楷體" w:hint="eastAsia"/>
          <w:color w:val="000000" w:themeColor="text1"/>
        </w:rPr>
        <w:t>％</w:t>
      </w:r>
      <w:r w:rsidRPr="007D10AC">
        <w:rPr>
          <w:rFonts w:hAnsi="標楷體" w:hint="eastAsia"/>
          <w:color w:val="000000" w:themeColor="text1"/>
        </w:rPr>
        <w:t>、9.39</w:t>
      </w:r>
      <w:r w:rsidR="00BA2B80" w:rsidRPr="007D10AC">
        <w:rPr>
          <w:rFonts w:hAnsi="標楷體" w:hint="eastAsia"/>
          <w:color w:val="000000" w:themeColor="text1"/>
        </w:rPr>
        <w:t>％</w:t>
      </w:r>
      <w:r w:rsidRPr="007D10AC">
        <w:rPr>
          <w:rFonts w:hAnsi="標楷體" w:hint="eastAsia"/>
          <w:color w:val="000000" w:themeColor="text1"/>
        </w:rPr>
        <w:t>、8.38</w:t>
      </w:r>
      <w:r w:rsidR="00BA2B80" w:rsidRPr="007D10AC">
        <w:rPr>
          <w:rFonts w:hAnsi="標楷體" w:hint="eastAsia"/>
          <w:color w:val="000000" w:themeColor="text1"/>
        </w:rPr>
        <w:t>％</w:t>
      </w:r>
      <w:r w:rsidR="00885489" w:rsidRPr="007D10AC">
        <w:rPr>
          <w:rFonts w:hAnsi="標楷體" w:hint="eastAsia"/>
          <w:color w:val="000000" w:themeColor="text1"/>
        </w:rPr>
        <w:t>、9</w:t>
      </w:r>
      <w:r w:rsidR="00885489" w:rsidRPr="007D10AC">
        <w:rPr>
          <w:rFonts w:hAnsi="標楷體"/>
          <w:color w:val="000000" w:themeColor="text1"/>
        </w:rPr>
        <w:t>.55</w:t>
      </w:r>
      <w:r w:rsidR="00BA2B80" w:rsidRPr="007D10AC">
        <w:rPr>
          <w:rFonts w:hAnsi="標楷體"/>
          <w:color w:val="000000" w:themeColor="text1"/>
        </w:rPr>
        <w:t>％</w:t>
      </w:r>
      <w:r w:rsidRPr="007D10AC">
        <w:rPr>
          <w:rFonts w:hAnsi="標楷體" w:hint="eastAsia"/>
          <w:color w:val="000000" w:themeColor="text1"/>
        </w:rPr>
        <w:t>，納稅義務人整體勝訴率似並未隨納保法之施行而有明顯提高。另稅務案件反覆訴訟、</w:t>
      </w:r>
      <w:r w:rsidRPr="007D10AC">
        <w:rPr>
          <w:rFonts w:hAnsi="標楷體"/>
          <w:color w:val="000000" w:themeColor="text1"/>
        </w:rPr>
        <w:t>久懸未決</w:t>
      </w:r>
      <w:r w:rsidRPr="007D10AC">
        <w:rPr>
          <w:rFonts w:hAnsi="標楷體" w:hint="eastAsia"/>
          <w:color w:val="000000" w:themeColor="text1"/>
        </w:rPr>
        <w:t>向為外界所</w:t>
      </w:r>
      <w:r w:rsidRPr="007D10AC">
        <w:rPr>
          <w:rFonts w:hAnsi="標楷體"/>
          <w:color w:val="000000" w:themeColor="text1"/>
        </w:rPr>
        <w:t>訾議</w:t>
      </w:r>
      <w:r w:rsidRPr="007D10AC">
        <w:rPr>
          <w:rFonts w:hAnsi="標楷體" w:hint="eastAsia"/>
          <w:color w:val="000000" w:themeColor="text1"/>
        </w:rPr>
        <w:t>，由於行政法院判決撤銷原處分後，責成原處分機</w:t>
      </w:r>
      <w:r w:rsidRPr="007D10AC">
        <w:rPr>
          <w:rFonts w:hAnsi="標楷體"/>
          <w:color w:val="000000" w:themeColor="text1"/>
        </w:rPr>
        <w:t>關另為適法處分，其後原處分機關所作成之處分，可能仍維持原稅額及罰鍰，或</w:t>
      </w:r>
      <w:r w:rsidRPr="007D10AC">
        <w:rPr>
          <w:rFonts w:hAnsi="標楷體" w:hint="eastAsia"/>
          <w:color w:val="000000" w:themeColor="text1"/>
        </w:rPr>
        <w:t>僅修改稅額再度發單，惟</w:t>
      </w:r>
      <w:r w:rsidRPr="007D10AC">
        <w:rPr>
          <w:rFonts w:hAnsi="標楷體"/>
          <w:color w:val="000000" w:themeColor="text1"/>
        </w:rPr>
        <w:t>仍難</w:t>
      </w:r>
      <w:r w:rsidRPr="007D10AC">
        <w:rPr>
          <w:rFonts w:hAnsi="標楷體" w:hint="eastAsia"/>
          <w:color w:val="000000" w:themeColor="text1"/>
        </w:rPr>
        <w:t>被</w:t>
      </w:r>
      <w:r w:rsidRPr="007D10AC">
        <w:rPr>
          <w:rFonts w:hAnsi="標楷體"/>
          <w:color w:val="000000" w:themeColor="text1"/>
        </w:rPr>
        <w:t>納稅</w:t>
      </w:r>
      <w:r w:rsidRPr="007D10AC">
        <w:rPr>
          <w:rFonts w:hAnsi="標楷體" w:hint="eastAsia"/>
          <w:color w:val="000000" w:themeColor="text1"/>
        </w:rPr>
        <w:t>人</w:t>
      </w:r>
      <w:r w:rsidRPr="007D10AC">
        <w:rPr>
          <w:rFonts w:hAnsi="標楷體"/>
          <w:color w:val="000000" w:themeColor="text1"/>
        </w:rPr>
        <w:t>所接受而續行爭訟，如此反覆結果</w:t>
      </w:r>
      <w:r w:rsidRPr="007D10AC">
        <w:rPr>
          <w:rFonts w:hAnsi="標楷體" w:hint="eastAsia"/>
          <w:color w:val="000000" w:themeColor="text1"/>
        </w:rPr>
        <w:t>造成案件懸而不決。而法院自為判決，限縮稅捐稽徵機關在核課期間內重核之權力</w:t>
      </w:r>
      <w:r w:rsidRPr="007D10AC">
        <w:rPr>
          <w:rFonts w:hAnsi="標楷體"/>
          <w:color w:val="000000" w:themeColor="text1"/>
        </w:rPr>
        <w:t>，</w:t>
      </w:r>
      <w:r w:rsidRPr="007D10AC">
        <w:rPr>
          <w:rFonts w:hAnsi="標楷體" w:hint="eastAsia"/>
          <w:color w:val="000000" w:themeColor="text1"/>
        </w:rPr>
        <w:t>似可有效解決稅務案件反覆訴訟之情況</w:t>
      </w:r>
      <w:r w:rsidRPr="007D10AC">
        <w:rPr>
          <w:rFonts w:hAnsi="標楷體"/>
          <w:color w:val="000000" w:themeColor="text1"/>
        </w:rPr>
        <w:t>。</w:t>
      </w:r>
      <w:proofErr w:type="gramStart"/>
      <w:r w:rsidRPr="007D10AC">
        <w:rPr>
          <w:rFonts w:hAnsi="標楷體" w:hint="eastAsia"/>
          <w:color w:val="000000" w:themeColor="text1"/>
        </w:rPr>
        <w:t>惟</w:t>
      </w:r>
      <w:proofErr w:type="gramEnd"/>
      <w:r w:rsidRPr="007D10AC">
        <w:rPr>
          <w:rFonts w:hAnsi="標楷體" w:hint="eastAsia"/>
          <w:color w:val="000000" w:themeColor="text1"/>
        </w:rPr>
        <w:t>觀察10</w:t>
      </w:r>
      <w:r w:rsidRPr="007D10AC">
        <w:rPr>
          <w:rFonts w:hAnsi="標楷體"/>
          <w:color w:val="000000" w:themeColor="text1"/>
        </w:rPr>
        <w:t>4</w:t>
      </w:r>
      <w:r w:rsidRPr="007D10AC">
        <w:rPr>
          <w:rFonts w:hAnsi="標楷體" w:hint="eastAsia"/>
          <w:color w:val="000000" w:themeColor="text1"/>
        </w:rPr>
        <w:t>至109年</w:t>
      </w:r>
      <w:r w:rsidRPr="007D10AC">
        <w:rPr>
          <w:rFonts w:hAnsi="標楷體"/>
          <w:color w:val="000000" w:themeColor="text1"/>
        </w:rPr>
        <w:t>最高行政法院稅</w:t>
      </w:r>
      <w:r w:rsidRPr="007D10AC">
        <w:rPr>
          <w:rFonts w:hAnsi="標楷體" w:hint="eastAsia"/>
          <w:color w:val="000000" w:themeColor="text1"/>
        </w:rPr>
        <w:t>捐上訴事件終結情形，</w:t>
      </w:r>
      <w:r w:rsidRPr="007D10AC">
        <w:rPr>
          <w:rFonts w:hAnsi="標楷體"/>
          <w:color w:val="000000" w:themeColor="text1"/>
        </w:rPr>
        <w:t>稅務訴訟</w:t>
      </w:r>
      <w:r w:rsidRPr="007D10AC">
        <w:rPr>
          <w:rFonts w:hAnsi="標楷體" w:hint="eastAsia"/>
          <w:color w:val="000000" w:themeColor="text1"/>
        </w:rPr>
        <w:t>法院</w:t>
      </w:r>
      <w:r w:rsidRPr="007D10AC">
        <w:rPr>
          <w:rFonts w:hAnsi="標楷體"/>
          <w:color w:val="000000" w:themeColor="text1"/>
        </w:rPr>
        <w:t>自為判決</w:t>
      </w:r>
      <w:r w:rsidRPr="007D10AC">
        <w:rPr>
          <w:rFonts w:hAnsi="標楷體" w:hint="eastAsia"/>
          <w:color w:val="000000" w:themeColor="text1"/>
        </w:rPr>
        <w:t>之件數並不多</w:t>
      </w:r>
      <w:r w:rsidRPr="007D10AC">
        <w:rPr>
          <w:rFonts w:hAnsi="標楷體"/>
          <w:color w:val="000000" w:themeColor="text1"/>
        </w:rPr>
        <w:t>，</w:t>
      </w:r>
      <w:r w:rsidRPr="007D10AC">
        <w:rPr>
          <w:rFonts w:hAnsi="標楷體" w:hint="eastAsia"/>
          <w:color w:val="000000" w:themeColor="text1"/>
        </w:rPr>
        <w:t>亦未隨納保法之施行而有所</w:t>
      </w:r>
      <w:r w:rsidR="00C1632F" w:rsidRPr="007D10AC">
        <w:rPr>
          <w:rFonts w:hAnsi="標楷體" w:hint="eastAsia"/>
          <w:color w:val="000000" w:themeColor="text1"/>
        </w:rPr>
        <w:t>明顯</w:t>
      </w:r>
      <w:r w:rsidRPr="007D10AC">
        <w:rPr>
          <w:rFonts w:hAnsi="標楷體" w:hint="eastAsia"/>
          <w:color w:val="000000" w:themeColor="text1"/>
        </w:rPr>
        <w:t>增加。</w:t>
      </w:r>
    </w:p>
    <w:p w:rsidR="0095735E" w:rsidRPr="007D10AC" w:rsidRDefault="0095735E" w:rsidP="00417EB2">
      <w:pPr>
        <w:pStyle w:val="3"/>
        <w:spacing w:line="480" w:lineRule="exact"/>
        <w:ind w:left="1360" w:hanging="680"/>
        <w:rPr>
          <w:rFonts w:hAnsi="標楷體"/>
          <w:color w:val="000000" w:themeColor="text1"/>
        </w:rPr>
      </w:pPr>
      <w:proofErr w:type="gramStart"/>
      <w:r w:rsidRPr="007D10AC">
        <w:rPr>
          <w:rFonts w:hAnsi="標楷體" w:hint="eastAsia"/>
          <w:color w:val="000000" w:themeColor="text1"/>
        </w:rPr>
        <w:t>揆</w:t>
      </w:r>
      <w:proofErr w:type="gramEnd"/>
      <w:r w:rsidRPr="007D10AC">
        <w:rPr>
          <w:rFonts w:hAnsi="標楷體" w:hint="eastAsia"/>
          <w:color w:val="000000" w:themeColor="text1"/>
        </w:rPr>
        <w:t>諸行政法院針對稅捐事件之自為判決件數及比率顯示納保法施行，行政法院自為判決件數雖增加，仍有為數不少案件「因案情複雜而難以查明者」要求被告機關調查</w:t>
      </w:r>
      <w:proofErr w:type="gramStart"/>
      <w:r w:rsidRPr="007D10AC">
        <w:rPr>
          <w:rFonts w:hAnsi="標楷體" w:hint="eastAsia"/>
          <w:color w:val="000000" w:themeColor="text1"/>
        </w:rPr>
        <w:t>事證另</w:t>
      </w:r>
      <w:proofErr w:type="gramEnd"/>
      <w:r w:rsidRPr="007D10AC">
        <w:rPr>
          <w:rFonts w:hAnsi="標楷體" w:hint="eastAsia"/>
          <w:color w:val="000000" w:themeColor="text1"/>
        </w:rPr>
        <w:t>為處分。提起行政訴訟人民所能獲得之唯一救濟，不外由行政法院將違法之行</w:t>
      </w:r>
      <w:r w:rsidRPr="007D10AC">
        <w:rPr>
          <w:rFonts w:hAnsi="標楷體" w:hint="eastAsia"/>
          <w:color w:val="000000" w:themeColor="text1"/>
        </w:rPr>
        <w:lastRenderedPageBreak/>
        <w:t>政處分撤銷，納保法第21條但書規定，免除法院應查明事證以核實確認之責任，導致納稅者歷盡各種爭訟層級，最後全程終了，卻因行政機關維持原處分而徒勞無功，則與國家依據憲法建立行政訴訟制度，俾對人民公法上權利遭受損害時提供有效救濟，並監督行政體系之各個機關嚴守依法行政原則之本旨相違，抑且使行政行為應受司法監督之法治主義無從貫徹，形成訴訟權保障範圍之明顯缺漏。</w:t>
      </w:r>
    </w:p>
    <w:p w:rsidR="0095735E" w:rsidRPr="007D10AC" w:rsidRDefault="0095735E" w:rsidP="00417EB2">
      <w:pPr>
        <w:pStyle w:val="3"/>
        <w:spacing w:line="480" w:lineRule="exact"/>
        <w:ind w:left="1360" w:hanging="680"/>
        <w:rPr>
          <w:rFonts w:hAnsi="標楷體"/>
          <w:color w:val="000000" w:themeColor="text1"/>
        </w:rPr>
      </w:pPr>
      <w:r w:rsidRPr="007D10AC">
        <w:rPr>
          <w:rFonts w:hAnsi="標楷體" w:hint="eastAsia"/>
          <w:color w:val="000000" w:themeColor="text1"/>
        </w:rPr>
        <w:t>行政訴訟之救濟功能，端賴行政法院之判決為行政機關所遵守，</w:t>
      </w:r>
      <w:proofErr w:type="gramStart"/>
      <w:r w:rsidRPr="007D10AC">
        <w:rPr>
          <w:rFonts w:hAnsi="標楷體" w:hint="eastAsia"/>
          <w:color w:val="000000" w:themeColor="text1"/>
        </w:rPr>
        <w:t>爰</w:t>
      </w:r>
      <w:proofErr w:type="gramEnd"/>
      <w:r w:rsidRPr="007D10AC">
        <w:rPr>
          <w:rFonts w:hAnsi="標楷體" w:hint="eastAsia"/>
          <w:color w:val="000000" w:themeColor="text1"/>
        </w:rPr>
        <w:t>稅捐機關重為處分時，即應遵守行政法院之判決，不得作成與原處分相同之處分或採取其他與行政法院判決相違之措施。惟行政法院判決撤銷原處分後，責成原處分機</w:t>
      </w:r>
      <w:r w:rsidRPr="007D10AC">
        <w:rPr>
          <w:rFonts w:hAnsi="標楷體"/>
          <w:color w:val="000000" w:themeColor="text1"/>
        </w:rPr>
        <w:t>關另為適法處分，其後原處分機關所作成之處分，仍維持原稅額及罰鍰，或</w:t>
      </w:r>
      <w:r w:rsidRPr="007D10AC">
        <w:rPr>
          <w:rFonts w:hAnsi="標楷體" w:hint="eastAsia"/>
          <w:color w:val="000000" w:themeColor="text1"/>
        </w:rPr>
        <w:t>僅修改稅額再度發單之案例不乏可見。按稅捐機關於事實及法律狀態並未改變之情形下，重覆作成內容相同之行政處分，納稅者再次提起訴訟於行政法院時，卻可能遭敗訴，其不合理孰勝於此。</w:t>
      </w:r>
    </w:p>
    <w:p w:rsidR="0095735E" w:rsidRPr="007D10AC" w:rsidRDefault="0095735E" w:rsidP="00417EB2">
      <w:pPr>
        <w:pStyle w:val="3"/>
        <w:spacing w:line="480" w:lineRule="exact"/>
        <w:ind w:left="1360" w:hanging="680"/>
        <w:rPr>
          <w:rFonts w:hAnsi="標楷體"/>
          <w:color w:val="000000" w:themeColor="text1"/>
        </w:rPr>
      </w:pPr>
      <w:r w:rsidRPr="007D10AC">
        <w:rPr>
          <w:rFonts w:hAnsi="標楷體"/>
          <w:color w:val="000000" w:themeColor="text1"/>
        </w:rPr>
        <w:t>中正大學</w:t>
      </w:r>
      <w:r w:rsidRPr="007D10AC">
        <w:rPr>
          <w:rFonts w:hAnsi="標楷體" w:hint="eastAsia"/>
          <w:color w:val="000000" w:themeColor="text1"/>
        </w:rPr>
        <w:t>財經法律學系黃教授俊杰於本院諮詢時表示，法官是否對該稅捐事件擁有足夠之專業判斷能力，若得依職權就事實部分核實來認定及計算精確稅額或罰鍰，始能真正夠紓解訟源。納保法第</w:t>
      </w:r>
      <w:r w:rsidRPr="007D10AC">
        <w:rPr>
          <w:rFonts w:hAnsi="標楷體"/>
          <w:color w:val="000000" w:themeColor="text1"/>
        </w:rPr>
        <w:t>18</w:t>
      </w:r>
      <w:r w:rsidRPr="007D10AC">
        <w:rPr>
          <w:rFonts w:hAnsi="標楷體" w:hint="eastAsia"/>
          <w:color w:val="000000" w:themeColor="text1"/>
        </w:rPr>
        <w:t>條規定：「最高行政法院及高等行政法院應設稅務專業法庭，審理納稅者因稅務案件提起之行政訴訟。稅務專業法庭，應由取得司法院核發之稅務案件專業法官證明書之法官組成之。辦理稅務案件之法官，每年應接受一定時數之稅務專業訓練或在職研習。稅務專業法庭之組成、稅務案件專業法官證明書之</w:t>
      </w:r>
      <w:r w:rsidRPr="007D10AC">
        <w:rPr>
          <w:rFonts w:hAnsi="標楷體" w:hint="eastAsia"/>
          <w:color w:val="000000" w:themeColor="text1"/>
        </w:rPr>
        <w:lastRenderedPageBreak/>
        <w:t>核發標準、辦理稅務案件法官每年所應受之訓練及相關辦法，由司法院定之。」黃教授俊杰認為，落實稅務專業法庭之設置，應屬實踐納稅者權利保護之必要作為。然而，不同稅目有不同的稅法原則，重點是稅務法庭本身就應該專業，比如營利事業所得稅應該獨立劃分，營業稅經常同時涉及逃漏稅或是稅捐稽徵法的問題，並可能與刑法相連結，應該要考慮到這些專業中的專業。一般人面對稅捐事件，稅務問題已經是專業問題，但是如果對稅務專業領域而言，不同稅目還有不同立法原則，例如，量能課稅對所得稅法是很重要的原則，但在營業稅法之法律適用，量能課稅不見得是絕對最高之指導地位，尚有其他重要原則應遵守。因此，若將財產稅與所得稅之專業領域直接劃上等號，形成隸屬不同原則的稅法審議，對不同稅法問題處理原應取向不同法律思維，卻用共同的模糊概念去處理相關問題，可能只會讓稅務法庭朝向不專業發展。其次，針對司法院核發法官訓練證明書，其標準及專業訓練，應該注意稅務法庭有基本的兩個專業，一個就是法律，一個就是會計；因此，核發標準及專業訓練，應該與會計師公會全國聯合會配合專業學習及實習</w:t>
      </w:r>
      <w:r w:rsidRPr="007D10AC">
        <w:rPr>
          <w:rFonts w:hAnsi="標楷體"/>
          <w:color w:val="000000" w:themeColor="text1"/>
          <w:vertAlign w:val="superscript"/>
        </w:rPr>
        <w:footnoteReference w:id="9"/>
      </w:r>
      <w:r w:rsidRPr="007D10AC">
        <w:rPr>
          <w:rFonts w:hAnsi="標楷體" w:hint="eastAsia"/>
          <w:color w:val="000000" w:themeColor="text1"/>
        </w:rPr>
        <w:t>。亦有其他諮詢委員提出行政法院法官應比照大法官多採用專業鑑定方式之建議。依行政訴訟法第</w:t>
      </w:r>
      <w:r w:rsidRPr="007D10AC">
        <w:rPr>
          <w:rFonts w:hAnsi="標楷體"/>
          <w:color w:val="000000" w:themeColor="text1"/>
        </w:rPr>
        <w:t>162</w:t>
      </w:r>
      <w:r w:rsidRPr="007D10AC">
        <w:rPr>
          <w:rFonts w:hAnsi="標楷體" w:hint="eastAsia"/>
          <w:color w:val="000000" w:themeColor="text1"/>
        </w:rPr>
        <w:t>條的規定：「行政法院認為有必要時，得就訴訟事件之專業法律問題徵詢從事該學術研究之人，以書面或於審判期日到場陳述其法律上意見。」此即專家提供</w:t>
      </w:r>
      <w:r w:rsidRPr="007D10AC">
        <w:rPr>
          <w:rFonts w:hAnsi="標楷體" w:hint="eastAsia"/>
          <w:color w:val="000000" w:themeColor="text1"/>
        </w:rPr>
        <w:lastRenderedPageBreak/>
        <w:t>法律意見鑑定的法源基礎。國內大專院校不乏鑽研租稅法規、稅務會計的教師與研究人才，但現行稅務審判實務卻鮮見行政法院委請專家鑑定稅法問題之前例。倘能賦予當事人可付費申請專家法律意見鑑定的權利，且對於提供稅法鑑定意見之學者專家，承審法官在法庭內應給予相當之尊重以及從寬給付報酬標準，當可有效提升稅務訴訟審判品質。</w:t>
      </w:r>
    </w:p>
    <w:p w:rsidR="00BB6053" w:rsidRPr="007D10AC" w:rsidRDefault="0095735E" w:rsidP="00273637">
      <w:pPr>
        <w:pStyle w:val="3"/>
        <w:spacing w:line="480" w:lineRule="exact"/>
        <w:ind w:left="1360" w:hanging="680"/>
        <w:rPr>
          <w:rFonts w:hAnsi="標楷體"/>
          <w:color w:val="000000" w:themeColor="text1"/>
        </w:rPr>
      </w:pPr>
      <w:proofErr w:type="gramStart"/>
      <w:r w:rsidRPr="007D10AC">
        <w:rPr>
          <w:rFonts w:hAnsi="標楷體" w:hint="eastAsia"/>
          <w:color w:val="000000" w:themeColor="text1"/>
        </w:rPr>
        <w:t>鑑</w:t>
      </w:r>
      <w:proofErr w:type="gramEnd"/>
      <w:r w:rsidRPr="007D10AC">
        <w:rPr>
          <w:rFonts w:hAnsi="標楷體" w:hint="eastAsia"/>
          <w:color w:val="000000" w:themeColor="text1"/>
        </w:rPr>
        <w:t>此，</w:t>
      </w:r>
      <w:r w:rsidR="00E9015D" w:rsidRPr="007D10AC">
        <w:rPr>
          <w:rFonts w:hAnsi="標楷體" w:hint="eastAsia"/>
          <w:color w:val="000000" w:themeColor="text1"/>
        </w:rPr>
        <w:t>稅務訴訟事件</w:t>
      </w:r>
      <w:r w:rsidR="00E9015D" w:rsidRPr="007D10AC">
        <w:rPr>
          <w:rFonts w:hAnsi="標楷體"/>
          <w:color w:val="000000" w:themeColor="text1"/>
        </w:rPr>
        <w:t>援引納保法作成有利納稅人</w:t>
      </w:r>
      <w:r w:rsidR="00E9015D" w:rsidRPr="007D10AC">
        <w:rPr>
          <w:rFonts w:hAnsi="標楷體" w:hint="eastAsia"/>
          <w:color w:val="000000" w:themeColor="text1"/>
        </w:rPr>
        <w:t>判決之</w:t>
      </w:r>
      <w:r w:rsidR="00E9015D" w:rsidRPr="007D10AC">
        <w:rPr>
          <w:rFonts w:hAnsi="標楷體"/>
          <w:color w:val="000000" w:themeColor="text1"/>
        </w:rPr>
        <w:t>比</w:t>
      </w:r>
      <w:r w:rsidR="00E9015D" w:rsidRPr="007D10AC">
        <w:rPr>
          <w:rFonts w:hAnsi="標楷體" w:hint="eastAsia"/>
          <w:color w:val="000000" w:themeColor="text1"/>
        </w:rPr>
        <w:t>率雖增加，惟納稅義務人整體勝訴率並未因納保法施行明顯提高，法院</w:t>
      </w:r>
      <w:r w:rsidR="00E9015D" w:rsidRPr="007D10AC">
        <w:rPr>
          <w:rFonts w:hAnsi="標楷體"/>
          <w:color w:val="000000" w:themeColor="text1"/>
        </w:rPr>
        <w:t>自為判決</w:t>
      </w:r>
      <w:r w:rsidR="00E9015D" w:rsidRPr="007D10AC">
        <w:rPr>
          <w:rFonts w:hAnsi="標楷體" w:hint="eastAsia"/>
          <w:color w:val="000000" w:themeColor="text1"/>
        </w:rPr>
        <w:t>之件數亦未隨納保法之施行而有所增加，</w:t>
      </w:r>
      <w:r w:rsidR="00BE5FD0" w:rsidRPr="007D10AC">
        <w:rPr>
          <w:rFonts w:hAnsi="標楷體" w:hint="eastAsia"/>
          <w:color w:val="000000" w:themeColor="text1"/>
        </w:rPr>
        <w:t>顯示行政法院法官實務上並未依納保法第2</w:t>
      </w:r>
      <w:r w:rsidR="00BE5FD0" w:rsidRPr="007D10AC">
        <w:rPr>
          <w:rFonts w:hAnsi="標楷體"/>
          <w:color w:val="000000" w:themeColor="text1"/>
        </w:rPr>
        <w:t>1</w:t>
      </w:r>
      <w:r w:rsidR="00BE5FD0" w:rsidRPr="007D10AC">
        <w:rPr>
          <w:rFonts w:hAnsi="標楷體" w:hint="eastAsia"/>
          <w:color w:val="000000" w:themeColor="text1"/>
        </w:rPr>
        <w:t>條第3項規定，以「核實確認應繳納之稅額」為原則，慎重發回為例外</w:t>
      </w:r>
      <w:r w:rsidR="00816952" w:rsidRPr="007D10AC">
        <w:rPr>
          <w:rFonts w:hAnsi="標楷體" w:hint="eastAsia"/>
          <w:color w:val="000000" w:themeColor="text1"/>
        </w:rPr>
        <w:t>；</w:t>
      </w:r>
      <w:r w:rsidR="00BE5FD0" w:rsidRPr="007D10AC">
        <w:rPr>
          <w:rFonts w:hAnsi="標楷體" w:hint="eastAsia"/>
          <w:color w:val="000000" w:themeColor="text1"/>
        </w:rPr>
        <w:t>且對於發回時，應將適用之「法律關係及事實」確定</w:t>
      </w:r>
      <w:r w:rsidR="007328D8" w:rsidRPr="007D10AC">
        <w:rPr>
          <w:rFonts w:hAnsi="標楷體" w:hint="eastAsia"/>
          <w:color w:val="000000" w:themeColor="text1"/>
        </w:rPr>
        <w:t>。</w:t>
      </w:r>
      <w:r w:rsidR="00BE5FD0" w:rsidRPr="007D10AC">
        <w:rPr>
          <w:rFonts w:hAnsi="標楷體" w:hint="eastAsia"/>
          <w:color w:val="000000" w:themeColor="text1"/>
        </w:rPr>
        <w:t>因未能認定即發回，以致於訴訟至最高行政法院發回時，「法律關係及事實」仍未明，撤銷僅撤銷復查，造成稅務案件反覆訴訟、</w:t>
      </w:r>
      <w:r w:rsidR="00BE5FD0" w:rsidRPr="007D10AC">
        <w:rPr>
          <w:rFonts w:hAnsi="標楷體"/>
          <w:color w:val="000000" w:themeColor="text1"/>
        </w:rPr>
        <w:t>久懸未決，違反依照法律目的解釋應「原則從寬、例外從嚴」之法理，</w:t>
      </w:r>
      <w:r w:rsidR="00BE5FD0" w:rsidRPr="007D10AC">
        <w:rPr>
          <w:rFonts w:hAnsi="標楷體" w:hint="eastAsia"/>
          <w:color w:val="000000" w:themeColor="text1"/>
        </w:rPr>
        <w:t>財政部允應儘速</w:t>
      </w:r>
      <w:proofErr w:type="gramStart"/>
      <w:r w:rsidR="00BE5FD0" w:rsidRPr="007D10AC">
        <w:rPr>
          <w:rFonts w:hAnsi="標楷體" w:hint="eastAsia"/>
          <w:color w:val="000000" w:themeColor="text1"/>
        </w:rPr>
        <w:t>研</w:t>
      </w:r>
      <w:proofErr w:type="gramEnd"/>
      <w:r w:rsidR="00BE5FD0" w:rsidRPr="007D10AC">
        <w:rPr>
          <w:rFonts w:hAnsi="標楷體" w:hint="eastAsia"/>
          <w:color w:val="000000" w:themeColor="text1"/>
        </w:rPr>
        <w:t>議修正上開</w:t>
      </w:r>
      <w:r w:rsidR="00BE5FD0" w:rsidRPr="007D10AC">
        <w:rPr>
          <w:rFonts w:hAnsi="標楷體"/>
          <w:color w:val="000000" w:themeColor="text1"/>
        </w:rPr>
        <w:t>「因案情複雜而難以查明者，不在此限」但書之規定</w:t>
      </w:r>
      <w:r w:rsidR="00BE5FD0" w:rsidRPr="007D10AC">
        <w:rPr>
          <w:rFonts w:hAnsi="標楷體" w:hint="eastAsia"/>
          <w:color w:val="000000" w:themeColor="text1"/>
        </w:rPr>
        <w:t>，司法</w:t>
      </w:r>
      <w:proofErr w:type="gramStart"/>
      <w:r w:rsidR="00BE5FD0" w:rsidRPr="007D10AC">
        <w:rPr>
          <w:rFonts w:hAnsi="標楷體" w:hint="eastAsia"/>
          <w:color w:val="000000" w:themeColor="text1"/>
        </w:rPr>
        <w:t>院亦允</w:t>
      </w:r>
      <w:proofErr w:type="gramEnd"/>
      <w:r w:rsidR="00BE5FD0" w:rsidRPr="007D10AC">
        <w:rPr>
          <w:rFonts w:hAnsi="標楷體" w:hint="eastAsia"/>
          <w:color w:val="000000" w:themeColor="text1"/>
        </w:rPr>
        <w:t>應加強稅務法官專業訓練。</w:t>
      </w: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73"/>
    </w:p>
    <w:p w:rsidR="00341A4C" w:rsidRPr="007D10AC" w:rsidRDefault="00341A4C" w:rsidP="00341A4C">
      <w:pPr>
        <w:pStyle w:val="3"/>
        <w:numPr>
          <w:ilvl w:val="0"/>
          <w:numId w:val="0"/>
        </w:numPr>
        <w:spacing w:line="480" w:lineRule="exact"/>
        <w:ind w:left="1360"/>
        <w:rPr>
          <w:rFonts w:hAnsi="標楷體"/>
          <w:color w:val="000000" w:themeColor="text1"/>
        </w:rPr>
      </w:pPr>
    </w:p>
    <w:p w:rsidR="00A970F2" w:rsidRPr="007D10AC" w:rsidRDefault="00A970F2" w:rsidP="00A970F2">
      <w:pPr>
        <w:pStyle w:val="a4"/>
        <w:keepLines/>
        <w:ind w:left="697" w:hanging="697"/>
        <w:rPr>
          <w:rFonts w:hAnsi="標楷體"/>
          <w:color w:val="000000" w:themeColor="text1"/>
        </w:rPr>
      </w:pPr>
      <w:r w:rsidRPr="007D10AC">
        <w:rPr>
          <w:rFonts w:hAnsi="標楷體" w:hint="eastAsia"/>
          <w:color w:val="000000" w:themeColor="text1"/>
        </w:rPr>
        <w:t>10</w:t>
      </w:r>
      <w:r w:rsidRPr="007D10AC">
        <w:rPr>
          <w:rFonts w:hAnsi="標楷體"/>
          <w:color w:val="000000" w:themeColor="text1"/>
        </w:rPr>
        <w:t>4</w:t>
      </w:r>
      <w:r w:rsidRPr="007D10AC">
        <w:rPr>
          <w:rFonts w:hAnsi="標楷體" w:hint="eastAsia"/>
          <w:color w:val="000000" w:themeColor="text1"/>
        </w:rPr>
        <w:t>至109年</w:t>
      </w:r>
      <w:r w:rsidRPr="007D10AC">
        <w:rPr>
          <w:rFonts w:hAnsi="標楷體"/>
          <w:color w:val="000000" w:themeColor="text1"/>
        </w:rPr>
        <w:t>最高行政法院稅</w:t>
      </w:r>
      <w:r w:rsidRPr="007D10AC">
        <w:rPr>
          <w:rFonts w:hAnsi="標楷體" w:hint="eastAsia"/>
          <w:color w:val="000000" w:themeColor="text1"/>
        </w:rPr>
        <w:t>捐上訴事件終結及</w:t>
      </w:r>
      <w:r w:rsidRPr="007D10AC">
        <w:rPr>
          <w:rFonts w:hAnsi="標楷體"/>
          <w:color w:val="000000" w:themeColor="text1"/>
        </w:rPr>
        <w:t>援引納保法</w:t>
      </w:r>
      <w:r w:rsidRPr="007D10AC">
        <w:rPr>
          <w:rFonts w:hAnsi="標楷體" w:hint="eastAsia"/>
          <w:color w:val="000000" w:themeColor="text1"/>
        </w:rPr>
        <w:t>一覽表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836"/>
        <w:gridCol w:w="2059"/>
        <w:gridCol w:w="1599"/>
        <w:gridCol w:w="1601"/>
        <w:gridCol w:w="680"/>
        <w:gridCol w:w="680"/>
        <w:gridCol w:w="680"/>
        <w:gridCol w:w="679"/>
      </w:tblGrid>
      <w:tr w:rsidR="007D10AC" w:rsidRPr="007D10AC" w:rsidTr="00742E9F">
        <w:trPr>
          <w:trHeight w:val="397"/>
          <w:tblHeader/>
        </w:trPr>
        <w:tc>
          <w:tcPr>
            <w:tcW w:w="474" w:type="pct"/>
            <w:vMerge w:val="restar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年度</w:t>
            </w:r>
          </w:p>
        </w:tc>
        <w:tc>
          <w:tcPr>
            <w:tcW w:w="1168" w:type="pct"/>
            <w:vMerge w:val="restar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稅務裁判</w:t>
            </w:r>
            <w:r w:rsidRPr="007D10AC">
              <w:rPr>
                <w:rFonts w:hAnsi="標楷體"/>
                <w:color w:val="000000" w:themeColor="text1"/>
                <w:sz w:val="24"/>
                <w:szCs w:val="24"/>
              </w:rPr>
              <w:br/>
            </w:r>
            <w:r w:rsidRPr="007D10AC">
              <w:rPr>
                <w:rFonts w:hAnsi="標楷體" w:hint="eastAsia"/>
                <w:color w:val="000000" w:themeColor="text1"/>
                <w:sz w:val="24"/>
                <w:szCs w:val="24"/>
              </w:rPr>
              <w:t>案件數</w:t>
            </w:r>
          </w:p>
        </w:tc>
        <w:tc>
          <w:tcPr>
            <w:tcW w:w="1815" w:type="pct"/>
            <w:gridSpan w:val="2"/>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color w:val="000000" w:themeColor="text1"/>
                <w:sz w:val="24"/>
                <w:szCs w:val="24"/>
              </w:rPr>
              <w:t>援引納保法作為上訴，</w:t>
            </w:r>
            <w:r w:rsidRPr="007D10AC">
              <w:rPr>
                <w:rFonts w:hAnsi="標楷體" w:cs="Arial"/>
                <w:color w:val="000000" w:themeColor="text1"/>
                <w:sz w:val="24"/>
                <w:szCs w:val="24"/>
              </w:rPr>
              <w:br/>
              <w:t>答辯主張或裁判理由</w:t>
            </w:r>
          </w:p>
        </w:tc>
        <w:tc>
          <w:tcPr>
            <w:tcW w:w="1542" w:type="pct"/>
            <w:gridSpan w:val="4"/>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廢棄原判決</w:t>
            </w:r>
          </w:p>
        </w:tc>
      </w:tr>
      <w:tr w:rsidR="007D10AC" w:rsidRPr="007D10AC" w:rsidTr="00742E9F">
        <w:trPr>
          <w:trHeight w:val="397"/>
          <w:tblHeader/>
        </w:trPr>
        <w:tc>
          <w:tcPr>
            <w:tcW w:w="474" w:type="pct"/>
            <w:vMerge/>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p>
        </w:tc>
        <w:tc>
          <w:tcPr>
            <w:tcW w:w="1168" w:type="pct"/>
            <w:vMerge/>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p>
        </w:tc>
        <w:tc>
          <w:tcPr>
            <w:tcW w:w="907" w:type="pct"/>
            <w:vMerge w:val="restar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cs="Arial"/>
                <w:color w:val="000000" w:themeColor="text1"/>
                <w:sz w:val="24"/>
                <w:szCs w:val="24"/>
              </w:rPr>
              <w:t>援引納保法</w:t>
            </w:r>
            <w:r w:rsidRPr="007D10AC">
              <w:rPr>
                <w:rFonts w:hAnsi="標楷體" w:cs="Arial"/>
                <w:color w:val="000000" w:themeColor="text1"/>
                <w:sz w:val="24"/>
                <w:szCs w:val="24"/>
              </w:rPr>
              <w:br/>
            </w:r>
            <w:r w:rsidRPr="007D10AC">
              <w:rPr>
                <w:rFonts w:hAnsi="標楷體" w:cs="Arial" w:hint="eastAsia"/>
                <w:color w:val="000000" w:themeColor="text1"/>
                <w:sz w:val="24"/>
                <w:szCs w:val="24"/>
              </w:rPr>
              <w:t>件數</w:t>
            </w:r>
          </w:p>
        </w:tc>
        <w:tc>
          <w:tcPr>
            <w:tcW w:w="908" w:type="pct"/>
            <w:vMerge w:val="restar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有利納稅人</w:t>
            </w:r>
            <w:r w:rsidRPr="007D10AC">
              <w:rPr>
                <w:rFonts w:hAnsi="標楷體"/>
                <w:color w:val="000000" w:themeColor="text1"/>
                <w:sz w:val="24"/>
                <w:szCs w:val="24"/>
              </w:rPr>
              <w:br/>
            </w:r>
            <w:r w:rsidRPr="007D10AC">
              <w:rPr>
                <w:rFonts w:hAnsi="標楷體" w:hint="eastAsia"/>
                <w:color w:val="000000" w:themeColor="text1"/>
                <w:sz w:val="24"/>
                <w:szCs w:val="24"/>
              </w:rPr>
              <w:t>件數</w:t>
            </w:r>
          </w:p>
        </w:tc>
        <w:tc>
          <w:tcPr>
            <w:tcW w:w="771" w:type="pct"/>
            <w:gridSpan w:val="2"/>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發回更審</w:t>
            </w:r>
          </w:p>
        </w:tc>
        <w:tc>
          <w:tcPr>
            <w:tcW w:w="771" w:type="pct"/>
            <w:gridSpan w:val="2"/>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自為判決</w:t>
            </w:r>
          </w:p>
        </w:tc>
      </w:tr>
      <w:tr w:rsidR="007D10AC" w:rsidRPr="007D10AC" w:rsidTr="00742E9F">
        <w:trPr>
          <w:trHeight w:val="397"/>
          <w:tblHeader/>
        </w:trPr>
        <w:tc>
          <w:tcPr>
            <w:tcW w:w="474" w:type="pct"/>
            <w:vMerge/>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p>
        </w:tc>
        <w:tc>
          <w:tcPr>
            <w:tcW w:w="1168" w:type="pct"/>
            <w:vMerge/>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p>
        </w:tc>
        <w:tc>
          <w:tcPr>
            <w:tcW w:w="907" w:type="pct"/>
            <w:vMerge/>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p>
        </w:tc>
        <w:tc>
          <w:tcPr>
            <w:tcW w:w="908" w:type="pct"/>
            <w:vMerge/>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p>
        </w:tc>
        <w:tc>
          <w:tcPr>
            <w:tcW w:w="386" w:type="pct"/>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全部</w:t>
            </w:r>
          </w:p>
        </w:tc>
        <w:tc>
          <w:tcPr>
            <w:tcW w:w="386" w:type="pct"/>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部分</w:t>
            </w:r>
          </w:p>
        </w:tc>
        <w:tc>
          <w:tcPr>
            <w:tcW w:w="386" w:type="pct"/>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全部</w:t>
            </w:r>
          </w:p>
        </w:tc>
        <w:tc>
          <w:tcPr>
            <w:tcW w:w="385" w:type="pct"/>
            <w:shd w:val="clear" w:color="auto" w:fill="auto"/>
            <w:vAlign w:val="center"/>
          </w:tcPr>
          <w:p w:rsidR="00A970F2" w:rsidRPr="007D10AC" w:rsidRDefault="00A970F2" w:rsidP="008A500E">
            <w:pPr>
              <w:spacing w:line="280" w:lineRule="exact"/>
              <w:jc w:val="center"/>
              <w:rPr>
                <w:rFonts w:hAnsi="標楷體" w:cs="Arial"/>
                <w:color w:val="000000" w:themeColor="text1"/>
                <w:sz w:val="24"/>
                <w:szCs w:val="24"/>
              </w:rPr>
            </w:pPr>
            <w:r w:rsidRPr="007D10AC">
              <w:rPr>
                <w:rFonts w:hAnsi="標楷體" w:cs="Arial" w:hint="eastAsia"/>
                <w:color w:val="000000" w:themeColor="text1"/>
                <w:sz w:val="24"/>
                <w:szCs w:val="24"/>
              </w:rPr>
              <w:t>部分</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104</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410.0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39.0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7.0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7.0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4.0</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105</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366.0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28.0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5.5</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3.0</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lastRenderedPageBreak/>
              <w:t>106</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317.0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15.0</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7.0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32.0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7</w:t>
            </w:r>
            <w:r w:rsidRPr="007D10AC">
              <w:rPr>
                <w:rFonts w:hAnsi="標楷體"/>
                <w:color w:val="000000" w:themeColor="text1"/>
                <w:sz w:val="24"/>
                <w:szCs w:val="24"/>
              </w:rPr>
              <w:t>.0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0.5</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107</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259.0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81.0</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21.0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36.0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3.5</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6</w:t>
            </w:r>
            <w:r w:rsidRPr="007D10AC">
              <w:rPr>
                <w:rFonts w:hAnsi="標楷體"/>
                <w:color w:val="000000" w:themeColor="text1"/>
                <w:sz w:val="24"/>
                <w:szCs w:val="24"/>
              </w:rPr>
              <w:t>.0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1.5</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108</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255.0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103.0</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25.0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36.0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4.0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7.0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1.5</w:t>
            </w:r>
          </w:p>
        </w:tc>
      </w:tr>
      <w:tr w:rsidR="007D10AC" w:rsidRPr="007D10AC" w:rsidTr="00742E9F">
        <w:trPr>
          <w:trHeight w:val="397"/>
        </w:trPr>
        <w:tc>
          <w:tcPr>
            <w:tcW w:w="474"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109</w:t>
            </w:r>
          </w:p>
        </w:tc>
        <w:tc>
          <w:tcPr>
            <w:tcW w:w="116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204.0</w:t>
            </w:r>
          </w:p>
        </w:tc>
        <w:tc>
          <w:tcPr>
            <w:tcW w:w="907"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90.0</w:t>
            </w:r>
          </w:p>
        </w:tc>
        <w:tc>
          <w:tcPr>
            <w:tcW w:w="908"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21.0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color w:val="000000" w:themeColor="text1"/>
                <w:sz w:val="24"/>
                <w:szCs w:val="24"/>
              </w:rPr>
              <w:t>41.0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color w:val="000000" w:themeColor="text1"/>
                <w:sz w:val="24"/>
                <w:szCs w:val="24"/>
              </w:rPr>
              <w:t>0.0</w:t>
            </w:r>
          </w:p>
        </w:tc>
        <w:tc>
          <w:tcPr>
            <w:tcW w:w="386"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color w:val="000000" w:themeColor="text1"/>
                <w:sz w:val="24"/>
                <w:szCs w:val="24"/>
              </w:rPr>
              <w:t>9.0</w:t>
            </w:r>
          </w:p>
        </w:tc>
        <w:tc>
          <w:tcPr>
            <w:tcW w:w="385" w:type="pct"/>
            <w:shd w:val="clear" w:color="auto" w:fill="auto"/>
            <w:vAlign w:val="center"/>
          </w:tcPr>
          <w:p w:rsidR="00A970F2" w:rsidRPr="007D10AC" w:rsidRDefault="00A970F2" w:rsidP="008A500E">
            <w:pPr>
              <w:spacing w:line="280" w:lineRule="exact"/>
              <w:jc w:val="center"/>
              <w:rPr>
                <w:rFonts w:hAnsi="標楷體"/>
                <w:color w:val="000000" w:themeColor="text1"/>
                <w:sz w:val="24"/>
                <w:szCs w:val="24"/>
              </w:rPr>
            </w:pPr>
            <w:r w:rsidRPr="007D10AC">
              <w:rPr>
                <w:rFonts w:hAnsi="標楷體" w:hint="eastAsia"/>
                <w:color w:val="000000" w:themeColor="text1"/>
                <w:sz w:val="24"/>
                <w:szCs w:val="24"/>
              </w:rPr>
              <w:t>1</w:t>
            </w:r>
            <w:r w:rsidRPr="007D10AC">
              <w:rPr>
                <w:rFonts w:hAnsi="標楷體"/>
                <w:color w:val="000000" w:themeColor="text1"/>
                <w:sz w:val="24"/>
                <w:szCs w:val="24"/>
              </w:rPr>
              <w:t>.5</w:t>
            </w:r>
          </w:p>
        </w:tc>
      </w:tr>
    </w:tbl>
    <w:p w:rsidR="00A970F2" w:rsidRPr="007D10AC" w:rsidRDefault="00A970F2" w:rsidP="00A970F2">
      <w:pPr>
        <w:pStyle w:val="af9"/>
        <w:spacing w:before="0" w:after="0" w:line="300" w:lineRule="exact"/>
        <w:ind w:left="1134" w:hangingChars="472" w:hanging="1134"/>
        <w:rPr>
          <w:rFonts w:hAnsi="標楷體"/>
          <w:color w:val="000000" w:themeColor="text1"/>
          <w:sz w:val="24"/>
          <w:szCs w:val="24"/>
        </w:rPr>
      </w:pPr>
      <w:r w:rsidRPr="007D10AC">
        <w:rPr>
          <w:rFonts w:hAnsi="標楷體" w:hint="eastAsia"/>
          <w:color w:val="000000" w:themeColor="text1"/>
          <w:sz w:val="24"/>
          <w:szCs w:val="24"/>
          <w:lang w:eastAsia="zh-HK"/>
        </w:rPr>
        <w:t>資料來源：</w:t>
      </w:r>
      <w:r w:rsidRPr="007D10AC">
        <w:rPr>
          <w:rFonts w:hAnsi="標楷體" w:hint="eastAsia"/>
          <w:color w:val="000000" w:themeColor="text1"/>
          <w:sz w:val="24"/>
          <w:szCs w:val="24"/>
        </w:rPr>
        <w:t>整理</w:t>
      </w:r>
      <w:r w:rsidRPr="007D10AC">
        <w:rPr>
          <w:rFonts w:hAnsi="標楷體" w:hint="eastAsia"/>
          <w:color w:val="000000" w:themeColor="text1"/>
          <w:sz w:val="24"/>
          <w:szCs w:val="24"/>
          <w:lang w:eastAsia="zh-HK"/>
        </w:rPr>
        <w:t>自</w:t>
      </w:r>
      <w:r w:rsidRPr="007D10AC">
        <w:rPr>
          <w:rFonts w:hAnsi="標楷體" w:hint="eastAsia"/>
          <w:color w:val="000000" w:themeColor="text1"/>
          <w:sz w:val="24"/>
          <w:szCs w:val="24"/>
        </w:rPr>
        <w:t>行政院及所屬機關訴願決定經行政法院裁判結果及撤銷理由分析統計表及法源法律網。</w:t>
      </w:r>
    </w:p>
    <w:p w:rsidR="00A970F2" w:rsidRPr="007D10AC" w:rsidRDefault="00A970F2" w:rsidP="00A970F2">
      <w:pPr>
        <w:pStyle w:val="affa"/>
        <w:spacing w:line="280" w:lineRule="exact"/>
        <w:ind w:leftChars="0" w:left="1366" w:rightChars="-100" w:right="-340" w:hangingChars="525" w:hanging="1366"/>
        <w:rPr>
          <w:rFonts w:hAnsi="標楷體"/>
          <w:snapToGrid/>
          <w:color w:val="000000" w:themeColor="text1"/>
          <w:sz w:val="24"/>
          <w:szCs w:val="24"/>
        </w:rPr>
      </w:pPr>
    </w:p>
    <w:p w:rsidR="00BB6053" w:rsidRPr="007D10AC" w:rsidRDefault="00BB6053" w:rsidP="00BB6053">
      <w:pPr>
        <w:pStyle w:val="a4"/>
        <w:keepLines/>
        <w:ind w:left="697" w:hanging="697"/>
        <w:rPr>
          <w:rFonts w:hAnsi="標楷體"/>
          <w:color w:val="000000" w:themeColor="text1"/>
        </w:rPr>
      </w:pPr>
      <w:r w:rsidRPr="007D10AC">
        <w:rPr>
          <w:rFonts w:hAnsi="標楷體" w:hint="eastAsia"/>
          <w:color w:val="000000" w:themeColor="text1"/>
        </w:rPr>
        <w:t xml:space="preserve">104至109年度財政部訴願決定經行政法院裁判結果及撤銷理由分析統計表 </w:t>
      </w:r>
      <w:r w:rsidRPr="007D10AC">
        <w:rPr>
          <w:rFonts w:hAnsi="標楷體"/>
          <w:color w:val="000000" w:themeColor="text1"/>
        </w:rPr>
        <w:t xml:space="preserve">                                         </w:t>
      </w:r>
      <w:r w:rsidRPr="007D10AC">
        <w:rPr>
          <w:rFonts w:hAnsi="標楷體"/>
          <w:color w:val="000000" w:themeColor="text1"/>
        </w:rPr>
        <w:tab/>
      </w:r>
      <w:r w:rsidRPr="007D10AC">
        <w:rPr>
          <w:rFonts w:hAnsi="標楷體" w:hint="eastAsia"/>
          <w:color w:val="000000" w:themeColor="text1"/>
        </w:rPr>
        <w:t>單位：件</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653"/>
        <w:gridCol w:w="653"/>
        <w:gridCol w:w="653"/>
        <w:gridCol w:w="807"/>
        <w:gridCol w:w="654"/>
        <w:gridCol w:w="807"/>
        <w:gridCol w:w="655"/>
        <w:gridCol w:w="580"/>
        <w:gridCol w:w="731"/>
        <w:gridCol w:w="655"/>
        <w:gridCol w:w="655"/>
        <w:gridCol w:w="721"/>
        <w:gridCol w:w="590"/>
      </w:tblGrid>
      <w:tr w:rsidR="007D10AC" w:rsidRPr="007D10AC" w:rsidTr="00D47582">
        <w:trPr>
          <w:trHeight w:val="397"/>
          <w:tblHeader/>
        </w:trPr>
        <w:tc>
          <w:tcPr>
            <w:tcW w:w="38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年度</w:t>
            </w:r>
          </w:p>
        </w:tc>
        <w:tc>
          <w:tcPr>
            <w:tcW w:w="38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裁判件數</w:t>
            </w:r>
          </w:p>
        </w:tc>
        <w:tc>
          <w:tcPr>
            <w:tcW w:w="782" w:type="pct"/>
            <w:gridSpan w:val="2"/>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駁回</w:t>
            </w:r>
          </w:p>
        </w:tc>
        <w:tc>
          <w:tcPr>
            <w:tcW w:w="3455" w:type="pct"/>
            <w:gridSpan w:val="9"/>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撤銷</w:t>
            </w:r>
          </w:p>
        </w:tc>
      </w:tr>
      <w:tr w:rsidR="007D10AC" w:rsidRPr="007D10AC" w:rsidTr="00D47582">
        <w:trPr>
          <w:trHeight w:val="397"/>
          <w:tblHeader/>
        </w:trPr>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件數</w:t>
            </w:r>
          </w:p>
        </w:tc>
        <w:tc>
          <w:tcPr>
            <w:tcW w:w="40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占比</w:t>
            </w:r>
            <w:r w:rsidRPr="007D10AC">
              <w:rPr>
                <w:rFonts w:hAnsi="標楷體" w:hint="eastAsia"/>
                <w:color w:val="000000" w:themeColor="text1"/>
                <w:spacing w:val="-20"/>
                <w:szCs w:val="24"/>
              </w:rPr>
              <w:t>％</w:t>
            </w:r>
          </w:p>
        </w:tc>
        <w:tc>
          <w:tcPr>
            <w:tcW w:w="38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件數</w:t>
            </w:r>
          </w:p>
        </w:tc>
        <w:tc>
          <w:tcPr>
            <w:tcW w:w="401" w:type="pct"/>
            <w:vMerge w:val="restar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占比</w:t>
            </w:r>
            <w:r w:rsidRPr="007D10AC">
              <w:rPr>
                <w:rFonts w:hAnsi="標楷體" w:hint="eastAsia"/>
                <w:color w:val="000000" w:themeColor="text1"/>
                <w:spacing w:val="-20"/>
                <w:szCs w:val="24"/>
              </w:rPr>
              <w:t>％</w:t>
            </w:r>
          </w:p>
        </w:tc>
        <w:tc>
          <w:tcPr>
            <w:tcW w:w="2673" w:type="pct"/>
            <w:gridSpan w:val="7"/>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撤銷理由</w:t>
            </w:r>
          </w:p>
        </w:tc>
      </w:tr>
      <w:tr w:rsidR="007D10AC" w:rsidRPr="007D10AC" w:rsidTr="00D47582">
        <w:trPr>
          <w:trHeight w:val="397"/>
          <w:tblHeader/>
        </w:trPr>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40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401" w:type="pct"/>
            <w:vMerge/>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p>
        </w:tc>
        <w:tc>
          <w:tcPr>
            <w:tcW w:w="382"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認定事實未</w:t>
            </w:r>
            <w:proofErr w:type="gramStart"/>
            <w:r w:rsidRPr="007D10AC">
              <w:rPr>
                <w:rFonts w:hAnsi="標楷體" w:hint="eastAsia"/>
                <w:snapToGrid/>
                <w:color w:val="000000" w:themeColor="text1"/>
                <w:spacing w:val="-20"/>
                <w:szCs w:val="24"/>
              </w:rPr>
              <w:t>臻</w:t>
            </w:r>
            <w:proofErr w:type="gramEnd"/>
            <w:r w:rsidRPr="007D10AC">
              <w:rPr>
                <w:rFonts w:hAnsi="標楷體" w:hint="eastAsia"/>
                <w:snapToGrid/>
                <w:color w:val="000000" w:themeColor="text1"/>
                <w:spacing w:val="-20"/>
                <w:szCs w:val="24"/>
              </w:rPr>
              <w:t>明確</w:t>
            </w:r>
          </w:p>
        </w:tc>
        <w:tc>
          <w:tcPr>
            <w:tcW w:w="339"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原處分或原決定不當</w:t>
            </w:r>
          </w:p>
        </w:tc>
        <w:tc>
          <w:tcPr>
            <w:tcW w:w="425"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行政訴訟時提出新證據請重新調查</w:t>
            </w:r>
          </w:p>
        </w:tc>
        <w:tc>
          <w:tcPr>
            <w:tcW w:w="382"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行政訴訟時事實變更請重新調查</w:t>
            </w:r>
          </w:p>
        </w:tc>
        <w:tc>
          <w:tcPr>
            <w:tcW w:w="382"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行政訴訟時法令變更請重新調查</w:t>
            </w:r>
          </w:p>
        </w:tc>
        <w:tc>
          <w:tcPr>
            <w:tcW w:w="419"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行政法院法令見解事實認定與行政機關不一致</w:t>
            </w:r>
          </w:p>
        </w:tc>
        <w:tc>
          <w:tcPr>
            <w:tcW w:w="345" w:type="pct"/>
            <w:shd w:val="clear" w:color="auto" w:fill="auto"/>
            <w:vAlign w:val="center"/>
          </w:tcPr>
          <w:p w:rsidR="00BB6053" w:rsidRPr="007D10AC" w:rsidRDefault="00BB6053" w:rsidP="00D47582">
            <w:pPr>
              <w:pStyle w:val="143"/>
              <w:adjustRightInd w:val="0"/>
              <w:snapToGrid w:val="0"/>
              <w:spacing w:line="240" w:lineRule="exact"/>
              <w:jc w:val="center"/>
              <w:rPr>
                <w:rFonts w:hAnsi="標楷體"/>
                <w:snapToGrid/>
                <w:color w:val="000000" w:themeColor="text1"/>
                <w:spacing w:val="-20"/>
                <w:szCs w:val="24"/>
              </w:rPr>
            </w:pPr>
            <w:r w:rsidRPr="007D10AC">
              <w:rPr>
                <w:rFonts w:hAnsi="標楷體" w:hint="eastAsia"/>
                <w:snapToGrid/>
                <w:color w:val="000000" w:themeColor="text1"/>
                <w:spacing w:val="-20"/>
                <w:szCs w:val="24"/>
              </w:rPr>
              <w:t>行政法院見解前後不一致</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104</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864</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776</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89.81</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88</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10.19</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67</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105</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872</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803</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92.09</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69</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7.91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65</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106</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705</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640</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90.78</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65</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9.22</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2</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58</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107</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586</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531</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90.61</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55</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9.39</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48</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108</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489</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448</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91.62</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41</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8.38</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37</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r>
      <w:tr w:rsidR="007D10AC" w:rsidRPr="007D10AC" w:rsidTr="00D47582">
        <w:trPr>
          <w:trHeight w:val="397"/>
        </w:trPr>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r w:rsidRPr="007D10AC">
              <w:rPr>
                <w:rFonts w:hAnsi="標楷體"/>
                <w:snapToGrid/>
                <w:color w:val="000000" w:themeColor="text1"/>
                <w:sz w:val="28"/>
              </w:rPr>
              <w:t>09</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w:t>
            </w:r>
            <w:r w:rsidRPr="007D10AC">
              <w:rPr>
                <w:rFonts w:hAnsi="標楷體"/>
                <w:snapToGrid/>
                <w:color w:val="000000" w:themeColor="text1"/>
                <w:sz w:val="28"/>
              </w:rPr>
              <w:t>77</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w:t>
            </w:r>
            <w:r w:rsidRPr="007D10AC">
              <w:rPr>
                <w:rFonts w:hAnsi="標楷體"/>
                <w:snapToGrid/>
                <w:color w:val="000000" w:themeColor="text1"/>
                <w:sz w:val="28"/>
              </w:rPr>
              <w:t>41</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w:t>
            </w:r>
            <w:r w:rsidRPr="007D10AC">
              <w:rPr>
                <w:rFonts w:hAnsi="標楷體"/>
                <w:snapToGrid/>
                <w:color w:val="000000" w:themeColor="text1"/>
                <w:sz w:val="28"/>
              </w:rPr>
              <w:t>0.45</w:t>
            </w:r>
          </w:p>
        </w:tc>
        <w:tc>
          <w:tcPr>
            <w:tcW w:w="38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w:t>
            </w:r>
            <w:r w:rsidRPr="007D10AC">
              <w:rPr>
                <w:rFonts w:hAnsi="標楷體"/>
                <w:snapToGrid/>
                <w:color w:val="000000" w:themeColor="text1"/>
                <w:sz w:val="28"/>
              </w:rPr>
              <w:t>6</w:t>
            </w:r>
          </w:p>
        </w:tc>
        <w:tc>
          <w:tcPr>
            <w:tcW w:w="401"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9</w:t>
            </w:r>
            <w:r w:rsidRPr="007D10AC">
              <w:rPr>
                <w:rFonts w:hAnsi="標楷體"/>
                <w:snapToGrid/>
                <w:color w:val="000000" w:themeColor="text1"/>
                <w:sz w:val="28"/>
              </w:rPr>
              <w:t>.55</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3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42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0</w:t>
            </w:r>
          </w:p>
        </w:tc>
        <w:tc>
          <w:tcPr>
            <w:tcW w:w="382"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c>
          <w:tcPr>
            <w:tcW w:w="419"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3</w:t>
            </w:r>
            <w:r w:rsidRPr="007D10AC">
              <w:rPr>
                <w:rFonts w:hAnsi="標楷體"/>
                <w:snapToGrid/>
                <w:color w:val="000000" w:themeColor="text1"/>
                <w:sz w:val="28"/>
              </w:rPr>
              <w:t>3</w:t>
            </w:r>
          </w:p>
        </w:tc>
        <w:tc>
          <w:tcPr>
            <w:tcW w:w="345" w:type="pct"/>
            <w:shd w:val="clear" w:color="auto" w:fill="auto"/>
            <w:vAlign w:val="center"/>
          </w:tcPr>
          <w:p w:rsidR="00BB6053" w:rsidRPr="007D10AC" w:rsidRDefault="00BB6053" w:rsidP="00D47582">
            <w:pPr>
              <w:pStyle w:val="143"/>
              <w:adjustRightInd w:val="0"/>
              <w:snapToGrid w:val="0"/>
              <w:spacing w:line="320" w:lineRule="exact"/>
              <w:jc w:val="center"/>
              <w:rPr>
                <w:rFonts w:hAnsi="標楷體"/>
                <w:snapToGrid/>
                <w:color w:val="000000" w:themeColor="text1"/>
                <w:sz w:val="28"/>
              </w:rPr>
            </w:pPr>
            <w:r w:rsidRPr="007D10AC">
              <w:rPr>
                <w:rFonts w:hAnsi="標楷體" w:hint="eastAsia"/>
                <w:snapToGrid/>
                <w:color w:val="000000" w:themeColor="text1"/>
                <w:sz w:val="28"/>
              </w:rPr>
              <w:t>1</w:t>
            </w:r>
          </w:p>
        </w:tc>
      </w:tr>
    </w:tbl>
    <w:p w:rsidR="00BB6053" w:rsidRPr="007D10AC" w:rsidRDefault="00BB6053" w:rsidP="00BB6053">
      <w:pPr>
        <w:pStyle w:val="af9"/>
        <w:spacing w:before="0" w:after="0" w:line="300" w:lineRule="exact"/>
        <w:ind w:left="1134" w:hangingChars="472" w:hanging="1134"/>
        <w:rPr>
          <w:rFonts w:hAnsi="標楷體"/>
          <w:color w:val="000000" w:themeColor="text1"/>
          <w:sz w:val="24"/>
        </w:rPr>
      </w:pPr>
      <w:r w:rsidRPr="007D10AC">
        <w:rPr>
          <w:rFonts w:hAnsi="標楷體" w:hint="eastAsia"/>
          <w:color w:val="000000" w:themeColor="text1"/>
          <w:sz w:val="24"/>
        </w:rPr>
        <w:t>資料來源：整理自行政院及各級行政機關訴願業務統計。</w:t>
      </w:r>
    </w:p>
    <w:p w:rsidR="00BB6053" w:rsidRPr="007D10AC" w:rsidRDefault="00BB6053" w:rsidP="00BB6053">
      <w:pPr>
        <w:pStyle w:val="af9"/>
        <w:spacing w:before="0" w:after="0" w:line="300" w:lineRule="exact"/>
        <w:ind w:left="1134" w:hangingChars="472" w:hanging="1134"/>
        <w:rPr>
          <w:rFonts w:hAnsi="標楷體"/>
          <w:color w:val="000000" w:themeColor="text1"/>
          <w:sz w:val="24"/>
        </w:rPr>
      </w:pPr>
    </w:p>
    <w:p w:rsidR="00E25849" w:rsidRPr="007D10AC" w:rsidRDefault="00E25849" w:rsidP="004E05A1">
      <w:pPr>
        <w:pStyle w:val="1"/>
        <w:ind w:left="2380" w:hanging="2380"/>
        <w:rPr>
          <w:rFonts w:hAnsi="標楷體"/>
          <w:color w:val="000000" w:themeColor="text1"/>
        </w:rPr>
      </w:pPr>
      <w:r w:rsidRPr="007D10AC">
        <w:rPr>
          <w:rFonts w:hAnsi="標楷體"/>
          <w:color w:val="000000" w:themeColor="text1"/>
        </w:rPr>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7D10AC">
        <w:rPr>
          <w:rFonts w:hAnsi="標楷體" w:hint="eastAsia"/>
          <w:color w:val="000000" w:themeColor="text1"/>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7B26B3" w:rsidRPr="007D10AC" w:rsidRDefault="007B26B3" w:rsidP="00D47582">
      <w:pPr>
        <w:pStyle w:val="2"/>
        <w:rPr>
          <w:rFonts w:hAnsi="標楷體"/>
          <w:color w:val="000000" w:themeColor="text1"/>
        </w:rPr>
      </w:pPr>
      <w:bookmarkStart w:id="103" w:name="_Toc524895649"/>
      <w:bookmarkStart w:id="104" w:name="_Toc524896195"/>
      <w:bookmarkStart w:id="105" w:name="_Toc524896225"/>
      <w:bookmarkStart w:id="106" w:name="_Toc70241820"/>
      <w:bookmarkStart w:id="107" w:name="_Toc70242209"/>
      <w:bookmarkStart w:id="108" w:name="_Toc421794876"/>
      <w:bookmarkStart w:id="109" w:name="_Toc421795442"/>
      <w:bookmarkStart w:id="110" w:name="_Toc421796023"/>
      <w:bookmarkStart w:id="111" w:name="_Toc422728958"/>
      <w:bookmarkStart w:id="112" w:name="_Toc422834161"/>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3"/>
      <w:bookmarkEnd w:id="104"/>
      <w:bookmarkEnd w:id="105"/>
      <w:r w:rsidRPr="007D10AC">
        <w:rPr>
          <w:rFonts w:hAnsi="標楷體" w:hint="eastAsia"/>
          <w:color w:val="000000" w:themeColor="text1"/>
        </w:rPr>
        <w:t>抄調查意見</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D10AC">
        <w:rPr>
          <w:rFonts w:hAnsi="標楷體" w:hint="eastAsia"/>
          <w:color w:val="000000" w:themeColor="text1"/>
        </w:rPr>
        <w:t>，函請財政部確實檢討改進</w:t>
      </w:r>
      <w:proofErr w:type="gramStart"/>
      <w:r w:rsidRPr="007D10AC">
        <w:rPr>
          <w:rFonts w:hAnsi="標楷體" w:hint="eastAsia"/>
          <w:color w:val="000000" w:themeColor="text1"/>
        </w:rPr>
        <w:t>見復。</w:t>
      </w:r>
      <w:proofErr w:type="gramEnd"/>
    </w:p>
    <w:p w:rsidR="007B26B3" w:rsidRPr="007D10AC" w:rsidRDefault="007B26B3">
      <w:pPr>
        <w:pStyle w:val="2"/>
        <w:rPr>
          <w:rFonts w:hAnsi="標楷體"/>
          <w:color w:val="000000" w:themeColor="text1"/>
        </w:rPr>
      </w:pPr>
      <w:r w:rsidRPr="007D10AC">
        <w:rPr>
          <w:rFonts w:hAnsi="標楷體" w:hint="eastAsia"/>
          <w:color w:val="000000" w:themeColor="text1"/>
        </w:rPr>
        <w:t>抄調查意見五，函請司法院</w:t>
      </w:r>
      <w:proofErr w:type="gramStart"/>
      <w:r w:rsidRPr="007D10AC">
        <w:rPr>
          <w:rFonts w:hAnsi="標楷體" w:hint="eastAsia"/>
          <w:color w:val="000000" w:themeColor="text1"/>
        </w:rPr>
        <w:t>研議酌</w:t>
      </w:r>
      <w:proofErr w:type="gramEnd"/>
      <w:r w:rsidRPr="007D10AC">
        <w:rPr>
          <w:rFonts w:hAnsi="標楷體" w:hint="eastAsia"/>
          <w:color w:val="000000" w:themeColor="text1"/>
        </w:rPr>
        <w:t>參見復。</w:t>
      </w:r>
    </w:p>
    <w:p w:rsidR="00E25849" w:rsidRPr="007D10AC" w:rsidRDefault="007B26B3">
      <w:pPr>
        <w:pStyle w:val="2"/>
        <w:rPr>
          <w:rFonts w:hAnsi="標楷體"/>
          <w:color w:val="000000" w:themeColor="text1"/>
        </w:rPr>
      </w:pPr>
      <w:bookmarkStart w:id="132" w:name="_Hlk103089080"/>
      <w:bookmarkStart w:id="133" w:name="_GoBack"/>
      <w:bookmarkEnd w:id="121"/>
      <w:bookmarkEnd w:id="122"/>
      <w:bookmarkEnd w:id="123"/>
      <w:bookmarkEnd w:id="124"/>
      <w:bookmarkEnd w:id="125"/>
      <w:bookmarkEnd w:id="126"/>
      <w:bookmarkEnd w:id="127"/>
      <w:bookmarkEnd w:id="128"/>
      <w:bookmarkEnd w:id="129"/>
      <w:bookmarkEnd w:id="130"/>
      <w:bookmarkEnd w:id="131"/>
      <w:r w:rsidRPr="000F4AD8">
        <w:rPr>
          <w:rFonts w:hAnsi="標楷體" w:hint="eastAsia"/>
          <w:color w:val="000000" w:themeColor="text1"/>
        </w:rPr>
        <w:t>調查報告之案由、調查意見及處理辦法上網公布。</w:t>
      </w:r>
      <w:bookmarkEnd w:id="132"/>
      <w:bookmarkEnd w:id="133"/>
    </w:p>
    <w:p w:rsidR="00E25849" w:rsidRPr="007D10AC" w:rsidRDefault="00E25849" w:rsidP="00ED1963">
      <w:pPr>
        <w:pStyle w:val="ac"/>
        <w:spacing w:beforeLines="150" w:before="685" w:after="0"/>
        <w:ind w:leftChars="1100" w:left="3742"/>
        <w:rPr>
          <w:rFonts w:hAnsi="標楷體"/>
          <w:b w:val="0"/>
          <w:bCs/>
          <w:snapToGrid/>
          <w:color w:val="000000" w:themeColor="text1"/>
          <w:spacing w:val="0"/>
          <w:kern w:val="0"/>
          <w:sz w:val="40"/>
        </w:rPr>
      </w:pPr>
      <w:r w:rsidRPr="007D10AC">
        <w:rPr>
          <w:rFonts w:hAnsi="標楷體" w:hint="eastAsia"/>
          <w:b w:val="0"/>
          <w:bCs/>
          <w:snapToGrid/>
          <w:color w:val="000000" w:themeColor="text1"/>
          <w:spacing w:val="12"/>
          <w:kern w:val="0"/>
          <w:sz w:val="40"/>
        </w:rPr>
        <w:t>調查委員：</w:t>
      </w:r>
      <w:r w:rsidR="007B26B3" w:rsidRPr="007D10AC">
        <w:rPr>
          <w:rFonts w:hAnsi="標楷體" w:hint="eastAsia"/>
          <w:b w:val="0"/>
          <w:bCs/>
          <w:snapToGrid/>
          <w:color w:val="000000" w:themeColor="text1"/>
          <w:spacing w:val="12"/>
          <w:kern w:val="0"/>
          <w:sz w:val="40"/>
        </w:rPr>
        <w:t>蔡崇義</w:t>
      </w:r>
    </w:p>
    <w:p w:rsidR="00A11D4E" w:rsidRPr="007D10AC" w:rsidRDefault="007B26B3">
      <w:pPr>
        <w:pStyle w:val="ac"/>
        <w:spacing w:before="0" w:after="0"/>
        <w:ind w:leftChars="1100" w:left="3742" w:firstLineChars="500" w:firstLine="2221"/>
        <w:rPr>
          <w:rFonts w:hAnsi="標楷體"/>
          <w:b w:val="0"/>
          <w:bCs/>
          <w:snapToGrid/>
          <w:color w:val="000000" w:themeColor="text1"/>
          <w:spacing w:val="12"/>
          <w:kern w:val="0"/>
          <w:sz w:val="40"/>
          <w:szCs w:val="40"/>
        </w:rPr>
      </w:pPr>
      <w:r w:rsidRPr="007D10AC">
        <w:rPr>
          <w:rFonts w:hAnsi="標楷體" w:hint="eastAsia"/>
          <w:b w:val="0"/>
          <w:bCs/>
          <w:snapToGrid/>
          <w:color w:val="000000" w:themeColor="text1"/>
          <w:spacing w:val="12"/>
          <w:kern w:val="0"/>
          <w:sz w:val="40"/>
          <w:szCs w:val="40"/>
        </w:rPr>
        <w:t>田秋</w:t>
      </w:r>
      <w:proofErr w:type="gramStart"/>
      <w:r w:rsidRPr="007D10AC">
        <w:rPr>
          <w:rFonts w:hAnsi="標楷體" w:hint="eastAsia"/>
          <w:b w:val="0"/>
          <w:bCs/>
          <w:snapToGrid/>
          <w:color w:val="000000" w:themeColor="text1"/>
          <w:spacing w:val="12"/>
          <w:kern w:val="0"/>
          <w:sz w:val="40"/>
          <w:szCs w:val="40"/>
        </w:rPr>
        <w:t>堇</w:t>
      </w:r>
      <w:proofErr w:type="gramEnd"/>
    </w:p>
    <w:p w:rsidR="00A11D4E" w:rsidRPr="007D10AC" w:rsidRDefault="00A11D4E">
      <w:pPr>
        <w:pStyle w:val="ac"/>
        <w:spacing w:before="0" w:after="0"/>
        <w:ind w:leftChars="1100" w:left="3742" w:firstLineChars="500" w:firstLine="2021"/>
        <w:rPr>
          <w:rFonts w:hAnsi="標楷體"/>
          <w:b w:val="0"/>
          <w:bCs/>
          <w:snapToGrid/>
          <w:color w:val="000000" w:themeColor="text1"/>
          <w:spacing w:val="12"/>
          <w:kern w:val="0"/>
        </w:rPr>
      </w:pPr>
    </w:p>
    <w:p w:rsidR="00A11D4E" w:rsidRPr="007D10AC" w:rsidRDefault="00A11D4E">
      <w:pPr>
        <w:pStyle w:val="ac"/>
        <w:spacing w:before="0" w:after="0"/>
        <w:ind w:leftChars="1100" w:left="3742" w:firstLineChars="500" w:firstLine="2021"/>
        <w:rPr>
          <w:rFonts w:hAnsi="標楷體"/>
          <w:b w:val="0"/>
          <w:bCs/>
          <w:snapToGrid/>
          <w:color w:val="000000" w:themeColor="text1"/>
          <w:spacing w:val="12"/>
          <w:kern w:val="0"/>
        </w:rPr>
      </w:pPr>
    </w:p>
    <w:p w:rsidR="00A11D4E" w:rsidRPr="007D10AC" w:rsidRDefault="00A11D4E">
      <w:pPr>
        <w:pStyle w:val="ac"/>
        <w:spacing w:before="0" w:after="0"/>
        <w:ind w:leftChars="1100" w:left="3742" w:firstLineChars="500" w:firstLine="2021"/>
        <w:rPr>
          <w:rFonts w:hAnsi="標楷體"/>
          <w:b w:val="0"/>
          <w:bCs/>
          <w:snapToGrid/>
          <w:color w:val="000000" w:themeColor="text1"/>
          <w:spacing w:val="12"/>
          <w:kern w:val="0"/>
        </w:rPr>
      </w:pPr>
    </w:p>
    <w:p w:rsidR="00DB1170" w:rsidRPr="007D10AC" w:rsidRDefault="00DB1170">
      <w:pPr>
        <w:pStyle w:val="ac"/>
        <w:spacing w:before="0" w:after="0"/>
        <w:ind w:leftChars="1100" w:left="3742" w:firstLineChars="500" w:firstLine="2021"/>
        <w:rPr>
          <w:rFonts w:hAnsi="標楷體"/>
          <w:b w:val="0"/>
          <w:bCs/>
          <w:snapToGrid/>
          <w:color w:val="000000" w:themeColor="text1"/>
          <w:spacing w:val="12"/>
          <w:kern w:val="0"/>
        </w:rPr>
      </w:pPr>
    </w:p>
    <w:p w:rsidR="00BB6053" w:rsidRPr="007D10AC" w:rsidRDefault="00BB6053">
      <w:pPr>
        <w:pStyle w:val="af2"/>
        <w:rPr>
          <w:rFonts w:hAnsi="標楷體"/>
          <w:bCs/>
          <w:color w:val="000000" w:themeColor="text1"/>
        </w:rPr>
      </w:pPr>
    </w:p>
    <w:p w:rsidR="00E25849" w:rsidRPr="007D10AC" w:rsidRDefault="00E25849">
      <w:pPr>
        <w:pStyle w:val="af2"/>
        <w:rPr>
          <w:rFonts w:hAnsi="標楷體"/>
          <w:bCs/>
          <w:color w:val="000000" w:themeColor="text1"/>
        </w:rPr>
      </w:pPr>
      <w:r w:rsidRPr="007D10AC">
        <w:rPr>
          <w:rFonts w:hAnsi="標楷體" w:hint="eastAsia"/>
          <w:bCs/>
          <w:color w:val="000000" w:themeColor="text1"/>
        </w:rPr>
        <w:t>中</w:t>
      </w:r>
      <w:r w:rsidR="00B5484D" w:rsidRPr="007D10AC">
        <w:rPr>
          <w:rFonts w:hAnsi="標楷體" w:hint="eastAsia"/>
          <w:bCs/>
          <w:color w:val="000000" w:themeColor="text1"/>
        </w:rPr>
        <w:t xml:space="preserve">  </w:t>
      </w:r>
      <w:r w:rsidRPr="007D10AC">
        <w:rPr>
          <w:rFonts w:hAnsi="標楷體" w:hint="eastAsia"/>
          <w:bCs/>
          <w:color w:val="000000" w:themeColor="text1"/>
        </w:rPr>
        <w:t>華</w:t>
      </w:r>
      <w:r w:rsidR="00B5484D" w:rsidRPr="007D10AC">
        <w:rPr>
          <w:rFonts w:hAnsi="標楷體" w:hint="eastAsia"/>
          <w:bCs/>
          <w:color w:val="000000" w:themeColor="text1"/>
        </w:rPr>
        <w:t xml:space="preserve">  </w:t>
      </w:r>
      <w:r w:rsidRPr="007D10AC">
        <w:rPr>
          <w:rFonts w:hAnsi="標楷體" w:hint="eastAsia"/>
          <w:bCs/>
          <w:color w:val="000000" w:themeColor="text1"/>
        </w:rPr>
        <w:t>民</w:t>
      </w:r>
      <w:r w:rsidR="00B5484D" w:rsidRPr="007D10AC">
        <w:rPr>
          <w:rFonts w:hAnsi="標楷體" w:hint="eastAsia"/>
          <w:bCs/>
          <w:color w:val="000000" w:themeColor="text1"/>
        </w:rPr>
        <w:t xml:space="preserve">  </w:t>
      </w:r>
      <w:r w:rsidRPr="007D10AC">
        <w:rPr>
          <w:rFonts w:hAnsi="標楷體" w:hint="eastAsia"/>
          <w:bCs/>
          <w:color w:val="000000" w:themeColor="text1"/>
        </w:rPr>
        <w:t xml:space="preserve">國　</w:t>
      </w:r>
      <w:r w:rsidR="007B26B3" w:rsidRPr="007D10AC">
        <w:rPr>
          <w:rFonts w:hAnsi="標楷體" w:hint="eastAsia"/>
          <w:bCs/>
          <w:color w:val="000000" w:themeColor="text1"/>
        </w:rPr>
        <w:t>1</w:t>
      </w:r>
      <w:r w:rsidR="007B26B3" w:rsidRPr="007D10AC">
        <w:rPr>
          <w:rFonts w:hAnsi="標楷體"/>
          <w:bCs/>
          <w:color w:val="000000" w:themeColor="text1"/>
        </w:rPr>
        <w:t xml:space="preserve">11 </w:t>
      </w:r>
      <w:r w:rsidRPr="007D10AC">
        <w:rPr>
          <w:rFonts w:hAnsi="標楷體" w:hint="eastAsia"/>
          <w:bCs/>
          <w:color w:val="000000" w:themeColor="text1"/>
        </w:rPr>
        <w:t xml:space="preserve">年　</w:t>
      </w:r>
      <w:r w:rsidR="007B26B3" w:rsidRPr="007D10AC">
        <w:rPr>
          <w:rFonts w:hAnsi="標楷體" w:hint="eastAsia"/>
          <w:bCs/>
          <w:color w:val="000000" w:themeColor="text1"/>
        </w:rPr>
        <w:t>5</w:t>
      </w:r>
      <w:r w:rsidRPr="007D10AC">
        <w:rPr>
          <w:rFonts w:hAnsi="標楷體" w:hint="eastAsia"/>
          <w:bCs/>
          <w:color w:val="000000" w:themeColor="text1"/>
        </w:rPr>
        <w:t xml:space="preserve">　月　</w:t>
      </w:r>
      <w:r w:rsidR="007B26B3" w:rsidRPr="007D10AC">
        <w:rPr>
          <w:rFonts w:hAnsi="標楷體" w:hint="eastAsia"/>
          <w:bCs/>
          <w:color w:val="000000" w:themeColor="text1"/>
        </w:rPr>
        <w:t>4</w:t>
      </w:r>
      <w:r w:rsidRPr="007D10AC">
        <w:rPr>
          <w:rFonts w:hAnsi="標楷體" w:hint="eastAsia"/>
          <w:bCs/>
          <w:color w:val="000000" w:themeColor="text1"/>
        </w:rPr>
        <w:t xml:space="preserve">　日</w:t>
      </w:r>
    </w:p>
    <w:p w:rsidR="008A500E" w:rsidRPr="007D10AC" w:rsidRDefault="008A500E" w:rsidP="008A500E">
      <w:pPr>
        <w:pStyle w:val="af3"/>
        <w:kinsoku/>
        <w:autoSpaceDE w:val="0"/>
        <w:spacing w:beforeLines="50" w:before="228"/>
        <w:ind w:left="1020" w:hanging="1020"/>
        <w:rPr>
          <w:bCs/>
          <w:color w:val="000000" w:themeColor="text1"/>
        </w:rPr>
      </w:pPr>
      <w:proofErr w:type="gramStart"/>
      <w:r w:rsidRPr="007D10AC">
        <w:rPr>
          <w:rFonts w:hint="eastAsia"/>
          <w:bCs/>
          <w:color w:val="000000" w:themeColor="text1"/>
        </w:rPr>
        <w:t>案名</w:t>
      </w:r>
      <w:proofErr w:type="gramEnd"/>
      <w:r w:rsidRPr="007D10AC">
        <w:rPr>
          <w:rFonts w:hint="eastAsia"/>
          <w:bCs/>
          <w:color w:val="000000" w:themeColor="text1"/>
        </w:rPr>
        <w:t>：</w:t>
      </w:r>
      <w:r w:rsidR="00F352AD" w:rsidRPr="007D10AC">
        <w:rPr>
          <w:rFonts w:hint="eastAsia"/>
          <w:bCs/>
          <w:color w:val="000000" w:themeColor="text1"/>
        </w:rPr>
        <w:t>陳年稅單</w:t>
      </w:r>
      <w:r w:rsidRPr="007D10AC">
        <w:rPr>
          <w:rFonts w:hint="eastAsia"/>
          <w:bCs/>
          <w:color w:val="000000" w:themeColor="text1"/>
        </w:rPr>
        <w:t>侵害賦稅人權案。</w:t>
      </w:r>
    </w:p>
    <w:p w:rsidR="008A500E" w:rsidRPr="007D10AC" w:rsidRDefault="008A500E" w:rsidP="00A07B4B">
      <w:pPr>
        <w:pStyle w:val="af3"/>
        <w:kinsoku/>
        <w:autoSpaceDE w:val="0"/>
        <w:spacing w:beforeLines="50" w:before="228"/>
        <w:ind w:left="1020" w:hanging="1020"/>
        <w:rPr>
          <w:rFonts w:hAnsi="標楷體"/>
          <w:bCs/>
          <w:color w:val="000000" w:themeColor="text1"/>
        </w:rPr>
      </w:pPr>
      <w:r w:rsidRPr="007D10AC">
        <w:rPr>
          <w:rFonts w:hint="eastAsia"/>
          <w:bCs/>
          <w:color w:val="000000" w:themeColor="text1"/>
        </w:rPr>
        <w:t>關鍵字：稅捐復查程序、</w:t>
      </w:r>
      <w:r w:rsidR="005333C0" w:rsidRPr="007D10AC">
        <w:rPr>
          <w:rFonts w:hint="eastAsia"/>
          <w:bCs/>
          <w:color w:val="000000" w:themeColor="text1"/>
        </w:rPr>
        <w:t>稅捐稽徵法、</w:t>
      </w:r>
      <w:r w:rsidRPr="007D10AC">
        <w:rPr>
          <w:rFonts w:hint="eastAsia"/>
          <w:bCs/>
          <w:color w:val="000000" w:themeColor="text1"/>
        </w:rPr>
        <w:t>納保法第2</w:t>
      </w:r>
      <w:r w:rsidRPr="007D10AC">
        <w:rPr>
          <w:bCs/>
          <w:color w:val="000000" w:themeColor="text1"/>
        </w:rPr>
        <w:t>1</w:t>
      </w:r>
      <w:r w:rsidRPr="007D10AC">
        <w:rPr>
          <w:rFonts w:hint="eastAsia"/>
          <w:bCs/>
          <w:color w:val="000000" w:themeColor="text1"/>
        </w:rPr>
        <w:t>條、稅法函釋檢視、租稅法定主義、稅務法官</w:t>
      </w:r>
    </w:p>
    <w:sectPr w:rsidR="008A500E" w:rsidRPr="007D10A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DF4" w:rsidRDefault="00CE5DF4">
      <w:r>
        <w:separator/>
      </w:r>
    </w:p>
  </w:endnote>
  <w:endnote w:type="continuationSeparator" w:id="0">
    <w:p w:rsidR="00CE5DF4" w:rsidRDefault="00CE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華康細明體">
    <w:altName w:val="微軟正黑體"/>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A9" w:rsidRDefault="004317A9">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93</w:t>
    </w:r>
    <w:r>
      <w:rPr>
        <w:rStyle w:val="ae"/>
        <w:sz w:val="24"/>
      </w:rPr>
      <w:fldChar w:fldCharType="end"/>
    </w:r>
  </w:p>
  <w:p w:rsidR="004317A9" w:rsidRDefault="004317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DF4" w:rsidRDefault="00CE5DF4">
      <w:r>
        <w:separator/>
      </w:r>
    </w:p>
  </w:footnote>
  <w:footnote w:type="continuationSeparator" w:id="0">
    <w:p w:rsidR="00CE5DF4" w:rsidRDefault="00CE5DF4">
      <w:r>
        <w:continuationSeparator/>
      </w:r>
    </w:p>
  </w:footnote>
  <w:footnote w:id="1">
    <w:p w:rsidR="004317A9" w:rsidRPr="0018392E" w:rsidRDefault="004317A9" w:rsidP="00360266">
      <w:pPr>
        <w:pStyle w:val="HTML"/>
        <w:spacing w:line="280" w:lineRule="exact"/>
        <w:ind w:left="220" w:hangingChars="100" w:hanging="220"/>
        <w:jc w:val="both"/>
        <w:rPr>
          <w:lang w:val="en-US"/>
        </w:rPr>
      </w:pPr>
      <w:r w:rsidRPr="00816952">
        <w:rPr>
          <w:rFonts w:ascii="標楷體" w:eastAsia="標楷體" w:hAnsi="標楷體"/>
        </w:rPr>
        <w:footnoteRef/>
      </w:r>
      <w:r>
        <w:rPr>
          <w:rFonts w:ascii="標楷體" w:eastAsia="標楷體" w:hAnsi="標楷體" w:hint="eastAsia"/>
          <w:lang w:eastAsia="zh-TW"/>
        </w:rPr>
        <w:t>.參考資料來源：</w:t>
      </w:r>
      <w:r w:rsidRPr="0018392E">
        <w:rPr>
          <w:rFonts w:ascii="標楷體" w:eastAsia="標楷體" w:hAnsi="標楷體" w:hint="eastAsia"/>
        </w:rPr>
        <w:t>納稅者權利保護法施行建言論壇</w:t>
      </w:r>
      <w:r w:rsidRPr="0018392E">
        <w:rPr>
          <w:rFonts w:ascii="標楷體" w:eastAsia="標楷體" w:hAnsi="標楷體"/>
        </w:rPr>
        <w:t>/2018.01.31/</w:t>
      </w:r>
      <w:r w:rsidRPr="0018392E">
        <w:rPr>
          <w:rFonts w:ascii="標楷體" w:eastAsia="標楷體" w:hAnsi="標楷體" w:hint="eastAsia"/>
        </w:rPr>
        <w:t>逢甲大學第三國際會議廳</w:t>
      </w:r>
      <w:r w:rsidRPr="0018392E">
        <w:rPr>
          <w:rFonts w:ascii="標楷體" w:eastAsia="標楷體" w:hAnsi="標楷體"/>
        </w:rPr>
        <w:t>/</w:t>
      </w:r>
      <w:r w:rsidRPr="0018392E">
        <w:rPr>
          <w:rFonts w:ascii="標楷體" w:eastAsia="標楷體" w:hAnsi="標楷體" w:hint="eastAsia"/>
        </w:rPr>
        <w:t>黃俊杰教授〈納稅者權利保護法之適用及增修方向〉〈稅務旬刊</w:t>
      </w:r>
      <w:r w:rsidRPr="0018392E">
        <w:rPr>
          <w:rFonts w:ascii="標楷體" w:eastAsia="標楷體" w:hAnsi="標楷體"/>
        </w:rPr>
        <w:t xml:space="preserve">106 </w:t>
      </w:r>
      <w:r w:rsidRPr="0018392E">
        <w:rPr>
          <w:rFonts w:ascii="標楷體" w:eastAsia="標楷體" w:hAnsi="標楷體" w:hint="eastAsia"/>
        </w:rPr>
        <w:t>年</w:t>
      </w:r>
      <w:r w:rsidRPr="0018392E">
        <w:rPr>
          <w:rFonts w:ascii="標楷體" w:eastAsia="標楷體" w:hAnsi="標楷體"/>
        </w:rPr>
        <w:t xml:space="preserve">5 </w:t>
      </w:r>
      <w:r w:rsidRPr="0018392E">
        <w:rPr>
          <w:rFonts w:ascii="標楷體" w:eastAsia="標楷體" w:hAnsi="標楷體" w:hint="eastAsia"/>
        </w:rPr>
        <w:t>月</w:t>
      </w:r>
      <w:r w:rsidRPr="0018392E">
        <w:rPr>
          <w:rFonts w:ascii="標楷體" w:eastAsia="標楷體" w:hAnsi="標楷體"/>
        </w:rPr>
        <w:t xml:space="preserve">20 </w:t>
      </w:r>
      <w:r w:rsidRPr="0018392E">
        <w:rPr>
          <w:rFonts w:ascii="標楷體" w:eastAsia="標楷體" w:hAnsi="標楷體" w:hint="eastAsia"/>
        </w:rPr>
        <w:t>日出版〉</w:t>
      </w:r>
    </w:p>
  </w:footnote>
  <w:footnote w:id="2">
    <w:p w:rsidR="004317A9" w:rsidRPr="002446CC" w:rsidRDefault="004317A9" w:rsidP="00360266">
      <w:pPr>
        <w:pStyle w:val="HTML"/>
        <w:spacing w:line="280" w:lineRule="exact"/>
        <w:ind w:left="220" w:hangingChars="100" w:hanging="220"/>
        <w:jc w:val="both"/>
      </w:pPr>
      <w:r w:rsidRPr="00816952">
        <w:footnoteRef/>
      </w:r>
      <w:r>
        <w:rPr>
          <w:rFonts w:ascii="標楷體" w:eastAsia="標楷體" w:hAnsi="標楷體" w:hint="eastAsia"/>
          <w:lang w:eastAsia="zh-TW"/>
        </w:rPr>
        <w:t>.參考</w:t>
      </w:r>
      <w:r w:rsidRPr="002446CC">
        <w:rPr>
          <w:rFonts w:ascii="標楷體" w:eastAsia="標楷體" w:hAnsi="標楷體" w:hint="eastAsia"/>
        </w:rPr>
        <w:t>資料來源</w:t>
      </w:r>
      <w:r>
        <w:rPr>
          <w:rFonts w:ascii="標楷體" w:eastAsia="標楷體" w:hAnsi="標楷體" w:hint="eastAsia"/>
          <w:lang w:eastAsia="zh-TW"/>
        </w:rPr>
        <w:t>：</w:t>
      </w:r>
      <w:r>
        <w:rPr>
          <w:rFonts w:ascii="標楷體" w:eastAsia="標楷體" w:hAnsi="標楷體" w:hint="eastAsia"/>
        </w:rPr>
        <w:t>黃士洲(民108)。</w:t>
      </w:r>
      <w:r w:rsidRPr="002446CC">
        <w:rPr>
          <w:rFonts w:ascii="標楷體" w:eastAsia="標楷體" w:hAnsi="標楷體" w:hint="eastAsia"/>
        </w:rPr>
        <w:t>「</w:t>
      </w:r>
      <w:r>
        <w:rPr>
          <w:rFonts w:ascii="標楷體" w:eastAsia="標楷體" w:hAnsi="標楷體" w:hint="eastAsia"/>
        </w:rPr>
        <w:t>稅務解釋函令之綜合圖像與納稅者權利保護-實證分析觀點與定期檢視之程序性建議</w:t>
      </w:r>
      <w:r w:rsidRPr="00EB4900">
        <w:rPr>
          <w:rFonts w:hAnsi="標楷體" w:hint="eastAsia"/>
        </w:rPr>
        <w:t>」</w:t>
      </w:r>
      <w:r w:rsidRPr="00D073EA">
        <w:rPr>
          <w:rFonts w:ascii="標楷體" w:eastAsia="標楷體" w:hAnsi="標楷體" w:hint="eastAsia"/>
        </w:rPr>
        <w:t>，財稅研究，第</w:t>
      </w:r>
      <w:r>
        <w:rPr>
          <w:rFonts w:ascii="標楷體" w:eastAsia="標楷體" w:hAnsi="標楷體" w:hint="eastAsia"/>
        </w:rPr>
        <w:t>48</w:t>
      </w:r>
      <w:r w:rsidRPr="00D073EA">
        <w:rPr>
          <w:rFonts w:ascii="標楷體" w:eastAsia="標楷體" w:hAnsi="標楷體" w:hint="eastAsia"/>
        </w:rPr>
        <w:t>卷第4期，</w:t>
      </w:r>
      <w:r>
        <w:rPr>
          <w:rFonts w:ascii="標楷體" w:eastAsia="標楷體" w:hAnsi="標楷體" w:hint="eastAsia"/>
        </w:rPr>
        <w:t>頁1</w:t>
      </w:r>
      <w:r w:rsidRPr="00D073EA">
        <w:rPr>
          <w:rFonts w:ascii="標楷體" w:eastAsia="標楷體" w:hAnsi="標楷體" w:hint="eastAsia"/>
        </w:rPr>
        <w:t>-</w:t>
      </w:r>
      <w:r>
        <w:rPr>
          <w:rFonts w:ascii="標楷體" w:eastAsia="標楷體" w:hAnsi="標楷體" w:hint="eastAsia"/>
        </w:rPr>
        <w:t>17。</w:t>
      </w:r>
    </w:p>
  </w:footnote>
  <w:footnote w:id="3">
    <w:p w:rsidR="004317A9" w:rsidRPr="00BA2B80" w:rsidRDefault="004317A9" w:rsidP="00360266">
      <w:pPr>
        <w:pStyle w:val="HTML"/>
        <w:spacing w:line="280" w:lineRule="exact"/>
        <w:ind w:left="220" w:hangingChars="100" w:hanging="220"/>
        <w:jc w:val="both"/>
        <w:rPr>
          <w:rFonts w:ascii="標楷體" w:eastAsia="標楷體" w:hAnsi="標楷體"/>
        </w:rPr>
      </w:pPr>
      <w:r w:rsidRPr="00BA2B80">
        <w:rPr>
          <w:rFonts w:ascii="標楷體" w:eastAsia="標楷體" w:hAnsi="標楷體"/>
        </w:rPr>
        <w:footnoteRef/>
      </w:r>
      <w:r w:rsidRPr="00BA2B80">
        <w:rPr>
          <w:rFonts w:ascii="標楷體" w:eastAsia="標楷體" w:hAnsi="標楷體" w:hint="eastAsia"/>
        </w:rPr>
        <w:t>.財政部各稅法令函釋檢索系統查詢，內地稅</w:t>
      </w:r>
      <w:r w:rsidRPr="00BA2B80">
        <w:rPr>
          <w:rFonts w:ascii="標楷體" w:eastAsia="標楷體" w:hAnsi="標楷體"/>
        </w:rPr>
        <w:t>函</w:t>
      </w:r>
      <w:r w:rsidRPr="00BA2B80">
        <w:rPr>
          <w:rFonts w:ascii="標楷體" w:eastAsia="標楷體" w:hAnsi="標楷體" w:hint="eastAsia"/>
        </w:rPr>
        <w:t>釋</w:t>
      </w:r>
      <w:r w:rsidRPr="00BA2B80">
        <w:rPr>
          <w:rFonts w:ascii="標楷體" w:eastAsia="標楷體" w:hAnsi="標楷體"/>
        </w:rPr>
        <w:t>8</w:t>
      </w:r>
      <w:r w:rsidRPr="00BA2B80">
        <w:rPr>
          <w:rFonts w:ascii="標楷體" w:eastAsia="標楷體" w:hAnsi="標楷體" w:hint="eastAsia"/>
        </w:rPr>
        <w:t>,</w:t>
      </w:r>
      <w:r w:rsidRPr="00BA2B80">
        <w:rPr>
          <w:rFonts w:ascii="標楷體" w:eastAsia="標楷體" w:hAnsi="標楷體"/>
        </w:rPr>
        <w:t>526</w:t>
      </w:r>
      <w:r w:rsidRPr="00BA2B80">
        <w:rPr>
          <w:rFonts w:ascii="標楷體" w:eastAsia="標楷體" w:hAnsi="標楷體" w:hint="eastAsia"/>
        </w:rPr>
        <w:t>則，再加計內地稅新頒函釋</w:t>
      </w:r>
      <w:r w:rsidRPr="00BA2B80">
        <w:rPr>
          <w:rFonts w:ascii="標楷體" w:eastAsia="標楷體" w:hAnsi="標楷體"/>
        </w:rPr>
        <w:t>666</w:t>
      </w:r>
      <w:r w:rsidRPr="00BA2B80">
        <w:rPr>
          <w:rFonts w:ascii="標楷體" w:eastAsia="標楷體" w:hAnsi="標楷體" w:hint="eastAsia"/>
          <w:lang w:eastAsia="zh-TW"/>
        </w:rPr>
        <w:t>則及</w:t>
      </w:r>
      <w:r w:rsidRPr="00BA2B80">
        <w:rPr>
          <w:rFonts w:ascii="標楷體" w:eastAsia="標楷體" w:hAnsi="標楷體"/>
        </w:rPr>
        <w:t>關稅新頒釋函115則</w:t>
      </w:r>
      <w:r w:rsidRPr="00BA2B80">
        <w:rPr>
          <w:rFonts w:ascii="標楷體" w:eastAsia="標楷體" w:hAnsi="標楷體" w:hint="eastAsia"/>
        </w:rPr>
        <w:t>，合計</w:t>
      </w:r>
      <w:r w:rsidRPr="00BA2B80">
        <w:rPr>
          <w:rFonts w:ascii="標楷體" w:eastAsia="標楷體" w:hAnsi="標楷體" w:hint="eastAsia"/>
          <w:lang w:eastAsia="zh-TW"/>
        </w:rPr>
        <w:t>9</w:t>
      </w:r>
      <w:r w:rsidRPr="00BA2B80">
        <w:rPr>
          <w:rFonts w:ascii="標楷體" w:eastAsia="標楷體" w:hAnsi="標楷體" w:hint="eastAsia"/>
        </w:rPr>
        <w:t>,</w:t>
      </w:r>
      <w:r w:rsidRPr="00BA2B80">
        <w:rPr>
          <w:rFonts w:ascii="標楷體" w:eastAsia="標楷體" w:hAnsi="標楷體"/>
          <w:lang w:eastAsia="zh-TW"/>
        </w:rPr>
        <w:t>307</w:t>
      </w:r>
      <w:r w:rsidRPr="00BA2B80">
        <w:rPr>
          <w:rFonts w:ascii="標楷體" w:eastAsia="標楷體" w:hAnsi="標楷體" w:hint="eastAsia"/>
        </w:rPr>
        <w:t>則（查詢日1</w:t>
      </w:r>
      <w:r w:rsidRPr="00BA2B80">
        <w:rPr>
          <w:rFonts w:ascii="標楷體" w:eastAsia="標楷體" w:hAnsi="標楷體"/>
        </w:rPr>
        <w:t>11</w:t>
      </w:r>
      <w:r w:rsidRPr="00BA2B80">
        <w:rPr>
          <w:rFonts w:ascii="標楷體" w:eastAsia="標楷體" w:hAnsi="標楷體" w:hint="eastAsia"/>
        </w:rPr>
        <w:t>年</w:t>
      </w:r>
      <w:r w:rsidRPr="00BA2B80">
        <w:rPr>
          <w:rFonts w:ascii="標楷體" w:eastAsia="標楷體" w:hAnsi="標楷體" w:hint="eastAsia"/>
          <w:lang w:eastAsia="zh-TW"/>
        </w:rPr>
        <w:t>2</w:t>
      </w:r>
      <w:r w:rsidRPr="00BA2B80">
        <w:rPr>
          <w:rFonts w:ascii="標楷體" w:eastAsia="標楷體" w:hAnsi="標楷體" w:hint="eastAsia"/>
        </w:rPr>
        <w:t>月</w:t>
      </w:r>
      <w:r w:rsidRPr="00BA2B80">
        <w:rPr>
          <w:rFonts w:ascii="標楷體" w:eastAsia="標楷體" w:hAnsi="標楷體" w:hint="eastAsia"/>
          <w:lang w:eastAsia="zh-TW"/>
        </w:rPr>
        <w:t>1</w:t>
      </w:r>
      <w:r w:rsidRPr="00BA2B80">
        <w:rPr>
          <w:rFonts w:ascii="標楷體" w:eastAsia="標楷體" w:hAnsi="標楷體" w:hint="eastAsia"/>
        </w:rPr>
        <w:t>4日）。</w:t>
      </w:r>
    </w:p>
  </w:footnote>
  <w:footnote w:id="4">
    <w:p w:rsidR="004317A9" w:rsidRPr="002446CC" w:rsidRDefault="004317A9" w:rsidP="00360266">
      <w:pPr>
        <w:pStyle w:val="HTML"/>
        <w:spacing w:line="280" w:lineRule="exact"/>
        <w:ind w:left="220" w:hangingChars="100" w:hanging="220"/>
        <w:jc w:val="both"/>
      </w:pPr>
      <w:r w:rsidRPr="00816952">
        <w:footnoteRef/>
      </w:r>
      <w:r>
        <w:rPr>
          <w:rFonts w:ascii="標楷體" w:eastAsia="標楷體" w:hAnsi="標楷體" w:hint="eastAsia"/>
          <w:lang w:eastAsia="zh-TW"/>
        </w:rPr>
        <w:t>.</w:t>
      </w:r>
      <w:r>
        <w:rPr>
          <w:rFonts w:ascii="標楷體" w:eastAsia="標楷體" w:hAnsi="標楷體" w:hint="eastAsia"/>
        </w:rPr>
        <w:t>所得稅法解釋彙編(106年版)之解釋函令共計2,305則，其中發布於59年前為107則</w:t>
      </w:r>
      <w:r w:rsidRPr="00480575">
        <w:rPr>
          <w:rFonts w:ascii="標楷體" w:eastAsia="標楷體" w:hAnsi="標楷體" w:hint="eastAsia"/>
        </w:rPr>
        <w:t>、</w:t>
      </w:r>
      <w:r>
        <w:rPr>
          <w:rFonts w:ascii="標楷體" w:eastAsia="標楷體" w:hAnsi="標楷體" w:hint="eastAsia"/>
        </w:rPr>
        <w:t>60~69年為522則</w:t>
      </w:r>
      <w:r w:rsidRPr="00480575">
        <w:rPr>
          <w:rFonts w:ascii="標楷體" w:eastAsia="標楷體" w:hAnsi="標楷體" w:hint="eastAsia"/>
        </w:rPr>
        <w:t>、70~79年為431</w:t>
      </w:r>
      <w:r>
        <w:rPr>
          <w:rFonts w:ascii="標楷體" w:eastAsia="標楷體" w:hAnsi="標楷體" w:hint="eastAsia"/>
        </w:rPr>
        <w:t>則</w:t>
      </w:r>
      <w:r w:rsidRPr="00480575">
        <w:rPr>
          <w:rFonts w:ascii="標楷體" w:eastAsia="標楷體" w:hAnsi="標楷體" w:hint="eastAsia"/>
        </w:rPr>
        <w:t>、80~89年為497</w:t>
      </w:r>
      <w:r>
        <w:rPr>
          <w:rFonts w:ascii="標楷體" w:eastAsia="標楷體" w:hAnsi="標楷體" w:hint="eastAsia"/>
        </w:rPr>
        <w:t>則；另土地稅法解釋彙編(105年版)之解釋函令共計1,065則，其中發布於59年前為9則</w:t>
      </w:r>
      <w:r w:rsidRPr="00480575">
        <w:rPr>
          <w:rFonts w:ascii="標楷體" w:eastAsia="標楷體" w:hAnsi="標楷體" w:hint="eastAsia"/>
        </w:rPr>
        <w:t>、</w:t>
      </w:r>
      <w:r>
        <w:rPr>
          <w:rFonts w:ascii="標楷體" w:eastAsia="標楷體" w:hAnsi="標楷體" w:hint="eastAsia"/>
        </w:rPr>
        <w:t>60~69年為57則</w:t>
      </w:r>
      <w:r w:rsidRPr="00480575">
        <w:rPr>
          <w:rFonts w:ascii="標楷體" w:eastAsia="標楷體" w:hAnsi="標楷體" w:hint="eastAsia"/>
        </w:rPr>
        <w:t>、70~79年為</w:t>
      </w:r>
      <w:r>
        <w:rPr>
          <w:rFonts w:ascii="標楷體" w:eastAsia="標楷體" w:hAnsi="標楷體" w:hint="eastAsia"/>
        </w:rPr>
        <w:t>183則</w:t>
      </w:r>
      <w:r w:rsidRPr="00480575">
        <w:rPr>
          <w:rFonts w:ascii="標楷體" w:eastAsia="標楷體" w:hAnsi="標楷體" w:hint="eastAsia"/>
        </w:rPr>
        <w:t>、80~89年為</w:t>
      </w:r>
      <w:r>
        <w:rPr>
          <w:rFonts w:ascii="標楷體" w:eastAsia="標楷體" w:hAnsi="標楷體" w:hint="eastAsia"/>
        </w:rPr>
        <w:t>401則。</w:t>
      </w:r>
      <w:r>
        <w:rPr>
          <w:rFonts w:ascii="標楷體" w:eastAsia="標楷體" w:hAnsi="標楷體" w:hint="eastAsia"/>
          <w:lang w:eastAsia="zh-TW"/>
        </w:rPr>
        <w:t>參考</w:t>
      </w:r>
      <w:r w:rsidRPr="002446CC">
        <w:rPr>
          <w:rFonts w:ascii="標楷體" w:eastAsia="標楷體" w:hAnsi="標楷體" w:hint="eastAsia"/>
        </w:rPr>
        <w:t>資料來源</w:t>
      </w:r>
      <w:r>
        <w:rPr>
          <w:rFonts w:ascii="標楷體" w:eastAsia="標楷體" w:hAnsi="標楷體" w:hint="eastAsia"/>
          <w:lang w:eastAsia="zh-TW"/>
        </w:rPr>
        <w:t>：</w:t>
      </w:r>
      <w:r>
        <w:rPr>
          <w:rFonts w:ascii="標楷體" w:eastAsia="標楷體" w:hAnsi="標楷體" w:hint="eastAsia"/>
        </w:rPr>
        <w:t>黃士洲(民108)。</w:t>
      </w:r>
      <w:r w:rsidRPr="002446CC">
        <w:rPr>
          <w:rFonts w:ascii="標楷體" w:eastAsia="標楷體" w:hAnsi="標楷體" w:hint="eastAsia"/>
        </w:rPr>
        <w:t>「</w:t>
      </w:r>
      <w:r>
        <w:rPr>
          <w:rFonts w:ascii="標楷體" w:eastAsia="標楷體" w:hAnsi="標楷體" w:hint="eastAsia"/>
        </w:rPr>
        <w:t>稅務解釋函令之綜合圖像與納稅者權利保護-實證分析觀點與定期檢視之程序性建議</w:t>
      </w:r>
      <w:r w:rsidRPr="00EB4900">
        <w:rPr>
          <w:rFonts w:hAnsi="標楷體" w:hint="eastAsia"/>
        </w:rPr>
        <w:t>」</w:t>
      </w:r>
      <w:r w:rsidRPr="00D073EA">
        <w:rPr>
          <w:rFonts w:ascii="標楷體" w:eastAsia="標楷體" w:hAnsi="標楷體" w:hint="eastAsia"/>
        </w:rPr>
        <w:t>，財稅研究，第</w:t>
      </w:r>
      <w:r>
        <w:rPr>
          <w:rFonts w:ascii="標楷體" w:eastAsia="標楷體" w:hAnsi="標楷體" w:hint="eastAsia"/>
        </w:rPr>
        <w:t>48</w:t>
      </w:r>
      <w:r w:rsidRPr="00D073EA">
        <w:rPr>
          <w:rFonts w:ascii="標楷體" w:eastAsia="標楷體" w:hAnsi="標楷體" w:hint="eastAsia"/>
        </w:rPr>
        <w:t>卷第4期，</w:t>
      </w:r>
      <w:r>
        <w:rPr>
          <w:rFonts w:ascii="標楷體" w:eastAsia="標楷體" w:hAnsi="標楷體" w:hint="eastAsia"/>
        </w:rPr>
        <w:t>頁1</w:t>
      </w:r>
      <w:r w:rsidRPr="00D073EA">
        <w:rPr>
          <w:rFonts w:ascii="標楷體" w:eastAsia="標楷體" w:hAnsi="標楷體" w:hint="eastAsia"/>
        </w:rPr>
        <w:t>-</w:t>
      </w:r>
      <w:r>
        <w:rPr>
          <w:rFonts w:ascii="標楷體" w:eastAsia="標楷體" w:hAnsi="標楷體" w:hint="eastAsia"/>
        </w:rPr>
        <w:t>17。</w:t>
      </w:r>
    </w:p>
  </w:footnote>
  <w:footnote w:id="5">
    <w:p w:rsidR="004317A9" w:rsidRPr="00615234" w:rsidRDefault="004317A9" w:rsidP="00360266">
      <w:pPr>
        <w:pStyle w:val="HTML"/>
        <w:spacing w:line="280" w:lineRule="exact"/>
        <w:ind w:left="220" w:hangingChars="100" w:hanging="220"/>
        <w:jc w:val="both"/>
        <w:rPr>
          <w:rFonts w:ascii="標楷體" w:eastAsia="標楷體" w:hAnsi="標楷體"/>
          <w:color w:val="000000" w:themeColor="text1"/>
        </w:rPr>
      </w:pPr>
      <w:r w:rsidRPr="00615234">
        <w:rPr>
          <w:rFonts w:hAnsi="標楷體"/>
          <w:color w:val="000000" w:themeColor="text1"/>
        </w:rPr>
        <w:footnoteRef/>
      </w:r>
      <w:r w:rsidRPr="00615234">
        <w:rPr>
          <w:rFonts w:hAnsi="標楷體"/>
          <w:color w:val="000000" w:themeColor="text1"/>
        </w:rPr>
        <w:t>.</w:t>
      </w:r>
      <w:r w:rsidRPr="00615234">
        <w:rPr>
          <w:rFonts w:ascii="標楷體" w:eastAsia="標楷體" w:hAnsi="標楷體" w:hint="eastAsia"/>
          <w:color w:val="000000" w:themeColor="text1"/>
          <w:lang w:eastAsia="zh-TW"/>
        </w:rPr>
        <w:t>參考</w:t>
      </w:r>
      <w:r w:rsidRPr="00615234">
        <w:rPr>
          <w:rFonts w:ascii="標楷體" w:eastAsia="標楷體" w:hAnsi="標楷體" w:hint="eastAsia"/>
          <w:color w:val="000000" w:themeColor="text1"/>
        </w:rPr>
        <w:t>資料來源：黃士洲(民108)。「稅務解釋函令之綜合圖像與納稅者權利保護-實證分析觀點與定期檢視之程序性建議」，財稅研究，第48卷第4期，頁1</w:t>
      </w:r>
      <w:r w:rsidRPr="00615234">
        <w:rPr>
          <w:rFonts w:ascii="標楷體" w:eastAsia="標楷體" w:hAnsi="標楷體"/>
          <w:color w:val="000000" w:themeColor="text1"/>
        </w:rPr>
        <w:t>2</w:t>
      </w:r>
      <w:r w:rsidRPr="00615234">
        <w:rPr>
          <w:rFonts w:ascii="標楷體" w:eastAsia="標楷體" w:hAnsi="標楷體" w:hint="eastAsia"/>
          <w:color w:val="000000" w:themeColor="text1"/>
        </w:rPr>
        <w:t>-1</w:t>
      </w:r>
      <w:r w:rsidRPr="00615234">
        <w:rPr>
          <w:rFonts w:ascii="標楷體" w:eastAsia="標楷體" w:hAnsi="標楷體"/>
          <w:color w:val="000000" w:themeColor="text1"/>
        </w:rPr>
        <w:t>3</w:t>
      </w:r>
      <w:r w:rsidRPr="00615234">
        <w:rPr>
          <w:rFonts w:ascii="標楷體" w:eastAsia="標楷體" w:hAnsi="標楷體" w:hint="eastAsia"/>
          <w:color w:val="000000" w:themeColor="text1"/>
        </w:rPr>
        <w:t>。「例如財政部1</w:t>
      </w:r>
      <w:r w:rsidRPr="00615234">
        <w:rPr>
          <w:rFonts w:ascii="標楷體" w:eastAsia="標楷體" w:hAnsi="標楷體"/>
          <w:color w:val="000000" w:themeColor="text1"/>
        </w:rPr>
        <w:t>07</w:t>
      </w:r>
      <w:r w:rsidRPr="00615234">
        <w:rPr>
          <w:rFonts w:ascii="標楷體" w:eastAsia="標楷體" w:hAnsi="標楷體" w:hint="eastAsia"/>
          <w:color w:val="000000" w:themeColor="text1"/>
        </w:rPr>
        <w:t>年1月1</w:t>
      </w:r>
      <w:r w:rsidRPr="00615234">
        <w:rPr>
          <w:rFonts w:ascii="標楷體" w:eastAsia="標楷體" w:hAnsi="標楷體"/>
          <w:color w:val="000000" w:themeColor="text1"/>
        </w:rPr>
        <w:t>9</w:t>
      </w:r>
      <w:r w:rsidRPr="00615234">
        <w:rPr>
          <w:rFonts w:ascii="標楷體" w:eastAsia="標楷體" w:hAnsi="標楷體" w:hint="eastAsia"/>
          <w:color w:val="000000" w:themeColor="text1"/>
        </w:rPr>
        <w:t>日台財稅字第1</w:t>
      </w:r>
      <w:r w:rsidRPr="00615234">
        <w:rPr>
          <w:rFonts w:ascii="標楷體" w:eastAsia="標楷體" w:hAnsi="標楷體"/>
          <w:color w:val="000000" w:themeColor="text1"/>
        </w:rPr>
        <w:t>0604630260</w:t>
      </w:r>
      <w:r w:rsidRPr="00615234">
        <w:rPr>
          <w:rFonts w:ascii="標楷體" w:eastAsia="標楷體" w:hAnsi="標楷體" w:hint="eastAsia"/>
          <w:color w:val="000000" w:themeColor="text1"/>
        </w:rPr>
        <w:t>號令(核釋個人參加賽鴿比賽獲得獎金收入之所得計算規定)，揭示不法營業獲致之所得(得減除成本)仍屬綜合所得稅基，此函釋出於量能課稅，且與財政部8</w:t>
      </w:r>
      <w:r w:rsidRPr="00615234">
        <w:rPr>
          <w:rFonts w:ascii="標楷體" w:eastAsia="標楷體" w:hAnsi="標楷體"/>
          <w:color w:val="000000" w:themeColor="text1"/>
        </w:rPr>
        <w:t>1</w:t>
      </w:r>
      <w:r w:rsidRPr="00615234">
        <w:rPr>
          <w:rFonts w:ascii="標楷體" w:eastAsia="標楷體" w:hAnsi="標楷體" w:hint="eastAsia"/>
          <w:color w:val="000000" w:themeColor="text1"/>
        </w:rPr>
        <w:t>年2月2</w:t>
      </w:r>
      <w:r w:rsidRPr="00615234">
        <w:rPr>
          <w:rFonts w:ascii="標楷體" w:eastAsia="標楷體" w:hAnsi="標楷體"/>
          <w:color w:val="000000" w:themeColor="text1"/>
        </w:rPr>
        <w:t>0</w:t>
      </w:r>
      <w:r w:rsidRPr="00615234">
        <w:rPr>
          <w:rFonts w:ascii="標楷體" w:eastAsia="標楷體" w:hAnsi="標楷體" w:hint="eastAsia"/>
          <w:color w:val="000000" w:themeColor="text1"/>
        </w:rPr>
        <w:t>日台財稅第8</w:t>
      </w:r>
      <w:r w:rsidRPr="00615234">
        <w:rPr>
          <w:rFonts w:ascii="標楷體" w:eastAsia="標楷體" w:hAnsi="標楷體"/>
          <w:color w:val="000000" w:themeColor="text1"/>
        </w:rPr>
        <w:t>10759763</w:t>
      </w:r>
      <w:r w:rsidRPr="00615234">
        <w:rPr>
          <w:rFonts w:ascii="標楷體" w:eastAsia="標楷體" w:hAnsi="標楷體" w:hint="eastAsia"/>
          <w:color w:val="000000" w:themeColor="text1"/>
        </w:rPr>
        <w:t>號函揭示，經營六合彩賭博之收入其未經沒入部分，核屬其他所得立場及價值一致。惟所得稅法令彙編收錄直接稅處2</w:t>
      </w:r>
      <w:r w:rsidRPr="00615234">
        <w:rPr>
          <w:rFonts w:ascii="標楷體" w:eastAsia="標楷體" w:hAnsi="標楷體"/>
          <w:color w:val="000000" w:themeColor="text1"/>
        </w:rPr>
        <w:t>6</w:t>
      </w:r>
      <w:r w:rsidRPr="00615234">
        <w:rPr>
          <w:rFonts w:ascii="標楷體" w:eastAsia="標楷體" w:hAnsi="標楷體" w:hint="eastAsia"/>
          <w:color w:val="000000" w:themeColor="text1"/>
        </w:rPr>
        <w:t>年4月2</w:t>
      </w:r>
      <w:r w:rsidRPr="00615234">
        <w:rPr>
          <w:rFonts w:ascii="標楷體" w:eastAsia="標楷體" w:hAnsi="標楷體"/>
          <w:color w:val="000000" w:themeColor="text1"/>
        </w:rPr>
        <w:t>1</w:t>
      </w:r>
      <w:r w:rsidRPr="00615234">
        <w:rPr>
          <w:rFonts w:ascii="標楷體" w:eastAsia="標楷體" w:hAnsi="標楷體" w:hint="eastAsia"/>
          <w:color w:val="000000" w:themeColor="text1"/>
        </w:rPr>
        <w:t>日處第2</w:t>
      </w:r>
      <w:r w:rsidRPr="00615234">
        <w:rPr>
          <w:rFonts w:ascii="標楷體" w:eastAsia="標楷體" w:hAnsi="標楷體"/>
          <w:color w:val="000000" w:themeColor="text1"/>
        </w:rPr>
        <w:t>03</w:t>
      </w:r>
      <w:r w:rsidRPr="00615234">
        <w:rPr>
          <w:rFonts w:ascii="標楷體" w:eastAsia="標楷體" w:hAnsi="標楷體" w:hint="eastAsia"/>
          <w:color w:val="000000" w:themeColor="text1"/>
        </w:rPr>
        <w:t>號訓令(亦為現行法令彙編收錄年代最久遠)，卻謂：「娼妓係屬不正當營業，原在取締之列，不予課徵所得稅。」營業稅法令彙編則收錄財政部4</w:t>
      </w:r>
      <w:r w:rsidRPr="00615234">
        <w:rPr>
          <w:rFonts w:ascii="標楷體" w:eastAsia="標楷體" w:hAnsi="標楷體"/>
          <w:color w:val="000000" w:themeColor="text1"/>
        </w:rPr>
        <w:t>9</w:t>
      </w:r>
      <w:r w:rsidRPr="00615234">
        <w:rPr>
          <w:rFonts w:ascii="標楷體" w:eastAsia="標楷體" w:hAnsi="標楷體" w:hint="eastAsia"/>
          <w:color w:val="000000" w:themeColor="text1"/>
        </w:rPr>
        <w:t>台稅發第3</w:t>
      </w:r>
      <w:r w:rsidRPr="00615234">
        <w:rPr>
          <w:rFonts w:ascii="標楷體" w:eastAsia="標楷體" w:hAnsi="標楷體"/>
          <w:color w:val="000000" w:themeColor="text1"/>
        </w:rPr>
        <w:t>897</w:t>
      </w:r>
      <w:r w:rsidRPr="00615234">
        <w:rPr>
          <w:rFonts w:ascii="標楷體" w:eastAsia="標楷體" w:hAnsi="標楷體" w:hint="eastAsia"/>
          <w:color w:val="000000" w:themeColor="text1"/>
        </w:rPr>
        <w:t>號函，謂：「妓女戶非營業性質，不應辦理登記課稅。」此兩則有關情色營業活動函令內容過度簡要，不僅難辨函令前因後果，今昔相比課稅立場及價值亦明顯相互矛盾。」</w:t>
      </w:r>
    </w:p>
  </w:footnote>
  <w:footnote w:id="6">
    <w:p w:rsidR="004317A9" w:rsidRPr="00360266" w:rsidRDefault="004317A9" w:rsidP="00360266">
      <w:pPr>
        <w:pStyle w:val="HTML"/>
        <w:spacing w:line="280" w:lineRule="exact"/>
        <w:ind w:left="220" w:hangingChars="100" w:hanging="220"/>
        <w:jc w:val="both"/>
        <w:rPr>
          <w:rFonts w:ascii="標楷體" w:eastAsia="標楷體" w:hAnsi="標楷體"/>
        </w:rPr>
      </w:pPr>
      <w:r w:rsidRPr="00360266">
        <w:rPr>
          <w:rFonts w:ascii="標楷體" w:eastAsia="標楷體" w:hAnsi="標楷體"/>
        </w:rPr>
        <w:footnoteRef/>
      </w:r>
      <w:r w:rsidRPr="00360266">
        <w:rPr>
          <w:rFonts w:ascii="標楷體" w:eastAsia="標楷體" w:hAnsi="標楷體" w:hint="eastAsia"/>
        </w:rPr>
        <w:t>.合憲非難已成為我國釋憲制度的專門用語，類似於德國聯邦憲法法院的警告性裁判（Appellentscheidung），屬於憲法法院無法決定系爭規範違憲與否時的判決類型，僅在判決理由中提醒立法機關系爭法規有違憲疑義，甚至表明該系爭規範未來可能變成違憲，但該規範仍繼續有效。</w:t>
      </w:r>
    </w:p>
  </w:footnote>
  <w:footnote w:id="7">
    <w:p w:rsidR="004317A9" w:rsidRPr="002446CC" w:rsidRDefault="004317A9" w:rsidP="00360266">
      <w:pPr>
        <w:pStyle w:val="HTML"/>
        <w:spacing w:line="280" w:lineRule="exact"/>
        <w:ind w:left="220" w:hangingChars="100" w:hanging="220"/>
        <w:jc w:val="both"/>
      </w:pPr>
      <w:r w:rsidRPr="00816952">
        <w:footnoteRef/>
      </w:r>
      <w:r>
        <w:rPr>
          <w:rFonts w:ascii="標楷體" w:eastAsia="標楷體" w:hAnsi="標楷體" w:hint="eastAsia"/>
          <w:lang w:eastAsia="zh-TW"/>
        </w:rPr>
        <w:t>.參考</w:t>
      </w:r>
      <w:r w:rsidRPr="002446CC">
        <w:rPr>
          <w:rFonts w:ascii="標楷體" w:eastAsia="標楷體" w:hAnsi="標楷體" w:hint="eastAsia"/>
        </w:rPr>
        <w:t>資料來源</w:t>
      </w:r>
      <w:r>
        <w:rPr>
          <w:rFonts w:ascii="標楷體" w:eastAsia="標楷體" w:hAnsi="標楷體" w:hint="eastAsia"/>
          <w:lang w:eastAsia="zh-TW"/>
        </w:rPr>
        <w:t>：</w:t>
      </w:r>
      <w:r>
        <w:rPr>
          <w:rFonts w:ascii="標楷體" w:eastAsia="標楷體" w:hAnsi="標楷體" w:hint="eastAsia"/>
        </w:rPr>
        <w:t>黃士洲(民108)。</w:t>
      </w:r>
      <w:r w:rsidRPr="002446CC">
        <w:rPr>
          <w:rFonts w:ascii="標楷體" w:eastAsia="標楷體" w:hAnsi="標楷體" w:hint="eastAsia"/>
        </w:rPr>
        <w:t>「</w:t>
      </w:r>
      <w:r>
        <w:rPr>
          <w:rFonts w:ascii="標楷體" w:eastAsia="標楷體" w:hAnsi="標楷體" w:hint="eastAsia"/>
        </w:rPr>
        <w:t>稅務解釋函令之綜合圖像與納稅者權利保護-實證分析觀點與定期檢視之程序性建議</w:t>
      </w:r>
      <w:r w:rsidRPr="00EB4900">
        <w:rPr>
          <w:rFonts w:hAnsi="標楷體" w:hint="eastAsia"/>
        </w:rPr>
        <w:t>」</w:t>
      </w:r>
      <w:r w:rsidRPr="00D073EA">
        <w:rPr>
          <w:rFonts w:ascii="標楷體" w:eastAsia="標楷體" w:hAnsi="標楷體" w:hint="eastAsia"/>
        </w:rPr>
        <w:t>，財稅研究，第</w:t>
      </w:r>
      <w:r>
        <w:rPr>
          <w:rFonts w:ascii="標楷體" w:eastAsia="標楷體" w:hAnsi="標楷體" w:hint="eastAsia"/>
        </w:rPr>
        <w:t>48</w:t>
      </w:r>
      <w:r w:rsidRPr="00D073EA">
        <w:rPr>
          <w:rFonts w:ascii="標楷體" w:eastAsia="標楷體" w:hAnsi="標楷體" w:hint="eastAsia"/>
        </w:rPr>
        <w:t>卷第4期，</w:t>
      </w:r>
      <w:r>
        <w:rPr>
          <w:rFonts w:ascii="標楷體" w:eastAsia="標楷體" w:hAnsi="標楷體" w:hint="eastAsia"/>
        </w:rPr>
        <w:t>頁1</w:t>
      </w:r>
      <w:r w:rsidRPr="00D073EA">
        <w:rPr>
          <w:rFonts w:ascii="標楷體" w:eastAsia="標楷體" w:hAnsi="標楷體" w:hint="eastAsia"/>
        </w:rPr>
        <w:t>-</w:t>
      </w:r>
      <w:r>
        <w:rPr>
          <w:rFonts w:ascii="標楷體" w:eastAsia="標楷體" w:hAnsi="標楷體" w:hint="eastAsia"/>
        </w:rPr>
        <w:t>17。</w:t>
      </w:r>
    </w:p>
  </w:footnote>
  <w:footnote w:id="8">
    <w:p w:rsidR="004317A9" w:rsidRPr="00E657B4" w:rsidRDefault="004317A9" w:rsidP="00360266">
      <w:pPr>
        <w:pStyle w:val="HTML"/>
        <w:spacing w:line="280" w:lineRule="exact"/>
        <w:ind w:left="220" w:hangingChars="100" w:hanging="220"/>
        <w:jc w:val="both"/>
      </w:pPr>
      <w:r w:rsidRPr="00DE0163">
        <w:rPr>
          <w:rFonts w:ascii="標楷體" w:eastAsia="標楷體" w:hAnsi="標楷體"/>
        </w:rPr>
        <w:footnoteRef/>
      </w:r>
      <w:r w:rsidRPr="00DE0163">
        <w:rPr>
          <w:rFonts w:ascii="標楷體" w:eastAsia="標楷體" w:hAnsi="標楷體" w:hint="eastAsia"/>
        </w:rPr>
        <w:t>.</w:t>
      </w:r>
      <w:r>
        <w:rPr>
          <w:rFonts w:ascii="標楷體" w:eastAsia="標楷體" w:hAnsi="標楷體" w:hint="eastAsia"/>
          <w:lang w:eastAsia="zh-TW"/>
        </w:rPr>
        <w:t>參考資料來源：</w:t>
      </w:r>
      <w:r w:rsidRPr="00DE0163">
        <w:rPr>
          <w:rFonts w:ascii="標楷體" w:eastAsia="標楷體" w:hAnsi="標楷體"/>
        </w:rPr>
        <w:t>納稅者權利保護法對稅務訴訟的實證影響—</w:t>
      </w:r>
      <w:r>
        <w:rPr>
          <w:rFonts w:ascii="標楷體" w:eastAsia="標楷體" w:hAnsi="標楷體"/>
        </w:rPr>
        <w:t>臺北</w:t>
      </w:r>
      <w:r w:rsidRPr="00DE0163">
        <w:rPr>
          <w:rFonts w:ascii="標楷體" w:eastAsia="標楷體" w:hAnsi="標楷體"/>
        </w:rPr>
        <w:t>商業大學黃士洲</w:t>
      </w:r>
      <w:r w:rsidRPr="00DE0163">
        <w:rPr>
          <w:rFonts w:ascii="標楷體" w:eastAsia="標楷體" w:hAnsi="標楷體" w:hint="eastAsia"/>
        </w:rPr>
        <w:t>教授</w:t>
      </w:r>
      <w:r w:rsidRPr="00DE0163">
        <w:rPr>
          <w:rFonts w:ascii="標楷體" w:eastAsia="標楷體" w:hAnsi="標楷體"/>
        </w:rPr>
        <w:t>http：//www.worldpeoplenews.com/content/serious-article/316217</w:t>
      </w:r>
    </w:p>
  </w:footnote>
  <w:footnote w:id="9">
    <w:p w:rsidR="004317A9" w:rsidRPr="0018392E" w:rsidRDefault="004317A9" w:rsidP="00360266">
      <w:pPr>
        <w:pStyle w:val="HTML"/>
        <w:spacing w:line="280" w:lineRule="exact"/>
        <w:ind w:left="220" w:hangingChars="100" w:hanging="220"/>
        <w:jc w:val="both"/>
        <w:rPr>
          <w:lang w:val="en-US"/>
        </w:rPr>
      </w:pPr>
      <w:r w:rsidRPr="00816952">
        <w:rPr>
          <w:rFonts w:ascii="標楷體" w:eastAsia="標楷體" w:hAnsi="標楷體"/>
        </w:rPr>
        <w:footnoteRef/>
      </w:r>
      <w:r>
        <w:rPr>
          <w:rFonts w:ascii="標楷體" w:eastAsia="標楷體" w:hAnsi="標楷體" w:hint="eastAsia"/>
          <w:lang w:eastAsia="zh-TW"/>
        </w:rPr>
        <w:t>.參考資料來源：</w:t>
      </w:r>
      <w:r w:rsidRPr="0018392E">
        <w:rPr>
          <w:rFonts w:ascii="標楷體" w:eastAsia="標楷體" w:hAnsi="標楷體" w:hint="eastAsia"/>
        </w:rPr>
        <w:t>納稅者權利保護法施行建言論壇</w:t>
      </w:r>
      <w:r w:rsidRPr="0018392E">
        <w:rPr>
          <w:rFonts w:ascii="標楷體" w:eastAsia="標楷體" w:hAnsi="標楷體"/>
        </w:rPr>
        <w:t>/2018.01.31/</w:t>
      </w:r>
      <w:r w:rsidRPr="0018392E">
        <w:rPr>
          <w:rFonts w:ascii="標楷體" w:eastAsia="標楷體" w:hAnsi="標楷體" w:hint="eastAsia"/>
        </w:rPr>
        <w:t>逢甲大學第三國際會議廳</w:t>
      </w:r>
      <w:r w:rsidRPr="0018392E">
        <w:rPr>
          <w:rFonts w:ascii="標楷體" w:eastAsia="標楷體" w:hAnsi="標楷體"/>
        </w:rPr>
        <w:t>/</w:t>
      </w:r>
      <w:r w:rsidRPr="0018392E">
        <w:rPr>
          <w:rFonts w:ascii="標楷體" w:eastAsia="標楷體" w:hAnsi="標楷體" w:hint="eastAsia"/>
        </w:rPr>
        <w:t>黃俊杰教授〈納稅者權利保護法之適用及增修方向〉〈稅務旬刊</w:t>
      </w:r>
      <w:r w:rsidRPr="0018392E">
        <w:rPr>
          <w:rFonts w:ascii="標楷體" w:eastAsia="標楷體" w:hAnsi="標楷體"/>
        </w:rPr>
        <w:t>106</w:t>
      </w:r>
      <w:r w:rsidRPr="0018392E">
        <w:rPr>
          <w:rFonts w:ascii="標楷體" w:eastAsia="標楷體" w:hAnsi="標楷體" w:hint="eastAsia"/>
        </w:rPr>
        <w:t>年</w:t>
      </w:r>
      <w:r w:rsidRPr="0018392E">
        <w:rPr>
          <w:rFonts w:ascii="標楷體" w:eastAsia="標楷體" w:hAnsi="標楷體"/>
        </w:rPr>
        <w:t>5</w:t>
      </w:r>
      <w:r w:rsidRPr="0018392E">
        <w:rPr>
          <w:rFonts w:ascii="標楷體" w:eastAsia="標楷體" w:hAnsi="標楷體" w:hint="eastAsia"/>
        </w:rPr>
        <w:t>月</w:t>
      </w:r>
      <w:r w:rsidRPr="0018392E">
        <w:rPr>
          <w:rFonts w:ascii="標楷體" w:eastAsia="標楷體" w:hAnsi="標楷體"/>
        </w:rPr>
        <w:t>20</w:t>
      </w:r>
      <w:r w:rsidRPr="0018392E">
        <w:rPr>
          <w:rFonts w:ascii="標楷體" w:eastAsia="標楷體" w:hAnsi="標楷體" w:hint="eastAsia"/>
        </w:rPr>
        <w:t>日出版〉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1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504AFF"/>
    <w:multiLevelType w:val="multilevel"/>
    <w:tmpl w:val="C28E4970"/>
    <w:lvl w:ilvl="0">
      <w:start w:val="1"/>
      <w:numFmt w:val="taiwaneseCountingThousand"/>
      <w:pStyle w:val="a2"/>
      <w:suff w:val="nothing"/>
      <w:lvlText w:val="%1、"/>
      <w:lvlJc w:val="left"/>
      <w:pPr>
        <w:ind w:left="1066" w:hanging="726"/>
      </w:pPr>
      <w:rPr>
        <w:rFonts w:hint="eastAsia"/>
      </w:rPr>
    </w:lvl>
    <w:lvl w:ilvl="1">
      <w:start w:val="1"/>
      <w:numFmt w:val="taiwaneseCountingThousand"/>
      <w:suff w:val="nothing"/>
      <w:lvlText w:val="（%2）"/>
      <w:lvlJc w:val="left"/>
      <w:pPr>
        <w:ind w:left="1786" w:hanging="1077"/>
      </w:pPr>
      <w:rPr>
        <w:rFonts w:hint="eastAsia"/>
      </w:rPr>
    </w:lvl>
    <w:lvl w:ilvl="2">
      <w:start w:val="1"/>
      <w:numFmt w:val="decimalFullWidth"/>
      <w:suff w:val="nothing"/>
      <w:lvlText w:val="%3、"/>
      <w:lvlJc w:val="left"/>
      <w:pPr>
        <w:ind w:left="1786" w:hanging="726"/>
      </w:pPr>
      <w:rPr>
        <w:rFonts w:hint="eastAsia"/>
      </w:rPr>
    </w:lvl>
    <w:lvl w:ilvl="3">
      <w:start w:val="1"/>
      <w:numFmt w:val="decimalFullWidth"/>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47606D"/>
    <w:multiLevelType w:val="multilevel"/>
    <w:tmpl w:val="8F040DF0"/>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5"/>
  </w:num>
  <w:num w:numId="10">
    <w:abstractNumId w:val="4"/>
  </w:num>
  <w:num w:numId="11">
    <w:abstractNumId w:val="9"/>
  </w:num>
  <w:num w:numId="12">
    <w:abstractNumId w:val="6"/>
  </w:num>
  <w:num w:numId="13">
    <w:abstractNumId w:val="1"/>
  </w:num>
  <w:num w:numId="14">
    <w:abstractNumId w:val="1"/>
  </w:num>
  <w:num w:numId="15">
    <w:abstractNumId w:val="1"/>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55"/>
    <w:rsid w:val="00006961"/>
    <w:rsid w:val="000074B3"/>
    <w:rsid w:val="000112BF"/>
    <w:rsid w:val="00012233"/>
    <w:rsid w:val="00017318"/>
    <w:rsid w:val="000229AD"/>
    <w:rsid w:val="00022AAA"/>
    <w:rsid w:val="000246F7"/>
    <w:rsid w:val="0003114D"/>
    <w:rsid w:val="000335B7"/>
    <w:rsid w:val="00036D76"/>
    <w:rsid w:val="00057F32"/>
    <w:rsid w:val="00062A25"/>
    <w:rsid w:val="00062BB9"/>
    <w:rsid w:val="00065BCE"/>
    <w:rsid w:val="00070C8C"/>
    <w:rsid w:val="00073CB5"/>
    <w:rsid w:val="0007425C"/>
    <w:rsid w:val="00075F50"/>
    <w:rsid w:val="00077553"/>
    <w:rsid w:val="00083176"/>
    <w:rsid w:val="000851A2"/>
    <w:rsid w:val="00086731"/>
    <w:rsid w:val="000917C5"/>
    <w:rsid w:val="0009352E"/>
    <w:rsid w:val="00094D5C"/>
    <w:rsid w:val="00096B96"/>
    <w:rsid w:val="000A2F3F"/>
    <w:rsid w:val="000A73CB"/>
    <w:rsid w:val="000B0B4A"/>
    <w:rsid w:val="000B279A"/>
    <w:rsid w:val="000B381E"/>
    <w:rsid w:val="000B61D2"/>
    <w:rsid w:val="000B6779"/>
    <w:rsid w:val="000B70A7"/>
    <w:rsid w:val="000B73DD"/>
    <w:rsid w:val="000B7B31"/>
    <w:rsid w:val="000C205E"/>
    <w:rsid w:val="000C495F"/>
    <w:rsid w:val="000D66D9"/>
    <w:rsid w:val="000D7C4B"/>
    <w:rsid w:val="000E2F65"/>
    <w:rsid w:val="000E6431"/>
    <w:rsid w:val="000F21A5"/>
    <w:rsid w:val="000F4AD8"/>
    <w:rsid w:val="000F5777"/>
    <w:rsid w:val="000F77AA"/>
    <w:rsid w:val="00101692"/>
    <w:rsid w:val="00101A51"/>
    <w:rsid w:val="00102024"/>
    <w:rsid w:val="00102B9F"/>
    <w:rsid w:val="00112637"/>
    <w:rsid w:val="00112ABC"/>
    <w:rsid w:val="0012001E"/>
    <w:rsid w:val="00125A23"/>
    <w:rsid w:val="001263DD"/>
    <w:rsid w:val="00126A55"/>
    <w:rsid w:val="00127A7F"/>
    <w:rsid w:val="00132477"/>
    <w:rsid w:val="00133F08"/>
    <w:rsid w:val="001345E6"/>
    <w:rsid w:val="001346DE"/>
    <w:rsid w:val="001378B0"/>
    <w:rsid w:val="00137DDC"/>
    <w:rsid w:val="00142E00"/>
    <w:rsid w:val="00147014"/>
    <w:rsid w:val="00147084"/>
    <w:rsid w:val="00152793"/>
    <w:rsid w:val="00153B7E"/>
    <w:rsid w:val="001545A9"/>
    <w:rsid w:val="00154889"/>
    <w:rsid w:val="001567F9"/>
    <w:rsid w:val="00157C45"/>
    <w:rsid w:val="001637C7"/>
    <w:rsid w:val="0016480E"/>
    <w:rsid w:val="0016639B"/>
    <w:rsid w:val="00167B88"/>
    <w:rsid w:val="00172C74"/>
    <w:rsid w:val="00174297"/>
    <w:rsid w:val="001757BE"/>
    <w:rsid w:val="00180B8E"/>
    <w:rsid w:val="00180E06"/>
    <w:rsid w:val="001817B3"/>
    <w:rsid w:val="00183014"/>
    <w:rsid w:val="0018392E"/>
    <w:rsid w:val="0019003F"/>
    <w:rsid w:val="001959C2"/>
    <w:rsid w:val="001A51E3"/>
    <w:rsid w:val="001A7968"/>
    <w:rsid w:val="001A7D7D"/>
    <w:rsid w:val="001B0172"/>
    <w:rsid w:val="001B2E98"/>
    <w:rsid w:val="001B3483"/>
    <w:rsid w:val="001B3C1E"/>
    <w:rsid w:val="001B3D0F"/>
    <w:rsid w:val="001B4494"/>
    <w:rsid w:val="001B6DE0"/>
    <w:rsid w:val="001C0D8B"/>
    <w:rsid w:val="001C0DA8"/>
    <w:rsid w:val="001D42D5"/>
    <w:rsid w:val="001D4AD7"/>
    <w:rsid w:val="001D6B24"/>
    <w:rsid w:val="001E0D8A"/>
    <w:rsid w:val="001E2DFD"/>
    <w:rsid w:val="001E67BA"/>
    <w:rsid w:val="001E6E1B"/>
    <w:rsid w:val="001E74C2"/>
    <w:rsid w:val="001F062F"/>
    <w:rsid w:val="001F4F82"/>
    <w:rsid w:val="001F5A48"/>
    <w:rsid w:val="001F6260"/>
    <w:rsid w:val="001F7C48"/>
    <w:rsid w:val="00200007"/>
    <w:rsid w:val="00200280"/>
    <w:rsid w:val="002030A5"/>
    <w:rsid w:val="00203131"/>
    <w:rsid w:val="00203A0D"/>
    <w:rsid w:val="00203EAD"/>
    <w:rsid w:val="00204247"/>
    <w:rsid w:val="00211C5D"/>
    <w:rsid w:val="00212E88"/>
    <w:rsid w:val="00213C9C"/>
    <w:rsid w:val="00215C44"/>
    <w:rsid w:val="0022009E"/>
    <w:rsid w:val="00223241"/>
    <w:rsid w:val="0022425C"/>
    <w:rsid w:val="002246DE"/>
    <w:rsid w:val="0022475F"/>
    <w:rsid w:val="00225A63"/>
    <w:rsid w:val="002353E4"/>
    <w:rsid w:val="002368DB"/>
    <w:rsid w:val="002372A3"/>
    <w:rsid w:val="0024231F"/>
    <w:rsid w:val="00243BE3"/>
    <w:rsid w:val="00246B68"/>
    <w:rsid w:val="00246C1F"/>
    <w:rsid w:val="00252BC4"/>
    <w:rsid w:val="00253283"/>
    <w:rsid w:val="00254014"/>
    <w:rsid w:val="00254B39"/>
    <w:rsid w:val="002633C1"/>
    <w:rsid w:val="0026504D"/>
    <w:rsid w:val="002652DE"/>
    <w:rsid w:val="0026624E"/>
    <w:rsid w:val="00273637"/>
    <w:rsid w:val="00273A2F"/>
    <w:rsid w:val="00280986"/>
    <w:rsid w:val="00281ECE"/>
    <w:rsid w:val="00282DD3"/>
    <w:rsid w:val="002831C7"/>
    <w:rsid w:val="002840C6"/>
    <w:rsid w:val="0028685E"/>
    <w:rsid w:val="00287FAD"/>
    <w:rsid w:val="00295174"/>
    <w:rsid w:val="00296172"/>
    <w:rsid w:val="00296B92"/>
    <w:rsid w:val="002A1651"/>
    <w:rsid w:val="002A2C22"/>
    <w:rsid w:val="002B02EB"/>
    <w:rsid w:val="002B0783"/>
    <w:rsid w:val="002B4A16"/>
    <w:rsid w:val="002C0602"/>
    <w:rsid w:val="002C495C"/>
    <w:rsid w:val="002D5C16"/>
    <w:rsid w:val="002E4295"/>
    <w:rsid w:val="002F1716"/>
    <w:rsid w:val="002F2476"/>
    <w:rsid w:val="002F3DFF"/>
    <w:rsid w:val="002F5E05"/>
    <w:rsid w:val="0030330C"/>
    <w:rsid w:val="00307A76"/>
    <w:rsid w:val="00313991"/>
    <w:rsid w:val="0031455E"/>
    <w:rsid w:val="00315A16"/>
    <w:rsid w:val="00316D72"/>
    <w:rsid w:val="00317053"/>
    <w:rsid w:val="0032109C"/>
    <w:rsid w:val="00322B45"/>
    <w:rsid w:val="00323809"/>
    <w:rsid w:val="00323D41"/>
    <w:rsid w:val="00325414"/>
    <w:rsid w:val="003302F1"/>
    <w:rsid w:val="003323F2"/>
    <w:rsid w:val="003372F3"/>
    <w:rsid w:val="00341A4C"/>
    <w:rsid w:val="0034470E"/>
    <w:rsid w:val="00352DB0"/>
    <w:rsid w:val="00360266"/>
    <w:rsid w:val="00361063"/>
    <w:rsid w:val="0037094A"/>
    <w:rsid w:val="00371ED3"/>
    <w:rsid w:val="00372659"/>
    <w:rsid w:val="00372FFC"/>
    <w:rsid w:val="0037728A"/>
    <w:rsid w:val="00380B7D"/>
    <w:rsid w:val="00381A99"/>
    <w:rsid w:val="003829C2"/>
    <w:rsid w:val="003830B2"/>
    <w:rsid w:val="00384120"/>
    <w:rsid w:val="00384724"/>
    <w:rsid w:val="003848F3"/>
    <w:rsid w:val="003919B7"/>
    <w:rsid w:val="00391D57"/>
    <w:rsid w:val="00392292"/>
    <w:rsid w:val="00394F45"/>
    <w:rsid w:val="00397032"/>
    <w:rsid w:val="003A431F"/>
    <w:rsid w:val="003A477C"/>
    <w:rsid w:val="003A5927"/>
    <w:rsid w:val="003B1017"/>
    <w:rsid w:val="003B35CC"/>
    <w:rsid w:val="003B3C07"/>
    <w:rsid w:val="003B6040"/>
    <w:rsid w:val="003B6081"/>
    <w:rsid w:val="003B6775"/>
    <w:rsid w:val="003B7EA6"/>
    <w:rsid w:val="003C5F33"/>
    <w:rsid w:val="003C5FE2"/>
    <w:rsid w:val="003D05A5"/>
    <w:rsid w:val="003D05FB"/>
    <w:rsid w:val="003D16CB"/>
    <w:rsid w:val="003D1B16"/>
    <w:rsid w:val="003D45BF"/>
    <w:rsid w:val="003D508A"/>
    <w:rsid w:val="003D537F"/>
    <w:rsid w:val="003D771C"/>
    <w:rsid w:val="003D7B75"/>
    <w:rsid w:val="003E0208"/>
    <w:rsid w:val="003E490F"/>
    <w:rsid w:val="003E4B57"/>
    <w:rsid w:val="003F0205"/>
    <w:rsid w:val="003F1A3B"/>
    <w:rsid w:val="003F27E1"/>
    <w:rsid w:val="003F2B5A"/>
    <w:rsid w:val="003F437A"/>
    <w:rsid w:val="003F5C2B"/>
    <w:rsid w:val="003F602C"/>
    <w:rsid w:val="003F7877"/>
    <w:rsid w:val="00402240"/>
    <w:rsid w:val="004023E9"/>
    <w:rsid w:val="0040454A"/>
    <w:rsid w:val="00413F83"/>
    <w:rsid w:val="0041490C"/>
    <w:rsid w:val="00416191"/>
    <w:rsid w:val="00416721"/>
    <w:rsid w:val="00417EB2"/>
    <w:rsid w:val="00421EF0"/>
    <w:rsid w:val="004224FA"/>
    <w:rsid w:val="00423D07"/>
    <w:rsid w:val="0042718B"/>
    <w:rsid w:val="00427936"/>
    <w:rsid w:val="004317A9"/>
    <w:rsid w:val="00432F66"/>
    <w:rsid w:val="00436168"/>
    <w:rsid w:val="00437016"/>
    <w:rsid w:val="00441C95"/>
    <w:rsid w:val="0044346F"/>
    <w:rsid w:val="00444C94"/>
    <w:rsid w:val="0044672C"/>
    <w:rsid w:val="00453FF6"/>
    <w:rsid w:val="0046520A"/>
    <w:rsid w:val="004672AB"/>
    <w:rsid w:val="0047003E"/>
    <w:rsid w:val="004714FE"/>
    <w:rsid w:val="0047605E"/>
    <w:rsid w:val="00477BAA"/>
    <w:rsid w:val="0048304A"/>
    <w:rsid w:val="00484FD4"/>
    <w:rsid w:val="00490AC4"/>
    <w:rsid w:val="00495053"/>
    <w:rsid w:val="004975BC"/>
    <w:rsid w:val="00497755"/>
    <w:rsid w:val="004A0E10"/>
    <w:rsid w:val="004A1F59"/>
    <w:rsid w:val="004A29BE"/>
    <w:rsid w:val="004A3225"/>
    <w:rsid w:val="004A33EE"/>
    <w:rsid w:val="004A3AA8"/>
    <w:rsid w:val="004B096A"/>
    <w:rsid w:val="004B13C7"/>
    <w:rsid w:val="004B7606"/>
    <w:rsid w:val="004B778F"/>
    <w:rsid w:val="004C0609"/>
    <w:rsid w:val="004C1E0B"/>
    <w:rsid w:val="004C4239"/>
    <w:rsid w:val="004D13B6"/>
    <w:rsid w:val="004D141F"/>
    <w:rsid w:val="004D2742"/>
    <w:rsid w:val="004D6310"/>
    <w:rsid w:val="004E0062"/>
    <w:rsid w:val="004E05A1"/>
    <w:rsid w:val="004F2318"/>
    <w:rsid w:val="004F472A"/>
    <w:rsid w:val="004F5E57"/>
    <w:rsid w:val="004F6710"/>
    <w:rsid w:val="00500C3E"/>
    <w:rsid w:val="00501A1C"/>
    <w:rsid w:val="00502849"/>
    <w:rsid w:val="00502FFB"/>
    <w:rsid w:val="00504334"/>
    <w:rsid w:val="0050498D"/>
    <w:rsid w:val="00505B3B"/>
    <w:rsid w:val="005101AE"/>
    <w:rsid w:val="005104D7"/>
    <w:rsid w:val="00510B9E"/>
    <w:rsid w:val="00520C7E"/>
    <w:rsid w:val="0052464C"/>
    <w:rsid w:val="005267B0"/>
    <w:rsid w:val="005333C0"/>
    <w:rsid w:val="00536BC2"/>
    <w:rsid w:val="005425E1"/>
    <w:rsid w:val="005427C5"/>
    <w:rsid w:val="00542CF6"/>
    <w:rsid w:val="00544EBD"/>
    <w:rsid w:val="005504D2"/>
    <w:rsid w:val="00550705"/>
    <w:rsid w:val="00553C03"/>
    <w:rsid w:val="00563692"/>
    <w:rsid w:val="00565398"/>
    <w:rsid w:val="00571679"/>
    <w:rsid w:val="005748B3"/>
    <w:rsid w:val="00581DBE"/>
    <w:rsid w:val="00584235"/>
    <w:rsid w:val="005844E7"/>
    <w:rsid w:val="005908B8"/>
    <w:rsid w:val="0059512E"/>
    <w:rsid w:val="005A249B"/>
    <w:rsid w:val="005A3038"/>
    <w:rsid w:val="005A696D"/>
    <w:rsid w:val="005A6DD2"/>
    <w:rsid w:val="005B7B9F"/>
    <w:rsid w:val="005C385D"/>
    <w:rsid w:val="005D3B20"/>
    <w:rsid w:val="005D70A8"/>
    <w:rsid w:val="005D71B7"/>
    <w:rsid w:val="005E4759"/>
    <w:rsid w:val="005E4F2F"/>
    <w:rsid w:val="005E5C68"/>
    <w:rsid w:val="005E65C0"/>
    <w:rsid w:val="005F0390"/>
    <w:rsid w:val="005F1149"/>
    <w:rsid w:val="005F56AA"/>
    <w:rsid w:val="006072CD"/>
    <w:rsid w:val="00612023"/>
    <w:rsid w:val="00614190"/>
    <w:rsid w:val="00614350"/>
    <w:rsid w:val="00615234"/>
    <w:rsid w:val="00615D2E"/>
    <w:rsid w:val="006161AD"/>
    <w:rsid w:val="00617009"/>
    <w:rsid w:val="006209B0"/>
    <w:rsid w:val="00622A99"/>
    <w:rsid w:val="00622E67"/>
    <w:rsid w:val="00626B57"/>
    <w:rsid w:val="00626EDC"/>
    <w:rsid w:val="006314A4"/>
    <w:rsid w:val="00632732"/>
    <w:rsid w:val="006452D3"/>
    <w:rsid w:val="006470EC"/>
    <w:rsid w:val="006542D6"/>
    <w:rsid w:val="0065598E"/>
    <w:rsid w:val="00655AF2"/>
    <w:rsid w:val="00655BC5"/>
    <w:rsid w:val="006568BE"/>
    <w:rsid w:val="0066025D"/>
    <w:rsid w:val="0066091A"/>
    <w:rsid w:val="00665E1B"/>
    <w:rsid w:val="00666AE8"/>
    <w:rsid w:val="006730D5"/>
    <w:rsid w:val="00676E0F"/>
    <w:rsid w:val="006773EC"/>
    <w:rsid w:val="00680504"/>
    <w:rsid w:val="006811A4"/>
    <w:rsid w:val="00681CD9"/>
    <w:rsid w:val="00683E30"/>
    <w:rsid w:val="00685EAF"/>
    <w:rsid w:val="00687024"/>
    <w:rsid w:val="00695E22"/>
    <w:rsid w:val="006A20F7"/>
    <w:rsid w:val="006A77CF"/>
    <w:rsid w:val="006B2ECF"/>
    <w:rsid w:val="006B2EF8"/>
    <w:rsid w:val="006B7093"/>
    <w:rsid w:val="006B7417"/>
    <w:rsid w:val="006B7C24"/>
    <w:rsid w:val="006D09C9"/>
    <w:rsid w:val="006D31F9"/>
    <w:rsid w:val="006D3691"/>
    <w:rsid w:val="006D4621"/>
    <w:rsid w:val="006D639C"/>
    <w:rsid w:val="006D730D"/>
    <w:rsid w:val="006E47EC"/>
    <w:rsid w:val="006E5EF0"/>
    <w:rsid w:val="006F3563"/>
    <w:rsid w:val="006F42B9"/>
    <w:rsid w:val="006F6103"/>
    <w:rsid w:val="00701C3B"/>
    <w:rsid w:val="007028D3"/>
    <w:rsid w:val="00704E00"/>
    <w:rsid w:val="00715A69"/>
    <w:rsid w:val="007209E7"/>
    <w:rsid w:val="007236F9"/>
    <w:rsid w:val="00726182"/>
    <w:rsid w:val="00727635"/>
    <w:rsid w:val="00732329"/>
    <w:rsid w:val="007328D8"/>
    <w:rsid w:val="007337CA"/>
    <w:rsid w:val="00734107"/>
    <w:rsid w:val="00734CE4"/>
    <w:rsid w:val="00735123"/>
    <w:rsid w:val="00741837"/>
    <w:rsid w:val="00742E9F"/>
    <w:rsid w:val="007453E6"/>
    <w:rsid w:val="00755061"/>
    <w:rsid w:val="00755CB3"/>
    <w:rsid w:val="0077309D"/>
    <w:rsid w:val="007774EE"/>
    <w:rsid w:val="00781822"/>
    <w:rsid w:val="00783BC8"/>
    <w:rsid w:val="00783F21"/>
    <w:rsid w:val="00787159"/>
    <w:rsid w:val="0079043A"/>
    <w:rsid w:val="00791668"/>
    <w:rsid w:val="00791AA1"/>
    <w:rsid w:val="007922B1"/>
    <w:rsid w:val="007A1D02"/>
    <w:rsid w:val="007A3793"/>
    <w:rsid w:val="007A44A0"/>
    <w:rsid w:val="007A58E0"/>
    <w:rsid w:val="007B26B3"/>
    <w:rsid w:val="007C0599"/>
    <w:rsid w:val="007C1BA2"/>
    <w:rsid w:val="007C2B48"/>
    <w:rsid w:val="007C43CA"/>
    <w:rsid w:val="007C6C0D"/>
    <w:rsid w:val="007D10AC"/>
    <w:rsid w:val="007D20E9"/>
    <w:rsid w:val="007D357A"/>
    <w:rsid w:val="007D7731"/>
    <w:rsid w:val="007D7881"/>
    <w:rsid w:val="007D7E3A"/>
    <w:rsid w:val="007E0E10"/>
    <w:rsid w:val="007E276E"/>
    <w:rsid w:val="007E4768"/>
    <w:rsid w:val="007E777B"/>
    <w:rsid w:val="007F2070"/>
    <w:rsid w:val="007F49A2"/>
    <w:rsid w:val="007F566E"/>
    <w:rsid w:val="007F63C1"/>
    <w:rsid w:val="0080077D"/>
    <w:rsid w:val="00801DBB"/>
    <w:rsid w:val="0080264D"/>
    <w:rsid w:val="00803069"/>
    <w:rsid w:val="0080517D"/>
    <w:rsid w:val="008053F5"/>
    <w:rsid w:val="00806270"/>
    <w:rsid w:val="00806DF2"/>
    <w:rsid w:val="00807AF7"/>
    <w:rsid w:val="00810198"/>
    <w:rsid w:val="00814458"/>
    <w:rsid w:val="00814AAA"/>
    <w:rsid w:val="00815DA8"/>
    <w:rsid w:val="00816952"/>
    <w:rsid w:val="00816E4B"/>
    <w:rsid w:val="0082194D"/>
    <w:rsid w:val="008221F9"/>
    <w:rsid w:val="0082343F"/>
    <w:rsid w:val="00826EF5"/>
    <w:rsid w:val="00831023"/>
    <w:rsid w:val="00831693"/>
    <w:rsid w:val="008331DF"/>
    <w:rsid w:val="00836488"/>
    <w:rsid w:val="008377C0"/>
    <w:rsid w:val="00840104"/>
    <w:rsid w:val="008406DB"/>
    <w:rsid w:val="00840C1F"/>
    <w:rsid w:val="008411C9"/>
    <w:rsid w:val="00841435"/>
    <w:rsid w:val="00841FC5"/>
    <w:rsid w:val="00843D0F"/>
    <w:rsid w:val="0084529A"/>
    <w:rsid w:val="00845709"/>
    <w:rsid w:val="00850602"/>
    <w:rsid w:val="008515F6"/>
    <w:rsid w:val="008543C7"/>
    <w:rsid w:val="008553A8"/>
    <w:rsid w:val="008576BD"/>
    <w:rsid w:val="00860463"/>
    <w:rsid w:val="00865CB6"/>
    <w:rsid w:val="008733DA"/>
    <w:rsid w:val="0087416A"/>
    <w:rsid w:val="008768AF"/>
    <w:rsid w:val="008822CF"/>
    <w:rsid w:val="008850E4"/>
    <w:rsid w:val="00885489"/>
    <w:rsid w:val="008900E8"/>
    <w:rsid w:val="00892D2A"/>
    <w:rsid w:val="00892D8E"/>
    <w:rsid w:val="008939AB"/>
    <w:rsid w:val="008A0631"/>
    <w:rsid w:val="008A12F5"/>
    <w:rsid w:val="008A3900"/>
    <w:rsid w:val="008A500E"/>
    <w:rsid w:val="008A5653"/>
    <w:rsid w:val="008A6107"/>
    <w:rsid w:val="008B12BB"/>
    <w:rsid w:val="008B1587"/>
    <w:rsid w:val="008B1B01"/>
    <w:rsid w:val="008B36D1"/>
    <w:rsid w:val="008B3BCD"/>
    <w:rsid w:val="008B3BDD"/>
    <w:rsid w:val="008B6DF8"/>
    <w:rsid w:val="008C024B"/>
    <w:rsid w:val="008C106C"/>
    <w:rsid w:val="008C10F1"/>
    <w:rsid w:val="008C1926"/>
    <w:rsid w:val="008C1E99"/>
    <w:rsid w:val="008C3F7B"/>
    <w:rsid w:val="008C427B"/>
    <w:rsid w:val="008C4EF9"/>
    <w:rsid w:val="008C52DA"/>
    <w:rsid w:val="008D102F"/>
    <w:rsid w:val="008D496B"/>
    <w:rsid w:val="008E0085"/>
    <w:rsid w:val="008E2AA6"/>
    <w:rsid w:val="008E311B"/>
    <w:rsid w:val="008F46E7"/>
    <w:rsid w:val="008F6F0B"/>
    <w:rsid w:val="008F7AAA"/>
    <w:rsid w:val="0090170D"/>
    <w:rsid w:val="00903BC8"/>
    <w:rsid w:val="0090519C"/>
    <w:rsid w:val="00906E63"/>
    <w:rsid w:val="00907BA7"/>
    <w:rsid w:val="0091064E"/>
    <w:rsid w:val="009117F3"/>
    <w:rsid w:val="00911FC5"/>
    <w:rsid w:val="00912B03"/>
    <w:rsid w:val="00912CE6"/>
    <w:rsid w:val="00920292"/>
    <w:rsid w:val="00920FD8"/>
    <w:rsid w:val="00922CC8"/>
    <w:rsid w:val="00925A8E"/>
    <w:rsid w:val="00931A10"/>
    <w:rsid w:val="009358C2"/>
    <w:rsid w:val="00942C90"/>
    <w:rsid w:val="00946059"/>
    <w:rsid w:val="00947967"/>
    <w:rsid w:val="00947DBA"/>
    <w:rsid w:val="00953D75"/>
    <w:rsid w:val="00955201"/>
    <w:rsid w:val="0095735E"/>
    <w:rsid w:val="00964064"/>
    <w:rsid w:val="00965114"/>
    <w:rsid w:val="00965200"/>
    <w:rsid w:val="00965B80"/>
    <w:rsid w:val="009668B3"/>
    <w:rsid w:val="00971471"/>
    <w:rsid w:val="00973132"/>
    <w:rsid w:val="00974B76"/>
    <w:rsid w:val="009755BD"/>
    <w:rsid w:val="009849C2"/>
    <w:rsid w:val="00984D24"/>
    <w:rsid w:val="009858EB"/>
    <w:rsid w:val="009927EC"/>
    <w:rsid w:val="0099450B"/>
    <w:rsid w:val="009A22D0"/>
    <w:rsid w:val="009A3F47"/>
    <w:rsid w:val="009A4273"/>
    <w:rsid w:val="009A518D"/>
    <w:rsid w:val="009A5EC4"/>
    <w:rsid w:val="009B0046"/>
    <w:rsid w:val="009B56AD"/>
    <w:rsid w:val="009C013E"/>
    <w:rsid w:val="009C1440"/>
    <w:rsid w:val="009C1E80"/>
    <w:rsid w:val="009C2107"/>
    <w:rsid w:val="009C5D9E"/>
    <w:rsid w:val="009D2C3E"/>
    <w:rsid w:val="009E0625"/>
    <w:rsid w:val="009E2352"/>
    <w:rsid w:val="009E3034"/>
    <w:rsid w:val="009E43C4"/>
    <w:rsid w:val="009E49B6"/>
    <w:rsid w:val="009E549F"/>
    <w:rsid w:val="009E5B15"/>
    <w:rsid w:val="009F05ED"/>
    <w:rsid w:val="009F28A8"/>
    <w:rsid w:val="009F473E"/>
    <w:rsid w:val="009F5247"/>
    <w:rsid w:val="009F6214"/>
    <w:rsid w:val="009F682A"/>
    <w:rsid w:val="00A00758"/>
    <w:rsid w:val="00A022BE"/>
    <w:rsid w:val="00A073D3"/>
    <w:rsid w:val="00A07B4B"/>
    <w:rsid w:val="00A11D4E"/>
    <w:rsid w:val="00A13CE3"/>
    <w:rsid w:val="00A14E0A"/>
    <w:rsid w:val="00A24C95"/>
    <w:rsid w:val="00A25325"/>
    <w:rsid w:val="00A2599A"/>
    <w:rsid w:val="00A26094"/>
    <w:rsid w:val="00A301BF"/>
    <w:rsid w:val="00A30247"/>
    <w:rsid w:val="00A302B2"/>
    <w:rsid w:val="00A32260"/>
    <w:rsid w:val="00A331B4"/>
    <w:rsid w:val="00A3484E"/>
    <w:rsid w:val="00A356D3"/>
    <w:rsid w:val="00A36ADA"/>
    <w:rsid w:val="00A37C4D"/>
    <w:rsid w:val="00A42DBA"/>
    <w:rsid w:val="00A438D8"/>
    <w:rsid w:val="00A46522"/>
    <w:rsid w:val="00A473F5"/>
    <w:rsid w:val="00A51F9D"/>
    <w:rsid w:val="00A5416A"/>
    <w:rsid w:val="00A56BB8"/>
    <w:rsid w:val="00A639F4"/>
    <w:rsid w:val="00A65FAE"/>
    <w:rsid w:val="00A741C2"/>
    <w:rsid w:val="00A81A32"/>
    <w:rsid w:val="00A835BD"/>
    <w:rsid w:val="00A90CDF"/>
    <w:rsid w:val="00A970F2"/>
    <w:rsid w:val="00A97B15"/>
    <w:rsid w:val="00AA08E4"/>
    <w:rsid w:val="00AA37E8"/>
    <w:rsid w:val="00AA42D5"/>
    <w:rsid w:val="00AA656B"/>
    <w:rsid w:val="00AB2FAB"/>
    <w:rsid w:val="00AB51FA"/>
    <w:rsid w:val="00AB5C14"/>
    <w:rsid w:val="00AB6CBC"/>
    <w:rsid w:val="00AC1EE7"/>
    <w:rsid w:val="00AC333F"/>
    <w:rsid w:val="00AC585C"/>
    <w:rsid w:val="00AC6510"/>
    <w:rsid w:val="00AD1925"/>
    <w:rsid w:val="00AD41F8"/>
    <w:rsid w:val="00AD4569"/>
    <w:rsid w:val="00AE067D"/>
    <w:rsid w:val="00AE1DBF"/>
    <w:rsid w:val="00AE27B7"/>
    <w:rsid w:val="00AE3E5C"/>
    <w:rsid w:val="00AF1181"/>
    <w:rsid w:val="00AF2AFB"/>
    <w:rsid w:val="00AF2F79"/>
    <w:rsid w:val="00AF4653"/>
    <w:rsid w:val="00AF7DB7"/>
    <w:rsid w:val="00B10D02"/>
    <w:rsid w:val="00B13241"/>
    <w:rsid w:val="00B14A4E"/>
    <w:rsid w:val="00B159C5"/>
    <w:rsid w:val="00B201E2"/>
    <w:rsid w:val="00B22A0A"/>
    <w:rsid w:val="00B22AB1"/>
    <w:rsid w:val="00B252D9"/>
    <w:rsid w:val="00B30BF6"/>
    <w:rsid w:val="00B31320"/>
    <w:rsid w:val="00B35AED"/>
    <w:rsid w:val="00B42380"/>
    <w:rsid w:val="00B443E4"/>
    <w:rsid w:val="00B46872"/>
    <w:rsid w:val="00B5484D"/>
    <w:rsid w:val="00B54FC6"/>
    <w:rsid w:val="00B55BFC"/>
    <w:rsid w:val="00B563EA"/>
    <w:rsid w:val="00B56CDF"/>
    <w:rsid w:val="00B60E51"/>
    <w:rsid w:val="00B61D5D"/>
    <w:rsid w:val="00B63A54"/>
    <w:rsid w:val="00B66C87"/>
    <w:rsid w:val="00B73221"/>
    <w:rsid w:val="00B765BC"/>
    <w:rsid w:val="00B77D18"/>
    <w:rsid w:val="00B8313A"/>
    <w:rsid w:val="00B83CF0"/>
    <w:rsid w:val="00B8766C"/>
    <w:rsid w:val="00B93503"/>
    <w:rsid w:val="00B95B5B"/>
    <w:rsid w:val="00B9737E"/>
    <w:rsid w:val="00BA25BD"/>
    <w:rsid w:val="00BA2B80"/>
    <w:rsid w:val="00BA31E8"/>
    <w:rsid w:val="00BA55E0"/>
    <w:rsid w:val="00BA6BD4"/>
    <w:rsid w:val="00BA6C7A"/>
    <w:rsid w:val="00BB17D1"/>
    <w:rsid w:val="00BB3752"/>
    <w:rsid w:val="00BB4E80"/>
    <w:rsid w:val="00BB57F0"/>
    <w:rsid w:val="00BB6053"/>
    <w:rsid w:val="00BB6688"/>
    <w:rsid w:val="00BC26D4"/>
    <w:rsid w:val="00BE0978"/>
    <w:rsid w:val="00BE0C80"/>
    <w:rsid w:val="00BE5FD0"/>
    <w:rsid w:val="00BF0935"/>
    <w:rsid w:val="00BF2A42"/>
    <w:rsid w:val="00C01529"/>
    <w:rsid w:val="00C03D8C"/>
    <w:rsid w:val="00C055EC"/>
    <w:rsid w:val="00C05E5D"/>
    <w:rsid w:val="00C070AB"/>
    <w:rsid w:val="00C1076C"/>
    <w:rsid w:val="00C10DC9"/>
    <w:rsid w:val="00C12FB3"/>
    <w:rsid w:val="00C14344"/>
    <w:rsid w:val="00C1438D"/>
    <w:rsid w:val="00C1632F"/>
    <w:rsid w:val="00C17341"/>
    <w:rsid w:val="00C2037A"/>
    <w:rsid w:val="00C21340"/>
    <w:rsid w:val="00C24EEF"/>
    <w:rsid w:val="00C25576"/>
    <w:rsid w:val="00C25CF6"/>
    <w:rsid w:val="00C26C36"/>
    <w:rsid w:val="00C32768"/>
    <w:rsid w:val="00C32F14"/>
    <w:rsid w:val="00C3655C"/>
    <w:rsid w:val="00C41FAF"/>
    <w:rsid w:val="00C431DF"/>
    <w:rsid w:val="00C43701"/>
    <w:rsid w:val="00C43FAB"/>
    <w:rsid w:val="00C44757"/>
    <w:rsid w:val="00C456BD"/>
    <w:rsid w:val="00C460B3"/>
    <w:rsid w:val="00C5195A"/>
    <w:rsid w:val="00C5257C"/>
    <w:rsid w:val="00C530DC"/>
    <w:rsid w:val="00C5350D"/>
    <w:rsid w:val="00C6123C"/>
    <w:rsid w:val="00C6311A"/>
    <w:rsid w:val="00C649AD"/>
    <w:rsid w:val="00C7084D"/>
    <w:rsid w:val="00C7315E"/>
    <w:rsid w:val="00C74A90"/>
    <w:rsid w:val="00C75895"/>
    <w:rsid w:val="00C75B59"/>
    <w:rsid w:val="00C83C9F"/>
    <w:rsid w:val="00C86FDF"/>
    <w:rsid w:val="00C90537"/>
    <w:rsid w:val="00C926C7"/>
    <w:rsid w:val="00C93CCD"/>
    <w:rsid w:val="00C94840"/>
    <w:rsid w:val="00C94C74"/>
    <w:rsid w:val="00C972FD"/>
    <w:rsid w:val="00CA4EE3"/>
    <w:rsid w:val="00CA56D5"/>
    <w:rsid w:val="00CB027F"/>
    <w:rsid w:val="00CC0EBB"/>
    <w:rsid w:val="00CC6297"/>
    <w:rsid w:val="00CC7690"/>
    <w:rsid w:val="00CD0E71"/>
    <w:rsid w:val="00CD1986"/>
    <w:rsid w:val="00CD34E3"/>
    <w:rsid w:val="00CD54BF"/>
    <w:rsid w:val="00CE4D5C"/>
    <w:rsid w:val="00CE5DF4"/>
    <w:rsid w:val="00CE69BF"/>
    <w:rsid w:val="00CE77B0"/>
    <w:rsid w:val="00CF05DA"/>
    <w:rsid w:val="00CF58EB"/>
    <w:rsid w:val="00CF6FEC"/>
    <w:rsid w:val="00D0106E"/>
    <w:rsid w:val="00D0114C"/>
    <w:rsid w:val="00D034BF"/>
    <w:rsid w:val="00D06383"/>
    <w:rsid w:val="00D1149E"/>
    <w:rsid w:val="00D16039"/>
    <w:rsid w:val="00D20E85"/>
    <w:rsid w:val="00D21BC6"/>
    <w:rsid w:val="00D24615"/>
    <w:rsid w:val="00D270E9"/>
    <w:rsid w:val="00D302DF"/>
    <w:rsid w:val="00D32A6A"/>
    <w:rsid w:val="00D3326F"/>
    <w:rsid w:val="00D37842"/>
    <w:rsid w:val="00D42DC2"/>
    <w:rsid w:val="00D4302B"/>
    <w:rsid w:val="00D43763"/>
    <w:rsid w:val="00D44059"/>
    <w:rsid w:val="00D466E8"/>
    <w:rsid w:val="00D47582"/>
    <w:rsid w:val="00D51D2D"/>
    <w:rsid w:val="00D537E1"/>
    <w:rsid w:val="00D55BB2"/>
    <w:rsid w:val="00D6091A"/>
    <w:rsid w:val="00D636FA"/>
    <w:rsid w:val="00D6605A"/>
    <w:rsid w:val="00D6695F"/>
    <w:rsid w:val="00D72922"/>
    <w:rsid w:val="00D75644"/>
    <w:rsid w:val="00D75CEC"/>
    <w:rsid w:val="00D75D69"/>
    <w:rsid w:val="00D81656"/>
    <w:rsid w:val="00D83D87"/>
    <w:rsid w:val="00D84A6D"/>
    <w:rsid w:val="00D86A30"/>
    <w:rsid w:val="00D90188"/>
    <w:rsid w:val="00D917EC"/>
    <w:rsid w:val="00D95C18"/>
    <w:rsid w:val="00D97CB4"/>
    <w:rsid w:val="00D97DD4"/>
    <w:rsid w:val="00DA5A8A"/>
    <w:rsid w:val="00DB1170"/>
    <w:rsid w:val="00DB26CD"/>
    <w:rsid w:val="00DB2CDC"/>
    <w:rsid w:val="00DB441C"/>
    <w:rsid w:val="00DB44AF"/>
    <w:rsid w:val="00DB520C"/>
    <w:rsid w:val="00DC1F58"/>
    <w:rsid w:val="00DC339B"/>
    <w:rsid w:val="00DC5D40"/>
    <w:rsid w:val="00DC69A7"/>
    <w:rsid w:val="00DD1E20"/>
    <w:rsid w:val="00DD30E9"/>
    <w:rsid w:val="00DD4F47"/>
    <w:rsid w:val="00DD7FBB"/>
    <w:rsid w:val="00DE0163"/>
    <w:rsid w:val="00DE0B9F"/>
    <w:rsid w:val="00DE2A9E"/>
    <w:rsid w:val="00DE4238"/>
    <w:rsid w:val="00DE657F"/>
    <w:rsid w:val="00DF1218"/>
    <w:rsid w:val="00DF6462"/>
    <w:rsid w:val="00DF775C"/>
    <w:rsid w:val="00E002A9"/>
    <w:rsid w:val="00E01836"/>
    <w:rsid w:val="00E02FA0"/>
    <w:rsid w:val="00E036DC"/>
    <w:rsid w:val="00E061D9"/>
    <w:rsid w:val="00E10454"/>
    <w:rsid w:val="00E112E5"/>
    <w:rsid w:val="00E122D8"/>
    <w:rsid w:val="00E12CC8"/>
    <w:rsid w:val="00E15352"/>
    <w:rsid w:val="00E15D69"/>
    <w:rsid w:val="00E21A71"/>
    <w:rsid w:val="00E21CC7"/>
    <w:rsid w:val="00E24D9E"/>
    <w:rsid w:val="00E25849"/>
    <w:rsid w:val="00E26E78"/>
    <w:rsid w:val="00E3190C"/>
    <w:rsid w:val="00E3197E"/>
    <w:rsid w:val="00E342F8"/>
    <w:rsid w:val="00E351ED"/>
    <w:rsid w:val="00E40C94"/>
    <w:rsid w:val="00E42B19"/>
    <w:rsid w:val="00E55538"/>
    <w:rsid w:val="00E6034B"/>
    <w:rsid w:val="00E60A00"/>
    <w:rsid w:val="00E6549E"/>
    <w:rsid w:val="00E65EDE"/>
    <w:rsid w:val="00E671EE"/>
    <w:rsid w:val="00E70306"/>
    <w:rsid w:val="00E70F81"/>
    <w:rsid w:val="00E72F20"/>
    <w:rsid w:val="00E77055"/>
    <w:rsid w:val="00E77460"/>
    <w:rsid w:val="00E77B8E"/>
    <w:rsid w:val="00E83ABC"/>
    <w:rsid w:val="00E844F2"/>
    <w:rsid w:val="00E9015D"/>
    <w:rsid w:val="00E905ED"/>
    <w:rsid w:val="00E90AD0"/>
    <w:rsid w:val="00E92FCB"/>
    <w:rsid w:val="00E93FB8"/>
    <w:rsid w:val="00EA147F"/>
    <w:rsid w:val="00EA4A27"/>
    <w:rsid w:val="00EA4FA6"/>
    <w:rsid w:val="00EB1A25"/>
    <w:rsid w:val="00EB5C51"/>
    <w:rsid w:val="00EC0079"/>
    <w:rsid w:val="00EC31F6"/>
    <w:rsid w:val="00EC5C3C"/>
    <w:rsid w:val="00EC7363"/>
    <w:rsid w:val="00ED03AB"/>
    <w:rsid w:val="00ED17F5"/>
    <w:rsid w:val="00ED1963"/>
    <w:rsid w:val="00ED1CD4"/>
    <w:rsid w:val="00ED1D2B"/>
    <w:rsid w:val="00ED2B79"/>
    <w:rsid w:val="00ED4194"/>
    <w:rsid w:val="00ED64B5"/>
    <w:rsid w:val="00EE7CCA"/>
    <w:rsid w:val="00EF6DA1"/>
    <w:rsid w:val="00F06E37"/>
    <w:rsid w:val="00F06E53"/>
    <w:rsid w:val="00F16A14"/>
    <w:rsid w:val="00F3185C"/>
    <w:rsid w:val="00F32A11"/>
    <w:rsid w:val="00F34384"/>
    <w:rsid w:val="00F35022"/>
    <w:rsid w:val="00F352AD"/>
    <w:rsid w:val="00F362D7"/>
    <w:rsid w:val="00F37D6E"/>
    <w:rsid w:val="00F37D7B"/>
    <w:rsid w:val="00F44AD8"/>
    <w:rsid w:val="00F46056"/>
    <w:rsid w:val="00F508E2"/>
    <w:rsid w:val="00F51989"/>
    <w:rsid w:val="00F5314C"/>
    <w:rsid w:val="00F54B52"/>
    <w:rsid w:val="00F5688C"/>
    <w:rsid w:val="00F60048"/>
    <w:rsid w:val="00F635DD"/>
    <w:rsid w:val="00F6627B"/>
    <w:rsid w:val="00F7336E"/>
    <w:rsid w:val="00F734F2"/>
    <w:rsid w:val="00F75052"/>
    <w:rsid w:val="00F76A4B"/>
    <w:rsid w:val="00F804D3"/>
    <w:rsid w:val="00F816CB"/>
    <w:rsid w:val="00F81CD2"/>
    <w:rsid w:val="00F82641"/>
    <w:rsid w:val="00F8527A"/>
    <w:rsid w:val="00F90228"/>
    <w:rsid w:val="00F90F18"/>
    <w:rsid w:val="00F937E4"/>
    <w:rsid w:val="00F93806"/>
    <w:rsid w:val="00F95EE7"/>
    <w:rsid w:val="00FA032E"/>
    <w:rsid w:val="00FA3680"/>
    <w:rsid w:val="00FA39E6"/>
    <w:rsid w:val="00FA78A7"/>
    <w:rsid w:val="00FA7BC9"/>
    <w:rsid w:val="00FB378E"/>
    <w:rsid w:val="00FB37F1"/>
    <w:rsid w:val="00FB3DF3"/>
    <w:rsid w:val="00FB47C0"/>
    <w:rsid w:val="00FB501B"/>
    <w:rsid w:val="00FB719A"/>
    <w:rsid w:val="00FB7770"/>
    <w:rsid w:val="00FC142E"/>
    <w:rsid w:val="00FC313D"/>
    <w:rsid w:val="00FD3B91"/>
    <w:rsid w:val="00FD576B"/>
    <w:rsid w:val="00FD579E"/>
    <w:rsid w:val="00FD6845"/>
    <w:rsid w:val="00FD7F77"/>
    <w:rsid w:val="00FE4516"/>
    <w:rsid w:val="00FE64C8"/>
    <w:rsid w:val="00FE6A01"/>
    <w:rsid w:val="00FF6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F9D8C26-34E6-45D6-9C4B-BCA5D0E0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7"/>
      </w:numPr>
      <w:outlineLvl w:val="0"/>
    </w:pPr>
    <w:rPr>
      <w:rFonts w:hAnsi="Arial"/>
      <w:bCs/>
      <w:kern w:val="32"/>
      <w:szCs w:val="52"/>
    </w:rPr>
  </w:style>
  <w:style w:type="paragraph" w:styleId="2">
    <w:name w:val="heading 2"/>
    <w:basedOn w:val="a8"/>
    <w:link w:val="20"/>
    <w:qFormat/>
    <w:rsid w:val="004F5E57"/>
    <w:pPr>
      <w:numPr>
        <w:ilvl w:val="1"/>
        <w:numId w:val="7"/>
      </w:numPr>
      <w:outlineLvl w:val="1"/>
    </w:pPr>
    <w:rPr>
      <w:rFonts w:hAnsi="Arial"/>
      <w:bCs/>
      <w:kern w:val="32"/>
      <w:szCs w:val="48"/>
    </w:rPr>
  </w:style>
  <w:style w:type="paragraph" w:styleId="3">
    <w:name w:val="heading 3"/>
    <w:basedOn w:val="a8"/>
    <w:qFormat/>
    <w:rsid w:val="004F5E57"/>
    <w:pPr>
      <w:numPr>
        <w:ilvl w:val="2"/>
        <w:numId w:val="7"/>
      </w:numPr>
      <w:outlineLvl w:val="2"/>
    </w:pPr>
    <w:rPr>
      <w:rFonts w:hAnsi="Arial"/>
      <w:bCs/>
      <w:kern w:val="32"/>
      <w:szCs w:val="36"/>
    </w:rPr>
  </w:style>
  <w:style w:type="paragraph" w:styleId="4">
    <w:name w:val="heading 4"/>
    <w:basedOn w:val="a8"/>
    <w:qFormat/>
    <w:rsid w:val="004F5E57"/>
    <w:pPr>
      <w:numPr>
        <w:ilvl w:val="3"/>
        <w:numId w:val="7"/>
      </w:numPr>
      <w:ind w:left="1701"/>
      <w:outlineLvl w:val="3"/>
    </w:pPr>
    <w:rPr>
      <w:rFonts w:hAnsi="Arial"/>
      <w:kern w:val="32"/>
      <w:szCs w:val="36"/>
    </w:rPr>
  </w:style>
  <w:style w:type="paragraph" w:styleId="5">
    <w:name w:val="heading 5"/>
    <w:basedOn w:val="a8"/>
    <w:qFormat/>
    <w:rsid w:val="004F5E57"/>
    <w:pPr>
      <w:numPr>
        <w:ilvl w:val="4"/>
        <w:numId w:val="7"/>
      </w:numPr>
      <w:outlineLvl w:val="4"/>
    </w:pPr>
    <w:rPr>
      <w:rFonts w:hAnsi="Arial"/>
      <w:bCs/>
      <w:kern w:val="32"/>
      <w:szCs w:val="36"/>
    </w:rPr>
  </w:style>
  <w:style w:type="paragraph" w:styleId="6">
    <w:name w:val="heading 6"/>
    <w:basedOn w:val="a8"/>
    <w:qFormat/>
    <w:rsid w:val="004F5E57"/>
    <w:pPr>
      <w:numPr>
        <w:ilvl w:val="5"/>
        <w:numId w:val="7"/>
      </w:numPr>
      <w:tabs>
        <w:tab w:val="left" w:pos="2094"/>
      </w:tabs>
      <w:outlineLvl w:val="5"/>
    </w:pPr>
    <w:rPr>
      <w:rFonts w:hAnsi="Arial"/>
      <w:kern w:val="32"/>
      <w:szCs w:val="36"/>
    </w:rPr>
  </w:style>
  <w:style w:type="paragraph" w:styleId="7">
    <w:name w:val="heading 7"/>
    <w:basedOn w:val="a8"/>
    <w:qFormat/>
    <w:rsid w:val="004F5E57"/>
    <w:pPr>
      <w:numPr>
        <w:ilvl w:val="6"/>
        <w:numId w:val="7"/>
      </w:numPr>
      <w:outlineLvl w:val="6"/>
    </w:pPr>
    <w:rPr>
      <w:rFonts w:hAnsi="Arial"/>
      <w:bCs/>
      <w:kern w:val="32"/>
      <w:szCs w:val="36"/>
    </w:rPr>
  </w:style>
  <w:style w:type="paragraph" w:styleId="8">
    <w:name w:val="heading 8"/>
    <w:basedOn w:val="a8"/>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0">
    <w:name w:val="標題 2 字元"/>
    <w:basedOn w:val="a9"/>
    <w:link w:val="2"/>
    <w:rsid w:val="0031455E"/>
    <w:rPr>
      <w:rFonts w:ascii="標楷體" w:eastAsia="標楷體" w:hAnsi="Arial"/>
      <w:bCs/>
      <w:kern w:val="32"/>
      <w:sz w:val="32"/>
      <w:szCs w:val="48"/>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link w:val="af0"/>
    <w:uiPriority w:val="99"/>
    <w:rsid w:val="004E0062"/>
    <w:pPr>
      <w:tabs>
        <w:tab w:val="center" w:pos="4153"/>
        <w:tab w:val="right" w:pos="8306"/>
      </w:tabs>
      <w:snapToGrid w:val="0"/>
    </w:pPr>
    <w:rPr>
      <w:sz w:val="20"/>
    </w:rPr>
  </w:style>
  <w:style w:type="character" w:customStyle="1" w:styleId="af0">
    <w:name w:val="頁首 字元"/>
    <w:basedOn w:val="a9"/>
    <w:link w:val="af"/>
    <w:uiPriority w:val="99"/>
    <w:rsid w:val="00A25325"/>
    <w:rPr>
      <w:rFonts w:ascii="標楷體" w:eastAsia="標楷體"/>
      <w:kern w:val="2"/>
    </w:rPr>
  </w:style>
  <w:style w:type="paragraph" w:customStyle="1" w:styleId="31">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2"/>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3"/>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character" w:customStyle="1" w:styleId="af7">
    <w:name w:val="頁尾 字元"/>
    <w:basedOn w:val="a9"/>
    <w:link w:val="af6"/>
    <w:uiPriority w:val="99"/>
    <w:rsid w:val="00A25325"/>
    <w:rPr>
      <w:rFonts w:ascii="標楷體" w:eastAsia="標楷體"/>
      <w:kern w:val="2"/>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6"/>
      </w:numPr>
      <w:ind w:left="350" w:hangingChars="350" w:hanging="350"/>
      <w:outlineLvl w:val="0"/>
    </w:pPr>
    <w:rPr>
      <w:kern w:val="32"/>
    </w:rPr>
  </w:style>
  <w:style w:type="paragraph" w:styleId="afb">
    <w:name w:val="List Paragraph"/>
    <w:basedOn w:val="a8"/>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e">
    <w:name w:val="Plain Text"/>
    <w:basedOn w:val="a8"/>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9"/>
    <w:link w:val="afe"/>
    <w:uiPriority w:val="99"/>
    <w:rsid w:val="004F472A"/>
    <w:rPr>
      <w:rFonts w:ascii="Calibri" w:eastAsia="標楷體" w:hAnsi="Courier New" w:cs="Courier New"/>
      <w:color w:val="244061" w:themeColor="accent1" w:themeShade="80"/>
      <w:sz w:val="28"/>
      <w:szCs w:val="24"/>
    </w:rPr>
  </w:style>
  <w:style w:type="paragraph" w:customStyle="1" w:styleId="-11">
    <w:name w:val="彩色清單 - 輔色 11"/>
    <w:basedOn w:val="a8"/>
    <w:uiPriority w:val="34"/>
    <w:qFormat/>
    <w:rsid w:val="002F1716"/>
    <w:pPr>
      <w:overflowPunct/>
      <w:autoSpaceDE/>
      <w:autoSpaceDN/>
      <w:ind w:leftChars="200" w:left="480"/>
      <w:jc w:val="left"/>
    </w:pPr>
    <w:rPr>
      <w:rFonts w:ascii="Calibri" w:eastAsia="新細明體" w:hAnsi="Calibri"/>
      <w:sz w:val="24"/>
      <w:szCs w:val="22"/>
    </w:rPr>
  </w:style>
  <w:style w:type="paragraph" w:styleId="HTML">
    <w:name w:val="HTML Preformatted"/>
    <w:basedOn w:val="a8"/>
    <w:link w:val="HTML0"/>
    <w:rsid w:val="002F17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kern w:val="0"/>
      <w:sz w:val="20"/>
      <w:lang w:val="x-none" w:eastAsia="x-none"/>
    </w:rPr>
  </w:style>
  <w:style w:type="character" w:customStyle="1" w:styleId="HTML0">
    <w:name w:val="HTML 預設格式 字元"/>
    <w:basedOn w:val="a9"/>
    <w:link w:val="HTML"/>
    <w:uiPriority w:val="99"/>
    <w:rsid w:val="002F1716"/>
    <w:rPr>
      <w:rFonts w:ascii="細明體" w:eastAsia="細明體" w:hAnsi="Courier New"/>
      <w:lang w:val="x-none" w:eastAsia="x-none"/>
    </w:rPr>
  </w:style>
  <w:style w:type="paragraph" w:styleId="aff0">
    <w:name w:val="No Spacing"/>
    <w:uiPriority w:val="1"/>
    <w:qFormat/>
    <w:rsid w:val="00F46056"/>
    <w:pPr>
      <w:widowControl w:val="0"/>
      <w:overflowPunct w:val="0"/>
      <w:autoSpaceDE w:val="0"/>
      <w:autoSpaceDN w:val="0"/>
      <w:jc w:val="both"/>
    </w:pPr>
    <w:rPr>
      <w:rFonts w:ascii="標楷體" w:eastAsia="標楷體"/>
      <w:kern w:val="2"/>
      <w:sz w:val="32"/>
    </w:rPr>
  </w:style>
  <w:style w:type="paragraph" w:styleId="aff1">
    <w:name w:val="Body Text"/>
    <w:basedOn w:val="a8"/>
    <w:link w:val="aff2"/>
    <w:unhideWhenUsed/>
    <w:rsid w:val="00A25325"/>
    <w:pPr>
      <w:spacing w:after="120"/>
    </w:pPr>
  </w:style>
  <w:style w:type="character" w:customStyle="1" w:styleId="aff2">
    <w:name w:val="本文 字元"/>
    <w:basedOn w:val="a9"/>
    <w:link w:val="aff1"/>
    <w:rsid w:val="00A25325"/>
    <w:rPr>
      <w:rFonts w:ascii="標楷體" w:eastAsia="標楷體"/>
      <w:kern w:val="2"/>
      <w:sz w:val="32"/>
    </w:rPr>
  </w:style>
  <w:style w:type="paragraph" w:customStyle="1" w:styleId="cjk">
    <w:name w:val="cjk"/>
    <w:basedOn w:val="a8"/>
    <w:rsid w:val="00A25325"/>
    <w:pPr>
      <w:widowControl/>
      <w:overflowPunct/>
      <w:autoSpaceDE/>
      <w:autoSpaceDN/>
      <w:spacing w:before="100" w:beforeAutospacing="1" w:after="142" w:line="288" w:lineRule="auto"/>
      <w:jc w:val="left"/>
    </w:pPr>
    <w:rPr>
      <w:rFonts w:hAnsi="標楷體" w:cs="新細明體"/>
      <w:kern w:val="0"/>
      <w:szCs w:val="32"/>
    </w:rPr>
  </w:style>
  <w:style w:type="paragraph" w:styleId="aff3">
    <w:name w:val="Block Text"/>
    <w:basedOn w:val="a8"/>
    <w:rsid w:val="00A25325"/>
    <w:pPr>
      <w:suppressAutoHyphens/>
      <w:overflowPunct/>
      <w:autoSpaceDE/>
      <w:autoSpaceDN/>
      <w:snapToGrid w:val="0"/>
      <w:spacing w:line="560" w:lineRule="exact"/>
      <w:ind w:left="598" w:right="-29" w:hanging="598"/>
    </w:pPr>
    <w:rPr>
      <w:rFonts w:ascii="Times New Roman"/>
      <w:kern w:val="1"/>
    </w:rPr>
  </w:style>
  <w:style w:type="paragraph" w:customStyle="1" w:styleId="aff4">
    <w:name w:val="已先格式設定文字"/>
    <w:basedOn w:val="a8"/>
    <w:rsid w:val="00A25325"/>
    <w:pPr>
      <w:suppressAutoHyphens/>
      <w:overflowPunct/>
      <w:autoSpaceDE/>
      <w:autoSpaceDN/>
      <w:jc w:val="left"/>
    </w:pPr>
    <w:rPr>
      <w:rFonts w:ascii="Times New Roman" w:cs="Liberation Mono"/>
      <w:kern w:val="1"/>
      <w:sz w:val="28"/>
    </w:rPr>
  </w:style>
  <w:style w:type="paragraph" w:customStyle="1" w:styleId="aff5">
    <w:name w:val="速別"/>
    <w:basedOn w:val="a8"/>
    <w:rsid w:val="005A3038"/>
    <w:pPr>
      <w:overflowPunct/>
      <w:autoSpaceDE/>
      <w:autoSpaceDN/>
      <w:snapToGrid w:val="0"/>
      <w:spacing w:line="280" w:lineRule="exact"/>
      <w:jc w:val="left"/>
    </w:pPr>
    <w:rPr>
      <w:rFonts w:ascii="Times New Roman"/>
      <w:sz w:val="24"/>
    </w:rPr>
  </w:style>
  <w:style w:type="character" w:styleId="aff6">
    <w:name w:val="footnote reference"/>
    <w:aliases w:val="FR,Ref,de nota al pie,註腳內容,Error-Fußnotenzeichen5,Error-Fußnotenzeichen6,Error-Fußnotenzeichen3"/>
    <w:uiPriority w:val="99"/>
    <w:rsid w:val="003372F3"/>
    <w:rPr>
      <w:vertAlign w:val="superscript"/>
    </w:rPr>
  </w:style>
  <w:style w:type="paragraph" w:customStyle="1" w:styleId="a2">
    <w:name w:val="說明（１）"/>
    <w:basedOn w:val="a8"/>
    <w:rsid w:val="008F7AAA"/>
    <w:pPr>
      <w:numPr>
        <w:numId w:val="10"/>
      </w:numPr>
      <w:kinsoku w:val="0"/>
      <w:overflowPunct/>
      <w:spacing w:line="560" w:lineRule="exact"/>
      <w:ind w:left="2506" w:hanging="1088"/>
      <w:jc w:val="left"/>
    </w:pPr>
    <w:rPr>
      <w:rFonts w:ascii="Times New Roman"/>
      <w:kern w:val="0"/>
      <w:sz w:val="36"/>
    </w:rPr>
  </w:style>
  <w:style w:type="paragraph" w:styleId="aff7">
    <w:name w:val="footnote text"/>
    <w:basedOn w:val="a8"/>
    <w:link w:val="aff8"/>
    <w:uiPriority w:val="99"/>
    <w:semiHidden/>
    <w:unhideWhenUsed/>
    <w:rsid w:val="0018392E"/>
    <w:pPr>
      <w:snapToGrid w:val="0"/>
      <w:jc w:val="left"/>
    </w:pPr>
    <w:rPr>
      <w:sz w:val="20"/>
    </w:rPr>
  </w:style>
  <w:style w:type="character" w:customStyle="1" w:styleId="aff8">
    <w:name w:val="註腳文字 字元"/>
    <w:basedOn w:val="a9"/>
    <w:link w:val="aff7"/>
    <w:uiPriority w:val="99"/>
    <w:semiHidden/>
    <w:rsid w:val="0018392E"/>
    <w:rPr>
      <w:rFonts w:ascii="標楷體" w:eastAsia="標楷體"/>
      <w:kern w:val="2"/>
    </w:rPr>
  </w:style>
  <w:style w:type="paragraph" w:customStyle="1" w:styleId="canvas-atom">
    <w:name w:val="canvas-atom"/>
    <w:basedOn w:val="a8"/>
    <w:rsid w:val="00CA56D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9">
    <w:name w:val="Strong"/>
    <w:uiPriority w:val="22"/>
    <w:qFormat/>
    <w:rsid w:val="00CA56D5"/>
    <w:rPr>
      <w:b/>
      <w:bCs/>
    </w:rPr>
  </w:style>
  <w:style w:type="paragraph" w:customStyle="1" w:styleId="a7">
    <w:name w:val="分項段落"/>
    <w:basedOn w:val="a8"/>
    <w:rsid w:val="00154889"/>
    <w:pPr>
      <w:widowControl/>
      <w:numPr>
        <w:numId w:val="11"/>
      </w:numPr>
      <w:overflowPunct/>
      <w:autoSpaceDE/>
      <w:autoSpaceDN/>
      <w:snapToGrid w:val="0"/>
      <w:jc w:val="left"/>
      <w:textAlignment w:val="baseline"/>
    </w:pPr>
    <w:rPr>
      <w:rFonts w:ascii="Times New Roman"/>
      <w:noProof/>
      <w:kern w:val="0"/>
    </w:rPr>
  </w:style>
  <w:style w:type="paragraph" w:customStyle="1" w:styleId="141">
    <w:name w:val="第二層(14號字)"/>
    <w:link w:val="142"/>
    <w:rsid w:val="007C6C0D"/>
    <w:pPr>
      <w:spacing w:line="500" w:lineRule="exact"/>
      <w:ind w:left="200" w:hangingChars="200" w:hanging="200"/>
      <w:jc w:val="both"/>
    </w:pPr>
    <w:rPr>
      <w:rFonts w:ascii="標楷體" w:eastAsia="標楷體"/>
      <w:b/>
      <w:snapToGrid w:val="0"/>
      <w:kern w:val="2"/>
      <w:sz w:val="28"/>
    </w:rPr>
  </w:style>
  <w:style w:type="paragraph" w:customStyle="1" w:styleId="123">
    <w:name w:val="1.2.3."/>
    <w:basedOn w:val="a8"/>
    <w:link w:val="1230"/>
    <w:qFormat/>
    <w:rsid w:val="007C6C0D"/>
    <w:pPr>
      <w:overflowPunct/>
      <w:autoSpaceDE/>
      <w:autoSpaceDN/>
      <w:ind w:leftChars="300" w:left="1133" w:hangingChars="100" w:hanging="283"/>
    </w:pPr>
    <w:rPr>
      <w:rFonts w:hAnsi="標楷體" w:cs="標楷體"/>
      <w:snapToGrid w:val="0"/>
      <w:color w:val="000000"/>
      <w:sz w:val="28"/>
      <w:szCs w:val="28"/>
    </w:rPr>
  </w:style>
  <w:style w:type="character" w:customStyle="1" w:styleId="142">
    <w:name w:val="第二層(14號字) 字元"/>
    <w:link w:val="141"/>
    <w:rsid w:val="007C6C0D"/>
    <w:rPr>
      <w:rFonts w:ascii="標楷體" w:eastAsia="標楷體"/>
      <w:b/>
      <w:snapToGrid w:val="0"/>
      <w:kern w:val="2"/>
      <w:sz w:val="28"/>
    </w:rPr>
  </w:style>
  <w:style w:type="character" w:customStyle="1" w:styleId="1230">
    <w:name w:val="1.2.3. 字元"/>
    <w:link w:val="123"/>
    <w:rsid w:val="007C6C0D"/>
    <w:rPr>
      <w:rFonts w:ascii="標楷體" w:eastAsia="標楷體" w:hAnsi="標楷體" w:cs="標楷體"/>
      <w:snapToGrid w:val="0"/>
      <w:color w:val="000000"/>
      <w:kern w:val="2"/>
      <w:sz w:val="28"/>
      <w:szCs w:val="28"/>
    </w:rPr>
  </w:style>
  <w:style w:type="paragraph" w:customStyle="1" w:styleId="affa">
    <w:name w:val="(一)(二)(三)"/>
    <w:basedOn w:val="a8"/>
    <w:link w:val="affb"/>
    <w:qFormat/>
    <w:rsid w:val="007C6C0D"/>
    <w:pPr>
      <w:overflowPunct/>
      <w:autoSpaceDE/>
      <w:autoSpaceDN/>
      <w:spacing w:line="500" w:lineRule="exact"/>
      <w:ind w:leftChars="200" w:left="300" w:hangingChars="100" w:hanging="100"/>
    </w:pPr>
    <w:rPr>
      <w:snapToGrid w:val="0"/>
      <w:sz w:val="28"/>
      <w:szCs w:val="28"/>
    </w:rPr>
  </w:style>
  <w:style w:type="character" w:customStyle="1" w:styleId="affb">
    <w:name w:val="(一)(二)(三) 字元"/>
    <w:link w:val="affa"/>
    <w:rsid w:val="007C6C0D"/>
    <w:rPr>
      <w:rFonts w:ascii="標楷體" w:eastAsia="標楷體"/>
      <w:snapToGrid w:val="0"/>
      <w:kern w:val="2"/>
      <w:sz w:val="28"/>
      <w:szCs w:val="28"/>
    </w:rPr>
  </w:style>
  <w:style w:type="paragraph" w:customStyle="1" w:styleId="143">
    <w:name w:val="表格內文(14行高)"/>
    <w:basedOn w:val="af8"/>
    <w:link w:val="144"/>
    <w:qFormat/>
    <w:rsid w:val="007C6C0D"/>
    <w:pPr>
      <w:overflowPunct/>
      <w:autoSpaceDE/>
      <w:autoSpaceDN/>
      <w:spacing w:line="280" w:lineRule="exact"/>
      <w:ind w:left="0" w:firstLineChars="0" w:firstLine="0"/>
      <w:jc w:val="left"/>
    </w:pPr>
    <w:rPr>
      <w:snapToGrid w:val="0"/>
      <w:sz w:val="24"/>
      <w:szCs w:val="28"/>
    </w:rPr>
  </w:style>
  <w:style w:type="character" w:customStyle="1" w:styleId="144">
    <w:name w:val="表格內文(14行高) 字元"/>
    <w:link w:val="143"/>
    <w:rsid w:val="007C6C0D"/>
    <w:rPr>
      <w:rFonts w:ascii="標楷體" w:eastAsia="標楷體"/>
      <w:snapToGrid w:val="0"/>
      <w:kern w:val="2"/>
      <w:sz w:val="24"/>
      <w:szCs w:val="28"/>
    </w:rPr>
  </w:style>
  <w:style w:type="paragraph" w:customStyle="1" w:styleId="affc">
    <w:name w:val="一般項目符號"/>
    <w:basedOn w:val="a8"/>
    <w:next w:val="a8"/>
    <w:rsid w:val="008C427B"/>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paragraph" w:customStyle="1" w:styleId="affd">
    <w:name w:val="表格第一列(文字分散)"/>
    <w:basedOn w:val="a8"/>
    <w:next w:val="a8"/>
    <w:rsid w:val="008C427B"/>
    <w:pPr>
      <w:kinsoku w:val="0"/>
      <w:autoSpaceDE/>
      <w:autoSpaceDN/>
      <w:spacing w:line="315" w:lineRule="exact"/>
      <w:ind w:leftChars="50" w:left="50" w:rightChars="50" w:right="50"/>
      <w:jc w:val="distribute"/>
      <w:textAlignment w:val="center"/>
    </w:pPr>
    <w:rPr>
      <w:rFonts w:ascii="Times New Roman" w:eastAsia="華康細明體"/>
      <w:noProof/>
      <w:sz w:val="21"/>
      <w:szCs w:val="24"/>
    </w:rPr>
  </w:style>
  <w:style w:type="character" w:styleId="affe">
    <w:name w:val="Emphasis"/>
    <w:basedOn w:val="a9"/>
    <w:uiPriority w:val="20"/>
    <w:qFormat/>
    <w:rsid w:val="005A6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88851">
      <w:bodyDiv w:val="1"/>
      <w:marLeft w:val="0"/>
      <w:marRight w:val="0"/>
      <w:marTop w:val="0"/>
      <w:marBottom w:val="0"/>
      <w:divBdr>
        <w:top w:val="none" w:sz="0" w:space="0" w:color="auto"/>
        <w:left w:val="none" w:sz="0" w:space="0" w:color="auto"/>
        <w:bottom w:val="none" w:sz="0" w:space="0" w:color="auto"/>
        <w:right w:val="none" w:sz="0" w:space="0" w:color="auto"/>
      </w:divBdr>
    </w:div>
    <w:div w:id="65237384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1937423">
      <w:bodyDiv w:val="1"/>
      <w:marLeft w:val="0"/>
      <w:marRight w:val="0"/>
      <w:marTop w:val="0"/>
      <w:marBottom w:val="0"/>
      <w:divBdr>
        <w:top w:val="none" w:sz="0" w:space="0" w:color="auto"/>
        <w:left w:val="none" w:sz="0" w:space="0" w:color="auto"/>
        <w:bottom w:val="none" w:sz="0" w:space="0" w:color="auto"/>
        <w:right w:val="none" w:sz="0" w:space="0" w:color="auto"/>
      </w:divBdr>
    </w:div>
    <w:div w:id="1067529404">
      <w:bodyDiv w:val="1"/>
      <w:marLeft w:val="0"/>
      <w:marRight w:val="0"/>
      <w:marTop w:val="0"/>
      <w:marBottom w:val="0"/>
      <w:divBdr>
        <w:top w:val="none" w:sz="0" w:space="0" w:color="auto"/>
        <w:left w:val="none" w:sz="0" w:space="0" w:color="auto"/>
        <w:bottom w:val="none" w:sz="0" w:space="0" w:color="auto"/>
        <w:right w:val="none" w:sz="0" w:space="0" w:color="auto"/>
      </w:divBdr>
    </w:div>
    <w:div w:id="1261059996">
      <w:bodyDiv w:val="1"/>
      <w:marLeft w:val="0"/>
      <w:marRight w:val="0"/>
      <w:marTop w:val="0"/>
      <w:marBottom w:val="0"/>
      <w:divBdr>
        <w:top w:val="none" w:sz="0" w:space="0" w:color="auto"/>
        <w:left w:val="none" w:sz="0" w:space="0" w:color="auto"/>
        <w:bottom w:val="none" w:sz="0" w:space="0" w:color="auto"/>
        <w:right w:val="none" w:sz="0" w:space="0" w:color="auto"/>
      </w:divBdr>
    </w:div>
    <w:div w:id="1426152482">
      <w:bodyDiv w:val="1"/>
      <w:marLeft w:val="0"/>
      <w:marRight w:val="0"/>
      <w:marTop w:val="0"/>
      <w:marBottom w:val="0"/>
      <w:divBdr>
        <w:top w:val="none" w:sz="0" w:space="0" w:color="auto"/>
        <w:left w:val="none" w:sz="0" w:space="0" w:color="auto"/>
        <w:bottom w:val="none" w:sz="0" w:space="0" w:color="auto"/>
        <w:right w:val="none" w:sz="0" w:space="0" w:color="auto"/>
      </w:divBdr>
    </w:div>
    <w:div w:id="1583222175">
      <w:bodyDiv w:val="1"/>
      <w:marLeft w:val="0"/>
      <w:marRight w:val="0"/>
      <w:marTop w:val="0"/>
      <w:marBottom w:val="0"/>
      <w:divBdr>
        <w:top w:val="none" w:sz="0" w:space="0" w:color="auto"/>
        <w:left w:val="none" w:sz="0" w:space="0" w:color="auto"/>
        <w:bottom w:val="none" w:sz="0" w:space="0" w:color="auto"/>
        <w:right w:val="none" w:sz="0" w:space="0" w:color="auto"/>
      </w:divBdr>
    </w:div>
    <w:div w:id="1672567517">
      <w:bodyDiv w:val="1"/>
      <w:marLeft w:val="0"/>
      <w:marRight w:val="0"/>
      <w:marTop w:val="0"/>
      <w:marBottom w:val="0"/>
      <w:divBdr>
        <w:top w:val="none" w:sz="0" w:space="0" w:color="auto"/>
        <w:left w:val="none" w:sz="0" w:space="0" w:color="auto"/>
        <w:bottom w:val="none" w:sz="0" w:space="0" w:color="auto"/>
        <w:right w:val="none" w:sz="0" w:space="0" w:color="auto"/>
      </w:divBdr>
    </w:div>
    <w:div w:id="1804272361">
      <w:bodyDiv w:val="1"/>
      <w:marLeft w:val="0"/>
      <w:marRight w:val="0"/>
      <w:marTop w:val="0"/>
      <w:marBottom w:val="0"/>
      <w:divBdr>
        <w:top w:val="none" w:sz="0" w:space="0" w:color="auto"/>
        <w:left w:val="none" w:sz="0" w:space="0" w:color="auto"/>
        <w:bottom w:val="none" w:sz="0" w:space="0" w:color="auto"/>
        <w:right w:val="none" w:sz="0" w:space="0" w:color="auto"/>
      </w:divBdr>
    </w:div>
    <w:div w:id="20700335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1624-6E32-4193-B427-9B725BD6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35</Pages>
  <Words>3705</Words>
  <Characters>21123</Characters>
  <Application>Microsoft Office Word</Application>
  <DocSecurity>0</DocSecurity>
  <Lines>176</Lines>
  <Paragraphs>49</Paragraphs>
  <ScaleCrop>false</ScaleCrop>
  <Company>cy</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6</cp:revision>
  <cp:lastPrinted>2022-03-03T06:25:00Z</cp:lastPrinted>
  <dcterms:created xsi:type="dcterms:W3CDTF">2022-05-10T02:57:00Z</dcterms:created>
  <dcterms:modified xsi:type="dcterms:W3CDTF">2022-05-10T07:31:00Z</dcterms:modified>
</cp:coreProperties>
</file>