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74B" w:rsidRDefault="007A29E3" w:rsidP="001D374B">
      <w:pPr>
        <w:pStyle w:val="af3"/>
      </w:pPr>
      <w:bookmarkStart w:id="0" w:name="_Toc525070834"/>
      <w:bookmarkStart w:id="1" w:name="_Toc525938374"/>
      <w:bookmarkStart w:id="2" w:name="_Toc525939222"/>
      <w:bookmarkStart w:id="3" w:name="_Toc525939727"/>
      <w:bookmarkStart w:id="4" w:name="_Toc525066144"/>
      <w:bookmarkStart w:id="5" w:name="_Toc524892372"/>
      <w:r w:rsidRPr="006A2281">
        <w:rPr>
          <w:rFonts w:hint="eastAsia"/>
        </w:rPr>
        <w:t>調查</w:t>
      </w:r>
      <w:r w:rsidR="0049551E">
        <w:rPr>
          <w:rFonts w:hint="eastAsia"/>
        </w:rPr>
        <w:t>報告</w:t>
      </w:r>
    </w:p>
    <w:p w:rsidR="006F6812" w:rsidRPr="006A2281" w:rsidRDefault="006F6812" w:rsidP="001672F3">
      <w:pPr>
        <w:pStyle w:val="1"/>
      </w:pPr>
      <w:bookmarkStart w:id="6" w:name="_Toc524895641"/>
      <w:bookmarkStart w:id="7" w:name="_Toc524896187"/>
      <w:bookmarkStart w:id="8" w:name="_Toc524896217"/>
      <w:bookmarkStart w:id="9" w:name="_Toc525066142"/>
      <w:bookmarkStart w:id="10" w:name="_Toc4316182"/>
      <w:bookmarkStart w:id="11" w:name="_Toc4473323"/>
      <w:bookmarkStart w:id="12" w:name="_Toc69556890"/>
      <w:bookmarkStart w:id="13" w:name="_Toc69556939"/>
      <w:bookmarkStart w:id="14" w:name="_Toc69609813"/>
      <w:bookmarkStart w:id="15" w:name="_Toc70241809"/>
      <w:bookmarkStart w:id="16" w:name="_Toc524892368"/>
      <w:bookmarkStart w:id="17" w:name="_Toc524895638"/>
      <w:bookmarkStart w:id="18" w:name="_Toc524896184"/>
      <w:bookmarkStart w:id="19" w:name="_Toc524896214"/>
      <w:bookmarkStart w:id="20" w:name="_Toc524902720"/>
      <w:bookmarkStart w:id="21" w:name="_Toc525066139"/>
      <w:bookmarkStart w:id="22" w:name="_Toc525070829"/>
      <w:bookmarkStart w:id="23" w:name="_Toc525938369"/>
      <w:bookmarkStart w:id="24" w:name="_Toc525939217"/>
      <w:bookmarkStart w:id="25" w:name="_Toc525939722"/>
      <w:bookmarkStart w:id="26" w:name="_Toc421794865"/>
      <w:bookmarkStart w:id="27" w:name="_Toc422834150"/>
      <w:bookmarkStart w:id="28" w:name="_Toc529218256"/>
      <w:bookmarkStart w:id="29" w:name="_Toc529222679"/>
      <w:bookmarkStart w:id="30" w:name="_Toc529223101"/>
      <w:bookmarkStart w:id="31" w:name="_Toc529223852"/>
      <w:bookmarkStart w:id="32" w:name="_Toc529228248"/>
      <w:bookmarkStart w:id="33" w:name="_Toc2400384"/>
      <w:bookmarkStart w:id="34" w:name="_Toc4316179"/>
      <w:bookmarkStart w:id="35" w:name="_Toc4473320"/>
      <w:bookmarkStart w:id="36" w:name="_Toc69556887"/>
      <w:bookmarkStart w:id="37" w:name="_Toc69556936"/>
      <w:bookmarkStart w:id="38" w:name="_Toc69609810"/>
      <w:bookmarkStart w:id="39" w:name="_Toc70241806"/>
      <w:bookmarkStart w:id="40" w:name="_Toc70242195"/>
      <w:bookmarkStart w:id="41" w:name="_Toc524892371"/>
      <w:bookmarkStart w:id="42" w:name="_Toc524895642"/>
      <w:bookmarkStart w:id="43" w:name="_Toc524896188"/>
      <w:bookmarkStart w:id="44" w:name="_Toc524896218"/>
      <w:bookmarkStart w:id="45" w:name="_Toc524902724"/>
      <w:bookmarkStart w:id="46" w:name="_Toc525066143"/>
      <w:bookmarkStart w:id="47" w:name="_Toc525070833"/>
      <w:bookmarkStart w:id="48" w:name="_Toc525938373"/>
      <w:bookmarkStart w:id="49" w:name="_Toc525939221"/>
      <w:bookmarkStart w:id="50" w:name="_Toc525939726"/>
      <w:bookmarkStart w:id="51" w:name="_Toc529218260"/>
      <w:bookmarkStart w:id="52" w:name="_Toc529222683"/>
      <w:bookmarkStart w:id="53" w:name="_Toc529223105"/>
      <w:bookmarkStart w:id="54" w:name="_Toc529223856"/>
      <w:bookmarkStart w:id="55" w:name="_Toc529228252"/>
      <w:bookmarkStart w:id="56" w:name="_Toc2400389"/>
      <w:bookmarkStart w:id="57" w:name="_Toc4316183"/>
      <w:bookmarkStart w:id="58" w:name="_Toc4473324"/>
      <w:bookmarkStart w:id="59" w:name="_Toc69556891"/>
      <w:bookmarkStart w:id="60" w:name="_Toc69556940"/>
      <w:bookmarkStart w:id="61" w:name="_Toc69609814"/>
      <w:bookmarkStart w:id="62" w:name="_Toc70241810"/>
      <w:bookmarkStart w:id="63" w:name="_Toc70242199"/>
      <w:bookmarkStart w:id="64" w:name="_Toc421794869"/>
      <w:bookmarkStart w:id="65" w:name="_Toc422834154"/>
      <w:bookmarkEnd w:id="6"/>
      <w:bookmarkEnd w:id="7"/>
      <w:bookmarkEnd w:id="8"/>
      <w:bookmarkEnd w:id="9"/>
      <w:bookmarkEnd w:id="10"/>
      <w:bookmarkEnd w:id="11"/>
      <w:bookmarkEnd w:id="12"/>
      <w:bookmarkEnd w:id="13"/>
      <w:bookmarkEnd w:id="14"/>
      <w:bookmarkEnd w:id="15"/>
      <w:r w:rsidRPr="006A2281">
        <w:rPr>
          <w:rFonts w:hint="eastAsia"/>
        </w:rPr>
        <w:t>案　　由：</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4975C9" w:rsidRPr="004975C9">
        <w:rPr>
          <w:rFonts w:hint="eastAsia"/>
          <w:szCs w:val="32"/>
        </w:rPr>
        <w:t>法務部調查局高雄市調查處機動站緝毒組</w:t>
      </w:r>
      <w:r w:rsidR="00D94C6B" w:rsidRPr="004975C9">
        <w:rPr>
          <w:rFonts w:hint="eastAsia"/>
          <w:szCs w:val="32"/>
        </w:rPr>
        <w:t>蔡</w:t>
      </w:r>
      <w:r w:rsidR="004975C9" w:rsidRPr="004975C9">
        <w:rPr>
          <w:rFonts w:hint="eastAsia"/>
          <w:szCs w:val="32"/>
        </w:rPr>
        <w:t>組長，涉嫌</w:t>
      </w:r>
      <w:r w:rsidR="004053F1" w:rsidRPr="00686B8A">
        <w:rPr>
          <w:rFonts w:hint="eastAsia"/>
          <w:szCs w:val="32"/>
        </w:rPr>
        <w:t>貪污治罪條例</w:t>
      </w:r>
      <w:r w:rsidR="004975C9" w:rsidRPr="004975C9">
        <w:rPr>
          <w:rFonts w:hint="eastAsia"/>
          <w:szCs w:val="32"/>
        </w:rPr>
        <w:t>案件，雖經法院判決無罪及不受懲戒，惟現行實務上，檢調機關偵辦緝毒案件之方式，實與辦案績效、查獲獎金制度等問題息息相關，致生諸多弊端等情案</w:t>
      </w:r>
      <w:r w:rsidR="001672F3" w:rsidRPr="006A2281">
        <w:rPr>
          <w:rFonts w:ascii="新細明體" w:eastAsia="新細明體" w:hAnsi="新細明體" w:hint="eastAsia"/>
          <w:szCs w:val="32"/>
        </w:rPr>
        <w:t>。</w:t>
      </w:r>
    </w:p>
    <w:p w:rsidR="00D10838" w:rsidRPr="00D94C6B" w:rsidRDefault="00D10838" w:rsidP="00D10838">
      <w:pPr>
        <w:numPr>
          <w:ilvl w:val="0"/>
          <w:numId w:val="1"/>
        </w:numPr>
        <w:outlineLvl w:val="0"/>
        <w:rPr>
          <w:rFonts w:hAnsi="Arial"/>
          <w:bCs/>
          <w:kern w:val="32"/>
          <w:szCs w:val="52"/>
        </w:rPr>
      </w:pP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bookmarkEnd w:id="0"/>
      <w:bookmarkEnd w:id="1"/>
      <w:bookmarkEnd w:id="2"/>
      <w:bookmarkEnd w:id="3"/>
      <w:bookmarkEnd w:id="4"/>
      <w:bookmarkEnd w:id="5"/>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D94C6B">
        <w:rPr>
          <w:rFonts w:hAnsi="Arial" w:hint="eastAsia"/>
          <w:bCs/>
          <w:kern w:val="32"/>
          <w:szCs w:val="52"/>
        </w:rPr>
        <w:t xml:space="preserve">調查意見： </w:t>
      </w:r>
    </w:p>
    <w:p w:rsidR="00D10838" w:rsidRPr="00D10838" w:rsidRDefault="00D10838" w:rsidP="00D10838">
      <w:pPr>
        <w:ind w:left="714" w:firstLineChars="207" w:firstLine="704"/>
        <w:outlineLvl w:val="1"/>
        <w:rPr>
          <w:rFonts w:hAnsi="Arial"/>
          <w:bCs/>
          <w:kern w:val="32"/>
          <w:szCs w:val="48"/>
        </w:rPr>
      </w:pPr>
      <w:r>
        <w:rPr>
          <w:rFonts w:hint="eastAsia"/>
          <w:szCs w:val="32"/>
        </w:rPr>
        <w:t>緣</w:t>
      </w:r>
      <w:r w:rsidRPr="00C27B18">
        <w:rPr>
          <w:rFonts w:hint="eastAsia"/>
          <w:szCs w:val="32"/>
        </w:rPr>
        <w:t>法務部調查局</w:t>
      </w:r>
      <w:r>
        <w:rPr>
          <w:rFonts w:hint="eastAsia"/>
          <w:szCs w:val="32"/>
        </w:rPr>
        <w:t>(下稱調查局)</w:t>
      </w:r>
      <w:r w:rsidRPr="00C27B18">
        <w:rPr>
          <w:rFonts w:hint="eastAsia"/>
          <w:szCs w:val="32"/>
        </w:rPr>
        <w:t>高雄市調查處</w:t>
      </w:r>
      <w:r>
        <w:rPr>
          <w:rFonts w:hint="eastAsia"/>
          <w:szCs w:val="32"/>
        </w:rPr>
        <w:t>(下稱高雄市調處)</w:t>
      </w:r>
      <w:r w:rsidRPr="00C27B18">
        <w:rPr>
          <w:rFonts w:hint="eastAsia"/>
          <w:szCs w:val="32"/>
        </w:rPr>
        <w:t>機動</w:t>
      </w:r>
      <w:r>
        <w:rPr>
          <w:rFonts w:hint="eastAsia"/>
          <w:szCs w:val="32"/>
        </w:rPr>
        <w:t>工作</w:t>
      </w:r>
      <w:r w:rsidRPr="00C27B18">
        <w:rPr>
          <w:rFonts w:hint="eastAsia"/>
          <w:szCs w:val="32"/>
        </w:rPr>
        <w:t>站緝毒組</w:t>
      </w:r>
      <w:r>
        <w:rPr>
          <w:rFonts w:hint="eastAsia"/>
          <w:szCs w:val="32"/>
        </w:rPr>
        <w:t>(下稱緝毒組)</w:t>
      </w:r>
      <w:r w:rsidRPr="00C27B18">
        <w:rPr>
          <w:rFonts w:hint="eastAsia"/>
          <w:szCs w:val="32"/>
        </w:rPr>
        <w:t>蔡組長</w:t>
      </w:r>
      <w:r>
        <w:rPr>
          <w:rFonts w:hint="eastAsia"/>
          <w:szCs w:val="32"/>
        </w:rPr>
        <w:t>(下稱蔡員)</w:t>
      </w:r>
      <w:r w:rsidR="00A670C0">
        <w:rPr>
          <w:rFonts w:hAnsi="標楷體" w:hint="eastAsia"/>
          <w:szCs w:val="32"/>
        </w:rPr>
        <w:t>，</w:t>
      </w:r>
      <w:r w:rsidR="0089758F">
        <w:rPr>
          <w:rFonts w:hint="eastAsia"/>
          <w:szCs w:val="32"/>
        </w:rPr>
        <w:t>被檢舉</w:t>
      </w:r>
      <w:r w:rsidRPr="00C27B18">
        <w:rPr>
          <w:rFonts w:hint="eastAsia"/>
          <w:szCs w:val="32"/>
        </w:rPr>
        <w:t>於</w:t>
      </w:r>
      <w:r>
        <w:rPr>
          <w:rFonts w:hint="eastAsia"/>
          <w:szCs w:val="32"/>
        </w:rPr>
        <w:t>民國(下同)</w:t>
      </w:r>
      <w:r w:rsidRPr="00C27B18">
        <w:rPr>
          <w:rFonts w:hint="eastAsia"/>
          <w:szCs w:val="32"/>
        </w:rPr>
        <w:t>104年4月間破獲曾</w:t>
      </w:r>
      <w:r>
        <w:rPr>
          <w:rFonts w:hint="eastAsia"/>
          <w:szCs w:val="32"/>
        </w:rPr>
        <w:t>姓男子(下稱曾男)</w:t>
      </w:r>
      <w:r w:rsidRPr="00C27B18">
        <w:rPr>
          <w:rFonts w:hint="eastAsia"/>
          <w:szCs w:val="32"/>
        </w:rPr>
        <w:t>運輸70公斤</w:t>
      </w:r>
      <w:r w:rsidR="0089758F">
        <w:rPr>
          <w:rFonts w:hint="eastAsia"/>
          <w:szCs w:val="32"/>
        </w:rPr>
        <w:t>第二級毒品</w:t>
      </w:r>
      <w:r>
        <w:rPr>
          <w:rFonts w:hint="eastAsia"/>
          <w:szCs w:val="32"/>
        </w:rPr>
        <w:t>甲基安非他命</w:t>
      </w:r>
      <w:r w:rsidRPr="00C27B18">
        <w:rPr>
          <w:rFonts w:hint="eastAsia"/>
          <w:szCs w:val="32"/>
        </w:rPr>
        <w:t>案(下稱曾</w:t>
      </w:r>
      <w:r>
        <w:rPr>
          <w:rFonts w:hint="eastAsia"/>
          <w:szCs w:val="32"/>
        </w:rPr>
        <w:t>男</w:t>
      </w:r>
      <w:r w:rsidRPr="00C27B18">
        <w:rPr>
          <w:rFonts w:hint="eastAsia"/>
          <w:szCs w:val="32"/>
        </w:rPr>
        <w:t>運毒案)，明知該案係游</w:t>
      </w:r>
      <w:r>
        <w:rPr>
          <w:rFonts w:hint="eastAsia"/>
          <w:szCs w:val="32"/>
        </w:rPr>
        <w:t>姓男子(下稱游男)</w:t>
      </w:r>
      <w:r w:rsidRPr="00C27B18">
        <w:rPr>
          <w:rFonts w:hint="eastAsia"/>
          <w:szCs w:val="32"/>
        </w:rPr>
        <w:t>為換取</w:t>
      </w:r>
      <w:r w:rsidR="001C1789">
        <w:rPr>
          <w:rFonts w:hint="eastAsia"/>
          <w:szCs w:val="32"/>
        </w:rPr>
        <w:t>其另涉嫌運輸愷他命毒品案(下稱前案)之</w:t>
      </w:r>
      <w:r w:rsidRPr="00C27B18">
        <w:rPr>
          <w:rFonts w:hint="eastAsia"/>
          <w:szCs w:val="32"/>
        </w:rPr>
        <w:t>減</w:t>
      </w:r>
      <w:r w:rsidR="0089758F">
        <w:rPr>
          <w:rFonts w:hint="eastAsia"/>
          <w:szCs w:val="32"/>
        </w:rPr>
        <w:t>免</w:t>
      </w:r>
      <w:r w:rsidRPr="00C27B18">
        <w:rPr>
          <w:rFonts w:hint="eastAsia"/>
          <w:szCs w:val="32"/>
        </w:rPr>
        <w:t>刑</w:t>
      </w:r>
      <w:r w:rsidR="0089758F">
        <w:rPr>
          <w:rFonts w:hint="eastAsia"/>
          <w:szCs w:val="32"/>
        </w:rPr>
        <w:t>責</w:t>
      </w:r>
      <w:r w:rsidRPr="00C27B18">
        <w:rPr>
          <w:rFonts w:hint="eastAsia"/>
          <w:szCs w:val="32"/>
        </w:rPr>
        <w:t>而主導安排之運毒案件，竟仍配合依游</w:t>
      </w:r>
      <w:r>
        <w:rPr>
          <w:rFonts w:hint="eastAsia"/>
          <w:szCs w:val="32"/>
        </w:rPr>
        <w:t>男</w:t>
      </w:r>
      <w:r w:rsidRPr="00C27B18">
        <w:rPr>
          <w:rFonts w:hint="eastAsia"/>
          <w:szCs w:val="32"/>
        </w:rPr>
        <w:t>布置之計畫調查，亦未追查游</w:t>
      </w:r>
      <w:r>
        <w:rPr>
          <w:rFonts w:hint="eastAsia"/>
          <w:szCs w:val="32"/>
        </w:rPr>
        <w:t>男</w:t>
      </w:r>
      <w:r w:rsidRPr="00C27B18">
        <w:rPr>
          <w:rFonts w:hint="eastAsia"/>
          <w:szCs w:val="32"/>
        </w:rPr>
        <w:t>在曾</w:t>
      </w:r>
      <w:r>
        <w:rPr>
          <w:rFonts w:hint="eastAsia"/>
          <w:szCs w:val="32"/>
        </w:rPr>
        <w:t>男</w:t>
      </w:r>
      <w:r w:rsidRPr="00C27B18">
        <w:rPr>
          <w:rFonts w:hint="eastAsia"/>
          <w:szCs w:val="32"/>
        </w:rPr>
        <w:t>運毒案之罪嫌，反讓游</w:t>
      </w:r>
      <w:r>
        <w:rPr>
          <w:rFonts w:hint="eastAsia"/>
          <w:szCs w:val="32"/>
        </w:rPr>
        <w:t>男</w:t>
      </w:r>
      <w:r w:rsidRPr="00C27B18">
        <w:rPr>
          <w:rFonts w:hint="eastAsia"/>
          <w:szCs w:val="32"/>
        </w:rPr>
        <w:t>在前案獲得免刑優惠，並申請查獲獎金，經臺灣高雄地方檢察署</w:t>
      </w:r>
      <w:r>
        <w:rPr>
          <w:rFonts w:hint="eastAsia"/>
          <w:szCs w:val="32"/>
        </w:rPr>
        <w:t>(</w:t>
      </w:r>
      <w:r w:rsidRPr="00C27B18">
        <w:rPr>
          <w:rFonts w:hint="eastAsia"/>
          <w:szCs w:val="32"/>
        </w:rPr>
        <w:t>下稱高雄地檢署</w:t>
      </w:r>
      <w:r>
        <w:rPr>
          <w:rFonts w:hint="eastAsia"/>
          <w:szCs w:val="32"/>
        </w:rPr>
        <w:t>)於105年8月間</w:t>
      </w:r>
      <w:r w:rsidRPr="00C27B18">
        <w:rPr>
          <w:rFonts w:hint="eastAsia"/>
          <w:szCs w:val="32"/>
        </w:rPr>
        <w:t>以</w:t>
      </w:r>
      <w:r>
        <w:rPr>
          <w:rFonts w:hint="eastAsia"/>
          <w:szCs w:val="32"/>
        </w:rPr>
        <w:t>其</w:t>
      </w:r>
      <w:r w:rsidRPr="00C27B18">
        <w:rPr>
          <w:rFonts w:hint="eastAsia"/>
          <w:szCs w:val="32"/>
        </w:rPr>
        <w:t>涉及利用職務上機會詐取財物未遂罪嫌起訴。</w:t>
      </w:r>
      <w:r w:rsidRPr="008C6BF1">
        <w:rPr>
          <w:rFonts w:hint="eastAsia"/>
          <w:szCs w:val="32"/>
        </w:rPr>
        <w:t>蔡員所涉上開刑事案件</w:t>
      </w:r>
      <w:r>
        <w:rPr>
          <w:rFonts w:hint="eastAsia"/>
          <w:szCs w:val="32"/>
        </w:rPr>
        <w:t>雖經</w:t>
      </w:r>
      <w:r w:rsidRPr="008C6BF1">
        <w:rPr>
          <w:rFonts w:hint="eastAsia"/>
          <w:szCs w:val="32"/>
        </w:rPr>
        <w:t>最高法院</w:t>
      </w:r>
      <w:r>
        <w:rPr>
          <w:rFonts w:hint="eastAsia"/>
          <w:szCs w:val="32"/>
        </w:rPr>
        <w:t>於109年10月7日</w:t>
      </w:r>
      <w:r w:rsidRPr="008C6BF1">
        <w:rPr>
          <w:rFonts w:hint="eastAsia"/>
          <w:szCs w:val="32"/>
        </w:rPr>
        <w:t>以109年度台上字第4749號判決</w:t>
      </w:r>
      <w:r>
        <w:rPr>
          <w:rFonts w:hint="eastAsia"/>
          <w:szCs w:val="32"/>
        </w:rPr>
        <w:t>無罪確定</w:t>
      </w:r>
      <w:r>
        <w:rPr>
          <w:rFonts w:hAnsi="標楷體" w:hint="eastAsia"/>
          <w:szCs w:val="32"/>
        </w:rPr>
        <w:t>，</w:t>
      </w:r>
      <w:r w:rsidRPr="008C6BF1">
        <w:rPr>
          <w:rFonts w:hint="eastAsia"/>
          <w:szCs w:val="32"/>
        </w:rPr>
        <w:t>行政責任部分</w:t>
      </w:r>
      <w:r>
        <w:rPr>
          <w:rFonts w:hint="eastAsia"/>
          <w:szCs w:val="32"/>
        </w:rPr>
        <w:t>亦</w:t>
      </w:r>
      <w:r w:rsidRPr="008C6BF1">
        <w:rPr>
          <w:rFonts w:hint="eastAsia"/>
          <w:szCs w:val="32"/>
        </w:rPr>
        <w:t>經懲戒法院</w:t>
      </w:r>
      <w:r>
        <w:rPr>
          <w:rFonts w:hint="eastAsia"/>
          <w:szCs w:val="32"/>
        </w:rPr>
        <w:t>於同</w:t>
      </w:r>
      <w:r w:rsidRPr="008C6BF1">
        <w:rPr>
          <w:rFonts w:hint="eastAsia"/>
          <w:szCs w:val="32"/>
        </w:rPr>
        <w:t>月</w:t>
      </w:r>
      <w:r>
        <w:rPr>
          <w:rFonts w:hint="eastAsia"/>
          <w:szCs w:val="32"/>
        </w:rPr>
        <w:t>28</w:t>
      </w:r>
      <w:r w:rsidRPr="008C6BF1">
        <w:rPr>
          <w:rFonts w:hint="eastAsia"/>
          <w:szCs w:val="32"/>
        </w:rPr>
        <w:t>日</w:t>
      </w:r>
      <w:r>
        <w:rPr>
          <w:rFonts w:hint="eastAsia"/>
          <w:szCs w:val="32"/>
        </w:rPr>
        <w:t>以</w:t>
      </w:r>
      <w:r w:rsidRPr="008C6BF1">
        <w:rPr>
          <w:rFonts w:hint="eastAsia"/>
          <w:szCs w:val="32"/>
        </w:rPr>
        <w:t>105年度清字第12828號判決不受懲戒</w:t>
      </w:r>
      <w:r>
        <w:rPr>
          <w:rFonts w:hAnsi="標楷體" w:hint="eastAsia"/>
          <w:szCs w:val="32"/>
        </w:rPr>
        <w:t>，</w:t>
      </w:r>
      <w:r w:rsidRPr="008C6BF1">
        <w:rPr>
          <w:rFonts w:hint="eastAsia"/>
          <w:szCs w:val="32"/>
        </w:rPr>
        <w:t>惟現行實務上，檢調機關偵辦緝毒案件之方式，實與辦案績效、查獲獎金制度等問題息息相關。究現今以辦案績效及查獲獎金為誘因增加檢調人員偵辦緝毒案件之動機是否妥適？應如何避免檢調機關為追求績效而與檢舉人等涉</w:t>
      </w:r>
      <w:r w:rsidR="0070788D">
        <w:rPr>
          <w:rFonts w:hint="eastAsia"/>
          <w:szCs w:val="32"/>
        </w:rPr>
        <w:t>有</w:t>
      </w:r>
      <w:r w:rsidRPr="008C6BF1">
        <w:rPr>
          <w:rFonts w:hint="eastAsia"/>
          <w:szCs w:val="32"/>
        </w:rPr>
        <w:t>利益交換？又如何敦促</w:t>
      </w:r>
      <w:r>
        <w:rPr>
          <w:rFonts w:hint="eastAsia"/>
          <w:szCs w:val="32"/>
        </w:rPr>
        <w:t>檢</w:t>
      </w:r>
      <w:r w:rsidRPr="008C6BF1">
        <w:rPr>
          <w:rFonts w:hint="eastAsia"/>
          <w:szCs w:val="32"/>
        </w:rPr>
        <w:t>調人員於合法前提下與檢舉人間維持正當關係</w:t>
      </w:r>
      <w:r>
        <w:rPr>
          <w:rFonts w:hint="eastAsia"/>
          <w:szCs w:val="32"/>
        </w:rPr>
        <w:t>以</w:t>
      </w:r>
      <w:r w:rsidRPr="008C6BF1">
        <w:rPr>
          <w:rFonts w:hint="eastAsia"/>
          <w:szCs w:val="32"/>
        </w:rPr>
        <w:t>避免產生誤解等問題，</w:t>
      </w:r>
      <w:r w:rsidRPr="006A2281">
        <w:rPr>
          <w:rFonts w:hint="eastAsia"/>
          <w:szCs w:val="32"/>
        </w:rPr>
        <w:t>有</w:t>
      </w:r>
      <w:r w:rsidRPr="006A2281">
        <w:rPr>
          <w:rFonts w:hint="eastAsia"/>
          <w:szCs w:val="32"/>
        </w:rPr>
        <w:lastRenderedPageBreak/>
        <w:t>立案調查</w:t>
      </w:r>
      <w:r>
        <w:rPr>
          <w:rFonts w:hint="eastAsia"/>
          <w:szCs w:val="32"/>
        </w:rPr>
        <w:t>釐清</w:t>
      </w:r>
      <w:r w:rsidRPr="006A2281">
        <w:rPr>
          <w:rFonts w:hint="eastAsia"/>
          <w:szCs w:val="32"/>
        </w:rPr>
        <w:t>之必要</w:t>
      </w:r>
      <w:r w:rsidRPr="006A2281">
        <w:rPr>
          <w:rFonts w:ascii="新細明體" w:eastAsia="新細明體" w:hAnsi="新細明體" w:hint="eastAsia"/>
          <w:szCs w:val="32"/>
        </w:rPr>
        <w:t>。</w:t>
      </w:r>
      <w:r w:rsidRPr="006A2281">
        <w:rPr>
          <w:rFonts w:hint="eastAsia"/>
          <w:szCs w:val="32"/>
        </w:rPr>
        <w:t>案</w:t>
      </w:r>
      <w:r w:rsidRPr="006A2281">
        <w:rPr>
          <w:rFonts w:hint="eastAsia"/>
        </w:rPr>
        <w:t>經</w:t>
      </w:r>
      <w:r>
        <w:rPr>
          <w:rFonts w:hint="eastAsia"/>
        </w:rPr>
        <w:t>法務部</w:t>
      </w:r>
      <w:r w:rsidRPr="006A2281">
        <w:rPr>
          <w:rStyle w:val="afd"/>
        </w:rPr>
        <w:footnoteReference w:id="1"/>
      </w:r>
      <w:r w:rsidRPr="006A2281">
        <w:rPr>
          <w:rFonts w:hint="eastAsia"/>
        </w:rPr>
        <w:t>函復相關資料</w:t>
      </w:r>
      <w:r>
        <w:rPr>
          <w:rFonts w:hAnsi="標楷體" w:hint="eastAsia"/>
        </w:rPr>
        <w:t>，</w:t>
      </w:r>
      <w:r w:rsidRPr="006A2281">
        <w:rPr>
          <w:rFonts w:hint="eastAsia"/>
        </w:rPr>
        <w:t>已完成調查，</w:t>
      </w:r>
      <w:r w:rsidRPr="00D10838">
        <w:rPr>
          <w:rFonts w:hAnsi="Arial" w:hint="eastAsia"/>
          <w:bCs/>
          <w:kern w:val="32"/>
          <w:szCs w:val="48"/>
        </w:rPr>
        <w:t>綜整調查意見如下：</w:t>
      </w:r>
    </w:p>
    <w:p w:rsidR="00D10838" w:rsidRPr="007C098B" w:rsidRDefault="00001C7A" w:rsidP="009F4790">
      <w:pPr>
        <w:pStyle w:val="2"/>
      </w:pPr>
      <w:bookmarkStart w:id="80" w:name="_Hlk80179936"/>
      <w:r w:rsidRPr="009F4790">
        <w:rPr>
          <w:rFonts w:hint="eastAsia"/>
          <w:b/>
        </w:rPr>
        <w:t>高雄市調處緝毒組</w:t>
      </w:r>
      <w:r w:rsidR="00CD51BF">
        <w:rPr>
          <w:rFonts w:hint="eastAsia"/>
          <w:b/>
        </w:rPr>
        <w:t>長</w:t>
      </w:r>
      <w:r w:rsidRPr="009F4790">
        <w:rPr>
          <w:rFonts w:hint="eastAsia"/>
          <w:b/>
        </w:rPr>
        <w:t>蔡員</w:t>
      </w:r>
      <w:r w:rsidR="002D6EF5" w:rsidRPr="009F4790">
        <w:rPr>
          <w:rFonts w:hint="eastAsia"/>
          <w:b/>
        </w:rPr>
        <w:t>被檢舉</w:t>
      </w:r>
      <w:r w:rsidRPr="009F4790">
        <w:rPr>
          <w:rFonts w:hint="eastAsia"/>
          <w:b/>
        </w:rPr>
        <w:t>於104年4月間破獲曾男運毒案，</w:t>
      </w:r>
      <w:r w:rsidR="00A670C0">
        <w:rPr>
          <w:rFonts w:hint="eastAsia"/>
          <w:b/>
        </w:rPr>
        <w:t>明知</w:t>
      </w:r>
      <w:r w:rsidR="000A05A0" w:rsidRPr="009F4790">
        <w:rPr>
          <w:rFonts w:hint="eastAsia"/>
          <w:b/>
        </w:rPr>
        <w:t>該案係游男為換取其另涉前案之減</w:t>
      </w:r>
      <w:r w:rsidR="002D6EF5" w:rsidRPr="009F4790">
        <w:rPr>
          <w:rFonts w:hint="eastAsia"/>
          <w:b/>
        </w:rPr>
        <w:t>免</w:t>
      </w:r>
      <w:r w:rsidR="000A05A0" w:rsidRPr="009F4790">
        <w:rPr>
          <w:rFonts w:hint="eastAsia"/>
          <w:b/>
        </w:rPr>
        <w:t>刑</w:t>
      </w:r>
      <w:r w:rsidR="002D6EF5" w:rsidRPr="009F4790">
        <w:rPr>
          <w:rFonts w:hint="eastAsia"/>
          <w:b/>
        </w:rPr>
        <w:t>責</w:t>
      </w:r>
      <w:r w:rsidR="000A05A0" w:rsidRPr="009F4790">
        <w:rPr>
          <w:rFonts w:hint="eastAsia"/>
          <w:b/>
        </w:rPr>
        <w:t>而主導安排，</w:t>
      </w:r>
      <w:r w:rsidR="002D6EF5" w:rsidRPr="009F4790">
        <w:rPr>
          <w:rFonts w:hint="eastAsia"/>
          <w:b/>
        </w:rPr>
        <w:t>仍協調檢察官</w:t>
      </w:r>
      <w:r w:rsidR="000A05A0" w:rsidRPr="009F4790">
        <w:rPr>
          <w:rFonts w:hint="eastAsia"/>
          <w:b/>
        </w:rPr>
        <w:t>讓游男在前案獲得免刑，並申請查獲獎金，</w:t>
      </w:r>
      <w:r w:rsidR="00AC1E00">
        <w:rPr>
          <w:rFonts w:hint="eastAsia"/>
          <w:b/>
        </w:rPr>
        <w:t>蔡員</w:t>
      </w:r>
      <w:r w:rsidR="000A05A0" w:rsidRPr="009F4790">
        <w:rPr>
          <w:rFonts w:hint="eastAsia"/>
          <w:b/>
        </w:rPr>
        <w:t>經高雄地檢署於105年8月以利用職務上機會詐取財物未遂罪嫌起訴</w:t>
      </w:r>
      <w:r w:rsidR="00AC1E00">
        <w:rPr>
          <w:rFonts w:hAnsi="標楷體" w:hint="eastAsia"/>
          <w:b/>
        </w:rPr>
        <w:t>，</w:t>
      </w:r>
      <w:r w:rsidR="00A953A8">
        <w:rPr>
          <w:rFonts w:hAnsi="標楷體" w:hint="eastAsia"/>
          <w:b/>
        </w:rPr>
        <w:t>第</w:t>
      </w:r>
      <w:r w:rsidR="00AC1E00">
        <w:rPr>
          <w:rFonts w:hint="eastAsia"/>
          <w:b/>
        </w:rPr>
        <w:t>一審</w:t>
      </w:r>
      <w:r w:rsidR="009F4790" w:rsidRPr="009F4790">
        <w:rPr>
          <w:rFonts w:hint="eastAsia"/>
          <w:b/>
        </w:rPr>
        <w:t>判決無罪</w:t>
      </w:r>
      <w:r w:rsidR="00AE33A1">
        <w:rPr>
          <w:rFonts w:hAnsi="標楷體" w:hint="eastAsia"/>
          <w:b/>
        </w:rPr>
        <w:t>，</w:t>
      </w:r>
      <w:r w:rsidR="00A953A8">
        <w:rPr>
          <w:rFonts w:hAnsi="標楷體" w:hint="eastAsia"/>
          <w:b/>
        </w:rPr>
        <w:t>第</w:t>
      </w:r>
      <w:r w:rsidR="00AC1E00">
        <w:rPr>
          <w:rFonts w:hint="eastAsia"/>
          <w:b/>
        </w:rPr>
        <w:t>二審</w:t>
      </w:r>
      <w:r w:rsidR="009F4790">
        <w:rPr>
          <w:rFonts w:hAnsi="Times New Roman" w:hint="eastAsia"/>
          <w:b/>
          <w:bCs w:val="0"/>
          <w:kern w:val="2"/>
          <w:szCs w:val="32"/>
        </w:rPr>
        <w:t>改判</w:t>
      </w:r>
      <w:r w:rsidR="009F4790" w:rsidRPr="009F4790">
        <w:rPr>
          <w:rFonts w:hAnsi="Times New Roman" w:hint="eastAsia"/>
          <w:b/>
          <w:bCs w:val="0"/>
          <w:kern w:val="2"/>
          <w:szCs w:val="32"/>
        </w:rPr>
        <w:t>有期徒刑1年10月</w:t>
      </w:r>
      <w:r w:rsidR="00AE33A1">
        <w:rPr>
          <w:rFonts w:hAnsi="標楷體" w:hint="eastAsia"/>
          <w:b/>
        </w:rPr>
        <w:t>，</w:t>
      </w:r>
      <w:r w:rsidR="0089758F">
        <w:rPr>
          <w:rFonts w:hint="eastAsia"/>
          <w:b/>
        </w:rPr>
        <w:t>更一審</w:t>
      </w:r>
      <w:r w:rsidR="00441DE3">
        <w:rPr>
          <w:rFonts w:hAnsi="Times New Roman" w:hint="eastAsia"/>
          <w:b/>
          <w:bCs w:val="0"/>
          <w:kern w:val="2"/>
          <w:szCs w:val="32"/>
        </w:rPr>
        <w:t>改判</w:t>
      </w:r>
      <w:r w:rsidR="00095A74">
        <w:rPr>
          <w:rFonts w:hAnsi="Times New Roman" w:hint="eastAsia"/>
          <w:b/>
          <w:bCs w:val="0"/>
          <w:kern w:val="2"/>
          <w:szCs w:val="32"/>
        </w:rPr>
        <w:t>無罪</w:t>
      </w:r>
      <w:r w:rsidR="00095A74">
        <w:rPr>
          <w:rFonts w:hAnsi="標楷體" w:hint="eastAsia"/>
          <w:b/>
          <w:bCs w:val="0"/>
          <w:kern w:val="2"/>
          <w:szCs w:val="32"/>
        </w:rPr>
        <w:t>，</w:t>
      </w:r>
      <w:r w:rsidR="0047559A">
        <w:rPr>
          <w:rFonts w:hAnsi="標楷體" w:hint="eastAsia"/>
          <w:b/>
          <w:bCs w:val="0"/>
          <w:kern w:val="2"/>
          <w:szCs w:val="32"/>
        </w:rPr>
        <w:t>109</w:t>
      </w:r>
      <w:r w:rsidR="00AE33A1">
        <w:rPr>
          <w:rFonts w:hAnsi="Times New Roman" w:hint="eastAsia"/>
          <w:b/>
          <w:bCs w:val="0"/>
          <w:kern w:val="2"/>
          <w:szCs w:val="32"/>
        </w:rPr>
        <w:t>年10月</w:t>
      </w:r>
      <w:r w:rsidR="00095A74">
        <w:rPr>
          <w:rFonts w:hAnsi="Times New Roman" w:hint="eastAsia"/>
          <w:b/>
          <w:bCs w:val="0"/>
          <w:kern w:val="2"/>
          <w:szCs w:val="32"/>
        </w:rPr>
        <w:t>經最高法院判決定讞</w:t>
      </w:r>
      <w:bookmarkEnd w:id="80"/>
      <w:r w:rsidR="00815B55" w:rsidRPr="00815B55">
        <w:rPr>
          <w:rFonts w:hAnsi="Times New Roman" w:hint="eastAsia"/>
          <w:b/>
          <w:bCs w:val="0"/>
          <w:kern w:val="2"/>
          <w:szCs w:val="32"/>
        </w:rPr>
        <w:t>；</w:t>
      </w:r>
      <w:r w:rsidR="0089758F" w:rsidRPr="00AE33A1">
        <w:rPr>
          <w:rFonts w:hAnsi="Times New Roman" w:hint="eastAsia"/>
          <w:b/>
          <w:bCs w:val="0"/>
          <w:kern w:val="2"/>
          <w:szCs w:val="32"/>
        </w:rPr>
        <w:t>另</w:t>
      </w:r>
      <w:r w:rsidR="00AC1E00" w:rsidRPr="00AE33A1">
        <w:rPr>
          <w:rFonts w:hAnsi="Times New Roman" w:hint="eastAsia"/>
          <w:b/>
          <w:bCs w:val="0"/>
          <w:kern w:val="2"/>
          <w:szCs w:val="32"/>
        </w:rPr>
        <w:t>游男</w:t>
      </w:r>
      <w:r w:rsidR="00AE33A1" w:rsidRPr="00AE33A1">
        <w:rPr>
          <w:rFonts w:hAnsi="Times New Roman" w:hint="eastAsia"/>
          <w:b/>
          <w:bCs w:val="0"/>
          <w:kern w:val="2"/>
          <w:szCs w:val="32"/>
        </w:rPr>
        <w:t>在曾男運毒案中之罪嫌，</w:t>
      </w:r>
      <w:r w:rsidR="00A953A8">
        <w:rPr>
          <w:rFonts w:hAnsi="Times New Roman" w:hint="eastAsia"/>
          <w:b/>
          <w:bCs w:val="0"/>
          <w:kern w:val="2"/>
          <w:szCs w:val="32"/>
        </w:rPr>
        <w:t>第</w:t>
      </w:r>
      <w:r w:rsidR="00AC1E00" w:rsidRPr="00AE33A1">
        <w:rPr>
          <w:rFonts w:hAnsi="Times New Roman" w:hint="eastAsia"/>
          <w:b/>
          <w:bCs w:val="0"/>
          <w:kern w:val="2"/>
          <w:szCs w:val="32"/>
        </w:rPr>
        <w:t>一審判</w:t>
      </w:r>
      <w:r w:rsidR="00AE33A1">
        <w:rPr>
          <w:rFonts w:hAnsi="Times New Roman" w:hint="eastAsia"/>
          <w:b/>
          <w:bCs w:val="0"/>
          <w:kern w:val="2"/>
          <w:szCs w:val="32"/>
        </w:rPr>
        <w:t>處</w:t>
      </w:r>
      <w:r w:rsidR="00AC1E00" w:rsidRPr="00AE33A1">
        <w:rPr>
          <w:rFonts w:hAnsi="Times New Roman" w:hint="eastAsia"/>
          <w:b/>
          <w:bCs w:val="0"/>
          <w:kern w:val="2"/>
          <w:szCs w:val="32"/>
        </w:rPr>
        <w:t>有期徒刑12年，</w:t>
      </w:r>
      <w:r w:rsidR="00A953A8">
        <w:rPr>
          <w:rFonts w:hAnsi="Times New Roman" w:hint="eastAsia"/>
          <w:b/>
          <w:bCs w:val="0"/>
          <w:kern w:val="2"/>
          <w:szCs w:val="32"/>
        </w:rPr>
        <w:t>第</w:t>
      </w:r>
      <w:r w:rsidR="00AC1E00" w:rsidRPr="00AE33A1">
        <w:rPr>
          <w:rFonts w:hAnsi="Times New Roman" w:hint="eastAsia"/>
          <w:b/>
          <w:bCs w:val="0"/>
          <w:kern w:val="2"/>
          <w:szCs w:val="32"/>
        </w:rPr>
        <w:t>二審改</w:t>
      </w:r>
      <w:r w:rsidR="00AE33A1" w:rsidRPr="00AE33A1">
        <w:rPr>
          <w:rFonts w:hAnsi="Times New Roman" w:hint="eastAsia"/>
          <w:b/>
          <w:bCs w:val="0"/>
          <w:kern w:val="2"/>
          <w:szCs w:val="32"/>
        </w:rPr>
        <w:t>判</w:t>
      </w:r>
      <w:r w:rsidR="00AC1E00" w:rsidRPr="00AE33A1">
        <w:rPr>
          <w:rFonts w:hAnsi="Times New Roman" w:hint="eastAsia"/>
          <w:b/>
          <w:bCs w:val="0"/>
          <w:kern w:val="2"/>
          <w:szCs w:val="32"/>
        </w:rPr>
        <w:t>9年8月，更一審維持</w:t>
      </w:r>
      <w:r w:rsidR="00A953A8">
        <w:rPr>
          <w:rFonts w:hAnsi="Times New Roman" w:hint="eastAsia"/>
          <w:b/>
          <w:bCs w:val="0"/>
          <w:kern w:val="2"/>
          <w:szCs w:val="32"/>
        </w:rPr>
        <w:t>第</w:t>
      </w:r>
      <w:r w:rsidR="00AC1E00" w:rsidRPr="00AE33A1">
        <w:rPr>
          <w:rFonts w:hAnsi="Times New Roman" w:hint="eastAsia"/>
          <w:b/>
          <w:bCs w:val="0"/>
          <w:kern w:val="2"/>
          <w:szCs w:val="32"/>
        </w:rPr>
        <w:t>一審判決，更二審</w:t>
      </w:r>
      <w:r w:rsidR="0052601B">
        <w:rPr>
          <w:rFonts w:hAnsi="Times New Roman" w:hint="eastAsia"/>
          <w:b/>
          <w:bCs w:val="0"/>
          <w:kern w:val="2"/>
          <w:szCs w:val="32"/>
        </w:rPr>
        <w:t>改</w:t>
      </w:r>
      <w:r w:rsidR="0052601B" w:rsidRPr="00AE33A1">
        <w:rPr>
          <w:rFonts w:hAnsi="Times New Roman" w:hint="eastAsia"/>
          <w:b/>
          <w:bCs w:val="0"/>
          <w:kern w:val="2"/>
          <w:szCs w:val="32"/>
        </w:rPr>
        <w:t>判無罪</w:t>
      </w:r>
      <w:r w:rsidR="0052601B">
        <w:rPr>
          <w:rFonts w:hAnsi="標楷體" w:hint="eastAsia"/>
          <w:b/>
          <w:bCs w:val="0"/>
          <w:kern w:val="2"/>
          <w:szCs w:val="32"/>
        </w:rPr>
        <w:t>，</w:t>
      </w:r>
      <w:r w:rsidR="00AE33A1" w:rsidRPr="00AE33A1">
        <w:rPr>
          <w:rFonts w:hAnsi="Times New Roman" w:hint="eastAsia"/>
          <w:b/>
          <w:bCs w:val="0"/>
          <w:kern w:val="2"/>
          <w:szCs w:val="32"/>
        </w:rPr>
        <w:t>更三審</w:t>
      </w:r>
      <w:r w:rsidR="0052601B">
        <w:rPr>
          <w:rFonts w:hAnsi="Times New Roman" w:hint="eastAsia"/>
          <w:b/>
          <w:bCs w:val="0"/>
          <w:kern w:val="2"/>
          <w:szCs w:val="32"/>
        </w:rPr>
        <w:t>維持</w:t>
      </w:r>
      <w:r w:rsidR="00AC1E00" w:rsidRPr="00AE33A1">
        <w:rPr>
          <w:rFonts w:hAnsi="Times New Roman" w:hint="eastAsia"/>
          <w:b/>
          <w:bCs w:val="0"/>
          <w:kern w:val="2"/>
          <w:szCs w:val="32"/>
        </w:rPr>
        <w:t>無罪，</w:t>
      </w:r>
      <w:r w:rsidR="00AE33A1" w:rsidRPr="00AE33A1">
        <w:rPr>
          <w:rFonts w:hAnsi="Times New Roman" w:hint="eastAsia"/>
          <w:b/>
          <w:bCs w:val="0"/>
          <w:kern w:val="2"/>
          <w:szCs w:val="32"/>
        </w:rPr>
        <w:t>110年3月經</w:t>
      </w:r>
      <w:r w:rsidR="00AC1E00" w:rsidRPr="00AE33A1">
        <w:rPr>
          <w:rFonts w:hAnsi="Times New Roman" w:hint="eastAsia"/>
          <w:b/>
          <w:bCs w:val="0"/>
          <w:kern w:val="2"/>
          <w:szCs w:val="32"/>
        </w:rPr>
        <w:t>最高法院</w:t>
      </w:r>
      <w:r w:rsidR="00AE33A1" w:rsidRPr="00AE33A1">
        <w:rPr>
          <w:rFonts w:hAnsi="Times New Roman" w:hint="eastAsia"/>
          <w:b/>
          <w:bCs w:val="0"/>
          <w:kern w:val="2"/>
          <w:szCs w:val="32"/>
        </w:rPr>
        <w:t>判決</w:t>
      </w:r>
      <w:r w:rsidR="00AE33A1">
        <w:rPr>
          <w:rFonts w:hAnsi="Times New Roman" w:hint="eastAsia"/>
          <w:b/>
          <w:bCs w:val="0"/>
          <w:kern w:val="2"/>
          <w:szCs w:val="32"/>
        </w:rPr>
        <w:t>定讞</w:t>
      </w:r>
      <w:r w:rsidR="00AE33A1">
        <w:rPr>
          <w:rFonts w:hAnsi="標楷體" w:hint="eastAsia"/>
          <w:b/>
          <w:bCs w:val="0"/>
          <w:kern w:val="2"/>
          <w:szCs w:val="32"/>
        </w:rPr>
        <w:t>，</w:t>
      </w:r>
      <w:r w:rsidR="00EA4605">
        <w:rPr>
          <w:rFonts w:hAnsi="標楷體" w:hint="eastAsia"/>
          <w:b/>
          <w:bCs w:val="0"/>
          <w:kern w:val="2"/>
          <w:szCs w:val="32"/>
        </w:rPr>
        <w:t>嗣後並獲得刑事補償</w:t>
      </w:r>
      <w:r w:rsidR="00AC1E00" w:rsidRPr="00815B55">
        <w:rPr>
          <w:rFonts w:asciiTheme="minorEastAsia" w:eastAsiaTheme="minorEastAsia" w:hAnsiTheme="minorEastAsia" w:hint="eastAsia"/>
          <w:b/>
        </w:rPr>
        <w:t>。</w:t>
      </w:r>
      <w:r w:rsidR="00815B55" w:rsidRPr="00815B55">
        <w:rPr>
          <w:rFonts w:hAnsi="Times New Roman" w:hint="eastAsia"/>
          <w:b/>
          <w:bCs w:val="0"/>
          <w:kern w:val="2"/>
          <w:szCs w:val="32"/>
        </w:rPr>
        <w:t>法務部於105年11月</w:t>
      </w:r>
      <w:r w:rsidR="00815B55">
        <w:rPr>
          <w:rFonts w:hAnsi="Times New Roman" w:hint="eastAsia"/>
          <w:b/>
          <w:bCs w:val="0"/>
          <w:kern w:val="2"/>
          <w:szCs w:val="32"/>
        </w:rPr>
        <w:t>將蔡員</w:t>
      </w:r>
      <w:r w:rsidR="00815B55" w:rsidRPr="00815B55">
        <w:rPr>
          <w:rFonts w:hAnsi="Times New Roman" w:hint="eastAsia"/>
          <w:b/>
          <w:bCs w:val="0"/>
          <w:kern w:val="2"/>
          <w:szCs w:val="32"/>
        </w:rPr>
        <w:t>移送懲戒，</w:t>
      </w:r>
      <w:r w:rsidR="00CD51BF">
        <w:rPr>
          <w:rFonts w:hAnsi="Times New Roman" w:hint="eastAsia"/>
          <w:b/>
          <w:bCs w:val="0"/>
          <w:kern w:val="2"/>
          <w:szCs w:val="32"/>
        </w:rPr>
        <w:t>亦</w:t>
      </w:r>
      <w:r w:rsidR="00815B55" w:rsidRPr="00815B55">
        <w:rPr>
          <w:rFonts w:hAnsi="Times New Roman" w:hint="eastAsia"/>
          <w:b/>
          <w:bCs w:val="0"/>
          <w:kern w:val="2"/>
          <w:szCs w:val="32"/>
        </w:rPr>
        <w:t>經懲戒法院於109年10月判決「不受懲戒」</w:t>
      </w:r>
      <w:r w:rsidR="00815B55">
        <w:rPr>
          <w:rFonts w:ascii="新細明體" w:eastAsia="新細明體" w:hAnsi="新細明體" w:hint="eastAsia"/>
          <w:b/>
          <w:bCs w:val="0"/>
          <w:kern w:val="2"/>
          <w:szCs w:val="32"/>
        </w:rPr>
        <w:t>。</w:t>
      </w:r>
      <w:r w:rsidR="0052601B" w:rsidRPr="00CD51BF">
        <w:rPr>
          <w:rFonts w:hAnsi="Times New Roman" w:hint="eastAsia"/>
          <w:b/>
          <w:bCs w:val="0"/>
          <w:kern w:val="2"/>
          <w:szCs w:val="32"/>
        </w:rPr>
        <w:t>蔡員</w:t>
      </w:r>
      <w:r w:rsidR="00F10266">
        <w:rPr>
          <w:rFonts w:hAnsi="Times New Roman" w:hint="eastAsia"/>
          <w:b/>
          <w:bCs w:val="0"/>
          <w:kern w:val="2"/>
          <w:szCs w:val="32"/>
        </w:rPr>
        <w:t>既</w:t>
      </w:r>
      <w:r w:rsidR="00EA4605">
        <w:rPr>
          <w:rFonts w:hAnsi="Times New Roman" w:hint="eastAsia"/>
          <w:b/>
          <w:bCs w:val="0"/>
          <w:kern w:val="2"/>
          <w:szCs w:val="32"/>
        </w:rPr>
        <w:t>經法院</w:t>
      </w:r>
      <w:r w:rsidR="004D7369">
        <w:rPr>
          <w:rFonts w:hAnsi="Times New Roman" w:hint="eastAsia"/>
          <w:b/>
          <w:bCs w:val="0"/>
          <w:kern w:val="2"/>
          <w:szCs w:val="32"/>
        </w:rPr>
        <w:t>終局</w:t>
      </w:r>
      <w:r w:rsidR="00EA4605">
        <w:rPr>
          <w:rFonts w:hAnsi="Times New Roman" w:hint="eastAsia"/>
          <w:b/>
          <w:bCs w:val="0"/>
          <w:kern w:val="2"/>
          <w:szCs w:val="32"/>
        </w:rPr>
        <w:t>判決認定其</w:t>
      </w:r>
      <w:r w:rsidR="00CD51BF" w:rsidRPr="00CD51BF">
        <w:rPr>
          <w:rFonts w:hAnsi="Times New Roman" w:hint="eastAsia"/>
          <w:b/>
          <w:bCs w:val="0"/>
          <w:kern w:val="2"/>
          <w:szCs w:val="32"/>
        </w:rPr>
        <w:t>無</w:t>
      </w:r>
      <w:r w:rsidR="0052601B" w:rsidRPr="00CD51BF">
        <w:rPr>
          <w:rFonts w:hAnsi="Times New Roman" w:hint="eastAsia"/>
          <w:b/>
          <w:bCs w:val="0"/>
          <w:kern w:val="2"/>
          <w:szCs w:val="32"/>
        </w:rPr>
        <w:t>刑事及懲戒</w:t>
      </w:r>
      <w:r w:rsidR="00D20E4D" w:rsidRPr="00CD51BF">
        <w:rPr>
          <w:rFonts w:hAnsi="Times New Roman" w:hint="eastAsia"/>
          <w:b/>
          <w:bCs w:val="0"/>
          <w:kern w:val="2"/>
          <w:szCs w:val="32"/>
        </w:rPr>
        <w:t>責任</w:t>
      </w:r>
      <w:r w:rsidR="00CD51BF" w:rsidRPr="00CD51BF">
        <w:rPr>
          <w:rFonts w:hAnsi="Times New Roman" w:hint="eastAsia"/>
          <w:b/>
          <w:bCs w:val="0"/>
          <w:kern w:val="2"/>
          <w:szCs w:val="32"/>
        </w:rPr>
        <w:t>，</w:t>
      </w:r>
      <w:r w:rsidR="00FD4F4B">
        <w:rPr>
          <w:rFonts w:hAnsi="Times New Roman" w:hint="eastAsia"/>
          <w:b/>
          <w:bCs w:val="0"/>
          <w:kern w:val="2"/>
          <w:szCs w:val="32"/>
        </w:rPr>
        <w:t>宜</w:t>
      </w:r>
      <w:r w:rsidR="00F10266">
        <w:rPr>
          <w:rFonts w:hAnsi="Times New Roman" w:hint="eastAsia"/>
          <w:b/>
          <w:bCs w:val="0"/>
          <w:kern w:val="2"/>
          <w:szCs w:val="32"/>
        </w:rPr>
        <w:t>尊重</w:t>
      </w:r>
      <w:r w:rsidR="00CB7C86">
        <w:rPr>
          <w:rFonts w:hAnsi="Times New Roman" w:hint="eastAsia"/>
          <w:b/>
          <w:bCs w:val="0"/>
          <w:kern w:val="2"/>
          <w:szCs w:val="32"/>
        </w:rPr>
        <w:t>司法審理</w:t>
      </w:r>
      <w:r w:rsidR="00F10266">
        <w:rPr>
          <w:rFonts w:hAnsi="Times New Roman" w:hint="eastAsia"/>
          <w:b/>
          <w:bCs w:val="0"/>
          <w:kern w:val="2"/>
          <w:szCs w:val="32"/>
        </w:rPr>
        <w:t>之</w:t>
      </w:r>
      <w:r w:rsidR="00773F33">
        <w:rPr>
          <w:rFonts w:hAnsi="Times New Roman" w:hint="eastAsia"/>
          <w:b/>
          <w:bCs w:val="0"/>
          <w:kern w:val="2"/>
          <w:szCs w:val="32"/>
        </w:rPr>
        <w:t>結果</w:t>
      </w:r>
      <w:r w:rsidR="00773F33">
        <w:rPr>
          <w:rFonts w:hAnsi="標楷體" w:hint="eastAsia"/>
          <w:b/>
          <w:bCs w:val="0"/>
          <w:kern w:val="2"/>
          <w:szCs w:val="32"/>
        </w:rPr>
        <w:t>。</w:t>
      </w:r>
    </w:p>
    <w:p w:rsidR="00362FBD" w:rsidRDefault="007C098B" w:rsidP="007C098B">
      <w:pPr>
        <w:pStyle w:val="3"/>
        <w:rPr>
          <w:b/>
        </w:rPr>
      </w:pPr>
      <w:r w:rsidRPr="007C098B">
        <w:rPr>
          <w:rFonts w:hint="eastAsia"/>
          <w:b/>
        </w:rPr>
        <w:t>高雄市調處緝毒組長蔡員被檢舉於104年4月間破獲曾男運毒案，明知該案係游男為換取其另涉前案之減免刑責而主導安排，仍協調檢察官讓游男在前案獲得免刑，並申請查獲獎金</w:t>
      </w:r>
      <w:r w:rsidR="00362FBD">
        <w:rPr>
          <w:rFonts w:hAnsi="標楷體" w:hint="eastAsia"/>
          <w:b/>
        </w:rPr>
        <w:t>：</w:t>
      </w:r>
    </w:p>
    <w:p w:rsidR="00362FBD" w:rsidRDefault="00362FBD" w:rsidP="00362FBD">
      <w:pPr>
        <w:pStyle w:val="4"/>
      </w:pPr>
      <w:r w:rsidRPr="00362FBD">
        <w:rPr>
          <w:rFonts w:hint="eastAsia"/>
        </w:rPr>
        <w:t>蔡員</w:t>
      </w:r>
      <w:r>
        <w:rPr>
          <w:rFonts w:hint="eastAsia"/>
        </w:rPr>
        <w:t>被檢舉</w:t>
      </w:r>
      <w:r w:rsidRPr="00362FBD">
        <w:rPr>
          <w:rFonts w:hint="eastAsia"/>
        </w:rPr>
        <w:t>於104年4月間破獲癌末病患曾男運輸70公斤甲基安非他命案，明知係游男為換取自身減刑而安排之案件，仍配合調查，並透露調查局南部地區機動工作站(下稱南機站)轉查曾男供貨上游之資訊予游男，致南機站調查曝光等，涉嫌洩密等不法。</w:t>
      </w:r>
    </w:p>
    <w:p w:rsidR="00362FBD" w:rsidRDefault="00362FBD" w:rsidP="00CB7C86">
      <w:pPr>
        <w:pStyle w:val="4"/>
      </w:pPr>
      <w:r w:rsidRPr="00DA1286">
        <w:rPr>
          <w:rFonts w:hint="eastAsia"/>
        </w:rPr>
        <w:t>案經</w:t>
      </w:r>
      <w:r w:rsidR="00CB7C86" w:rsidRPr="00CB7C86">
        <w:rPr>
          <w:rFonts w:hint="eastAsia"/>
        </w:rPr>
        <w:t>調查局政風室簽移該局廉政處調查後，</w:t>
      </w:r>
      <w:r w:rsidR="00CB7C86">
        <w:rPr>
          <w:rFonts w:hint="eastAsia"/>
        </w:rPr>
        <w:t>由</w:t>
      </w:r>
      <w:r w:rsidRPr="00DA1286">
        <w:rPr>
          <w:rFonts w:hint="eastAsia"/>
        </w:rPr>
        <w:t>廉政處發交臺南市調處提報高雄地檢署指揮偵辦，</w:t>
      </w:r>
      <w:r>
        <w:rPr>
          <w:rFonts w:hint="eastAsia"/>
        </w:rPr>
        <w:lastRenderedPageBreak/>
        <w:t>調查結果認定</w:t>
      </w:r>
      <w:r w:rsidRPr="00DA1286">
        <w:rPr>
          <w:rFonts w:hint="eastAsia"/>
        </w:rPr>
        <w:t>蔡</w:t>
      </w:r>
      <w:r>
        <w:rPr>
          <w:rFonts w:hint="eastAsia"/>
        </w:rPr>
        <w:t>員</w:t>
      </w:r>
      <w:r w:rsidRPr="00DA1286">
        <w:rPr>
          <w:rFonts w:hint="eastAsia"/>
        </w:rPr>
        <w:t>明知曾</w:t>
      </w:r>
      <w:r>
        <w:rPr>
          <w:rFonts w:hint="eastAsia"/>
        </w:rPr>
        <w:t>男</w:t>
      </w:r>
      <w:r w:rsidRPr="00DA1286">
        <w:rPr>
          <w:rFonts w:hint="eastAsia"/>
        </w:rPr>
        <w:t>運毒案係毒品案件被告游</w:t>
      </w:r>
      <w:r>
        <w:rPr>
          <w:rFonts w:hint="eastAsia"/>
        </w:rPr>
        <w:t>男基於</w:t>
      </w:r>
      <w:r w:rsidRPr="00DA1286">
        <w:rPr>
          <w:rFonts w:hint="eastAsia"/>
        </w:rPr>
        <w:t>減免刑責所為之安排，為取得緝毒獎金及績效，仍出面協調檢察官承辦並同意游</w:t>
      </w:r>
      <w:r>
        <w:rPr>
          <w:rFonts w:hint="eastAsia"/>
        </w:rPr>
        <w:t>男</w:t>
      </w:r>
      <w:r w:rsidRPr="00DA1286">
        <w:rPr>
          <w:rFonts w:hint="eastAsia"/>
        </w:rPr>
        <w:t>適用</w:t>
      </w:r>
      <w:r w:rsidRPr="00E77454">
        <w:rPr>
          <w:rFonts w:hAnsi="標楷體" w:cs="Helvetica" w:hint="eastAsia"/>
          <w:shd w:val="clear" w:color="auto" w:fill="FFFFFF"/>
        </w:rPr>
        <w:t>〈</w:t>
      </w:r>
      <w:r w:rsidRPr="00E77454">
        <w:rPr>
          <w:rFonts w:hint="eastAsia"/>
        </w:rPr>
        <w:t>證人保護法</w:t>
      </w:r>
      <w:r w:rsidRPr="00E77454">
        <w:rPr>
          <w:rFonts w:hAnsi="標楷體" w:cs="Helvetica" w:hint="eastAsia"/>
          <w:shd w:val="clear" w:color="auto" w:fill="FFFFFF"/>
        </w:rPr>
        <w:t>〉</w:t>
      </w:r>
      <w:r w:rsidRPr="00E77454">
        <w:rPr>
          <w:rFonts w:hint="eastAsia"/>
        </w:rPr>
        <w:t>，並配合游男予以立案及調查等行為，涉犯</w:t>
      </w:r>
      <w:r w:rsidRPr="00E77454">
        <w:rPr>
          <w:rFonts w:hAnsi="標楷體" w:cs="Helvetica" w:hint="eastAsia"/>
          <w:shd w:val="clear" w:color="auto" w:fill="FFFFFF"/>
        </w:rPr>
        <w:t>〈</w:t>
      </w:r>
      <w:r w:rsidRPr="00E77454">
        <w:rPr>
          <w:rFonts w:hint="eastAsia"/>
        </w:rPr>
        <w:t>貪污治罪條例</w:t>
      </w:r>
      <w:r w:rsidRPr="00E77454">
        <w:rPr>
          <w:rFonts w:hAnsi="標楷體" w:cs="Helvetica" w:hint="eastAsia"/>
          <w:shd w:val="clear" w:color="auto" w:fill="FFFFFF"/>
        </w:rPr>
        <w:t>〉</w:t>
      </w:r>
      <w:r w:rsidRPr="00DA1286">
        <w:rPr>
          <w:rFonts w:hint="eastAsia"/>
        </w:rPr>
        <w:t>第5條第1項第2款、第2項之利用職務上機會詐取財物未遂罪嫌</w:t>
      </w:r>
      <w:r w:rsidR="0034150A">
        <w:rPr>
          <w:rFonts w:hAnsi="標楷體" w:hint="eastAsia"/>
        </w:rPr>
        <w:t>，</w:t>
      </w:r>
      <w:r w:rsidRPr="00DA1286">
        <w:rPr>
          <w:rFonts w:hint="eastAsia"/>
        </w:rPr>
        <w:t>臺南市調處</w:t>
      </w:r>
      <w:r w:rsidR="0034150A">
        <w:rPr>
          <w:rFonts w:hint="eastAsia"/>
        </w:rPr>
        <w:t>遂</w:t>
      </w:r>
      <w:r w:rsidRPr="00DA1286">
        <w:rPr>
          <w:rFonts w:hint="eastAsia"/>
        </w:rPr>
        <w:t>將</w:t>
      </w:r>
      <w:r w:rsidR="0034150A">
        <w:rPr>
          <w:rFonts w:hint="eastAsia"/>
        </w:rPr>
        <w:t>該案</w:t>
      </w:r>
      <w:r w:rsidRPr="00DA1286">
        <w:rPr>
          <w:rFonts w:hint="eastAsia"/>
        </w:rPr>
        <w:t>移送高雄地檢署</w:t>
      </w:r>
      <w:r w:rsidR="0034150A">
        <w:rPr>
          <w:rFonts w:hint="eastAsia"/>
        </w:rPr>
        <w:t>偵辦</w:t>
      </w:r>
      <w:r w:rsidRPr="00DA1286">
        <w:rPr>
          <w:rFonts w:hint="eastAsia"/>
        </w:rPr>
        <w:t>。</w:t>
      </w:r>
    </w:p>
    <w:p w:rsidR="007C098B" w:rsidRPr="0034150A" w:rsidRDefault="007C098B" w:rsidP="007C098B">
      <w:pPr>
        <w:pStyle w:val="3"/>
        <w:rPr>
          <w:b/>
        </w:rPr>
      </w:pPr>
      <w:r w:rsidRPr="007C098B">
        <w:rPr>
          <w:rFonts w:hint="eastAsia"/>
          <w:b/>
        </w:rPr>
        <w:t>蔡員經高雄地檢署於105年8月起訴，</w:t>
      </w:r>
      <w:r w:rsidR="00A953A8">
        <w:rPr>
          <w:rFonts w:hint="eastAsia"/>
          <w:b/>
        </w:rPr>
        <w:t>第</w:t>
      </w:r>
      <w:r w:rsidRPr="007C098B">
        <w:rPr>
          <w:rFonts w:hint="eastAsia"/>
          <w:b/>
        </w:rPr>
        <w:t>一審判決無罪，</w:t>
      </w:r>
      <w:r w:rsidR="00A953A8">
        <w:rPr>
          <w:rFonts w:hint="eastAsia"/>
          <w:b/>
        </w:rPr>
        <w:t>第</w:t>
      </w:r>
      <w:r w:rsidRPr="007C098B">
        <w:rPr>
          <w:rFonts w:hint="eastAsia"/>
          <w:b/>
        </w:rPr>
        <w:t>二審改判有期徒刑1年10月，109年7月更一審改判無罪，同年10月經最高法院判決定讞</w:t>
      </w:r>
      <w:r>
        <w:rPr>
          <w:rFonts w:hAnsi="標楷體" w:hint="eastAsia"/>
          <w:b/>
        </w:rPr>
        <w:t>：</w:t>
      </w:r>
    </w:p>
    <w:p w:rsidR="0034150A" w:rsidRDefault="00CB7C86" w:rsidP="00CB7C86">
      <w:pPr>
        <w:pStyle w:val="4"/>
      </w:pPr>
      <w:r w:rsidRPr="00BB441F">
        <w:rPr>
          <w:rFonts w:hint="eastAsia"/>
          <w:b/>
        </w:rPr>
        <w:t>高雄地檢署認蔡員涉犯公務員利用職務上機會詐取財物未遂罪嫌於105年8月31日對其提起公訴</w:t>
      </w:r>
      <w:r w:rsidRPr="00CB7C86">
        <w:rPr>
          <w:rFonts w:hint="eastAsia"/>
        </w:rPr>
        <w:t>，起訴意旨略以：</w:t>
      </w:r>
    </w:p>
    <w:p w:rsidR="007768B1" w:rsidRDefault="007768B1" w:rsidP="007768B1">
      <w:pPr>
        <w:pStyle w:val="5"/>
      </w:pPr>
      <w:r>
        <w:rPr>
          <w:rFonts w:hint="eastAsia"/>
        </w:rPr>
        <w:t>蔡員</w:t>
      </w:r>
      <w:r w:rsidRPr="003B434C">
        <w:rPr>
          <w:rFonts w:hint="eastAsia"/>
        </w:rPr>
        <w:t>前於102年3月26日查獲林</w:t>
      </w:r>
      <w:r>
        <w:rPr>
          <w:rFonts w:hint="eastAsia"/>
        </w:rPr>
        <w:t>男</w:t>
      </w:r>
      <w:r w:rsidRPr="003B434C">
        <w:rPr>
          <w:rFonts w:hint="eastAsia"/>
        </w:rPr>
        <w:t>與王</w:t>
      </w:r>
      <w:r>
        <w:rPr>
          <w:rFonts w:hint="eastAsia"/>
        </w:rPr>
        <w:t>男共同</w:t>
      </w:r>
      <w:r w:rsidRPr="003B434C">
        <w:rPr>
          <w:rFonts w:hint="eastAsia"/>
        </w:rPr>
        <w:t>運輸毒品愷他命41公斤案</w:t>
      </w:r>
      <w:r>
        <w:rPr>
          <w:rFonts w:hint="eastAsia"/>
        </w:rPr>
        <w:t>(</w:t>
      </w:r>
      <w:r w:rsidR="003646DA">
        <w:rPr>
          <w:rFonts w:hint="eastAsia"/>
        </w:rPr>
        <w:t>即</w:t>
      </w:r>
      <w:r w:rsidRPr="003B434C">
        <w:rPr>
          <w:rFonts w:hint="eastAsia"/>
        </w:rPr>
        <w:t>前案</w:t>
      </w:r>
      <w:r>
        <w:rPr>
          <w:rFonts w:hint="eastAsia"/>
        </w:rPr>
        <w:t>)</w:t>
      </w:r>
      <w:r w:rsidRPr="003B434C">
        <w:rPr>
          <w:rFonts w:hint="eastAsia"/>
        </w:rPr>
        <w:t>，再循線於103年4月1日拘提交付愷他命給林</w:t>
      </w:r>
      <w:r>
        <w:rPr>
          <w:rFonts w:hint="eastAsia"/>
        </w:rPr>
        <w:t>男</w:t>
      </w:r>
      <w:r w:rsidRPr="003B434C">
        <w:rPr>
          <w:rFonts w:hint="eastAsia"/>
        </w:rPr>
        <w:t>之主嫌游</w:t>
      </w:r>
      <w:r>
        <w:rPr>
          <w:rFonts w:hint="eastAsia"/>
        </w:rPr>
        <w:t>男</w:t>
      </w:r>
      <w:r w:rsidRPr="003B434C">
        <w:rPr>
          <w:rFonts w:hint="eastAsia"/>
        </w:rPr>
        <w:t>。游</w:t>
      </w:r>
      <w:r>
        <w:rPr>
          <w:rFonts w:hint="eastAsia"/>
        </w:rPr>
        <w:t>男</w:t>
      </w:r>
      <w:r w:rsidRPr="003B434C">
        <w:rPr>
          <w:rFonts w:hint="eastAsia"/>
        </w:rPr>
        <w:t>到案後，為求獲得</w:t>
      </w:r>
      <w:r>
        <w:rPr>
          <w:rFonts w:hAnsi="標楷體" w:hint="eastAsia"/>
        </w:rPr>
        <w:t>〈</w:t>
      </w:r>
      <w:r w:rsidRPr="003B434C">
        <w:rPr>
          <w:rFonts w:hint="eastAsia"/>
        </w:rPr>
        <w:t>證人保護法</w:t>
      </w:r>
      <w:r>
        <w:rPr>
          <w:rFonts w:hAnsi="標楷體" w:hint="eastAsia"/>
        </w:rPr>
        <w:t>〉</w:t>
      </w:r>
      <w:r w:rsidRPr="003B434C">
        <w:rPr>
          <w:rFonts w:hint="eastAsia"/>
        </w:rPr>
        <w:t>第14條規定之寬典，竟提議表示前案查獲之愷他命係積欠其大筆賭債之</w:t>
      </w:r>
      <w:r>
        <w:rPr>
          <w:rFonts w:hint="eastAsia"/>
        </w:rPr>
        <w:t>趙男</w:t>
      </w:r>
      <w:r w:rsidRPr="003B434C">
        <w:rPr>
          <w:rFonts w:hint="eastAsia"/>
        </w:rPr>
        <w:t>所交付，可以繼續循同一路線買入並交出毒品供查獲，即願供出更重於其己身在前案之犯罪情節或法定刑之犯罪網絡，交出一定數量毒品讓檢調查獲以換取不起訴處分或免刑、減輕其刑，鄭檢察官則於偵訊中告以不得教唆他人運輸毒品予高雄市調處查獲。</w:t>
      </w:r>
    </w:p>
    <w:p w:rsidR="007768B1" w:rsidRDefault="007768B1" w:rsidP="003646DA">
      <w:pPr>
        <w:pStyle w:val="5"/>
      </w:pPr>
      <w:r>
        <w:rPr>
          <w:rFonts w:hint="eastAsia"/>
        </w:rPr>
        <w:t>蔡員</w:t>
      </w:r>
      <w:r w:rsidRPr="003B434C">
        <w:rPr>
          <w:rFonts w:hint="eastAsia"/>
        </w:rPr>
        <w:t>為求獲得毒品破案之獎金與績效，竟意圖為自己不法之所有，並基於利用職務上之機會以詐取財物之犯意，同意游</w:t>
      </w:r>
      <w:r>
        <w:rPr>
          <w:rFonts w:hint="eastAsia"/>
        </w:rPr>
        <w:t>男</w:t>
      </w:r>
      <w:r>
        <w:rPr>
          <w:rFonts w:hAnsi="標楷體" w:hint="eastAsia"/>
        </w:rPr>
        <w:t>「</w:t>
      </w:r>
      <w:r w:rsidRPr="003B434C">
        <w:rPr>
          <w:rFonts w:hint="eastAsia"/>
        </w:rPr>
        <w:t>以債換毒</w:t>
      </w:r>
      <w:r>
        <w:rPr>
          <w:rFonts w:hAnsi="標楷體" w:hint="eastAsia"/>
        </w:rPr>
        <w:t>」</w:t>
      </w:r>
      <w:r w:rsidRPr="003B434C">
        <w:rPr>
          <w:rFonts w:hint="eastAsia"/>
        </w:rPr>
        <w:t>之提議，並報請檢察官讓游</w:t>
      </w:r>
      <w:r>
        <w:rPr>
          <w:rFonts w:hint="eastAsia"/>
        </w:rPr>
        <w:t>男</w:t>
      </w:r>
      <w:r w:rsidRPr="003B434C">
        <w:rPr>
          <w:rFonts w:hint="eastAsia"/>
        </w:rPr>
        <w:t>離去。游</w:t>
      </w:r>
      <w:r>
        <w:rPr>
          <w:rFonts w:hint="eastAsia"/>
        </w:rPr>
        <w:t>男</w:t>
      </w:r>
      <w:r w:rsidRPr="003B434C">
        <w:rPr>
          <w:rFonts w:hint="eastAsia"/>
        </w:rPr>
        <w:t>獲釋後，乃主動聯繫趙</w:t>
      </w:r>
      <w:r>
        <w:rPr>
          <w:rFonts w:hint="eastAsia"/>
        </w:rPr>
        <w:t>男</w:t>
      </w:r>
      <w:r w:rsidRPr="003B434C">
        <w:rPr>
          <w:rFonts w:hint="eastAsia"/>
        </w:rPr>
        <w:t>從大陸地區運輸毒品來</w:t>
      </w:r>
      <w:r>
        <w:rPr>
          <w:rFonts w:hint="eastAsia"/>
        </w:rPr>
        <w:t>臺</w:t>
      </w:r>
      <w:r w:rsidRPr="003B434C">
        <w:rPr>
          <w:rFonts w:hint="eastAsia"/>
        </w:rPr>
        <w:t>以供</w:t>
      </w:r>
      <w:r>
        <w:rPr>
          <w:rFonts w:hint="eastAsia"/>
        </w:rPr>
        <w:lastRenderedPageBreak/>
        <w:t>蔡員</w:t>
      </w:r>
      <w:r w:rsidRPr="003B434C">
        <w:rPr>
          <w:rFonts w:hint="eastAsia"/>
        </w:rPr>
        <w:t>查獲。游</w:t>
      </w:r>
      <w:r>
        <w:rPr>
          <w:rFonts w:hint="eastAsia"/>
        </w:rPr>
        <w:t>男</w:t>
      </w:r>
      <w:r w:rsidRPr="003B434C">
        <w:rPr>
          <w:rFonts w:hint="eastAsia"/>
        </w:rPr>
        <w:t>為避免趙</w:t>
      </w:r>
      <w:r>
        <w:rPr>
          <w:rFonts w:hint="eastAsia"/>
        </w:rPr>
        <w:t>男</w:t>
      </w:r>
      <w:r w:rsidRPr="003B434C">
        <w:rPr>
          <w:rFonts w:hint="eastAsia"/>
        </w:rPr>
        <w:t>運輸之毒查獲時，反遭循線追查到自身，乃另積極聯繫以</w:t>
      </w:r>
      <w:r w:rsidR="003646DA">
        <w:rPr>
          <w:rFonts w:hint="eastAsia"/>
        </w:rPr>
        <w:t>余</w:t>
      </w:r>
      <w:r w:rsidR="003646DA" w:rsidRPr="003646DA">
        <w:rPr>
          <w:rFonts w:hint="eastAsia"/>
        </w:rPr>
        <w:t>男</w:t>
      </w:r>
      <w:r w:rsidRPr="003B434C">
        <w:rPr>
          <w:rFonts w:hint="eastAsia"/>
        </w:rPr>
        <w:t>為首之港籍走私毒品集團，居中物色具罹癌因素等無法入監執行之病殘人士，擔任被查獲時之「死轉手」</w:t>
      </w:r>
      <w:r>
        <w:rPr>
          <w:rStyle w:val="afd"/>
        </w:rPr>
        <w:footnoteReference w:id="2"/>
      </w:r>
      <w:r w:rsidRPr="003B434C">
        <w:rPr>
          <w:rFonts w:hint="eastAsia"/>
        </w:rPr>
        <w:t>與頂罪角色。</w:t>
      </w:r>
    </w:p>
    <w:p w:rsidR="007768B1" w:rsidRDefault="007768B1" w:rsidP="007768B1">
      <w:pPr>
        <w:pStyle w:val="5"/>
      </w:pPr>
      <w:r w:rsidRPr="003B434C">
        <w:rPr>
          <w:rFonts w:hint="eastAsia"/>
        </w:rPr>
        <w:t>103年10月中旬某日，</w:t>
      </w:r>
      <w:r>
        <w:rPr>
          <w:rFonts w:hint="eastAsia"/>
        </w:rPr>
        <w:t>蔡員</w:t>
      </w:r>
      <w:r w:rsidRPr="003B434C">
        <w:rPr>
          <w:rFonts w:hint="eastAsia"/>
        </w:rPr>
        <w:t>知悉游</w:t>
      </w:r>
      <w:r>
        <w:rPr>
          <w:rFonts w:hint="eastAsia"/>
        </w:rPr>
        <w:t>男</w:t>
      </w:r>
      <w:r w:rsidRPr="003B434C">
        <w:rPr>
          <w:rFonts w:hint="eastAsia"/>
        </w:rPr>
        <w:t>打算以交出大量毒品</w:t>
      </w:r>
      <w:r>
        <w:rPr>
          <w:rFonts w:hint="eastAsia"/>
        </w:rPr>
        <w:t>來</w:t>
      </w:r>
      <w:r w:rsidRPr="003B434C">
        <w:rPr>
          <w:rFonts w:hint="eastAsia"/>
        </w:rPr>
        <w:t>換取適用</w:t>
      </w:r>
      <w:r>
        <w:rPr>
          <w:rFonts w:hAnsi="標楷體" w:hint="eastAsia"/>
        </w:rPr>
        <w:t>〈</w:t>
      </w:r>
      <w:r w:rsidRPr="00136B6E">
        <w:rPr>
          <w:rFonts w:hint="eastAsia"/>
        </w:rPr>
        <w:t>證人保護法</w:t>
      </w:r>
      <w:r>
        <w:rPr>
          <w:rFonts w:hAnsi="標楷體" w:hint="eastAsia"/>
        </w:rPr>
        <w:t>〉</w:t>
      </w:r>
      <w:r w:rsidRPr="003B434C">
        <w:rPr>
          <w:rFonts w:hint="eastAsia"/>
        </w:rPr>
        <w:t>不起訴處分之提議，為接辦游</w:t>
      </w:r>
      <w:r>
        <w:rPr>
          <w:rFonts w:hint="eastAsia"/>
        </w:rPr>
        <w:t>男</w:t>
      </w:r>
      <w:r w:rsidRPr="003B434C">
        <w:rPr>
          <w:rFonts w:hint="eastAsia"/>
        </w:rPr>
        <w:t>前案之范檢察官基於自身承辦毒品之經驗，認定游</w:t>
      </w:r>
      <w:r>
        <w:rPr>
          <w:rFonts w:hint="eastAsia"/>
        </w:rPr>
        <w:t>男</w:t>
      </w:r>
      <w:r w:rsidRPr="003B434C">
        <w:rPr>
          <w:rFonts w:hint="eastAsia"/>
        </w:rPr>
        <w:t>雖有坦承運輸愷他命毒品之罪嫌，但畢竟是前案之主嫌，並非前案犯罪集團之外圍成員，顯難認有饒恕免予處罰之必要，而拒絕予以不起訴處分之條件。</w:t>
      </w:r>
      <w:r>
        <w:rPr>
          <w:rFonts w:hint="eastAsia"/>
        </w:rPr>
        <w:t>蔡員</w:t>
      </w:r>
      <w:r w:rsidRPr="003B434C">
        <w:rPr>
          <w:rFonts w:hint="eastAsia"/>
        </w:rPr>
        <w:t>竟仍出面替游</w:t>
      </w:r>
      <w:r>
        <w:rPr>
          <w:rFonts w:hint="eastAsia"/>
        </w:rPr>
        <w:t>男</w:t>
      </w:r>
      <w:r w:rsidRPr="003B434C">
        <w:rPr>
          <w:rFonts w:hint="eastAsia"/>
        </w:rPr>
        <w:t>運作，報由已調派執行科之</w:t>
      </w:r>
      <w:r w:rsidR="00BA2CD6" w:rsidRPr="003B434C">
        <w:rPr>
          <w:rFonts w:hint="eastAsia"/>
        </w:rPr>
        <w:t>鄭</w:t>
      </w:r>
      <w:r w:rsidRPr="003B434C">
        <w:rPr>
          <w:rFonts w:hint="eastAsia"/>
        </w:rPr>
        <w:t>檢察官出面協調范檢察官同意將案件改分由李檢察官接辦，范檢察官經鄭檢察官告知李檢察官手上有游</w:t>
      </w:r>
      <w:r>
        <w:rPr>
          <w:rFonts w:hint="eastAsia"/>
        </w:rPr>
        <w:t>男</w:t>
      </w:r>
      <w:r w:rsidRPr="003B434C">
        <w:rPr>
          <w:rFonts w:hint="eastAsia"/>
        </w:rPr>
        <w:t>相關案件後，基於避免認事兩歧，且已徵得李檢察官同意，遂同意將案件移由李檢察官承辦，而使游</w:t>
      </w:r>
      <w:r>
        <w:rPr>
          <w:rFonts w:hint="eastAsia"/>
        </w:rPr>
        <w:t>男</w:t>
      </w:r>
      <w:r w:rsidRPr="003B434C">
        <w:rPr>
          <w:rFonts w:hint="eastAsia"/>
        </w:rPr>
        <w:t>所涉前案得以再改由李檢察官接辦，並旋於103年11月27日獲得李檢察官同意適用</w:t>
      </w:r>
      <w:r>
        <w:rPr>
          <w:rFonts w:hAnsi="標楷體" w:hint="eastAsia"/>
        </w:rPr>
        <w:t>〈</w:t>
      </w:r>
      <w:r w:rsidRPr="00136B6E">
        <w:rPr>
          <w:rFonts w:hint="eastAsia"/>
        </w:rPr>
        <w:t>證人保護法</w:t>
      </w:r>
      <w:r>
        <w:rPr>
          <w:rFonts w:hAnsi="標楷體" w:hint="eastAsia"/>
        </w:rPr>
        <w:t>〉</w:t>
      </w:r>
      <w:r w:rsidRPr="003B434C">
        <w:rPr>
          <w:rFonts w:hint="eastAsia"/>
        </w:rPr>
        <w:t>。游</w:t>
      </w:r>
      <w:r>
        <w:rPr>
          <w:rFonts w:hint="eastAsia"/>
        </w:rPr>
        <w:t>男</w:t>
      </w:r>
      <w:r w:rsidRPr="003B434C">
        <w:rPr>
          <w:rFonts w:hint="eastAsia"/>
        </w:rPr>
        <w:t>獲得允諾後，乃積極要求余</w:t>
      </w:r>
      <w:r>
        <w:rPr>
          <w:rFonts w:hint="eastAsia"/>
        </w:rPr>
        <w:t>男</w:t>
      </w:r>
      <w:r w:rsidRPr="003B434C">
        <w:rPr>
          <w:rFonts w:hint="eastAsia"/>
        </w:rPr>
        <w:t>集團繼續尋找頂罪角色。余</w:t>
      </w:r>
      <w:r>
        <w:rPr>
          <w:rFonts w:hint="eastAsia"/>
        </w:rPr>
        <w:t>男</w:t>
      </w:r>
      <w:r w:rsidRPr="003B434C">
        <w:rPr>
          <w:rFonts w:hint="eastAsia"/>
        </w:rPr>
        <w:t>集團乃四處打聽是否有罹患癌症之人，並於103年11月某日打聽到罹患癌症之曾</w:t>
      </w:r>
      <w:r>
        <w:rPr>
          <w:rFonts w:hint="eastAsia"/>
        </w:rPr>
        <w:t>男</w:t>
      </w:r>
      <w:r w:rsidRPr="003B434C">
        <w:rPr>
          <w:rFonts w:hint="eastAsia"/>
        </w:rPr>
        <w:t>，並設法取得曾</w:t>
      </w:r>
      <w:r>
        <w:rPr>
          <w:rFonts w:hint="eastAsia"/>
        </w:rPr>
        <w:t>男</w:t>
      </w:r>
      <w:r w:rsidRPr="003B434C">
        <w:rPr>
          <w:rFonts w:hint="eastAsia"/>
        </w:rPr>
        <w:t>持用之行動電話A門號。</w:t>
      </w:r>
    </w:p>
    <w:p w:rsidR="007768B1" w:rsidRDefault="007768B1" w:rsidP="007768B1">
      <w:pPr>
        <w:pStyle w:val="5"/>
      </w:pPr>
      <w:r w:rsidRPr="003B434C">
        <w:rPr>
          <w:rFonts w:hint="eastAsia"/>
        </w:rPr>
        <w:t>104年2月上旬某日，余</w:t>
      </w:r>
      <w:r>
        <w:rPr>
          <w:rFonts w:hint="eastAsia"/>
        </w:rPr>
        <w:t>男</w:t>
      </w:r>
      <w:r w:rsidRPr="003B434C">
        <w:rPr>
          <w:rFonts w:hint="eastAsia"/>
        </w:rPr>
        <w:t>集團之港籍成員鄭</w:t>
      </w:r>
      <w:r>
        <w:rPr>
          <w:rFonts w:hint="eastAsia"/>
        </w:rPr>
        <w:t>男</w:t>
      </w:r>
      <w:r w:rsidRPr="003B434C">
        <w:rPr>
          <w:rFonts w:hint="eastAsia"/>
        </w:rPr>
        <w:t>來</w:t>
      </w:r>
      <w:r>
        <w:rPr>
          <w:rFonts w:hint="eastAsia"/>
        </w:rPr>
        <w:t>臺</w:t>
      </w:r>
      <w:r w:rsidRPr="003B434C">
        <w:rPr>
          <w:rFonts w:hint="eastAsia"/>
        </w:rPr>
        <w:t>撥打曾</w:t>
      </w:r>
      <w:r>
        <w:rPr>
          <w:rFonts w:hint="eastAsia"/>
        </w:rPr>
        <w:t>男</w:t>
      </w:r>
      <w:r w:rsidRPr="003B434C">
        <w:rPr>
          <w:rFonts w:hint="eastAsia"/>
        </w:rPr>
        <w:t>之</w:t>
      </w:r>
      <w:r w:rsidRPr="00444710">
        <w:rPr>
          <w:rFonts w:hint="eastAsia"/>
        </w:rPr>
        <w:t>A</w:t>
      </w:r>
      <w:r w:rsidRPr="003B434C">
        <w:rPr>
          <w:rFonts w:hint="eastAsia"/>
        </w:rPr>
        <w:t>門號聯繫確認願意擔任接貨人以供頂罪之角色後，於104年3月27日</w:t>
      </w:r>
      <w:r>
        <w:rPr>
          <w:rFonts w:hint="eastAsia"/>
        </w:rPr>
        <w:t>與</w:t>
      </w:r>
      <w:r w:rsidRPr="003B434C">
        <w:rPr>
          <w:rFonts w:hint="eastAsia"/>
        </w:rPr>
        <w:t>曾</w:t>
      </w:r>
      <w:r>
        <w:rPr>
          <w:rFonts w:hint="eastAsia"/>
        </w:rPr>
        <w:t>男</w:t>
      </w:r>
      <w:r w:rsidRPr="003B434C">
        <w:rPr>
          <w:rFonts w:hint="eastAsia"/>
        </w:rPr>
        <w:lastRenderedPageBreak/>
        <w:t>見面。游</w:t>
      </w:r>
      <w:r>
        <w:rPr>
          <w:rFonts w:hint="eastAsia"/>
        </w:rPr>
        <w:t>男</w:t>
      </w:r>
      <w:r w:rsidRPr="003B434C">
        <w:rPr>
          <w:rFonts w:hint="eastAsia"/>
        </w:rPr>
        <w:t>在得知余</w:t>
      </w:r>
      <w:r>
        <w:rPr>
          <w:rFonts w:hint="eastAsia"/>
        </w:rPr>
        <w:t>男</w:t>
      </w:r>
      <w:r w:rsidRPr="003B434C">
        <w:rPr>
          <w:rFonts w:hint="eastAsia"/>
        </w:rPr>
        <w:t>集團已安排妥當後，隨即將曾</w:t>
      </w:r>
      <w:r>
        <w:rPr>
          <w:rFonts w:hint="eastAsia"/>
        </w:rPr>
        <w:t>男做</w:t>
      </w:r>
      <w:r w:rsidRPr="003B434C">
        <w:rPr>
          <w:rFonts w:hint="eastAsia"/>
        </w:rPr>
        <w:t>為毒品接貨人角色之身分與持用之A門號通知</w:t>
      </w:r>
      <w:r>
        <w:rPr>
          <w:rFonts w:hint="eastAsia"/>
        </w:rPr>
        <w:t>蔡員</w:t>
      </w:r>
      <w:r w:rsidRPr="003B434C">
        <w:rPr>
          <w:rFonts w:hint="eastAsia"/>
        </w:rPr>
        <w:t>，</w:t>
      </w:r>
      <w:r>
        <w:rPr>
          <w:rFonts w:hint="eastAsia"/>
        </w:rPr>
        <w:t>蔡員即</w:t>
      </w:r>
      <w:r w:rsidRPr="003B434C">
        <w:rPr>
          <w:rFonts w:hint="eastAsia"/>
        </w:rPr>
        <w:t>組成專案小組</w:t>
      </w:r>
      <w:r>
        <w:rPr>
          <w:rFonts w:hint="eastAsia"/>
        </w:rPr>
        <w:t>在</w:t>
      </w:r>
      <w:r w:rsidRPr="003B434C">
        <w:rPr>
          <w:rFonts w:hint="eastAsia"/>
        </w:rPr>
        <w:t>曾</w:t>
      </w:r>
      <w:r>
        <w:rPr>
          <w:rFonts w:hint="eastAsia"/>
        </w:rPr>
        <w:t>男</w:t>
      </w:r>
      <w:r w:rsidRPr="003B434C">
        <w:rPr>
          <w:rFonts w:hint="eastAsia"/>
        </w:rPr>
        <w:t>住處附近展開行動蒐證。</w:t>
      </w:r>
      <w:r>
        <w:rPr>
          <w:rFonts w:hint="eastAsia"/>
        </w:rPr>
        <w:t>蔡員</w:t>
      </w:r>
      <w:r w:rsidRPr="003B434C">
        <w:rPr>
          <w:rFonts w:hint="eastAsia"/>
        </w:rPr>
        <w:t>於104年3月30日通知游</w:t>
      </w:r>
      <w:r>
        <w:rPr>
          <w:rFonts w:hint="eastAsia"/>
        </w:rPr>
        <w:t>男至</w:t>
      </w:r>
      <w:r w:rsidRPr="003B434C">
        <w:rPr>
          <w:rFonts w:hint="eastAsia"/>
        </w:rPr>
        <w:t>高雄市調處製作檢舉人筆錄</w:t>
      </w:r>
      <w:r>
        <w:rPr>
          <w:rFonts w:hint="eastAsia"/>
        </w:rPr>
        <w:t>(</w:t>
      </w:r>
      <w:r w:rsidRPr="003B434C">
        <w:rPr>
          <w:rFonts w:hint="eastAsia"/>
        </w:rPr>
        <w:t>檢舉趙</w:t>
      </w:r>
      <w:r>
        <w:rPr>
          <w:rFonts w:hint="eastAsia"/>
        </w:rPr>
        <w:t>男</w:t>
      </w:r>
      <w:r w:rsidRPr="003B434C">
        <w:rPr>
          <w:rFonts w:hint="eastAsia"/>
        </w:rPr>
        <w:t>將走私毒品給「阿吉」，及「阿吉」持用</w:t>
      </w:r>
      <w:r>
        <w:rPr>
          <w:rFonts w:hint="eastAsia"/>
        </w:rPr>
        <w:t>A</w:t>
      </w:r>
      <w:r w:rsidRPr="003B434C">
        <w:rPr>
          <w:rFonts w:hint="eastAsia"/>
        </w:rPr>
        <w:t>門號</w:t>
      </w:r>
      <w:r>
        <w:t>)</w:t>
      </w:r>
      <w:r w:rsidRPr="003B434C">
        <w:rPr>
          <w:rFonts w:hint="eastAsia"/>
        </w:rPr>
        <w:t>。</w:t>
      </w:r>
      <w:r>
        <w:rPr>
          <w:rFonts w:hint="eastAsia"/>
        </w:rPr>
        <w:t>蔡員</w:t>
      </w:r>
      <w:r w:rsidRPr="003B434C">
        <w:rPr>
          <w:rFonts w:hint="eastAsia"/>
        </w:rPr>
        <w:t>將全案呈報調查局局本部之毒品防制處，並於104年3月30日傍晚向李檢察官聲請就A門號緊急上線監聽</w:t>
      </w:r>
      <w:r>
        <w:rPr>
          <w:rFonts w:hAnsi="標楷體" w:hint="eastAsia"/>
        </w:rPr>
        <w:t>，</w:t>
      </w:r>
      <w:r w:rsidRPr="003B434C">
        <w:rPr>
          <w:rFonts w:hint="eastAsia"/>
        </w:rPr>
        <w:t>惟上線結果發現已遭南機站監聽中。</w:t>
      </w:r>
      <w:r>
        <w:rPr>
          <w:rFonts w:hint="eastAsia"/>
        </w:rPr>
        <w:t>蔡員</w:t>
      </w:r>
      <w:r w:rsidRPr="003B434C">
        <w:rPr>
          <w:rFonts w:hint="eastAsia"/>
        </w:rPr>
        <w:t>隨即將上情報告鄭檢察官，並於104年3月31日會同鄭檢察官前往南機站協調合辦方式。</w:t>
      </w:r>
    </w:p>
    <w:p w:rsidR="007768B1" w:rsidRDefault="007768B1" w:rsidP="00BA2CD6">
      <w:pPr>
        <w:pStyle w:val="5"/>
      </w:pPr>
      <w:r w:rsidRPr="003B434C">
        <w:rPr>
          <w:rFonts w:hint="eastAsia"/>
        </w:rPr>
        <w:t>游</w:t>
      </w:r>
      <w:r>
        <w:rPr>
          <w:rFonts w:hint="eastAsia"/>
        </w:rPr>
        <w:t>男</w:t>
      </w:r>
      <w:r w:rsidRPr="003B434C">
        <w:rPr>
          <w:rFonts w:hint="eastAsia"/>
        </w:rPr>
        <w:t>於104年4月6日再次前往高雄市調處製作筆錄，向</w:t>
      </w:r>
      <w:r>
        <w:rPr>
          <w:rFonts w:hint="eastAsia"/>
        </w:rPr>
        <w:t>蔡員</w:t>
      </w:r>
      <w:r w:rsidRPr="003B434C">
        <w:rPr>
          <w:rFonts w:hint="eastAsia"/>
        </w:rPr>
        <w:t>報告「阿吉」已更換持用B門號，並由</w:t>
      </w:r>
      <w:r>
        <w:rPr>
          <w:rFonts w:hint="eastAsia"/>
        </w:rPr>
        <w:t>蔡員</w:t>
      </w:r>
      <w:r w:rsidRPr="003B434C">
        <w:rPr>
          <w:rFonts w:hint="eastAsia"/>
        </w:rPr>
        <w:t>安排對新線聲請上線監聽。嗣於104年4月14日上午11時許，貨運公司人員運送70包</w:t>
      </w:r>
      <w:r>
        <w:rPr>
          <w:rFonts w:hint="eastAsia"/>
        </w:rPr>
        <w:t>(</w:t>
      </w:r>
      <w:r w:rsidRPr="003B434C">
        <w:rPr>
          <w:rFonts w:hint="eastAsia"/>
        </w:rPr>
        <w:t>毛重70公斤</w:t>
      </w:r>
      <w:r>
        <w:rPr>
          <w:rFonts w:hint="eastAsia"/>
        </w:rPr>
        <w:t>)</w:t>
      </w:r>
      <w:r w:rsidRPr="003B434C">
        <w:rPr>
          <w:rFonts w:hint="eastAsia"/>
        </w:rPr>
        <w:t>之第二級毒品</w:t>
      </w:r>
      <w:r>
        <w:rPr>
          <w:rFonts w:hint="eastAsia"/>
        </w:rPr>
        <w:t>甲基安非他命</w:t>
      </w:r>
      <w:r w:rsidRPr="003B434C">
        <w:rPr>
          <w:rFonts w:hint="eastAsia"/>
        </w:rPr>
        <w:t>4大箱至曾</w:t>
      </w:r>
      <w:r>
        <w:rPr>
          <w:rFonts w:hint="eastAsia"/>
        </w:rPr>
        <w:t>男</w:t>
      </w:r>
      <w:r w:rsidRPr="003B434C">
        <w:rPr>
          <w:rFonts w:hint="eastAsia"/>
        </w:rPr>
        <w:t>住所並簽收後，</w:t>
      </w:r>
      <w:r>
        <w:rPr>
          <w:rFonts w:hint="eastAsia"/>
        </w:rPr>
        <w:t>曾男</w:t>
      </w:r>
      <w:r w:rsidRPr="003B434C">
        <w:rPr>
          <w:rFonts w:hint="eastAsia"/>
        </w:rPr>
        <w:t>旋遭專案小組人員壓制，毒品並當場遭扣。</w:t>
      </w:r>
      <w:r>
        <w:rPr>
          <w:rFonts w:hint="eastAsia"/>
        </w:rPr>
        <w:t>蔡員</w:t>
      </w:r>
      <w:r w:rsidRPr="003B434C">
        <w:rPr>
          <w:rFonts w:hint="eastAsia"/>
        </w:rPr>
        <w:t>在查</w:t>
      </w:r>
      <w:r>
        <w:rPr>
          <w:rFonts w:hint="eastAsia"/>
        </w:rPr>
        <w:t>知</w:t>
      </w:r>
      <w:r w:rsidRPr="003B434C">
        <w:rPr>
          <w:rFonts w:hint="eastAsia"/>
        </w:rPr>
        <w:t>曾</w:t>
      </w:r>
      <w:r>
        <w:rPr>
          <w:rFonts w:hint="eastAsia"/>
        </w:rPr>
        <w:t>男</w:t>
      </w:r>
      <w:r w:rsidRPr="003B434C">
        <w:rPr>
          <w:rFonts w:hint="eastAsia"/>
        </w:rPr>
        <w:t>只是單純供</w:t>
      </w:r>
      <w:r>
        <w:rPr>
          <w:rFonts w:hAnsi="標楷體" w:hint="eastAsia"/>
        </w:rPr>
        <w:t>「</w:t>
      </w:r>
      <w:r w:rsidRPr="003B434C">
        <w:rPr>
          <w:rFonts w:hint="eastAsia"/>
        </w:rPr>
        <w:t>死轉手</w:t>
      </w:r>
      <w:r>
        <w:rPr>
          <w:rFonts w:hAnsi="標楷體" w:hint="eastAsia"/>
        </w:rPr>
        <w:t>」</w:t>
      </w:r>
      <w:r w:rsidRPr="003B434C">
        <w:rPr>
          <w:rFonts w:hint="eastAsia"/>
        </w:rPr>
        <w:t>角色運用之罹癌患者後，仍不追查游</w:t>
      </w:r>
      <w:r>
        <w:rPr>
          <w:rFonts w:hint="eastAsia"/>
        </w:rPr>
        <w:t>男</w:t>
      </w:r>
      <w:r w:rsidRPr="003B434C">
        <w:rPr>
          <w:rFonts w:hint="eastAsia"/>
        </w:rPr>
        <w:t>在本案之罪嫌，反讓游</w:t>
      </w:r>
      <w:r>
        <w:rPr>
          <w:rFonts w:hint="eastAsia"/>
        </w:rPr>
        <w:t>男</w:t>
      </w:r>
      <w:r w:rsidRPr="003B434C">
        <w:rPr>
          <w:rFonts w:hint="eastAsia"/>
        </w:rPr>
        <w:t>所涉前案於104年4月15日由李檢察官起訴但求處免刑</w:t>
      </w:r>
      <w:r w:rsidR="00BA2CD6">
        <w:rPr>
          <w:rStyle w:val="afd"/>
        </w:rPr>
        <w:footnoteReference w:id="3"/>
      </w:r>
      <w:r w:rsidRPr="003B434C">
        <w:rPr>
          <w:rFonts w:hint="eastAsia"/>
        </w:rPr>
        <w:t>。</w:t>
      </w:r>
      <w:r>
        <w:rPr>
          <w:rFonts w:hint="eastAsia"/>
        </w:rPr>
        <w:t>蔡員</w:t>
      </w:r>
      <w:r w:rsidRPr="003B434C">
        <w:rPr>
          <w:rFonts w:hint="eastAsia"/>
        </w:rPr>
        <w:t>更於明知查扣之70公斤甲基非他命係游</w:t>
      </w:r>
      <w:r>
        <w:rPr>
          <w:rFonts w:hint="eastAsia"/>
        </w:rPr>
        <w:t>男</w:t>
      </w:r>
      <w:r w:rsidRPr="003B434C">
        <w:rPr>
          <w:rFonts w:hint="eastAsia"/>
        </w:rPr>
        <w:t>自行購入，不應申請獎金，卻仍依據</w:t>
      </w:r>
      <w:r>
        <w:rPr>
          <w:rFonts w:hAnsi="標楷體" w:hint="eastAsia"/>
        </w:rPr>
        <w:t>〈</w:t>
      </w:r>
      <w:r w:rsidRPr="00136B6E">
        <w:rPr>
          <w:rFonts w:hint="eastAsia"/>
        </w:rPr>
        <w:t>防制毒品危害獎懲辦法</w:t>
      </w:r>
      <w:r>
        <w:rPr>
          <w:rFonts w:hAnsi="標楷體" w:hint="eastAsia"/>
        </w:rPr>
        <w:t>〉</w:t>
      </w:r>
      <w:r w:rsidRPr="00136B6E">
        <w:rPr>
          <w:rFonts w:hint="eastAsia"/>
        </w:rPr>
        <w:t>檢具檢舉查獲毒品案件獎金申請表等文件，經由高雄地檢署轉報</w:t>
      </w:r>
      <w:r w:rsidR="00BA2CD6" w:rsidRPr="00BA2CD6">
        <w:rPr>
          <w:rFonts w:hint="eastAsia"/>
        </w:rPr>
        <w:t>臺灣高等檢察署</w:t>
      </w:r>
      <w:r w:rsidR="0070788D" w:rsidRPr="0070788D">
        <w:rPr>
          <w:rFonts w:hint="eastAsia"/>
        </w:rPr>
        <w:t>(下稱高檢署)</w:t>
      </w:r>
      <w:r w:rsidR="00BA2CD6" w:rsidRPr="00BA2CD6">
        <w:rPr>
          <w:rFonts w:hint="eastAsia"/>
        </w:rPr>
        <w:t>高雄檢察分署(下稱高雄高檢分署)</w:t>
      </w:r>
      <w:r w:rsidRPr="00136B6E">
        <w:rPr>
          <w:rFonts w:hint="eastAsia"/>
        </w:rPr>
        <w:t>申請發給查獲獎金49萬2</w:t>
      </w:r>
      <w:r w:rsidRPr="00136B6E">
        <w:t>,</w:t>
      </w:r>
      <w:r w:rsidRPr="00136B6E">
        <w:rPr>
          <w:rFonts w:hint="eastAsia"/>
        </w:rPr>
        <w:t>231元，</w:t>
      </w:r>
      <w:r w:rsidRPr="00136B6E">
        <w:rPr>
          <w:rFonts w:hint="eastAsia"/>
        </w:rPr>
        <w:lastRenderedPageBreak/>
        <w:t>惟尚未獲核發而未遂</w:t>
      </w:r>
      <w:r w:rsidR="00BA2CD6">
        <w:rPr>
          <w:rFonts w:hAnsi="標楷體" w:hint="eastAsia"/>
        </w:rPr>
        <w:t>，</w:t>
      </w:r>
      <w:r w:rsidRPr="00136B6E">
        <w:rPr>
          <w:rFonts w:hint="eastAsia"/>
        </w:rPr>
        <w:t>認蔡員所為涉犯</w:t>
      </w:r>
      <w:r w:rsidRPr="00136B6E">
        <w:rPr>
          <w:rFonts w:hAnsi="標楷體" w:cs="Helvetica" w:hint="eastAsia"/>
          <w:shd w:val="clear" w:color="auto" w:fill="FFFFFF"/>
        </w:rPr>
        <w:t>〈</w:t>
      </w:r>
      <w:r w:rsidRPr="00136B6E">
        <w:rPr>
          <w:rFonts w:hint="eastAsia"/>
        </w:rPr>
        <w:t>貪污治罪條例</w:t>
      </w:r>
      <w:r w:rsidRPr="00136B6E">
        <w:rPr>
          <w:rFonts w:hAnsi="標楷體" w:cs="Helvetica" w:hint="eastAsia"/>
          <w:shd w:val="clear" w:color="auto" w:fill="FFFFFF"/>
        </w:rPr>
        <w:t>〉</w:t>
      </w:r>
      <w:r w:rsidRPr="003B434C">
        <w:rPr>
          <w:rFonts w:hint="eastAsia"/>
        </w:rPr>
        <w:t>第5條第1項第2款、第2項之公務員利用職務上機會詐取財物未遂罪嫌。</w:t>
      </w:r>
    </w:p>
    <w:p w:rsidR="007260E2" w:rsidRDefault="00A953A8" w:rsidP="00BA2CD6">
      <w:pPr>
        <w:pStyle w:val="4"/>
      </w:pPr>
      <w:r w:rsidRPr="00BB441F">
        <w:rPr>
          <w:rFonts w:hint="eastAsia"/>
          <w:b/>
        </w:rPr>
        <w:t>第一審之臺灣高雄地方法院</w:t>
      </w:r>
      <w:r w:rsidR="00AF4CD9" w:rsidRPr="00BB441F">
        <w:rPr>
          <w:rFonts w:hint="eastAsia"/>
          <w:b/>
        </w:rPr>
        <w:t>(</w:t>
      </w:r>
      <w:r w:rsidRPr="00BB441F">
        <w:rPr>
          <w:rFonts w:hint="eastAsia"/>
          <w:b/>
        </w:rPr>
        <w:t>下稱高雄地院</w:t>
      </w:r>
      <w:r w:rsidR="00AF4CD9" w:rsidRPr="00BB441F">
        <w:rPr>
          <w:rFonts w:hint="eastAsia"/>
          <w:b/>
        </w:rPr>
        <w:t>)</w:t>
      </w:r>
      <w:r w:rsidR="00BA2CD6" w:rsidRPr="00BB441F">
        <w:rPr>
          <w:rFonts w:hint="eastAsia"/>
          <w:b/>
        </w:rPr>
        <w:t>106年5月19日判決</w:t>
      </w:r>
      <w:r w:rsidR="00196BD9" w:rsidRPr="00BB441F">
        <w:rPr>
          <w:rFonts w:hint="eastAsia"/>
          <w:b/>
        </w:rPr>
        <w:t>(105年度訴字第723號)</w:t>
      </w:r>
      <w:r w:rsidR="00BA2CD6" w:rsidRPr="00BB441F">
        <w:rPr>
          <w:rFonts w:hint="eastAsia"/>
          <w:b/>
        </w:rPr>
        <w:t>蔡員無罪</w:t>
      </w:r>
      <w:r w:rsidR="00BA2CD6" w:rsidRPr="00BA2CD6">
        <w:rPr>
          <w:rFonts w:hint="eastAsia"/>
        </w:rPr>
        <w:t>，理由略以：</w:t>
      </w:r>
    </w:p>
    <w:p w:rsidR="002C4325" w:rsidRDefault="002C4325" w:rsidP="002C4325">
      <w:pPr>
        <w:pStyle w:val="5"/>
      </w:pPr>
      <w:r>
        <w:rPr>
          <w:rFonts w:hint="eastAsia"/>
        </w:rPr>
        <w:t>蔡員未曾同意游男自行購毒或以抵債方式安排運輸毒品以供查獲，且衡諸常情，檢察官對於是否聲請羈押被告或准予具保、偵查案件應由何人承辦等節，具有決定權限，而蔡員僅係身為調查官，應無置喙餘地。</w:t>
      </w:r>
    </w:p>
    <w:p w:rsidR="002C4325" w:rsidRDefault="002C4325" w:rsidP="002C4325">
      <w:pPr>
        <w:pStyle w:val="5"/>
      </w:pPr>
      <w:r>
        <w:rPr>
          <w:rFonts w:hint="eastAsia"/>
        </w:rPr>
        <w:t>游男接獲趙男提供之情資後旋告知蔡員，其即指示其他調查官針對此情資蒐證，再報告檢察官後通知游男製作檢舉筆錄。而設若曾男為游男所安排，且為蔡員所知悉，則對象理應相當明確，何需經兩度行動蒐證，方能確認「阿吉」為曾男。</w:t>
      </w:r>
    </w:p>
    <w:p w:rsidR="002C4325" w:rsidRDefault="002C4325" w:rsidP="002C4325">
      <w:pPr>
        <w:pStyle w:val="5"/>
      </w:pPr>
      <w:r>
        <w:rPr>
          <w:rFonts w:hint="eastAsia"/>
        </w:rPr>
        <w:t>曾男確有參與港籍走私毒品集團運輸之70公斤甲基安非他命案件，並非游男所刻意安排或故意誣陷，蔡員亦無刻意配合游男布置之計畫查緝曾男之舉。</w:t>
      </w:r>
    </w:p>
    <w:p w:rsidR="002C4325" w:rsidRDefault="002C4325" w:rsidP="002C4325">
      <w:pPr>
        <w:pStyle w:val="5"/>
      </w:pPr>
      <w:r>
        <w:rPr>
          <w:rFonts w:hint="eastAsia"/>
        </w:rPr>
        <w:t>蔡員仍有指揮調查官進行後續追查毒品上手來源之情事，其偵辦作為與調查局之緝毒作業常規相符，公訴人質疑蔡員與游男之間有密切聯繫，並認蔡員於查獲曾男運毒案翌日旋通知游男此事，係示警游男云云，應屬誤會。</w:t>
      </w:r>
    </w:p>
    <w:p w:rsidR="002C4325" w:rsidRDefault="002C4325" w:rsidP="002C4325">
      <w:pPr>
        <w:pStyle w:val="5"/>
      </w:pPr>
      <w:r>
        <w:rPr>
          <w:rFonts w:hint="eastAsia"/>
        </w:rPr>
        <w:t>蔡員於接獲游男提供「阿吉」之行動電話門號等情資後，為調查該犯罪網絡是否確實有走私毒品入境，避免毒品流入市場造成危害，乃依此情資進行上線等偵查手續，所為並無利用職</w:t>
      </w:r>
      <w:r>
        <w:rPr>
          <w:rFonts w:hint="eastAsia"/>
        </w:rPr>
        <w:lastRenderedPageBreak/>
        <w:t>務上機會施以詐術之情。在別無其他證據證明之情況下，蔡員未予追查游男在曾男運毒案中之罪嫌，尚難認有迴護之意。</w:t>
      </w:r>
    </w:p>
    <w:p w:rsidR="002C4325" w:rsidRDefault="002C4325" w:rsidP="002C4325">
      <w:pPr>
        <w:pStyle w:val="5"/>
      </w:pPr>
      <w:r>
        <w:rPr>
          <w:rFonts w:hint="eastAsia"/>
        </w:rPr>
        <w:t>證人游男否認有提及找出癌末病患作為人頭之情，且卷內並無證據顯示蔡員同意游男以債換毒之提議，亦無證據顯示蔡員出面替游男運作。又游男自始至終否認有參與曾男運毒案，則蔡員稱其不認為游男有參與運輸或走私70公斤甲基安非他命，游男只是提供趙男及「阿吉」這條線索等語，尚非無稽。</w:t>
      </w:r>
    </w:p>
    <w:p w:rsidR="002C4325" w:rsidRDefault="002C4325" w:rsidP="002C4325">
      <w:pPr>
        <w:pStyle w:val="5"/>
      </w:pPr>
      <w:r>
        <w:rPr>
          <w:rFonts w:hint="eastAsia"/>
        </w:rPr>
        <w:t>蔡員身為高雄市調處之主辦人員，於查獲曾男運毒案後，按照〈防制毒品危害獎懲辦法〉之相關規定，依循指示簽請核發相關查獲人員(含蔡員本人)之查緝獎金，其主觀上應無萌生為自己不法所有之意圖，客觀上更無施用詐術之行為；況且本件尚未核發獎金，而是否核發獎金係由高雄地檢署及高雄高檢分署權衡全案經過決定之，亦非蔡員提出申請即足以使人陷於錯誤，是以蔡員所為與公務員利用職務上之機會詐取財物未遂罪之構成要件顯不該當，自難以該罪相繩。</w:t>
      </w:r>
    </w:p>
    <w:p w:rsidR="00AF4CD9" w:rsidRDefault="00A953A8" w:rsidP="00A953A8">
      <w:pPr>
        <w:pStyle w:val="4"/>
      </w:pPr>
      <w:r w:rsidRPr="00BB441F">
        <w:rPr>
          <w:rFonts w:hint="eastAsia"/>
          <w:b/>
        </w:rPr>
        <w:t>第二審之臺灣高等法院高雄分院(下稱高雄高分院</w:t>
      </w:r>
      <w:r w:rsidR="00196BD9" w:rsidRPr="00BB441F">
        <w:rPr>
          <w:rFonts w:hint="eastAsia"/>
          <w:b/>
        </w:rPr>
        <w:t>)108年10月15日判決(106年度上訴字第738號)改處蔡員有期徒刑1年10月</w:t>
      </w:r>
      <w:r w:rsidR="00196BD9" w:rsidRPr="00196BD9">
        <w:rPr>
          <w:rFonts w:hint="eastAsia"/>
        </w:rPr>
        <w:t>，理由略以：</w:t>
      </w:r>
    </w:p>
    <w:p w:rsidR="00C047E3" w:rsidRDefault="00C047E3" w:rsidP="00C047E3">
      <w:pPr>
        <w:pStyle w:val="5"/>
      </w:pPr>
      <w:r>
        <w:rPr>
          <w:rFonts w:hint="eastAsia"/>
        </w:rPr>
        <w:t>游男為減免刑責萌生安排毒品案件供檢調查獲之動機，而因其知悉向積欠其大筆債務、流亡大陸之趙男催討債務，趙男會以毒品抵償債務，遂向趙男催討債務，與趙男達成共識，由趙男運交甲基安非他命抵償債務，再將此運輸毒品情資告知蔡員，由蔡員所負責之查緝小組</w:t>
      </w:r>
      <w:r>
        <w:rPr>
          <w:rFonts w:hint="eastAsia"/>
        </w:rPr>
        <w:lastRenderedPageBreak/>
        <w:t>查獲此案。又游男是以向趙男催討債務之方式，刻意安排此宗運輸毒品案件，供檢調查獲以換取減免刑責之寬典，此部分事實亦經</w:t>
      </w:r>
      <w:r w:rsidRPr="00BB441F">
        <w:rPr>
          <w:rFonts w:hint="eastAsia"/>
          <w:b/>
        </w:rPr>
        <w:t>高雄地院105年度重訴字第17號判決認定無訛</w:t>
      </w:r>
      <w:r>
        <w:rPr>
          <w:rFonts w:hint="eastAsia"/>
        </w:rPr>
        <w:t>。</w:t>
      </w:r>
    </w:p>
    <w:p w:rsidR="00C047E3" w:rsidRDefault="00C047E3" w:rsidP="00C047E3">
      <w:pPr>
        <w:pStyle w:val="5"/>
      </w:pPr>
      <w:r>
        <w:rPr>
          <w:rFonts w:hint="eastAsia"/>
        </w:rPr>
        <w:t>曾男僅屬運毒集團之一份子，並非核心集團成員，僅是一斷點，益徵前揭所述運毒、販毒集團分工之慣例確屬實情，游男本無親自安排全部過程之必要，游男自上游毒品源於趙男至下游毒品由曾男收貨均知悉，此不合常情，可見蔡員應知悉本件是游男刻意安排而查獲的。</w:t>
      </w:r>
    </w:p>
    <w:p w:rsidR="00C047E3" w:rsidRDefault="00C047E3" w:rsidP="00C047E3">
      <w:pPr>
        <w:pStyle w:val="5"/>
      </w:pPr>
      <w:r>
        <w:rPr>
          <w:rFonts w:hint="eastAsia"/>
        </w:rPr>
        <w:t>縱已知悉接運毒品人員之真實身分，仍無法保證必可安全查緝到毒品，仍須部屬多層查緝人員於目標附近以策萬全，此乃各式專案收網時之必備作為，屬調查案件之公知必備技巧。況蔡員如未進行事前部署，豈不反而容易引起質疑，甚或發生黑吃黑而致毒品脫勾之危險，蔡員擔任緝毒工作多年，又屬組長級之專業人員，自不會遺忘此節，蔡員召集專案小組與指示追查，仍不能為其有利之證明。</w:t>
      </w:r>
    </w:p>
    <w:p w:rsidR="00C047E3" w:rsidRDefault="00C047E3" w:rsidP="00C047E3">
      <w:pPr>
        <w:pStyle w:val="5"/>
      </w:pPr>
      <w:r>
        <w:rPr>
          <w:rFonts w:hint="eastAsia"/>
        </w:rPr>
        <w:t>南機站確實係因他案偶然才掌握到該案之部分情資，而游男所掌握及提供予蔡員的是南機站無法獲取之核心情資，亦足證蔡</w:t>
      </w:r>
      <w:r w:rsidR="00B0390E">
        <w:rPr>
          <w:rFonts w:hint="eastAsia"/>
        </w:rPr>
        <w:t>員</w:t>
      </w:r>
      <w:r>
        <w:rPr>
          <w:rFonts w:hint="eastAsia"/>
        </w:rPr>
        <w:t>知悉游男為減免刑責，而安排走私毒品被查獲之事。</w:t>
      </w:r>
    </w:p>
    <w:p w:rsidR="00C047E3" w:rsidRDefault="00C047E3" w:rsidP="00C047E3">
      <w:pPr>
        <w:pStyle w:val="5"/>
      </w:pPr>
      <w:r>
        <w:rPr>
          <w:rFonts w:hint="eastAsia"/>
        </w:rPr>
        <w:t>以毒抵債，在法律評價上本與出資購買毒品無異，且游男此舉並涉有教唆趙男運輸或與趙男共同運輸毒品之罪嫌。蔡員身為執法人員，卻仍同意游男此違法之舉，以游男提供之情資查獲曾男，欲使游男因而獲得減免刑責之寬典，是蔡員應知悉游男為減免刑責，而安排走私毒品被查獲之事。</w:t>
      </w:r>
    </w:p>
    <w:p w:rsidR="00C047E3" w:rsidRDefault="00C047E3" w:rsidP="00C047E3">
      <w:pPr>
        <w:pStyle w:val="5"/>
      </w:pPr>
      <w:r>
        <w:rPr>
          <w:rFonts w:hint="eastAsia"/>
        </w:rPr>
        <w:lastRenderedPageBreak/>
        <w:t>蔡員明知游男為求免刑，安排運輸毒品進口予接貨人曾男，再由調查局依該線索破獲後，原不應申領緝毒獎金，而仍違法申請，其</w:t>
      </w:r>
      <w:r w:rsidRPr="0047559A">
        <w:rPr>
          <w:rFonts w:hint="eastAsia"/>
          <w:b/>
        </w:rPr>
        <w:t>可分配之緝毒獎金在2萬4千808元至3萬7千212元間</w:t>
      </w:r>
      <w:r>
        <w:rPr>
          <w:rFonts w:hint="eastAsia"/>
        </w:rPr>
        <w:t>，數額尚非甚多，且所請尚未獲核發而未遂，爰量處有期徒刑1年10月。</w:t>
      </w:r>
    </w:p>
    <w:p w:rsidR="00196BD9" w:rsidRPr="00A953A8" w:rsidRDefault="00C047E3" w:rsidP="00C047E3">
      <w:pPr>
        <w:pStyle w:val="4"/>
      </w:pPr>
      <w:bookmarkStart w:id="81" w:name="_Hlk85642713"/>
      <w:r w:rsidRPr="00BB441F">
        <w:rPr>
          <w:rFonts w:hint="eastAsia"/>
          <w:b/>
        </w:rPr>
        <w:t>最高法院109年4月1日判決(109年度台上字第1271號)發回高雄高分院更審</w:t>
      </w:r>
      <w:r w:rsidRPr="00C047E3">
        <w:rPr>
          <w:rFonts w:hAnsi="標楷體" w:hint="eastAsia"/>
        </w:rPr>
        <w:t>，</w:t>
      </w:r>
      <w:bookmarkEnd w:id="81"/>
      <w:r w:rsidRPr="00C047E3">
        <w:rPr>
          <w:rFonts w:hAnsi="標楷體" w:hint="eastAsia"/>
        </w:rPr>
        <w:t>理由略以：</w:t>
      </w:r>
    </w:p>
    <w:p w:rsidR="00A953A8" w:rsidRDefault="00925FB8" w:rsidP="00A953A8">
      <w:pPr>
        <w:pStyle w:val="5"/>
      </w:pPr>
      <w:r>
        <w:rPr>
          <w:rFonts w:hint="eastAsia"/>
        </w:rPr>
        <w:t>第</w:t>
      </w:r>
      <w:r w:rsidR="00A953A8">
        <w:rPr>
          <w:rFonts w:hint="eastAsia"/>
        </w:rPr>
        <w:t>二審</w:t>
      </w:r>
      <w:r w:rsidR="00A953A8" w:rsidRPr="003E7D65">
        <w:rPr>
          <w:rFonts w:hint="eastAsia"/>
        </w:rPr>
        <w:t>判決認</w:t>
      </w:r>
      <w:r w:rsidR="00A953A8">
        <w:rPr>
          <w:rFonts w:hint="eastAsia"/>
        </w:rPr>
        <w:t>蔡員</w:t>
      </w:r>
      <w:r w:rsidR="00A953A8" w:rsidRPr="003E7D65">
        <w:rPr>
          <w:rFonts w:hint="eastAsia"/>
        </w:rPr>
        <w:t>意圖為自己不法之所有，明知違反獎懲辦法規定，而仍檢具申請表申請查緝獎金，據以欺罔承辦獎金審核相關人員。則上揭獎懲辦法之具體規定為何？</w:t>
      </w:r>
      <w:r w:rsidR="00A953A8">
        <w:rPr>
          <w:rFonts w:hint="eastAsia"/>
        </w:rPr>
        <w:t>蔡員</w:t>
      </w:r>
      <w:r w:rsidR="00A953A8" w:rsidRPr="003E7D65">
        <w:rPr>
          <w:rFonts w:hint="eastAsia"/>
        </w:rPr>
        <w:t>所為，如何已違反獎懲辦法之規定？其憑以申請核發獎金之申請表等文件，又有如何之不實？相關獎金審核人員係如何陷於錯誤？若非如此，又係施用如何之詐術？凡此均攸關</w:t>
      </w:r>
      <w:r w:rsidR="00A953A8">
        <w:rPr>
          <w:rFonts w:hint="eastAsia"/>
        </w:rPr>
        <w:t>蔡員</w:t>
      </w:r>
      <w:r w:rsidR="00A953A8" w:rsidRPr="003E7D65">
        <w:rPr>
          <w:rFonts w:hint="eastAsia"/>
        </w:rPr>
        <w:t>是否成立利用職務上之機會詐取財物罪之判斷，原判決事實欄均未記載，理由欄亦僅泛稱：</w:t>
      </w:r>
      <w:r w:rsidR="00A953A8">
        <w:rPr>
          <w:rFonts w:hint="eastAsia"/>
        </w:rPr>
        <w:t>蔡員</w:t>
      </w:r>
      <w:r w:rsidR="00A953A8" w:rsidRPr="003E7D65">
        <w:rPr>
          <w:rFonts w:hint="eastAsia"/>
        </w:rPr>
        <w:t>應不能領取緝毒獎金，而仍申請，自屬違法等語，復未說明其認定犯罪所憑證據及理由，自嫌失據，且有理由不備之違法。</w:t>
      </w:r>
    </w:p>
    <w:p w:rsidR="00A953A8" w:rsidRPr="00A953A8" w:rsidRDefault="00A953A8" w:rsidP="00A953A8">
      <w:pPr>
        <w:pStyle w:val="5"/>
      </w:pPr>
      <w:r>
        <w:rPr>
          <w:rFonts w:hint="eastAsia"/>
        </w:rPr>
        <w:t>第二審</w:t>
      </w:r>
      <w:r w:rsidRPr="003E7D65">
        <w:rPr>
          <w:rFonts w:hint="eastAsia"/>
        </w:rPr>
        <w:t>判決事實認定</w:t>
      </w:r>
      <w:r>
        <w:rPr>
          <w:rFonts w:hint="eastAsia"/>
        </w:rPr>
        <w:t>蔡員</w:t>
      </w:r>
      <w:r w:rsidRPr="003E7D65">
        <w:rPr>
          <w:rFonts w:hint="eastAsia"/>
        </w:rPr>
        <w:t>明知游</w:t>
      </w:r>
      <w:r>
        <w:rPr>
          <w:rFonts w:hint="eastAsia"/>
        </w:rPr>
        <w:t>男</w:t>
      </w:r>
      <w:r w:rsidRPr="003E7D65">
        <w:rPr>
          <w:rFonts w:hint="eastAsia"/>
        </w:rPr>
        <w:t>以追索賭債為由，設計陷害趙</w:t>
      </w:r>
      <w:r>
        <w:rPr>
          <w:rFonts w:hint="eastAsia"/>
        </w:rPr>
        <w:t>男</w:t>
      </w:r>
      <w:r w:rsidRPr="003E7D65">
        <w:rPr>
          <w:rFonts w:hint="eastAsia"/>
        </w:rPr>
        <w:t>運輸毒品來</w:t>
      </w:r>
      <w:r>
        <w:rPr>
          <w:rFonts w:hint="eastAsia"/>
        </w:rPr>
        <w:t>臺</w:t>
      </w:r>
      <w:r w:rsidRPr="003E7D65">
        <w:rPr>
          <w:rFonts w:hint="eastAsia"/>
        </w:rPr>
        <w:t>以供</w:t>
      </w:r>
      <w:r>
        <w:rPr>
          <w:rFonts w:hint="eastAsia"/>
        </w:rPr>
        <w:t>蔡員</w:t>
      </w:r>
      <w:r w:rsidRPr="003E7D65">
        <w:rPr>
          <w:rFonts w:hint="eastAsia"/>
        </w:rPr>
        <w:t>查獲等各情，均未見</w:t>
      </w:r>
      <w:r>
        <w:rPr>
          <w:rFonts w:hint="eastAsia"/>
        </w:rPr>
        <w:t>該</w:t>
      </w:r>
      <w:r w:rsidRPr="003E7D65">
        <w:rPr>
          <w:rFonts w:hint="eastAsia"/>
        </w:rPr>
        <w:t>判決引用相關證據說明其憑以認定之理由。況游</w:t>
      </w:r>
      <w:r>
        <w:rPr>
          <w:rFonts w:hint="eastAsia"/>
        </w:rPr>
        <w:t>男</w:t>
      </w:r>
      <w:r w:rsidRPr="003E7D65">
        <w:rPr>
          <w:rFonts w:hint="eastAsia"/>
        </w:rPr>
        <w:t>被訴與趙</w:t>
      </w:r>
      <w:r>
        <w:rPr>
          <w:rFonts w:hint="eastAsia"/>
        </w:rPr>
        <w:t>男</w:t>
      </w:r>
      <w:r w:rsidRPr="003E7D65">
        <w:rPr>
          <w:rFonts w:hint="eastAsia"/>
        </w:rPr>
        <w:t>等人共同運輸上揭</w:t>
      </w:r>
      <w:r>
        <w:rPr>
          <w:rFonts w:hint="eastAsia"/>
        </w:rPr>
        <w:t>甲基安非他命</w:t>
      </w:r>
      <w:r w:rsidRPr="003E7D65">
        <w:rPr>
          <w:rFonts w:hint="eastAsia"/>
        </w:rPr>
        <w:t>70公斤來</w:t>
      </w:r>
      <w:r>
        <w:rPr>
          <w:rFonts w:hint="eastAsia"/>
        </w:rPr>
        <w:t>臺</w:t>
      </w:r>
      <w:r w:rsidRPr="003E7D65">
        <w:rPr>
          <w:rFonts w:hint="eastAsia"/>
        </w:rPr>
        <w:t>，業經</w:t>
      </w:r>
      <w:r w:rsidRPr="00BB441F">
        <w:rPr>
          <w:rFonts w:hint="eastAsia"/>
          <w:b/>
        </w:rPr>
        <w:t>高雄高分院於108年5月14日以108年度上更二字第6號判決諭知無罪</w:t>
      </w:r>
      <w:r>
        <w:rPr>
          <w:rFonts w:hAnsi="標楷體" w:hint="eastAsia"/>
        </w:rPr>
        <w:t>。第二審</w:t>
      </w:r>
      <w:r w:rsidRPr="00DF4720">
        <w:rPr>
          <w:rFonts w:hAnsi="標楷體" w:hint="eastAsia"/>
        </w:rPr>
        <w:t>判決就此有利於</w:t>
      </w:r>
      <w:r>
        <w:rPr>
          <w:rFonts w:hAnsi="標楷體" w:hint="eastAsia"/>
        </w:rPr>
        <w:t>蔡員</w:t>
      </w:r>
      <w:r w:rsidRPr="00DF4720">
        <w:rPr>
          <w:rFonts w:hAnsi="標楷體" w:hint="eastAsia"/>
        </w:rPr>
        <w:t>之證據，亦未說明不予採納之理由。</w:t>
      </w:r>
    </w:p>
    <w:p w:rsidR="00A953A8" w:rsidRPr="00DF4720" w:rsidRDefault="00A953A8" w:rsidP="00A953A8">
      <w:pPr>
        <w:pStyle w:val="5"/>
      </w:pPr>
      <w:r w:rsidRPr="00A953A8">
        <w:rPr>
          <w:rFonts w:hint="eastAsia"/>
        </w:rPr>
        <w:t>趙男既有販賣毒品前案，而游男僅向其催討賭</w:t>
      </w:r>
      <w:r w:rsidRPr="00A953A8">
        <w:rPr>
          <w:rFonts w:hint="eastAsia"/>
        </w:rPr>
        <w:lastRenderedPageBreak/>
        <w:t>債，客觀上似無引誘或教唆之舉，趙男即自行決意運輸毒品抵債，能否謂趙男運輸毒品犯行係游男教唆或陷害所致？又蔡員縱明知此情，而未將之記載於游男104年3月30日、同年4月6日及同年4月12日之檢舉筆錄當中，於法又有何不合？第二審就上開各節，未進一步究明，並詳敘所憑之依據，遽行判決，尚難昭折服。</w:t>
      </w:r>
    </w:p>
    <w:p w:rsidR="00A953A8" w:rsidRDefault="00925FB8" w:rsidP="00925FB8">
      <w:pPr>
        <w:pStyle w:val="4"/>
      </w:pPr>
      <w:r w:rsidRPr="00BB441F">
        <w:rPr>
          <w:rFonts w:hint="eastAsia"/>
          <w:b/>
        </w:rPr>
        <w:t>高雄高分院109年7月21日判決(109年度上更一字第22號)駁回高雄地檢署檢察官之上訴，維持第一審無罪判決</w:t>
      </w:r>
      <w:r w:rsidRPr="00925FB8">
        <w:rPr>
          <w:rFonts w:hint="eastAsia"/>
        </w:rPr>
        <w:t>，理由略以：</w:t>
      </w:r>
    </w:p>
    <w:p w:rsidR="003106AB" w:rsidRDefault="003106AB" w:rsidP="003106AB">
      <w:pPr>
        <w:pStyle w:val="5"/>
      </w:pPr>
      <w:r>
        <w:rPr>
          <w:rFonts w:hint="eastAsia"/>
        </w:rPr>
        <w:t>蔡員未曾同意游男自行購毒或以抵債方式安排運輸毒品以供查獲；且衡諸常情，檢察官對於是否聲請羈押被告或准予具保、偵查案件應由何人承辦等節具有最終之決定權限，而蔡員僅係接受指揮協同辦案之調查官，縱有具體建議，其決定權仍在檢察官。故公訴意旨指訴蔡員刻意報請鄭檢察官讓游男離去、出面協調游男所涉前案轉由李檢察官承辦云云，容係出諸臆測而不可採信。</w:t>
      </w:r>
    </w:p>
    <w:p w:rsidR="003106AB" w:rsidRDefault="003106AB" w:rsidP="003106AB">
      <w:pPr>
        <w:pStyle w:val="5"/>
      </w:pPr>
      <w:r>
        <w:rPr>
          <w:rFonts w:hint="eastAsia"/>
        </w:rPr>
        <w:t>游男接獲趙男提供之情資後旋即告知蔡員，蔡員亦即指示其他調查官針對此情資蒐證，再報告檢察官後通知游男製作檢舉筆錄。設若曾男為游男所安排，且為蔡員所知悉，則對象理應相當明確，何需經兩度行動蒐證，方能確認「阿吉」為曾男？可見應無公訴意旨所稱蔡員確信游男有安排物色罹患癌症末期病患曾男以供查獲之情事。</w:t>
      </w:r>
    </w:p>
    <w:p w:rsidR="003106AB" w:rsidRDefault="003106AB" w:rsidP="003106AB">
      <w:pPr>
        <w:pStyle w:val="5"/>
      </w:pPr>
      <w:r>
        <w:rPr>
          <w:rFonts w:hint="eastAsia"/>
        </w:rPr>
        <w:t>若游男有參與安排物色曾男擔任接貨人，且欲以檢舉曾男接收毒品乙事換取減免刑責之機會，則游男理應會在南機站監聽曾男前之第一</w:t>
      </w:r>
      <w:r>
        <w:rPr>
          <w:rFonts w:hint="eastAsia"/>
        </w:rPr>
        <w:lastRenderedPageBreak/>
        <w:t>時間，即將此情資提供予蔡員以利對曾男進行上線、行動蒐證等偵查程序，殊無可能待南機組查得曾男與港籍走私毒品集團成員聯繫之事證後，才將「阿吉」之相關線索提供予蔡員，由是可見曾男確有參與港籍走私毒品集團運輸之70公斤甲基安非他命案件，並非游男所刻意安排或故意誣陷。</w:t>
      </w:r>
    </w:p>
    <w:p w:rsidR="003106AB" w:rsidRDefault="003106AB" w:rsidP="003106AB">
      <w:pPr>
        <w:pStyle w:val="5"/>
      </w:pPr>
      <w:r>
        <w:rPr>
          <w:rFonts w:hint="eastAsia"/>
        </w:rPr>
        <w:t>本件並無證據證明游男與趙男同謀而參與余男集團走私運輸甲基安非他命來臺之犯行，亦經</w:t>
      </w:r>
      <w:r w:rsidRPr="00BB441F">
        <w:rPr>
          <w:rFonts w:hint="eastAsia"/>
          <w:b/>
        </w:rPr>
        <w:t>高雄高分院於108年11月21日以108年度重上更三字第3號判決無罪</w:t>
      </w:r>
      <w:r>
        <w:rPr>
          <w:rFonts w:hint="eastAsia"/>
        </w:rPr>
        <w:t>在案，益證游男並未參與本件走私運輸甲基安非他命之犯行。</w:t>
      </w:r>
    </w:p>
    <w:p w:rsidR="003106AB" w:rsidRDefault="003106AB" w:rsidP="003106AB">
      <w:pPr>
        <w:pStyle w:val="5"/>
      </w:pPr>
      <w:r>
        <w:rPr>
          <w:rFonts w:hint="eastAsia"/>
        </w:rPr>
        <w:t>蔡員於本案之偵辦作為與調查局之緝毒作業常規相符。再者，毒品案件偵辦過程中，若是有檢舉人之案件，調查官本即需要與檢舉人保持聯繫，若破案後，依常規亦會通知檢舉人，是公訴人執游男之行動電話還原資料質疑蔡員與游男之間有密切聯繫，並認蔡員於查獲曾男70公斤甲基安非他命運毒案件翌日旋通知游男此事，係示警游男云云，應屬誤會。</w:t>
      </w:r>
    </w:p>
    <w:p w:rsidR="003106AB" w:rsidRDefault="003106AB" w:rsidP="003106AB">
      <w:pPr>
        <w:pStyle w:val="5"/>
      </w:pPr>
      <w:r>
        <w:rPr>
          <w:rFonts w:hint="eastAsia"/>
        </w:rPr>
        <w:t>游男自始至終否認有參與曾男運毒案，則蔡員稱其不認為游男有參與運輸或走私70公斤甲基安非他命，游男只是提供趙男及「阿吉」這條線索等語，尚非無稽。</w:t>
      </w:r>
    </w:p>
    <w:p w:rsidR="003106AB" w:rsidRDefault="003106AB" w:rsidP="003106AB">
      <w:pPr>
        <w:pStyle w:val="5"/>
      </w:pPr>
      <w:r>
        <w:rPr>
          <w:rFonts w:hint="eastAsia"/>
        </w:rPr>
        <w:t>高雄地檢署於曾男遭查獲前之104年4月10日，即由高主任檢察官召集高雄市調處與南機站之調查官進行工作會議，決議該案偵破後，由高雄市調處負責移送及後續之申報績效與獎金工作，蔡員於曾男案件查獲後，有確實依照各查緝單位協調的比例製作獎金分配建議表呈報高</w:t>
      </w:r>
      <w:r>
        <w:rPr>
          <w:rFonts w:hint="eastAsia"/>
        </w:rPr>
        <w:lastRenderedPageBreak/>
        <w:t>雄地檢署，但申請案仍卡在高雄地檢署，所以迄未核發獎金等情，則蔡員身為高雄市調處之主辦人員，於查獲曾男運毒案件後，按照〈防制毒品危害獎懲辦法〉之相關規定，依循上級指示簽請核發相關查獲人員(含被告本人)之查緝獎金，主觀上應無為自己不法所有之意圖，客觀上更無施用詐術之行為可言。</w:t>
      </w:r>
    </w:p>
    <w:p w:rsidR="00925FB8" w:rsidRPr="00B0390E" w:rsidRDefault="00B0390E" w:rsidP="00B0390E">
      <w:pPr>
        <w:pStyle w:val="4"/>
      </w:pPr>
      <w:r w:rsidRPr="00BB441F">
        <w:rPr>
          <w:rFonts w:hint="eastAsia"/>
          <w:b/>
        </w:rPr>
        <w:t>最高法院109年10月7日判決(109年度台上字第4749號)駁回高雄高檢分署檢察官之上訴</w:t>
      </w:r>
      <w:r w:rsidRPr="00B0390E">
        <w:rPr>
          <w:rFonts w:hint="eastAsia"/>
        </w:rPr>
        <w:t>，蔡</w:t>
      </w:r>
      <w:r>
        <w:rPr>
          <w:rFonts w:hint="eastAsia"/>
        </w:rPr>
        <w:t>員</w:t>
      </w:r>
      <w:r w:rsidRPr="00B0390E">
        <w:rPr>
          <w:rFonts w:hint="eastAsia"/>
        </w:rPr>
        <w:t>無罪定讞</w:t>
      </w:r>
      <w:r>
        <w:rPr>
          <w:rFonts w:ascii="新細明體" w:eastAsia="新細明體" w:hAnsi="新細明體" w:hint="eastAsia"/>
        </w:rPr>
        <w:t>。</w:t>
      </w:r>
    </w:p>
    <w:p w:rsidR="00B0390E" w:rsidRPr="00B0390E" w:rsidRDefault="00B0390E" w:rsidP="00B0390E">
      <w:pPr>
        <w:pStyle w:val="3"/>
      </w:pPr>
      <w:r w:rsidRPr="00AE33A1">
        <w:rPr>
          <w:rFonts w:hAnsi="Times New Roman" w:hint="eastAsia"/>
          <w:b/>
          <w:bCs w:val="0"/>
          <w:kern w:val="2"/>
        </w:rPr>
        <w:t>游男在曾男運毒案中之罪嫌，</w:t>
      </w:r>
      <w:r>
        <w:rPr>
          <w:rFonts w:hAnsi="Times New Roman" w:hint="eastAsia"/>
          <w:b/>
          <w:bCs w:val="0"/>
          <w:kern w:val="2"/>
        </w:rPr>
        <w:t>第</w:t>
      </w:r>
      <w:r w:rsidRPr="00AE33A1">
        <w:rPr>
          <w:rFonts w:hAnsi="Times New Roman" w:hint="eastAsia"/>
          <w:b/>
          <w:bCs w:val="0"/>
          <w:kern w:val="2"/>
        </w:rPr>
        <w:t>一審判</w:t>
      </w:r>
      <w:r>
        <w:rPr>
          <w:rFonts w:hAnsi="Times New Roman" w:hint="eastAsia"/>
          <w:b/>
          <w:bCs w:val="0"/>
          <w:kern w:val="2"/>
        </w:rPr>
        <w:t>處</w:t>
      </w:r>
      <w:r w:rsidRPr="00AE33A1">
        <w:rPr>
          <w:rFonts w:hAnsi="Times New Roman" w:hint="eastAsia"/>
          <w:b/>
          <w:bCs w:val="0"/>
          <w:kern w:val="2"/>
        </w:rPr>
        <w:t>有期徒刑12年，</w:t>
      </w:r>
      <w:r>
        <w:rPr>
          <w:rFonts w:hAnsi="Times New Roman" w:hint="eastAsia"/>
          <w:b/>
          <w:bCs w:val="0"/>
          <w:kern w:val="2"/>
        </w:rPr>
        <w:t>第</w:t>
      </w:r>
      <w:r w:rsidRPr="00AE33A1">
        <w:rPr>
          <w:rFonts w:hAnsi="Times New Roman" w:hint="eastAsia"/>
          <w:b/>
          <w:bCs w:val="0"/>
          <w:kern w:val="2"/>
        </w:rPr>
        <w:t>二審改判9年8月，更一審維持</w:t>
      </w:r>
      <w:r>
        <w:rPr>
          <w:rFonts w:hAnsi="Times New Roman" w:hint="eastAsia"/>
          <w:b/>
          <w:bCs w:val="0"/>
          <w:kern w:val="2"/>
        </w:rPr>
        <w:t>第</w:t>
      </w:r>
      <w:r w:rsidRPr="00AE33A1">
        <w:rPr>
          <w:rFonts w:hAnsi="Times New Roman" w:hint="eastAsia"/>
          <w:b/>
          <w:bCs w:val="0"/>
          <w:kern w:val="2"/>
        </w:rPr>
        <w:t>一審判決，更二審</w:t>
      </w:r>
      <w:r>
        <w:rPr>
          <w:rFonts w:hAnsi="Times New Roman" w:hint="eastAsia"/>
          <w:b/>
          <w:bCs w:val="0"/>
          <w:kern w:val="2"/>
        </w:rPr>
        <w:t>改</w:t>
      </w:r>
      <w:r w:rsidRPr="00AE33A1">
        <w:rPr>
          <w:rFonts w:hAnsi="Times New Roman" w:hint="eastAsia"/>
          <w:b/>
          <w:bCs w:val="0"/>
          <w:kern w:val="2"/>
        </w:rPr>
        <w:t>判無罪</w:t>
      </w:r>
      <w:r>
        <w:rPr>
          <w:rFonts w:hAnsi="標楷體" w:hint="eastAsia"/>
          <w:b/>
          <w:bCs w:val="0"/>
          <w:kern w:val="2"/>
        </w:rPr>
        <w:t>，</w:t>
      </w:r>
      <w:r>
        <w:rPr>
          <w:rFonts w:hAnsi="Times New Roman" w:hint="eastAsia"/>
          <w:b/>
          <w:bCs w:val="0"/>
          <w:kern w:val="2"/>
        </w:rPr>
        <w:t>108年11月</w:t>
      </w:r>
      <w:r w:rsidRPr="00AE33A1">
        <w:rPr>
          <w:rFonts w:hAnsi="Times New Roman" w:hint="eastAsia"/>
          <w:b/>
          <w:bCs w:val="0"/>
          <w:kern w:val="2"/>
        </w:rPr>
        <w:t>更三審</w:t>
      </w:r>
      <w:r>
        <w:rPr>
          <w:rFonts w:hAnsi="Times New Roman" w:hint="eastAsia"/>
          <w:b/>
          <w:bCs w:val="0"/>
          <w:kern w:val="2"/>
        </w:rPr>
        <w:t>維持</w:t>
      </w:r>
      <w:r w:rsidRPr="00AE33A1">
        <w:rPr>
          <w:rFonts w:hAnsi="Times New Roman" w:hint="eastAsia"/>
          <w:b/>
          <w:bCs w:val="0"/>
          <w:kern w:val="2"/>
        </w:rPr>
        <w:t>無罪，110年3月經最高法院判決</w:t>
      </w:r>
      <w:r>
        <w:rPr>
          <w:rFonts w:hAnsi="Times New Roman" w:hint="eastAsia"/>
          <w:b/>
          <w:bCs w:val="0"/>
          <w:kern w:val="2"/>
        </w:rPr>
        <w:t>定讞</w:t>
      </w:r>
      <w:r>
        <w:rPr>
          <w:rFonts w:hAnsi="標楷體" w:hint="eastAsia"/>
          <w:b/>
          <w:bCs w:val="0"/>
          <w:kern w:val="2"/>
        </w:rPr>
        <w:t>，嗣後並獲得刑事補償：</w:t>
      </w:r>
    </w:p>
    <w:p w:rsidR="00B0390E" w:rsidRDefault="00330DA1" w:rsidP="00330DA1">
      <w:pPr>
        <w:pStyle w:val="4"/>
      </w:pPr>
      <w:r w:rsidRPr="00330DA1">
        <w:rPr>
          <w:rFonts w:hint="eastAsia"/>
        </w:rPr>
        <w:t>游男所涉曾男運毒案</w:t>
      </w:r>
      <w:r>
        <w:rPr>
          <w:rFonts w:hint="eastAsia"/>
        </w:rPr>
        <w:t>之</w:t>
      </w:r>
      <w:r w:rsidRPr="00330DA1">
        <w:rPr>
          <w:rFonts w:hint="eastAsia"/>
        </w:rPr>
        <w:t>罪嫌</w:t>
      </w:r>
      <w:r>
        <w:rPr>
          <w:rFonts w:hAnsi="標楷體" w:hint="eastAsia"/>
        </w:rPr>
        <w:t>，</w:t>
      </w:r>
      <w:r w:rsidRPr="00330DA1">
        <w:rPr>
          <w:rFonts w:hint="eastAsia"/>
        </w:rPr>
        <w:t>歷審之判</w:t>
      </w:r>
      <w:r>
        <w:rPr>
          <w:rFonts w:hint="eastAsia"/>
        </w:rPr>
        <w:t>決</w:t>
      </w:r>
      <w:r w:rsidRPr="00330DA1">
        <w:rPr>
          <w:rFonts w:hint="eastAsia"/>
        </w:rPr>
        <w:t>結果</w:t>
      </w:r>
      <w:r w:rsidRPr="00E1384E">
        <w:rPr>
          <w:rStyle w:val="afd"/>
        </w:rPr>
        <w:footnoteReference w:id="4"/>
      </w:r>
      <w:r w:rsidRPr="00330DA1">
        <w:rPr>
          <w:rFonts w:hint="eastAsia"/>
        </w:rPr>
        <w:t>表列如下：</w:t>
      </w:r>
    </w:p>
    <w:tbl>
      <w:tblPr>
        <w:tblW w:w="4808" w:type="pct"/>
        <w:tblInd w:w="34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06"/>
        <w:gridCol w:w="3627"/>
        <w:gridCol w:w="1546"/>
        <w:gridCol w:w="1610"/>
      </w:tblGrid>
      <w:tr w:rsidR="00330DA1" w:rsidRPr="00330DA1" w:rsidTr="00CA7D32">
        <w:trPr>
          <w:trHeight w:val="271"/>
        </w:trPr>
        <w:tc>
          <w:tcPr>
            <w:tcW w:w="991"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60" w:type="dxa"/>
              <w:bottom w:w="0" w:type="dxa"/>
              <w:right w:w="45" w:type="dxa"/>
            </w:tcMar>
            <w:vAlign w:val="center"/>
            <w:hideMark/>
          </w:tcPr>
          <w:p w:rsidR="00330DA1" w:rsidRPr="00330DA1" w:rsidRDefault="00330DA1" w:rsidP="00330DA1">
            <w:pPr>
              <w:widowControl/>
              <w:spacing w:line="340" w:lineRule="exact"/>
              <w:jc w:val="center"/>
              <w:rPr>
                <w:rFonts w:hAnsi="標楷體" w:cs="新細明體"/>
                <w:bCs/>
                <w:kern w:val="0"/>
                <w:sz w:val="30"/>
                <w:szCs w:val="30"/>
              </w:rPr>
            </w:pPr>
            <w:r w:rsidRPr="00330DA1">
              <w:rPr>
                <w:rFonts w:hAnsi="標楷體" w:cs="新細明體"/>
                <w:bCs/>
                <w:kern w:val="0"/>
                <w:sz w:val="30"/>
                <w:szCs w:val="30"/>
              </w:rPr>
              <w:t>法院</w:t>
            </w:r>
          </w:p>
        </w:tc>
        <w:tc>
          <w:tcPr>
            <w:tcW w:w="2107"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60" w:type="dxa"/>
              <w:bottom w:w="0" w:type="dxa"/>
              <w:right w:w="45" w:type="dxa"/>
            </w:tcMar>
            <w:vAlign w:val="center"/>
            <w:hideMark/>
          </w:tcPr>
          <w:p w:rsidR="00330DA1" w:rsidRPr="00330DA1" w:rsidRDefault="00330DA1" w:rsidP="00330DA1">
            <w:pPr>
              <w:widowControl/>
              <w:spacing w:line="340" w:lineRule="exact"/>
              <w:jc w:val="center"/>
              <w:rPr>
                <w:rFonts w:hAnsi="標楷體" w:cs="新細明體"/>
                <w:bCs/>
                <w:kern w:val="0"/>
                <w:sz w:val="30"/>
                <w:szCs w:val="30"/>
              </w:rPr>
            </w:pPr>
            <w:r w:rsidRPr="00330DA1">
              <w:rPr>
                <w:rFonts w:hAnsi="標楷體" w:cs="新細明體"/>
                <w:kern w:val="0"/>
                <w:sz w:val="30"/>
                <w:szCs w:val="30"/>
              </w:rPr>
              <w:t>判決</w:t>
            </w:r>
            <w:r w:rsidRPr="00330DA1">
              <w:rPr>
                <w:rFonts w:hAnsi="標楷體" w:cs="新細明體" w:hint="eastAsia"/>
                <w:kern w:val="0"/>
                <w:sz w:val="30"/>
                <w:szCs w:val="30"/>
              </w:rPr>
              <w:t>字</w:t>
            </w:r>
            <w:r w:rsidRPr="00330DA1">
              <w:rPr>
                <w:rFonts w:hAnsi="標楷體" w:cs="新細明體"/>
                <w:bCs/>
                <w:kern w:val="0"/>
                <w:sz w:val="30"/>
                <w:szCs w:val="30"/>
              </w:rPr>
              <w:t>號</w:t>
            </w:r>
          </w:p>
        </w:tc>
        <w:tc>
          <w:tcPr>
            <w:tcW w:w="898"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60" w:type="dxa"/>
              <w:bottom w:w="0" w:type="dxa"/>
              <w:right w:w="45" w:type="dxa"/>
            </w:tcMar>
            <w:vAlign w:val="center"/>
            <w:hideMark/>
          </w:tcPr>
          <w:p w:rsidR="00330DA1" w:rsidRPr="00330DA1" w:rsidRDefault="00330DA1" w:rsidP="00330DA1">
            <w:pPr>
              <w:widowControl/>
              <w:spacing w:line="340" w:lineRule="exact"/>
              <w:jc w:val="center"/>
              <w:rPr>
                <w:rFonts w:hAnsi="標楷體" w:cs="新細明體"/>
                <w:bCs/>
                <w:kern w:val="0"/>
                <w:sz w:val="30"/>
                <w:szCs w:val="30"/>
              </w:rPr>
            </w:pPr>
            <w:r w:rsidRPr="00330DA1">
              <w:rPr>
                <w:rFonts w:hAnsi="標楷體" w:cs="新細明體"/>
                <w:bCs/>
                <w:kern w:val="0"/>
                <w:sz w:val="30"/>
                <w:szCs w:val="30"/>
              </w:rPr>
              <w:t>裁判日期</w:t>
            </w:r>
          </w:p>
        </w:tc>
        <w:tc>
          <w:tcPr>
            <w:tcW w:w="100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60" w:type="dxa"/>
              <w:bottom w:w="0" w:type="dxa"/>
              <w:right w:w="45" w:type="dxa"/>
            </w:tcMar>
            <w:vAlign w:val="center"/>
            <w:hideMark/>
          </w:tcPr>
          <w:p w:rsidR="00330DA1" w:rsidRPr="00330DA1" w:rsidRDefault="00330DA1" w:rsidP="00330DA1">
            <w:pPr>
              <w:widowControl/>
              <w:spacing w:line="340" w:lineRule="exact"/>
              <w:jc w:val="center"/>
              <w:rPr>
                <w:rFonts w:hAnsi="標楷體" w:cs="新細明體"/>
                <w:bCs/>
                <w:kern w:val="0"/>
                <w:sz w:val="30"/>
                <w:szCs w:val="30"/>
              </w:rPr>
            </w:pPr>
            <w:r w:rsidRPr="00330DA1">
              <w:rPr>
                <w:rFonts w:hAnsi="標楷體" w:cs="新細明體" w:hint="eastAsia"/>
                <w:bCs/>
                <w:kern w:val="0"/>
                <w:sz w:val="30"/>
                <w:szCs w:val="30"/>
              </w:rPr>
              <w:t>主文</w:t>
            </w:r>
          </w:p>
        </w:tc>
      </w:tr>
      <w:tr w:rsidR="00330DA1" w:rsidRPr="005C6FD0" w:rsidTr="00CA7D32">
        <w:trPr>
          <w:trHeight w:val="432"/>
        </w:trPr>
        <w:tc>
          <w:tcPr>
            <w:tcW w:w="991"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高雄地</w:t>
            </w:r>
            <w:r>
              <w:rPr>
                <w:rFonts w:hAnsi="標楷體" w:cs="新細明體" w:hint="eastAsia"/>
                <w:kern w:val="0"/>
                <w:sz w:val="30"/>
                <w:szCs w:val="30"/>
              </w:rPr>
              <w:t>院</w:t>
            </w:r>
          </w:p>
          <w:p w:rsidR="00330DA1" w:rsidRPr="005C6FD0" w:rsidRDefault="00330DA1" w:rsidP="00330DA1">
            <w:pPr>
              <w:widowControl/>
              <w:spacing w:line="340" w:lineRule="exact"/>
              <w:rPr>
                <w:rFonts w:hAnsi="標楷體" w:cs="新細明體"/>
                <w:kern w:val="0"/>
                <w:sz w:val="30"/>
                <w:szCs w:val="30"/>
              </w:rPr>
            </w:pPr>
            <w:r>
              <w:rPr>
                <w:rFonts w:hAnsi="標楷體" w:cs="新細明體" w:hint="eastAsia"/>
                <w:kern w:val="0"/>
                <w:sz w:val="30"/>
                <w:szCs w:val="30"/>
              </w:rPr>
              <w:t>(第一審)</w:t>
            </w:r>
          </w:p>
        </w:tc>
        <w:tc>
          <w:tcPr>
            <w:tcW w:w="2107"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105年度重訴字第17號</w:t>
            </w:r>
          </w:p>
        </w:tc>
        <w:tc>
          <w:tcPr>
            <w:tcW w:w="898"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105.07.11</w:t>
            </w:r>
          </w:p>
        </w:tc>
        <w:tc>
          <w:tcPr>
            <w:tcW w:w="1003" w:type="pct"/>
            <w:tcBorders>
              <w:top w:val="single" w:sz="6" w:space="0" w:color="000000"/>
              <w:left w:val="single" w:sz="6" w:space="0" w:color="000000"/>
              <w:bottom w:val="single" w:sz="6" w:space="0" w:color="000000"/>
              <w:right w:val="single" w:sz="6" w:space="0" w:color="000000"/>
            </w:tcBorders>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Pr>
                <w:rFonts w:hAnsi="標楷體" w:cs="新細明體" w:hint="eastAsia"/>
                <w:kern w:val="0"/>
                <w:sz w:val="30"/>
                <w:szCs w:val="30"/>
              </w:rPr>
              <w:t>徒刑12年</w:t>
            </w:r>
          </w:p>
        </w:tc>
      </w:tr>
      <w:tr w:rsidR="00330DA1" w:rsidRPr="005C6FD0" w:rsidTr="00CA7D32">
        <w:trPr>
          <w:trHeight w:val="432"/>
        </w:trPr>
        <w:tc>
          <w:tcPr>
            <w:tcW w:w="991"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高雄</w:t>
            </w:r>
            <w:r w:rsidRPr="009B22D9">
              <w:rPr>
                <w:rFonts w:hAnsi="標楷體" w:cs="新細明體" w:hint="eastAsia"/>
                <w:kern w:val="0"/>
                <w:sz w:val="30"/>
                <w:szCs w:val="30"/>
              </w:rPr>
              <w:t>高</w:t>
            </w:r>
            <w:r w:rsidRPr="005C6FD0">
              <w:rPr>
                <w:rFonts w:hAnsi="標楷體" w:cs="新細明體"/>
                <w:kern w:val="0"/>
                <w:sz w:val="30"/>
                <w:szCs w:val="30"/>
              </w:rPr>
              <w:t>分院</w:t>
            </w:r>
          </w:p>
          <w:p w:rsidR="00330DA1" w:rsidRPr="005C6FD0" w:rsidRDefault="00330DA1" w:rsidP="00330DA1">
            <w:pPr>
              <w:widowControl/>
              <w:spacing w:line="340" w:lineRule="exact"/>
              <w:rPr>
                <w:rFonts w:hAnsi="標楷體" w:cs="新細明體"/>
                <w:kern w:val="0"/>
                <w:sz w:val="30"/>
                <w:szCs w:val="30"/>
              </w:rPr>
            </w:pPr>
            <w:r>
              <w:rPr>
                <w:rFonts w:hAnsi="標楷體" w:cs="新細明體" w:hint="eastAsia"/>
                <w:kern w:val="0"/>
                <w:sz w:val="30"/>
                <w:szCs w:val="30"/>
              </w:rPr>
              <w:t>(第二審)</w:t>
            </w:r>
          </w:p>
        </w:tc>
        <w:tc>
          <w:tcPr>
            <w:tcW w:w="2107"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105年度上訴字第636號</w:t>
            </w:r>
          </w:p>
        </w:tc>
        <w:tc>
          <w:tcPr>
            <w:tcW w:w="898"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105.12.30</w:t>
            </w:r>
          </w:p>
        </w:tc>
        <w:tc>
          <w:tcPr>
            <w:tcW w:w="1003" w:type="pct"/>
            <w:tcBorders>
              <w:top w:val="single" w:sz="6" w:space="0" w:color="000000"/>
              <w:left w:val="single" w:sz="6" w:space="0" w:color="000000"/>
              <w:bottom w:val="single" w:sz="6" w:space="0" w:color="000000"/>
              <w:right w:val="single" w:sz="6" w:space="0" w:color="000000"/>
            </w:tcBorders>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Pr>
                <w:rFonts w:hAnsi="標楷體" w:cs="新細明體" w:hint="eastAsia"/>
                <w:kern w:val="0"/>
                <w:sz w:val="30"/>
                <w:szCs w:val="30"/>
              </w:rPr>
              <w:t>徒刑9年8月</w:t>
            </w:r>
          </w:p>
        </w:tc>
      </w:tr>
      <w:tr w:rsidR="00330DA1" w:rsidRPr="005C6FD0" w:rsidTr="0047559A">
        <w:trPr>
          <w:trHeight w:val="489"/>
        </w:trPr>
        <w:tc>
          <w:tcPr>
            <w:tcW w:w="991"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最高法院</w:t>
            </w:r>
          </w:p>
        </w:tc>
        <w:tc>
          <w:tcPr>
            <w:tcW w:w="2107"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106年度台上字第781號</w:t>
            </w:r>
          </w:p>
        </w:tc>
        <w:tc>
          <w:tcPr>
            <w:tcW w:w="898"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106.03.29</w:t>
            </w:r>
          </w:p>
        </w:tc>
        <w:tc>
          <w:tcPr>
            <w:tcW w:w="1003" w:type="pct"/>
            <w:tcBorders>
              <w:top w:val="single" w:sz="6" w:space="0" w:color="000000"/>
              <w:left w:val="single" w:sz="6" w:space="0" w:color="000000"/>
              <w:bottom w:val="single" w:sz="6" w:space="0" w:color="000000"/>
              <w:right w:val="single" w:sz="6" w:space="0" w:color="000000"/>
            </w:tcBorders>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Pr>
                <w:rFonts w:hAnsi="標楷體" w:cs="新細明體" w:hint="eastAsia"/>
                <w:kern w:val="0"/>
                <w:sz w:val="30"/>
                <w:szCs w:val="30"/>
              </w:rPr>
              <w:t>發回更審</w:t>
            </w:r>
          </w:p>
        </w:tc>
      </w:tr>
      <w:tr w:rsidR="00330DA1" w:rsidRPr="005C6FD0" w:rsidTr="00CA7D32">
        <w:trPr>
          <w:trHeight w:val="432"/>
        </w:trPr>
        <w:tc>
          <w:tcPr>
            <w:tcW w:w="991"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高雄</w:t>
            </w:r>
            <w:r w:rsidRPr="009B22D9">
              <w:rPr>
                <w:rFonts w:hAnsi="標楷體" w:cs="新細明體" w:hint="eastAsia"/>
                <w:kern w:val="0"/>
                <w:sz w:val="30"/>
                <w:szCs w:val="30"/>
              </w:rPr>
              <w:t>高</w:t>
            </w:r>
            <w:r w:rsidRPr="005C6FD0">
              <w:rPr>
                <w:rFonts w:hAnsi="標楷體" w:cs="新細明體"/>
                <w:kern w:val="0"/>
                <w:sz w:val="30"/>
                <w:szCs w:val="30"/>
              </w:rPr>
              <w:t>分院</w:t>
            </w:r>
          </w:p>
          <w:p w:rsidR="00330DA1" w:rsidRPr="005C6FD0" w:rsidRDefault="00330DA1" w:rsidP="00330DA1">
            <w:pPr>
              <w:widowControl/>
              <w:spacing w:line="340" w:lineRule="exact"/>
              <w:rPr>
                <w:rFonts w:hAnsi="標楷體" w:cs="新細明體"/>
                <w:kern w:val="0"/>
                <w:sz w:val="30"/>
                <w:szCs w:val="30"/>
              </w:rPr>
            </w:pPr>
            <w:r>
              <w:rPr>
                <w:rFonts w:hAnsi="標楷體" w:cs="新細明體" w:hint="eastAsia"/>
                <w:kern w:val="0"/>
                <w:sz w:val="30"/>
                <w:szCs w:val="30"/>
              </w:rPr>
              <w:t>(更一審)</w:t>
            </w:r>
          </w:p>
        </w:tc>
        <w:tc>
          <w:tcPr>
            <w:tcW w:w="2107"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106年度上</w:t>
            </w:r>
            <w:r w:rsidRPr="006A1DBA">
              <w:rPr>
                <w:rFonts w:hAnsi="標楷體" w:cs="新細明體"/>
                <w:kern w:val="0"/>
                <w:sz w:val="30"/>
                <w:szCs w:val="30"/>
              </w:rPr>
              <w:t>更一</w:t>
            </w:r>
            <w:r w:rsidRPr="005C6FD0">
              <w:rPr>
                <w:rFonts w:hAnsi="標楷體" w:cs="新細明體"/>
                <w:kern w:val="0"/>
                <w:sz w:val="30"/>
                <w:szCs w:val="30"/>
              </w:rPr>
              <w:t>字第10號</w:t>
            </w:r>
          </w:p>
        </w:tc>
        <w:tc>
          <w:tcPr>
            <w:tcW w:w="898"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106.09.22</w:t>
            </w:r>
          </w:p>
        </w:tc>
        <w:tc>
          <w:tcPr>
            <w:tcW w:w="1003" w:type="pct"/>
            <w:tcBorders>
              <w:top w:val="single" w:sz="6" w:space="0" w:color="000000"/>
              <w:left w:val="single" w:sz="6" w:space="0" w:color="000000"/>
              <w:bottom w:val="single" w:sz="6" w:space="0" w:color="000000"/>
              <w:right w:val="single" w:sz="6" w:space="0" w:color="000000"/>
            </w:tcBorders>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6A1DBA">
              <w:rPr>
                <w:rFonts w:hAnsi="標楷體" w:cs="新細明體" w:hint="eastAsia"/>
                <w:kern w:val="0"/>
                <w:sz w:val="30"/>
                <w:szCs w:val="30"/>
              </w:rPr>
              <w:t>徒刑</w:t>
            </w:r>
            <w:r>
              <w:rPr>
                <w:rFonts w:hAnsi="標楷體" w:cs="新細明體" w:hint="eastAsia"/>
                <w:kern w:val="0"/>
                <w:sz w:val="30"/>
                <w:szCs w:val="30"/>
              </w:rPr>
              <w:t>12年</w:t>
            </w:r>
          </w:p>
        </w:tc>
      </w:tr>
      <w:tr w:rsidR="00330DA1" w:rsidRPr="005C6FD0" w:rsidTr="0047559A">
        <w:trPr>
          <w:trHeight w:val="535"/>
        </w:trPr>
        <w:tc>
          <w:tcPr>
            <w:tcW w:w="991"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最高法院</w:t>
            </w:r>
          </w:p>
        </w:tc>
        <w:tc>
          <w:tcPr>
            <w:tcW w:w="2107"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107年度台上字第2069號</w:t>
            </w:r>
          </w:p>
        </w:tc>
        <w:tc>
          <w:tcPr>
            <w:tcW w:w="898"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108.01.10</w:t>
            </w:r>
          </w:p>
        </w:tc>
        <w:tc>
          <w:tcPr>
            <w:tcW w:w="1003" w:type="pct"/>
            <w:tcBorders>
              <w:top w:val="single" w:sz="6" w:space="0" w:color="000000"/>
              <w:left w:val="single" w:sz="6" w:space="0" w:color="000000"/>
              <w:bottom w:val="single" w:sz="6" w:space="0" w:color="000000"/>
              <w:right w:val="single" w:sz="6" w:space="0" w:color="000000"/>
            </w:tcBorders>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956957">
              <w:rPr>
                <w:rFonts w:hAnsi="標楷體" w:cs="新細明體" w:hint="eastAsia"/>
                <w:kern w:val="0"/>
                <w:sz w:val="30"/>
                <w:szCs w:val="30"/>
              </w:rPr>
              <w:t>發回更審</w:t>
            </w:r>
          </w:p>
        </w:tc>
      </w:tr>
      <w:tr w:rsidR="00330DA1" w:rsidRPr="005C6FD0" w:rsidTr="00CA7D32">
        <w:trPr>
          <w:trHeight w:val="432"/>
        </w:trPr>
        <w:tc>
          <w:tcPr>
            <w:tcW w:w="991"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高雄</w:t>
            </w:r>
            <w:r w:rsidRPr="009B22D9">
              <w:rPr>
                <w:rFonts w:hAnsi="標楷體" w:cs="新細明體" w:hint="eastAsia"/>
                <w:kern w:val="0"/>
                <w:sz w:val="30"/>
                <w:szCs w:val="30"/>
              </w:rPr>
              <w:t>高</w:t>
            </w:r>
            <w:r w:rsidRPr="005C6FD0">
              <w:rPr>
                <w:rFonts w:hAnsi="標楷體" w:cs="新細明體"/>
                <w:kern w:val="0"/>
                <w:sz w:val="30"/>
                <w:szCs w:val="30"/>
              </w:rPr>
              <w:t>分院</w:t>
            </w:r>
          </w:p>
          <w:p w:rsidR="00330DA1" w:rsidRPr="005C6FD0" w:rsidRDefault="00330DA1" w:rsidP="00330DA1">
            <w:pPr>
              <w:widowControl/>
              <w:spacing w:line="340" w:lineRule="exact"/>
              <w:rPr>
                <w:rFonts w:hAnsi="標楷體" w:cs="新細明體"/>
                <w:kern w:val="0"/>
                <w:sz w:val="30"/>
                <w:szCs w:val="30"/>
              </w:rPr>
            </w:pPr>
            <w:r>
              <w:rPr>
                <w:rFonts w:hAnsi="標楷體" w:cs="新細明體" w:hint="eastAsia"/>
                <w:kern w:val="0"/>
                <w:sz w:val="30"/>
                <w:szCs w:val="30"/>
              </w:rPr>
              <w:t>(更二審)</w:t>
            </w:r>
          </w:p>
        </w:tc>
        <w:tc>
          <w:tcPr>
            <w:tcW w:w="2107"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108年度上</w:t>
            </w:r>
            <w:r w:rsidRPr="006A1DBA">
              <w:rPr>
                <w:rFonts w:hAnsi="標楷體" w:cs="新細明體"/>
                <w:kern w:val="0"/>
                <w:sz w:val="30"/>
                <w:szCs w:val="30"/>
              </w:rPr>
              <w:t>更二</w:t>
            </w:r>
            <w:r w:rsidRPr="005C6FD0">
              <w:rPr>
                <w:rFonts w:hAnsi="標楷體" w:cs="新細明體"/>
                <w:kern w:val="0"/>
                <w:sz w:val="30"/>
                <w:szCs w:val="30"/>
              </w:rPr>
              <w:t>字第6號</w:t>
            </w:r>
          </w:p>
        </w:tc>
        <w:tc>
          <w:tcPr>
            <w:tcW w:w="898"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108.05.14</w:t>
            </w:r>
          </w:p>
        </w:tc>
        <w:tc>
          <w:tcPr>
            <w:tcW w:w="1003" w:type="pct"/>
            <w:tcBorders>
              <w:top w:val="single" w:sz="6" w:space="0" w:color="000000"/>
              <w:left w:val="single" w:sz="6" w:space="0" w:color="000000"/>
              <w:bottom w:val="single" w:sz="6" w:space="0" w:color="000000"/>
              <w:right w:val="single" w:sz="6" w:space="0" w:color="000000"/>
            </w:tcBorders>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Pr>
                <w:rFonts w:hAnsi="標楷體" w:cs="新細明體" w:hint="eastAsia"/>
                <w:kern w:val="0"/>
                <w:sz w:val="30"/>
                <w:szCs w:val="30"/>
              </w:rPr>
              <w:t>無罪</w:t>
            </w:r>
          </w:p>
        </w:tc>
      </w:tr>
      <w:tr w:rsidR="00330DA1" w:rsidRPr="005C6FD0" w:rsidTr="0047559A">
        <w:trPr>
          <w:trHeight w:val="539"/>
        </w:trPr>
        <w:tc>
          <w:tcPr>
            <w:tcW w:w="991"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lastRenderedPageBreak/>
              <w:t>最高法院</w:t>
            </w:r>
          </w:p>
        </w:tc>
        <w:tc>
          <w:tcPr>
            <w:tcW w:w="2107"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108年度台上字第2038號</w:t>
            </w:r>
          </w:p>
        </w:tc>
        <w:tc>
          <w:tcPr>
            <w:tcW w:w="898"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108.07.18</w:t>
            </w:r>
          </w:p>
        </w:tc>
        <w:tc>
          <w:tcPr>
            <w:tcW w:w="1003" w:type="pct"/>
            <w:tcBorders>
              <w:top w:val="single" w:sz="6" w:space="0" w:color="000000"/>
              <w:left w:val="single" w:sz="6" w:space="0" w:color="000000"/>
              <w:bottom w:val="single" w:sz="6" w:space="0" w:color="000000"/>
              <w:right w:val="single" w:sz="6" w:space="0" w:color="000000"/>
            </w:tcBorders>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956957">
              <w:rPr>
                <w:rFonts w:hAnsi="標楷體" w:cs="新細明體" w:hint="eastAsia"/>
                <w:kern w:val="0"/>
                <w:sz w:val="30"/>
                <w:szCs w:val="30"/>
              </w:rPr>
              <w:t>發回更審</w:t>
            </w:r>
          </w:p>
        </w:tc>
      </w:tr>
      <w:tr w:rsidR="00330DA1" w:rsidRPr="005C6FD0" w:rsidTr="00CA7D32">
        <w:trPr>
          <w:trHeight w:val="432"/>
        </w:trPr>
        <w:tc>
          <w:tcPr>
            <w:tcW w:w="991"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高雄</w:t>
            </w:r>
            <w:r w:rsidRPr="009B22D9">
              <w:rPr>
                <w:rFonts w:hAnsi="標楷體" w:cs="新細明體" w:hint="eastAsia"/>
                <w:kern w:val="0"/>
                <w:sz w:val="30"/>
                <w:szCs w:val="30"/>
              </w:rPr>
              <w:t>高</w:t>
            </w:r>
            <w:r w:rsidRPr="005C6FD0">
              <w:rPr>
                <w:rFonts w:hAnsi="標楷體" w:cs="新細明體"/>
                <w:kern w:val="0"/>
                <w:sz w:val="30"/>
                <w:szCs w:val="30"/>
              </w:rPr>
              <w:t>分院</w:t>
            </w:r>
          </w:p>
          <w:p w:rsidR="00330DA1" w:rsidRPr="005C6FD0" w:rsidRDefault="00330DA1" w:rsidP="00330DA1">
            <w:pPr>
              <w:widowControl/>
              <w:spacing w:line="340" w:lineRule="exact"/>
              <w:rPr>
                <w:rFonts w:hAnsi="標楷體" w:cs="新細明體"/>
                <w:kern w:val="0"/>
                <w:sz w:val="30"/>
                <w:szCs w:val="30"/>
              </w:rPr>
            </w:pPr>
            <w:r>
              <w:rPr>
                <w:rFonts w:hAnsi="標楷體" w:cs="新細明體" w:hint="eastAsia"/>
                <w:kern w:val="0"/>
                <w:sz w:val="30"/>
                <w:szCs w:val="30"/>
              </w:rPr>
              <w:t>(更三審)</w:t>
            </w:r>
          </w:p>
        </w:tc>
        <w:tc>
          <w:tcPr>
            <w:tcW w:w="2107"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108年度重上</w:t>
            </w:r>
            <w:r w:rsidRPr="006A1DBA">
              <w:rPr>
                <w:rFonts w:hAnsi="標楷體" w:cs="新細明體"/>
                <w:kern w:val="0"/>
                <w:sz w:val="30"/>
                <w:szCs w:val="30"/>
              </w:rPr>
              <w:t>更三</w:t>
            </w:r>
            <w:r w:rsidRPr="005C6FD0">
              <w:rPr>
                <w:rFonts w:hAnsi="標楷體" w:cs="新細明體"/>
                <w:kern w:val="0"/>
                <w:sz w:val="30"/>
                <w:szCs w:val="30"/>
              </w:rPr>
              <w:t>字第3號</w:t>
            </w:r>
          </w:p>
        </w:tc>
        <w:tc>
          <w:tcPr>
            <w:tcW w:w="898"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108.11.21</w:t>
            </w:r>
          </w:p>
        </w:tc>
        <w:tc>
          <w:tcPr>
            <w:tcW w:w="1003" w:type="pct"/>
            <w:tcBorders>
              <w:top w:val="single" w:sz="6" w:space="0" w:color="000000"/>
              <w:left w:val="single" w:sz="6" w:space="0" w:color="000000"/>
              <w:bottom w:val="single" w:sz="6" w:space="0" w:color="000000"/>
              <w:right w:val="single" w:sz="6" w:space="0" w:color="000000"/>
            </w:tcBorders>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Pr>
                <w:rFonts w:hAnsi="標楷體" w:cs="新細明體" w:hint="eastAsia"/>
                <w:kern w:val="0"/>
                <w:sz w:val="30"/>
                <w:szCs w:val="30"/>
              </w:rPr>
              <w:t>無罪</w:t>
            </w:r>
          </w:p>
        </w:tc>
      </w:tr>
      <w:tr w:rsidR="00330DA1" w:rsidRPr="005C6FD0" w:rsidTr="0047559A">
        <w:trPr>
          <w:trHeight w:val="529"/>
        </w:trPr>
        <w:tc>
          <w:tcPr>
            <w:tcW w:w="991"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最高法院</w:t>
            </w:r>
          </w:p>
        </w:tc>
        <w:tc>
          <w:tcPr>
            <w:tcW w:w="2107"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109年度台上字第729號</w:t>
            </w:r>
          </w:p>
        </w:tc>
        <w:tc>
          <w:tcPr>
            <w:tcW w:w="898" w:type="pct"/>
            <w:tcBorders>
              <w:top w:val="single" w:sz="6" w:space="0" w:color="000000"/>
              <w:left w:val="single" w:sz="6" w:space="0" w:color="000000"/>
              <w:bottom w:val="single" w:sz="6" w:space="0" w:color="000000"/>
              <w:right w:val="single" w:sz="6" w:space="0" w:color="000000"/>
            </w:tcBorders>
            <w:noWrap/>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sidRPr="005C6FD0">
              <w:rPr>
                <w:rFonts w:hAnsi="標楷體" w:cs="新細明體"/>
                <w:kern w:val="0"/>
                <w:sz w:val="30"/>
                <w:szCs w:val="30"/>
              </w:rPr>
              <w:t>110.03.03</w:t>
            </w:r>
          </w:p>
        </w:tc>
        <w:tc>
          <w:tcPr>
            <w:tcW w:w="1003" w:type="pct"/>
            <w:tcBorders>
              <w:top w:val="single" w:sz="6" w:space="0" w:color="000000"/>
              <w:left w:val="single" w:sz="6" w:space="0" w:color="000000"/>
              <w:bottom w:val="single" w:sz="6" w:space="0" w:color="000000"/>
              <w:right w:val="single" w:sz="6" w:space="0" w:color="000000"/>
            </w:tcBorders>
            <w:tcMar>
              <w:top w:w="15" w:type="dxa"/>
              <w:left w:w="60" w:type="dxa"/>
              <w:bottom w:w="0" w:type="dxa"/>
              <w:right w:w="45" w:type="dxa"/>
            </w:tcMar>
            <w:vAlign w:val="center"/>
            <w:hideMark/>
          </w:tcPr>
          <w:p w:rsidR="00330DA1" w:rsidRPr="005C6FD0" w:rsidRDefault="00330DA1" w:rsidP="00330DA1">
            <w:pPr>
              <w:widowControl/>
              <w:spacing w:line="340" w:lineRule="exact"/>
              <w:rPr>
                <w:rFonts w:hAnsi="標楷體" w:cs="新細明體"/>
                <w:kern w:val="0"/>
                <w:sz w:val="30"/>
                <w:szCs w:val="30"/>
              </w:rPr>
            </w:pPr>
            <w:r>
              <w:rPr>
                <w:rFonts w:hAnsi="標楷體" w:cs="新細明體" w:hint="eastAsia"/>
                <w:kern w:val="0"/>
                <w:sz w:val="30"/>
                <w:szCs w:val="30"/>
              </w:rPr>
              <w:t>上訴駁回</w:t>
            </w:r>
          </w:p>
        </w:tc>
      </w:tr>
    </w:tbl>
    <w:p w:rsidR="00330DA1" w:rsidRPr="00CA7D32" w:rsidRDefault="00CA7D32" w:rsidP="00CA7D32">
      <w:pPr>
        <w:pStyle w:val="4"/>
      </w:pPr>
      <w:r w:rsidRPr="00BB441F">
        <w:rPr>
          <w:rFonts w:hint="eastAsia"/>
          <w:b/>
        </w:rPr>
        <w:t>游男於110年5月6日經高雄高分院決定予以刑事補償217萬7千元</w:t>
      </w:r>
      <w:r w:rsidRPr="00CA7D32">
        <w:rPr>
          <w:rFonts w:hAnsi="標楷體" w:hint="eastAsia"/>
        </w:rPr>
        <w:t>：</w:t>
      </w:r>
    </w:p>
    <w:p w:rsidR="00CA7D32" w:rsidRDefault="00CA7D32" w:rsidP="00CA7D32">
      <w:pPr>
        <w:pStyle w:val="5"/>
      </w:pPr>
      <w:r>
        <w:rPr>
          <w:rFonts w:hint="eastAsia"/>
        </w:rPr>
        <w:t>游男前因運輸第二級毒品罪嫌，經高雄地檢署檢察官於104年11月28日向高雄地院聲請羈押，該院於同日裁定羈押，迄於106年8月9日停止羈押。嗣游男所涉運輸第二級毒品案件，經高雄高分院以108年度重上更三字第3號判決撤銷第一審所為有罪科刑判決，改諭知游男無罪，高雄高檢分署檢察官不服提起上訴，經最高法院於110年3月3日以109年度台上字第729號判決上訴駁回確定，游男遭羈押共計622日。</w:t>
      </w:r>
    </w:p>
    <w:p w:rsidR="00CA7D32" w:rsidRDefault="00CA7D32" w:rsidP="00CA7D32">
      <w:pPr>
        <w:pStyle w:val="5"/>
      </w:pPr>
      <w:r>
        <w:rPr>
          <w:rFonts w:hint="eastAsia"/>
        </w:rPr>
        <w:t>經高雄高分院於110年5月6日作成110年度刑補字第2號刑事補償決定書，准予補償217萬7千元。</w:t>
      </w:r>
    </w:p>
    <w:p w:rsidR="00A758F3" w:rsidRDefault="00A758F3" w:rsidP="00A758F3">
      <w:pPr>
        <w:pStyle w:val="4"/>
      </w:pPr>
      <w:r w:rsidRPr="00BB441F">
        <w:rPr>
          <w:rFonts w:hint="eastAsia"/>
          <w:b/>
        </w:rPr>
        <w:t>從上開判決觀之，蔡員是否有罪與游男案件判決結果有所連動</w:t>
      </w:r>
      <w:r>
        <w:rPr>
          <w:rFonts w:hAnsi="標楷體" w:hint="eastAsia"/>
        </w:rPr>
        <w:t>：</w:t>
      </w:r>
    </w:p>
    <w:p w:rsidR="00A758F3" w:rsidRDefault="00A758F3" w:rsidP="00A758F3">
      <w:pPr>
        <w:pStyle w:val="5"/>
      </w:pPr>
      <w:r w:rsidRPr="00A758F3">
        <w:rPr>
          <w:rFonts w:hint="eastAsia"/>
        </w:rPr>
        <w:t>第二審之高雄高分院106年度上訴字第738號判決改處蔡員有期徒刑1年10月，</w:t>
      </w:r>
      <w:r>
        <w:rPr>
          <w:rFonts w:hint="eastAsia"/>
        </w:rPr>
        <w:t>有罪理由之一為</w:t>
      </w:r>
      <w:r>
        <w:rPr>
          <w:rFonts w:hAnsi="標楷體" w:hint="eastAsia"/>
        </w:rPr>
        <w:t>「</w:t>
      </w:r>
      <w:r w:rsidRPr="00A758F3">
        <w:rPr>
          <w:rFonts w:hint="eastAsia"/>
        </w:rPr>
        <w:t>游男是以向趙男催討債務之方式，刻意安排此宗運輸毒品案件，供檢調查獲以換取減免刑責之寬典，此部分事實亦經</w:t>
      </w:r>
      <w:r w:rsidRPr="00BB441F">
        <w:rPr>
          <w:rFonts w:hint="eastAsia"/>
        </w:rPr>
        <w:t>高雄地院105年度重訴字第17號判決</w:t>
      </w:r>
      <w:r w:rsidRPr="00A758F3">
        <w:rPr>
          <w:rFonts w:hint="eastAsia"/>
        </w:rPr>
        <w:t>認定無訛</w:t>
      </w:r>
      <w:r>
        <w:rPr>
          <w:rFonts w:hAnsi="標楷體" w:hint="eastAsia"/>
        </w:rPr>
        <w:t>。」</w:t>
      </w:r>
    </w:p>
    <w:p w:rsidR="00A758F3" w:rsidRPr="00A758F3" w:rsidRDefault="00A758F3" w:rsidP="00A758F3">
      <w:pPr>
        <w:pStyle w:val="5"/>
      </w:pPr>
      <w:r w:rsidRPr="00A758F3">
        <w:rPr>
          <w:rFonts w:hint="eastAsia"/>
        </w:rPr>
        <w:t>最高法院109年度台上字第1271號判決</w:t>
      </w:r>
      <w:r>
        <w:rPr>
          <w:rFonts w:hint="eastAsia"/>
        </w:rPr>
        <w:t>將蔡員案件</w:t>
      </w:r>
      <w:r w:rsidRPr="00A758F3">
        <w:rPr>
          <w:rFonts w:hint="eastAsia"/>
        </w:rPr>
        <w:t>發回高雄高分院更審，判決中提及「</w:t>
      </w:r>
      <w:r w:rsidRPr="003E7D65">
        <w:rPr>
          <w:rFonts w:hint="eastAsia"/>
        </w:rPr>
        <w:t>游</w:t>
      </w:r>
      <w:r>
        <w:rPr>
          <w:rFonts w:hint="eastAsia"/>
        </w:rPr>
        <w:t>男</w:t>
      </w:r>
      <w:r w:rsidRPr="003E7D65">
        <w:rPr>
          <w:rFonts w:hint="eastAsia"/>
        </w:rPr>
        <w:t>被訴與趙</w:t>
      </w:r>
      <w:r>
        <w:rPr>
          <w:rFonts w:hint="eastAsia"/>
        </w:rPr>
        <w:t>男</w:t>
      </w:r>
      <w:r w:rsidRPr="003E7D65">
        <w:rPr>
          <w:rFonts w:hint="eastAsia"/>
        </w:rPr>
        <w:t>等人共同運輸上揭</w:t>
      </w:r>
      <w:r>
        <w:rPr>
          <w:rFonts w:hint="eastAsia"/>
        </w:rPr>
        <w:t>甲基安非他命</w:t>
      </w:r>
      <w:r w:rsidRPr="003E7D65">
        <w:rPr>
          <w:rFonts w:hint="eastAsia"/>
        </w:rPr>
        <w:t>70公斤來</w:t>
      </w:r>
      <w:r>
        <w:rPr>
          <w:rFonts w:hint="eastAsia"/>
        </w:rPr>
        <w:t>臺</w:t>
      </w:r>
      <w:r w:rsidRPr="003E7D65">
        <w:rPr>
          <w:rFonts w:hint="eastAsia"/>
        </w:rPr>
        <w:t>，業經</w:t>
      </w:r>
      <w:r w:rsidRPr="00BB441F">
        <w:rPr>
          <w:rFonts w:hint="eastAsia"/>
        </w:rPr>
        <w:t>高雄高分院於108年5月14日以</w:t>
      </w:r>
      <w:r w:rsidRPr="00BB441F">
        <w:rPr>
          <w:rFonts w:hint="eastAsia"/>
        </w:rPr>
        <w:lastRenderedPageBreak/>
        <w:t>108年度上更二字第6號判決諭知無罪</w:t>
      </w:r>
      <w:r>
        <w:rPr>
          <w:rFonts w:hAnsi="標楷體" w:hint="eastAsia"/>
        </w:rPr>
        <w:t>。第二審</w:t>
      </w:r>
      <w:r w:rsidRPr="00DF4720">
        <w:rPr>
          <w:rFonts w:hAnsi="標楷體" w:hint="eastAsia"/>
        </w:rPr>
        <w:t>判決就此有利於</w:t>
      </w:r>
      <w:r>
        <w:rPr>
          <w:rFonts w:hAnsi="標楷體" w:hint="eastAsia"/>
        </w:rPr>
        <w:t>蔡員</w:t>
      </w:r>
      <w:r w:rsidRPr="00DF4720">
        <w:rPr>
          <w:rFonts w:hAnsi="標楷體" w:hint="eastAsia"/>
        </w:rPr>
        <w:t>之證據，亦未說明不予採納之理由。</w:t>
      </w:r>
      <w:r>
        <w:rPr>
          <w:rFonts w:hAnsi="標楷體" w:hint="eastAsia"/>
        </w:rPr>
        <w:t>」</w:t>
      </w:r>
    </w:p>
    <w:p w:rsidR="00A758F3" w:rsidRDefault="00A758F3" w:rsidP="00A758F3">
      <w:pPr>
        <w:pStyle w:val="5"/>
      </w:pPr>
      <w:r w:rsidRPr="00925FB8">
        <w:rPr>
          <w:rFonts w:hint="eastAsia"/>
        </w:rPr>
        <w:t>高雄高分院109年度上更一字第22號判決維持第一審無罪判決，</w:t>
      </w:r>
      <w:r>
        <w:rPr>
          <w:rFonts w:hint="eastAsia"/>
        </w:rPr>
        <w:t>無罪理由之一為</w:t>
      </w:r>
      <w:r w:rsidRPr="00A758F3">
        <w:rPr>
          <w:rFonts w:hint="eastAsia"/>
        </w:rPr>
        <w:t>「</w:t>
      </w:r>
      <w:r>
        <w:rPr>
          <w:rFonts w:hint="eastAsia"/>
        </w:rPr>
        <w:t>並無證據證明游男與趙男同謀而參與余男集團走私運輸甲基安非他命來臺之犯行，亦經</w:t>
      </w:r>
      <w:r w:rsidRPr="00BB441F">
        <w:rPr>
          <w:rFonts w:hint="eastAsia"/>
        </w:rPr>
        <w:t>高雄高分院於108年11月21日以108年度重上更三字第3號判決無罪</w:t>
      </w:r>
      <w:r>
        <w:rPr>
          <w:rFonts w:hint="eastAsia"/>
        </w:rPr>
        <w:t>在案，益證游男並未參與本件走私運輸甲基安非他命之犯行。</w:t>
      </w:r>
      <w:r>
        <w:rPr>
          <w:rFonts w:hAnsi="標楷體" w:hint="eastAsia"/>
        </w:rPr>
        <w:t>」</w:t>
      </w:r>
    </w:p>
    <w:p w:rsidR="00CA7D32" w:rsidRPr="00CA7D32" w:rsidRDefault="00CA7D32" w:rsidP="00CA7D32">
      <w:pPr>
        <w:pStyle w:val="3"/>
      </w:pPr>
      <w:r w:rsidRPr="00815B55">
        <w:rPr>
          <w:rFonts w:hAnsi="Times New Roman" w:hint="eastAsia"/>
          <w:b/>
          <w:bCs w:val="0"/>
          <w:kern w:val="2"/>
        </w:rPr>
        <w:t>法務部於105年11月</w:t>
      </w:r>
      <w:r>
        <w:rPr>
          <w:rFonts w:hAnsi="Times New Roman" w:hint="eastAsia"/>
          <w:b/>
          <w:bCs w:val="0"/>
          <w:kern w:val="2"/>
        </w:rPr>
        <w:t>將蔡員</w:t>
      </w:r>
      <w:r w:rsidRPr="00815B55">
        <w:rPr>
          <w:rFonts w:hAnsi="Times New Roman" w:hint="eastAsia"/>
          <w:b/>
          <w:bCs w:val="0"/>
          <w:kern w:val="2"/>
        </w:rPr>
        <w:t>移送懲戒，</w:t>
      </w:r>
      <w:r>
        <w:rPr>
          <w:rFonts w:hAnsi="Times New Roman" w:hint="eastAsia"/>
          <w:b/>
          <w:bCs w:val="0"/>
          <w:kern w:val="2"/>
        </w:rPr>
        <w:t>亦</w:t>
      </w:r>
      <w:r w:rsidRPr="00815B55">
        <w:rPr>
          <w:rFonts w:hAnsi="Times New Roman" w:hint="eastAsia"/>
          <w:b/>
          <w:bCs w:val="0"/>
          <w:kern w:val="2"/>
        </w:rPr>
        <w:t>經懲戒法院於109年10月判決「不受懲戒」</w:t>
      </w:r>
      <w:r w:rsidR="00F10266">
        <w:rPr>
          <w:rFonts w:hAnsi="標楷體" w:hint="eastAsia"/>
          <w:b/>
          <w:bCs w:val="0"/>
          <w:kern w:val="2"/>
        </w:rPr>
        <w:t>，其</w:t>
      </w:r>
      <w:r w:rsidR="00F10266" w:rsidRPr="00F10266">
        <w:rPr>
          <w:rFonts w:hAnsi="Times New Roman" w:hint="eastAsia"/>
          <w:b/>
          <w:bCs w:val="0"/>
          <w:kern w:val="2"/>
        </w:rPr>
        <w:t>既經法院終局判決認定其無刑事及懲戒責任，</w:t>
      </w:r>
      <w:r w:rsidR="00FD4F4B">
        <w:rPr>
          <w:rFonts w:hAnsi="Times New Roman" w:hint="eastAsia"/>
          <w:b/>
          <w:bCs w:val="0"/>
          <w:kern w:val="2"/>
        </w:rPr>
        <w:t>宜</w:t>
      </w:r>
      <w:r w:rsidR="00F10266" w:rsidRPr="00F10266">
        <w:rPr>
          <w:rFonts w:hAnsi="Times New Roman" w:hint="eastAsia"/>
          <w:b/>
          <w:bCs w:val="0"/>
          <w:kern w:val="2"/>
        </w:rPr>
        <w:t>尊重司法審理之結果</w:t>
      </w:r>
      <w:r>
        <w:rPr>
          <w:rFonts w:hAnsi="標楷體" w:hint="eastAsia"/>
          <w:b/>
          <w:bCs w:val="0"/>
          <w:kern w:val="2"/>
        </w:rPr>
        <w:t>：</w:t>
      </w:r>
    </w:p>
    <w:p w:rsidR="00D802C6" w:rsidRPr="00D802C6" w:rsidRDefault="00D802C6" w:rsidP="00CA7D32">
      <w:pPr>
        <w:pStyle w:val="4"/>
      </w:pPr>
      <w:r w:rsidRPr="00BB441F">
        <w:rPr>
          <w:rFonts w:hint="eastAsia"/>
          <w:b/>
        </w:rPr>
        <w:t>調查局考績委員會決議將蔡員報請法務部移送公務員懲戒委員會審理</w:t>
      </w:r>
      <w:r w:rsidRPr="00D802C6">
        <w:rPr>
          <w:rFonts w:hAnsi="標楷體" w:hint="eastAsia"/>
        </w:rPr>
        <w:t>：</w:t>
      </w:r>
    </w:p>
    <w:p w:rsidR="00CA7D32" w:rsidRDefault="00D802C6" w:rsidP="00D802C6">
      <w:pPr>
        <w:pStyle w:val="5"/>
      </w:pPr>
      <w:r w:rsidRPr="00C71EB5">
        <w:rPr>
          <w:rFonts w:hint="eastAsia"/>
        </w:rPr>
        <w:t>游</w:t>
      </w:r>
      <w:r>
        <w:rPr>
          <w:rFonts w:hint="eastAsia"/>
        </w:rPr>
        <w:t>男</w:t>
      </w:r>
      <w:r w:rsidRPr="00C71EB5">
        <w:rPr>
          <w:rFonts w:hint="eastAsia"/>
        </w:rPr>
        <w:t>主導曾</w:t>
      </w:r>
      <w:r>
        <w:rPr>
          <w:rFonts w:hint="eastAsia"/>
        </w:rPr>
        <w:t>男</w:t>
      </w:r>
      <w:r w:rsidRPr="00C71EB5">
        <w:rPr>
          <w:rFonts w:hint="eastAsia"/>
        </w:rPr>
        <w:t>運毒案之犯行，業經高雄地院判決有罪，而蔡</w:t>
      </w:r>
      <w:r>
        <w:rPr>
          <w:rFonts w:hint="eastAsia"/>
        </w:rPr>
        <w:t>員</w:t>
      </w:r>
      <w:r w:rsidRPr="00C71EB5">
        <w:rPr>
          <w:rFonts w:hint="eastAsia"/>
        </w:rPr>
        <w:t>自游</w:t>
      </w:r>
      <w:r>
        <w:rPr>
          <w:rFonts w:hint="eastAsia"/>
        </w:rPr>
        <w:t>男</w:t>
      </w:r>
      <w:r w:rsidRPr="00C71EB5">
        <w:rPr>
          <w:rFonts w:hint="eastAsia"/>
        </w:rPr>
        <w:t>前案求得</w:t>
      </w:r>
      <w:r w:rsidRPr="00E77454">
        <w:rPr>
          <w:rFonts w:hAnsi="標楷體" w:cs="Helvetica" w:hint="eastAsia"/>
          <w:shd w:val="clear" w:color="auto" w:fill="FFFFFF"/>
        </w:rPr>
        <w:t>〈</w:t>
      </w:r>
      <w:r w:rsidRPr="00E77454">
        <w:rPr>
          <w:rFonts w:hint="eastAsia"/>
        </w:rPr>
        <w:t>證人保護法</w:t>
      </w:r>
      <w:r w:rsidRPr="00E77454">
        <w:rPr>
          <w:rFonts w:hAnsi="標楷體" w:cs="Helvetica" w:hint="eastAsia"/>
          <w:shd w:val="clear" w:color="auto" w:fill="FFFFFF"/>
        </w:rPr>
        <w:t>〉</w:t>
      </w:r>
      <w:r w:rsidRPr="00E77454">
        <w:rPr>
          <w:rFonts w:hint="eastAsia"/>
        </w:rPr>
        <w:t>第14條相關規定之寬典起，受理檢舉、立案、上線監聽等調查，而至破案期間，居中聯繫檢察官、配合掛線及查緝等作為，介入極深。蔡員身為緝毒組長，應依據法律調查毒品案件，竟為求取緝毒獎金及績效，明知涉案被告以債換毒、以毒減刑，及利用癌末病患充當死轉手，巧設交易斷點等手法，仍配合查緝，蔡員疑涉違反</w:t>
      </w:r>
      <w:r w:rsidRPr="00E77454">
        <w:rPr>
          <w:rFonts w:hAnsi="標楷體" w:cs="Helvetica" w:hint="eastAsia"/>
          <w:shd w:val="clear" w:color="auto" w:fill="FFFFFF"/>
        </w:rPr>
        <w:t>〈</w:t>
      </w:r>
      <w:r w:rsidRPr="00E77454">
        <w:rPr>
          <w:rFonts w:hint="eastAsia"/>
        </w:rPr>
        <w:t>貪污治罪條例</w:t>
      </w:r>
      <w:r w:rsidRPr="00E77454">
        <w:rPr>
          <w:rFonts w:hAnsi="標楷體" w:cs="Helvetica" w:hint="eastAsia"/>
          <w:shd w:val="clear" w:color="auto" w:fill="FFFFFF"/>
        </w:rPr>
        <w:t>〉</w:t>
      </w:r>
      <w:r w:rsidRPr="00E77454">
        <w:rPr>
          <w:rFonts w:hint="eastAsia"/>
        </w:rPr>
        <w:t>第5條第1項第2款、第2項之利用職務上機會詐取財物未遂罪嫌，並經檢方提起公訴在案，其違背公務員法紀之情節嚴重，為正官箴，依</w:t>
      </w:r>
      <w:r w:rsidRPr="00E77454">
        <w:rPr>
          <w:rFonts w:hAnsi="標楷體" w:cs="Helvetica" w:hint="eastAsia"/>
          <w:shd w:val="clear" w:color="auto" w:fill="FFFFFF"/>
        </w:rPr>
        <w:t>〈</w:t>
      </w:r>
      <w:r w:rsidRPr="00E77454">
        <w:rPr>
          <w:rFonts w:hint="eastAsia"/>
        </w:rPr>
        <w:t>調查局辦理風紀案件查處作業要點</w:t>
      </w:r>
      <w:r w:rsidRPr="00E77454">
        <w:rPr>
          <w:rFonts w:hAnsi="標楷體" w:cs="Helvetica" w:hint="eastAsia"/>
          <w:shd w:val="clear" w:color="auto" w:fill="FFFFFF"/>
        </w:rPr>
        <w:t>〉</w:t>
      </w:r>
      <w:r w:rsidRPr="00E77454">
        <w:rPr>
          <w:rFonts w:hint="eastAsia"/>
        </w:rPr>
        <w:t>第6點第4款「有具體違犯法紀事</w:t>
      </w:r>
      <w:r w:rsidRPr="00E77454">
        <w:rPr>
          <w:rFonts w:hint="eastAsia"/>
        </w:rPr>
        <w:lastRenderedPageBreak/>
        <w:t>證者，提本局考績委員會審議，……逕送公務員懲戒委員會審議。」及</w:t>
      </w:r>
      <w:r w:rsidRPr="00E77454">
        <w:rPr>
          <w:rFonts w:hAnsi="標楷體" w:cs="Helvetica" w:hint="eastAsia"/>
          <w:shd w:val="clear" w:color="auto" w:fill="FFFFFF"/>
        </w:rPr>
        <w:t>〈</w:t>
      </w:r>
      <w:r w:rsidRPr="00E77454">
        <w:rPr>
          <w:rFonts w:hint="eastAsia"/>
        </w:rPr>
        <w:t>公務員懲戒法</w:t>
      </w:r>
      <w:r w:rsidRPr="00E77454">
        <w:rPr>
          <w:rFonts w:hAnsi="標楷體" w:cs="Helvetica" w:hint="eastAsia"/>
          <w:shd w:val="clear" w:color="auto" w:fill="FFFFFF"/>
        </w:rPr>
        <w:t>〉</w:t>
      </w:r>
      <w:r w:rsidRPr="00E77454">
        <w:rPr>
          <w:rFonts w:hint="eastAsia"/>
        </w:rPr>
        <w:t>第2條第1款「公務員有下</w:t>
      </w:r>
      <w:r w:rsidRPr="00C71EB5">
        <w:rPr>
          <w:rFonts w:hint="eastAsia"/>
        </w:rPr>
        <w:t>列各款情事之一，有懲戒之必要者，應受懲戒：</w:t>
      </w:r>
      <w:r>
        <w:rPr>
          <w:rFonts w:hint="eastAsia"/>
        </w:rPr>
        <w:t>一</w:t>
      </w:r>
      <w:r>
        <w:rPr>
          <w:rFonts w:ascii="新細明體" w:eastAsia="新細明體" w:hAnsi="新細明體" w:hint="eastAsia"/>
        </w:rPr>
        <w:t>、</w:t>
      </w:r>
      <w:r w:rsidRPr="00C71EB5">
        <w:rPr>
          <w:rFonts w:hint="eastAsia"/>
        </w:rPr>
        <w:t>違法執行職務</w:t>
      </w:r>
      <w:r>
        <w:rPr>
          <w:rFonts w:hAnsi="標楷體" w:hint="eastAsia"/>
        </w:rPr>
        <w:t>……</w:t>
      </w:r>
      <w:r>
        <w:rPr>
          <w:rFonts w:hint="eastAsia"/>
        </w:rPr>
        <w:t>」等規定，</w:t>
      </w:r>
      <w:r w:rsidRPr="00C71EB5">
        <w:rPr>
          <w:rFonts w:hint="eastAsia"/>
        </w:rPr>
        <w:t>有必要提請</w:t>
      </w:r>
      <w:r>
        <w:rPr>
          <w:rFonts w:hint="eastAsia"/>
        </w:rPr>
        <w:t>考績委員會</w:t>
      </w:r>
      <w:r w:rsidRPr="00C71EB5">
        <w:rPr>
          <w:rFonts w:hint="eastAsia"/>
        </w:rPr>
        <w:t>審議。</w:t>
      </w:r>
    </w:p>
    <w:p w:rsidR="00D802C6" w:rsidRDefault="00D802C6" w:rsidP="00D802C6">
      <w:pPr>
        <w:pStyle w:val="5"/>
      </w:pPr>
      <w:r w:rsidRPr="00D802C6">
        <w:rPr>
          <w:rFonts w:hint="eastAsia"/>
        </w:rPr>
        <w:t>調查局彙整全案資料</w:t>
      </w:r>
      <w:r w:rsidR="008C7A0D">
        <w:rPr>
          <w:rFonts w:hint="eastAsia"/>
        </w:rPr>
        <w:t>後</w:t>
      </w:r>
      <w:r w:rsidRPr="00D802C6">
        <w:rPr>
          <w:rFonts w:hint="eastAsia"/>
        </w:rPr>
        <w:t>提報考績委員會審議，經該局105年10月6日第276次考績委員會決議將蔡員報請法務部移送懲戒，法務部於同年11月25日以法人字第10508522530號公務員懲戒案件移送書將蔡員移送公務員懲戒委員會審理。</w:t>
      </w:r>
    </w:p>
    <w:p w:rsidR="00D802C6" w:rsidRDefault="00D802C6" w:rsidP="00D802C6">
      <w:pPr>
        <w:pStyle w:val="4"/>
      </w:pPr>
      <w:r w:rsidRPr="00BB441F">
        <w:rPr>
          <w:rFonts w:hint="eastAsia"/>
          <w:b/>
        </w:rPr>
        <w:t>懲戒法院(由公務員懲戒委員會改制)109年10月28日105年度清字第12828號判決蔡員不受懲戒</w:t>
      </w:r>
      <w:r w:rsidRPr="00D802C6">
        <w:rPr>
          <w:rFonts w:hint="eastAsia"/>
        </w:rPr>
        <w:t>：</w:t>
      </w:r>
    </w:p>
    <w:p w:rsidR="00D802C6" w:rsidRPr="00D802C6" w:rsidRDefault="00D802C6" w:rsidP="00D802C6">
      <w:pPr>
        <w:pStyle w:val="5"/>
      </w:pPr>
      <w:r w:rsidRPr="00CC6EB6">
        <w:rPr>
          <w:rFonts w:hint="eastAsia"/>
        </w:rPr>
        <w:t>移送機關</w:t>
      </w:r>
      <w:r>
        <w:rPr>
          <w:rFonts w:hint="eastAsia"/>
        </w:rPr>
        <w:t>法務部</w:t>
      </w:r>
      <w:r w:rsidRPr="00CC6EB6">
        <w:rPr>
          <w:rFonts w:hint="eastAsia"/>
        </w:rPr>
        <w:t>移送之</w:t>
      </w:r>
      <w:r>
        <w:rPr>
          <w:rFonts w:hint="eastAsia"/>
        </w:rPr>
        <w:t>涉案</w:t>
      </w:r>
      <w:r w:rsidRPr="00CC6EB6">
        <w:rPr>
          <w:rFonts w:hint="eastAsia"/>
        </w:rPr>
        <w:t>事實，雖經高雄地檢署檢察官認</w:t>
      </w:r>
      <w:r>
        <w:rPr>
          <w:rFonts w:hint="eastAsia"/>
        </w:rPr>
        <w:t>蔡員</w:t>
      </w:r>
      <w:r w:rsidRPr="00CC6EB6">
        <w:rPr>
          <w:rFonts w:hint="eastAsia"/>
        </w:rPr>
        <w:t>涉犯</w:t>
      </w:r>
      <w:r w:rsidRPr="00E77454">
        <w:rPr>
          <w:rFonts w:hAnsi="標楷體" w:cs="Helvetica" w:hint="eastAsia"/>
          <w:shd w:val="clear" w:color="auto" w:fill="FFFFFF"/>
        </w:rPr>
        <w:t>〈</w:t>
      </w:r>
      <w:r w:rsidRPr="00E77454">
        <w:rPr>
          <w:rFonts w:hint="eastAsia"/>
        </w:rPr>
        <w:t>貪污治罪條例</w:t>
      </w:r>
      <w:r w:rsidRPr="00E77454">
        <w:rPr>
          <w:rFonts w:hAnsi="標楷體" w:cs="Helvetica" w:hint="eastAsia"/>
          <w:shd w:val="clear" w:color="auto" w:fill="FFFFFF"/>
        </w:rPr>
        <w:t>〉</w:t>
      </w:r>
      <w:r w:rsidRPr="00CC6EB6">
        <w:rPr>
          <w:rFonts w:hint="eastAsia"/>
        </w:rPr>
        <w:t>第5條第1項第2款、第2項之公務員利用職務上機會詐取財物未遂罪嫌，提起公訴。惟查，上揭刑事案件業經高雄地院105年度訴字第723號刑事判決，以不能證明犯罪，諭知</w:t>
      </w:r>
      <w:r>
        <w:rPr>
          <w:rFonts w:hint="eastAsia"/>
        </w:rPr>
        <w:t>蔡員</w:t>
      </w:r>
      <w:r w:rsidRPr="00CC6EB6">
        <w:rPr>
          <w:rFonts w:hint="eastAsia"/>
        </w:rPr>
        <w:t>無罪，並經高雄高分院109年度上更一字第22號刑事判決，以不能證明犯罪為由，維持第一審所為</w:t>
      </w:r>
      <w:r>
        <w:rPr>
          <w:rFonts w:hint="eastAsia"/>
        </w:rPr>
        <w:t>蔡員</w:t>
      </w:r>
      <w:r w:rsidRPr="00CC6EB6">
        <w:rPr>
          <w:rFonts w:hint="eastAsia"/>
        </w:rPr>
        <w:t>無罪之判決。檢察官不服提起第三審上訴，復經最高法院於109年10月7日以109年度台上字第4749號刑事判決，駁回檢察官上訴確定在案</w:t>
      </w:r>
      <w:r>
        <w:rPr>
          <w:rFonts w:ascii="新細明體" w:eastAsia="新細明體" w:hAnsi="新細明體" w:hint="eastAsia"/>
        </w:rPr>
        <w:t>。</w:t>
      </w:r>
    </w:p>
    <w:p w:rsidR="00D802C6" w:rsidRPr="00CA7D32" w:rsidRDefault="00D802C6" w:rsidP="00D802C6">
      <w:pPr>
        <w:pStyle w:val="5"/>
      </w:pPr>
      <w:r>
        <w:rPr>
          <w:rFonts w:hint="eastAsia"/>
        </w:rPr>
        <w:t>蔡員</w:t>
      </w:r>
      <w:r w:rsidRPr="009243C6">
        <w:rPr>
          <w:rFonts w:hint="eastAsia"/>
        </w:rPr>
        <w:t>既經刑事法院以不能證明其利用職務上機會詐取財物未遂行為而判決無罪確定，</w:t>
      </w:r>
      <w:r>
        <w:rPr>
          <w:rFonts w:hint="eastAsia"/>
        </w:rPr>
        <w:t>懲戒法</w:t>
      </w:r>
      <w:r w:rsidRPr="009243C6">
        <w:rPr>
          <w:rFonts w:hint="eastAsia"/>
        </w:rPr>
        <w:t>院又查無積極事證足以證明其有移送意旨所指利用職務上機會詐取財物未遂之違失行為，自難認</w:t>
      </w:r>
      <w:r>
        <w:rPr>
          <w:rFonts w:hint="eastAsia"/>
        </w:rPr>
        <w:t>蔡員</w:t>
      </w:r>
      <w:r w:rsidRPr="009243C6">
        <w:rPr>
          <w:rFonts w:hint="eastAsia"/>
        </w:rPr>
        <w:t>有</w:t>
      </w:r>
      <w:r w:rsidRPr="00E77454">
        <w:rPr>
          <w:rFonts w:hAnsi="標楷體" w:cs="Helvetica" w:hint="eastAsia"/>
          <w:shd w:val="clear" w:color="auto" w:fill="FFFFFF"/>
        </w:rPr>
        <w:t>〈</w:t>
      </w:r>
      <w:r w:rsidRPr="00E77454">
        <w:rPr>
          <w:rFonts w:hint="eastAsia"/>
        </w:rPr>
        <w:t>公務員懲戒法</w:t>
      </w:r>
      <w:r w:rsidRPr="00E77454">
        <w:rPr>
          <w:rFonts w:hAnsi="標楷體" w:cs="Helvetica" w:hint="eastAsia"/>
          <w:shd w:val="clear" w:color="auto" w:fill="FFFFFF"/>
        </w:rPr>
        <w:t>〉</w:t>
      </w:r>
      <w:r w:rsidRPr="009243C6">
        <w:rPr>
          <w:rFonts w:hint="eastAsia"/>
        </w:rPr>
        <w:t>第2條第1款所列應受懲戒之情事，爰不經言詞辯論，逕為諭</w:t>
      </w:r>
      <w:r w:rsidRPr="009243C6">
        <w:rPr>
          <w:rFonts w:hint="eastAsia"/>
        </w:rPr>
        <w:lastRenderedPageBreak/>
        <w:t>知不受懲戒之判決</w:t>
      </w:r>
      <w:r>
        <w:rPr>
          <w:rStyle w:val="afd"/>
        </w:rPr>
        <w:footnoteReference w:id="5"/>
      </w:r>
      <w:r w:rsidRPr="009243C6">
        <w:rPr>
          <w:rFonts w:hint="eastAsia"/>
        </w:rPr>
        <w:t>。</w:t>
      </w:r>
    </w:p>
    <w:p w:rsidR="0092470F" w:rsidRPr="008E74E3" w:rsidRDefault="0092470F" w:rsidP="0092470F">
      <w:pPr>
        <w:pStyle w:val="3"/>
      </w:pPr>
      <w:r>
        <w:rPr>
          <w:rFonts w:hint="eastAsia"/>
        </w:rPr>
        <w:t>綜上</w:t>
      </w:r>
      <w:r>
        <w:rPr>
          <w:rFonts w:hAnsi="標楷體" w:hint="eastAsia"/>
        </w:rPr>
        <w:t>，</w:t>
      </w:r>
      <w:r w:rsidRPr="0092470F">
        <w:rPr>
          <w:rFonts w:hint="eastAsia"/>
        </w:rPr>
        <w:t>蔡員經高雄地檢署以利用職務上機會詐取財物未遂罪嫌起訴</w:t>
      </w:r>
      <w:r>
        <w:rPr>
          <w:rFonts w:hint="eastAsia"/>
        </w:rPr>
        <w:t>後</w:t>
      </w:r>
      <w:r w:rsidRPr="0092470F">
        <w:rPr>
          <w:rFonts w:hAnsi="標楷體" w:hint="eastAsia"/>
        </w:rPr>
        <w:t>，</w:t>
      </w:r>
      <w:r>
        <w:rPr>
          <w:rFonts w:hAnsi="標楷體" w:hint="eastAsia"/>
        </w:rPr>
        <w:t>業</w:t>
      </w:r>
      <w:r w:rsidRPr="0092470F">
        <w:rPr>
          <w:rFonts w:hAnsi="Times New Roman" w:hint="eastAsia"/>
          <w:bCs w:val="0"/>
          <w:kern w:val="2"/>
        </w:rPr>
        <w:t>經最高法院判決</w:t>
      </w:r>
      <w:r>
        <w:rPr>
          <w:rFonts w:hAnsi="Times New Roman" w:hint="eastAsia"/>
          <w:bCs w:val="0"/>
          <w:kern w:val="2"/>
        </w:rPr>
        <w:t>無罪</w:t>
      </w:r>
      <w:r w:rsidRPr="0092470F">
        <w:rPr>
          <w:rFonts w:hAnsi="Times New Roman" w:hint="eastAsia"/>
          <w:bCs w:val="0"/>
          <w:kern w:val="2"/>
        </w:rPr>
        <w:t>定讞，亦經懲戒法院判決「不受懲戒」</w:t>
      </w:r>
      <w:r>
        <w:rPr>
          <w:rFonts w:hAnsi="Times New Roman" w:hint="eastAsia"/>
          <w:bCs w:val="0"/>
          <w:kern w:val="2"/>
        </w:rPr>
        <w:t>確定在案</w:t>
      </w:r>
      <w:r w:rsidRPr="0092470F">
        <w:rPr>
          <w:rFonts w:ascii="新細明體" w:eastAsia="新細明體" w:hAnsi="新細明體" w:hint="eastAsia"/>
          <w:bCs w:val="0"/>
          <w:kern w:val="2"/>
        </w:rPr>
        <w:t>。</w:t>
      </w:r>
      <w:r w:rsidR="00F10266" w:rsidRPr="00F10266">
        <w:rPr>
          <w:rFonts w:hAnsi="標楷體" w:hint="eastAsia"/>
          <w:bCs w:val="0"/>
          <w:kern w:val="2"/>
        </w:rPr>
        <w:t>蔡員既經法院終局判決認定其無刑事及懲戒責任，</w:t>
      </w:r>
      <w:r w:rsidR="00FD4F4B">
        <w:rPr>
          <w:rFonts w:hAnsi="標楷體" w:hint="eastAsia"/>
          <w:bCs w:val="0"/>
          <w:kern w:val="2"/>
        </w:rPr>
        <w:t>宜</w:t>
      </w:r>
      <w:r w:rsidR="00F10266" w:rsidRPr="00F10266">
        <w:rPr>
          <w:rFonts w:hAnsi="標楷體" w:hint="eastAsia"/>
          <w:bCs w:val="0"/>
          <w:kern w:val="2"/>
        </w:rPr>
        <w:t>尊重司法審理之結果</w:t>
      </w:r>
      <w:r w:rsidRPr="0092470F">
        <w:rPr>
          <w:rFonts w:hAnsi="標楷體" w:hint="eastAsia"/>
          <w:bCs w:val="0"/>
          <w:kern w:val="2"/>
        </w:rPr>
        <w:t>。</w:t>
      </w:r>
    </w:p>
    <w:p w:rsidR="008E74E3" w:rsidRPr="00CC3B0A" w:rsidRDefault="008275F5" w:rsidP="00A10595">
      <w:pPr>
        <w:pStyle w:val="2"/>
        <w:rPr>
          <w:b/>
        </w:rPr>
      </w:pPr>
      <w:r w:rsidRPr="00D87F73">
        <w:rPr>
          <w:rFonts w:hint="eastAsia"/>
          <w:b/>
        </w:rPr>
        <w:t>調查局辦理毒品案績效查核訂有〈</w:t>
      </w:r>
      <w:r w:rsidR="00EA7468" w:rsidRPr="00EA7468">
        <w:rPr>
          <w:rFonts w:hAnsi="標楷體" w:hint="eastAsia"/>
          <w:b/>
          <w:szCs w:val="32"/>
        </w:rPr>
        <w:t>調查局</w:t>
      </w:r>
      <w:r w:rsidRPr="00D87F73">
        <w:rPr>
          <w:rFonts w:hint="eastAsia"/>
          <w:b/>
        </w:rPr>
        <w:t>各外勤調查處站業務績效考核要點〉及〈毒品防制工作績效評定要點〉</w:t>
      </w:r>
      <w:r w:rsidRPr="00D87F73">
        <w:rPr>
          <w:rFonts w:hAnsi="標楷體" w:hint="eastAsia"/>
          <w:b/>
        </w:rPr>
        <w:t>，</w:t>
      </w:r>
      <w:r w:rsidRPr="00D87F73">
        <w:rPr>
          <w:rFonts w:hint="eastAsia"/>
          <w:b/>
        </w:rPr>
        <w:t>對於查緝人員之行政獎勵</w:t>
      </w:r>
      <w:r w:rsidR="0066499F">
        <w:rPr>
          <w:rFonts w:hint="eastAsia"/>
          <w:b/>
        </w:rPr>
        <w:t>訂</w:t>
      </w:r>
      <w:r w:rsidRPr="00D87F73">
        <w:rPr>
          <w:rFonts w:hint="eastAsia"/>
          <w:b/>
        </w:rPr>
        <w:t>有</w:t>
      </w:r>
      <w:r w:rsidRPr="00D87F73">
        <w:rPr>
          <w:rFonts w:ascii="新細明體" w:eastAsia="新細明體" w:hAnsi="新細明體" w:hint="eastAsia"/>
          <w:b/>
        </w:rPr>
        <w:t>〈</w:t>
      </w:r>
      <w:r w:rsidR="00F12B76" w:rsidRPr="00F12B76">
        <w:rPr>
          <w:rFonts w:hint="eastAsia"/>
          <w:b/>
        </w:rPr>
        <w:t>調查局</w:t>
      </w:r>
      <w:r w:rsidRPr="00D87F73">
        <w:rPr>
          <w:rFonts w:hint="eastAsia"/>
          <w:b/>
        </w:rPr>
        <w:t>偵破重大毒品案件併請精神獎勵要點</w:t>
      </w:r>
      <w:r w:rsidRPr="00D87F73">
        <w:rPr>
          <w:rFonts w:ascii="新細明體" w:eastAsia="新細明體" w:hAnsi="新細明體" w:hint="eastAsia"/>
          <w:b/>
        </w:rPr>
        <w:t>〉</w:t>
      </w:r>
      <w:r w:rsidRPr="00D87F73">
        <w:rPr>
          <w:rFonts w:hint="eastAsia"/>
          <w:b/>
        </w:rPr>
        <w:t>為據</w:t>
      </w:r>
      <w:r w:rsidRPr="00D87F73">
        <w:rPr>
          <w:rFonts w:hAnsi="標楷體" w:hint="eastAsia"/>
          <w:b/>
        </w:rPr>
        <w:t>；申請查緝獎金依行政院</w:t>
      </w:r>
      <w:r w:rsidR="00BB441F">
        <w:rPr>
          <w:rFonts w:hAnsi="標楷體" w:hint="eastAsia"/>
          <w:b/>
        </w:rPr>
        <w:t>訂</w:t>
      </w:r>
      <w:r w:rsidRPr="00D87F73">
        <w:rPr>
          <w:rFonts w:hAnsi="標楷體" w:hint="eastAsia"/>
          <w:b/>
        </w:rPr>
        <w:t>定之〈防制毒品危害獎懲辦法〉，於案件起訴6個月內，彙整相關文書資料報請該案件起訴之地檢署初審後轉報高檢署複審。</w:t>
      </w:r>
      <w:r w:rsidR="00A10595" w:rsidRPr="00D87F73">
        <w:rPr>
          <w:rFonts w:hAnsi="標楷體" w:hint="eastAsia"/>
          <w:b/>
        </w:rPr>
        <w:t>另</w:t>
      </w:r>
      <w:r w:rsidR="00A10595" w:rsidRPr="00D87F73">
        <w:rPr>
          <w:rFonts w:hint="eastAsia"/>
          <w:b/>
        </w:rPr>
        <w:t>依</w:t>
      </w:r>
      <w:r w:rsidR="00A10595" w:rsidRPr="00D87F73">
        <w:rPr>
          <w:rFonts w:hAnsi="標楷體" w:cs="Helvetica" w:hint="eastAsia"/>
          <w:b/>
          <w:shd w:val="clear" w:color="auto" w:fill="FFFFFF"/>
        </w:rPr>
        <w:t>〈</w:t>
      </w:r>
      <w:r w:rsidR="00A10595" w:rsidRPr="00D87F73">
        <w:rPr>
          <w:rFonts w:hint="eastAsia"/>
          <w:b/>
        </w:rPr>
        <w:t>刑法</w:t>
      </w:r>
      <w:r w:rsidR="00A10595" w:rsidRPr="00D87F73">
        <w:rPr>
          <w:rFonts w:hAnsi="標楷體" w:cs="Helvetica" w:hint="eastAsia"/>
          <w:b/>
          <w:shd w:val="clear" w:color="auto" w:fill="FFFFFF"/>
        </w:rPr>
        <w:t>〉</w:t>
      </w:r>
      <w:r w:rsidR="00A10595" w:rsidRPr="00D87F73">
        <w:rPr>
          <w:rFonts w:hint="eastAsia"/>
          <w:b/>
        </w:rPr>
        <w:t>及</w:t>
      </w:r>
      <w:r w:rsidR="00A10595" w:rsidRPr="00D87F73">
        <w:rPr>
          <w:rFonts w:hAnsi="標楷體" w:cs="Helvetica" w:hint="eastAsia"/>
          <w:b/>
          <w:shd w:val="clear" w:color="auto" w:fill="FFFFFF"/>
        </w:rPr>
        <w:t>〈</w:t>
      </w:r>
      <w:r w:rsidR="00A10595" w:rsidRPr="00D87F73">
        <w:rPr>
          <w:rFonts w:hint="eastAsia"/>
          <w:b/>
        </w:rPr>
        <w:t>刑事訴訟法</w:t>
      </w:r>
      <w:r w:rsidR="00A10595" w:rsidRPr="00D87F73">
        <w:rPr>
          <w:rFonts w:hAnsi="標楷體" w:cs="Helvetica" w:hint="eastAsia"/>
          <w:b/>
          <w:shd w:val="clear" w:color="auto" w:fill="FFFFFF"/>
        </w:rPr>
        <w:t>〉</w:t>
      </w:r>
      <w:r w:rsidR="00A10595" w:rsidRPr="00D87F73">
        <w:rPr>
          <w:rFonts w:hint="eastAsia"/>
          <w:b/>
        </w:rPr>
        <w:t>體系之相關規定，</w:t>
      </w:r>
      <w:r w:rsidR="00F10266">
        <w:rPr>
          <w:rFonts w:hint="eastAsia"/>
          <w:b/>
        </w:rPr>
        <w:t>得避免</w:t>
      </w:r>
      <w:r w:rsidR="00A10595" w:rsidRPr="00D87F73">
        <w:rPr>
          <w:rFonts w:hint="eastAsia"/>
          <w:b/>
        </w:rPr>
        <w:t>檢察官與被告或犯罪嫌疑人間有不法協商以換取〈證人保護法〉第14條規定不起訴處分或減免其刑之寬典。</w:t>
      </w:r>
      <w:r w:rsidR="00F10266">
        <w:rPr>
          <w:rFonts w:hAnsi="標楷體" w:hint="eastAsia"/>
          <w:b/>
        </w:rPr>
        <w:t>法務部應責由調查局及其所轄單位</w:t>
      </w:r>
      <w:r w:rsidR="00E5782E">
        <w:rPr>
          <w:rFonts w:hAnsi="標楷體" w:hint="eastAsia"/>
          <w:b/>
        </w:rPr>
        <w:t>落實執行</w:t>
      </w:r>
      <w:r w:rsidR="00F10266">
        <w:rPr>
          <w:rFonts w:hAnsi="標楷體" w:hint="eastAsia"/>
          <w:b/>
        </w:rPr>
        <w:t>相關法令</w:t>
      </w:r>
      <w:r w:rsidR="00E5782E">
        <w:rPr>
          <w:rFonts w:hAnsi="標楷體" w:hint="eastAsia"/>
          <w:b/>
        </w:rPr>
        <w:t>，並適時檢視有無修正必要</w:t>
      </w:r>
      <w:r w:rsidR="00CC3B0A">
        <w:rPr>
          <w:rFonts w:ascii="新細明體" w:eastAsia="新細明體" w:hAnsi="新細明體" w:hint="eastAsia"/>
          <w:b/>
        </w:rPr>
        <w:t>。</w:t>
      </w:r>
    </w:p>
    <w:p w:rsidR="00CC3B0A" w:rsidRPr="00EA7468" w:rsidRDefault="00CC3B0A" w:rsidP="00EA7468">
      <w:pPr>
        <w:pStyle w:val="3"/>
        <w:rPr>
          <w:rFonts w:hAnsi="標楷體" w:cs="Times New Roman"/>
          <w:b/>
          <w:kern w:val="32"/>
          <w:szCs w:val="48"/>
        </w:rPr>
      </w:pPr>
      <w:r w:rsidRPr="00EA7468">
        <w:rPr>
          <w:rFonts w:hAnsi="標楷體" w:cs="Times New Roman" w:hint="eastAsia"/>
          <w:b/>
          <w:kern w:val="32"/>
          <w:szCs w:val="48"/>
        </w:rPr>
        <w:t>調查局辦理毒品案績效查核訂有〈</w:t>
      </w:r>
      <w:r w:rsidR="004523F3">
        <w:rPr>
          <w:rFonts w:hAnsi="標楷體" w:cs="Times New Roman" w:hint="eastAsia"/>
          <w:b/>
          <w:kern w:val="32"/>
          <w:szCs w:val="48"/>
        </w:rPr>
        <w:t>調查局</w:t>
      </w:r>
      <w:r w:rsidRPr="00EA7468">
        <w:rPr>
          <w:rFonts w:hAnsi="標楷體" w:cs="Times New Roman" w:hint="eastAsia"/>
          <w:b/>
          <w:kern w:val="32"/>
          <w:szCs w:val="48"/>
        </w:rPr>
        <w:t>各外勤調查處站業務績效考核要點〉及〈毒品防制工作績效評定要點〉：</w:t>
      </w:r>
    </w:p>
    <w:p w:rsidR="00EA7468" w:rsidRPr="00E5782E" w:rsidRDefault="008A6218" w:rsidP="00AD1E11">
      <w:pPr>
        <w:pStyle w:val="4"/>
      </w:pPr>
      <w:r w:rsidRPr="00E5782E">
        <w:rPr>
          <w:rFonts w:hint="eastAsia"/>
        </w:rPr>
        <w:t>單位績效評比</w:t>
      </w:r>
      <w:r w:rsidR="00EA7468" w:rsidRPr="00E5782E">
        <w:rPr>
          <w:rFonts w:hint="eastAsia"/>
        </w:rPr>
        <w:t>統計各該單位每年12月1日至次年11月30日之績效總合，除以單位有效人力進行評比並排列名次</w:t>
      </w:r>
      <w:r w:rsidRPr="00E5782E">
        <w:rPr>
          <w:rFonts w:hint="eastAsia"/>
        </w:rPr>
        <w:t>：</w:t>
      </w:r>
    </w:p>
    <w:p w:rsidR="00EA7468" w:rsidRDefault="008A6218" w:rsidP="00EA7468">
      <w:pPr>
        <w:pStyle w:val="5"/>
      </w:pPr>
      <w:r w:rsidRPr="008A6218">
        <w:rPr>
          <w:rFonts w:hint="eastAsia"/>
        </w:rPr>
        <w:t>〈</w:t>
      </w:r>
      <w:r w:rsidR="004523F3">
        <w:rPr>
          <w:rFonts w:hint="eastAsia"/>
        </w:rPr>
        <w:t>調查局</w:t>
      </w:r>
      <w:r w:rsidRPr="008A6218">
        <w:rPr>
          <w:rFonts w:hint="eastAsia"/>
        </w:rPr>
        <w:t>各外勤調查處站業務績效考核要點〉</w:t>
      </w:r>
      <w:r>
        <w:rPr>
          <w:rFonts w:hint="eastAsia"/>
        </w:rPr>
        <w:t>第2點第1項規定，</w:t>
      </w:r>
      <w:r w:rsidRPr="008A6218">
        <w:rPr>
          <w:rFonts w:hint="eastAsia"/>
        </w:rPr>
        <w:t>外勤調查處站</w:t>
      </w:r>
      <w:r>
        <w:rPr>
          <w:rStyle w:val="afd"/>
          <w:rFonts w:hAnsi="標楷體"/>
        </w:rPr>
        <w:footnoteReference w:id="6"/>
      </w:r>
      <w:r w:rsidRPr="008A6218">
        <w:rPr>
          <w:rFonts w:hint="eastAsia"/>
        </w:rPr>
        <w:t>業務績效每年</w:t>
      </w:r>
      <w:r w:rsidRPr="008A6218">
        <w:rPr>
          <w:rFonts w:hint="eastAsia"/>
        </w:rPr>
        <w:lastRenderedPageBreak/>
        <w:t>考核一次，期程為每年</w:t>
      </w:r>
      <w:r>
        <w:rPr>
          <w:rFonts w:hint="eastAsia"/>
        </w:rPr>
        <w:t>12</w:t>
      </w:r>
      <w:r w:rsidRPr="008A6218">
        <w:rPr>
          <w:rFonts w:hint="eastAsia"/>
        </w:rPr>
        <w:t>月</w:t>
      </w:r>
      <w:r>
        <w:rPr>
          <w:rFonts w:hint="eastAsia"/>
        </w:rPr>
        <w:t>1</w:t>
      </w:r>
      <w:r w:rsidRPr="008A6218">
        <w:rPr>
          <w:rFonts w:hint="eastAsia"/>
        </w:rPr>
        <w:t>日至次年</w:t>
      </w:r>
      <w:r>
        <w:rPr>
          <w:rFonts w:hint="eastAsia"/>
        </w:rPr>
        <w:t>11</w:t>
      </w:r>
      <w:r w:rsidRPr="008A6218">
        <w:rPr>
          <w:rFonts w:hint="eastAsia"/>
        </w:rPr>
        <w:t>月</w:t>
      </w:r>
      <w:r>
        <w:rPr>
          <w:rFonts w:hint="eastAsia"/>
        </w:rPr>
        <w:t>30</w:t>
      </w:r>
      <w:r w:rsidRPr="008A6218">
        <w:rPr>
          <w:rFonts w:hint="eastAsia"/>
        </w:rPr>
        <w:t>日。</w:t>
      </w:r>
      <w:r w:rsidR="00EA7468" w:rsidRPr="00AD1E11">
        <w:rPr>
          <w:rFonts w:hAnsi="標楷體" w:hint="eastAsia"/>
        </w:rPr>
        <w:t>第</w:t>
      </w:r>
      <w:r w:rsidR="00EA7468">
        <w:rPr>
          <w:rFonts w:hAnsi="標楷體" w:hint="eastAsia"/>
        </w:rPr>
        <w:t>4</w:t>
      </w:r>
      <w:r w:rsidR="00EA7468" w:rsidRPr="00AD1E11">
        <w:rPr>
          <w:rFonts w:hAnsi="標楷體" w:hint="eastAsia"/>
        </w:rPr>
        <w:t>項規定，</w:t>
      </w:r>
      <w:r w:rsidR="00EA7468" w:rsidRPr="00AD1E11">
        <w:rPr>
          <w:rFonts w:hint="eastAsia"/>
        </w:rPr>
        <w:t>各業務主管單位應依據任務目標及業務推展需要，另訂各單項工作績效評定要點</w:t>
      </w:r>
      <w:r w:rsidR="00EA7468">
        <w:rPr>
          <w:rStyle w:val="afd"/>
        </w:rPr>
        <w:footnoteReference w:id="7"/>
      </w:r>
      <w:r w:rsidR="00EA7468" w:rsidRPr="00AD1E11">
        <w:rPr>
          <w:rFonts w:hint="eastAsia"/>
        </w:rPr>
        <w:t>，並依外勤調查處站人力比例評定單項工作成績</w:t>
      </w:r>
      <w:r w:rsidR="00EA7468" w:rsidRPr="00EA7468">
        <w:rPr>
          <w:rFonts w:hint="eastAsia"/>
        </w:rPr>
        <w:t>；人力計算以人事室公告各單位之每月業務人力及每月平均業務人力為基準</w:t>
      </w:r>
      <w:r w:rsidR="00EA7468" w:rsidRPr="00175ACA">
        <w:rPr>
          <w:rFonts w:hint="eastAsia"/>
        </w:rPr>
        <w:t>。</w:t>
      </w:r>
    </w:p>
    <w:p w:rsidR="008A6218" w:rsidRDefault="004523F3" w:rsidP="004523F3">
      <w:pPr>
        <w:pStyle w:val="5"/>
      </w:pPr>
      <w:r w:rsidRPr="004523F3">
        <w:rPr>
          <w:rFonts w:hAnsi="標楷體" w:hint="eastAsia"/>
          <w:szCs w:val="32"/>
        </w:rPr>
        <w:t>〈</w:t>
      </w:r>
      <w:r>
        <w:rPr>
          <w:rFonts w:hAnsi="標楷體" w:hint="eastAsia"/>
          <w:szCs w:val="32"/>
        </w:rPr>
        <w:t>調查局</w:t>
      </w:r>
      <w:r w:rsidRPr="004523F3">
        <w:rPr>
          <w:rFonts w:hAnsi="標楷體" w:hint="eastAsia"/>
          <w:szCs w:val="32"/>
        </w:rPr>
        <w:t>各外勤調查處站業務績效考核要點〉第</w:t>
      </w:r>
      <w:r>
        <w:rPr>
          <w:rFonts w:hAnsi="標楷體" w:hint="eastAsia"/>
          <w:szCs w:val="32"/>
        </w:rPr>
        <w:t>4</w:t>
      </w:r>
      <w:r w:rsidRPr="004523F3">
        <w:rPr>
          <w:rFonts w:hAnsi="標楷體" w:hint="eastAsia"/>
          <w:szCs w:val="32"/>
        </w:rPr>
        <w:t>點規定，</w:t>
      </w:r>
      <w:r w:rsidRPr="00C27946">
        <w:rPr>
          <w:rFonts w:hint="eastAsia"/>
        </w:rPr>
        <w:t>各業務主管單位依所管單項工作績效評定要點，於每年</w:t>
      </w:r>
      <w:r>
        <w:rPr>
          <w:rFonts w:hint="eastAsia"/>
        </w:rPr>
        <w:t>12</w:t>
      </w:r>
      <w:r w:rsidRPr="00C27946">
        <w:rPr>
          <w:rFonts w:hint="eastAsia"/>
        </w:rPr>
        <w:t>月</w:t>
      </w:r>
      <w:r>
        <w:rPr>
          <w:rFonts w:hint="eastAsia"/>
        </w:rPr>
        <w:t>10</w:t>
      </w:r>
      <w:r w:rsidRPr="00C27946">
        <w:rPr>
          <w:rFonts w:hint="eastAsia"/>
        </w:rPr>
        <w:t>日前完成各外勤調查處站前次考核期程單項工作成績評定，陳請局長核定後，送秘書室彙辦業務績效考核成績評定事宜。</w:t>
      </w:r>
      <w:r>
        <w:rPr>
          <w:rFonts w:hint="eastAsia"/>
        </w:rPr>
        <w:t>秘書室</w:t>
      </w:r>
      <w:r w:rsidRPr="004523F3">
        <w:rPr>
          <w:rFonts w:hint="eastAsia"/>
        </w:rPr>
        <w:t>依國家安全工作成績、犯罪防制工作成績及輔助業務工作成績之總和，核算各單位整體業務績效考核成績及排名。</w:t>
      </w:r>
    </w:p>
    <w:p w:rsidR="004523F3" w:rsidRPr="00E5782E" w:rsidRDefault="00CC3B0A" w:rsidP="00CC3B0A">
      <w:pPr>
        <w:pStyle w:val="4"/>
      </w:pPr>
      <w:r w:rsidRPr="00E5782E">
        <w:rPr>
          <w:rFonts w:hint="eastAsia"/>
        </w:rPr>
        <w:t>個案方面視毒品</w:t>
      </w:r>
      <w:r w:rsidR="003B2987" w:rsidRPr="00E5782E">
        <w:rPr>
          <w:rFonts w:hint="eastAsia"/>
        </w:rPr>
        <w:t>重量、</w:t>
      </w:r>
      <w:r w:rsidRPr="00E5782E">
        <w:rPr>
          <w:rFonts w:hint="eastAsia"/>
        </w:rPr>
        <w:t>製毒工廠類型、植栽、</w:t>
      </w:r>
      <w:r w:rsidR="003B2987" w:rsidRPr="00E5782E">
        <w:rPr>
          <w:rFonts w:hint="eastAsia"/>
        </w:rPr>
        <w:t>毒品類別、</w:t>
      </w:r>
      <w:r w:rsidRPr="00E5782E">
        <w:rPr>
          <w:rFonts w:hint="eastAsia"/>
        </w:rPr>
        <w:t>犯罪所得、嫌疑人</w:t>
      </w:r>
      <w:r w:rsidR="003B2987" w:rsidRPr="00E5782E">
        <w:rPr>
          <w:rFonts w:hint="eastAsia"/>
        </w:rPr>
        <w:t>身分</w:t>
      </w:r>
      <w:r w:rsidRPr="00E5782E">
        <w:rPr>
          <w:rFonts w:hint="eastAsia"/>
        </w:rPr>
        <w:t>、數位資料證據等，核予案件績效</w:t>
      </w:r>
      <w:r w:rsidR="004523F3" w:rsidRPr="00E5782E">
        <w:rPr>
          <w:rFonts w:hAnsi="標楷體" w:hint="eastAsia"/>
        </w:rPr>
        <w:t>：</w:t>
      </w:r>
    </w:p>
    <w:p w:rsidR="00CC3B0A" w:rsidRDefault="004523F3" w:rsidP="003B2987">
      <w:pPr>
        <w:pStyle w:val="5"/>
      </w:pPr>
      <w:r w:rsidRPr="004523F3">
        <w:rPr>
          <w:rFonts w:hint="eastAsia"/>
          <w:szCs w:val="48"/>
        </w:rPr>
        <w:t>〈毒品防制工作績效評定要點〉</w:t>
      </w:r>
      <w:r>
        <w:rPr>
          <w:rFonts w:hint="eastAsia"/>
          <w:szCs w:val="48"/>
        </w:rPr>
        <w:t>第3點規定，</w:t>
      </w:r>
      <w:r>
        <w:t>個案查獲各類毒品</w:t>
      </w:r>
      <w:r w:rsidR="003B2987">
        <w:rPr>
          <w:rFonts w:hAnsi="標楷體" w:hint="eastAsia"/>
        </w:rPr>
        <w:t>，</w:t>
      </w:r>
      <w:r>
        <w:t>依</w:t>
      </w:r>
      <w:r w:rsidR="003B2987">
        <w:sym w:font="Wingdings 2" w:char="F06A"/>
      </w:r>
      <w:r w:rsidR="003B2987" w:rsidRPr="003B2987">
        <w:rPr>
          <w:rFonts w:hAnsi="標楷體"/>
          <w:szCs w:val="32"/>
        </w:rPr>
        <w:t>各級</w:t>
      </w:r>
      <w:r w:rsidRPr="004523F3">
        <w:rPr>
          <w:rFonts w:hint="eastAsia"/>
        </w:rPr>
        <w:t>毒品之純質淨重</w:t>
      </w:r>
      <w:r>
        <w:rPr>
          <w:rFonts w:ascii="新細明體" w:eastAsia="新細明體" w:hAnsi="新細明體" w:hint="eastAsia"/>
        </w:rPr>
        <w:t>；</w:t>
      </w:r>
      <w:r w:rsidR="003B2987">
        <w:rPr>
          <w:rFonts w:ascii="新細明體" w:eastAsia="新細明體" w:hAnsi="新細明體" w:hint="eastAsia"/>
        </w:rPr>
        <w:sym w:font="Wingdings 2" w:char="F06B"/>
      </w:r>
      <w:r w:rsidRPr="004523F3">
        <w:rPr>
          <w:rFonts w:hint="eastAsia"/>
        </w:rPr>
        <w:t>製毒工廠、毒品分裝工廠或加工改製場所</w:t>
      </w:r>
      <w:r>
        <w:rPr>
          <w:rFonts w:hint="eastAsia"/>
        </w:rPr>
        <w:t>；</w:t>
      </w:r>
      <w:r w:rsidR="003B2987">
        <w:rPr>
          <w:rFonts w:hint="eastAsia"/>
        </w:rPr>
        <w:sym w:font="Wingdings 2" w:char="F06C"/>
      </w:r>
      <w:r w:rsidR="003B2987" w:rsidRPr="003B2987">
        <w:rPr>
          <w:rFonts w:hint="eastAsia"/>
        </w:rPr>
        <w:t>栽種罌粟、古柯、大麻或其他含法定毒品之植物</w:t>
      </w:r>
      <w:r w:rsidR="003B2987">
        <w:rPr>
          <w:rFonts w:hint="eastAsia"/>
        </w:rPr>
        <w:t>；</w:t>
      </w:r>
      <w:r w:rsidR="003B2987">
        <w:rPr>
          <w:rFonts w:hint="eastAsia"/>
        </w:rPr>
        <w:sym w:font="Wingdings 2" w:char="F06D"/>
      </w:r>
      <w:r w:rsidR="003B2987" w:rsidRPr="003B2987">
        <w:rPr>
          <w:rFonts w:hint="eastAsia"/>
        </w:rPr>
        <w:t>錠狀(或顆粒、膠囊)</w:t>
      </w:r>
      <w:r w:rsidR="003B2987">
        <w:rPr>
          <w:rFonts w:hint="eastAsia"/>
        </w:rPr>
        <w:t>或</w:t>
      </w:r>
      <w:r w:rsidR="003B2987" w:rsidRPr="003B2987">
        <w:rPr>
          <w:rFonts w:hint="eastAsia"/>
        </w:rPr>
        <w:t>新型態混合毒品(如毒咖啡包、神仙水等)</w:t>
      </w:r>
      <w:r w:rsidR="003B2987">
        <w:rPr>
          <w:rFonts w:hint="eastAsia"/>
        </w:rPr>
        <w:t>；</w:t>
      </w:r>
      <w:r w:rsidR="003B2987">
        <w:rPr>
          <w:rFonts w:hint="eastAsia"/>
        </w:rPr>
        <w:sym w:font="Wingdings 2" w:char="F06E"/>
      </w:r>
      <w:r w:rsidR="003B2987" w:rsidRPr="003B2987">
        <w:rPr>
          <w:rFonts w:hAnsi="標楷體" w:hint="eastAsia"/>
        </w:rPr>
        <w:t>犯罪所得(含現金、有價證券、銀行存款、汽車等動產及不動產)</w:t>
      </w:r>
      <w:r w:rsidR="003B2987">
        <w:rPr>
          <w:rFonts w:hAnsi="標楷體" w:hint="eastAsia"/>
        </w:rPr>
        <w:t>；</w:t>
      </w:r>
      <w:r w:rsidR="003B2987">
        <w:rPr>
          <w:rFonts w:hint="eastAsia"/>
        </w:rPr>
        <w:sym w:font="Wingdings 2" w:char="F06F"/>
      </w:r>
      <w:r w:rsidR="003B2987">
        <w:rPr>
          <w:rFonts w:hAnsi="標楷體" w:hint="eastAsia"/>
        </w:rPr>
        <w:t>查獲</w:t>
      </w:r>
      <w:r w:rsidR="003B2987" w:rsidRPr="003B2987">
        <w:rPr>
          <w:rFonts w:hAnsi="標楷體"/>
        </w:rPr>
        <w:t>金主、貨主</w:t>
      </w:r>
      <w:r w:rsidR="003B2987" w:rsidRPr="003B2987">
        <w:rPr>
          <w:rFonts w:hAnsi="標楷體" w:hint="eastAsia"/>
        </w:rPr>
        <w:t>、</w:t>
      </w:r>
      <w:r w:rsidR="003B2987" w:rsidRPr="003B2987">
        <w:rPr>
          <w:rFonts w:hAnsi="標楷體"/>
        </w:rPr>
        <w:t>主嫌、製毒師傅</w:t>
      </w:r>
      <w:r w:rsidR="003B2987" w:rsidRPr="003B2987">
        <w:rPr>
          <w:rFonts w:hAnsi="標楷體" w:hint="eastAsia"/>
        </w:rPr>
        <w:t>、</w:t>
      </w:r>
      <w:r w:rsidR="003B2987" w:rsidRPr="003B2987">
        <w:rPr>
          <w:rFonts w:hAnsi="標楷體"/>
        </w:rPr>
        <w:t>收貨人、運毒船長、押運人、仲介人</w:t>
      </w:r>
      <w:r w:rsidR="003B2987" w:rsidRPr="003B2987">
        <w:rPr>
          <w:rFonts w:hAnsi="標楷體" w:hint="eastAsia"/>
        </w:rPr>
        <w:t>、</w:t>
      </w:r>
      <w:r w:rsidR="003B2987" w:rsidRPr="003B2987">
        <w:rPr>
          <w:rFonts w:hAnsi="標楷體"/>
        </w:rPr>
        <w:t>交通、助手、船員及含微量毒品貨物之貨主</w:t>
      </w:r>
      <w:r w:rsidR="003B2987" w:rsidRPr="003B2987">
        <w:rPr>
          <w:rFonts w:hAnsi="標楷體" w:hint="eastAsia"/>
        </w:rPr>
        <w:t>；</w:t>
      </w:r>
      <w:r w:rsidR="003B2987">
        <w:rPr>
          <w:rFonts w:hint="eastAsia"/>
        </w:rPr>
        <w:sym w:font="Wingdings 2" w:char="F070"/>
      </w:r>
      <w:r w:rsidR="003B2987" w:rsidRPr="003B2987">
        <w:rPr>
          <w:rFonts w:hAnsi="標楷體" w:hint="eastAsia"/>
        </w:rPr>
        <w:t>運用鑑</w:t>
      </w:r>
      <w:r w:rsidR="003B2987" w:rsidRPr="003B2987">
        <w:rPr>
          <w:rFonts w:hAnsi="標楷體" w:hint="eastAsia"/>
        </w:rPr>
        <w:lastRenderedPageBreak/>
        <w:t>識工具取得有利案情突破之數位證據</w:t>
      </w:r>
      <w:r w:rsidR="003B2987">
        <w:rPr>
          <w:rFonts w:hAnsi="標楷體" w:hint="eastAsia"/>
        </w:rPr>
        <w:t>等</w:t>
      </w:r>
      <w:r w:rsidRPr="003B2987">
        <w:rPr>
          <w:rFonts w:hAnsi="標楷體"/>
        </w:rPr>
        <w:t>標準</w:t>
      </w:r>
      <w:r w:rsidR="003B2987">
        <w:rPr>
          <w:rFonts w:hAnsi="標楷體" w:hint="eastAsia"/>
        </w:rPr>
        <w:t>，</w:t>
      </w:r>
      <w:r w:rsidRPr="003B2987">
        <w:rPr>
          <w:rFonts w:hAnsi="標楷體"/>
        </w:rPr>
        <w:t>分別計算並加</w:t>
      </w:r>
      <w:r>
        <w:t>總為個案績分</w:t>
      </w:r>
      <w:r w:rsidR="006D29E2">
        <w:rPr>
          <w:rFonts w:ascii="新細明體" w:eastAsia="新細明體" w:hAnsi="新細明體" w:hint="eastAsia"/>
        </w:rPr>
        <w:t>。</w:t>
      </w:r>
    </w:p>
    <w:p w:rsidR="006D29E2" w:rsidRPr="004523F3" w:rsidRDefault="006D29E2" w:rsidP="006D29E2">
      <w:pPr>
        <w:pStyle w:val="5"/>
      </w:pPr>
      <w:r w:rsidRPr="006D29E2">
        <w:rPr>
          <w:rFonts w:hint="eastAsia"/>
        </w:rPr>
        <w:t>〈毒品防制工作績效評定要點〉第6點規定</w:t>
      </w:r>
      <w:r>
        <w:rPr>
          <w:rFonts w:hAnsi="標楷體" w:hint="eastAsia"/>
        </w:rPr>
        <w:t>，</w:t>
      </w:r>
      <w:r w:rsidRPr="006D29E2">
        <w:rPr>
          <w:rFonts w:hint="eastAsia"/>
        </w:rPr>
        <w:t>評比期間，調查處應至少主導偵辦績分2萬分以上案件1案；調查站應至少主導偵辦績分2千分以上案件1案，或年度總得分至少應達3千分以上，但外島地區(含福建處、馬祖站、澎湖縣站)、花蓮縣站及臺東縣站管考減半；航業調查處及地區機動工作站不設管考。</w:t>
      </w:r>
    </w:p>
    <w:p w:rsidR="00CC3B0A" w:rsidRPr="00F12B76" w:rsidRDefault="00F12B76" w:rsidP="00CC3B0A">
      <w:pPr>
        <w:pStyle w:val="3"/>
      </w:pPr>
      <w:r>
        <w:rPr>
          <w:rFonts w:hint="eastAsia"/>
          <w:b/>
        </w:rPr>
        <w:t>調查局</w:t>
      </w:r>
      <w:r w:rsidR="00CC3B0A" w:rsidRPr="00D87F73">
        <w:rPr>
          <w:rFonts w:hint="eastAsia"/>
          <w:b/>
        </w:rPr>
        <w:t>對於查緝人員之行政獎勵</w:t>
      </w:r>
      <w:r w:rsidR="00CC3B0A">
        <w:rPr>
          <w:rFonts w:hint="eastAsia"/>
          <w:b/>
        </w:rPr>
        <w:t>訂</w:t>
      </w:r>
      <w:r w:rsidR="00CC3B0A" w:rsidRPr="00D87F73">
        <w:rPr>
          <w:rFonts w:hint="eastAsia"/>
          <w:b/>
        </w:rPr>
        <w:t>有</w:t>
      </w:r>
      <w:r w:rsidR="00CC3B0A" w:rsidRPr="00D87F73">
        <w:rPr>
          <w:rFonts w:ascii="新細明體" w:eastAsia="新細明體" w:hAnsi="新細明體" w:hint="eastAsia"/>
          <w:b/>
        </w:rPr>
        <w:t>〈</w:t>
      </w:r>
      <w:r w:rsidR="00BB441F" w:rsidRPr="00BB441F">
        <w:rPr>
          <w:rFonts w:hint="eastAsia"/>
          <w:b/>
        </w:rPr>
        <w:t>調查局</w:t>
      </w:r>
      <w:r w:rsidR="00CC3B0A" w:rsidRPr="00D87F73">
        <w:rPr>
          <w:rFonts w:hint="eastAsia"/>
          <w:b/>
        </w:rPr>
        <w:t>偵破重大毒品案件併請精神獎勵要點</w:t>
      </w:r>
      <w:r w:rsidR="00CC3B0A" w:rsidRPr="00D87F73">
        <w:rPr>
          <w:rFonts w:ascii="新細明體" w:eastAsia="新細明體" w:hAnsi="新細明體" w:hint="eastAsia"/>
          <w:b/>
        </w:rPr>
        <w:t>〉</w:t>
      </w:r>
      <w:r w:rsidR="00CC3B0A" w:rsidRPr="00D87F73">
        <w:rPr>
          <w:rFonts w:hint="eastAsia"/>
          <w:b/>
        </w:rPr>
        <w:t>為據</w:t>
      </w:r>
      <w:r>
        <w:rPr>
          <w:rFonts w:hAnsi="標楷體" w:hint="eastAsia"/>
          <w:b/>
        </w:rPr>
        <w:t>：</w:t>
      </w:r>
    </w:p>
    <w:p w:rsidR="00F12B76" w:rsidRDefault="00F12B76" w:rsidP="00F12B76">
      <w:pPr>
        <w:pStyle w:val="4"/>
      </w:pPr>
      <w:r w:rsidRPr="00F12B76">
        <w:rPr>
          <w:rFonts w:hint="eastAsia"/>
        </w:rPr>
        <w:t>調查局對於查緝毒品人員之行政獎勵，另頒發〈</w:t>
      </w:r>
      <w:r w:rsidR="00BB441F">
        <w:rPr>
          <w:rFonts w:hint="eastAsia"/>
        </w:rPr>
        <w:t>調查局</w:t>
      </w:r>
      <w:r w:rsidRPr="00F12B76">
        <w:rPr>
          <w:rFonts w:hint="eastAsia"/>
        </w:rPr>
        <w:t>偵破重大毒品案件併請精神獎勵要點〉為據，獎勵標準係以</w:t>
      </w:r>
      <w:r>
        <w:rPr>
          <w:rFonts w:hint="eastAsia"/>
        </w:rPr>
        <w:t>毒品等級與</w:t>
      </w:r>
      <w:r w:rsidRPr="00F12B76">
        <w:rPr>
          <w:rFonts w:hint="eastAsia"/>
        </w:rPr>
        <w:t>重量、植栽數、</w:t>
      </w:r>
      <w:r>
        <w:rPr>
          <w:rFonts w:hint="eastAsia"/>
        </w:rPr>
        <w:t>毒品製造工廠</w:t>
      </w:r>
      <w:r>
        <w:rPr>
          <w:rFonts w:ascii="新細明體" w:eastAsia="新細明體" w:hAnsi="新細明體" w:hint="eastAsia"/>
        </w:rPr>
        <w:t>、</w:t>
      </w:r>
      <w:r w:rsidRPr="00F12B76">
        <w:rPr>
          <w:rFonts w:hint="eastAsia"/>
        </w:rPr>
        <w:t>查獲不法所得金額或洗錢金額等為基準，針對線索發掘及主辦之首功人員訂定其最高額，其餘協辦人員則依出力事實依序遞減；申請行政獎勵必須案件經檢察官起訴後始得為之，且須經過調查局毒品防制處初審及調查局考績委員會審議通過，以防止浮濫或虛假之情事。</w:t>
      </w:r>
    </w:p>
    <w:p w:rsidR="00F12B76" w:rsidRPr="00F12B76" w:rsidRDefault="00F12B76" w:rsidP="00F12B76">
      <w:pPr>
        <w:pStyle w:val="4"/>
      </w:pPr>
      <w:r w:rsidRPr="00F12B76">
        <w:rPr>
          <w:rFonts w:ascii="新細明體" w:eastAsia="新細明體" w:hAnsi="新細明體" w:hint="eastAsia"/>
        </w:rPr>
        <w:t>〈</w:t>
      </w:r>
      <w:r w:rsidR="00C644BB" w:rsidRPr="00C644BB">
        <w:rPr>
          <w:rFonts w:hint="eastAsia"/>
        </w:rPr>
        <w:t>調查局</w:t>
      </w:r>
      <w:r w:rsidRPr="00F12B76">
        <w:rPr>
          <w:rFonts w:hint="eastAsia"/>
        </w:rPr>
        <w:t>偵破重大毒品案件併請精神獎勵要點</w:t>
      </w:r>
      <w:r w:rsidRPr="002B336E">
        <w:rPr>
          <w:rFonts w:hint="eastAsia"/>
        </w:rPr>
        <w:t>〉</w:t>
      </w:r>
      <w:r w:rsidR="002B336E" w:rsidRPr="002B336E">
        <w:rPr>
          <w:rFonts w:hint="eastAsia"/>
        </w:rPr>
        <w:t>重要規定</w:t>
      </w:r>
      <w:r w:rsidR="002B336E">
        <w:rPr>
          <w:rFonts w:hint="eastAsia"/>
        </w:rPr>
        <w:t>略以</w:t>
      </w:r>
      <w:r w:rsidR="002B336E" w:rsidRPr="002B336E">
        <w:rPr>
          <w:rFonts w:hint="eastAsia"/>
        </w:rPr>
        <w:t>：</w:t>
      </w:r>
    </w:p>
    <w:p w:rsidR="00F12B76" w:rsidRPr="002B336E" w:rsidRDefault="00F12B76" w:rsidP="002B336E">
      <w:pPr>
        <w:pStyle w:val="5"/>
      </w:pPr>
      <w:r w:rsidRPr="008A4DD3">
        <w:rPr>
          <w:rFonts w:hint="eastAsia"/>
        </w:rPr>
        <w:t>第</w:t>
      </w:r>
      <w:r>
        <w:rPr>
          <w:rFonts w:hint="eastAsia"/>
        </w:rPr>
        <w:t>2</w:t>
      </w:r>
      <w:r w:rsidRPr="008A4DD3">
        <w:rPr>
          <w:rFonts w:hint="eastAsia"/>
        </w:rPr>
        <w:t>點規定</w:t>
      </w:r>
      <w:r w:rsidRPr="008A4DD3">
        <w:rPr>
          <w:rFonts w:hint="eastAsia"/>
        </w:rPr>
        <w:tab/>
        <w:t>主導偵破重大毒品案件，對肅清毒品或遏止毒品氾濫有特殊績效，經長官認定者，首功人員獎勵</w:t>
      </w:r>
      <w:r>
        <w:rPr>
          <w:rFonts w:hint="eastAsia"/>
        </w:rPr>
        <w:t>包括嘉獎</w:t>
      </w:r>
      <w:r w:rsidRPr="00890FFC">
        <w:rPr>
          <w:rFonts w:hint="eastAsia"/>
        </w:rPr>
        <w:t>2次</w:t>
      </w:r>
      <w:r w:rsidRPr="00890FFC">
        <w:rPr>
          <w:rFonts w:hAnsi="標楷體" w:hint="eastAsia"/>
        </w:rPr>
        <w:t>、記功1次、記功2次、</w:t>
      </w:r>
      <w:r>
        <w:rPr>
          <w:rFonts w:hAnsi="標楷體" w:hint="eastAsia"/>
        </w:rPr>
        <w:t>一</w:t>
      </w:r>
      <w:r w:rsidRPr="00890FFC">
        <w:rPr>
          <w:rFonts w:hAnsi="標楷體" w:hint="eastAsia"/>
        </w:rPr>
        <w:t>次記1大功、</w:t>
      </w:r>
      <w:r>
        <w:rPr>
          <w:rFonts w:hAnsi="標楷體" w:hint="eastAsia"/>
        </w:rPr>
        <w:t>一</w:t>
      </w:r>
      <w:r w:rsidRPr="00890FFC">
        <w:rPr>
          <w:rFonts w:hAnsi="標楷體" w:hint="eastAsia"/>
        </w:rPr>
        <w:t>次記2</w:t>
      </w:r>
      <w:r w:rsidRPr="008A4DD3">
        <w:rPr>
          <w:rFonts w:hAnsi="標楷體" w:hint="eastAsia"/>
        </w:rPr>
        <w:t>大功</w:t>
      </w:r>
      <w:r>
        <w:rPr>
          <w:rFonts w:hAnsi="標楷體" w:hint="eastAsia"/>
        </w:rPr>
        <w:t>。</w:t>
      </w:r>
      <w:r w:rsidR="002B336E" w:rsidRPr="002B336E">
        <w:rPr>
          <w:rFonts w:hAnsi="標楷體" w:hint="eastAsia"/>
        </w:rPr>
        <w:t>查獲各款毒品案件，至少應移送主嫌一人以上並經起訴，所稱主嫌者，指起訴書認定之製造、運輸、販賣毒品或意圖販賣而持有毒品之共同正犯或教唆犯。</w:t>
      </w:r>
    </w:p>
    <w:p w:rsidR="002B336E" w:rsidRPr="00CC3B0A" w:rsidRDefault="002B336E" w:rsidP="002B336E">
      <w:pPr>
        <w:pStyle w:val="5"/>
      </w:pPr>
      <w:r w:rsidRPr="002B336E">
        <w:rPr>
          <w:rFonts w:hint="eastAsia"/>
        </w:rPr>
        <w:lastRenderedPageBreak/>
        <w:t>第3點規定</w:t>
      </w:r>
      <w:r w:rsidRPr="002B336E">
        <w:rPr>
          <w:rFonts w:hint="eastAsia"/>
        </w:rPr>
        <w:tab/>
        <w:t>符合</w:t>
      </w:r>
      <w:r>
        <w:rPr>
          <w:rFonts w:hint="eastAsia"/>
        </w:rPr>
        <w:t>第2</w:t>
      </w:r>
      <w:r w:rsidRPr="002B336E">
        <w:rPr>
          <w:rFonts w:hint="eastAsia"/>
        </w:rPr>
        <w:t>點敘獎標準案件，主、協辦單位組長以上幹部及協助辦案人員，得視其指揮監督程度或具體出力事實，依該點規定遞降敘獎。</w:t>
      </w:r>
    </w:p>
    <w:p w:rsidR="00CC3B0A" w:rsidRPr="002B336E" w:rsidRDefault="00CC3B0A" w:rsidP="00CC3B0A">
      <w:pPr>
        <w:pStyle w:val="3"/>
      </w:pPr>
      <w:r w:rsidRPr="00D87F73">
        <w:rPr>
          <w:rFonts w:hAnsi="標楷體" w:hint="eastAsia"/>
          <w:b/>
        </w:rPr>
        <w:t>申請查緝獎金依行政院</w:t>
      </w:r>
      <w:r w:rsidR="00724C3E">
        <w:rPr>
          <w:rFonts w:hAnsi="標楷體" w:hint="eastAsia"/>
          <w:b/>
        </w:rPr>
        <w:t>訂</w:t>
      </w:r>
      <w:r w:rsidRPr="00D87F73">
        <w:rPr>
          <w:rFonts w:hAnsi="標楷體" w:hint="eastAsia"/>
          <w:b/>
        </w:rPr>
        <w:t>定之〈防制毒品危害獎懲辦法〉，於案件起訴6個月內，彙整相關文書資料報請該案件起訴之地檢署初審後，轉報高檢署獎金審核小組複審</w:t>
      </w:r>
      <w:r w:rsidR="002B336E">
        <w:rPr>
          <w:rFonts w:hAnsi="標楷體" w:hint="eastAsia"/>
          <w:b/>
        </w:rPr>
        <w:t>：</w:t>
      </w:r>
    </w:p>
    <w:p w:rsidR="002B336E" w:rsidRDefault="002B336E" w:rsidP="002B336E">
      <w:pPr>
        <w:pStyle w:val="4"/>
      </w:pPr>
      <w:r w:rsidRPr="002B336E">
        <w:rPr>
          <w:rFonts w:hint="eastAsia"/>
        </w:rPr>
        <w:t>〈毒品危害防制條例〉第32條規定：「防制毒品危害有功人員或檢舉人，應予獎勵</w:t>
      </w:r>
      <w:r>
        <w:rPr>
          <w:rFonts w:hAnsi="標楷體" w:hint="eastAsia"/>
        </w:rPr>
        <w:t>……</w:t>
      </w:r>
      <w:r w:rsidRPr="002B336E">
        <w:rPr>
          <w:rFonts w:hint="eastAsia"/>
        </w:rPr>
        <w:t>其獎懲辦法，由行政院定之。」</w:t>
      </w:r>
      <w:r w:rsidRPr="002B336E">
        <w:rPr>
          <w:rFonts w:hAnsi="標楷體" w:hint="eastAsia"/>
        </w:rPr>
        <w:t>依行政院</w:t>
      </w:r>
      <w:r>
        <w:rPr>
          <w:rFonts w:hAnsi="標楷體" w:hint="eastAsia"/>
        </w:rPr>
        <w:t>訂</w:t>
      </w:r>
      <w:r w:rsidRPr="002B336E">
        <w:rPr>
          <w:rFonts w:hAnsi="標楷體" w:hint="eastAsia"/>
        </w:rPr>
        <w:t>定之〈防制毒品危害獎懲辦法〉第10條第1項規定：「查緝毒品人員查獲之毒品案件，有檢舉人者，依第6條至前條規定，發給</w:t>
      </w:r>
      <w:r>
        <w:rPr>
          <w:rFonts w:hAnsi="標楷體" w:hint="eastAsia"/>
        </w:rPr>
        <w:t>30%</w:t>
      </w:r>
      <w:r w:rsidRPr="002B336E">
        <w:rPr>
          <w:rFonts w:hAnsi="標楷體" w:hint="eastAsia"/>
        </w:rPr>
        <w:t>之獎金；無檢舉人者，發給</w:t>
      </w:r>
      <w:r>
        <w:rPr>
          <w:rFonts w:hAnsi="標楷體" w:hint="eastAsia"/>
        </w:rPr>
        <w:t>60%</w:t>
      </w:r>
      <w:r w:rsidRPr="002B336E">
        <w:rPr>
          <w:rFonts w:hAnsi="標楷體" w:hint="eastAsia"/>
        </w:rPr>
        <w:t>之獎金。」第2項規定：「經由境外緝毒機關協助而在國內查獲毒品者，發給</w:t>
      </w:r>
      <w:r>
        <w:rPr>
          <w:rFonts w:hAnsi="標楷體" w:hint="eastAsia"/>
        </w:rPr>
        <w:t>60%</w:t>
      </w:r>
      <w:r w:rsidRPr="002B336E">
        <w:rPr>
          <w:rFonts w:hAnsi="標楷體" w:hint="eastAsia"/>
        </w:rPr>
        <w:t>之獎金。」第3項規定：「依前2項規定所請領之獎金，每案總額不得逾新臺幣6百萬元。」</w:t>
      </w:r>
      <w:r w:rsidRPr="00ED7BB9">
        <w:rPr>
          <w:rFonts w:hint="eastAsia"/>
        </w:rPr>
        <w:t>第1</w:t>
      </w:r>
      <w:r>
        <w:rPr>
          <w:rFonts w:hint="eastAsia"/>
        </w:rPr>
        <w:t>7</w:t>
      </w:r>
      <w:r w:rsidRPr="00ED7BB9">
        <w:rPr>
          <w:rFonts w:hint="eastAsia"/>
        </w:rPr>
        <w:t>條第</w:t>
      </w:r>
      <w:r>
        <w:rPr>
          <w:rFonts w:hint="eastAsia"/>
        </w:rPr>
        <w:t>2</w:t>
      </w:r>
      <w:r w:rsidRPr="00ED7BB9">
        <w:rPr>
          <w:rFonts w:hint="eastAsia"/>
        </w:rPr>
        <w:t>項規定：「前項獎金之核發，由案件之主辦機關檢附起訴書、檢驗文件及獎金分配建議表等資料，於案件繫屬法院後</w:t>
      </w:r>
      <w:r>
        <w:rPr>
          <w:rFonts w:hint="eastAsia"/>
        </w:rPr>
        <w:t>6</w:t>
      </w:r>
      <w:r w:rsidRPr="00ED7BB9">
        <w:rPr>
          <w:rFonts w:hint="eastAsia"/>
        </w:rPr>
        <w:t>個月內報請該案件起訴之地方檢察署審核後，轉報高檢署核發獎金。……」</w:t>
      </w:r>
    </w:p>
    <w:p w:rsidR="005C36E0" w:rsidRDefault="005C36E0" w:rsidP="002B336E">
      <w:pPr>
        <w:pStyle w:val="4"/>
      </w:pPr>
      <w:r>
        <w:rPr>
          <w:rFonts w:hint="eastAsia"/>
        </w:rPr>
        <w:t>準此</w:t>
      </w:r>
      <w:r>
        <w:rPr>
          <w:rFonts w:hAnsi="標楷體" w:hint="eastAsia"/>
        </w:rPr>
        <w:t>，申請查緝獎金</w:t>
      </w:r>
      <w:r w:rsidRPr="00175ACA">
        <w:rPr>
          <w:rFonts w:hint="eastAsia"/>
        </w:rPr>
        <w:t>於案件起訴6個月內，彙整相關文書資料報請該案件起訴之地檢署初審後，轉報高檢署獎金審核小組複審。個案獎金經高檢署審議決定後，函知相關單位該案獎金數額，再由各單位製作獎金印領清冊並檢附機關收據函報高檢署，再由該署撥匯至各單位，由各單位依據印領清冊撥付至個人存款帳戶。</w:t>
      </w:r>
    </w:p>
    <w:p w:rsidR="005C36E0" w:rsidRDefault="005C36E0" w:rsidP="005C36E0">
      <w:pPr>
        <w:pStyle w:val="4"/>
      </w:pPr>
      <w:r>
        <w:rPr>
          <w:rFonts w:hint="eastAsia"/>
        </w:rPr>
        <w:t>至於</w:t>
      </w:r>
      <w:r w:rsidRPr="005C36E0">
        <w:rPr>
          <w:rFonts w:hint="eastAsia"/>
        </w:rPr>
        <w:t>如何避免查緝人員為求破案績效及獎金而</w:t>
      </w:r>
      <w:r w:rsidRPr="005C36E0">
        <w:rPr>
          <w:rFonts w:hint="eastAsia"/>
        </w:rPr>
        <w:lastRenderedPageBreak/>
        <w:t>衍生弊端</w:t>
      </w:r>
      <w:r>
        <w:rPr>
          <w:rFonts w:hAnsi="標楷體" w:hint="eastAsia"/>
        </w:rPr>
        <w:t>，</w:t>
      </w:r>
      <w:r>
        <w:rPr>
          <w:rFonts w:hint="eastAsia"/>
        </w:rPr>
        <w:t>據法務部函復</w:t>
      </w:r>
      <w:r w:rsidR="00AA478A">
        <w:rPr>
          <w:rFonts w:hint="eastAsia"/>
        </w:rPr>
        <w:t>表示</w:t>
      </w:r>
      <w:r>
        <w:rPr>
          <w:rFonts w:hint="eastAsia"/>
        </w:rPr>
        <w:t>有以下審核機制</w:t>
      </w:r>
      <w:r>
        <w:rPr>
          <w:rFonts w:hAnsi="標楷體" w:hint="eastAsia"/>
        </w:rPr>
        <w:t>：</w:t>
      </w:r>
    </w:p>
    <w:p w:rsidR="005C36E0" w:rsidRDefault="005C36E0" w:rsidP="005C36E0">
      <w:pPr>
        <w:pStyle w:val="5"/>
      </w:pPr>
      <w:r w:rsidRPr="00175ACA">
        <w:rPr>
          <w:rFonts w:hint="eastAsia"/>
        </w:rPr>
        <w:t>調查局各外勤處站發掘毒品情資均必須先報局，經調查局毒品防制處審核立案後，始能開始調查；調查期間之各項作為，均必須恪遵</w:t>
      </w:r>
      <w:r w:rsidRPr="00E77454">
        <w:rPr>
          <w:rFonts w:hAnsi="標楷體" w:cs="Helvetica" w:hint="eastAsia"/>
          <w:shd w:val="clear" w:color="auto" w:fill="FFFFFF"/>
        </w:rPr>
        <w:t>〈</w:t>
      </w:r>
      <w:r w:rsidRPr="00E77454">
        <w:rPr>
          <w:rFonts w:hint="eastAsia"/>
        </w:rPr>
        <w:t>刑事訴訟法</w:t>
      </w:r>
      <w:r w:rsidRPr="00E77454">
        <w:rPr>
          <w:rFonts w:hAnsi="標楷體" w:cs="Helvetica" w:hint="eastAsia"/>
          <w:shd w:val="clear" w:color="auto" w:fill="FFFFFF"/>
        </w:rPr>
        <w:t>〉</w:t>
      </w:r>
      <w:r w:rsidRPr="00E77454">
        <w:rPr>
          <w:rFonts w:hint="eastAsia"/>
        </w:rPr>
        <w:t>、</w:t>
      </w:r>
      <w:r w:rsidRPr="00E77454">
        <w:rPr>
          <w:rFonts w:hAnsi="標楷體" w:cs="Helvetica" w:hint="eastAsia"/>
          <w:shd w:val="clear" w:color="auto" w:fill="FFFFFF"/>
        </w:rPr>
        <w:t>〈</w:t>
      </w:r>
      <w:r w:rsidRPr="00E77454">
        <w:rPr>
          <w:rFonts w:hint="eastAsia"/>
        </w:rPr>
        <w:t>通訊保障及監察法</w:t>
      </w:r>
      <w:r w:rsidRPr="00E77454">
        <w:rPr>
          <w:rFonts w:hAnsi="標楷體" w:cs="Helvetica" w:hint="eastAsia"/>
          <w:shd w:val="clear" w:color="auto" w:fill="FFFFFF"/>
        </w:rPr>
        <w:t>〉</w:t>
      </w:r>
      <w:r w:rsidRPr="00E77454">
        <w:rPr>
          <w:rFonts w:hint="eastAsia"/>
        </w:rPr>
        <w:t>、</w:t>
      </w:r>
      <w:r w:rsidRPr="00E77454">
        <w:rPr>
          <w:rFonts w:hAnsi="標楷體" w:cs="Helvetica" w:hint="eastAsia"/>
          <w:shd w:val="clear" w:color="auto" w:fill="FFFFFF"/>
        </w:rPr>
        <w:t>〈</w:t>
      </w:r>
      <w:r w:rsidRPr="00E77454">
        <w:rPr>
          <w:rFonts w:hint="eastAsia"/>
        </w:rPr>
        <w:t>法務部調查局犯罪調查作業手冊</w:t>
      </w:r>
      <w:r w:rsidRPr="00E77454">
        <w:rPr>
          <w:rFonts w:hAnsi="標楷體" w:cs="Helvetica" w:hint="eastAsia"/>
          <w:shd w:val="clear" w:color="auto" w:fill="FFFFFF"/>
        </w:rPr>
        <w:t>〉</w:t>
      </w:r>
      <w:r w:rsidRPr="00175ACA">
        <w:rPr>
          <w:rFonts w:hint="eastAsia"/>
        </w:rPr>
        <w:t>等相關規定辦理。若調查作為須依令狀為之(如通訊監察、搜索、拘提)，均向地檢署檢察官報告許可後向法院提出聲請或由檢察官核准，並依上開法規程序辦理。如調查案件係報請檢察官指揮偵辦，則均受檢察官指揮進行調查作為。而調查局外勤單位各級主管及局本部毒品防制處亦藉由書類審查及溝通督導，對於案件調查過程均能完全瞭解及掌握進度，發揮層層節制之功能，有效將弊端風險降至最低。</w:t>
      </w:r>
    </w:p>
    <w:p w:rsidR="005C36E0" w:rsidRPr="00CC3B0A" w:rsidRDefault="005C36E0" w:rsidP="005C36E0">
      <w:pPr>
        <w:pStyle w:val="5"/>
      </w:pPr>
      <w:r w:rsidRPr="00175ACA">
        <w:rPr>
          <w:rFonts w:hint="eastAsia"/>
        </w:rPr>
        <w:t>申請查緝毒品獎金係依據</w:t>
      </w:r>
      <w:r w:rsidRPr="00E77454">
        <w:rPr>
          <w:rFonts w:hAnsi="標楷體" w:cs="Helvetica" w:hint="eastAsia"/>
          <w:shd w:val="clear" w:color="auto" w:fill="FFFFFF"/>
        </w:rPr>
        <w:t>〈</w:t>
      </w:r>
      <w:r w:rsidRPr="00E77454">
        <w:rPr>
          <w:rFonts w:hint="eastAsia"/>
        </w:rPr>
        <w:t>防制毒品危害獎懲辦法</w:t>
      </w:r>
      <w:r w:rsidRPr="00E77454">
        <w:rPr>
          <w:rFonts w:hAnsi="標楷體" w:cs="Helvetica" w:hint="eastAsia"/>
          <w:shd w:val="clear" w:color="auto" w:fill="FFFFFF"/>
        </w:rPr>
        <w:t>〉</w:t>
      </w:r>
      <w:r w:rsidRPr="00175ACA">
        <w:rPr>
          <w:rFonts w:hint="eastAsia"/>
        </w:rPr>
        <w:t>相關規定辦理，於案件起訴6個月內檢附相關資料向原指揮地檢署提出申請，如有檢舉人，則必須檢附檢舉筆錄或書面檢舉內容。申請緝毒獎金案件由地檢署初審後再轉報高檢署審議。原指揮之地檢署檢察官對於案件來源、立案及偵查過程等均有深入瞭解，若有相關查緝疑義或弊端，檢察官可駁回申請或加註意見再由高檢署審議，故查緝毒品獎金之核發由各客觀中立之地檢署負責初審及高檢署複審，即可防範查緝人員之不法並杜絕弊端。</w:t>
      </w:r>
    </w:p>
    <w:p w:rsidR="00724C3E" w:rsidRPr="00724C3E" w:rsidRDefault="00CC3B0A" w:rsidP="00CC3B0A">
      <w:pPr>
        <w:pStyle w:val="3"/>
      </w:pPr>
      <w:r w:rsidRPr="00D87F73">
        <w:rPr>
          <w:rFonts w:hAnsi="標楷體" w:hint="eastAsia"/>
          <w:b/>
        </w:rPr>
        <w:t>另</w:t>
      </w:r>
      <w:r w:rsidRPr="00D87F73">
        <w:rPr>
          <w:rFonts w:hint="eastAsia"/>
          <w:b/>
        </w:rPr>
        <w:t>依</w:t>
      </w:r>
      <w:r w:rsidRPr="00D87F73">
        <w:rPr>
          <w:rFonts w:hAnsi="標楷體" w:cs="Helvetica" w:hint="eastAsia"/>
          <w:b/>
          <w:shd w:val="clear" w:color="auto" w:fill="FFFFFF"/>
        </w:rPr>
        <w:t>〈</w:t>
      </w:r>
      <w:r w:rsidRPr="00D87F73">
        <w:rPr>
          <w:rFonts w:hint="eastAsia"/>
          <w:b/>
        </w:rPr>
        <w:t>刑法</w:t>
      </w:r>
      <w:r w:rsidRPr="00D87F73">
        <w:rPr>
          <w:rFonts w:hAnsi="標楷體" w:cs="Helvetica" w:hint="eastAsia"/>
          <w:b/>
          <w:shd w:val="clear" w:color="auto" w:fill="FFFFFF"/>
        </w:rPr>
        <w:t>〉</w:t>
      </w:r>
      <w:r w:rsidRPr="00D87F73">
        <w:rPr>
          <w:rFonts w:hint="eastAsia"/>
          <w:b/>
        </w:rPr>
        <w:t>及</w:t>
      </w:r>
      <w:r w:rsidRPr="00D87F73">
        <w:rPr>
          <w:rFonts w:hAnsi="標楷體" w:cs="Helvetica" w:hint="eastAsia"/>
          <w:b/>
          <w:shd w:val="clear" w:color="auto" w:fill="FFFFFF"/>
        </w:rPr>
        <w:t>〈</w:t>
      </w:r>
      <w:r w:rsidRPr="00D87F73">
        <w:rPr>
          <w:rFonts w:hint="eastAsia"/>
          <w:b/>
        </w:rPr>
        <w:t>刑事訴訟法</w:t>
      </w:r>
      <w:r w:rsidRPr="00D87F73">
        <w:rPr>
          <w:rFonts w:hAnsi="標楷體" w:cs="Helvetica" w:hint="eastAsia"/>
          <w:b/>
          <w:shd w:val="clear" w:color="auto" w:fill="FFFFFF"/>
        </w:rPr>
        <w:t>〉</w:t>
      </w:r>
      <w:r w:rsidRPr="00D87F73">
        <w:rPr>
          <w:rFonts w:hint="eastAsia"/>
          <w:b/>
        </w:rPr>
        <w:t>體系之相關規定，</w:t>
      </w:r>
      <w:r w:rsidR="00850F87">
        <w:rPr>
          <w:rFonts w:hint="eastAsia"/>
          <w:b/>
        </w:rPr>
        <w:t>得避免</w:t>
      </w:r>
      <w:r w:rsidRPr="00D87F73">
        <w:rPr>
          <w:rFonts w:hint="eastAsia"/>
          <w:b/>
        </w:rPr>
        <w:t>檢察官與被告或犯罪嫌疑人間有不法協商以換取〈證人保護法〉第14條規定不起訴處分或減免其刑之寬典</w:t>
      </w:r>
      <w:r w:rsidR="00724C3E">
        <w:rPr>
          <w:rFonts w:hAnsi="標楷體" w:hint="eastAsia"/>
          <w:b/>
        </w:rPr>
        <w:t>：</w:t>
      </w:r>
    </w:p>
    <w:p w:rsidR="00724C3E" w:rsidRDefault="00C30C3A" w:rsidP="00724C3E">
      <w:pPr>
        <w:pStyle w:val="4"/>
      </w:pPr>
      <w:r w:rsidRPr="00A8309A">
        <w:rPr>
          <w:rFonts w:hint="eastAsia"/>
        </w:rPr>
        <w:lastRenderedPageBreak/>
        <w:t>歐美等先進國家業已施行污點證人制度多年，如美國及德國均有完善之制度，不同法系國家之所以相繼採用污點證人制度，係因近代犯罪型態已不同於傳統犯罪，犯罪偵查日益困難。我國近年犯罪型態亦有趨於組織性、國際性、科學性、隱密性及重大性之勢，使得執法機關在證據取得面臨重大挑戰。有鑑於此，我國在89年通過之</w:t>
      </w:r>
      <w:r w:rsidRPr="009C5796">
        <w:rPr>
          <w:rFonts w:hAnsi="標楷體" w:cs="Helvetica" w:hint="eastAsia"/>
          <w:shd w:val="clear" w:color="auto" w:fill="FFFFFF"/>
        </w:rPr>
        <w:t>〈</w:t>
      </w:r>
      <w:r w:rsidRPr="009C5796">
        <w:rPr>
          <w:rFonts w:hint="eastAsia"/>
        </w:rPr>
        <w:t>證人保護法</w:t>
      </w:r>
      <w:r w:rsidRPr="009C5796">
        <w:rPr>
          <w:rFonts w:hAnsi="標楷體" w:cs="Helvetica" w:hint="eastAsia"/>
          <w:shd w:val="clear" w:color="auto" w:fill="FFFFFF"/>
        </w:rPr>
        <w:t>〉</w:t>
      </w:r>
      <w:r w:rsidRPr="00A8309A">
        <w:rPr>
          <w:rFonts w:hint="eastAsia"/>
        </w:rPr>
        <w:t>中，制定有關污點證人之條款，即該法第14條規定，針對集體性犯罪如幫派組織、走私、販毒、賄選、洗錢、證券交易等刑事案件，為鼓勵其共犯成員供出該集團犯罪之方式及成員，而設減輕或免除其刑之規定，其後並經</w:t>
      </w:r>
      <w:r>
        <w:rPr>
          <w:rFonts w:ascii="新細明體" w:eastAsia="新細明體" w:hAnsi="新細明體" w:hint="eastAsia"/>
        </w:rPr>
        <w:t>〈</w:t>
      </w:r>
      <w:r w:rsidRPr="00A8309A">
        <w:rPr>
          <w:rFonts w:hint="eastAsia"/>
        </w:rPr>
        <w:t>貪污治罪條例</w:t>
      </w:r>
      <w:r>
        <w:rPr>
          <w:rFonts w:ascii="新細明體" w:eastAsia="新細明體" w:hAnsi="新細明體" w:hint="eastAsia"/>
        </w:rPr>
        <w:t>〉</w:t>
      </w:r>
      <w:r w:rsidRPr="00A8309A">
        <w:rPr>
          <w:rFonts w:hint="eastAsia"/>
        </w:rPr>
        <w:t>、</w:t>
      </w:r>
      <w:r>
        <w:rPr>
          <w:rFonts w:ascii="新細明體" w:eastAsia="新細明體" w:hAnsi="新細明體" w:hint="eastAsia"/>
        </w:rPr>
        <w:t>〈</w:t>
      </w:r>
      <w:r w:rsidRPr="00A8309A">
        <w:rPr>
          <w:rFonts w:hint="eastAsia"/>
        </w:rPr>
        <w:t>組織犯罪防制條例</w:t>
      </w:r>
      <w:r>
        <w:rPr>
          <w:rFonts w:ascii="新細明體" w:eastAsia="新細明體" w:hAnsi="新細明體" w:hint="eastAsia"/>
        </w:rPr>
        <w:t>〉</w:t>
      </w:r>
      <w:r w:rsidRPr="00A8309A">
        <w:rPr>
          <w:rFonts w:hint="eastAsia"/>
        </w:rPr>
        <w:t>及</w:t>
      </w:r>
      <w:r>
        <w:rPr>
          <w:rFonts w:ascii="新細明體" w:eastAsia="新細明體" w:hAnsi="新細明體" w:hint="eastAsia"/>
        </w:rPr>
        <w:t>〈</w:t>
      </w:r>
      <w:r w:rsidRPr="00A8309A">
        <w:rPr>
          <w:rFonts w:hint="eastAsia"/>
        </w:rPr>
        <w:t>毒品危害防制條例</w:t>
      </w:r>
      <w:r>
        <w:rPr>
          <w:rFonts w:ascii="新細明體" w:eastAsia="新細明體" w:hAnsi="新細明體" w:hint="eastAsia"/>
        </w:rPr>
        <w:t>〉</w:t>
      </w:r>
      <w:r w:rsidRPr="00A8309A">
        <w:rPr>
          <w:rFonts w:hint="eastAsia"/>
        </w:rPr>
        <w:t>等法律中納入類似規定。觀諸其立法目的，為藉由減免刑罰作為誘因，鼓勵被告或犯罪嫌疑人供出其他共同犯罪成員，以瓦解共犯結構，打擊難以查緝之集體性、隱密性之重大犯罪，重在對於其他成員之追查訴究，期能一網打盡、繩之以法。</w:t>
      </w:r>
    </w:p>
    <w:p w:rsidR="00C30C3A" w:rsidRDefault="00E60456" w:rsidP="00C30C3A">
      <w:pPr>
        <w:pStyle w:val="4"/>
      </w:pPr>
      <w:r>
        <w:rPr>
          <w:rFonts w:hint="eastAsia"/>
        </w:rPr>
        <w:t>法務部函復</w:t>
      </w:r>
      <w:r w:rsidR="00C30C3A" w:rsidRPr="00C30C3A">
        <w:rPr>
          <w:rFonts w:hint="eastAsia"/>
        </w:rPr>
        <w:t>就如何防制檢察官與被告或犯罪嫌疑人間有不當或不法之協商勾結以換取不起訴處分或減免其刑，說明如下：</w:t>
      </w:r>
    </w:p>
    <w:p w:rsidR="00C30C3A" w:rsidRDefault="00C30C3A" w:rsidP="00C30C3A">
      <w:pPr>
        <w:pStyle w:val="5"/>
      </w:pPr>
      <w:r w:rsidRPr="00C30C3A">
        <w:rPr>
          <w:rFonts w:hint="eastAsia"/>
        </w:rPr>
        <w:t>內部機制：被告及犯罪嫌疑人依〈證人保護法〉規定，經由檢察官同意適用〈證人保護法〉第14條規定減免其刑者，檢察官應如實向其說明法律依據，不過度誇大刑罰減免效果，且應如實記載其最原始的證詞，使此陳述能經得起事後檢驗。</w:t>
      </w:r>
    </w:p>
    <w:p w:rsidR="00C30C3A" w:rsidRDefault="00C30C3A" w:rsidP="00C30C3A">
      <w:pPr>
        <w:pStyle w:val="5"/>
      </w:pPr>
      <w:r w:rsidRPr="00A8309A">
        <w:rPr>
          <w:rFonts w:hint="eastAsia"/>
        </w:rPr>
        <w:t>外部機制：</w:t>
      </w:r>
    </w:p>
    <w:p w:rsidR="00C30C3A" w:rsidRDefault="00C30C3A" w:rsidP="00C30C3A">
      <w:pPr>
        <w:pStyle w:val="6"/>
      </w:pPr>
      <w:r w:rsidRPr="00850F87">
        <w:rPr>
          <w:rFonts w:hint="eastAsia"/>
          <w:b/>
        </w:rPr>
        <w:t>須有補強證據</w:t>
      </w:r>
      <w:r w:rsidRPr="00A8309A">
        <w:rPr>
          <w:rFonts w:hint="eastAsia"/>
        </w:rPr>
        <w:t>：</w:t>
      </w:r>
      <w:r>
        <w:rPr>
          <w:rFonts w:ascii="新細明體" w:eastAsia="新細明體" w:hAnsi="新細明體" w:hint="eastAsia"/>
        </w:rPr>
        <w:t>〈</w:t>
      </w:r>
      <w:r w:rsidRPr="00A8309A">
        <w:rPr>
          <w:rFonts w:hint="eastAsia"/>
        </w:rPr>
        <w:t>證人保護法</w:t>
      </w:r>
      <w:r>
        <w:rPr>
          <w:rFonts w:ascii="新細明體" w:eastAsia="新細明體" w:hAnsi="新細明體" w:hint="eastAsia"/>
        </w:rPr>
        <w:t>〉</w:t>
      </w:r>
      <w:r w:rsidRPr="00A8309A">
        <w:rPr>
          <w:rFonts w:hint="eastAsia"/>
        </w:rPr>
        <w:t>第14條，固係</w:t>
      </w:r>
      <w:r w:rsidRPr="00A8309A">
        <w:rPr>
          <w:rFonts w:hint="eastAsia"/>
        </w:rPr>
        <w:lastRenderedPageBreak/>
        <w:t>為鼓勵刑事案件之被告或犯罪嫌疑人，使其勇於出面檢舉作證，以利犯罪之易於或擴大偵查，得以追訴該案之其他共犯，乃設有「就其因供述所涉之犯罪，減輕或免除其刑」之寬典。從而適用上開規定之刑事案件之被告或犯罪嫌疑人，其供述之憑信性本不及於一般人；則為避免其有為偵查機關誘導，或為圖邀輕典而為不實供述之可能，以擔保其所為不利於其他共同被告</w:t>
      </w:r>
      <w:r>
        <w:rPr>
          <w:rFonts w:hint="eastAsia"/>
        </w:rPr>
        <w:t>(</w:t>
      </w:r>
      <w:r w:rsidRPr="00A8309A">
        <w:rPr>
          <w:rFonts w:hint="eastAsia"/>
        </w:rPr>
        <w:t>共犯</w:t>
      </w:r>
      <w:r>
        <w:rPr>
          <w:rFonts w:hint="eastAsia"/>
        </w:rPr>
        <w:t>)</w:t>
      </w:r>
      <w:r w:rsidRPr="00A8309A">
        <w:rPr>
          <w:rFonts w:hint="eastAsia"/>
        </w:rPr>
        <w:t>之供述</w:t>
      </w:r>
      <w:r>
        <w:rPr>
          <w:rFonts w:hint="eastAsia"/>
        </w:rPr>
        <w:t>(</w:t>
      </w:r>
      <w:r w:rsidRPr="00A8309A">
        <w:rPr>
          <w:rFonts w:hint="eastAsia"/>
        </w:rPr>
        <w:t>即供出該案其他共犯事證之陳述</w:t>
      </w:r>
      <w:r>
        <w:rPr>
          <w:rFonts w:hint="eastAsia"/>
        </w:rPr>
        <w:t>)</w:t>
      </w:r>
      <w:r w:rsidRPr="00A8309A">
        <w:rPr>
          <w:rFonts w:hint="eastAsia"/>
        </w:rPr>
        <w:t>之真實性，自應有足以令人確信其供述為真實之補強證據，防免單純僅有此陳述即定人於罪。</w:t>
      </w:r>
    </w:p>
    <w:p w:rsidR="00C30C3A" w:rsidRDefault="00C30C3A" w:rsidP="00C30C3A">
      <w:pPr>
        <w:pStyle w:val="6"/>
      </w:pPr>
      <w:r w:rsidRPr="00850F87">
        <w:rPr>
          <w:rFonts w:hint="eastAsia"/>
          <w:b/>
        </w:rPr>
        <w:t>證據能力之審查</w:t>
      </w:r>
      <w:r w:rsidRPr="00A8309A">
        <w:rPr>
          <w:rFonts w:hint="eastAsia"/>
        </w:rPr>
        <w:t>：按</w:t>
      </w:r>
      <w:r>
        <w:rPr>
          <w:rFonts w:ascii="新細明體" w:eastAsia="新細明體" w:hAnsi="新細明體" w:hint="eastAsia"/>
        </w:rPr>
        <w:t>〈</w:t>
      </w:r>
      <w:r w:rsidRPr="00A8309A">
        <w:rPr>
          <w:rFonts w:hint="eastAsia"/>
        </w:rPr>
        <w:t>刑事訴訟法</w:t>
      </w:r>
      <w:r>
        <w:rPr>
          <w:rFonts w:ascii="新細明體" w:eastAsia="新細明體" w:hAnsi="新細明體" w:hint="eastAsia"/>
        </w:rPr>
        <w:t>〉</w:t>
      </w:r>
      <w:r w:rsidRPr="00A8309A">
        <w:rPr>
          <w:rFonts w:hint="eastAsia"/>
        </w:rPr>
        <w:t>第156條第1項規定，被告之自白，非出於強暴、脅迫、利誘、詐欺、疲勞訊問、違法羈押或其他不正之方法，且與事實相符者，得為證據。故若認檢察官濫用</w:t>
      </w:r>
      <w:r>
        <w:rPr>
          <w:rFonts w:ascii="新細明體" w:eastAsia="新細明體" w:hAnsi="新細明體" w:hint="eastAsia"/>
        </w:rPr>
        <w:t>〈</w:t>
      </w:r>
      <w:r w:rsidRPr="00A8309A">
        <w:rPr>
          <w:rFonts w:hint="eastAsia"/>
        </w:rPr>
        <w:t>證人保護法</w:t>
      </w:r>
      <w:r>
        <w:rPr>
          <w:rFonts w:ascii="新細明體" w:eastAsia="新細明體" w:hAnsi="新細明體" w:hint="eastAsia"/>
        </w:rPr>
        <w:t>〉</w:t>
      </w:r>
      <w:r w:rsidRPr="00A8309A">
        <w:rPr>
          <w:rFonts w:hint="eastAsia"/>
        </w:rPr>
        <w:t>第14條，可能會構成</w:t>
      </w:r>
      <w:r>
        <w:rPr>
          <w:rFonts w:ascii="新細明體" w:eastAsia="新細明體" w:hAnsi="新細明體" w:hint="eastAsia"/>
        </w:rPr>
        <w:t>〈</w:t>
      </w:r>
      <w:r w:rsidRPr="00A8309A">
        <w:rPr>
          <w:rFonts w:hint="eastAsia"/>
        </w:rPr>
        <w:t>刑事訴訟法</w:t>
      </w:r>
      <w:r>
        <w:rPr>
          <w:rFonts w:ascii="新細明體" w:eastAsia="新細明體" w:hAnsi="新細明體" w:hint="eastAsia"/>
        </w:rPr>
        <w:t>〉</w:t>
      </w:r>
      <w:r w:rsidRPr="00A8309A">
        <w:rPr>
          <w:rFonts w:hint="eastAsia"/>
        </w:rPr>
        <w:t>第156條第1項之以利誘之不正方法取得之供述，此供述自無證據能力，而實質影響檢察官就此案件之舉證。</w:t>
      </w:r>
    </w:p>
    <w:p w:rsidR="00C30C3A" w:rsidRDefault="00C30C3A" w:rsidP="00E60456">
      <w:pPr>
        <w:pStyle w:val="6"/>
      </w:pPr>
      <w:r w:rsidRPr="00850F87">
        <w:rPr>
          <w:rFonts w:hint="eastAsia"/>
          <w:b/>
        </w:rPr>
        <w:t>濫權追訴之處罰</w:t>
      </w:r>
      <w:r w:rsidRPr="00A8309A">
        <w:rPr>
          <w:rFonts w:hint="eastAsia"/>
        </w:rPr>
        <w:t>：</w:t>
      </w:r>
      <w:r>
        <w:rPr>
          <w:rFonts w:ascii="新細明體" w:eastAsia="新細明體" w:hAnsi="新細明體" w:hint="eastAsia"/>
        </w:rPr>
        <w:t>〈</w:t>
      </w:r>
      <w:r w:rsidRPr="00A8309A">
        <w:rPr>
          <w:rFonts w:hint="eastAsia"/>
        </w:rPr>
        <w:t>刑法</w:t>
      </w:r>
      <w:r>
        <w:rPr>
          <w:rFonts w:ascii="新細明體" w:eastAsia="新細明體" w:hAnsi="新細明體" w:hint="eastAsia"/>
        </w:rPr>
        <w:t>〉</w:t>
      </w:r>
      <w:r w:rsidRPr="00A8309A">
        <w:rPr>
          <w:rFonts w:hint="eastAsia"/>
        </w:rPr>
        <w:t>第125條第1項第3款規定，有追訴或處罰犯罪職務之公務員，</w:t>
      </w:r>
      <w:r w:rsidR="00E60456" w:rsidRPr="00A8309A">
        <w:rPr>
          <w:rFonts w:hint="eastAsia"/>
        </w:rPr>
        <w:t>「明知為無罪之人，而使其受追訴或處罰，或明知為有罪之人，而無故不使其受追訴或處罰者」</w:t>
      </w:r>
      <w:r w:rsidRPr="00A8309A">
        <w:rPr>
          <w:rFonts w:hint="eastAsia"/>
        </w:rPr>
        <w:t>，處1年以上7年以下有期徒刑</w:t>
      </w:r>
      <w:r w:rsidR="00E60456">
        <w:rPr>
          <w:rFonts w:hAnsi="標楷體" w:hint="eastAsia"/>
        </w:rPr>
        <w:t>。</w:t>
      </w:r>
      <w:r w:rsidRPr="00A8309A">
        <w:rPr>
          <w:rFonts w:hint="eastAsia"/>
        </w:rPr>
        <w:t>若檢察官與被告或犯罪嫌疑人間有不當或不法之協商勾結，而</w:t>
      </w:r>
      <w:r w:rsidR="00E60456">
        <w:rPr>
          <w:rFonts w:hint="eastAsia"/>
        </w:rPr>
        <w:t>有</w:t>
      </w:r>
      <w:r w:rsidR="00E60456" w:rsidRPr="00E60456">
        <w:rPr>
          <w:rFonts w:hint="eastAsia"/>
        </w:rPr>
        <w:t>〈刑法〉第125條第1項第3款規定</w:t>
      </w:r>
      <w:r w:rsidR="00E60456">
        <w:rPr>
          <w:rFonts w:hint="eastAsia"/>
        </w:rPr>
        <w:t>之情形</w:t>
      </w:r>
      <w:r w:rsidRPr="00A8309A">
        <w:rPr>
          <w:rFonts w:hint="eastAsia"/>
        </w:rPr>
        <w:t>，</w:t>
      </w:r>
      <w:r w:rsidR="00E60456">
        <w:rPr>
          <w:rFonts w:hint="eastAsia"/>
        </w:rPr>
        <w:t>自</w:t>
      </w:r>
      <w:r w:rsidRPr="00A8309A">
        <w:rPr>
          <w:rFonts w:hint="eastAsia"/>
        </w:rPr>
        <w:t>可依此條規定處罰。</w:t>
      </w:r>
    </w:p>
    <w:p w:rsidR="00C30C3A" w:rsidRPr="00724C3E" w:rsidRDefault="00C30C3A" w:rsidP="00E60456">
      <w:pPr>
        <w:pStyle w:val="6"/>
      </w:pPr>
      <w:r>
        <w:rPr>
          <w:rFonts w:hint="eastAsia"/>
        </w:rPr>
        <w:t>準此</w:t>
      </w:r>
      <w:r>
        <w:rPr>
          <w:rFonts w:hAnsi="標楷體" w:hint="eastAsia"/>
        </w:rPr>
        <w:t>，</w:t>
      </w:r>
      <w:r w:rsidRPr="00A8309A">
        <w:rPr>
          <w:rFonts w:hint="eastAsia"/>
        </w:rPr>
        <w:t>依現行</w:t>
      </w:r>
      <w:r w:rsidRPr="009C5796">
        <w:rPr>
          <w:rFonts w:hAnsi="標楷體" w:cs="Helvetica" w:hint="eastAsia"/>
          <w:shd w:val="clear" w:color="auto" w:fill="FFFFFF"/>
        </w:rPr>
        <w:t>〈</w:t>
      </w:r>
      <w:r w:rsidRPr="009C5796">
        <w:rPr>
          <w:rFonts w:hint="eastAsia"/>
        </w:rPr>
        <w:t>刑法</w:t>
      </w:r>
      <w:r w:rsidRPr="009C5796">
        <w:rPr>
          <w:rFonts w:hAnsi="標楷體" w:cs="Helvetica" w:hint="eastAsia"/>
          <w:shd w:val="clear" w:color="auto" w:fill="FFFFFF"/>
        </w:rPr>
        <w:t>〉</w:t>
      </w:r>
      <w:r w:rsidRPr="009C5796">
        <w:rPr>
          <w:rFonts w:hint="eastAsia"/>
        </w:rPr>
        <w:t>及</w:t>
      </w:r>
      <w:r w:rsidRPr="009C5796">
        <w:rPr>
          <w:rFonts w:hAnsi="標楷體" w:cs="Helvetica" w:hint="eastAsia"/>
          <w:shd w:val="clear" w:color="auto" w:fill="FFFFFF"/>
        </w:rPr>
        <w:t>〈</w:t>
      </w:r>
      <w:r w:rsidRPr="009C5796">
        <w:rPr>
          <w:rFonts w:hint="eastAsia"/>
        </w:rPr>
        <w:t>刑事訴訟法</w:t>
      </w:r>
      <w:r w:rsidRPr="009C5796">
        <w:rPr>
          <w:rFonts w:hAnsi="標楷體" w:cs="Helvetica" w:hint="eastAsia"/>
          <w:shd w:val="clear" w:color="auto" w:fill="FFFFFF"/>
        </w:rPr>
        <w:t>〉</w:t>
      </w:r>
      <w:r w:rsidRPr="00A8309A">
        <w:rPr>
          <w:rFonts w:hint="eastAsia"/>
        </w:rPr>
        <w:t>體系之相關規定，已足防止檢察官與被告或犯</w:t>
      </w:r>
      <w:r w:rsidRPr="00A8309A">
        <w:rPr>
          <w:rFonts w:hint="eastAsia"/>
        </w:rPr>
        <w:lastRenderedPageBreak/>
        <w:t>罪嫌疑人間有不當或不法之協商，以換取不起訴處分或減免其刑。</w:t>
      </w:r>
    </w:p>
    <w:p w:rsidR="00CC3B0A" w:rsidRPr="00C30C3A" w:rsidRDefault="00850F87" w:rsidP="00CC3B0A">
      <w:pPr>
        <w:pStyle w:val="3"/>
      </w:pPr>
      <w:r w:rsidRPr="00850F87">
        <w:rPr>
          <w:rFonts w:hint="eastAsia"/>
          <w:b/>
        </w:rPr>
        <w:t>法務部應責由調查局及其所轄單位落實執行相關法令，以避免發生類似本案之情事</w:t>
      </w:r>
      <w:r w:rsidR="00C30C3A">
        <w:rPr>
          <w:rFonts w:hAnsi="標楷體" w:hint="eastAsia"/>
          <w:b/>
        </w:rPr>
        <w:t>：</w:t>
      </w:r>
    </w:p>
    <w:p w:rsidR="00C30C3A" w:rsidRDefault="00483E41" w:rsidP="00C30C3A">
      <w:pPr>
        <w:pStyle w:val="4"/>
      </w:pPr>
      <w:r w:rsidRPr="00483E41">
        <w:rPr>
          <w:rFonts w:hint="eastAsia"/>
        </w:rPr>
        <w:t>本院函詢法務部有關</w:t>
      </w:r>
      <w:r w:rsidR="00C30C3A" w:rsidRPr="00483E41">
        <w:rPr>
          <w:rFonts w:hint="eastAsia"/>
        </w:rPr>
        <w:t>調查局所轄各單位近5年來是否發生過與本案相似之情形</w:t>
      </w:r>
      <w:r w:rsidRPr="00483E41">
        <w:rPr>
          <w:rFonts w:hAnsi="標楷體" w:hint="eastAsia"/>
        </w:rPr>
        <w:t>，</w:t>
      </w:r>
      <w:r w:rsidRPr="00483E41">
        <w:rPr>
          <w:rFonts w:hint="eastAsia"/>
        </w:rPr>
        <w:t>據法務部函復</w:t>
      </w:r>
      <w:r w:rsidR="001B6456">
        <w:rPr>
          <w:rFonts w:hint="eastAsia"/>
        </w:rPr>
        <w:t>表示</w:t>
      </w:r>
      <w:r w:rsidRPr="00483E41">
        <w:rPr>
          <w:rFonts w:hAnsi="標楷體" w:hint="eastAsia"/>
        </w:rPr>
        <w:t>，</w:t>
      </w:r>
      <w:r w:rsidR="00C30C3A" w:rsidRPr="00175ACA">
        <w:rPr>
          <w:rFonts w:hint="eastAsia"/>
        </w:rPr>
        <w:t>近5年來，調查局所轄各單位偵辦毒品案件，並未發生其他類似</w:t>
      </w:r>
      <w:r w:rsidR="00850F87">
        <w:rPr>
          <w:rFonts w:hint="eastAsia"/>
        </w:rPr>
        <w:t>本</w:t>
      </w:r>
      <w:r w:rsidR="00850F87" w:rsidRPr="00175ACA">
        <w:rPr>
          <w:rFonts w:hint="eastAsia"/>
        </w:rPr>
        <w:t>案</w:t>
      </w:r>
      <w:r w:rsidR="00850F87">
        <w:rPr>
          <w:rFonts w:hint="eastAsia"/>
        </w:rPr>
        <w:t>情節之</w:t>
      </w:r>
      <w:r w:rsidR="00C30C3A" w:rsidRPr="00175ACA">
        <w:rPr>
          <w:rFonts w:hint="eastAsia"/>
        </w:rPr>
        <w:t>案件。</w:t>
      </w:r>
    </w:p>
    <w:p w:rsidR="00483E41" w:rsidRPr="003D63BF" w:rsidRDefault="00850F87" w:rsidP="00C30C3A">
      <w:pPr>
        <w:pStyle w:val="4"/>
      </w:pPr>
      <w:r>
        <w:rPr>
          <w:rFonts w:hAnsi="標楷體" w:hint="eastAsia"/>
        </w:rPr>
        <w:t>惟為免出現與本案類似</w:t>
      </w:r>
      <w:r w:rsidR="008C7A0D">
        <w:rPr>
          <w:rFonts w:hAnsi="標楷體" w:hint="eastAsia"/>
        </w:rPr>
        <w:t>情節之</w:t>
      </w:r>
      <w:r>
        <w:rPr>
          <w:rFonts w:hAnsi="標楷體" w:hint="eastAsia"/>
        </w:rPr>
        <w:t>案件</w:t>
      </w:r>
      <w:r w:rsidR="00483E41" w:rsidRPr="00483E41">
        <w:rPr>
          <w:rFonts w:hAnsi="標楷體" w:hint="eastAsia"/>
        </w:rPr>
        <w:t>，法務部</w:t>
      </w:r>
      <w:r>
        <w:rPr>
          <w:rFonts w:hAnsi="標楷體" w:hint="eastAsia"/>
        </w:rPr>
        <w:t>仍</w:t>
      </w:r>
      <w:r w:rsidR="003D63BF">
        <w:rPr>
          <w:rFonts w:hAnsi="標楷體" w:hint="eastAsia"/>
        </w:rPr>
        <w:t>應</w:t>
      </w:r>
      <w:r w:rsidR="00483E41" w:rsidRPr="00483E41">
        <w:rPr>
          <w:rFonts w:hAnsi="標楷體" w:hint="eastAsia"/>
        </w:rPr>
        <w:t>責由調查局及其所轄單位落實執行</w:t>
      </w:r>
      <w:r>
        <w:rPr>
          <w:rFonts w:hAnsi="標楷體" w:hint="eastAsia"/>
        </w:rPr>
        <w:t>相關法令</w:t>
      </w:r>
      <w:r w:rsidR="003D63BF">
        <w:rPr>
          <w:rFonts w:hAnsi="標楷體" w:hint="eastAsia"/>
        </w:rPr>
        <w:t>。</w:t>
      </w:r>
      <w:bookmarkStart w:id="82" w:name="_GoBack"/>
      <w:bookmarkEnd w:id="82"/>
    </w:p>
    <w:p w:rsidR="003D63BF" w:rsidRPr="00D87F73" w:rsidRDefault="003D63BF" w:rsidP="003D63BF">
      <w:pPr>
        <w:pStyle w:val="3"/>
      </w:pPr>
      <w:r>
        <w:rPr>
          <w:rFonts w:hint="eastAsia"/>
        </w:rPr>
        <w:t>綜上</w:t>
      </w:r>
      <w:r>
        <w:rPr>
          <w:rFonts w:hAnsi="標楷體" w:hint="eastAsia"/>
        </w:rPr>
        <w:t>，</w:t>
      </w:r>
      <w:r w:rsidRPr="003D63BF">
        <w:rPr>
          <w:rFonts w:hAnsi="標楷體" w:hint="eastAsia"/>
        </w:rPr>
        <w:t>調查局辦理毒品案績效查核訂有〈</w:t>
      </w:r>
      <w:r w:rsidR="001B6456">
        <w:rPr>
          <w:rFonts w:hAnsi="標楷體" w:hint="eastAsia"/>
        </w:rPr>
        <w:t>調查局</w:t>
      </w:r>
      <w:r w:rsidRPr="003D63BF">
        <w:rPr>
          <w:rFonts w:hAnsi="標楷體" w:hint="eastAsia"/>
        </w:rPr>
        <w:t>各外勤調查處站業務績效考核要點〉及〈毒品防制工作績效評定要點〉，對於查緝人員之行政獎勵訂有〈</w:t>
      </w:r>
      <w:r w:rsidR="001B6456">
        <w:rPr>
          <w:rFonts w:hAnsi="標楷體" w:hint="eastAsia"/>
        </w:rPr>
        <w:t>調查局</w:t>
      </w:r>
      <w:r w:rsidRPr="003D63BF">
        <w:rPr>
          <w:rFonts w:hAnsi="標楷體" w:hint="eastAsia"/>
        </w:rPr>
        <w:t>偵破重大毒品案件併請精神獎勵要點〉為據；申請查緝獎金依行政院</w:t>
      </w:r>
      <w:r>
        <w:rPr>
          <w:rFonts w:hAnsi="標楷體" w:hint="eastAsia"/>
        </w:rPr>
        <w:t>訂</w:t>
      </w:r>
      <w:r w:rsidRPr="003D63BF">
        <w:rPr>
          <w:rFonts w:hAnsi="標楷體" w:hint="eastAsia"/>
        </w:rPr>
        <w:t>定之〈防制毒品危害獎懲辦法〉</w:t>
      </w:r>
      <w:r>
        <w:rPr>
          <w:rFonts w:hAnsi="標楷體" w:hint="eastAsia"/>
        </w:rPr>
        <w:t>；</w:t>
      </w:r>
      <w:r w:rsidR="00850F87" w:rsidRPr="00850F87">
        <w:rPr>
          <w:rFonts w:hAnsi="標楷體" w:hint="eastAsia"/>
        </w:rPr>
        <w:t>另依〈刑法〉及〈刑事訴訟法〉體系之相關規定，得避免檢察官與被告或犯罪嫌疑人間有不法協商以換取〈證人保護法〉第14條規定不起訴處分或減免其刑之寬典。法務部應責由調查局及其所轄單位落實執行相關法令，</w:t>
      </w:r>
      <w:r w:rsidR="00E5782E" w:rsidRPr="00E5782E">
        <w:rPr>
          <w:rFonts w:hAnsi="標楷體" w:hint="eastAsia"/>
        </w:rPr>
        <w:t>並適時檢視有無修正必要</w:t>
      </w:r>
      <w:r w:rsidRPr="003D63BF">
        <w:rPr>
          <w:rFonts w:hAnsi="標楷體" w:hint="eastAsia"/>
        </w:rPr>
        <w:t>。</w:t>
      </w:r>
    </w:p>
    <w:p w:rsidR="00D10838" w:rsidRPr="00D10838" w:rsidRDefault="00D10838" w:rsidP="00D10838">
      <w:pPr>
        <w:numPr>
          <w:ilvl w:val="0"/>
          <w:numId w:val="1"/>
        </w:numPr>
        <w:outlineLvl w:val="0"/>
        <w:rPr>
          <w:rFonts w:hAnsi="標楷體"/>
          <w:bCs/>
          <w:kern w:val="32"/>
          <w:szCs w:val="52"/>
        </w:rPr>
      </w:pPr>
      <w:r w:rsidRPr="00D10838">
        <w:rPr>
          <w:rFonts w:hAnsi="標楷體" w:hint="eastAsia"/>
          <w:bCs/>
          <w:kern w:val="32"/>
          <w:szCs w:val="52"/>
        </w:rPr>
        <w:t>處理辦法：</w:t>
      </w:r>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D10838" w:rsidRPr="00D10838" w:rsidRDefault="00D10838" w:rsidP="00A8226D">
      <w:pPr>
        <w:ind w:left="737"/>
        <w:outlineLvl w:val="1"/>
        <w:rPr>
          <w:rFonts w:hAnsi="Arial"/>
          <w:bCs/>
          <w:kern w:val="32"/>
          <w:szCs w:val="48"/>
        </w:rPr>
      </w:pPr>
      <w:r w:rsidRPr="00D10838">
        <w:rPr>
          <w:rFonts w:hAnsi="Arial" w:hint="eastAsia"/>
          <w:bCs/>
          <w:kern w:val="32"/>
          <w:szCs w:val="48"/>
        </w:rPr>
        <w:t>調查意見，函請</w:t>
      </w:r>
      <w:r w:rsidR="001B6456">
        <w:rPr>
          <w:rFonts w:hAnsi="Arial" w:hint="eastAsia"/>
          <w:bCs/>
          <w:kern w:val="32"/>
          <w:szCs w:val="48"/>
        </w:rPr>
        <w:t>法務部</w:t>
      </w:r>
      <w:r w:rsidRPr="00D10838">
        <w:rPr>
          <w:rFonts w:hAnsi="Arial" w:hint="eastAsia"/>
          <w:bCs/>
          <w:kern w:val="32"/>
          <w:szCs w:val="48"/>
        </w:rPr>
        <w:t>參考。</w:t>
      </w:r>
    </w:p>
    <w:p w:rsidR="00D10838" w:rsidRPr="00A8226D" w:rsidRDefault="00D10838" w:rsidP="006F3C11">
      <w:pPr>
        <w:spacing w:line="760" w:lineRule="exact"/>
        <w:ind w:leftChars="1100" w:left="3742"/>
        <w:rPr>
          <w:bCs/>
          <w:spacing w:val="12"/>
          <w:kern w:val="0"/>
          <w:sz w:val="40"/>
        </w:rPr>
      </w:pPr>
      <w:r w:rsidRPr="00D10838">
        <w:rPr>
          <w:rFonts w:hint="eastAsia"/>
          <w:bCs/>
          <w:spacing w:val="12"/>
          <w:kern w:val="0"/>
          <w:sz w:val="40"/>
        </w:rPr>
        <w:t>調查委員：</w:t>
      </w:r>
      <w:r w:rsidR="006F3C11" w:rsidRPr="00A8226D">
        <w:rPr>
          <w:rFonts w:hint="eastAsia"/>
          <w:bCs/>
          <w:spacing w:val="12"/>
          <w:kern w:val="0"/>
          <w:sz w:val="40"/>
        </w:rPr>
        <w:t>林郁容</w:t>
      </w:r>
    </w:p>
    <w:p w:rsidR="00D10838" w:rsidRPr="00A8226D" w:rsidRDefault="006F3C11" w:rsidP="00A8226D">
      <w:pPr>
        <w:spacing w:line="760" w:lineRule="exact"/>
        <w:ind w:leftChars="1751" w:left="5956"/>
        <w:rPr>
          <w:rFonts w:ascii="Times New Roman"/>
          <w:bCs/>
          <w:kern w:val="0"/>
          <w:sz w:val="40"/>
        </w:rPr>
      </w:pPr>
      <w:r w:rsidRPr="00A8226D">
        <w:rPr>
          <w:rFonts w:ascii="Times New Roman" w:hint="eastAsia"/>
          <w:bCs/>
          <w:kern w:val="0"/>
          <w:sz w:val="40"/>
        </w:rPr>
        <w:t>范巽綠</w:t>
      </w:r>
    </w:p>
    <w:p w:rsidR="00D10838" w:rsidRPr="006F3C11" w:rsidRDefault="006F3C11" w:rsidP="00A8226D">
      <w:pPr>
        <w:spacing w:line="760" w:lineRule="exact"/>
        <w:ind w:leftChars="1751" w:left="5956"/>
        <w:rPr>
          <w:rFonts w:ascii="Times New Roman"/>
          <w:b/>
          <w:bCs/>
          <w:kern w:val="0"/>
          <w:sz w:val="40"/>
        </w:rPr>
      </w:pPr>
      <w:r w:rsidRPr="00A8226D">
        <w:rPr>
          <w:rFonts w:ascii="Times New Roman" w:hint="eastAsia"/>
          <w:bCs/>
          <w:kern w:val="0"/>
          <w:sz w:val="40"/>
        </w:rPr>
        <w:t>林文程</w:t>
      </w:r>
    </w:p>
    <w:sectPr w:rsidR="00D10838" w:rsidRPr="006F3C1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B63" w:rsidRDefault="00641B63">
      <w:r>
        <w:separator/>
      </w:r>
    </w:p>
  </w:endnote>
  <w:endnote w:type="continuationSeparator" w:id="0">
    <w:p w:rsidR="00641B63" w:rsidRDefault="0064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41F" w:rsidRDefault="00BB441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8226D">
      <w:rPr>
        <w:rStyle w:val="ad"/>
        <w:noProof/>
        <w:sz w:val="24"/>
      </w:rPr>
      <w:t>23</w:t>
    </w:r>
    <w:r>
      <w:rPr>
        <w:rStyle w:val="ad"/>
        <w:sz w:val="24"/>
      </w:rPr>
      <w:fldChar w:fldCharType="end"/>
    </w:r>
  </w:p>
  <w:p w:rsidR="00BB441F" w:rsidRDefault="00BB44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B63" w:rsidRDefault="00641B63">
      <w:r>
        <w:separator/>
      </w:r>
    </w:p>
  </w:footnote>
  <w:footnote w:type="continuationSeparator" w:id="0">
    <w:p w:rsidR="00641B63" w:rsidRDefault="00641B63">
      <w:r>
        <w:continuationSeparator/>
      </w:r>
    </w:p>
  </w:footnote>
  <w:footnote w:id="1">
    <w:p w:rsidR="00BB441F" w:rsidRDefault="00BB441F" w:rsidP="00D10838">
      <w:pPr>
        <w:pStyle w:val="afb"/>
        <w:ind w:left="167" w:hangingChars="76" w:hanging="167"/>
      </w:pPr>
      <w:r>
        <w:rPr>
          <w:rStyle w:val="afd"/>
        </w:rPr>
        <w:footnoteRef/>
      </w:r>
      <w:r>
        <w:rPr>
          <w:rFonts w:asciiTheme="minorEastAsia" w:eastAsiaTheme="minorEastAsia" w:hAnsiTheme="minorEastAsia" w:hint="eastAsia"/>
        </w:rPr>
        <w:t xml:space="preserve"> 法務</w:t>
      </w:r>
      <w:r w:rsidRPr="003E1A27">
        <w:rPr>
          <w:rFonts w:asciiTheme="minorEastAsia" w:eastAsiaTheme="minorEastAsia" w:hAnsiTheme="minorEastAsia" w:hint="eastAsia"/>
        </w:rPr>
        <w:t>部</w:t>
      </w:r>
      <w:r>
        <w:rPr>
          <w:rFonts w:asciiTheme="minorEastAsia" w:eastAsiaTheme="minorEastAsia" w:hAnsiTheme="minorEastAsia" w:hint="eastAsia"/>
        </w:rPr>
        <w:t>110</w:t>
      </w:r>
      <w:r w:rsidRPr="003E1A27">
        <w:rPr>
          <w:rFonts w:asciiTheme="minorEastAsia" w:eastAsiaTheme="minorEastAsia" w:hAnsiTheme="minorEastAsia" w:hint="eastAsia"/>
        </w:rPr>
        <w:t>年</w:t>
      </w:r>
      <w:r>
        <w:rPr>
          <w:rFonts w:asciiTheme="minorEastAsia" w:eastAsiaTheme="minorEastAsia" w:hAnsiTheme="minorEastAsia" w:hint="eastAsia"/>
        </w:rPr>
        <w:t>7</w:t>
      </w:r>
      <w:r w:rsidRPr="003E1A27">
        <w:rPr>
          <w:rFonts w:asciiTheme="minorEastAsia" w:eastAsiaTheme="minorEastAsia" w:hAnsiTheme="minorEastAsia" w:hint="eastAsia"/>
        </w:rPr>
        <w:t>月</w:t>
      </w:r>
      <w:r>
        <w:rPr>
          <w:rFonts w:asciiTheme="minorEastAsia" w:eastAsiaTheme="minorEastAsia" w:hAnsiTheme="minorEastAsia" w:hint="eastAsia"/>
        </w:rPr>
        <w:t>8</w:t>
      </w:r>
      <w:r w:rsidRPr="003E1A27">
        <w:rPr>
          <w:rFonts w:asciiTheme="minorEastAsia" w:eastAsiaTheme="minorEastAsia" w:hAnsiTheme="minorEastAsia" w:hint="eastAsia"/>
        </w:rPr>
        <w:t>日</w:t>
      </w:r>
      <w:r>
        <w:rPr>
          <w:rFonts w:asciiTheme="minorEastAsia" w:eastAsiaTheme="minorEastAsia" w:hAnsiTheme="minorEastAsia" w:hint="eastAsia"/>
        </w:rPr>
        <w:t>法檢</w:t>
      </w:r>
      <w:r w:rsidRPr="003E1A27">
        <w:rPr>
          <w:rFonts w:asciiTheme="minorEastAsia" w:eastAsiaTheme="minorEastAsia" w:hAnsiTheme="minorEastAsia" w:hint="eastAsia"/>
        </w:rPr>
        <w:t>字第1</w:t>
      </w:r>
      <w:r>
        <w:rPr>
          <w:rFonts w:asciiTheme="minorEastAsia" w:eastAsiaTheme="minorEastAsia" w:hAnsiTheme="minorEastAsia" w:hint="eastAsia"/>
        </w:rPr>
        <w:t>1004511650</w:t>
      </w:r>
      <w:r w:rsidRPr="003E1A27">
        <w:rPr>
          <w:rFonts w:asciiTheme="minorEastAsia" w:eastAsiaTheme="minorEastAsia" w:hAnsiTheme="minorEastAsia" w:hint="eastAsia"/>
        </w:rPr>
        <w:t>號</w:t>
      </w:r>
      <w:r>
        <w:rPr>
          <w:rFonts w:asciiTheme="minorEastAsia" w:eastAsiaTheme="minorEastAsia" w:hAnsiTheme="minorEastAsia" w:hint="eastAsia"/>
        </w:rPr>
        <w:t>及</w:t>
      </w:r>
      <w:r w:rsidRPr="00686B8A">
        <w:rPr>
          <w:rFonts w:asciiTheme="minorEastAsia" w:eastAsiaTheme="minorEastAsia" w:hAnsiTheme="minorEastAsia" w:hint="eastAsia"/>
        </w:rPr>
        <w:t>110年</w:t>
      </w:r>
      <w:r>
        <w:rPr>
          <w:rFonts w:asciiTheme="minorEastAsia" w:eastAsiaTheme="minorEastAsia" w:hAnsiTheme="minorEastAsia" w:hint="eastAsia"/>
        </w:rPr>
        <w:t>9</w:t>
      </w:r>
      <w:r w:rsidRPr="00686B8A">
        <w:rPr>
          <w:rFonts w:asciiTheme="minorEastAsia" w:eastAsiaTheme="minorEastAsia" w:hAnsiTheme="minorEastAsia" w:hint="eastAsia"/>
        </w:rPr>
        <w:t>月</w:t>
      </w:r>
      <w:r>
        <w:rPr>
          <w:rFonts w:asciiTheme="minorEastAsia" w:eastAsiaTheme="minorEastAsia" w:hAnsiTheme="minorEastAsia" w:hint="eastAsia"/>
        </w:rPr>
        <w:t>2</w:t>
      </w:r>
      <w:r w:rsidRPr="00686B8A">
        <w:rPr>
          <w:rFonts w:asciiTheme="minorEastAsia" w:eastAsiaTheme="minorEastAsia" w:hAnsiTheme="minorEastAsia" w:hint="eastAsia"/>
        </w:rPr>
        <w:t>8日法檢字第1100</w:t>
      </w:r>
      <w:r>
        <w:rPr>
          <w:rFonts w:asciiTheme="minorEastAsia" w:eastAsiaTheme="minorEastAsia" w:hAnsiTheme="minorEastAsia" w:hint="eastAsia"/>
        </w:rPr>
        <w:t>0628030</w:t>
      </w:r>
      <w:r w:rsidRPr="00686B8A">
        <w:rPr>
          <w:rFonts w:asciiTheme="minorEastAsia" w:eastAsiaTheme="minorEastAsia" w:hAnsiTheme="minorEastAsia" w:hint="eastAsia"/>
        </w:rPr>
        <w:t>號</w:t>
      </w:r>
      <w:r w:rsidRPr="003E1A27">
        <w:rPr>
          <w:rFonts w:asciiTheme="minorEastAsia" w:eastAsiaTheme="minorEastAsia" w:hAnsiTheme="minorEastAsia" w:hint="eastAsia"/>
        </w:rPr>
        <w:t>函</w:t>
      </w:r>
      <w:r>
        <w:rPr>
          <w:rFonts w:asciiTheme="minorEastAsia" w:eastAsiaTheme="minorEastAsia" w:hAnsiTheme="minorEastAsia" w:hint="eastAsia"/>
        </w:rPr>
        <w:t>。</w:t>
      </w:r>
    </w:p>
  </w:footnote>
  <w:footnote w:id="2">
    <w:p w:rsidR="00BB441F" w:rsidRPr="006651B5" w:rsidRDefault="00BB441F" w:rsidP="007768B1">
      <w:pPr>
        <w:pStyle w:val="afb"/>
        <w:ind w:left="220" w:hangingChars="100" w:hanging="220"/>
      </w:pPr>
      <w:r>
        <w:rPr>
          <w:rStyle w:val="afd"/>
        </w:rPr>
        <w:footnoteRef/>
      </w:r>
      <w:r>
        <w:rPr>
          <w:rFonts w:asciiTheme="minorEastAsia" w:eastAsiaTheme="minorEastAsia" w:hAnsiTheme="minorEastAsia" w:hint="eastAsia"/>
        </w:rPr>
        <w:t xml:space="preserve"> </w:t>
      </w:r>
      <w:r w:rsidRPr="006651B5">
        <w:rPr>
          <w:rFonts w:asciiTheme="minorEastAsia" w:eastAsiaTheme="minorEastAsia" w:hAnsiTheme="minorEastAsia" w:hint="eastAsia"/>
        </w:rPr>
        <w:t>「死轉手」係指沒有接觸過實際交付或接收上下手之中間轉交人，所以被查獲時也無法供出上下手之轉運角色。</w:t>
      </w:r>
    </w:p>
  </w:footnote>
  <w:footnote w:id="3">
    <w:p w:rsidR="00BB441F" w:rsidRPr="006651B5" w:rsidRDefault="00BB441F" w:rsidP="00BA2CD6">
      <w:pPr>
        <w:pStyle w:val="afb"/>
        <w:ind w:leftChars="3" w:left="182" w:hangingChars="78" w:hanging="172"/>
      </w:pPr>
      <w:r>
        <w:rPr>
          <w:rStyle w:val="afd"/>
        </w:rPr>
        <w:footnoteRef/>
      </w:r>
      <w:r>
        <w:rPr>
          <w:rFonts w:asciiTheme="minorEastAsia" w:eastAsiaTheme="minorEastAsia" w:hAnsiTheme="minorEastAsia" w:hint="eastAsia"/>
        </w:rPr>
        <w:t xml:space="preserve"> </w:t>
      </w:r>
      <w:r w:rsidRPr="006651B5">
        <w:rPr>
          <w:rFonts w:asciiTheme="minorEastAsia" w:eastAsiaTheme="minorEastAsia" w:hAnsiTheme="minorEastAsia" w:hint="eastAsia"/>
        </w:rPr>
        <w:t>游男所涉前案嗣經高雄地院以104年度訴字第266號判</w:t>
      </w:r>
      <w:r>
        <w:rPr>
          <w:rFonts w:asciiTheme="minorEastAsia" w:eastAsiaTheme="minorEastAsia" w:hAnsiTheme="minorEastAsia" w:hint="eastAsia"/>
        </w:rPr>
        <w:t>決</w:t>
      </w:r>
      <w:r w:rsidRPr="006651B5">
        <w:rPr>
          <w:rFonts w:asciiTheme="minorEastAsia" w:eastAsiaTheme="minorEastAsia" w:hAnsiTheme="minorEastAsia" w:hint="eastAsia"/>
        </w:rPr>
        <w:t>免刑確定</w:t>
      </w:r>
      <w:r>
        <w:rPr>
          <w:rFonts w:asciiTheme="minorEastAsia" w:eastAsiaTheme="minorEastAsia" w:hAnsiTheme="minorEastAsia" w:hint="eastAsia"/>
        </w:rPr>
        <w:t>。</w:t>
      </w:r>
    </w:p>
  </w:footnote>
  <w:footnote w:id="4">
    <w:p w:rsidR="00BB441F" w:rsidRPr="006A1DBA" w:rsidRDefault="00BB441F" w:rsidP="006F3C11">
      <w:pPr>
        <w:pStyle w:val="afb"/>
        <w:ind w:left="167" w:hangingChars="76" w:hanging="167"/>
      </w:pPr>
      <w:r>
        <w:rPr>
          <w:rStyle w:val="afd"/>
        </w:rPr>
        <w:footnoteRef/>
      </w:r>
      <w:r>
        <w:rPr>
          <w:rFonts w:asciiTheme="minorEastAsia" w:eastAsiaTheme="minorEastAsia" w:hAnsiTheme="minorEastAsia" w:hint="eastAsia"/>
        </w:rPr>
        <w:t xml:space="preserve"> </w:t>
      </w:r>
      <w:r w:rsidRPr="006A1DBA">
        <w:rPr>
          <w:rFonts w:asciiTheme="minorEastAsia" w:eastAsiaTheme="minorEastAsia" w:hAnsiTheme="minorEastAsia" w:hint="eastAsia"/>
        </w:rPr>
        <w:t>檢方認為游男涉嫌運輸二級毒品，起訴後高雄地院</w:t>
      </w:r>
      <w:r>
        <w:rPr>
          <w:rFonts w:asciiTheme="minorEastAsia" w:eastAsiaTheme="minorEastAsia" w:hAnsiTheme="minorEastAsia" w:hint="eastAsia"/>
        </w:rPr>
        <w:t>第</w:t>
      </w:r>
      <w:r w:rsidRPr="006A1DBA">
        <w:rPr>
          <w:rFonts w:asciiTheme="minorEastAsia" w:eastAsiaTheme="minorEastAsia" w:hAnsiTheme="minorEastAsia" w:hint="eastAsia"/>
        </w:rPr>
        <w:t>一審判</w:t>
      </w:r>
      <w:r>
        <w:rPr>
          <w:rFonts w:asciiTheme="minorEastAsia" w:eastAsiaTheme="minorEastAsia" w:hAnsiTheme="minorEastAsia" w:hint="eastAsia"/>
        </w:rPr>
        <w:t>處有期</w:t>
      </w:r>
      <w:r w:rsidRPr="006A1DBA">
        <w:rPr>
          <w:rFonts w:asciiTheme="minorEastAsia" w:eastAsiaTheme="minorEastAsia" w:hAnsiTheme="minorEastAsia" w:hint="eastAsia"/>
        </w:rPr>
        <w:t>徒刑12年，</w:t>
      </w:r>
      <w:r>
        <w:rPr>
          <w:rFonts w:asciiTheme="minorEastAsia" w:eastAsiaTheme="minorEastAsia" w:hAnsiTheme="minorEastAsia" w:hint="eastAsia"/>
        </w:rPr>
        <w:t>第</w:t>
      </w:r>
      <w:r w:rsidRPr="006A1DBA">
        <w:rPr>
          <w:rFonts w:asciiTheme="minorEastAsia" w:eastAsiaTheme="minorEastAsia" w:hAnsiTheme="minorEastAsia" w:hint="eastAsia"/>
        </w:rPr>
        <w:t>二審</w:t>
      </w:r>
      <w:r>
        <w:rPr>
          <w:rFonts w:asciiTheme="minorEastAsia" w:eastAsiaTheme="minorEastAsia" w:hAnsiTheme="minorEastAsia" w:hint="eastAsia"/>
        </w:rPr>
        <w:t>撤銷第一審判決改處有期徒刑9年8月，</w:t>
      </w:r>
      <w:r w:rsidRPr="006A1DBA">
        <w:rPr>
          <w:rFonts w:asciiTheme="minorEastAsia" w:eastAsiaTheme="minorEastAsia" w:hAnsiTheme="minorEastAsia" w:hint="eastAsia"/>
        </w:rPr>
        <w:t>更一審</w:t>
      </w:r>
      <w:r>
        <w:rPr>
          <w:rFonts w:asciiTheme="minorEastAsia" w:eastAsiaTheme="minorEastAsia" w:hAnsiTheme="minorEastAsia" w:hint="eastAsia"/>
        </w:rPr>
        <w:t>維持第一審</w:t>
      </w:r>
      <w:r w:rsidRPr="006A1DBA">
        <w:rPr>
          <w:rFonts w:asciiTheme="minorEastAsia" w:eastAsiaTheme="minorEastAsia" w:hAnsiTheme="minorEastAsia" w:hint="eastAsia"/>
        </w:rPr>
        <w:t>判</w:t>
      </w:r>
      <w:r>
        <w:rPr>
          <w:rFonts w:asciiTheme="minorEastAsia" w:eastAsiaTheme="minorEastAsia" w:hAnsiTheme="minorEastAsia" w:hint="eastAsia"/>
        </w:rPr>
        <w:t>決</w:t>
      </w:r>
      <w:r w:rsidRPr="006A1DBA">
        <w:rPr>
          <w:rFonts w:asciiTheme="minorEastAsia" w:eastAsiaTheme="minorEastAsia" w:hAnsiTheme="minorEastAsia" w:hint="eastAsia"/>
        </w:rPr>
        <w:t>，但更二審時法官認為無證據指出游男有安排或參與走私案，逆轉改判無罪，檢方上訴最高</w:t>
      </w:r>
      <w:r>
        <w:rPr>
          <w:rFonts w:asciiTheme="minorEastAsia" w:eastAsiaTheme="minorEastAsia" w:hAnsiTheme="minorEastAsia" w:hint="eastAsia"/>
        </w:rPr>
        <w:t>法</w:t>
      </w:r>
      <w:r w:rsidRPr="006A1DBA">
        <w:rPr>
          <w:rFonts w:asciiTheme="minorEastAsia" w:eastAsiaTheme="minorEastAsia" w:hAnsiTheme="minorEastAsia" w:hint="eastAsia"/>
        </w:rPr>
        <w:t>院</w:t>
      </w:r>
      <w:r>
        <w:rPr>
          <w:rFonts w:asciiTheme="minorEastAsia" w:eastAsiaTheme="minorEastAsia" w:hAnsiTheme="minorEastAsia" w:hint="eastAsia"/>
        </w:rPr>
        <w:t>後</w:t>
      </w:r>
      <w:r w:rsidRPr="006A1DBA">
        <w:rPr>
          <w:rFonts w:asciiTheme="minorEastAsia" w:eastAsiaTheme="minorEastAsia" w:hAnsiTheme="minorEastAsia" w:hint="eastAsia"/>
        </w:rPr>
        <w:t>發回更審。</w:t>
      </w:r>
      <w:r>
        <w:rPr>
          <w:rFonts w:asciiTheme="minorEastAsia" w:eastAsiaTheme="minorEastAsia" w:hAnsiTheme="minorEastAsia" w:hint="eastAsia"/>
        </w:rPr>
        <w:t>更三</w:t>
      </w:r>
      <w:r w:rsidRPr="006A1DBA">
        <w:rPr>
          <w:rFonts w:asciiTheme="minorEastAsia" w:eastAsiaTheme="minorEastAsia" w:hAnsiTheme="minorEastAsia" w:hint="eastAsia"/>
        </w:rPr>
        <w:t>審法官認為，游男雖曾與運毒集團成員有接觸，但不足證明有參與運毒，而游男將運毒者綽號、連絡電話提供</w:t>
      </w:r>
      <w:r>
        <w:rPr>
          <w:rFonts w:asciiTheme="minorEastAsia" w:eastAsiaTheme="minorEastAsia" w:hAnsiTheme="minorEastAsia" w:hint="eastAsia"/>
        </w:rPr>
        <w:t>高雄</w:t>
      </w:r>
      <w:r w:rsidRPr="006A1DBA">
        <w:rPr>
          <w:rFonts w:asciiTheme="minorEastAsia" w:eastAsiaTheme="minorEastAsia" w:hAnsiTheme="minorEastAsia" w:hint="eastAsia"/>
        </w:rPr>
        <w:t>市調處，便於整合行動蒐集資料，是偵破全案</w:t>
      </w:r>
      <w:r>
        <w:rPr>
          <w:rFonts w:asciiTheme="minorEastAsia" w:eastAsiaTheme="minorEastAsia" w:hAnsiTheme="minorEastAsia" w:hint="eastAsia"/>
        </w:rPr>
        <w:t>之</w:t>
      </w:r>
      <w:r w:rsidRPr="006A1DBA">
        <w:rPr>
          <w:rFonts w:asciiTheme="minorEastAsia" w:eastAsiaTheme="minorEastAsia" w:hAnsiTheme="minorEastAsia" w:hint="eastAsia"/>
        </w:rPr>
        <w:t>關鍵，符合與檢方達成</w:t>
      </w:r>
      <w:r>
        <w:rPr>
          <w:rFonts w:asciiTheme="minorEastAsia" w:eastAsiaTheme="minorEastAsia" w:hAnsiTheme="minorEastAsia" w:hint="eastAsia"/>
        </w:rPr>
        <w:t>之</w:t>
      </w:r>
      <w:r w:rsidRPr="006A1DBA">
        <w:rPr>
          <w:rFonts w:asciiTheme="minorEastAsia" w:eastAsiaTheme="minorEastAsia" w:hAnsiTheme="minorEastAsia" w:hint="eastAsia"/>
        </w:rPr>
        <w:t>條件，最後以游</w:t>
      </w:r>
      <w:r>
        <w:rPr>
          <w:rFonts w:asciiTheme="minorEastAsia" w:eastAsiaTheme="minorEastAsia" w:hAnsiTheme="minorEastAsia" w:hint="eastAsia"/>
        </w:rPr>
        <w:t>男</w:t>
      </w:r>
      <w:r w:rsidRPr="006A1DBA">
        <w:rPr>
          <w:rFonts w:asciiTheme="minorEastAsia" w:eastAsiaTheme="minorEastAsia" w:hAnsiTheme="minorEastAsia" w:hint="eastAsia"/>
        </w:rPr>
        <w:t>參與運毒事證不足，維持無罪判</w:t>
      </w:r>
      <w:r>
        <w:rPr>
          <w:rFonts w:asciiTheme="minorEastAsia" w:eastAsiaTheme="minorEastAsia" w:hAnsiTheme="minorEastAsia" w:hint="eastAsia"/>
        </w:rPr>
        <w:t>決</w:t>
      </w:r>
      <w:r w:rsidRPr="006A1DBA">
        <w:rPr>
          <w:rFonts w:asciiTheme="minorEastAsia" w:eastAsiaTheme="minorEastAsia" w:hAnsiTheme="minorEastAsia" w:hint="eastAsia"/>
        </w:rPr>
        <w:t>，最高法院駁回</w:t>
      </w:r>
      <w:r>
        <w:rPr>
          <w:rFonts w:asciiTheme="minorEastAsia" w:eastAsiaTheme="minorEastAsia" w:hAnsiTheme="minorEastAsia" w:hint="eastAsia"/>
        </w:rPr>
        <w:t>上訴</w:t>
      </w:r>
      <w:r w:rsidRPr="006A1DBA">
        <w:rPr>
          <w:rFonts w:asciiTheme="minorEastAsia" w:eastAsiaTheme="minorEastAsia" w:hAnsiTheme="minorEastAsia" w:hint="eastAsia"/>
        </w:rPr>
        <w:t>確定。</w:t>
      </w:r>
    </w:p>
  </w:footnote>
  <w:footnote w:id="5">
    <w:p w:rsidR="00BB441F" w:rsidRPr="009243C6" w:rsidRDefault="00BB441F" w:rsidP="00D802C6">
      <w:pPr>
        <w:pStyle w:val="afb"/>
      </w:pPr>
      <w:r>
        <w:rPr>
          <w:rStyle w:val="afd"/>
        </w:rPr>
        <w:footnoteRef/>
      </w:r>
      <w:r>
        <w:rPr>
          <w:rFonts w:asciiTheme="minorEastAsia" w:eastAsiaTheme="minorEastAsia" w:hAnsiTheme="minorEastAsia" w:hint="eastAsia"/>
        </w:rPr>
        <w:t xml:space="preserve"> 該</w:t>
      </w:r>
      <w:r w:rsidRPr="009243C6">
        <w:rPr>
          <w:rFonts w:asciiTheme="minorEastAsia" w:eastAsiaTheme="minorEastAsia" w:hAnsiTheme="minorEastAsia" w:hint="eastAsia"/>
        </w:rPr>
        <w:t>判決於109年12月11日確定，有懲戒法院同年月14日判決確定證明書為憑。</w:t>
      </w:r>
    </w:p>
  </w:footnote>
  <w:footnote w:id="6">
    <w:p w:rsidR="00BB441F" w:rsidRDefault="00BB441F" w:rsidP="006F3C11">
      <w:pPr>
        <w:pStyle w:val="afb"/>
        <w:ind w:left="167" w:hangingChars="76" w:hanging="167"/>
      </w:pPr>
      <w:r>
        <w:rPr>
          <w:rStyle w:val="afd"/>
        </w:rPr>
        <w:footnoteRef/>
      </w:r>
      <w:r>
        <w:rPr>
          <w:rFonts w:hint="eastAsia"/>
        </w:rPr>
        <w:t xml:space="preserve"> </w:t>
      </w:r>
      <w:r w:rsidRPr="008A6218">
        <w:rPr>
          <w:rFonts w:asciiTheme="minorEastAsia" w:eastAsiaTheme="minorEastAsia" w:hAnsiTheme="minorEastAsia" w:hint="eastAsia"/>
        </w:rPr>
        <w:t>外勤調查處站分6個直轄市調查處級與16個調查站級(福建省調查處、基隆市調查站、宜蘭縣調查站、新竹市調查站、新竹縣調查站、苗栗縣調查站、彰化縣調查站、南投縣調查站、雲林縣調查站、嘉義市調查站、嘉義縣調查站、屏東縣調查站、花蓮縣調查站、臺東縣調查站、澎湖縣調查站及馬祖調查站)2個群組考核。</w:t>
      </w:r>
    </w:p>
  </w:footnote>
  <w:footnote w:id="7">
    <w:p w:rsidR="00BB441F" w:rsidRDefault="00BB441F" w:rsidP="006F3C11">
      <w:pPr>
        <w:pStyle w:val="afb"/>
        <w:ind w:left="167" w:hangingChars="76" w:hanging="167"/>
      </w:pPr>
      <w:r>
        <w:rPr>
          <w:rStyle w:val="afd"/>
        </w:rPr>
        <w:footnoteRef/>
      </w:r>
      <w:r>
        <w:rPr>
          <w:rFonts w:hint="eastAsia"/>
        </w:rPr>
        <w:t xml:space="preserve"> </w:t>
      </w:r>
      <w:r w:rsidRPr="00EA7468">
        <w:rPr>
          <w:rFonts w:asciiTheme="minorEastAsia" w:eastAsiaTheme="minorEastAsia" w:hAnsiTheme="minorEastAsia" w:hint="eastAsia"/>
        </w:rPr>
        <w:t>〈毒品防制工作績效評定要點〉第1點明定係依據〈法務部調查局外勤調查處站業務績效考核要點〉第2點第4項規定訂定之。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FF01E9"/>
    <w:multiLevelType w:val="hybridMultilevel"/>
    <w:tmpl w:val="87DC81CA"/>
    <w:lvl w:ilvl="0" w:tplc="153629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8D5369"/>
    <w:multiLevelType w:val="hybridMultilevel"/>
    <w:tmpl w:val="3CA62712"/>
    <w:lvl w:ilvl="0" w:tplc="68887F96">
      <w:start w:val="2"/>
      <w:numFmt w:val="decimal"/>
      <w:lvlText w:val="%1."/>
      <w:lvlJc w:val="left"/>
      <w:pPr>
        <w:ind w:left="133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2BA6053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20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40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6827"/>
        </w:tabs>
        <w:ind w:left="6082" w:hanging="695"/>
      </w:pPr>
      <w:rPr>
        <w:rFonts w:ascii="標楷體" w:eastAsia="標楷體" w:hint="eastAsia"/>
        <w:b w:val="0"/>
        <w:i w:val="0"/>
        <w:sz w:val="32"/>
      </w:rPr>
    </w:lvl>
    <w:lvl w:ilvl="1" w:tplc="04090019" w:tentative="1">
      <w:start w:val="1"/>
      <w:numFmt w:val="ideographTraditional"/>
      <w:lvlText w:val="%2、"/>
      <w:lvlJc w:val="left"/>
      <w:pPr>
        <w:tabs>
          <w:tab w:val="num" w:pos="6347"/>
        </w:tabs>
        <w:ind w:left="6347" w:hanging="480"/>
      </w:pPr>
    </w:lvl>
    <w:lvl w:ilvl="2" w:tplc="0409001B" w:tentative="1">
      <w:start w:val="1"/>
      <w:numFmt w:val="lowerRoman"/>
      <w:lvlText w:val="%3."/>
      <w:lvlJc w:val="right"/>
      <w:pPr>
        <w:tabs>
          <w:tab w:val="num" w:pos="6827"/>
        </w:tabs>
        <w:ind w:left="6827" w:hanging="480"/>
      </w:pPr>
    </w:lvl>
    <w:lvl w:ilvl="3" w:tplc="0409000F" w:tentative="1">
      <w:start w:val="1"/>
      <w:numFmt w:val="decimal"/>
      <w:lvlText w:val="%4."/>
      <w:lvlJc w:val="left"/>
      <w:pPr>
        <w:tabs>
          <w:tab w:val="num" w:pos="7307"/>
        </w:tabs>
        <w:ind w:left="7307" w:hanging="480"/>
      </w:pPr>
    </w:lvl>
    <w:lvl w:ilvl="4" w:tplc="04090019" w:tentative="1">
      <w:start w:val="1"/>
      <w:numFmt w:val="ideographTraditional"/>
      <w:lvlText w:val="%5、"/>
      <w:lvlJc w:val="left"/>
      <w:pPr>
        <w:tabs>
          <w:tab w:val="num" w:pos="7787"/>
        </w:tabs>
        <w:ind w:left="7787" w:hanging="480"/>
      </w:pPr>
    </w:lvl>
    <w:lvl w:ilvl="5" w:tplc="0409001B" w:tentative="1">
      <w:start w:val="1"/>
      <w:numFmt w:val="lowerRoman"/>
      <w:lvlText w:val="%6."/>
      <w:lvlJc w:val="right"/>
      <w:pPr>
        <w:tabs>
          <w:tab w:val="num" w:pos="8267"/>
        </w:tabs>
        <w:ind w:left="8267" w:hanging="480"/>
      </w:pPr>
    </w:lvl>
    <w:lvl w:ilvl="6" w:tplc="0409000F" w:tentative="1">
      <w:start w:val="1"/>
      <w:numFmt w:val="decimal"/>
      <w:lvlText w:val="%7."/>
      <w:lvlJc w:val="left"/>
      <w:pPr>
        <w:tabs>
          <w:tab w:val="num" w:pos="8747"/>
        </w:tabs>
        <w:ind w:left="8747" w:hanging="480"/>
      </w:pPr>
    </w:lvl>
    <w:lvl w:ilvl="7" w:tplc="04090019" w:tentative="1">
      <w:start w:val="1"/>
      <w:numFmt w:val="ideographTraditional"/>
      <w:lvlText w:val="%8、"/>
      <w:lvlJc w:val="left"/>
      <w:pPr>
        <w:tabs>
          <w:tab w:val="num" w:pos="9227"/>
        </w:tabs>
        <w:ind w:left="9227" w:hanging="480"/>
      </w:pPr>
    </w:lvl>
    <w:lvl w:ilvl="8" w:tplc="0409001B" w:tentative="1">
      <w:start w:val="1"/>
      <w:numFmt w:val="lowerRoman"/>
      <w:lvlText w:val="%9."/>
      <w:lvlJc w:val="right"/>
      <w:pPr>
        <w:tabs>
          <w:tab w:val="num" w:pos="9707"/>
        </w:tabs>
        <w:ind w:left="9707" w:hanging="480"/>
      </w:pPr>
    </w:lvl>
  </w:abstractNum>
  <w:abstractNum w:abstractNumId="5" w15:restartNumberingAfterBreak="0">
    <w:nsid w:val="255C76AC"/>
    <w:multiLevelType w:val="hybridMultilevel"/>
    <w:tmpl w:val="FA94B0A0"/>
    <w:lvl w:ilvl="0" w:tplc="3336F12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FF95677"/>
    <w:multiLevelType w:val="hybridMultilevel"/>
    <w:tmpl w:val="87DC81CA"/>
    <w:lvl w:ilvl="0" w:tplc="153629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6B63D4"/>
    <w:multiLevelType w:val="hybridMultilevel"/>
    <w:tmpl w:val="FF4225F6"/>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8"/>
  </w:num>
  <w:num w:numId="23">
    <w:abstractNumId w:val="6"/>
  </w:num>
  <w:num w:numId="24">
    <w:abstractNumId w:val="10"/>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11"/>
  </w:num>
  <w:num w:numId="30">
    <w:abstractNumId w:val="7"/>
  </w:num>
  <w:num w:numId="31">
    <w:abstractNumId w:val="7"/>
  </w:num>
  <w:num w:numId="32">
    <w:abstractNumId w:val="3"/>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
  </w:num>
  <w:num w:numId="36">
    <w:abstractNumId w:val="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C7A"/>
    <w:rsid w:val="00003C90"/>
    <w:rsid w:val="0000411F"/>
    <w:rsid w:val="000061E6"/>
    <w:rsid w:val="00006961"/>
    <w:rsid w:val="00006B96"/>
    <w:rsid w:val="000070D7"/>
    <w:rsid w:val="000100C4"/>
    <w:rsid w:val="000112BF"/>
    <w:rsid w:val="00012233"/>
    <w:rsid w:val="00012DBE"/>
    <w:rsid w:val="000155DF"/>
    <w:rsid w:val="00015BEA"/>
    <w:rsid w:val="00017318"/>
    <w:rsid w:val="000202D6"/>
    <w:rsid w:val="000206BF"/>
    <w:rsid w:val="000234FB"/>
    <w:rsid w:val="0002385F"/>
    <w:rsid w:val="00023A8D"/>
    <w:rsid w:val="00023E2A"/>
    <w:rsid w:val="000240E5"/>
    <w:rsid w:val="000246F7"/>
    <w:rsid w:val="000248D8"/>
    <w:rsid w:val="000255B8"/>
    <w:rsid w:val="00025FE1"/>
    <w:rsid w:val="00027F68"/>
    <w:rsid w:val="0003114D"/>
    <w:rsid w:val="00032468"/>
    <w:rsid w:val="00032821"/>
    <w:rsid w:val="00032ACE"/>
    <w:rsid w:val="000351CF"/>
    <w:rsid w:val="00036D76"/>
    <w:rsid w:val="0003765A"/>
    <w:rsid w:val="00037874"/>
    <w:rsid w:val="000419D3"/>
    <w:rsid w:val="00042286"/>
    <w:rsid w:val="000441E3"/>
    <w:rsid w:val="00044C64"/>
    <w:rsid w:val="0005026A"/>
    <w:rsid w:val="000503E5"/>
    <w:rsid w:val="0005107B"/>
    <w:rsid w:val="00052C17"/>
    <w:rsid w:val="00052F62"/>
    <w:rsid w:val="0005472F"/>
    <w:rsid w:val="00055263"/>
    <w:rsid w:val="00055753"/>
    <w:rsid w:val="00056B17"/>
    <w:rsid w:val="00057F32"/>
    <w:rsid w:val="00061518"/>
    <w:rsid w:val="00062A25"/>
    <w:rsid w:val="000630E5"/>
    <w:rsid w:val="00063CB5"/>
    <w:rsid w:val="00067FC3"/>
    <w:rsid w:val="00072BBB"/>
    <w:rsid w:val="00072FC3"/>
    <w:rsid w:val="000732A4"/>
    <w:rsid w:val="00073CB5"/>
    <w:rsid w:val="0007425C"/>
    <w:rsid w:val="000757BA"/>
    <w:rsid w:val="00075B1B"/>
    <w:rsid w:val="0007699E"/>
    <w:rsid w:val="00077553"/>
    <w:rsid w:val="00081123"/>
    <w:rsid w:val="00083FA6"/>
    <w:rsid w:val="000851A2"/>
    <w:rsid w:val="00085B27"/>
    <w:rsid w:val="00086BA7"/>
    <w:rsid w:val="00087058"/>
    <w:rsid w:val="0009165B"/>
    <w:rsid w:val="000927D1"/>
    <w:rsid w:val="00092ECF"/>
    <w:rsid w:val="0009352E"/>
    <w:rsid w:val="00094CED"/>
    <w:rsid w:val="00095A74"/>
    <w:rsid w:val="00096B96"/>
    <w:rsid w:val="000A05A0"/>
    <w:rsid w:val="000A0A67"/>
    <w:rsid w:val="000A1CAF"/>
    <w:rsid w:val="000A2ADB"/>
    <w:rsid w:val="000A2F3F"/>
    <w:rsid w:val="000A4A55"/>
    <w:rsid w:val="000A721E"/>
    <w:rsid w:val="000A78D9"/>
    <w:rsid w:val="000A7D85"/>
    <w:rsid w:val="000B0B4A"/>
    <w:rsid w:val="000B0F92"/>
    <w:rsid w:val="000B279A"/>
    <w:rsid w:val="000B2F42"/>
    <w:rsid w:val="000B3A5A"/>
    <w:rsid w:val="000B3AC8"/>
    <w:rsid w:val="000B4D3D"/>
    <w:rsid w:val="000B567D"/>
    <w:rsid w:val="000B5714"/>
    <w:rsid w:val="000B61D2"/>
    <w:rsid w:val="000B653C"/>
    <w:rsid w:val="000B70A7"/>
    <w:rsid w:val="000C19F3"/>
    <w:rsid w:val="000C495F"/>
    <w:rsid w:val="000C534E"/>
    <w:rsid w:val="000C7441"/>
    <w:rsid w:val="000C78EB"/>
    <w:rsid w:val="000D003B"/>
    <w:rsid w:val="000D1CFB"/>
    <w:rsid w:val="000D5A47"/>
    <w:rsid w:val="000D5DC0"/>
    <w:rsid w:val="000E1769"/>
    <w:rsid w:val="000E2467"/>
    <w:rsid w:val="000E3051"/>
    <w:rsid w:val="000E41A0"/>
    <w:rsid w:val="000E45D3"/>
    <w:rsid w:val="000E6431"/>
    <w:rsid w:val="000E68AE"/>
    <w:rsid w:val="000E6C8C"/>
    <w:rsid w:val="000F02C9"/>
    <w:rsid w:val="000F06F8"/>
    <w:rsid w:val="000F1C3D"/>
    <w:rsid w:val="000F21A5"/>
    <w:rsid w:val="000F3DCE"/>
    <w:rsid w:val="000F4A67"/>
    <w:rsid w:val="000F4C2B"/>
    <w:rsid w:val="000F5586"/>
    <w:rsid w:val="000F613E"/>
    <w:rsid w:val="0010276E"/>
    <w:rsid w:val="00102B9F"/>
    <w:rsid w:val="00102D42"/>
    <w:rsid w:val="0010391E"/>
    <w:rsid w:val="00103970"/>
    <w:rsid w:val="001039D8"/>
    <w:rsid w:val="00104BD0"/>
    <w:rsid w:val="00105A7E"/>
    <w:rsid w:val="001124BF"/>
    <w:rsid w:val="00112637"/>
    <w:rsid w:val="00112ABC"/>
    <w:rsid w:val="00112C18"/>
    <w:rsid w:val="00113346"/>
    <w:rsid w:val="00113966"/>
    <w:rsid w:val="00115F6F"/>
    <w:rsid w:val="001172D1"/>
    <w:rsid w:val="00117946"/>
    <w:rsid w:val="00117CBA"/>
    <w:rsid w:val="0012001E"/>
    <w:rsid w:val="001223A5"/>
    <w:rsid w:val="00123205"/>
    <w:rsid w:val="001265AE"/>
    <w:rsid w:val="00126779"/>
    <w:rsid w:val="00126A55"/>
    <w:rsid w:val="00130568"/>
    <w:rsid w:val="00131081"/>
    <w:rsid w:val="00131ACA"/>
    <w:rsid w:val="0013218A"/>
    <w:rsid w:val="00132E05"/>
    <w:rsid w:val="001333A1"/>
    <w:rsid w:val="00133F08"/>
    <w:rsid w:val="00134257"/>
    <w:rsid w:val="001345E6"/>
    <w:rsid w:val="00135971"/>
    <w:rsid w:val="00136B6E"/>
    <w:rsid w:val="001378B0"/>
    <w:rsid w:val="001406A9"/>
    <w:rsid w:val="00142E00"/>
    <w:rsid w:val="001434D5"/>
    <w:rsid w:val="001476E6"/>
    <w:rsid w:val="00152793"/>
    <w:rsid w:val="00153B7E"/>
    <w:rsid w:val="001543FB"/>
    <w:rsid w:val="001545A9"/>
    <w:rsid w:val="001546EC"/>
    <w:rsid w:val="00154792"/>
    <w:rsid w:val="00154A7F"/>
    <w:rsid w:val="00154B76"/>
    <w:rsid w:val="00155B01"/>
    <w:rsid w:val="0016059B"/>
    <w:rsid w:val="001607CB"/>
    <w:rsid w:val="00160D33"/>
    <w:rsid w:val="00161686"/>
    <w:rsid w:val="00162917"/>
    <w:rsid w:val="00162F97"/>
    <w:rsid w:val="00163009"/>
    <w:rsid w:val="001637C7"/>
    <w:rsid w:val="00163C1F"/>
    <w:rsid w:val="0016480E"/>
    <w:rsid w:val="001672F3"/>
    <w:rsid w:val="001727EC"/>
    <w:rsid w:val="00174297"/>
    <w:rsid w:val="00174B66"/>
    <w:rsid w:val="00175150"/>
    <w:rsid w:val="00175427"/>
    <w:rsid w:val="00175ACA"/>
    <w:rsid w:val="00180E06"/>
    <w:rsid w:val="001817B3"/>
    <w:rsid w:val="00183014"/>
    <w:rsid w:val="001832DF"/>
    <w:rsid w:val="001841E3"/>
    <w:rsid w:val="00187218"/>
    <w:rsid w:val="00187225"/>
    <w:rsid w:val="0019008A"/>
    <w:rsid w:val="00191168"/>
    <w:rsid w:val="00192F28"/>
    <w:rsid w:val="001949A6"/>
    <w:rsid w:val="001959C2"/>
    <w:rsid w:val="00196343"/>
    <w:rsid w:val="00196BD9"/>
    <w:rsid w:val="001974E5"/>
    <w:rsid w:val="001977C0"/>
    <w:rsid w:val="001A01BD"/>
    <w:rsid w:val="001A02AD"/>
    <w:rsid w:val="001A0710"/>
    <w:rsid w:val="001A51E3"/>
    <w:rsid w:val="001A62A8"/>
    <w:rsid w:val="001A77EE"/>
    <w:rsid w:val="001A7968"/>
    <w:rsid w:val="001B13F7"/>
    <w:rsid w:val="001B19E5"/>
    <w:rsid w:val="001B2E98"/>
    <w:rsid w:val="001B3483"/>
    <w:rsid w:val="001B3C1E"/>
    <w:rsid w:val="001B4228"/>
    <w:rsid w:val="001B4494"/>
    <w:rsid w:val="001B5B89"/>
    <w:rsid w:val="001B6063"/>
    <w:rsid w:val="001B6189"/>
    <w:rsid w:val="001B6456"/>
    <w:rsid w:val="001B790A"/>
    <w:rsid w:val="001C0D8B"/>
    <w:rsid w:val="001C0DA8"/>
    <w:rsid w:val="001C14A1"/>
    <w:rsid w:val="001C1789"/>
    <w:rsid w:val="001C1D3D"/>
    <w:rsid w:val="001C2365"/>
    <w:rsid w:val="001C2474"/>
    <w:rsid w:val="001C4913"/>
    <w:rsid w:val="001C5D1C"/>
    <w:rsid w:val="001C6EB3"/>
    <w:rsid w:val="001C75F6"/>
    <w:rsid w:val="001D05F4"/>
    <w:rsid w:val="001D182D"/>
    <w:rsid w:val="001D374B"/>
    <w:rsid w:val="001D4AD7"/>
    <w:rsid w:val="001D6AC4"/>
    <w:rsid w:val="001D759E"/>
    <w:rsid w:val="001E0727"/>
    <w:rsid w:val="001E0A18"/>
    <w:rsid w:val="001E0D8A"/>
    <w:rsid w:val="001E1F3D"/>
    <w:rsid w:val="001E3D63"/>
    <w:rsid w:val="001E4177"/>
    <w:rsid w:val="001E5420"/>
    <w:rsid w:val="001E67BA"/>
    <w:rsid w:val="001E691F"/>
    <w:rsid w:val="001E6F42"/>
    <w:rsid w:val="001E7179"/>
    <w:rsid w:val="001E74C2"/>
    <w:rsid w:val="001E7E13"/>
    <w:rsid w:val="001F010B"/>
    <w:rsid w:val="001F1491"/>
    <w:rsid w:val="001F183D"/>
    <w:rsid w:val="001F5A48"/>
    <w:rsid w:val="001F6260"/>
    <w:rsid w:val="001F7B76"/>
    <w:rsid w:val="00200007"/>
    <w:rsid w:val="00200DD8"/>
    <w:rsid w:val="00201297"/>
    <w:rsid w:val="002030A5"/>
    <w:rsid w:val="00203131"/>
    <w:rsid w:val="002035EE"/>
    <w:rsid w:val="002036FD"/>
    <w:rsid w:val="00203A59"/>
    <w:rsid w:val="00203D2D"/>
    <w:rsid w:val="002064C1"/>
    <w:rsid w:val="00206AE5"/>
    <w:rsid w:val="00210320"/>
    <w:rsid w:val="0021156F"/>
    <w:rsid w:val="0021160F"/>
    <w:rsid w:val="002120B2"/>
    <w:rsid w:val="002129F0"/>
    <w:rsid w:val="00212D6F"/>
    <w:rsid w:val="00212E73"/>
    <w:rsid w:val="00212E88"/>
    <w:rsid w:val="00213C9C"/>
    <w:rsid w:val="002140F1"/>
    <w:rsid w:val="00214E43"/>
    <w:rsid w:val="0021550D"/>
    <w:rsid w:val="00216C27"/>
    <w:rsid w:val="0022009E"/>
    <w:rsid w:val="002213CB"/>
    <w:rsid w:val="0022307B"/>
    <w:rsid w:val="00223241"/>
    <w:rsid w:val="0022425C"/>
    <w:rsid w:val="002246DE"/>
    <w:rsid w:val="00224F7D"/>
    <w:rsid w:val="00230C05"/>
    <w:rsid w:val="00231B2E"/>
    <w:rsid w:val="002335F9"/>
    <w:rsid w:val="00234893"/>
    <w:rsid w:val="00235567"/>
    <w:rsid w:val="00235805"/>
    <w:rsid w:val="00235C0C"/>
    <w:rsid w:val="00235C3F"/>
    <w:rsid w:val="002369D6"/>
    <w:rsid w:val="002411A2"/>
    <w:rsid w:val="0024259C"/>
    <w:rsid w:val="0024283C"/>
    <w:rsid w:val="00242FE6"/>
    <w:rsid w:val="00245B6A"/>
    <w:rsid w:val="002463E5"/>
    <w:rsid w:val="002467A3"/>
    <w:rsid w:val="0024716B"/>
    <w:rsid w:val="00247404"/>
    <w:rsid w:val="00251DA8"/>
    <w:rsid w:val="00252BC4"/>
    <w:rsid w:val="0025308B"/>
    <w:rsid w:val="00253539"/>
    <w:rsid w:val="002538EC"/>
    <w:rsid w:val="00253FF0"/>
    <w:rsid w:val="00254014"/>
    <w:rsid w:val="002546BB"/>
    <w:rsid w:val="002556F1"/>
    <w:rsid w:val="00255D2D"/>
    <w:rsid w:val="0025617A"/>
    <w:rsid w:val="00257478"/>
    <w:rsid w:val="002600C4"/>
    <w:rsid w:val="00260688"/>
    <w:rsid w:val="0026299A"/>
    <w:rsid w:val="0026504D"/>
    <w:rsid w:val="002729AE"/>
    <w:rsid w:val="00272EAD"/>
    <w:rsid w:val="00273A2F"/>
    <w:rsid w:val="00273D62"/>
    <w:rsid w:val="00274D8E"/>
    <w:rsid w:val="0027760C"/>
    <w:rsid w:val="002806D0"/>
    <w:rsid w:val="002808DB"/>
    <w:rsid w:val="00280986"/>
    <w:rsid w:val="0028153F"/>
    <w:rsid w:val="00281BEA"/>
    <w:rsid w:val="00281BF6"/>
    <w:rsid w:val="00281ECE"/>
    <w:rsid w:val="002831C7"/>
    <w:rsid w:val="002840C6"/>
    <w:rsid w:val="0028643E"/>
    <w:rsid w:val="00287A9C"/>
    <w:rsid w:val="002923A8"/>
    <w:rsid w:val="002932D7"/>
    <w:rsid w:val="00293776"/>
    <w:rsid w:val="00294277"/>
    <w:rsid w:val="00295174"/>
    <w:rsid w:val="00296172"/>
    <w:rsid w:val="00296193"/>
    <w:rsid w:val="00296222"/>
    <w:rsid w:val="002962B9"/>
    <w:rsid w:val="00296B92"/>
    <w:rsid w:val="002A0119"/>
    <w:rsid w:val="002A1162"/>
    <w:rsid w:val="002A13A2"/>
    <w:rsid w:val="002A14D8"/>
    <w:rsid w:val="002A2945"/>
    <w:rsid w:val="002A2C22"/>
    <w:rsid w:val="002A46F5"/>
    <w:rsid w:val="002A5909"/>
    <w:rsid w:val="002B02EB"/>
    <w:rsid w:val="002B06AC"/>
    <w:rsid w:val="002B2E2B"/>
    <w:rsid w:val="002B336E"/>
    <w:rsid w:val="002B3740"/>
    <w:rsid w:val="002B44F6"/>
    <w:rsid w:val="002B582E"/>
    <w:rsid w:val="002B6A12"/>
    <w:rsid w:val="002C0602"/>
    <w:rsid w:val="002C196C"/>
    <w:rsid w:val="002C1B35"/>
    <w:rsid w:val="002C428C"/>
    <w:rsid w:val="002C4325"/>
    <w:rsid w:val="002C44C6"/>
    <w:rsid w:val="002D09B1"/>
    <w:rsid w:val="002D3B24"/>
    <w:rsid w:val="002D5444"/>
    <w:rsid w:val="002D5C16"/>
    <w:rsid w:val="002D6EF5"/>
    <w:rsid w:val="002D749D"/>
    <w:rsid w:val="002D7ADB"/>
    <w:rsid w:val="002E46FD"/>
    <w:rsid w:val="002E5C7B"/>
    <w:rsid w:val="002E5EDF"/>
    <w:rsid w:val="002E6263"/>
    <w:rsid w:val="002E64A4"/>
    <w:rsid w:val="002E67E3"/>
    <w:rsid w:val="002E72AE"/>
    <w:rsid w:val="002F02A8"/>
    <w:rsid w:val="002F0A0C"/>
    <w:rsid w:val="002F24B1"/>
    <w:rsid w:val="002F3DFF"/>
    <w:rsid w:val="002F5E05"/>
    <w:rsid w:val="002F5E83"/>
    <w:rsid w:val="003008C2"/>
    <w:rsid w:val="0030103B"/>
    <w:rsid w:val="003019C3"/>
    <w:rsid w:val="003023A5"/>
    <w:rsid w:val="00304ADA"/>
    <w:rsid w:val="00305983"/>
    <w:rsid w:val="0030745A"/>
    <w:rsid w:val="003106AB"/>
    <w:rsid w:val="00311A8D"/>
    <w:rsid w:val="00312F0B"/>
    <w:rsid w:val="00315A16"/>
    <w:rsid w:val="00317053"/>
    <w:rsid w:val="00317CB0"/>
    <w:rsid w:val="00320161"/>
    <w:rsid w:val="0032109C"/>
    <w:rsid w:val="00322B45"/>
    <w:rsid w:val="00323809"/>
    <w:rsid w:val="00323D41"/>
    <w:rsid w:val="00324870"/>
    <w:rsid w:val="00325414"/>
    <w:rsid w:val="00326A1C"/>
    <w:rsid w:val="003302F1"/>
    <w:rsid w:val="00330DA1"/>
    <w:rsid w:val="00331B3D"/>
    <w:rsid w:val="00331C35"/>
    <w:rsid w:val="00333066"/>
    <w:rsid w:val="00333DB9"/>
    <w:rsid w:val="00336689"/>
    <w:rsid w:val="00336C6E"/>
    <w:rsid w:val="00340913"/>
    <w:rsid w:val="00341392"/>
    <w:rsid w:val="0034150A"/>
    <w:rsid w:val="0034470E"/>
    <w:rsid w:val="00346369"/>
    <w:rsid w:val="00347884"/>
    <w:rsid w:val="00352DB0"/>
    <w:rsid w:val="00353912"/>
    <w:rsid w:val="00354434"/>
    <w:rsid w:val="00354F1D"/>
    <w:rsid w:val="00355806"/>
    <w:rsid w:val="00361063"/>
    <w:rsid w:val="00362FBD"/>
    <w:rsid w:val="00363282"/>
    <w:rsid w:val="00363B84"/>
    <w:rsid w:val="00363BBF"/>
    <w:rsid w:val="0036420D"/>
    <w:rsid w:val="003646DA"/>
    <w:rsid w:val="0036578E"/>
    <w:rsid w:val="0037005A"/>
    <w:rsid w:val="0037094A"/>
    <w:rsid w:val="00371041"/>
    <w:rsid w:val="00371531"/>
    <w:rsid w:val="00371B34"/>
    <w:rsid w:val="00371C1F"/>
    <w:rsid w:val="00371ED3"/>
    <w:rsid w:val="00372D6A"/>
    <w:rsid w:val="00372FFC"/>
    <w:rsid w:val="00375D03"/>
    <w:rsid w:val="0037728A"/>
    <w:rsid w:val="00380304"/>
    <w:rsid w:val="003806E5"/>
    <w:rsid w:val="0038085F"/>
    <w:rsid w:val="00380B7D"/>
    <w:rsid w:val="00381A99"/>
    <w:rsid w:val="0038208F"/>
    <w:rsid w:val="003829C2"/>
    <w:rsid w:val="00382F3A"/>
    <w:rsid w:val="003830B2"/>
    <w:rsid w:val="00384724"/>
    <w:rsid w:val="00384C57"/>
    <w:rsid w:val="00385ED4"/>
    <w:rsid w:val="00385EF0"/>
    <w:rsid w:val="0038767B"/>
    <w:rsid w:val="00387970"/>
    <w:rsid w:val="003919B7"/>
    <w:rsid w:val="00391D57"/>
    <w:rsid w:val="00391E2E"/>
    <w:rsid w:val="00392292"/>
    <w:rsid w:val="00392BA5"/>
    <w:rsid w:val="00393D14"/>
    <w:rsid w:val="00394FF9"/>
    <w:rsid w:val="00395277"/>
    <w:rsid w:val="00397310"/>
    <w:rsid w:val="003973E4"/>
    <w:rsid w:val="003A27D4"/>
    <w:rsid w:val="003A4523"/>
    <w:rsid w:val="003A614B"/>
    <w:rsid w:val="003A7BFC"/>
    <w:rsid w:val="003B1017"/>
    <w:rsid w:val="003B107E"/>
    <w:rsid w:val="003B14AC"/>
    <w:rsid w:val="003B16BE"/>
    <w:rsid w:val="003B2987"/>
    <w:rsid w:val="003B3C07"/>
    <w:rsid w:val="003B434C"/>
    <w:rsid w:val="003B59C9"/>
    <w:rsid w:val="003B5C3B"/>
    <w:rsid w:val="003B6775"/>
    <w:rsid w:val="003B6958"/>
    <w:rsid w:val="003C11AA"/>
    <w:rsid w:val="003C22E1"/>
    <w:rsid w:val="003C42A1"/>
    <w:rsid w:val="003C44B8"/>
    <w:rsid w:val="003C5234"/>
    <w:rsid w:val="003C5316"/>
    <w:rsid w:val="003C5FE2"/>
    <w:rsid w:val="003C64AD"/>
    <w:rsid w:val="003D05FB"/>
    <w:rsid w:val="003D086C"/>
    <w:rsid w:val="003D1059"/>
    <w:rsid w:val="003D13C4"/>
    <w:rsid w:val="003D1B16"/>
    <w:rsid w:val="003D284E"/>
    <w:rsid w:val="003D41EA"/>
    <w:rsid w:val="003D42C3"/>
    <w:rsid w:val="003D45BF"/>
    <w:rsid w:val="003D508A"/>
    <w:rsid w:val="003D537F"/>
    <w:rsid w:val="003D56F8"/>
    <w:rsid w:val="003D63BF"/>
    <w:rsid w:val="003D6F88"/>
    <w:rsid w:val="003D7B75"/>
    <w:rsid w:val="003E0208"/>
    <w:rsid w:val="003E3188"/>
    <w:rsid w:val="003E33D2"/>
    <w:rsid w:val="003E4B57"/>
    <w:rsid w:val="003E58A4"/>
    <w:rsid w:val="003E6424"/>
    <w:rsid w:val="003E7D65"/>
    <w:rsid w:val="003E7FD4"/>
    <w:rsid w:val="003F0A2F"/>
    <w:rsid w:val="003F0B9E"/>
    <w:rsid w:val="003F1755"/>
    <w:rsid w:val="003F1ADD"/>
    <w:rsid w:val="003F27E1"/>
    <w:rsid w:val="003F437A"/>
    <w:rsid w:val="003F51C8"/>
    <w:rsid w:val="003F5C2B"/>
    <w:rsid w:val="003F6038"/>
    <w:rsid w:val="003F6C8D"/>
    <w:rsid w:val="003F7264"/>
    <w:rsid w:val="004023E9"/>
    <w:rsid w:val="00403380"/>
    <w:rsid w:val="0040454A"/>
    <w:rsid w:val="00404807"/>
    <w:rsid w:val="004053F1"/>
    <w:rsid w:val="00413F83"/>
    <w:rsid w:val="0041490C"/>
    <w:rsid w:val="00414AF6"/>
    <w:rsid w:val="00416191"/>
    <w:rsid w:val="00416721"/>
    <w:rsid w:val="00416F51"/>
    <w:rsid w:val="00421EF0"/>
    <w:rsid w:val="004224FA"/>
    <w:rsid w:val="00423109"/>
    <w:rsid w:val="00423D07"/>
    <w:rsid w:val="00424EB5"/>
    <w:rsid w:val="00426B2C"/>
    <w:rsid w:val="004316A3"/>
    <w:rsid w:val="00431B54"/>
    <w:rsid w:val="0043299A"/>
    <w:rsid w:val="0043407F"/>
    <w:rsid w:val="004347C4"/>
    <w:rsid w:val="00434FCE"/>
    <w:rsid w:val="00435FA3"/>
    <w:rsid w:val="00436239"/>
    <w:rsid w:val="0043735F"/>
    <w:rsid w:val="004379D3"/>
    <w:rsid w:val="00437C82"/>
    <w:rsid w:val="00440501"/>
    <w:rsid w:val="00440E7D"/>
    <w:rsid w:val="00441668"/>
    <w:rsid w:val="004418C0"/>
    <w:rsid w:val="00441DE3"/>
    <w:rsid w:val="00442B92"/>
    <w:rsid w:val="0044346F"/>
    <w:rsid w:val="004437D5"/>
    <w:rsid w:val="00444710"/>
    <w:rsid w:val="00446F3F"/>
    <w:rsid w:val="004479EF"/>
    <w:rsid w:val="00447ACC"/>
    <w:rsid w:val="00450EC8"/>
    <w:rsid w:val="0045109D"/>
    <w:rsid w:val="00451B1A"/>
    <w:rsid w:val="004523F3"/>
    <w:rsid w:val="00452D34"/>
    <w:rsid w:val="00453757"/>
    <w:rsid w:val="004546E6"/>
    <w:rsid w:val="00455286"/>
    <w:rsid w:val="0045623D"/>
    <w:rsid w:val="00456BC0"/>
    <w:rsid w:val="00456CB5"/>
    <w:rsid w:val="0045787A"/>
    <w:rsid w:val="004613CF"/>
    <w:rsid w:val="00461F71"/>
    <w:rsid w:val="00463046"/>
    <w:rsid w:val="00464B83"/>
    <w:rsid w:val="00464DAA"/>
    <w:rsid w:val="0046520A"/>
    <w:rsid w:val="00465CD1"/>
    <w:rsid w:val="004672AB"/>
    <w:rsid w:val="004714FE"/>
    <w:rsid w:val="00472185"/>
    <w:rsid w:val="0047498C"/>
    <w:rsid w:val="00474D9F"/>
    <w:rsid w:val="0047559A"/>
    <w:rsid w:val="00475F4E"/>
    <w:rsid w:val="0047648D"/>
    <w:rsid w:val="00477BAA"/>
    <w:rsid w:val="00480BC6"/>
    <w:rsid w:val="00481269"/>
    <w:rsid w:val="004812E8"/>
    <w:rsid w:val="00483E41"/>
    <w:rsid w:val="00485597"/>
    <w:rsid w:val="00491122"/>
    <w:rsid w:val="00491A48"/>
    <w:rsid w:val="00495053"/>
    <w:rsid w:val="0049551E"/>
    <w:rsid w:val="004969F3"/>
    <w:rsid w:val="0049724C"/>
    <w:rsid w:val="004975C9"/>
    <w:rsid w:val="004A0DDF"/>
    <w:rsid w:val="004A12C3"/>
    <w:rsid w:val="004A1490"/>
    <w:rsid w:val="004A14F1"/>
    <w:rsid w:val="004A17C8"/>
    <w:rsid w:val="004A1F59"/>
    <w:rsid w:val="004A29BE"/>
    <w:rsid w:val="004A2CE1"/>
    <w:rsid w:val="004A3225"/>
    <w:rsid w:val="004A33EE"/>
    <w:rsid w:val="004A3AA8"/>
    <w:rsid w:val="004A640E"/>
    <w:rsid w:val="004A772E"/>
    <w:rsid w:val="004A77DA"/>
    <w:rsid w:val="004A7BA3"/>
    <w:rsid w:val="004B0C3B"/>
    <w:rsid w:val="004B13C7"/>
    <w:rsid w:val="004B1B48"/>
    <w:rsid w:val="004B1F0D"/>
    <w:rsid w:val="004B1F61"/>
    <w:rsid w:val="004B2622"/>
    <w:rsid w:val="004B4300"/>
    <w:rsid w:val="004B721D"/>
    <w:rsid w:val="004B778F"/>
    <w:rsid w:val="004B7830"/>
    <w:rsid w:val="004B78A3"/>
    <w:rsid w:val="004B7CFE"/>
    <w:rsid w:val="004C51B6"/>
    <w:rsid w:val="004C6316"/>
    <w:rsid w:val="004D0DFE"/>
    <w:rsid w:val="004D141F"/>
    <w:rsid w:val="004D16C2"/>
    <w:rsid w:val="004D2742"/>
    <w:rsid w:val="004D4740"/>
    <w:rsid w:val="004D6310"/>
    <w:rsid w:val="004D6E35"/>
    <w:rsid w:val="004D7369"/>
    <w:rsid w:val="004D7CFD"/>
    <w:rsid w:val="004E0062"/>
    <w:rsid w:val="004E05A1"/>
    <w:rsid w:val="004E11E0"/>
    <w:rsid w:val="004E1D41"/>
    <w:rsid w:val="004E2D5C"/>
    <w:rsid w:val="004E45E9"/>
    <w:rsid w:val="004E4A16"/>
    <w:rsid w:val="004E68DF"/>
    <w:rsid w:val="004F1496"/>
    <w:rsid w:val="004F46D6"/>
    <w:rsid w:val="004F5E57"/>
    <w:rsid w:val="004F6710"/>
    <w:rsid w:val="00500ABD"/>
    <w:rsid w:val="00500C3E"/>
    <w:rsid w:val="005020ED"/>
    <w:rsid w:val="00502849"/>
    <w:rsid w:val="00503155"/>
    <w:rsid w:val="005035C4"/>
    <w:rsid w:val="00504334"/>
    <w:rsid w:val="005043D2"/>
    <w:rsid w:val="0050498D"/>
    <w:rsid w:val="005049EA"/>
    <w:rsid w:val="00505A37"/>
    <w:rsid w:val="005074A5"/>
    <w:rsid w:val="005104D7"/>
    <w:rsid w:val="00510B9E"/>
    <w:rsid w:val="00510FEB"/>
    <w:rsid w:val="0051265C"/>
    <w:rsid w:val="00512E65"/>
    <w:rsid w:val="00513194"/>
    <w:rsid w:val="005140E4"/>
    <w:rsid w:val="00514191"/>
    <w:rsid w:val="00514D92"/>
    <w:rsid w:val="00515155"/>
    <w:rsid w:val="0051547C"/>
    <w:rsid w:val="00515E1F"/>
    <w:rsid w:val="00516759"/>
    <w:rsid w:val="00522080"/>
    <w:rsid w:val="0052378A"/>
    <w:rsid w:val="00525D01"/>
    <w:rsid w:val="0052601B"/>
    <w:rsid w:val="00527FA4"/>
    <w:rsid w:val="0053214B"/>
    <w:rsid w:val="00533FCC"/>
    <w:rsid w:val="005342D5"/>
    <w:rsid w:val="00534AC5"/>
    <w:rsid w:val="00535112"/>
    <w:rsid w:val="00536716"/>
    <w:rsid w:val="00536972"/>
    <w:rsid w:val="00536BC2"/>
    <w:rsid w:val="00536CA0"/>
    <w:rsid w:val="00537C78"/>
    <w:rsid w:val="005405F1"/>
    <w:rsid w:val="00540969"/>
    <w:rsid w:val="00540A74"/>
    <w:rsid w:val="00540BF9"/>
    <w:rsid w:val="0054210C"/>
    <w:rsid w:val="00542357"/>
    <w:rsid w:val="005425E1"/>
    <w:rsid w:val="005427C5"/>
    <w:rsid w:val="00542B15"/>
    <w:rsid w:val="00542CF6"/>
    <w:rsid w:val="00542F71"/>
    <w:rsid w:val="005432C2"/>
    <w:rsid w:val="00544314"/>
    <w:rsid w:val="005465F3"/>
    <w:rsid w:val="00547E5C"/>
    <w:rsid w:val="005502C0"/>
    <w:rsid w:val="005516D5"/>
    <w:rsid w:val="00553C03"/>
    <w:rsid w:val="00553CA4"/>
    <w:rsid w:val="00557108"/>
    <w:rsid w:val="005629FE"/>
    <w:rsid w:val="00563141"/>
    <w:rsid w:val="00563692"/>
    <w:rsid w:val="00564CDC"/>
    <w:rsid w:val="00565D41"/>
    <w:rsid w:val="00566B77"/>
    <w:rsid w:val="00567005"/>
    <w:rsid w:val="0056764F"/>
    <w:rsid w:val="00571679"/>
    <w:rsid w:val="0057171C"/>
    <w:rsid w:val="00572187"/>
    <w:rsid w:val="0057407F"/>
    <w:rsid w:val="0057413B"/>
    <w:rsid w:val="00574CD5"/>
    <w:rsid w:val="005761EF"/>
    <w:rsid w:val="00580787"/>
    <w:rsid w:val="00581ED7"/>
    <w:rsid w:val="00583A20"/>
    <w:rsid w:val="005844E7"/>
    <w:rsid w:val="0058527B"/>
    <w:rsid w:val="005866C1"/>
    <w:rsid w:val="00586C65"/>
    <w:rsid w:val="00590084"/>
    <w:rsid w:val="005908B8"/>
    <w:rsid w:val="00591E4B"/>
    <w:rsid w:val="00592A79"/>
    <w:rsid w:val="00592B06"/>
    <w:rsid w:val="0059306D"/>
    <w:rsid w:val="00593DDD"/>
    <w:rsid w:val="00594108"/>
    <w:rsid w:val="0059512E"/>
    <w:rsid w:val="00595D2D"/>
    <w:rsid w:val="005A0B6E"/>
    <w:rsid w:val="005A3D20"/>
    <w:rsid w:val="005A5151"/>
    <w:rsid w:val="005A6578"/>
    <w:rsid w:val="005A6DD2"/>
    <w:rsid w:val="005A738F"/>
    <w:rsid w:val="005A740C"/>
    <w:rsid w:val="005B08F5"/>
    <w:rsid w:val="005B152F"/>
    <w:rsid w:val="005B2031"/>
    <w:rsid w:val="005B3BD9"/>
    <w:rsid w:val="005B57D3"/>
    <w:rsid w:val="005B5AAC"/>
    <w:rsid w:val="005B711B"/>
    <w:rsid w:val="005C2791"/>
    <w:rsid w:val="005C36E0"/>
    <w:rsid w:val="005C385D"/>
    <w:rsid w:val="005C498F"/>
    <w:rsid w:val="005C6049"/>
    <w:rsid w:val="005C7046"/>
    <w:rsid w:val="005D0160"/>
    <w:rsid w:val="005D3B20"/>
    <w:rsid w:val="005D3B59"/>
    <w:rsid w:val="005D56DA"/>
    <w:rsid w:val="005D678F"/>
    <w:rsid w:val="005D72D9"/>
    <w:rsid w:val="005E1038"/>
    <w:rsid w:val="005E247B"/>
    <w:rsid w:val="005E4759"/>
    <w:rsid w:val="005E4D84"/>
    <w:rsid w:val="005E5C68"/>
    <w:rsid w:val="005E65C0"/>
    <w:rsid w:val="005E6CB3"/>
    <w:rsid w:val="005E750A"/>
    <w:rsid w:val="005E7DCF"/>
    <w:rsid w:val="005F0390"/>
    <w:rsid w:val="005F0BAD"/>
    <w:rsid w:val="005F2DCE"/>
    <w:rsid w:val="005F38CE"/>
    <w:rsid w:val="005F41B3"/>
    <w:rsid w:val="005F4402"/>
    <w:rsid w:val="005F48F0"/>
    <w:rsid w:val="005F5137"/>
    <w:rsid w:val="005F6BD8"/>
    <w:rsid w:val="005F6F84"/>
    <w:rsid w:val="006038BB"/>
    <w:rsid w:val="00604DF7"/>
    <w:rsid w:val="00606C5A"/>
    <w:rsid w:val="006072CD"/>
    <w:rsid w:val="006100C3"/>
    <w:rsid w:val="00612023"/>
    <w:rsid w:val="0061224A"/>
    <w:rsid w:val="00612768"/>
    <w:rsid w:val="00612C17"/>
    <w:rsid w:val="00614190"/>
    <w:rsid w:val="0061445C"/>
    <w:rsid w:val="006153B0"/>
    <w:rsid w:val="00616D73"/>
    <w:rsid w:val="0062105F"/>
    <w:rsid w:val="0062121E"/>
    <w:rsid w:val="00622A99"/>
    <w:rsid w:val="00622CD0"/>
    <w:rsid w:val="00622E67"/>
    <w:rsid w:val="00626812"/>
    <w:rsid w:val="0062692A"/>
    <w:rsid w:val="00626EDC"/>
    <w:rsid w:val="00631726"/>
    <w:rsid w:val="00632621"/>
    <w:rsid w:val="00632B9E"/>
    <w:rsid w:val="00634119"/>
    <w:rsid w:val="00637757"/>
    <w:rsid w:val="0064024B"/>
    <w:rsid w:val="00641B63"/>
    <w:rsid w:val="00641F11"/>
    <w:rsid w:val="0064316C"/>
    <w:rsid w:val="00645147"/>
    <w:rsid w:val="00645482"/>
    <w:rsid w:val="0064557C"/>
    <w:rsid w:val="00646529"/>
    <w:rsid w:val="006470EC"/>
    <w:rsid w:val="006475E3"/>
    <w:rsid w:val="006503D8"/>
    <w:rsid w:val="0065182F"/>
    <w:rsid w:val="00651D94"/>
    <w:rsid w:val="006542D6"/>
    <w:rsid w:val="0065471C"/>
    <w:rsid w:val="00654AF4"/>
    <w:rsid w:val="00654FAC"/>
    <w:rsid w:val="006555EE"/>
    <w:rsid w:val="0065578E"/>
    <w:rsid w:val="0065598E"/>
    <w:rsid w:val="00655AF2"/>
    <w:rsid w:val="00655BC5"/>
    <w:rsid w:val="0065673B"/>
    <w:rsid w:val="006568BE"/>
    <w:rsid w:val="00657476"/>
    <w:rsid w:val="0066025D"/>
    <w:rsid w:val="006607A1"/>
    <w:rsid w:val="0066091A"/>
    <w:rsid w:val="006614C8"/>
    <w:rsid w:val="006627C1"/>
    <w:rsid w:val="0066499F"/>
    <w:rsid w:val="00664EF9"/>
    <w:rsid w:val="006651B5"/>
    <w:rsid w:val="00671F6C"/>
    <w:rsid w:val="0067205C"/>
    <w:rsid w:val="00672642"/>
    <w:rsid w:val="0067350F"/>
    <w:rsid w:val="00673DFC"/>
    <w:rsid w:val="0067698E"/>
    <w:rsid w:val="00676C5E"/>
    <w:rsid w:val="006773EC"/>
    <w:rsid w:val="00680504"/>
    <w:rsid w:val="00681CD9"/>
    <w:rsid w:val="00683D31"/>
    <w:rsid w:val="00683E30"/>
    <w:rsid w:val="00683EB9"/>
    <w:rsid w:val="00686B7E"/>
    <w:rsid w:val="00686B8A"/>
    <w:rsid w:val="00687024"/>
    <w:rsid w:val="0069138D"/>
    <w:rsid w:val="006926D6"/>
    <w:rsid w:val="00692DA2"/>
    <w:rsid w:val="00692EA7"/>
    <w:rsid w:val="00692F62"/>
    <w:rsid w:val="00693C16"/>
    <w:rsid w:val="00695E22"/>
    <w:rsid w:val="00697699"/>
    <w:rsid w:val="006A1D33"/>
    <w:rsid w:val="006A1DBA"/>
    <w:rsid w:val="006A2281"/>
    <w:rsid w:val="006A288F"/>
    <w:rsid w:val="006A50D0"/>
    <w:rsid w:val="006A69CB"/>
    <w:rsid w:val="006B258E"/>
    <w:rsid w:val="006B35BF"/>
    <w:rsid w:val="006B3963"/>
    <w:rsid w:val="006B412F"/>
    <w:rsid w:val="006B55AC"/>
    <w:rsid w:val="006B6A12"/>
    <w:rsid w:val="006B6D53"/>
    <w:rsid w:val="006B7093"/>
    <w:rsid w:val="006B7417"/>
    <w:rsid w:val="006B7960"/>
    <w:rsid w:val="006C5E50"/>
    <w:rsid w:val="006D1216"/>
    <w:rsid w:val="006D29E2"/>
    <w:rsid w:val="006D3691"/>
    <w:rsid w:val="006D441F"/>
    <w:rsid w:val="006D4BE7"/>
    <w:rsid w:val="006D6CA3"/>
    <w:rsid w:val="006D71AD"/>
    <w:rsid w:val="006E0247"/>
    <w:rsid w:val="006E39BC"/>
    <w:rsid w:val="006E3FB0"/>
    <w:rsid w:val="006E4449"/>
    <w:rsid w:val="006E5490"/>
    <w:rsid w:val="006E58CF"/>
    <w:rsid w:val="006E5EF0"/>
    <w:rsid w:val="006E6CB2"/>
    <w:rsid w:val="006E7CB1"/>
    <w:rsid w:val="006F3563"/>
    <w:rsid w:val="006F3C11"/>
    <w:rsid w:val="006F42B9"/>
    <w:rsid w:val="006F49BD"/>
    <w:rsid w:val="006F4C06"/>
    <w:rsid w:val="006F6103"/>
    <w:rsid w:val="006F6812"/>
    <w:rsid w:val="006F6EC2"/>
    <w:rsid w:val="006F7A72"/>
    <w:rsid w:val="00703349"/>
    <w:rsid w:val="00704E00"/>
    <w:rsid w:val="00706251"/>
    <w:rsid w:val="0070788D"/>
    <w:rsid w:val="007104C6"/>
    <w:rsid w:val="007115C6"/>
    <w:rsid w:val="00713B81"/>
    <w:rsid w:val="007140E2"/>
    <w:rsid w:val="00714D1E"/>
    <w:rsid w:val="00715742"/>
    <w:rsid w:val="00716690"/>
    <w:rsid w:val="00716F29"/>
    <w:rsid w:val="0072020C"/>
    <w:rsid w:val="007209E7"/>
    <w:rsid w:val="00721458"/>
    <w:rsid w:val="007231F2"/>
    <w:rsid w:val="00724C3E"/>
    <w:rsid w:val="00725544"/>
    <w:rsid w:val="00725D63"/>
    <w:rsid w:val="007260E2"/>
    <w:rsid w:val="00726182"/>
    <w:rsid w:val="00726B5A"/>
    <w:rsid w:val="00727635"/>
    <w:rsid w:val="0073169C"/>
    <w:rsid w:val="00732329"/>
    <w:rsid w:val="00732D8E"/>
    <w:rsid w:val="007337CA"/>
    <w:rsid w:val="00734CE4"/>
    <w:rsid w:val="00735123"/>
    <w:rsid w:val="00740EB8"/>
    <w:rsid w:val="007410AF"/>
    <w:rsid w:val="00741837"/>
    <w:rsid w:val="00741DF9"/>
    <w:rsid w:val="007453E6"/>
    <w:rsid w:val="0074600F"/>
    <w:rsid w:val="00751445"/>
    <w:rsid w:val="0075151C"/>
    <w:rsid w:val="007519A1"/>
    <w:rsid w:val="00751A95"/>
    <w:rsid w:val="0075374A"/>
    <w:rsid w:val="00753854"/>
    <w:rsid w:val="007553EA"/>
    <w:rsid w:val="00755A03"/>
    <w:rsid w:val="0075632C"/>
    <w:rsid w:val="007567A7"/>
    <w:rsid w:val="007572D6"/>
    <w:rsid w:val="00762B8E"/>
    <w:rsid w:val="007633E2"/>
    <w:rsid w:val="00763F70"/>
    <w:rsid w:val="00764626"/>
    <w:rsid w:val="00765C6C"/>
    <w:rsid w:val="00767281"/>
    <w:rsid w:val="007673CB"/>
    <w:rsid w:val="00770F10"/>
    <w:rsid w:val="00771BD9"/>
    <w:rsid w:val="00771F68"/>
    <w:rsid w:val="0077309D"/>
    <w:rsid w:val="007736F8"/>
    <w:rsid w:val="00773A38"/>
    <w:rsid w:val="00773F33"/>
    <w:rsid w:val="0077578C"/>
    <w:rsid w:val="007758DD"/>
    <w:rsid w:val="007768B1"/>
    <w:rsid w:val="007774EE"/>
    <w:rsid w:val="00777E59"/>
    <w:rsid w:val="0078012A"/>
    <w:rsid w:val="00780281"/>
    <w:rsid w:val="007815D6"/>
    <w:rsid w:val="00781822"/>
    <w:rsid w:val="007820D8"/>
    <w:rsid w:val="007829E7"/>
    <w:rsid w:val="00783F21"/>
    <w:rsid w:val="007846E5"/>
    <w:rsid w:val="00787159"/>
    <w:rsid w:val="0079043A"/>
    <w:rsid w:val="00790A37"/>
    <w:rsid w:val="00790C98"/>
    <w:rsid w:val="00790F3E"/>
    <w:rsid w:val="0079162F"/>
    <w:rsid w:val="00791668"/>
    <w:rsid w:val="00791AA1"/>
    <w:rsid w:val="00793BAD"/>
    <w:rsid w:val="00794B68"/>
    <w:rsid w:val="00794B70"/>
    <w:rsid w:val="00795061"/>
    <w:rsid w:val="007A19C3"/>
    <w:rsid w:val="007A29E3"/>
    <w:rsid w:val="007A3793"/>
    <w:rsid w:val="007A56C8"/>
    <w:rsid w:val="007A58AC"/>
    <w:rsid w:val="007A6C49"/>
    <w:rsid w:val="007A7CF2"/>
    <w:rsid w:val="007B1088"/>
    <w:rsid w:val="007B3AA9"/>
    <w:rsid w:val="007B4E6C"/>
    <w:rsid w:val="007B5B26"/>
    <w:rsid w:val="007B6F60"/>
    <w:rsid w:val="007C098B"/>
    <w:rsid w:val="007C0DCE"/>
    <w:rsid w:val="007C1BA2"/>
    <w:rsid w:val="007C2B48"/>
    <w:rsid w:val="007C3795"/>
    <w:rsid w:val="007C3EAC"/>
    <w:rsid w:val="007C4CA6"/>
    <w:rsid w:val="007C69DB"/>
    <w:rsid w:val="007D02A9"/>
    <w:rsid w:val="007D20E9"/>
    <w:rsid w:val="007D3170"/>
    <w:rsid w:val="007D43E0"/>
    <w:rsid w:val="007D5812"/>
    <w:rsid w:val="007D5BC0"/>
    <w:rsid w:val="007D6861"/>
    <w:rsid w:val="007D7881"/>
    <w:rsid w:val="007D7E3A"/>
    <w:rsid w:val="007E00AA"/>
    <w:rsid w:val="007E07BF"/>
    <w:rsid w:val="007E08DE"/>
    <w:rsid w:val="007E0E10"/>
    <w:rsid w:val="007E17BD"/>
    <w:rsid w:val="007E1948"/>
    <w:rsid w:val="007E2509"/>
    <w:rsid w:val="007E38A7"/>
    <w:rsid w:val="007E4395"/>
    <w:rsid w:val="007E4768"/>
    <w:rsid w:val="007E4CD3"/>
    <w:rsid w:val="007E5AA1"/>
    <w:rsid w:val="007E60BB"/>
    <w:rsid w:val="007E6EF4"/>
    <w:rsid w:val="007E777B"/>
    <w:rsid w:val="007F0C60"/>
    <w:rsid w:val="007F1AB0"/>
    <w:rsid w:val="007F2070"/>
    <w:rsid w:val="007F4E64"/>
    <w:rsid w:val="007F5087"/>
    <w:rsid w:val="007F5D59"/>
    <w:rsid w:val="00800081"/>
    <w:rsid w:val="0080132B"/>
    <w:rsid w:val="008013E3"/>
    <w:rsid w:val="00801D35"/>
    <w:rsid w:val="008030A4"/>
    <w:rsid w:val="00803838"/>
    <w:rsid w:val="00804575"/>
    <w:rsid w:val="00804906"/>
    <w:rsid w:val="008053F5"/>
    <w:rsid w:val="00805941"/>
    <w:rsid w:val="0080751D"/>
    <w:rsid w:val="00807AF7"/>
    <w:rsid w:val="00810198"/>
    <w:rsid w:val="00812014"/>
    <w:rsid w:val="0081349F"/>
    <w:rsid w:val="008135D4"/>
    <w:rsid w:val="008141E9"/>
    <w:rsid w:val="00815221"/>
    <w:rsid w:val="008156BB"/>
    <w:rsid w:val="00815B55"/>
    <w:rsid w:val="00815DA8"/>
    <w:rsid w:val="00817ACA"/>
    <w:rsid w:val="00817CA9"/>
    <w:rsid w:val="00820317"/>
    <w:rsid w:val="0082052C"/>
    <w:rsid w:val="0082147F"/>
    <w:rsid w:val="0082194D"/>
    <w:rsid w:val="00826D4A"/>
    <w:rsid w:val="00826EF5"/>
    <w:rsid w:val="008275F5"/>
    <w:rsid w:val="00831693"/>
    <w:rsid w:val="008319FB"/>
    <w:rsid w:val="00831B28"/>
    <w:rsid w:val="00831FA2"/>
    <w:rsid w:val="0083241A"/>
    <w:rsid w:val="0083334D"/>
    <w:rsid w:val="00834DD2"/>
    <w:rsid w:val="008350BE"/>
    <w:rsid w:val="00840104"/>
    <w:rsid w:val="00840C1F"/>
    <w:rsid w:val="00840EF0"/>
    <w:rsid w:val="00841FC5"/>
    <w:rsid w:val="0084204B"/>
    <w:rsid w:val="00842486"/>
    <w:rsid w:val="00842EE2"/>
    <w:rsid w:val="00843F79"/>
    <w:rsid w:val="00844C1E"/>
    <w:rsid w:val="00845709"/>
    <w:rsid w:val="00847134"/>
    <w:rsid w:val="00847C80"/>
    <w:rsid w:val="00850BA1"/>
    <w:rsid w:val="00850BB8"/>
    <w:rsid w:val="00850F87"/>
    <w:rsid w:val="008521EC"/>
    <w:rsid w:val="008535FE"/>
    <w:rsid w:val="00854C77"/>
    <w:rsid w:val="008576BD"/>
    <w:rsid w:val="00860463"/>
    <w:rsid w:val="008623A6"/>
    <w:rsid w:val="008631C5"/>
    <w:rsid w:val="00864EF9"/>
    <w:rsid w:val="0086543D"/>
    <w:rsid w:val="0086549B"/>
    <w:rsid w:val="008659D9"/>
    <w:rsid w:val="00871A67"/>
    <w:rsid w:val="008733DA"/>
    <w:rsid w:val="00873C96"/>
    <w:rsid w:val="00875055"/>
    <w:rsid w:val="00877142"/>
    <w:rsid w:val="00880ACF"/>
    <w:rsid w:val="00882042"/>
    <w:rsid w:val="00882FE3"/>
    <w:rsid w:val="00883DF3"/>
    <w:rsid w:val="008850E4"/>
    <w:rsid w:val="00885957"/>
    <w:rsid w:val="00887B6F"/>
    <w:rsid w:val="00890350"/>
    <w:rsid w:val="0089088E"/>
    <w:rsid w:val="00890FFC"/>
    <w:rsid w:val="0089365F"/>
    <w:rsid w:val="008936B9"/>
    <w:rsid w:val="008939AB"/>
    <w:rsid w:val="00893EC1"/>
    <w:rsid w:val="0089758F"/>
    <w:rsid w:val="00897861"/>
    <w:rsid w:val="008A06D5"/>
    <w:rsid w:val="008A12F5"/>
    <w:rsid w:val="008A1DCF"/>
    <w:rsid w:val="008A2525"/>
    <w:rsid w:val="008A48B6"/>
    <w:rsid w:val="008A4DD3"/>
    <w:rsid w:val="008A6218"/>
    <w:rsid w:val="008A7154"/>
    <w:rsid w:val="008A7D83"/>
    <w:rsid w:val="008B1587"/>
    <w:rsid w:val="008B1B01"/>
    <w:rsid w:val="008B28F5"/>
    <w:rsid w:val="008B32E6"/>
    <w:rsid w:val="008B382F"/>
    <w:rsid w:val="008B3BCD"/>
    <w:rsid w:val="008B42BD"/>
    <w:rsid w:val="008B5CDB"/>
    <w:rsid w:val="008B6DF8"/>
    <w:rsid w:val="008B7C4C"/>
    <w:rsid w:val="008C09C4"/>
    <w:rsid w:val="008C106C"/>
    <w:rsid w:val="008C10F1"/>
    <w:rsid w:val="008C1926"/>
    <w:rsid w:val="008C198A"/>
    <w:rsid w:val="008C1E99"/>
    <w:rsid w:val="008C6ABE"/>
    <w:rsid w:val="008C6BF1"/>
    <w:rsid w:val="008C6D27"/>
    <w:rsid w:val="008C7A0D"/>
    <w:rsid w:val="008D11B3"/>
    <w:rsid w:val="008D19CA"/>
    <w:rsid w:val="008D2BE8"/>
    <w:rsid w:val="008D76B8"/>
    <w:rsid w:val="008D773F"/>
    <w:rsid w:val="008E0085"/>
    <w:rsid w:val="008E0A56"/>
    <w:rsid w:val="008E2AA6"/>
    <w:rsid w:val="008E311B"/>
    <w:rsid w:val="008E3AFA"/>
    <w:rsid w:val="008E4C39"/>
    <w:rsid w:val="008E51FA"/>
    <w:rsid w:val="008E660E"/>
    <w:rsid w:val="008E6FCF"/>
    <w:rsid w:val="008E74E3"/>
    <w:rsid w:val="008F0B1D"/>
    <w:rsid w:val="008F17D8"/>
    <w:rsid w:val="008F223A"/>
    <w:rsid w:val="008F2878"/>
    <w:rsid w:val="008F46E7"/>
    <w:rsid w:val="008F503C"/>
    <w:rsid w:val="008F6F0B"/>
    <w:rsid w:val="00900062"/>
    <w:rsid w:val="009026FE"/>
    <w:rsid w:val="00906A8A"/>
    <w:rsid w:val="00907BA7"/>
    <w:rsid w:val="009101D7"/>
    <w:rsid w:val="0091064E"/>
    <w:rsid w:val="00911607"/>
    <w:rsid w:val="00911A17"/>
    <w:rsid w:val="00911FC5"/>
    <w:rsid w:val="00912129"/>
    <w:rsid w:val="009129CC"/>
    <w:rsid w:val="00914058"/>
    <w:rsid w:val="00916525"/>
    <w:rsid w:val="009212BC"/>
    <w:rsid w:val="009212F6"/>
    <w:rsid w:val="009235C1"/>
    <w:rsid w:val="00923EED"/>
    <w:rsid w:val="009243C6"/>
    <w:rsid w:val="0092470F"/>
    <w:rsid w:val="00925F48"/>
    <w:rsid w:val="00925FB8"/>
    <w:rsid w:val="00926E5D"/>
    <w:rsid w:val="009303AC"/>
    <w:rsid w:val="0093086B"/>
    <w:rsid w:val="00931987"/>
    <w:rsid w:val="00931A10"/>
    <w:rsid w:val="00932087"/>
    <w:rsid w:val="00933D06"/>
    <w:rsid w:val="00935AF2"/>
    <w:rsid w:val="00937B1D"/>
    <w:rsid w:val="00937D94"/>
    <w:rsid w:val="00941FAD"/>
    <w:rsid w:val="00945F90"/>
    <w:rsid w:val="00946A8C"/>
    <w:rsid w:val="0094771B"/>
    <w:rsid w:val="00947967"/>
    <w:rsid w:val="00947D9A"/>
    <w:rsid w:val="00950BAE"/>
    <w:rsid w:val="009510EB"/>
    <w:rsid w:val="00951AAA"/>
    <w:rsid w:val="009544F5"/>
    <w:rsid w:val="00955201"/>
    <w:rsid w:val="00955B95"/>
    <w:rsid w:val="009571CE"/>
    <w:rsid w:val="00957688"/>
    <w:rsid w:val="009620FE"/>
    <w:rsid w:val="00962CE1"/>
    <w:rsid w:val="00962DBD"/>
    <w:rsid w:val="009631B4"/>
    <w:rsid w:val="009633C4"/>
    <w:rsid w:val="00963A9A"/>
    <w:rsid w:val="00964F2E"/>
    <w:rsid w:val="00965200"/>
    <w:rsid w:val="00966139"/>
    <w:rsid w:val="009668B3"/>
    <w:rsid w:val="00966C7B"/>
    <w:rsid w:val="00970833"/>
    <w:rsid w:val="00970EB7"/>
    <w:rsid w:val="00971471"/>
    <w:rsid w:val="00972AE8"/>
    <w:rsid w:val="009738F8"/>
    <w:rsid w:val="0097408F"/>
    <w:rsid w:val="00974574"/>
    <w:rsid w:val="009747A1"/>
    <w:rsid w:val="009825BA"/>
    <w:rsid w:val="009849C2"/>
    <w:rsid w:val="00984D24"/>
    <w:rsid w:val="00984E30"/>
    <w:rsid w:val="009851F5"/>
    <w:rsid w:val="009858EB"/>
    <w:rsid w:val="00986EE1"/>
    <w:rsid w:val="0099028D"/>
    <w:rsid w:val="00991E48"/>
    <w:rsid w:val="009950E4"/>
    <w:rsid w:val="00995883"/>
    <w:rsid w:val="00996206"/>
    <w:rsid w:val="00997F7A"/>
    <w:rsid w:val="009A06E7"/>
    <w:rsid w:val="009A2F97"/>
    <w:rsid w:val="009A40FC"/>
    <w:rsid w:val="009A5618"/>
    <w:rsid w:val="009A5899"/>
    <w:rsid w:val="009A5CC9"/>
    <w:rsid w:val="009B0046"/>
    <w:rsid w:val="009B064F"/>
    <w:rsid w:val="009B0924"/>
    <w:rsid w:val="009B1D8F"/>
    <w:rsid w:val="009B4726"/>
    <w:rsid w:val="009B5B12"/>
    <w:rsid w:val="009B5D8C"/>
    <w:rsid w:val="009B7119"/>
    <w:rsid w:val="009C1440"/>
    <w:rsid w:val="009C1C32"/>
    <w:rsid w:val="009C2107"/>
    <w:rsid w:val="009C3638"/>
    <w:rsid w:val="009C4844"/>
    <w:rsid w:val="009C5796"/>
    <w:rsid w:val="009C5D9E"/>
    <w:rsid w:val="009C6FA9"/>
    <w:rsid w:val="009C750B"/>
    <w:rsid w:val="009C7517"/>
    <w:rsid w:val="009D19EA"/>
    <w:rsid w:val="009D284B"/>
    <w:rsid w:val="009D2C3E"/>
    <w:rsid w:val="009D37EF"/>
    <w:rsid w:val="009D3B46"/>
    <w:rsid w:val="009D574E"/>
    <w:rsid w:val="009D6227"/>
    <w:rsid w:val="009E03B8"/>
    <w:rsid w:val="009E0625"/>
    <w:rsid w:val="009E0727"/>
    <w:rsid w:val="009E0F16"/>
    <w:rsid w:val="009E3034"/>
    <w:rsid w:val="009E37B7"/>
    <w:rsid w:val="009E50ED"/>
    <w:rsid w:val="009E51BB"/>
    <w:rsid w:val="009E5257"/>
    <w:rsid w:val="009E549F"/>
    <w:rsid w:val="009E5761"/>
    <w:rsid w:val="009E5D47"/>
    <w:rsid w:val="009E5D5A"/>
    <w:rsid w:val="009E62F5"/>
    <w:rsid w:val="009E6D3C"/>
    <w:rsid w:val="009E719A"/>
    <w:rsid w:val="009F0F24"/>
    <w:rsid w:val="009F28A8"/>
    <w:rsid w:val="009F299E"/>
    <w:rsid w:val="009F2CD5"/>
    <w:rsid w:val="009F473E"/>
    <w:rsid w:val="009F474F"/>
    <w:rsid w:val="009F4790"/>
    <w:rsid w:val="009F4863"/>
    <w:rsid w:val="009F682A"/>
    <w:rsid w:val="009F69F3"/>
    <w:rsid w:val="00A00343"/>
    <w:rsid w:val="00A00638"/>
    <w:rsid w:val="00A00FC6"/>
    <w:rsid w:val="00A015BC"/>
    <w:rsid w:val="00A022BE"/>
    <w:rsid w:val="00A06D32"/>
    <w:rsid w:val="00A06FBF"/>
    <w:rsid w:val="00A10314"/>
    <w:rsid w:val="00A10595"/>
    <w:rsid w:val="00A12F9A"/>
    <w:rsid w:val="00A13063"/>
    <w:rsid w:val="00A13203"/>
    <w:rsid w:val="00A21583"/>
    <w:rsid w:val="00A21DFC"/>
    <w:rsid w:val="00A21EF1"/>
    <w:rsid w:val="00A2487D"/>
    <w:rsid w:val="00A24C95"/>
    <w:rsid w:val="00A2599A"/>
    <w:rsid w:val="00A26094"/>
    <w:rsid w:val="00A2767C"/>
    <w:rsid w:val="00A3003E"/>
    <w:rsid w:val="00A301BF"/>
    <w:rsid w:val="00A302B2"/>
    <w:rsid w:val="00A30720"/>
    <w:rsid w:val="00A30BBE"/>
    <w:rsid w:val="00A32479"/>
    <w:rsid w:val="00A331B4"/>
    <w:rsid w:val="00A33269"/>
    <w:rsid w:val="00A334CC"/>
    <w:rsid w:val="00A34103"/>
    <w:rsid w:val="00A3484E"/>
    <w:rsid w:val="00A34C56"/>
    <w:rsid w:val="00A351C7"/>
    <w:rsid w:val="00A356D3"/>
    <w:rsid w:val="00A35A31"/>
    <w:rsid w:val="00A36ADA"/>
    <w:rsid w:val="00A41B88"/>
    <w:rsid w:val="00A438D8"/>
    <w:rsid w:val="00A43D9E"/>
    <w:rsid w:val="00A43E18"/>
    <w:rsid w:val="00A44B9B"/>
    <w:rsid w:val="00A44C8F"/>
    <w:rsid w:val="00A46B3E"/>
    <w:rsid w:val="00A47053"/>
    <w:rsid w:val="00A473F5"/>
    <w:rsid w:val="00A50C0F"/>
    <w:rsid w:val="00A518C4"/>
    <w:rsid w:val="00A51B32"/>
    <w:rsid w:val="00A51D3C"/>
    <w:rsid w:val="00A51F9D"/>
    <w:rsid w:val="00A5416A"/>
    <w:rsid w:val="00A554BE"/>
    <w:rsid w:val="00A5759A"/>
    <w:rsid w:val="00A60225"/>
    <w:rsid w:val="00A611BA"/>
    <w:rsid w:val="00A61F72"/>
    <w:rsid w:val="00A632D1"/>
    <w:rsid w:val="00A639F4"/>
    <w:rsid w:val="00A648C5"/>
    <w:rsid w:val="00A65716"/>
    <w:rsid w:val="00A66E6F"/>
    <w:rsid w:val="00A670C0"/>
    <w:rsid w:val="00A672B4"/>
    <w:rsid w:val="00A70CD1"/>
    <w:rsid w:val="00A74756"/>
    <w:rsid w:val="00A758F3"/>
    <w:rsid w:val="00A75C4D"/>
    <w:rsid w:val="00A81294"/>
    <w:rsid w:val="00A81A32"/>
    <w:rsid w:val="00A820AB"/>
    <w:rsid w:val="00A8226D"/>
    <w:rsid w:val="00A8309A"/>
    <w:rsid w:val="00A83405"/>
    <w:rsid w:val="00A835BD"/>
    <w:rsid w:val="00A83853"/>
    <w:rsid w:val="00A83919"/>
    <w:rsid w:val="00A8487B"/>
    <w:rsid w:val="00A8671B"/>
    <w:rsid w:val="00A871B8"/>
    <w:rsid w:val="00A878A2"/>
    <w:rsid w:val="00A87B6D"/>
    <w:rsid w:val="00A87E19"/>
    <w:rsid w:val="00A90EC7"/>
    <w:rsid w:val="00A924DD"/>
    <w:rsid w:val="00A93692"/>
    <w:rsid w:val="00A953A8"/>
    <w:rsid w:val="00A9596A"/>
    <w:rsid w:val="00A95B8A"/>
    <w:rsid w:val="00A97132"/>
    <w:rsid w:val="00A978A0"/>
    <w:rsid w:val="00A97B15"/>
    <w:rsid w:val="00AA0068"/>
    <w:rsid w:val="00AA42D5"/>
    <w:rsid w:val="00AA478A"/>
    <w:rsid w:val="00AA49D1"/>
    <w:rsid w:val="00AA6A66"/>
    <w:rsid w:val="00AA758B"/>
    <w:rsid w:val="00AB2FAB"/>
    <w:rsid w:val="00AB3990"/>
    <w:rsid w:val="00AB3A3E"/>
    <w:rsid w:val="00AB5C14"/>
    <w:rsid w:val="00AC043C"/>
    <w:rsid w:val="00AC1E00"/>
    <w:rsid w:val="00AC1EE7"/>
    <w:rsid w:val="00AC2D54"/>
    <w:rsid w:val="00AC333F"/>
    <w:rsid w:val="00AC585C"/>
    <w:rsid w:val="00AC5FDB"/>
    <w:rsid w:val="00AC6808"/>
    <w:rsid w:val="00AC6A74"/>
    <w:rsid w:val="00AC7A47"/>
    <w:rsid w:val="00AD089D"/>
    <w:rsid w:val="00AD1925"/>
    <w:rsid w:val="00AD1B29"/>
    <w:rsid w:val="00AD1E11"/>
    <w:rsid w:val="00AD2681"/>
    <w:rsid w:val="00AD6F0E"/>
    <w:rsid w:val="00AD74CE"/>
    <w:rsid w:val="00AE067D"/>
    <w:rsid w:val="00AE073C"/>
    <w:rsid w:val="00AE270A"/>
    <w:rsid w:val="00AE33A1"/>
    <w:rsid w:val="00AE3BF7"/>
    <w:rsid w:val="00AE6C37"/>
    <w:rsid w:val="00AF0094"/>
    <w:rsid w:val="00AF1181"/>
    <w:rsid w:val="00AF2F79"/>
    <w:rsid w:val="00AF4406"/>
    <w:rsid w:val="00AF4653"/>
    <w:rsid w:val="00AF4CD9"/>
    <w:rsid w:val="00AF7DB7"/>
    <w:rsid w:val="00B015FE"/>
    <w:rsid w:val="00B01CF6"/>
    <w:rsid w:val="00B02A8F"/>
    <w:rsid w:val="00B03673"/>
    <w:rsid w:val="00B0390E"/>
    <w:rsid w:val="00B03F53"/>
    <w:rsid w:val="00B05F6D"/>
    <w:rsid w:val="00B0642E"/>
    <w:rsid w:val="00B07030"/>
    <w:rsid w:val="00B075FB"/>
    <w:rsid w:val="00B07EF2"/>
    <w:rsid w:val="00B10711"/>
    <w:rsid w:val="00B12342"/>
    <w:rsid w:val="00B141AD"/>
    <w:rsid w:val="00B14DE7"/>
    <w:rsid w:val="00B15D9C"/>
    <w:rsid w:val="00B162E2"/>
    <w:rsid w:val="00B201E2"/>
    <w:rsid w:val="00B2100C"/>
    <w:rsid w:val="00B21413"/>
    <w:rsid w:val="00B234A2"/>
    <w:rsid w:val="00B24345"/>
    <w:rsid w:val="00B24492"/>
    <w:rsid w:val="00B313FB"/>
    <w:rsid w:val="00B339E8"/>
    <w:rsid w:val="00B35AFF"/>
    <w:rsid w:val="00B41A45"/>
    <w:rsid w:val="00B429D6"/>
    <w:rsid w:val="00B443E4"/>
    <w:rsid w:val="00B44ECE"/>
    <w:rsid w:val="00B45C9B"/>
    <w:rsid w:val="00B46210"/>
    <w:rsid w:val="00B46608"/>
    <w:rsid w:val="00B50341"/>
    <w:rsid w:val="00B50415"/>
    <w:rsid w:val="00B50B44"/>
    <w:rsid w:val="00B511E6"/>
    <w:rsid w:val="00B5527F"/>
    <w:rsid w:val="00B557D0"/>
    <w:rsid w:val="00B563EA"/>
    <w:rsid w:val="00B577F3"/>
    <w:rsid w:val="00B579D0"/>
    <w:rsid w:val="00B60E51"/>
    <w:rsid w:val="00B60FB4"/>
    <w:rsid w:val="00B61AC2"/>
    <w:rsid w:val="00B635AE"/>
    <w:rsid w:val="00B63A54"/>
    <w:rsid w:val="00B648B9"/>
    <w:rsid w:val="00B6638C"/>
    <w:rsid w:val="00B67B1D"/>
    <w:rsid w:val="00B7165E"/>
    <w:rsid w:val="00B71AF1"/>
    <w:rsid w:val="00B74C71"/>
    <w:rsid w:val="00B75EFB"/>
    <w:rsid w:val="00B77D18"/>
    <w:rsid w:val="00B805A2"/>
    <w:rsid w:val="00B8064B"/>
    <w:rsid w:val="00B81A8B"/>
    <w:rsid w:val="00B82129"/>
    <w:rsid w:val="00B8313A"/>
    <w:rsid w:val="00B8370A"/>
    <w:rsid w:val="00B83C14"/>
    <w:rsid w:val="00B8445D"/>
    <w:rsid w:val="00B85244"/>
    <w:rsid w:val="00B86988"/>
    <w:rsid w:val="00B913A9"/>
    <w:rsid w:val="00B915F0"/>
    <w:rsid w:val="00B92A19"/>
    <w:rsid w:val="00B93503"/>
    <w:rsid w:val="00B93BCB"/>
    <w:rsid w:val="00B96FD4"/>
    <w:rsid w:val="00B9749A"/>
    <w:rsid w:val="00BA062B"/>
    <w:rsid w:val="00BA0DF5"/>
    <w:rsid w:val="00BA12BB"/>
    <w:rsid w:val="00BA14E1"/>
    <w:rsid w:val="00BA2CD6"/>
    <w:rsid w:val="00BA31E8"/>
    <w:rsid w:val="00BA55E0"/>
    <w:rsid w:val="00BA58A4"/>
    <w:rsid w:val="00BA6BD4"/>
    <w:rsid w:val="00BA6C7A"/>
    <w:rsid w:val="00BA6EAB"/>
    <w:rsid w:val="00BB0971"/>
    <w:rsid w:val="00BB267B"/>
    <w:rsid w:val="00BB3561"/>
    <w:rsid w:val="00BB3752"/>
    <w:rsid w:val="00BB441F"/>
    <w:rsid w:val="00BB46DB"/>
    <w:rsid w:val="00BB503B"/>
    <w:rsid w:val="00BB6688"/>
    <w:rsid w:val="00BB76B4"/>
    <w:rsid w:val="00BC0C73"/>
    <w:rsid w:val="00BC18BC"/>
    <w:rsid w:val="00BC26D4"/>
    <w:rsid w:val="00BC2A48"/>
    <w:rsid w:val="00BC41A0"/>
    <w:rsid w:val="00BC4963"/>
    <w:rsid w:val="00BC604A"/>
    <w:rsid w:val="00BC7B55"/>
    <w:rsid w:val="00BC7BF2"/>
    <w:rsid w:val="00BC7F4E"/>
    <w:rsid w:val="00BC7F8F"/>
    <w:rsid w:val="00BD3CEE"/>
    <w:rsid w:val="00BD3EF2"/>
    <w:rsid w:val="00BD597E"/>
    <w:rsid w:val="00BD5E8A"/>
    <w:rsid w:val="00BD672E"/>
    <w:rsid w:val="00BD7A5A"/>
    <w:rsid w:val="00BE0C80"/>
    <w:rsid w:val="00BE2BE5"/>
    <w:rsid w:val="00BE2E21"/>
    <w:rsid w:val="00BE3341"/>
    <w:rsid w:val="00BE3BB8"/>
    <w:rsid w:val="00BE467D"/>
    <w:rsid w:val="00BE4C7E"/>
    <w:rsid w:val="00BE506C"/>
    <w:rsid w:val="00BE6A6F"/>
    <w:rsid w:val="00BE77F0"/>
    <w:rsid w:val="00BF1C15"/>
    <w:rsid w:val="00BF1FAE"/>
    <w:rsid w:val="00BF203E"/>
    <w:rsid w:val="00BF2A42"/>
    <w:rsid w:val="00BF3859"/>
    <w:rsid w:val="00BF3BEB"/>
    <w:rsid w:val="00BF4625"/>
    <w:rsid w:val="00BF4BB2"/>
    <w:rsid w:val="00BF4C49"/>
    <w:rsid w:val="00BF7F4B"/>
    <w:rsid w:val="00C01C72"/>
    <w:rsid w:val="00C02DE0"/>
    <w:rsid w:val="00C03D8C"/>
    <w:rsid w:val="00C044FC"/>
    <w:rsid w:val="00C04548"/>
    <w:rsid w:val="00C047E3"/>
    <w:rsid w:val="00C055EC"/>
    <w:rsid w:val="00C060D6"/>
    <w:rsid w:val="00C07F44"/>
    <w:rsid w:val="00C10DC9"/>
    <w:rsid w:val="00C11056"/>
    <w:rsid w:val="00C114F1"/>
    <w:rsid w:val="00C12BBF"/>
    <w:rsid w:val="00C12FB3"/>
    <w:rsid w:val="00C13837"/>
    <w:rsid w:val="00C17341"/>
    <w:rsid w:val="00C20C69"/>
    <w:rsid w:val="00C2184B"/>
    <w:rsid w:val="00C22B68"/>
    <w:rsid w:val="00C23F77"/>
    <w:rsid w:val="00C24EEF"/>
    <w:rsid w:val="00C25941"/>
    <w:rsid w:val="00C25CF6"/>
    <w:rsid w:val="00C26C36"/>
    <w:rsid w:val="00C27B18"/>
    <w:rsid w:val="00C30C3A"/>
    <w:rsid w:val="00C32768"/>
    <w:rsid w:val="00C337A8"/>
    <w:rsid w:val="00C33E42"/>
    <w:rsid w:val="00C352B8"/>
    <w:rsid w:val="00C3595F"/>
    <w:rsid w:val="00C35AF4"/>
    <w:rsid w:val="00C35AF8"/>
    <w:rsid w:val="00C35B78"/>
    <w:rsid w:val="00C35F58"/>
    <w:rsid w:val="00C36D5A"/>
    <w:rsid w:val="00C37D0B"/>
    <w:rsid w:val="00C40AD0"/>
    <w:rsid w:val="00C41510"/>
    <w:rsid w:val="00C431DF"/>
    <w:rsid w:val="00C4444F"/>
    <w:rsid w:val="00C4530F"/>
    <w:rsid w:val="00C456BD"/>
    <w:rsid w:val="00C45703"/>
    <w:rsid w:val="00C50577"/>
    <w:rsid w:val="00C50E94"/>
    <w:rsid w:val="00C51F9D"/>
    <w:rsid w:val="00C530DC"/>
    <w:rsid w:val="00C5350D"/>
    <w:rsid w:val="00C540F2"/>
    <w:rsid w:val="00C548FB"/>
    <w:rsid w:val="00C55495"/>
    <w:rsid w:val="00C60527"/>
    <w:rsid w:val="00C6123C"/>
    <w:rsid w:val="00C61650"/>
    <w:rsid w:val="00C62630"/>
    <w:rsid w:val="00C62753"/>
    <w:rsid w:val="00C6311A"/>
    <w:rsid w:val="00C63BC5"/>
    <w:rsid w:val="00C63DD1"/>
    <w:rsid w:val="00C644BB"/>
    <w:rsid w:val="00C64B42"/>
    <w:rsid w:val="00C657C8"/>
    <w:rsid w:val="00C65E16"/>
    <w:rsid w:val="00C66FCA"/>
    <w:rsid w:val="00C7084D"/>
    <w:rsid w:val="00C71C38"/>
    <w:rsid w:val="00C71EB5"/>
    <w:rsid w:val="00C72F4A"/>
    <w:rsid w:val="00C7315E"/>
    <w:rsid w:val="00C733E8"/>
    <w:rsid w:val="00C75895"/>
    <w:rsid w:val="00C7595D"/>
    <w:rsid w:val="00C8046F"/>
    <w:rsid w:val="00C804F9"/>
    <w:rsid w:val="00C807ED"/>
    <w:rsid w:val="00C81676"/>
    <w:rsid w:val="00C83C9F"/>
    <w:rsid w:val="00C84C07"/>
    <w:rsid w:val="00C85A6B"/>
    <w:rsid w:val="00C862A1"/>
    <w:rsid w:val="00C873CC"/>
    <w:rsid w:val="00C87547"/>
    <w:rsid w:val="00C915E9"/>
    <w:rsid w:val="00C91899"/>
    <w:rsid w:val="00C94840"/>
    <w:rsid w:val="00C94D8E"/>
    <w:rsid w:val="00C96285"/>
    <w:rsid w:val="00C96843"/>
    <w:rsid w:val="00C96B1F"/>
    <w:rsid w:val="00CA0CD6"/>
    <w:rsid w:val="00CA18BC"/>
    <w:rsid w:val="00CA2CA1"/>
    <w:rsid w:val="00CA44DA"/>
    <w:rsid w:val="00CA4EE3"/>
    <w:rsid w:val="00CA5701"/>
    <w:rsid w:val="00CA694F"/>
    <w:rsid w:val="00CA697C"/>
    <w:rsid w:val="00CA7D32"/>
    <w:rsid w:val="00CB027F"/>
    <w:rsid w:val="00CB3DF4"/>
    <w:rsid w:val="00CB485D"/>
    <w:rsid w:val="00CB5A92"/>
    <w:rsid w:val="00CB70F8"/>
    <w:rsid w:val="00CB7C86"/>
    <w:rsid w:val="00CC0EBB"/>
    <w:rsid w:val="00CC1127"/>
    <w:rsid w:val="00CC1833"/>
    <w:rsid w:val="00CC2D51"/>
    <w:rsid w:val="00CC3B0A"/>
    <w:rsid w:val="00CC6294"/>
    <w:rsid w:val="00CC6297"/>
    <w:rsid w:val="00CC6EB6"/>
    <w:rsid w:val="00CC6F5F"/>
    <w:rsid w:val="00CC7690"/>
    <w:rsid w:val="00CC7719"/>
    <w:rsid w:val="00CC7A76"/>
    <w:rsid w:val="00CD1986"/>
    <w:rsid w:val="00CD280C"/>
    <w:rsid w:val="00CD51BF"/>
    <w:rsid w:val="00CD54BF"/>
    <w:rsid w:val="00CE06F6"/>
    <w:rsid w:val="00CE0F75"/>
    <w:rsid w:val="00CE1E7E"/>
    <w:rsid w:val="00CE3974"/>
    <w:rsid w:val="00CE3CB6"/>
    <w:rsid w:val="00CE4D5C"/>
    <w:rsid w:val="00CE52A6"/>
    <w:rsid w:val="00CE62B6"/>
    <w:rsid w:val="00CE732E"/>
    <w:rsid w:val="00CF05DA"/>
    <w:rsid w:val="00CF0814"/>
    <w:rsid w:val="00CF08C2"/>
    <w:rsid w:val="00CF1C3E"/>
    <w:rsid w:val="00CF3FD6"/>
    <w:rsid w:val="00CF58EB"/>
    <w:rsid w:val="00CF6CDD"/>
    <w:rsid w:val="00CF6FEC"/>
    <w:rsid w:val="00CF7AC2"/>
    <w:rsid w:val="00D00430"/>
    <w:rsid w:val="00D0106E"/>
    <w:rsid w:val="00D02DA5"/>
    <w:rsid w:val="00D0404D"/>
    <w:rsid w:val="00D05476"/>
    <w:rsid w:val="00D060B1"/>
    <w:rsid w:val="00D06383"/>
    <w:rsid w:val="00D06ED9"/>
    <w:rsid w:val="00D10838"/>
    <w:rsid w:val="00D10F9B"/>
    <w:rsid w:val="00D110B2"/>
    <w:rsid w:val="00D114BE"/>
    <w:rsid w:val="00D12728"/>
    <w:rsid w:val="00D1500B"/>
    <w:rsid w:val="00D15303"/>
    <w:rsid w:val="00D154FE"/>
    <w:rsid w:val="00D15A17"/>
    <w:rsid w:val="00D170D1"/>
    <w:rsid w:val="00D202F0"/>
    <w:rsid w:val="00D2050B"/>
    <w:rsid w:val="00D20C72"/>
    <w:rsid w:val="00D20E4D"/>
    <w:rsid w:val="00D20E85"/>
    <w:rsid w:val="00D21F7E"/>
    <w:rsid w:val="00D224C2"/>
    <w:rsid w:val="00D22764"/>
    <w:rsid w:val="00D22770"/>
    <w:rsid w:val="00D2284B"/>
    <w:rsid w:val="00D22A73"/>
    <w:rsid w:val="00D22F87"/>
    <w:rsid w:val="00D2316F"/>
    <w:rsid w:val="00D23588"/>
    <w:rsid w:val="00D24615"/>
    <w:rsid w:val="00D27DB0"/>
    <w:rsid w:val="00D30E91"/>
    <w:rsid w:val="00D30EBE"/>
    <w:rsid w:val="00D31257"/>
    <w:rsid w:val="00D34BBE"/>
    <w:rsid w:val="00D35B9B"/>
    <w:rsid w:val="00D36625"/>
    <w:rsid w:val="00D36660"/>
    <w:rsid w:val="00D37842"/>
    <w:rsid w:val="00D37D17"/>
    <w:rsid w:val="00D42DC2"/>
    <w:rsid w:val="00D46924"/>
    <w:rsid w:val="00D517E5"/>
    <w:rsid w:val="00D52DE8"/>
    <w:rsid w:val="00D537E1"/>
    <w:rsid w:val="00D55BB2"/>
    <w:rsid w:val="00D5702B"/>
    <w:rsid w:val="00D574F3"/>
    <w:rsid w:val="00D60320"/>
    <w:rsid w:val="00D6091A"/>
    <w:rsid w:val="00D615B4"/>
    <w:rsid w:val="00D62309"/>
    <w:rsid w:val="00D6337E"/>
    <w:rsid w:val="00D63E0C"/>
    <w:rsid w:val="00D65D5E"/>
    <w:rsid w:val="00D6605A"/>
    <w:rsid w:val="00D6695F"/>
    <w:rsid w:val="00D67E9B"/>
    <w:rsid w:val="00D70A25"/>
    <w:rsid w:val="00D75644"/>
    <w:rsid w:val="00D775CA"/>
    <w:rsid w:val="00D80025"/>
    <w:rsid w:val="00D802C6"/>
    <w:rsid w:val="00D81656"/>
    <w:rsid w:val="00D81F7C"/>
    <w:rsid w:val="00D83082"/>
    <w:rsid w:val="00D832C1"/>
    <w:rsid w:val="00D83D87"/>
    <w:rsid w:val="00D84A6D"/>
    <w:rsid w:val="00D86A30"/>
    <w:rsid w:val="00D87F73"/>
    <w:rsid w:val="00D903FE"/>
    <w:rsid w:val="00D90497"/>
    <w:rsid w:val="00D90558"/>
    <w:rsid w:val="00D90BE3"/>
    <w:rsid w:val="00D92BA0"/>
    <w:rsid w:val="00D93A53"/>
    <w:rsid w:val="00D9452C"/>
    <w:rsid w:val="00D94C29"/>
    <w:rsid w:val="00D94C6B"/>
    <w:rsid w:val="00D94ECC"/>
    <w:rsid w:val="00D94F81"/>
    <w:rsid w:val="00D96762"/>
    <w:rsid w:val="00D9681F"/>
    <w:rsid w:val="00D973D9"/>
    <w:rsid w:val="00D97432"/>
    <w:rsid w:val="00D979D0"/>
    <w:rsid w:val="00D979DD"/>
    <w:rsid w:val="00D97CB4"/>
    <w:rsid w:val="00D97DD4"/>
    <w:rsid w:val="00DA0E84"/>
    <w:rsid w:val="00DA1286"/>
    <w:rsid w:val="00DA4DB9"/>
    <w:rsid w:val="00DA57A5"/>
    <w:rsid w:val="00DA5A8A"/>
    <w:rsid w:val="00DA5B2E"/>
    <w:rsid w:val="00DA5D15"/>
    <w:rsid w:val="00DA63CB"/>
    <w:rsid w:val="00DA63EA"/>
    <w:rsid w:val="00DA64DA"/>
    <w:rsid w:val="00DB1D03"/>
    <w:rsid w:val="00DB26A1"/>
    <w:rsid w:val="00DB26CD"/>
    <w:rsid w:val="00DB2B0E"/>
    <w:rsid w:val="00DB441C"/>
    <w:rsid w:val="00DB44AF"/>
    <w:rsid w:val="00DB4D44"/>
    <w:rsid w:val="00DB5987"/>
    <w:rsid w:val="00DB7351"/>
    <w:rsid w:val="00DC1F58"/>
    <w:rsid w:val="00DC339B"/>
    <w:rsid w:val="00DC4770"/>
    <w:rsid w:val="00DC58BA"/>
    <w:rsid w:val="00DC5D40"/>
    <w:rsid w:val="00DC6916"/>
    <w:rsid w:val="00DC694F"/>
    <w:rsid w:val="00DC69A7"/>
    <w:rsid w:val="00DC6B66"/>
    <w:rsid w:val="00DC6D27"/>
    <w:rsid w:val="00DD0822"/>
    <w:rsid w:val="00DD0B0A"/>
    <w:rsid w:val="00DD21AD"/>
    <w:rsid w:val="00DD2D07"/>
    <w:rsid w:val="00DD30E9"/>
    <w:rsid w:val="00DD4F47"/>
    <w:rsid w:val="00DD59E6"/>
    <w:rsid w:val="00DD6999"/>
    <w:rsid w:val="00DD7066"/>
    <w:rsid w:val="00DD7FBB"/>
    <w:rsid w:val="00DE0B9F"/>
    <w:rsid w:val="00DE0E81"/>
    <w:rsid w:val="00DE110A"/>
    <w:rsid w:val="00DE1319"/>
    <w:rsid w:val="00DE1449"/>
    <w:rsid w:val="00DE1EE6"/>
    <w:rsid w:val="00DE3A3E"/>
    <w:rsid w:val="00DE4238"/>
    <w:rsid w:val="00DE4444"/>
    <w:rsid w:val="00DE4BC8"/>
    <w:rsid w:val="00DE5BD4"/>
    <w:rsid w:val="00DE5F89"/>
    <w:rsid w:val="00DE657F"/>
    <w:rsid w:val="00DE7618"/>
    <w:rsid w:val="00DE770E"/>
    <w:rsid w:val="00DE7732"/>
    <w:rsid w:val="00DE776D"/>
    <w:rsid w:val="00DF1218"/>
    <w:rsid w:val="00DF2E75"/>
    <w:rsid w:val="00DF38E3"/>
    <w:rsid w:val="00DF4720"/>
    <w:rsid w:val="00DF5F59"/>
    <w:rsid w:val="00DF5F60"/>
    <w:rsid w:val="00DF6268"/>
    <w:rsid w:val="00DF6462"/>
    <w:rsid w:val="00DF6C4D"/>
    <w:rsid w:val="00DF7B99"/>
    <w:rsid w:val="00E00417"/>
    <w:rsid w:val="00E02122"/>
    <w:rsid w:val="00E02A22"/>
    <w:rsid w:val="00E02FA0"/>
    <w:rsid w:val="00E036DC"/>
    <w:rsid w:val="00E05E15"/>
    <w:rsid w:val="00E0644A"/>
    <w:rsid w:val="00E06A75"/>
    <w:rsid w:val="00E06CC8"/>
    <w:rsid w:val="00E07252"/>
    <w:rsid w:val="00E07BB6"/>
    <w:rsid w:val="00E10454"/>
    <w:rsid w:val="00E10FDF"/>
    <w:rsid w:val="00E112CC"/>
    <w:rsid w:val="00E112E5"/>
    <w:rsid w:val="00E12CC8"/>
    <w:rsid w:val="00E1384E"/>
    <w:rsid w:val="00E14A1E"/>
    <w:rsid w:val="00E15352"/>
    <w:rsid w:val="00E16419"/>
    <w:rsid w:val="00E16D19"/>
    <w:rsid w:val="00E16FAE"/>
    <w:rsid w:val="00E20D9A"/>
    <w:rsid w:val="00E21CC7"/>
    <w:rsid w:val="00E226C7"/>
    <w:rsid w:val="00E22D77"/>
    <w:rsid w:val="00E23C72"/>
    <w:rsid w:val="00E24D5B"/>
    <w:rsid w:val="00E24D9E"/>
    <w:rsid w:val="00E25849"/>
    <w:rsid w:val="00E25B60"/>
    <w:rsid w:val="00E265F3"/>
    <w:rsid w:val="00E30A6D"/>
    <w:rsid w:val="00E30F23"/>
    <w:rsid w:val="00E30FB3"/>
    <w:rsid w:val="00E3197E"/>
    <w:rsid w:val="00E31D67"/>
    <w:rsid w:val="00E32D12"/>
    <w:rsid w:val="00E342F8"/>
    <w:rsid w:val="00E34F12"/>
    <w:rsid w:val="00E34FD1"/>
    <w:rsid w:val="00E351ED"/>
    <w:rsid w:val="00E407CD"/>
    <w:rsid w:val="00E4159D"/>
    <w:rsid w:val="00E41EFA"/>
    <w:rsid w:val="00E43B7C"/>
    <w:rsid w:val="00E4600F"/>
    <w:rsid w:val="00E46604"/>
    <w:rsid w:val="00E47F45"/>
    <w:rsid w:val="00E50F0F"/>
    <w:rsid w:val="00E5209C"/>
    <w:rsid w:val="00E53A07"/>
    <w:rsid w:val="00E55498"/>
    <w:rsid w:val="00E56AA5"/>
    <w:rsid w:val="00E57304"/>
    <w:rsid w:val="00E5782E"/>
    <w:rsid w:val="00E57D61"/>
    <w:rsid w:val="00E6005F"/>
    <w:rsid w:val="00E6034B"/>
    <w:rsid w:val="00E60456"/>
    <w:rsid w:val="00E61177"/>
    <w:rsid w:val="00E61668"/>
    <w:rsid w:val="00E61AC1"/>
    <w:rsid w:val="00E62602"/>
    <w:rsid w:val="00E62F48"/>
    <w:rsid w:val="00E644D6"/>
    <w:rsid w:val="00E6549E"/>
    <w:rsid w:val="00E65EDE"/>
    <w:rsid w:val="00E668E5"/>
    <w:rsid w:val="00E67F6C"/>
    <w:rsid w:val="00E70186"/>
    <w:rsid w:val="00E708CC"/>
    <w:rsid w:val="00E70F81"/>
    <w:rsid w:val="00E7185C"/>
    <w:rsid w:val="00E73141"/>
    <w:rsid w:val="00E76DDD"/>
    <w:rsid w:val="00E76F8D"/>
    <w:rsid w:val="00E77055"/>
    <w:rsid w:val="00E77454"/>
    <w:rsid w:val="00E77460"/>
    <w:rsid w:val="00E77DFF"/>
    <w:rsid w:val="00E81452"/>
    <w:rsid w:val="00E8369A"/>
    <w:rsid w:val="00E83ABC"/>
    <w:rsid w:val="00E844F2"/>
    <w:rsid w:val="00E84D5E"/>
    <w:rsid w:val="00E84DDB"/>
    <w:rsid w:val="00E87709"/>
    <w:rsid w:val="00E90AD0"/>
    <w:rsid w:val="00E91831"/>
    <w:rsid w:val="00E92973"/>
    <w:rsid w:val="00E92FCB"/>
    <w:rsid w:val="00E94325"/>
    <w:rsid w:val="00E9585E"/>
    <w:rsid w:val="00E96332"/>
    <w:rsid w:val="00EA147F"/>
    <w:rsid w:val="00EA362B"/>
    <w:rsid w:val="00EA448F"/>
    <w:rsid w:val="00EA4605"/>
    <w:rsid w:val="00EA4A27"/>
    <w:rsid w:val="00EA4CBE"/>
    <w:rsid w:val="00EA4FA6"/>
    <w:rsid w:val="00EA5DB0"/>
    <w:rsid w:val="00EA6207"/>
    <w:rsid w:val="00EA7468"/>
    <w:rsid w:val="00EA7D73"/>
    <w:rsid w:val="00EA7F37"/>
    <w:rsid w:val="00EB1A25"/>
    <w:rsid w:val="00EB5844"/>
    <w:rsid w:val="00EB6D24"/>
    <w:rsid w:val="00EB6E77"/>
    <w:rsid w:val="00EC1135"/>
    <w:rsid w:val="00EC15FE"/>
    <w:rsid w:val="00EC2AFB"/>
    <w:rsid w:val="00EC414D"/>
    <w:rsid w:val="00EC723F"/>
    <w:rsid w:val="00ED03AB"/>
    <w:rsid w:val="00ED101E"/>
    <w:rsid w:val="00ED1586"/>
    <w:rsid w:val="00ED1CD4"/>
    <w:rsid w:val="00ED1D2B"/>
    <w:rsid w:val="00ED5402"/>
    <w:rsid w:val="00ED5ABE"/>
    <w:rsid w:val="00ED64B5"/>
    <w:rsid w:val="00ED7BB9"/>
    <w:rsid w:val="00EE0202"/>
    <w:rsid w:val="00EE2A3F"/>
    <w:rsid w:val="00EE31FC"/>
    <w:rsid w:val="00EE4628"/>
    <w:rsid w:val="00EE5548"/>
    <w:rsid w:val="00EE5F22"/>
    <w:rsid w:val="00EE6F9F"/>
    <w:rsid w:val="00EE7CCA"/>
    <w:rsid w:val="00EF1955"/>
    <w:rsid w:val="00EF3A09"/>
    <w:rsid w:val="00EF3F18"/>
    <w:rsid w:val="00EF49C9"/>
    <w:rsid w:val="00EF7639"/>
    <w:rsid w:val="00F008D6"/>
    <w:rsid w:val="00F01CE8"/>
    <w:rsid w:val="00F01F77"/>
    <w:rsid w:val="00F02D10"/>
    <w:rsid w:val="00F03BA9"/>
    <w:rsid w:val="00F05819"/>
    <w:rsid w:val="00F06D7B"/>
    <w:rsid w:val="00F07535"/>
    <w:rsid w:val="00F07644"/>
    <w:rsid w:val="00F10266"/>
    <w:rsid w:val="00F11074"/>
    <w:rsid w:val="00F121A4"/>
    <w:rsid w:val="00F12506"/>
    <w:rsid w:val="00F12B76"/>
    <w:rsid w:val="00F14387"/>
    <w:rsid w:val="00F144DF"/>
    <w:rsid w:val="00F14E26"/>
    <w:rsid w:val="00F16A14"/>
    <w:rsid w:val="00F202B1"/>
    <w:rsid w:val="00F21386"/>
    <w:rsid w:val="00F225AA"/>
    <w:rsid w:val="00F236EF"/>
    <w:rsid w:val="00F2761F"/>
    <w:rsid w:val="00F3254E"/>
    <w:rsid w:val="00F32F92"/>
    <w:rsid w:val="00F35505"/>
    <w:rsid w:val="00F35C55"/>
    <w:rsid w:val="00F362D7"/>
    <w:rsid w:val="00F37D7B"/>
    <w:rsid w:val="00F40BBB"/>
    <w:rsid w:val="00F41A18"/>
    <w:rsid w:val="00F43D2A"/>
    <w:rsid w:val="00F476FF"/>
    <w:rsid w:val="00F47FFA"/>
    <w:rsid w:val="00F50A23"/>
    <w:rsid w:val="00F51DF4"/>
    <w:rsid w:val="00F522B6"/>
    <w:rsid w:val="00F528DF"/>
    <w:rsid w:val="00F52F3A"/>
    <w:rsid w:val="00F5314C"/>
    <w:rsid w:val="00F549BC"/>
    <w:rsid w:val="00F55FA8"/>
    <w:rsid w:val="00F5688C"/>
    <w:rsid w:val="00F56E4E"/>
    <w:rsid w:val="00F56E63"/>
    <w:rsid w:val="00F56FD7"/>
    <w:rsid w:val="00F605D3"/>
    <w:rsid w:val="00F6193E"/>
    <w:rsid w:val="00F6227B"/>
    <w:rsid w:val="00F62719"/>
    <w:rsid w:val="00F62E30"/>
    <w:rsid w:val="00F635DD"/>
    <w:rsid w:val="00F64A00"/>
    <w:rsid w:val="00F65FD8"/>
    <w:rsid w:val="00F6627B"/>
    <w:rsid w:val="00F66B44"/>
    <w:rsid w:val="00F66ECA"/>
    <w:rsid w:val="00F67858"/>
    <w:rsid w:val="00F70B97"/>
    <w:rsid w:val="00F70BB0"/>
    <w:rsid w:val="00F72413"/>
    <w:rsid w:val="00F72D96"/>
    <w:rsid w:val="00F7336E"/>
    <w:rsid w:val="00F734F2"/>
    <w:rsid w:val="00F75052"/>
    <w:rsid w:val="00F754CC"/>
    <w:rsid w:val="00F75666"/>
    <w:rsid w:val="00F76DE2"/>
    <w:rsid w:val="00F76E81"/>
    <w:rsid w:val="00F77550"/>
    <w:rsid w:val="00F804D3"/>
    <w:rsid w:val="00F81CD2"/>
    <w:rsid w:val="00F82641"/>
    <w:rsid w:val="00F82F15"/>
    <w:rsid w:val="00F84557"/>
    <w:rsid w:val="00F84B4E"/>
    <w:rsid w:val="00F86AE6"/>
    <w:rsid w:val="00F86CFE"/>
    <w:rsid w:val="00F86D33"/>
    <w:rsid w:val="00F875E3"/>
    <w:rsid w:val="00F87656"/>
    <w:rsid w:val="00F87BAB"/>
    <w:rsid w:val="00F87C10"/>
    <w:rsid w:val="00F90F18"/>
    <w:rsid w:val="00F91BA4"/>
    <w:rsid w:val="00F92433"/>
    <w:rsid w:val="00F937E4"/>
    <w:rsid w:val="00F95EE7"/>
    <w:rsid w:val="00F9726B"/>
    <w:rsid w:val="00FA0913"/>
    <w:rsid w:val="00FA0EE0"/>
    <w:rsid w:val="00FA297B"/>
    <w:rsid w:val="00FA39E6"/>
    <w:rsid w:val="00FA63F0"/>
    <w:rsid w:val="00FA72D4"/>
    <w:rsid w:val="00FA7978"/>
    <w:rsid w:val="00FA7BC9"/>
    <w:rsid w:val="00FA7DD9"/>
    <w:rsid w:val="00FA7F36"/>
    <w:rsid w:val="00FB0113"/>
    <w:rsid w:val="00FB22C5"/>
    <w:rsid w:val="00FB378E"/>
    <w:rsid w:val="00FB37F1"/>
    <w:rsid w:val="00FB382F"/>
    <w:rsid w:val="00FB41FB"/>
    <w:rsid w:val="00FB4724"/>
    <w:rsid w:val="00FB47C0"/>
    <w:rsid w:val="00FB501B"/>
    <w:rsid w:val="00FB63FE"/>
    <w:rsid w:val="00FB68C5"/>
    <w:rsid w:val="00FB7770"/>
    <w:rsid w:val="00FB7C3C"/>
    <w:rsid w:val="00FC1B21"/>
    <w:rsid w:val="00FC1C5C"/>
    <w:rsid w:val="00FC41E7"/>
    <w:rsid w:val="00FC6B50"/>
    <w:rsid w:val="00FC71AC"/>
    <w:rsid w:val="00FC7985"/>
    <w:rsid w:val="00FC7D3A"/>
    <w:rsid w:val="00FD0C98"/>
    <w:rsid w:val="00FD3B91"/>
    <w:rsid w:val="00FD4F4B"/>
    <w:rsid w:val="00FD5568"/>
    <w:rsid w:val="00FD576B"/>
    <w:rsid w:val="00FD579E"/>
    <w:rsid w:val="00FD58AE"/>
    <w:rsid w:val="00FD5A1E"/>
    <w:rsid w:val="00FD65F3"/>
    <w:rsid w:val="00FD6845"/>
    <w:rsid w:val="00FE10DA"/>
    <w:rsid w:val="00FE1BAC"/>
    <w:rsid w:val="00FE1F06"/>
    <w:rsid w:val="00FE33C8"/>
    <w:rsid w:val="00FE44EE"/>
    <w:rsid w:val="00FE4516"/>
    <w:rsid w:val="00FE4B53"/>
    <w:rsid w:val="00FE4BEF"/>
    <w:rsid w:val="00FE4C42"/>
    <w:rsid w:val="00FE64C8"/>
    <w:rsid w:val="00FE67DA"/>
    <w:rsid w:val="00FE7AE2"/>
    <w:rsid w:val="00FF0C8B"/>
    <w:rsid w:val="00FF117B"/>
    <w:rsid w:val="00FF1F8A"/>
    <w:rsid w:val="00FF28A7"/>
    <w:rsid w:val="00FF2A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D45C27-C25E-4D1D-BBF5-02AB22FD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B783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132E05"/>
    <w:pPr>
      <w:numPr>
        <w:ilvl w:val="2"/>
        <w:numId w:val="25"/>
      </w:numPr>
      <w:ind w:left="1418" w:hanging="709"/>
      <w:outlineLvl w:val="2"/>
    </w:pPr>
    <w:rPr>
      <w:rFonts w:hAnsi="Arial" w:cs="細明體"/>
      <w:bCs/>
      <w:kern w:val="0"/>
      <w:szCs w:val="32"/>
    </w:rPr>
  </w:style>
  <w:style w:type="paragraph" w:styleId="4">
    <w:name w:val="heading 4"/>
    <w:aliases w:val="表格,一"/>
    <w:basedOn w:val="a6"/>
    <w:qFormat/>
    <w:rsid w:val="004F5E57"/>
    <w:pPr>
      <w:numPr>
        <w:ilvl w:val="3"/>
        <w:numId w:val="25"/>
      </w:numPr>
      <w:ind w:left="1701"/>
      <w:outlineLvl w:val="3"/>
    </w:pPr>
    <w:rPr>
      <w:rFonts w:hAnsi="Arial"/>
      <w:kern w:val="32"/>
      <w:szCs w:val="36"/>
    </w:rPr>
  </w:style>
  <w:style w:type="paragraph" w:styleId="5">
    <w:name w:val="heading 5"/>
    <w:basedOn w:val="a6"/>
    <w:link w:val="50"/>
    <w:qFormat/>
    <w:rsid w:val="004F5E57"/>
    <w:pPr>
      <w:numPr>
        <w:ilvl w:val="4"/>
        <w:numId w:val="25"/>
      </w:numPr>
      <w:ind w:left="2041"/>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ind w:left="2381"/>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7"/>
    <w:uiPriority w:val="59"/>
    <w:rsid w:val="005761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7"/>
    <w:uiPriority w:val="59"/>
    <w:rsid w:val="00BC2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表格格線3"/>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格格線4"/>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表格格線5"/>
    <w:basedOn w:val="a8"/>
    <w:next w:val="af7"/>
    <w:uiPriority w:val="59"/>
    <w:rsid w:val="00505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basedOn w:val="a6"/>
    <w:link w:val="afc"/>
    <w:uiPriority w:val="99"/>
    <w:semiHidden/>
    <w:unhideWhenUsed/>
    <w:rsid w:val="00842486"/>
    <w:pPr>
      <w:snapToGrid w:val="0"/>
      <w:jc w:val="left"/>
    </w:pPr>
    <w:rPr>
      <w:sz w:val="20"/>
    </w:rPr>
  </w:style>
  <w:style w:type="character" w:customStyle="1" w:styleId="afc">
    <w:name w:val="註腳文字 字元"/>
    <w:basedOn w:val="a7"/>
    <w:link w:val="afb"/>
    <w:uiPriority w:val="99"/>
    <w:semiHidden/>
    <w:rsid w:val="00842486"/>
    <w:rPr>
      <w:rFonts w:ascii="標楷體" w:eastAsia="標楷體"/>
      <w:kern w:val="2"/>
    </w:rPr>
  </w:style>
  <w:style w:type="character" w:styleId="afd">
    <w:name w:val="footnote reference"/>
    <w:basedOn w:val="a7"/>
    <w:uiPriority w:val="99"/>
    <w:semiHidden/>
    <w:unhideWhenUsed/>
    <w:rsid w:val="00842486"/>
    <w:rPr>
      <w:vertAlign w:val="superscript"/>
    </w:rPr>
  </w:style>
  <w:style w:type="character" w:styleId="afe">
    <w:name w:val="Placeholder Text"/>
    <w:basedOn w:val="a7"/>
    <w:uiPriority w:val="99"/>
    <w:semiHidden/>
    <w:rsid w:val="00B81A8B"/>
    <w:rPr>
      <w:color w:val="808080"/>
    </w:rPr>
  </w:style>
  <w:style w:type="character" w:customStyle="1" w:styleId="30">
    <w:name w:val="標題 3 字元"/>
    <w:basedOn w:val="a7"/>
    <w:link w:val="3"/>
    <w:rsid w:val="00134257"/>
    <w:rPr>
      <w:rFonts w:ascii="標楷體" w:eastAsia="標楷體" w:hAnsi="Arial" w:cs="細明體"/>
      <w:bCs/>
      <w:sz w:val="32"/>
      <w:szCs w:val="32"/>
    </w:rPr>
  </w:style>
  <w:style w:type="character" w:customStyle="1" w:styleId="50">
    <w:name w:val="標題 5 字元"/>
    <w:basedOn w:val="a7"/>
    <w:link w:val="5"/>
    <w:rsid w:val="00A30BBE"/>
    <w:rPr>
      <w:rFonts w:ascii="標楷體" w:eastAsia="標楷體" w:hAnsi="Arial"/>
      <w:bCs/>
      <w:kern w:val="32"/>
      <w:sz w:val="32"/>
      <w:szCs w:val="36"/>
    </w:rPr>
  </w:style>
  <w:style w:type="character" w:customStyle="1" w:styleId="60">
    <w:name w:val="標題 6 字元"/>
    <w:basedOn w:val="a7"/>
    <w:link w:val="6"/>
    <w:rsid w:val="00A30BBE"/>
    <w:rPr>
      <w:rFonts w:ascii="標楷體" w:eastAsia="標楷體" w:hAnsi="Arial"/>
      <w:kern w:val="32"/>
      <w:sz w:val="32"/>
      <w:szCs w:val="36"/>
    </w:rPr>
  </w:style>
  <w:style w:type="character" w:customStyle="1" w:styleId="70">
    <w:name w:val="標題 7 字元"/>
    <w:basedOn w:val="a7"/>
    <w:link w:val="7"/>
    <w:rsid w:val="00A30BBE"/>
    <w:rPr>
      <w:rFonts w:ascii="標楷體" w:eastAsia="標楷體" w:hAnsi="Arial"/>
      <w:bCs/>
      <w:kern w:val="32"/>
      <w:sz w:val="32"/>
      <w:szCs w:val="36"/>
    </w:rPr>
  </w:style>
  <w:style w:type="character" w:customStyle="1" w:styleId="ab">
    <w:name w:val="簽名 字元"/>
    <w:basedOn w:val="a7"/>
    <w:link w:val="aa"/>
    <w:semiHidden/>
    <w:rsid w:val="006A2281"/>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31137">
      <w:bodyDiv w:val="1"/>
      <w:marLeft w:val="0"/>
      <w:marRight w:val="0"/>
      <w:marTop w:val="0"/>
      <w:marBottom w:val="0"/>
      <w:divBdr>
        <w:top w:val="none" w:sz="0" w:space="0" w:color="auto"/>
        <w:left w:val="none" w:sz="0" w:space="0" w:color="auto"/>
        <w:bottom w:val="none" w:sz="0" w:space="0" w:color="auto"/>
        <w:right w:val="none" w:sz="0" w:space="0" w:color="auto"/>
      </w:divBdr>
    </w:div>
    <w:div w:id="653874365">
      <w:bodyDiv w:val="1"/>
      <w:marLeft w:val="0"/>
      <w:marRight w:val="0"/>
      <w:marTop w:val="0"/>
      <w:marBottom w:val="0"/>
      <w:divBdr>
        <w:top w:val="none" w:sz="0" w:space="0" w:color="auto"/>
        <w:left w:val="none" w:sz="0" w:space="0" w:color="auto"/>
        <w:bottom w:val="none" w:sz="0" w:space="0" w:color="auto"/>
        <w:right w:val="none" w:sz="0" w:space="0" w:color="auto"/>
      </w:divBdr>
    </w:div>
    <w:div w:id="1116414729">
      <w:bodyDiv w:val="1"/>
      <w:marLeft w:val="0"/>
      <w:marRight w:val="0"/>
      <w:marTop w:val="0"/>
      <w:marBottom w:val="0"/>
      <w:divBdr>
        <w:top w:val="none" w:sz="0" w:space="0" w:color="auto"/>
        <w:left w:val="none" w:sz="0" w:space="0" w:color="auto"/>
        <w:bottom w:val="none" w:sz="0" w:space="0" w:color="auto"/>
        <w:right w:val="none" w:sz="0" w:space="0" w:color="auto"/>
      </w:divBdr>
    </w:div>
    <w:div w:id="187862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D71A6-2F94-464B-A1DA-DA2964EE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23</Pages>
  <Words>1982</Words>
  <Characters>11303</Characters>
  <Application>Microsoft Office Word</Application>
  <DocSecurity>0</DocSecurity>
  <Lines>94</Lines>
  <Paragraphs>26</Paragraphs>
  <ScaleCrop>false</ScaleCrop>
  <Company>cy</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賴淑玲</cp:lastModifiedBy>
  <cp:revision>2</cp:revision>
  <cp:lastPrinted>2021-10-01T07:39:00Z</cp:lastPrinted>
  <dcterms:created xsi:type="dcterms:W3CDTF">2022-01-18T03:40:00Z</dcterms:created>
  <dcterms:modified xsi:type="dcterms:W3CDTF">2022-01-18T03:40:00Z</dcterms:modified>
</cp:coreProperties>
</file>