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46F50" w:rsidRDefault="0025106C" w:rsidP="00F37D7B">
      <w:pPr>
        <w:pStyle w:val="af2"/>
      </w:pPr>
      <w:r w:rsidRPr="00E46F50">
        <w:rPr>
          <w:rFonts w:hint="eastAsia"/>
        </w:rPr>
        <w:t>糾正案文</w:t>
      </w:r>
    </w:p>
    <w:p w:rsidR="00E25849" w:rsidRPr="001659E7" w:rsidRDefault="0025106C" w:rsidP="00A934B7">
      <w:pPr>
        <w:pStyle w:val="1"/>
      </w:pPr>
      <w:r w:rsidRPr="001659E7">
        <w:rPr>
          <w:rFonts w:hint="eastAsia"/>
        </w:rPr>
        <w:t>被糾正機關：</w:t>
      </w:r>
      <w:r w:rsidR="000728C9" w:rsidRPr="000728C9">
        <w:rPr>
          <w:rFonts w:hint="eastAsia"/>
        </w:rPr>
        <w:t>經濟部、台灣電力股份有限公司</w:t>
      </w:r>
      <w:r w:rsidR="00693B3B" w:rsidRPr="001659E7">
        <w:rPr>
          <w:rFonts w:hAnsi="標楷體" w:hint="eastAsia"/>
        </w:rPr>
        <w:t>。</w:t>
      </w:r>
    </w:p>
    <w:p w:rsidR="00E25849" w:rsidRPr="000728C9" w:rsidRDefault="0025106C" w:rsidP="00CF17F0">
      <w:pPr>
        <w:pStyle w:val="1"/>
        <w:rPr>
          <w:spacing w:val="-2"/>
        </w:rPr>
      </w:pPr>
      <w:r w:rsidRPr="001659E7">
        <w:rPr>
          <w:rFonts w:hint="eastAsia"/>
        </w:rPr>
        <w:t>案　　　由：</w:t>
      </w:r>
      <w:r w:rsidR="00231A3B">
        <w:tab/>
      </w:r>
      <w:bookmarkStart w:id="0" w:name="_Toc89337683"/>
      <w:r w:rsidR="00815D3D" w:rsidRPr="00815D3D">
        <w:rPr>
          <w:rFonts w:hint="eastAsia"/>
        </w:rPr>
        <w:t>日本福島核災發生後，行政院核定之「我國核能電廠現有安全防護體制全面體檢方案」旋要求台電公司建立機組「斷然處置程序」以因應全球益趨複雜莫測之複合式天災，國內權責機關</w:t>
      </w:r>
      <w:proofErr w:type="gramStart"/>
      <w:r w:rsidR="00815D3D" w:rsidRPr="00815D3D">
        <w:rPr>
          <w:rFonts w:hint="eastAsia"/>
        </w:rPr>
        <w:t>爰</w:t>
      </w:r>
      <w:proofErr w:type="gramEnd"/>
      <w:r w:rsidR="00815D3D" w:rsidRPr="00815D3D">
        <w:rPr>
          <w:rFonts w:hint="eastAsia"/>
        </w:rPr>
        <w:t>多年來幾乎視此程序為</w:t>
      </w:r>
      <w:proofErr w:type="gramStart"/>
      <w:r w:rsidR="00815D3D" w:rsidRPr="00815D3D">
        <w:rPr>
          <w:rFonts w:hint="eastAsia"/>
        </w:rPr>
        <w:t>保命</w:t>
      </w:r>
      <w:proofErr w:type="gramEnd"/>
      <w:r w:rsidR="00815D3D" w:rsidRPr="00815D3D">
        <w:rPr>
          <w:rFonts w:hint="eastAsia"/>
        </w:rPr>
        <w:t>符，不斷宣稱臺灣核能安全已升級，不致發生福島式核災，</w:t>
      </w:r>
      <w:bookmarkEnd w:id="0"/>
      <w:r w:rsidR="00815D3D" w:rsidRPr="00815D3D">
        <w:rPr>
          <w:rFonts w:hint="eastAsia"/>
        </w:rPr>
        <w:t>然此程序最終成敗關鍵端賴現場工作人員原地死守，此乃人性嚴酷考驗，相關單位對此長期皆避而不談，更有專業訓練及操作經驗等要素，皆未臻可靠無虞，尤有甚多不確定因素迄未充分掌控，全球核電廠莫不對嚴重核災恐懼謹慎以待，詎該公司竟長期對外宣稱因「斷然處置程序」為萬無一失之機制，臺灣無須憂慮爐</w:t>
      </w:r>
      <w:proofErr w:type="gramStart"/>
      <w:r w:rsidR="00815D3D" w:rsidRPr="00815D3D">
        <w:rPr>
          <w:rFonts w:hint="eastAsia"/>
        </w:rPr>
        <w:t>心熔毀核</w:t>
      </w:r>
      <w:proofErr w:type="gramEnd"/>
      <w:r w:rsidR="00815D3D" w:rsidRPr="00815D3D">
        <w:rPr>
          <w:rFonts w:hint="eastAsia"/>
        </w:rPr>
        <w:t>災，殊有違失，經濟部洵難辭監督不力之咎</w:t>
      </w:r>
      <w:r w:rsidR="00B74B83" w:rsidRPr="00815D3D">
        <w:rPr>
          <w:rFonts w:hint="eastAsia"/>
          <w:spacing w:val="-2"/>
        </w:rPr>
        <w:t>，</w:t>
      </w:r>
      <w:r w:rsidR="008B4841" w:rsidRPr="000728C9">
        <w:rPr>
          <w:rFonts w:hint="eastAsia"/>
          <w:spacing w:val="-2"/>
        </w:rPr>
        <w:t>爰依法提案糾正</w:t>
      </w:r>
      <w:r w:rsidRPr="000728C9">
        <w:rPr>
          <w:rFonts w:hint="eastAsia"/>
          <w:spacing w:val="-2"/>
        </w:rPr>
        <w:t>。</w:t>
      </w:r>
    </w:p>
    <w:p w:rsidR="00080040" w:rsidRPr="001659E7" w:rsidRDefault="00DB3135" w:rsidP="00EB5E17">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1659E7">
        <w:rPr>
          <w:rFonts w:hint="eastAsia"/>
        </w:rPr>
        <w:t>事實與理由：</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0728C9" w:rsidRDefault="000728C9" w:rsidP="000728C9">
      <w:pPr>
        <w:pStyle w:val="10"/>
        <w:ind w:left="680" w:firstLine="680"/>
      </w:pPr>
      <w:r>
        <w:rPr>
          <w:rFonts w:hint="eastAsia"/>
        </w:rPr>
        <w:t>2011年3月11日，日本福島核災發生後，行政院原子能委員會（下稱原能會）旋依行政院於同年4月間核定之「我國核能電廠現有安全防護體制全面體檢方案」，要求台灣電力股份有限公司（下稱台電公司）建立機組斷然處置程序以因應複合式災害。</w:t>
      </w:r>
      <w:proofErr w:type="gramStart"/>
      <w:r>
        <w:rPr>
          <w:rFonts w:hint="eastAsia"/>
        </w:rPr>
        <w:t>嗣</w:t>
      </w:r>
      <w:proofErr w:type="gramEnd"/>
      <w:r>
        <w:rPr>
          <w:rFonts w:hint="eastAsia"/>
        </w:rPr>
        <w:t>於2018年4月間公布「核能電廠斷然處置程序指引(Ultimate Response Guideline,簡稱URG)-原能會安全評估報告」，致使國內權責機關多年來即以系爭程序為護國寶器，不斷宣稱臺灣不致發生福島</w:t>
      </w:r>
      <w:proofErr w:type="gramStart"/>
      <w:r>
        <w:rPr>
          <w:rFonts w:hint="eastAsia"/>
        </w:rPr>
        <w:t>核災式的</w:t>
      </w:r>
      <w:proofErr w:type="gramEnd"/>
      <w:r>
        <w:rPr>
          <w:rFonts w:hint="eastAsia"/>
        </w:rPr>
        <w:t>爐</w:t>
      </w:r>
      <w:proofErr w:type="gramStart"/>
      <w:r>
        <w:rPr>
          <w:rFonts w:hint="eastAsia"/>
        </w:rPr>
        <w:t>心熔毀核</w:t>
      </w:r>
      <w:proofErr w:type="gramEnd"/>
      <w:r>
        <w:rPr>
          <w:rFonts w:hint="eastAsia"/>
        </w:rPr>
        <w:t>災。然而，天威難</w:t>
      </w:r>
      <w:r>
        <w:rPr>
          <w:rFonts w:hint="eastAsia"/>
        </w:rPr>
        <w:lastRenderedPageBreak/>
        <w:t>測、</w:t>
      </w:r>
      <w:proofErr w:type="gramStart"/>
      <w:r>
        <w:rPr>
          <w:rFonts w:hint="eastAsia"/>
        </w:rPr>
        <w:t>風雲瞬變</w:t>
      </w:r>
      <w:proofErr w:type="gramEnd"/>
      <w:r>
        <w:rPr>
          <w:rFonts w:hint="eastAsia"/>
        </w:rPr>
        <w:t>，我國若發生類似日本福島核災等級的災害，系爭程序能否發揮其宣稱之功效，確能有效保障國人澈底絕緣於核電廠之毀滅性災變？</w:t>
      </w:r>
      <w:proofErr w:type="gramStart"/>
      <w:r>
        <w:rPr>
          <w:rFonts w:hint="eastAsia"/>
        </w:rPr>
        <w:t>且系爭</w:t>
      </w:r>
      <w:proofErr w:type="gramEnd"/>
      <w:r>
        <w:rPr>
          <w:rFonts w:hint="eastAsia"/>
        </w:rPr>
        <w:t>程序起動時，核電廠往往已處於極為驚恐危急之際，如何確保第一線留守人員臨危而仍死守崗位？如何確保未有人臨時逃避或離職、仍有足夠人員死守現場執行斷然處置完整全套程序?</w:t>
      </w:r>
      <w:proofErr w:type="gramStart"/>
      <w:r>
        <w:rPr>
          <w:rFonts w:hint="eastAsia"/>
        </w:rPr>
        <w:t>均顯有</w:t>
      </w:r>
      <w:proofErr w:type="gramEnd"/>
      <w:r>
        <w:rPr>
          <w:rFonts w:hint="eastAsia"/>
        </w:rPr>
        <w:t>疑慮，實有詳究之必要，爰立案調查。</w:t>
      </w:r>
    </w:p>
    <w:p w:rsidR="006075B8" w:rsidRPr="005A1876" w:rsidRDefault="000728C9" w:rsidP="000728C9">
      <w:pPr>
        <w:pStyle w:val="10"/>
        <w:ind w:left="680" w:firstLine="680"/>
      </w:pPr>
      <w:r>
        <w:rPr>
          <w:rFonts w:hint="eastAsia"/>
        </w:rPr>
        <w:t>案經函請原能會、台電公司就有關事項提出說明</w:t>
      </w:r>
      <w:proofErr w:type="gramStart"/>
      <w:r>
        <w:rPr>
          <w:rFonts w:hint="eastAsia"/>
        </w:rPr>
        <w:t>併</w:t>
      </w:r>
      <w:proofErr w:type="gramEnd"/>
      <w:r>
        <w:rPr>
          <w:rFonts w:hint="eastAsia"/>
        </w:rPr>
        <w:t>附佐證資料到院，嗣諮詢核能電廠實務操作與理論相關領域專家學者，復詢問原能會及台電公司相關主管人員，業調查</w:t>
      </w:r>
      <w:r w:rsidR="00CD76D7" w:rsidRPr="0079292C">
        <w:rPr>
          <w:rFonts w:hint="eastAsia"/>
        </w:rPr>
        <w:t>。繼而持續</w:t>
      </w:r>
      <w:proofErr w:type="gramStart"/>
      <w:r w:rsidR="00CD76D7" w:rsidRPr="0079292C">
        <w:rPr>
          <w:rFonts w:hint="eastAsia"/>
        </w:rPr>
        <w:t>蒐</w:t>
      </w:r>
      <w:proofErr w:type="gramEnd"/>
      <w:r w:rsidR="00CD76D7" w:rsidRPr="0079292C">
        <w:rPr>
          <w:rFonts w:hint="eastAsia"/>
        </w:rPr>
        <w:t>研相關卷證與相關網站登載資料、統計數據及參考文獻</w:t>
      </w:r>
      <w:r w:rsidR="006075B8">
        <w:rPr>
          <w:rFonts w:hint="eastAsia"/>
        </w:rPr>
        <w:t>之調查發現</w:t>
      </w:r>
      <w:r w:rsidR="006075B8" w:rsidRPr="005A1876">
        <w:rPr>
          <w:rFonts w:hint="eastAsia"/>
        </w:rPr>
        <w:t>，</w:t>
      </w:r>
      <w:r w:rsidRPr="000728C9">
        <w:rPr>
          <w:rFonts w:hint="eastAsia"/>
        </w:rPr>
        <w:t>經濟部、台電公司</w:t>
      </w:r>
      <w:r w:rsidR="00A74CF3">
        <w:rPr>
          <w:rFonts w:hint="eastAsia"/>
          <w:spacing w:val="4"/>
        </w:rPr>
        <w:t>確有</w:t>
      </w:r>
      <w:r w:rsidR="00A74CF3" w:rsidRPr="001659E7">
        <w:rPr>
          <w:rFonts w:hint="eastAsia"/>
          <w:spacing w:val="4"/>
        </w:rPr>
        <w:t>違失，</w:t>
      </w:r>
      <w:r w:rsidR="00A74CF3" w:rsidRPr="001659E7">
        <w:rPr>
          <w:rFonts w:hint="eastAsia"/>
          <w:bCs/>
          <w:spacing w:val="4"/>
        </w:rPr>
        <w:t>應予糾正促其注意改善。茲臚列</w:t>
      </w:r>
      <w:r w:rsidR="00A74CF3" w:rsidRPr="001659E7">
        <w:rPr>
          <w:rFonts w:hint="eastAsia"/>
          <w:bCs/>
          <w:color w:val="000000" w:themeColor="text1"/>
          <w:spacing w:val="4"/>
        </w:rPr>
        <w:t>事實與理由</w:t>
      </w:r>
      <w:r w:rsidR="00A74CF3" w:rsidRPr="001659E7">
        <w:rPr>
          <w:rFonts w:hint="eastAsia"/>
          <w:bCs/>
          <w:spacing w:val="4"/>
        </w:rPr>
        <w:t>如下</w:t>
      </w:r>
      <w:r w:rsidR="00A74CF3" w:rsidRPr="001659E7">
        <w:rPr>
          <w:rFonts w:hint="eastAsia"/>
          <w:spacing w:val="4"/>
        </w:rPr>
        <w:t>：</w:t>
      </w:r>
    </w:p>
    <w:p w:rsidR="00D66CBA" w:rsidRPr="00D66CBA" w:rsidRDefault="00D66CBA" w:rsidP="00D66CBA">
      <w:pPr>
        <w:pStyle w:val="2"/>
        <w:rPr>
          <w:b w:val="0"/>
        </w:rPr>
      </w:pPr>
      <w:bookmarkStart w:id="42" w:name="_Toc76653552"/>
      <w:bookmarkStart w:id="43" w:name="_Toc76321839"/>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6"/>
      <w:bookmarkEnd w:id="37"/>
      <w:bookmarkEnd w:id="38"/>
      <w:bookmarkEnd w:id="39"/>
      <w:bookmarkEnd w:id="40"/>
      <w:bookmarkEnd w:id="41"/>
      <w:r w:rsidRPr="00D66CBA">
        <w:rPr>
          <w:rFonts w:hint="eastAsia"/>
          <w:b w:val="0"/>
          <w:spacing w:val="-2"/>
        </w:rPr>
        <w:t>2011年3月31日，日本福島核災發生後，</w:t>
      </w:r>
      <w:r w:rsidRPr="00D66CBA">
        <w:rPr>
          <w:rFonts w:hint="eastAsia"/>
          <w:b w:val="0"/>
        </w:rPr>
        <w:t>時任總統馬英九於國家安全會議311專案第五次會議裁示：「三座運轉中核電廠及一座興建中核電廠，應再予以總體檢」，旋由原能會、經濟部、台電公司、放射性物料管理局、核能研究所等單位共同檢討現有核能機組因應事故之能力以及天災發生之後救災過程中，潛在可能發生設備喪失功能的危險要項，並參酌國際組織及世界核能先進國家對現有機組所</w:t>
      </w:r>
      <w:proofErr w:type="gramStart"/>
      <w:r w:rsidRPr="00D66CBA">
        <w:rPr>
          <w:rFonts w:hint="eastAsia"/>
          <w:b w:val="0"/>
        </w:rPr>
        <w:t>採</w:t>
      </w:r>
      <w:proofErr w:type="gramEnd"/>
      <w:r w:rsidRPr="00D66CBA">
        <w:rPr>
          <w:rFonts w:hint="eastAsia"/>
          <w:b w:val="0"/>
        </w:rPr>
        <w:t>行的改善措施。原能會遂</w:t>
      </w:r>
      <w:proofErr w:type="gramStart"/>
      <w:r w:rsidRPr="00D66CBA">
        <w:rPr>
          <w:rFonts w:hint="eastAsia"/>
          <w:b w:val="0"/>
        </w:rPr>
        <w:t>研</w:t>
      </w:r>
      <w:proofErr w:type="gramEnd"/>
      <w:r w:rsidRPr="00D66CBA">
        <w:rPr>
          <w:rFonts w:hint="eastAsia"/>
          <w:b w:val="0"/>
        </w:rPr>
        <w:t>提</w:t>
      </w:r>
      <w:r w:rsidRPr="00D66CBA">
        <w:rPr>
          <w:rFonts w:hAnsi="標楷體" w:hint="eastAsia"/>
          <w:b w:val="0"/>
        </w:rPr>
        <w:t>「</w:t>
      </w:r>
      <w:r w:rsidRPr="00D66CBA">
        <w:rPr>
          <w:rFonts w:hint="eastAsia"/>
          <w:b w:val="0"/>
        </w:rPr>
        <w:t>國內核能電廠現有安全防護體制全面體檢方案</w:t>
      </w:r>
      <w:r w:rsidRPr="00D66CBA">
        <w:rPr>
          <w:rFonts w:hAnsi="標楷體" w:hint="eastAsia"/>
          <w:b w:val="0"/>
        </w:rPr>
        <w:t>」，提請1</w:t>
      </w:r>
      <w:r w:rsidRPr="00D66CBA">
        <w:rPr>
          <w:rFonts w:hAnsi="標楷體"/>
          <w:b w:val="0"/>
        </w:rPr>
        <w:t>00</w:t>
      </w:r>
      <w:r w:rsidRPr="00D66CBA">
        <w:rPr>
          <w:rFonts w:hAnsi="標楷體" w:hint="eastAsia"/>
          <w:b w:val="0"/>
        </w:rPr>
        <w:t>年3月31日原能會委員會議討論通過後，於同年4月8日簽陳行政院，並於同年月19日奉行政院修正核定施行，內容分為「核能安全防護措施」與「輻射防護及緊急應變機制」兩部分，其中「核能安全防護措施」</w:t>
      </w:r>
      <w:r w:rsidRPr="00D66CBA">
        <w:rPr>
          <w:rFonts w:hAnsi="標楷體" w:hint="eastAsia"/>
          <w:b w:val="0"/>
          <w:sz w:val="24"/>
          <w:szCs w:val="24"/>
        </w:rPr>
        <w:t>（原能會主辦，經濟部協助督導，台電公司受檢）</w:t>
      </w:r>
      <w:r w:rsidRPr="00D66CBA">
        <w:rPr>
          <w:rFonts w:hAnsi="標楷體" w:hint="eastAsia"/>
          <w:b w:val="0"/>
        </w:rPr>
        <w:t>中第6項</w:t>
      </w:r>
      <w:r w:rsidRPr="00D66CBA">
        <w:rPr>
          <w:rFonts w:hAnsi="標楷體" w:hint="eastAsia"/>
          <w:b w:val="0"/>
          <w:u w:val="single"/>
        </w:rPr>
        <w:t>機組斷然處置程序之建立</w:t>
      </w:r>
      <w:r w:rsidRPr="00D66CBA">
        <w:rPr>
          <w:rFonts w:hAnsi="標楷體" w:hint="eastAsia"/>
          <w:b w:val="0"/>
        </w:rPr>
        <w:t>：包括檢討與建立機組斷然處置之通報、運作方式、機制、設備、程序及因應</w:t>
      </w:r>
      <w:r w:rsidRPr="00D66CBA">
        <w:rPr>
          <w:rFonts w:hAnsi="標楷體" w:hint="eastAsia"/>
          <w:b w:val="0"/>
        </w:rPr>
        <w:lastRenderedPageBreak/>
        <w:t>做法。</w:t>
      </w:r>
      <w:bookmarkEnd w:id="42"/>
    </w:p>
    <w:p w:rsidR="00D66CBA" w:rsidRPr="00D66CBA" w:rsidRDefault="00D66CBA" w:rsidP="00D66CBA">
      <w:pPr>
        <w:pStyle w:val="2"/>
        <w:rPr>
          <w:b w:val="0"/>
        </w:rPr>
      </w:pPr>
      <w:bookmarkStart w:id="54" w:name="_Toc76653553"/>
      <w:r w:rsidRPr="00D66CBA">
        <w:rPr>
          <w:rFonts w:hint="eastAsia"/>
          <w:b w:val="0"/>
        </w:rPr>
        <w:t>上揭斷然處置程序係我國就日本福島核災因層層通報導致救援措施延宕之缺失，經檢討後之因應做法。</w:t>
      </w:r>
      <w:proofErr w:type="gramStart"/>
      <w:r w:rsidRPr="00D66CBA">
        <w:rPr>
          <w:rFonts w:hint="eastAsia"/>
          <w:b w:val="0"/>
        </w:rPr>
        <w:t>嗣</w:t>
      </w:r>
      <w:proofErr w:type="gramEnd"/>
      <w:r w:rsidRPr="00D66CBA">
        <w:rPr>
          <w:rFonts w:hint="eastAsia"/>
          <w:b w:val="0"/>
        </w:rPr>
        <w:t>於107年4月間，原能會公布「核能電廠斷然處置程序指引-原能會安全評估報告」在案。依前開「核能電廠機組斷然處置程序」指引(沸水式電廠)(106年7月21日修訂5版)、「核能電廠機組斷然處置程序」指引(壓水式電廠)(106年9月12日修訂5版)(下統稱「斷然處置程序」)，</w:t>
      </w:r>
      <w:r w:rsidRPr="00D66CBA">
        <w:rPr>
          <w:rFonts w:hint="eastAsia"/>
          <w:b w:val="0"/>
          <w:u w:val="single"/>
        </w:rPr>
        <w:t>「斷然處置」係指「當電廠面臨複合式災害，廠區發生大規模損壞，致使機組面臨全面喪失廠外電源及廠內既有之固定式交流電源或喪失</w:t>
      </w:r>
      <w:proofErr w:type="gramStart"/>
      <w:r w:rsidRPr="00D66CBA">
        <w:rPr>
          <w:rFonts w:hint="eastAsia"/>
          <w:b w:val="0"/>
          <w:u w:val="single"/>
        </w:rPr>
        <w:t>反應爐補水狀況</w:t>
      </w:r>
      <w:proofErr w:type="gramEnd"/>
      <w:r w:rsidRPr="00D66CBA">
        <w:rPr>
          <w:rFonts w:hint="eastAsia"/>
          <w:b w:val="0"/>
          <w:u w:val="single"/>
        </w:rPr>
        <w:t>時，必須採取決斷行動做好即便廢棄反應爐也要將水注入的準備</w:t>
      </w:r>
      <w:r w:rsidRPr="00D66CBA">
        <w:rPr>
          <w:rFonts w:hint="eastAsia"/>
          <w:b w:val="0"/>
        </w:rPr>
        <w:t>。台電公司</w:t>
      </w:r>
      <w:proofErr w:type="gramStart"/>
      <w:r w:rsidRPr="00D66CBA">
        <w:rPr>
          <w:rFonts w:hint="eastAsia"/>
          <w:b w:val="0"/>
        </w:rPr>
        <w:t>採</w:t>
      </w:r>
      <w:proofErr w:type="gramEnd"/>
      <w:r w:rsidRPr="00D66CBA">
        <w:rPr>
          <w:rFonts w:hint="eastAsia"/>
          <w:b w:val="0"/>
        </w:rPr>
        <w:t>最保守假設，要求於1小時內，完成注水設備</w:t>
      </w:r>
      <w:proofErr w:type="gramStart"/>
      <w:r w:rsidRPr="00D66CBA">
        <w:rPr>
          <w:rFonts w:hint="eastAsia"/>
          <w:b w:val="0"/>
        </w:rPr>
        <w:t>之列</w:t>
      </w:r>
      <w:proofErr w:type="gramEnd"/>
      <w:r w:rsidRPr="00D66CBA">
        <w:rPr>
          <w:rFonts w:hint="eastAsia"/>
          <w:b w:val="0"/>
        </w:rPr>
        <w:t>置，隨時準備將生水或海水注入反應爐，經研判</w:t>
      </w:r>
      <w:proofErr w:type="gramStart"/>
      <w:r w:rsidRPr="00D66CBA">
        <w:rPr>
          <w:rFonts w:hint="eastAsia"/>
          <w:b w:val="0"/>
        </w:rPr>
        <w:t>已達需進</w:t>
      </w:r>
      <w:proofErr w:type="gramEnd"/>
      <w:r w:rsidRPr="00D66CBA">
        <w:rPr>
          <w:rFonts w:hint="eastAsia"/>
          <w:b w:val="0"/>
        </w:rPr>
        <w:t>行斷然處置注水狀況時，立即將可用水源注入反應爐，確保核燃料受水覆蓋，防止放射性物質外釋，避免大規模民眾疏散。此時，即便需注入海水，可能造成反應爐無法再使用，但保障民眾健康與安全，仍是台電公司毫無猶豫之最優先考量</w:t>
      </w:r>
      <w:r w:rsidRPr="00D66CBA">
        <w:rPr>
          <w:rFonts w:hAnsi="標楷體" w:hint="eastAsia"/>
          <w:b w:val="0"/>
        </w:rPr>
        <w:t>…</w:t>
      </w:r>
      <w:proofErr w:type="gramStart"/>
      <w:r w:rsidRPr="00D66CBA">
        <w:rPr>
          <w:rFonts w:hAnsi="標楷體" w:hint="eastAsia"/>
          <w:b w:val="0"/>
        </w:rPr>
        <w:t>…</w:t>
      </w:r>
      <w:proofErr w:type="gramEnd"/>
      <w:r w:rsidRPr="00D66CBA">
        <w:rPr>
          <w:rFonts w:hint="eastAsia"/>
          <w:b w:val="0"/>
        </w:rPr>
        <w:t>」。</w:t>
      </w:r>
    </w:p>
    <w:p w:rsidR="00D66CBA" w:rsidRPr="0012197A" w:rsidRDefault="00D66CBA" w:rsidP="00D66CBA">
      <w:pPr>
        <w:pStyle w:val="3"/>
        <w:numPr>
          <w:ilvl w:val="0"/>
          <w:numId w:val="0"/>
        </w:numPr>
        <w:ind w:leftChars="300" w:left="1020"/>
        <w:rPr>
          <w:spacing w:val="-2"/>
        </w:rPr>
      </w:pPr>
      <w:r w:rsidRPr="0012197A">
        <w:rPr>
          <w:rFonts w:hint="eastAsia"/>
          <w:spacing w:val="-2"/>
        </w:rPr>
        <w:t>系爭「斷然處置程序」背景說明同時亦指出：</w:t>
      </w:r>
      <w:r w:rsidRPr="0012197A">
        <w:rPr>
          <w:rFonts w:hAnsi="標楷體" w:hint="eastAsia"/>
          <w:spacing w:val="-2"/>
        </w:rPr>
        <w:t>「</w:t>
      </w:r>
      <w:r w:rsidRPr="0012197A">
        <w:rPr>
          <w:rFonts w:hint="eastAsia"/>
          <w:spacing w:val="-2"/>
        </w:rPr>
        <w:t>福島事故後，台電公司已實施</w:t>
      </w:r>
      <w:proofErr w:type="gramStart"/>
      <w:r w:rsidRPr="0012197A">
        <w:rPr>
          <w:rFonts w:hint="eastAsia"/>
          <w:spacing w:val="-2"/>
        </w:rPr>
        <w:t>核安總體檢</w:t>
      </w:r>
      <w:proofErr w:type="gramEnd"/>
      <w:r w:rsidRPr="0012197A">
        <w:rPr>
          <w:rFonts w:hint="eastAsia"/>
          <w:spacing w:val="-2"/>
        </w:rPr>
        <w:t>，包括建置防海嘯牆(從根本解決造成福島核電廠事故的原因)、購置電源車、移動式發電機、延長電池供電能力等防災能力強化措施，再加上原即已有之</w:t>
      </w:r>
      <w:proofErr w:type="gramStart"/>
      <w:r w:rsidRPr="0012197A">
        <w:rPr>
          <w:rFonts w:hint="eastAsia"/>
          <w:spacing w:val="-2"/>
        </w:rPr>
        <w:t>氣冷</w:t>
      </w:r>
      <w:proofErr w:type="gramEnd"/>
      <w:r w:rsidRPr="0012197A">
        <w:rPr>
          <w:rFonts w:hint="eastAsia"/>
          <w:spacing w:val="-2"/>
        </w:rPr>
        <w:t>式柴油發電機及位於高處之氣渦輪發電機(完全不受海嘯侵襲)等確保電廠絕對有電之措施，已可使類似日本福島核災事故發生的可能性降至最低，而無須依賴斷然處置措施。斷然處置措施僅係以上種種防護屏障再進一步假設被突破時，</w:t>
      </w:r>
      <w:r w:rsidRPr="00D66CBA">
        <w:rPr>
          <w:rFonts w:hint="eastAsia"/>
          <w:spacing w:val="-2"/>
        </w:rPr>
        <w:t>台電公司更深一層用以保障人民安全之緊急應變救援</w:t>
      </w:r>
      <w:r w:rsidRPr="00D66CBA">
        <w:rPr>
          <w:rFonts w:hint="eastAsia"/>
          <w:spacing w:val="-2"/>
        </w:rPr>
        <w:lastRenderedPageBreak/>
        <w:t>措施</w:t>
      </w:r>
      <w:r w:rsidRPr="0012197A">
        <w:rPr>
          <w:rFonts w:hAnsi="標楷體" w:hint="eastAsia"/>
          <w:spacing w:val="-2"/>
        </w:rPr>
        <w:t>」等語。</w:t>
      </w:r>
      <w:bookmarkEnd w:id="43"/>
      <w:bookmarkEnd w:id="54"/>
    </w:p>
    <w:p w:rsidR="00D66CBA" w:rsidRPr="00D66CBA" w:rsidRDefault="00D66CBA" w:rsidP="00D66CBA">
      <w:pPr>
        <w:pStyle w:val="2"/>
      </w:pPr>
      <w:bookmarkStart w:id="55" w:name="_Toc76321840"/>
      <w:bookmarkStart w:id="56" w:name="_Toc76653554"/>
      <w:r w:rsidRPr="0012197A">
        <w:rPr>
          <w:rFonts w:hint="eastAsia"/>
        </w:rPr>
        <w:t>台</w:t>
      </w:r>
      <w:r w:rsidRPr="00D66CBA">
        <w:rPr>
          <w:rFonts w:hint="eastAsia"/>
          <w:b w:val="0"/>
        </w:rPr>
        <w:t>電公司等國內相關權責機關多年來即以系爭「斷然處置程序」為</w:t>
      </w:r>
      <w:proofErr w:type="gramStart"/>
      <w:r w:rsidRPr="00D66CBA">
        <w:rPr>
          <w:rFonts w:hint="eastAsia"/>
          <w:b w:val="0"/>
        </w:rPr>
        <w:t>保命符</w:t>
      </w:r>
      <w:proofErr w:type="gramEnd"/>
      <w:r w:rsidRPr="00D66CBA">
        <w:rPr>
          <w:rFonts w:hint="eastAsia"/>
          <w:b w:val="0"/>
        </w:rPr>
        <w:t>，不斷宣稱臺灣核能安全已升級，經由國內各核電廠預先規劃的強化防範措施，維持爐心冷卻能力，以阻絕及侷限核災於各核電廠內，絕不讓福島核災在臺發生，已能確保民眾生命財產安全。此分別有經濟部102年出版之核能議題</w:t>
      </w:r>
      <w:proofErr w:type="gramStart"/>
      <w:r w:rsidRPr="00D66CBA">
        <w:rPr>
          <w:rFonts w:hint="eastAsia"/>
          <w:b w:val="0"/>
        </w:rPr>
        <w:t>問答集載明</w:t>
      </w:r>
      <w:proofErr w:type="gramEnd"/>
      <w:r w:rsidRPr="00D66CBA">
        <w:rPr>
          <w:rFonts w:hint="eastAsia"/>
          <w:b w:val="0"/>
        </w:rPr>
        <w:t>略以：</w:t>
      </w:r>
      <w:r w:rsidRPr="00D66CBA">
        <w:rPr>
          <w:rFonts w:hAnsi="標楷體" w:hint="eastAsia"/>
          <w:b w:val="0"/>
        </w:rPr>
        <w:t>「</w:t>
      </w:r>
      <w:proofErr w:type="gramStart"/>
      <w:r w:rsidRPr="00D66CBA">
        <w:rPr>
          <w:rFonts w:hAnsi="標楷體" w:hint="eastAsia"/>
          <w:b w:val="0"/>
        </w:rPr>
        <w:t>褔</w:t>
      </w:r>
      <w:proofErr w:type="gramEnd"/>
      <w:r w:rsidRPr="00D66CBA">
        <w:rPr>
          <w:rFonts w:hAnsi="標楷體" w:hint="eastAsia"/>
          <w:b w:val="0"/>
        </w:rPr>
        <w:t>島核災是因為發生超大型複合式天災，褔島一廠的防災能力不足且搶救過程決策延誤所致。我國核電廠原即有5重防災優勢，</w:t>
      </w:r>
      <w:proofErr w:type="gramStart"/>
      <w:r w:rsidRPr="00D66CBA">
        <w:rPr>
          <w:rFonts w:hAnsi="標楷體" w:hint="eastAsia"/>
          <w:b w:val="0"/>
        </w:rPr>
        <w:t>核安總體檢</w:t>
      </w:r>
      <w:proofErr w:type="gramEnd"/>
      <w:r w:rsidRPr="00D66CBA">
        <w:rPr>
          <w:rFonts w:hAnsi="標楷體" w:hint="eastAsia"/>
          <w:b w:val="0"/>
        </w:rPr>
        <w:t>後又新增『斷然處置措施』及防海嘯牆興建規劃，總計較褔島一廠多出7重防災優勢。國際專家亦認定我國核能電廠符合國際核安標準，即使發生類似福島天災亦可安全無虞…</w:t>
      </w:r>
      <w:proofErr w:type="gramStart"/>
      <w:r w:rsidRPr="00D66CBA">
        <w:rPr>
          <w:rFonts w:hAnsi="標楷體" w:hint="eastAsia"/>
          <w:b w:val="0"/>
        </w:rPr>
        <w:t>…</w:t>
      </w:r>
      <w:proofErr w:type="gramEnd"/>
      <w:r w:rsidRPr="00D66CBA">
        <w:rPr>
          <w:rFonts w:hAnsi="標楷體" w:hint="eastAsia"/>
          <w:b w:val="0"/>
        </w:rPr>
        <w:t>」「我國在汲取福島核災的經驗之後，特別建立了『斷然處置措施』……類似福島的核能災變並不會在臺灣發生。」。</w:t>
      </w:r>
    </w:p>
    <w:p w:rsidR="00D66CBA" w:rsidRPr="0012197A" w:rsidRDefault="00D66CBA" w:rsidP="00D66CBA">
      <w:pPr>
        <w:pStyle w:val="3"/>
        <w:numPr>
          <w:ilvl w:val="0"/>
          <w:numId w:val="0"/>
        </w:numPr>
        <w:ind w:leftChars="300" w:left="1020"/>
      </w:pPr>
      <w:r w:rsidRPr="0012197A">
        <w:rPr>
          <w:rFonts w:hint="eastAsia"/>
        </w:rPr>
        <w:t>原能會、台電公司亦分別查復略</w:t>
      </w:r>
      <w:proofErr w:type="gramStart"/>
      <w:r w:rsidRPr="0012197A">
        <w:rPr>
          <w:rFonts w:hint="eastAsia"/>
        </w:rPr>
        <w:t>以</w:t>
      </w:r>
      <w:proofErr w:type="gramEnd"/>
      <w:r w:rsidRPr="0012197A">
        <w:rPr>
          <w:rFonts w:hint="eastAsia"/>
        </w:rPr>
        <w:t>：「台電公司因應國內核電廠面臨類似日本福島事故情境下建立斷然處置措施，事先規劃並備妥移動式</w:t>
      </w:r>
      <w:proofErr w:type="gramStart"/>
      <w:r w:rsidRPr="0012197A">
        <w:rPr>
          <w:rFonts w:hint="eastAsia"/>
        </w:rPr>
        <w:t>電源及注水泵</w:t>
      </w:r>
      <w:proofErr w:type="gramEnd"/>
      <w:r w:rsidRPr="0012197A">
        <w:rPr>
          <w:rFonts w:hint="eastAsia"/>
        </w:rPr>
        <w:t>，以救援核電廠喪失所有電源及最終熱沉的超過設計基準事故情境。不論由地震/海嘯、火山爆發或其他天然災害所導致的超過設計基準事故，均屬於斷然處置措施能夠因應之情境。</w:t>
      </w:r>
      <w:r w:rsidRPr="0012197A">
        <w:rPr>
          <w:rFonts w:hAnsi="標楷體" w:hint="eastAsia"/>
        </w:rPr>
        <w:t>…</w:t>
      </w:r>
      <w:proofErr w:type="gramStart"/>
      <w:r w:rsidRPr="0012197A">
        <w:rPr>
          <w:rFonts w:hAnsi="標楷體" w:hint="eastAsia"/>
        </w:rPr>
        <w:t>…</w:t>
      </w:r>
      <w:proofErr w:type="gramEnd"/>
      <w:r w:rsidRPr="0012197A">
        <w:rPr>
          <w:rFonts w:hint="eastAsia"/>
        </w:rPr>
        <w:t>」及</w:t>
      </w:r>
      <w:r w:rsidRPr="0012197A">
        <w:t>107</w:t>
      </w:r>
      <w:r w:rsidRPr="0012197A">
        <w:rPr>
          <w:rFonts w:hint="eastAsia"/>
        </w:rPr>
        <w:t>年</w:t>
      </w:r>
      <w:r w:rsidRPr="0012197A">
        <w:t>4</w:t>
      </w:r>
      <w:r w:rsidRPr="0012197A">
        <w:rPr>
          <w:rFonts w:hint="eastAsia"/>
        </w:rPr>
        <w:t>月</w:t>
      </w:r>
      <w:r w:rsidRPr="0012197A">
        <w:t>24</w:t>
      </w:r>
      <w:r w:rsidRPr="0012197A">
        <w:rPr>
          <w:rFonts w:hint="eastAsia"/>
        </w:rPr>
        <w:t>日提出「核能電廠斷然處置程序指引原能會安全評估報告</w:t>
      </w:r>
      <w:r w:rsidRPr="0012197A">
        <w:t>(</w:t>
      </w:r>
      <w:r w:rsidRPr="0012197A">
        <w:rPr>
          <w:rFonts w:hint="eastAsia"/>
        </w:rPr>
        <w:t>定稿版</w:t>
      </w:r>
      <w:r w:rsidRPr="0012197A">
        <w:t>)</w:t>
      </w:r>
      <w:r w:rsidRPr="0012197A">
        <w:rPr>
          <w:rFonts w:hint="eastAsia"/>
        </w:rPr>
        <w:t>」審查結論載明略以：「綜合審查與視察結果，本案台電公司核能電廠所採用事件導向之『斷然處置程序指引』，能避免發生類似福島事故的情境，可強化核電廠安全之深度防禦。</w:t>
      </w:r>
      <w:r w:rsidRPr="0012197A">
        <w:rPr>
          <w:rFonts w:hAnsi="標楷體" w:hint="eastAsia"/>
        </w:rPr>
        <w:t>…</w:t>
      </w:r>
      <w:proofErr w:type="gramStart"/>
      <w:r w:rsidRPr="0012197A">
        <w:rPr>
          <w:rFonts w:hAnsi="標楷體" w:hint="eastAsia"/>
        </w:rPr>
        <w:t>…</w:t>
      </w:r>
      <w:proofErr w:type="gramEnd"/>
      <w:r w:rsidRPr="0012197A">
        <w:rPr>
          <w:rFonts w:hint="eastAsia"/>
        </w:rPr>
        <w:t>」等語足憑。</w:t>
      </w:r>
      <w:bookmarkEnd w:id="55"/>
      <w:bookmarkEnd w:id="56"/>
    </w:p>
    <w:p w:rsidR="001574BC" w:rsidRPr="001574BC" w:rsidRDefault="001574BC" w:rsidP="001574BC">
      <w:pPr>
        <w:pStyle w:val="2"/>
        <w:rPr>
          <w:b w:val="0"/>
        </w:rPr>
      </w:pPr>
      <w:bookmarkStart w:id="57" w:name="_Toc89164029"/>
      <w:bookmarkStart w:id="58" w:name="_Toc76321841"/>
      <w:bookmarkStart w:id="59" w:name="_Toc76653555"/>
      <w:r w:rsidRPr="001574BC">
        <w:rPr>
          <w:rFonts w:hint="eastAsia"/>
          <w:b w:val="0"/>
        </w:rPr>
        <w:t>然而，日本福島核災之所以發生，係直接肇因於311巨震</w:t>
      </w:r>
      <w:r w:rsidRPr="001574BC">
        <w:rPr>
          <w:b w:val="0"/>
        </w:rPr>
        <w:t>9.0</w:t>
      </w:r>
      <w:r w:rsidRPr="001574BC">
        <w:rPr>
          <w:rFonts w:hint="eastAsia"/>
          <w:b w:val="0"/>
        </w:rPr>
        <w:t>的規模造成逾</w:t>
      </w:r>
      <w:r w:rsidRPr="001574BC">
        <w:rPr>
          <w:b w:val="0"/>
        </w:rPr>
        <w:t>14</w:t>
      </w:r>
      <w:r w:rsidRPr="001574BC">
        <w:rPr>
          <w:rFonts w:hint="eastAsia"/>
          <w:b w:val="0"/>
        </w:rPr>
        <w:t>公尺高的海嘯，已遠超過福島</w:t>
      </w:r>
      <w:r w:rsidRPr="001574BC">
        <w:rPr>
          <w:rFonts w:hint="eastAsia"/>
          <w:b w:val="0"/>
        </w:rPr>
        <w:lastRenderedPageBreak/>
        <w:t>電廠參考該國歷史上曾經歷過的最嚴重天然災害所訂定之設計基準</w:t>
      </w:r>
      <w:r w:rsidRPr="001574BC">
        <w:rPr>
          <w:rStyle w:val="afc"/>
          <w:b w:val="0"/>
        </w:rPr>
        <w:footnoteReference w:id="1"/>
      </w:r>
      <w:r w:rsidRPr="001574BC">
        <w:rPr>
          <w:rFonts w:hint="eastAsia"/>
          <w:b w:val="0"/>
        </w:rPr>
        <w:t>。則人類歷史相較於地球年齡既渺小而微不足道，國內相關權責機關如何確保臺灣未來發生複合式天災的規模及程度，不會遠超過各核電廠所</w:t>
      </w:r>
      <w:proofErr w:type="gramStart"/>
      <w:r w:rsidRPr="001574BC">
        <w:rPr>
          <w:rFonts w:hint="eastAsia"/>
          <w:b w:val="0"/>
        </w:rPr>
        <w:t>採</w:t>
      </w:r>
      <w:proofErr w:type="gramEnd"/>
      <w:r w:rsidRPr="001574BC">
        <w:rPr>
          <w:rFonts w:hint="eastAsia"/>
          <w:b w:val="0"/>
        </w:rPr>
        <w:t>行的強化設計基準，恐怕</w:t>
      </w:r>
      <w:proofErr w:type="gramStart"/>
      <w:r w:rsidRPr="001574BC">
        <w:rPr>
          <w:rFonts w:hint="eastAsia"/>
          <w:b w:val="0"/>
        </w:rPr>
        <w:t>無人敢掛保</w:t>
      </w:r>
      <w:proofErr w:type="gramEnd"/>
      <w:r w:rsidRPr="001574BC">
        <w:rPr>
          <w:rFonts w:hint="eastAsia"/>
          <w:b w:val="0"/>
        </w:rPr>
        <w:t>證，</w:t>
      </w:r>
      <w:proofErr w:type="gramStart"/>
      <w:r w:rsidRPr="001574BC">
        <w:rPr>
          <w:rFonts w:hint="eastAsia"/>
          <w:b w:val="0"/>
        </w:rPr>
        <w:t>此觀原能</w:t>
      </w:r>
      <w:proofErr w:type="gramEnd"/>
      <w:r w:rsidRPr="001574BC">
        <w:rPr>
          <w:rFonts w:hint="eastAsia"/>
          <w:b w:val="0"/>
        </w:rPr>
        <w:t>會表示略以：</w:t>
      </w:r>
      <w:r w:rsidRPr="001574BC">
        <w:rPr>
          <w:rFonts w:hAnsi="標楷體" w:hint="eastAsia"/>
          <w:b w:val="0"/>
        </w:rPr>
        <w:t>「現今許多災害的發生都是超乎預期的」等語自明。</w:t>
      </w:r>
      <w:bookmarkEnd w:id="57"/>
    </w:p>
    <w:p w:rsidR="00231A3B" w:rsidRPr="00231A3B" w:rsidRDefault="001574BC" w:rsidP="001574BC">
      <w:pPr>
        <w:pStyle w:val="3"/>
        <w:numPr>
          <w:ilvl w:val="0"/>
          <w:numId w:val="0"/>
        </w:numPr>
        <w:ind w:leftChars="300" w:left="1020"/>
      </w:pPr>
      <w:bookmarkStart w:id="60" w:name="_Toc89164030"/>
      <w:r w:rsidRPr="0012197A">
        <w:rPr>
          <w:rFonts w:hint="eastAsia"/>
        </w:rPr>
        <w:t>甚</w:t>
      </w:r>
      <w:proofErr w:type="gramStart"/>
      <w:r w:rsidRPr="0012197A">
        <w:rPr>
          <w:rFonts w:hint="eastAsia"/>
        </w:rPr>
        <w:t>且</w:t>
      </w:r>
      <w:proofErr w:type="gramEnd"/>
      <w:r w:rsidRPr="0012197A">
        <w:rPr>
          <w:rFonts w:hint="eastAsia"/>
        </w:rPr>
        <w:t>，</w:t>
      </w:r>
      <w:r w:rsidRPr="001574BC">
        <w:rPr>
          <w:rFonts w:hint="eastAsia"/>
        </w:rPr>
        <w:t>「斷然處置程序」所賴以維繫的關鍵成敗因素甚多，除要求廠內人員於大難來臨時原地死守之人性嚴酷考驗，</w:t>
      </w:r>
      <w:proofErr w:type="gramStart"/>
      <w:r w:rsidRPr="001574BC">
        <w:rPr>
          <w:rFonts w:hint="eastAsia"/>
        </w:rPr>
        <w:t>此外</w:t>
      </w:r>
      <w:proofErr w:type="gramEnd"/>
      <w:r w:rsidRPr="001574BC">
        <w:rPr>
          <w:rFonts w:hint="eastAsia"/>
        </w:rPr>
        <w:t>，是否已將「各核電廠周遭甫陸續發現之活動性斷層</w:t>
      </w:r>
      <w:r w:rsidRPr="001574BC">
        <w:rPr>
          <w:rStyle w:val="afc"/>
        </w:rPr>
        <w:footnoteReference w:id="2"/>
      </w:r>
      <w:r w:rsidRPr="001574BC">
        <w:rPr>
          <w:rFonts w:hint="eastAsia"/>
        </w:rPr>
        <w:t>納入防震強化設計及考量」、</w:t>
      </w:r>
      <w:r w:rsidRPr="001574BC">
        <w:rPr>
          <w:rFonts w:hAnsi="標楷體" w:hint="eastAsia"/>
        </w:rPr>
        <w:t>「中研院調查發現大屯火山下方有一岩漿庫，且過去6</w:t>
      </w:r>
      <w:r w:rsidRPr="001574BC">
        <w:rPr>
          <w:rFonts w:hAnsi="標楷體"/>
        </w:rPr>
        <w:t>,</w:t>
      </w:r>
      <w:r w:rsidRPr="001574BC">
        <w:rPr>
          <w:rFonts w:hAnsi="標楷體" w:hint="eastAsia"/>
        </w:rPr>
        <w:t>000年曾有噴發跡象，證實大屯火山屬於活火山……」等不確定因素</w:t>
      </w:r>
      <w:r w:rsidRPr="001574BC">
        <w:rPr>
          <w:rFonts w:hint="eastAsia"/>
        </w:rPr>
        <w:t>納入充分評估與考量，以及</w:t>
      </w:r>
      <w:r w:rsidRPr="001574BC">
        <w:rPr>
          <w:rFonts w:hAnsi="標楷體" w:hint="eastAsia"/>
        </w:rPr>
        <w:t>「如何使「斷然處置」程序不致繁雜耗時，足讓</w:t>
      </w:r>
      <w:r w:rsidRPr="001574BC">
        <w:rPr>
          <w:rFonts w:hint="eastAsia"/>
        </w:rPr>
        <w:t>第一線留守人員與其備援人員易於熟稔及操作</w:t>
      </w:r>
      <w:r w:rsidRPr="001574BC">
        <w:rPr>
          <w:rFonts w:hAnsi="標楷體" w:hint="eastAsia"/>
        </w:rPr>
        <w:t>」、</w:t>
      </w:r>
      <w:r w:rsidRPr="001574BC">
        <w:rPr>
          <w:rFonts w:hint="eastAsia"/>
        </w:rPr>
        <w:t>「</w:t>
      </w:r>
      <w:r w:rsidRPr="001574BC">
        <w:rPr>
          <w:rFonts w:hint="eastAsia"/>
          <w:u w:val="single"/>
        </w:rPr>
        <w:t>相關權益的補償與身家照顧等措施之預先規劃及安排，是否已足讓第一線留守人員臨危確能堅守崗位</w:t>
      </w:r>
      <w:r w:rsidRPr="001574BC">
        <w:rPr>
          <w:rFonts w:hint="eastAsia"/>
        </w:rPr>
        <w:t>」、「緊急冷卻水等生水、海水緊急備用水源、備用電源遭逢</w:t>
      </w:r>
      <w:proofErr w:type="gramStart"/>
      <w:r w:rsidRPr="001574BC">
        <w:rPr>
          <w:rFonts w:hint="eastAsia"/>
        </w:rPr>
        <w:t>巨震及海</w:t>
      </w:r>
      <w:proofErr w:type="gramEnd"/>
      <w:r w:rsidRPr="001574BC">
        <w:rPr>
          <w:rFonts w:hint="eastAsia"/>
        </w:rPr>
        <w:t>嘯侵襲，是否依然正常運作」等等(以上擇要</w:t>
      </w:r>
      <w:proofErr w:type="gramStart"/>
      <w:r w:rsidRPr="001574BC">
        <w:rPr>
          <w:rFonts w:hint="eastAsia"/>
        </w:rPr>
        <w:t>詳後</w:t>
      </w:r>
      <w:proofErr w:type="gramEnd"/>
      <w:r w:rsidRPr="001574BC">
        <w:rPr>
          <w:rFonts w:hint="eastAsia"/>
        </w:rPr>
        <w:t>述)，凡此攸關該程序成敗的不確定因素甚為繁多，該程序實難謂完全可靠</w:t>
      </w:r>
      <w:r w:rsidRPr="001574BC">
        <w:rPr>
          <w:rFonts w:hint="eastAsia"/>
        </w:rPr>
        <w:lastRenderedPageBreak/>
        <w:t>無虞，然台電公司未將</w:t>
      </w:r>
      <w:proofErr w:type="gramStart"/>
      <w:r w:rsidRPr="001574BC">
        <w:rPr>
          <w:rFonts w:hint="eastAsia"/>
        </w:rPr>
        <w:t>上揭甚</w:t>
      </w:r>
      <w:proofErr w:type="gramEnd"/>
      <w:r w:rsidRPr="001574BC">
        <w:rPr>
          <w:rFonts w:hint="eastAsia"/>
        </w:rPr>
        <w:t>多不確定因素據實告知國人，反而長期宣稱因該程序爐</w:t>
      </w:r>
      <w:proofErr w:type="gramStart"/>
      <w:r w:rsidRPr="001574BC">
        <w:rPr>
          <w:rFonts w:hint="eastAsia"/>
        </w:rPr>
        <w:t>心熔毀核</w:t>
      </w:r>
      <w:proofErr w:type="gramEnd"/>
      <w:r w:rsidRPr="001574BC">
        <w:rPr>
          <w:rFonts w:hint="eastAsia"/>
        </w:rPr>
        <w:t>災絕對不會在臺灣發生，顯有違失，經濟部洵難辭監督不力之咎。</w:t>
      </w:r>
      <w:bookmarkEnd w:id="58"/>
      <w:bookmarkEnd w:id="59"/>
      <w:bookmarkEnd w:id="60"/>
    </w:p>
    <w:p w:rsidR="006514FF" w:rsidRPr="001659E7" w:rsidRDefault="00E25849" w:rsidP="00C86866">
      <w:pPr>
        <w:pStyle w:val="10"/>
        <w:ind w:left="680" w:firstLine="680"/>
      </w:pPr>
      <w:r w:rsidRPr="001659E7">
        <w:br w:type="page"/>
      </w:r>
      <w:bookmarkStart w:id="61" w:name="_Toc524902730"/>
      <w:bookmarkEnd w:id="44"/>
      <w:bookmarkEnd w:id="45"/>
      <w:bookmarkEnd w:id="46"/>
      <w:bookmarkEnd w:id="47"/>
      <w:bookmarkEnd w:id="48"/>
      <w:bookmarkEnd w:id="49"/>
      <w:bookmarkEnd w:id="50"/>
      <w:bookmarkEnd w:id="51"/>
      <w:bookmarkEnd w:id="52"/>
      <w:bookmarkEnd w:id="53"/>
      <w:r w:rsidR="006514FF" w:rsidRPr="001659E7">
        <w:rPr>
          <w:rFonts w:hint="eastAsia"/>
        </w:rPr>
        <w:lastRenderedPageBreak/>
        <w:t>據上論結，</w:t>
      </w:r>
      <w:r w:rsidR="00D66CBA">
        <w:rPr>
          <w:rFonts w:hint="eastAsia"/>
        </w:rPr>
        <w:t>經濟部</w:t>
      </w:r>
      <w:r w:rsidR="00460AF8" w:rsidRPr="00460AF8">
        <w:rPr>
          <w:rFonts w:hint="eastAsia"/>
        </w:rPr>
        <w:t>監督不力</w:t>
      </w:r>
      <w:r w:rsidR="00460AF8">
        <w:rPr>
          <w:rFonts w:hint="eastAsia"/>
        </w:rPr>
        <w:t>，肇致</w:t>
      </w:r>
      <w:r w:rsidR="00D66CBA">
        <w:rPr>
          <w:rFonts w:hint="eastAsia"/>
        </w:rPr>
        <w:t>台電</w:t>
      </w:r>
      <w:r w:rsidR="00D66CBA" w:rsidRPr="00D66CBA">
        <w:rPr>
          <w:rFonts w:hint="eastAsia"/>
        </w:rPr>
        <w:t>公司多年來幾乎視</w:t>
      </w:r>
      <w:r w:rsidR="00D66CBA">
        <w:rPr>
          <w:rFonts w:hAnsi="標楷體" w:hint="eastAsia"/>
        </w:rPr>
        <w:t>「斷然處置」</w:t>
      </w:r>
      <w:r w:rsidR="00D66CBA" w:rsidRPr="00D66CBA">
        <w:rPr>
          <w:rFonts w:hint="eastAsia"/>
        </w:rPr>
        <w:t>程序為保命符，不斷宣稱臺灣核能安全已升級，不致發生福島式核災，然此程序最終成敗關鍵端賴現場工作人員原地死守，此乃人性嚴酷考驗，該公司</w:t>
      </w:r>
      <w:r w:rsidR="001574BC">
        <w:rPr>
          <w:rFonts w:hint="eastAsia"/>
        </w:rPr>
        <w:t>卻</w:t>
      </w:r>
      <w:r w:rsidR="00D66CBA" w:rsidRPr="00D66CBA">
        <w:rPr>
          <w:rFonts w:hint="eastAsia"/>
        </w:rPr>
        <w:t>對此皆避而不談，更有專業訓練及操作經驗等要素，皆未臻可靠無虞，尤有甚多不確定因素迄未充分掌控，詎該公司</w:t>
      </w:r>
      <w:r w:rsidR="001574BC">
        <w:rPr>
          <w:rFonts w:hint="eastAsia"/>
        </w:rPr>
        <w:t>竟</w:t>
      </w:r>
      <w:r w:rsidR="00D66CBA" w:rsidRPr="00D66CBA">
        <w:rPr>
          <w:rFonts w:hint="eastAsia"/>
        </w:rPr>
        <w:t>長期對外宣稱此乃萬無一失之機制，</w:t>
      </w:r>
      <w:r w:rsidR="00B02526">
        <w:rPr>
          <w:rFonts w:hint="eastAsia"/>
        </w:rPr>
        <w:t>經核</w:t>
      </w:r>
      <w:r w:rsidR="00D66CBA">
        <w:rPr>
          <w:rFonts w:hint="eastAsia"/>
        </w:rPr>
        <w:t>均</w:t>
      </w:r>
      <w:r w:rsidR="002B67E8">
        <w:rPr>
          <w:rFonts w:hint="eastAsia"/>
        </w:rPr>
        <w:t>確</w:t>
      </w:r>
      <w:r w:rsidR="001659E7">
        <w:rPr>
          <w:rFonts w:hint="eastAsia"/>
        </w:rPr>
        <w:t>有違失，</w:t>
      </w:r>
      <w:r w:rsidR="006514FF" w:rsidRPr="001659E7">
        <w:rPr>
          <w:rFonts w:hint="eastAsia"/>
        </w:rPr>
        <w:t>爰依</w:t>
      </w:r>
      <w:r w:rsidR="001659E7">
        <w:rPr>
          <w:rFonts w:hint="eastAsia"/>
          <w:bCs/>
        </w:rPr>
        <w:t>憲法第97條第1項及</w:t>
      </w:r>
      <w:r w:rsidR="006514FF" w:rsidRPr="001659E7">
        <w:rPr>
          <w:rFonts w:hint="eastAsia"/>
        </w:rPr>
        <w:t>監察法第24條規定提案糾正，移送</w:t>
      </w:r>
      <w:r w:rsidR="00D66CBA">
        <w:rPr>
          <w:rFonts w:hint="eastAsia"/>
        </w:rPr>
        <w:t>行政院</w:t>
      </w:r>
      <w:r w:rsidR="00B02526">
        <w:rPr>
          <w:rFonts w:hint="eastAsia"/>
        </w:rPr>
        <w:t>督同</w:t>
      </w:r>
      <w:r w:rsidR="006514FF" w:rsidRPr="001659E7">
        <w:rPr>
          <w:rFonts w:hint="eastAsia"/>
        </w:rPr>
        <w:t>所屬確實檢討改善</w:t>
      </w:r>
      <w:r w:rsidR="00B87A0E" w:rsidRPr="001659E7">
        <w:rPr>
          <w:rFonts w:hint="eastAsia"/>
        </w:rPr>
        <w:t>見復。</w:t>
      </w:r>
    </w:p>
    <w:p w:rsidR="006514FF" w:rsidRPr="000B4395" w:rsidRDefault="006514FF" w:rsidP="006514FF">
      <w:pPr>
        <w:pStyle w:val="aa"/>
        <w:spacing w:beforeLines="150" w:before="685" w:after="0"/>
        <w:ind w:leftChars="1100" w:left="3742"/>
        <w:rPr>
          <w:b w:val="0"/>
          <w:bCs/>
          <w:snapToGrid/>
          <w:spacing w:val="12"/>
          <w:kern w:val="0"/>
          <w:sz w:val="40"/>
        </w:rPr>
      </w:pPr>
      <w:bookmarkStart w:id="62" w:name="_Toc524895649"/>
      <w:bookmarkStart w:id="63" w:name="_Toc524896195"/>
      <w:bookmarkStart w:id="64" w:name="_Toc524896225"/>
      <w:bookmarkEnd w:id="62"/>
      <w:bookmarkEnd w:id="63"/>
      <w:bookmarkEnd w:id="64"/>
      <w:r w:rsidRPr="000B4395">
        <w:rPr>
          <w:rFonts w:hint="eastAsia"/>
          <w:b w:val="0"/>
          <w:bCs/>
          <w:snapToGrid/>
          <w:spacing w:val="12"/>
          <w:kern w:val="0"/>
          <w:sz w:val="40"/>
        </w:rPr>
        <w:t>提案委員：</w:t>
      </w:r>
      <w:r w:rsidR="000B4395" w:rsidRPr="000B4395">
        <w:rPr>
          <w:rFonts w:hint="eastAsia"/>
          <w:b w:val="0"/>
          <w:bCs/>
          <w:snapToGrid/>
          <w:spacing w:val="12"/>
          <w:kern w:val="0"/>
          <w:sz w:val="40"/>
        </w:rPr>
        <w:t>田秋</w:t>
      </w:r>
      <w:proofErr w:type="gramStart"/>
      <w:r w:rsidR="000B4395" w:rsidRPr="000B4395">
        <w:rPr>
          <w:rFonts w:hint="eastAsia"/>
          <w:b w:val="0"/>
          <w:bCs/>
          <w:snapToGrid/>
          <w:spacing w:val="12"/>
          <w:kern w:val="0"/>
          <w:sz w:val="40"/>
        </w:rPr>
        <w:t>堇</w:t>
      </w:r>
      <w:proofErr w:type="gramEnd"/>
    </w:p>
    <w:p w:rsidR="006514FF" w:rsidRPr="000B4395" w:rsidRDefault="000B4395" w:rsidP="000B4395">
      <w:pPr>
        <w:pStyle w:val="aa"/>
        <w:spacing w:before="0" w:after="0"/>
        <w:ind w:leftChars="1750" w:left="5953"/>
        <w:rPr>
          <w:b w:val="0"/>
          <w:bCs/>
          <w:snapToGrid/>
          <w:spacing w:val="12"/>
          <w:kern w:val="0"/>
        </w:rPr>
      </w:pPr>
      <w:r w:rsidRPr="000B4395">
        <w:rPr>
          <w:rFonts w:hint="eastAsia"/>
          <w:b w:val="0"/>
          <w:bCs/>
          <w:snapToGrid/>
          <w:spacing w:val="12"/>
          <w:kern w:val="0"/>
          <w:sz w:val="40"/>
        </w:rPr>
        <w:t>趙永清</w:t>
      </w: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416721" w:rsidRPr="00E46F50" w:rsidRDefault="006514FF" w:rsidP="00133AA2">
      <w:pPr>
        <w:pStyle w:val="af"/>
        <w:rPr>
          <w:bCs/>
        </w:rPr>
      </w:pPr>
      <w:r w:rsidRPr="00E46F50">
        <w:rPr>
          <w:rFonts w:hAnsi="標楷體" w:hint="eastAsia"/>
          <w:bCs/>
        </w:rPr>
        <w:t>中  華  民  國　1</w:t>
      </w:r>
      <w:r w:rsidR="00460AF8">
        <w:rPr>
          <w:rFonts w:hAnsi="標楷體" w:hint="eastAsia"/>
          <w:bCs/>
        </w:rPr>
        <w:t>10</w:t>
      </w:r>
      <w:r w:rsidRPr="00E46F50">
        <w:rPr>
          <w:rFonts w:hAnsi="標楷體" w:hint="eastAsia"/>
          <w:bCs/>
        </w:rPr>
        <w:t xml:space="preserve">　年　</w:t>
      </w:r>
      <w:r w:rsidR="00460AF8">
        <w:rPr>
          <w:rFonts w:hAnsi="標楷體" w:hint="eastAsia"/>
          <w:bCs/>
        </w:rPr>
        <w:t>1</w:t>
      </w:r>
      <w:r w:rsidR="000B4395">
        <w:rPr>
          <w:rFonts w:hAnsi="標楷體" w:hint="eastAsia"/>
          <w:bCs/>
        </w:rPr>
        <w:t>2</w:t>
      </w:r>
      <w:r w:rsidRPr="00E46F50">
        <w:rPr>
          <w:rFonts w:hAnsi="標楷體" w:hint="eastAsia"/>
          <w:bCs/>
        </w:rPr>
        <w:t xml:space="preserve">　月　</w:t>
      </w:r>
      <w:r w:rsidR="000B4395">
        <w:rPr>
          <w:rFonts w:hAnsi="標楷體" w:hint="eastAsia"/>
          <w:bCs/>
        </w:rPr>
        <w:t>8</w:t>
      </w:r>
      <w:bookmarkStart w:id="65" w:name="_GoBack"/>
      <w:bookmarkEnd w:id="65"/>
      <w:r w:rsidRPr="00E46F50">
        <w:rPr>
          <w:rFonts w:hAnsi="標楷體" w:hint="eastAsia"/>
          <w:bCs/>
        </w:rPr>
        <w:t xml:space="preserve">　日</w:t>
      </w:r>
      <w:bookmarkEnd w:id="61"/>
    </w:p>
    <w:sectPr w:rsidR="00416721" w:rsidRPr="00E46F5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F76" w:rsidRDefault="00386F76">
      <w:r>
        <w:separator/>
      </w:r>
    </w:p>
  </w:endnote>
  <w:endnote w:type="continuationSeparator" w:id="0">
    <w:p w:rsidR="00386F76" w:rsidRDefault="0038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F0D23">
      <w:rPr>
        <w:rStyle w:val="ac"/>
        <w:noProof/>
        <w:sz w:val="24"/>
      </w:rPr>
      <w:t>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F76" w:rsidRDefault="00386F76">
      <w:r>
        <w:separator/>
      </w:r>
    </w:p>
  </w:footnote>
  <w:footnote w:type="continuationSeparator" w:id="0">
    <w:p w:rsidR="00386F76" w:rsidRDefault="00386F76">
      <w:r>
        <w:continuationSeparator/>
      </w:r>
    </w:p>
  </w:footnote>
  <w:footnote w:id="1">
    <w:p w:rsidR="001574BC" w:rsidRPr="00FD440B" w:rsidRDefault="001574BC" w:rsidP="001574BC">
      <w:pPr>
        <w:pStyle w:val="afa"/>
        <w:jc w:val="both"/>
        <w:rPr>
          <w:rFonts w:hAnsi="標楷體"/>
        </w:rPr>
      </w:pPr>
      <w:r w:rsidRPr="00FD440B">
        <w:rPr>
          <w:rStyle w:val="afc"/>
          <w:rFonts w:hAnsi="標楷體"/>
        </w:rPr>
        <w:footnoteRef/>
      </w:r>
      <w:r w:rsidRPr="00FD440B">
        <w:rPr>
          <w:rFonts w:hAnsi="標楷體"/>
        </w:rPr>
        <w:t xml:space="preserve"> </w:t>
      </w:r>
      <w:r w:rsidRPr="00FD440B">
        <w:rPr>
          <w:rFonts w:hAnsi="標楷體" w:hint="eastAsia"/>
        </w:rPr>
        <w:t>資料參考來源：</w:t>
      </w:r>
      <w:r w:rsidRPr="00FD440B">
        <w:rPr>
          <w:rFonts w:hAnsi="標楷體"/>
        </w:rPr>
        <w:t>101</w:t>
      </w:r>
      <w:r w:rsidRPr="00FD440B">
        <w:rPr>
          <w:rFonts w:hAnsi="標楷體" w:hint="eastAsia"/>
        </w:rPr>
        <w:t>年</w:t>
      </w:r>
      <w:r w:rsidRPr="00FD440B">
        <w:rPr>
          <w:rFonts w:hAnsi="標楷體"/>
        </w:rPr>
        <w:t>8</w:t>
      </w:r>
      <w:r w:rsidRPr="00FD440B">
        <w:rPr>
          <w:rFonts w:hAnsi="標楷體" w:hint="eastAsia"/>
        </w:rPr>
        <w:t>月</w:t>
      </w:r>
      <w:r w:rsidRPr="00FD440B">
        <w:rPr>
          <w:rFonts w:hAnsi="標楷體"/>
        </w:rPr>
        <w:t>3</w:t>
      </w:r>
      <w:r w:rsidRPr="00FD440B">
        <w:rPr>
          <w:rFonts w:hAnsi="標楷體" w:hint="eastAsia"/>
        </w:rPr>
        <w:t>日行政院院</w:t>
      </w:r>
      <w:proofErr w:type="gramStart"/>
      <w:r w:rsidRPr="00FD440B">
        <w:rPr>
          <w:rFonts w:hAnsi="標楷體" w:hint="eastAsia"/>
        </w:rPr>
        <w:t>臺科字</w:t>
      </w:r>
      <w:proofErr w:type="gramEnd"/>
      <w:r w:rsidRPr="00FD440B">
        <w:rPr>
          <w:rFonts w:hAnsi="標楷體" w:hint="eastAsia"/>
        </w:rPr>
        <w:t>第</w:t>
      </w:r>
      <w:r w:rsidRPr="00FD440B">
        <w:rPr>
          <w:rFonts w:hAnsi="標楷體"/>
        </w:rPr>
        <w:t xml:space="preserve">1010041863 </w:t>
      </w:r>
      <w:r w:rsidRPr="00FD440B">
        <w:rPr>
          <w:rFonts w:hAnsi="標楷體" w:hint="eastAsia"/>
        </w:rPr>
        <w:t>號函備查之國內核能電廠現有安全防護體制全面體檢方案總檢討報告。</w:t>
      </w:r>
    </w:p>
  </w:footnote>
  <w:footnote w:id="2">
    <w:p w:rsidR="001574BC" w:rsidRPr="002A105C" w:rsidRDefault="001574BC" w:rsidP="001574BC">
      <w:pPr>
        <w:pStyle w:val="afa"/>
        <w:jc w:val="both"/>
      </w:pPr>
      <w:r>
        <w:rPr>
          <w:rStyle w:val="afc"/>
        </w:rPr>
        <w:footnoteRef/>
      </w:r>
      <w:r>
        <w:t xml:space="preserve"> </w:t>
      </w:r>
      <w:r w:rsidRPr="00260116">
        <w:rPr>
          <w:rFonts w:hAnsi="標楷體" w:hint="eastAsia"/>
        </w:rPr>
        <w:t>90年代國內學術界已發現，臺灣北部區域的大地構造為拉張構造環境，正斷層即為活動斷層，台電公司卻長期忽略</w:t>
      </w:r>
      <w:proofErr w:type="gramStart"/>
      <w:r w:rsidRPr="00260116">
        <w:rPr>
          <w:rFonts w:hAnsi="標楷體" w:hint="eastAsia"/>
        </w:rPr>
        <w:t>這些陸</w:t>
      </w:r>
      <w:proofErr w:type="gramEnd"/>
      <w:r w:rsidRPr="00260116">
        <w:rPr>
          <w:rFonts w:hAnsi="標楷體" w:hint="eastAsia"/>
        </w:rPr>
        <w:t>域斷層以及向海域延伸的可能性，致未能及時發現並評估海域斷層對核能電廠的影響。福島核災後，立法院決議要求核能電廠進行地質總體檢，經濟部及台電公司遂於102年及103年共計以新臺幣2,500萬餘元經費完成相關地質調查，惟該等地質調查報告既引用經濟部中央地質調查所98年報告的附圖，報告中並載明核四廠外海存在一條長約90公里的活動正斷層而成為影響核四廠安全最大的控制斷層，此事實</w:t>
      </w:r>
      <w:proofErr w:type="gramStart"/>
      <w:r w:rsidRPr="00260116">
        <w:rPr>
          <w:rFonts w:hAnsi="標楷體" w:hint="eastAsia"/>
        </w:rPr>
        <w:t>攸</w:t>
      </w:r>
      <w:proofErr w:type="gramEnd"/>
      <w:r w:rsidRPr="00260116">
        <w:rPr>
          <w:rFonts w:hAnsi="標楷體" w:hint="eastAsia"/>
        </w:rPr>
        <w:t>關全體國人生命及財產安全甚</w:t>
      </w:r>
      <w:proofErr w:type="gramStart"/>
      <w:r w:rsidRPr="00260116">
        <w:rPr>
          <w:rFonts w:hAnsi="標楷體" w:hint="eastAsia"/>
        </w:rPr>
        <w:t>鉅</w:t>
      </w:r>
      <w:proofErr w:type="gramEnd"/>
      <w:r w:rsidRPr="00260116">
        <w:rPr>
          <w:rFonts w:hAnsi="標楷體" w:hint="eastAsia"/>
        </w:rPr>
        <w:t>，卻未全面進行深入調查及討論…</w:t>
      </w:r>
      <w:proofErr w:type="gramStart"/>
      <w:r w:rsidRPr="00260116">
        <w:rPr>
          <w:rFonts w:hAnsi="標楷體" w:hint="eastAsia"/>
        </w:rPr>
        <w:t>…</w:t>
      </w:r>
      <w:proofErr w:type="gramEnd"/>
      <w:r w:rsidRPr="00260116">
        <w:rPr>
          <w:rFonts w:hAnsi="標楷體" w:hint="eastAsia"/>
        </w:rPr>
        <w:t>。</w:t>
      </w:r>
      <w:r w:rsidRPr="00815D3D">
        <w:rPr>
          <w:rFonts w:hAnsi="標楷體" w:hint="eastAsia"/>
        </w:rPr>
        <w:t>(資料來源：本院107年12月24日院台調壹字第1070800529號函派查：「美國核能管制委員會頒布之核能電廠地震與地質選址準則，規定廠址半徑8公里內不可有活動斷層…</w:t>
      </w:r>
      <w:proofErr w:type="gramStart"/>
      <w:r w:rsidRPr="00815D3D">
        <w:rPr>
          <w:rFonts w:hAnsi="標楷體" w:hint="eastAsia"/>
        </w:rPr>
        <w:t>…</w:t>
      </w:r>
      <w:proofErr w:type="gramEnd"/>
      <w:r w:rsidRPr="00815D3D">
        <w:rPr>
          <w:rFonts w:hAnsi="標楷體" w:hint="eastAsia"/>
        </w:rPr>
        <w:t>福島核災後重新進行核四廠地質總體檢，地質報告中新發現10條海域斷層，其中7條已認定為活動斷層，陸域斷層與海域線型斷層間之關係為何？根據最新地質調查報告，核四廠址是否仍符合美國核管會核能電廠選址準則規定？…</w:t>
      </w:r>
      <w:proofErr w:type="gramStart"/>
      <w:r w:rsidRPr="00815D3D">
        <w:rPr>
          <w:rFonts w:hAnsi="標楷體" w:hint="eastAsia"/>
        </w:rPr>
        <w:t>…</w:t>
      </w:r>
      <w:proofErr w:type="gramEnd"/>
      <w:r w:rsidRPr="00815D3D">
        <w:rPr>
          <w:rFonts w:hAnsi="標楷體" w:hint="eastAsia"/>
        </w:rPr>
        <w:t>」</w:t>
      </w:r>
      <w:proofErr w:type="gramStart"/>
      <w:r w:rsidRPr="00815D3D">
        <w:rPr>
          <w:rFonts w:hAnsi="標楷體" w:hint="eastAsia"/>
        </w:rPr>
        <w:t>等情案調查</w:t>
      </w:r>
      <w:proofErr w:type="gramEnd"/>
      <w:r w:rsidRPr="00815D3D">
        <w:rPr>
          <w:rFonts w:hAnsi="標楷體" w:hint="eastAsia"/>
        </w:rPr>
        <w:t>報告)</w:t>
      </w:r>
      <w:r w:rsidRPr="00815D3D">
        <w:rPr>
          <w:rFonts w:ascii="新細明體" w:hAnsi="新細明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140E010C"/>
    <w:multiLevelType w:val="multilevel"/>
    <w:tmpl w:val="8AE6418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F064DF"/>
    <w:multiLevelType w:val="hybridMultilevel"/>
    <w:tmpl w:val="94843790"/>
    <w:lvl w:ilvl="0" w:tplc="CD3648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7"/>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12"/>
  </w:num>
  <w:num w:numId="30">
    <w:abstractNumId w:val="8"/>
  </w:num>
  <w:num w:numId="31">
    <w:abstractNumId w:val="8"/>
  </w:num>
  <w:num w:numId="32">
    <w:abstractNumId w:val="3"/>
  </w:num>
  <w:num w:numId="33">
    <w:abstractNumId w:val="3"/>
  </w:num>
  <w:num w:numId="34">
    <w:abstractNumId w:val="3"/>
  </w:num>
  <w:num w:numId="35">
    <w:abstractNumId w:val="11"/>
  </w:num>
  <w:num w:numId="36">
    <w:abstractNumId w:val="6"/>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3"/>
  </w:num>
  <w:num w:numId="40">
    <w:abstractNumId w:val="1"/>
  </w:num>
  <w:num w:numId="41">
    <w:abstractNumId w:val="2"/>
  </w:num>
  <w:num w:numId="4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095D"/>
    <w:rsid w:val="00030989"/>
    <w:rsid w:val="0003114D"/>
    <w:rsid w:val="00036D76"/>
    <w:rsid w:val="00037E6A"/>
    <w:rsid w:val="00050778"/>
    <w:rsid w:val="000512D1"/>
    <w:rsid w:val="00057F32"/>
    <w:rsid w:val="00057F34"/>
    <w:rsid w:val="00062A25"/>
    <w:rsid w:val="000674D3"/>
    <w:rsid w:val="0007080C"/>
    <w:rsid w:val="000728C9"/>
    <w:rsid w:val="00073CB5"/>
    <w:rsid w:val="0007425C"/>
    <w:rsid w:val="00076771"/>
    <w:rsid w:val="00077553"/>
    <w:rsid w:val="00080040"/>
    <w:rsid w:val="000851A2"/>
    <w:rsid w:val="000916B9"/>
    <w:rsid w:val="0009352E"/>
    <w:rsid w:val="00096B96"/>
    <w:rsid w:val="00097136"/>
    <w:rsid w:val="000A2F3F"/>
    <w:rsid w:val="000A7EB0"/>
    <w:rsid w:val="000B0B4A"/>
    <w:rsid w:val="000B279A"/>
    <w:rsid w:val="000B4395"/>
    <w:rsid w:val="000B61D2"/>
    <w:rsid w:val="000B70A7"/>
    <w:rsid w:val="000B7F47"/>
    <w:rsid w:val="000C495F"/>
    <w:rsid w:val="000E6431"/>
    <w:rsid w:val="000F0D35"/>
    <w:rsid w:val="000F21A5"/>
    <w:rsid w:val="00102B9F"/>
    <w:rsid w:val="00112637"/>
    <w:rsid w:val="0012001E"/>
    <w:rsid w:val="0012154D"/>
    <w:rsid w:val="00124D5A"/>
    <w:rsid w:val="00126A55"/>
    <w:rsid w:val="00133AA2"/>
    <w:rsid w:val="00133F08"/>
    <w:rsid w:val="001345E6"/>
    <w:rsid w:val="001378B0"/>
    <w:rsid w:val="00142E00"/>
    <w:rsid w:val="00152793"/>
    <w:rsid w:val="001545A9"/>
    <w:rsid w:val="001574BC"/>
    <w:rsid w:val="00157B15"/>
    <w:rsid w:val="001637C7"/>
    <w:rsid w:val="0016480E"/>
    <w:rsid w:val="001659E7"/>
    <w:rsid w:val="001721B2"/>
    <w:rsid w:val="00174297"/>
    <w:rsid w:val="001817B3"/>
    <w:rsid w:val="00183014"/>
    <w:rsid w:val="001959C2"/>
    <w:rsid w:val="00195B3D"/>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502"/>
    <w:rsid w:val="00213C9C"/>
    <w:rsid w:val="0022009E"/>
    <w:rsid w:val="0022425C"/>
    <w:rsid w:val="002246DE"/>
    <w:rsid w:val="00231A3B"/>
    <w:rsid w:val="002419EC"/>
    <w:rsid w:val="002421B5"/>
    <w:rsid w:val="0025106C"/>
    <w:rsid w:val="00252BC4"/>
    <w:rsid w:val="00254014"/>
    <w:rsid w:val="00255624"/>
    <w:rsid w:val="002630F2"/>
    <w:rsid w:val="0026504D"/>
    <w:rsid w:val="00273A2F"/>
    <w:rsid w:val="00280986"/>
    <w:rsid w:val="00281ECE"/>
    <w:rsid w:val="002831C7"/>
    <w:rsid w:val="002840C6"/>
    <w:rsid w:val="00286B1B"/>
    <w:rsid w:val="00295174"/>
    <w:rsid w:val="00296172"/>
    <w:rsid w:val="00296B92"/>
    <w:rsid w:val="002A2C22"/>
    <w:rsid w:val="002B02EB"/>
    <w:rsid w:val="002B5F8C"/>
    <w:rsid w:val="002B67E8"/>
    <w:rsid w:val="002C0602"/>
    <w:rsid w:val="002D5C16"/>
    <w:rsid w:val="002E5B3A"/>
    <w:rsid w:val="002F0906"/>
    <w:rsid w:val="002F3DFF"/>
    <w:rsid w:val="002F5E05"/>
    <w:rsid w:val="00306C0E"/>
    <w:rsid w:val="00313626"/>
    <w:rsid w:val="00317053"/>
    <w:rsid w:val="0032109C"/>
    <w:rsid w:val="00322B45"/>
    <w:rsid w:val="00323809"/>
    <w:rsid w:val="00323D41"/>
    <w:rsid w:val="00325414"/>
    <w:rsid w:val="003302F1"/>
    <w:rsid w:val="0034470E"/>
    <w:rsid w:val="00352DB0"/>
    <w:rsid w:val="00371833"/>
    <w:rsid w:val="00371ED3"/>
    <w:rsid w:val="00376C6C"/>
    <w:rsid w:val="0037728A"/>
    <w:rsid w:val="00380B7D"/>
    <w:rsid w:val="00381A99"/>
    <w:rsid w:val="003829C2"/>
    <w:rsid w:val="00384724"/>
    <w:rsid w:val="00386F76"/>
    <w:rsid w:val="003919B7"/>
    <w:rsid w:val="00391D57"/>
    <w:rsid w:val="00392292"/>
    <w:rsid w:val="0039427A"/>
    <w:rsid w:val="003A1073"/>
    <w:rsid w:val="003A5B7B"/>
    <w:rsid w:val="003B1017"/>
    <w:rsid w:val="003B3C07"/>
    <w:rsid w:val="003B6775"/>
    <w:rsid w:val="003C15E1"/>
    <w:rsid w:val="003C5FE2"/>
    <w:rsid w:val="003C70C8"/>
    <w:rsid w:val="003D05FB"/>
    <w:rsid w:val="003D1B16"/>
    <w:rsid w:val="003D45BF"/>
    <w:rsid w:val="003D508A"/>
    <w:rsid w:val="003D537F"/>
    <w:rsid w:val="003D7B75"/>
    <w:rsid w:val="003E0208"/>
    <w:rsid w:val="003E41FF"/>
    <w:rsid w:val="003E4B57"/>
    <w:rsid w:val="003F27E1"/>
    <w:rsid w:val="003F437A"/>
    <w:rsid w:val="003F5C2B"/>
    <w:rsid w:val="004023E9"/>
    <w:rsid w:val="00413F83"/>
    <w:rsid w:val="0041490C"/>
    <w:rsid w:val="00416191"/>
    <w:rsid w:val="00416721"/>
    <w:rsid w:val="00421EF0"/>
    <w:rsid w:val="004224FA"/>
    <w:rsid w:val="00423D07"/>
    <w:rsid w:val="004255DB"/>
    <w:rsid w:val="004320AD"/>
    <w:rsid w:val="0044346F"/>
    <w:rsid w:val="004531EC"/>
    <w:rsid w:val="00460AF8"/>
    <w:rsid w:val="0046520A"/>
    <w:rsid w:val="004672AB"/>
    <w:rsid w:val="004714FE"/>
    <w:rsid w:val="00485CDE"/>
    <w:rsid w:val="00495053"/>
    <w:rsid w:val="004955D9"/>
    <w:rsid w:val="00495A30"/>
    <w:rsid w:val="004A1F59"/>
    <w:rsid w:val="004A29BE"/>
    <w:rsid w:val="004A3225"/>
    <w:rsid w:val="004A33EE"/>
    <w:rsid w:val="004A3AA8"/>
    <w:rsid w:val="004A7D66"/>
    <w:rsid w:val="004B13C7"/>
    <w:rsid w:val="004B778F"/>
    <w:rsid w:val="004C5DD4"/>
    <w:rsid w:val="004D141F"/>
    <w:rsid w:val="004D6310"/>
    <w:rsid w:val="004E0062"/>
    <w:rsid w:val="004E05A1"/>
    <w:rsid w:val="004F5E57"/>
    <w:rsid w:val="004F6710"/>
    <w:rsid w:val="004F71DB"/>
    <w:rsid w:val="00502849"/>
    <w:rsid w:val="00504334"/>
    <w:rsid w:val="00504A97"/>
    <w:rsid w:val="005104D7"/>
    <w:rsid w:val="00510B9E"/>
    <w:rsid w:val="0052463C"/>
    <w:rsid w:val="00531D2C"/>
    <w:rsid w:val="0053634D"/>
    <w:rsid w:val="00536BC2"/>
    <w:rsid w:val="005425E1"/>
    <w:rsid w:val="005427C5"/>
    <w:rsid w:val="00542B6B"/>
    <w:rsid w:val="00542CF6"/>
    <w:rsid w:val="005438A6"/>
    <w:rsid w:val="00553C03"/>
    <w:rsid w:val="00553F66"/>
    <w:rsid w:val="00563692"/>
    <w:rsid w:val="00571349"/>
    <w:rsid w:val="005908B8"/>
    <w:rsid w:val="0059512E"/>
    <w:rsid w:val="00595D0F"/>
    <w:rsid w:val="005A0FBC"/>
    <w:rsid w:val="005A6DD2"/>
    <w:rsid w:val="005B723A"/>
    <w:rsid w:val="005C303D"/>
    <w:rsid w:val="005C385D"/>
    <w:rsid w:val="005C50EF"/>
    <w:rsid w:val="005D048F"/>
    <w:rsid w:val="005D373C"/>
    <w:rsid w:val="005D3B20"/>
    <w:rsid w:val="005E5C68"/>
    <w:rsid w:val="005E65C0"/>
    <w:rsid w:val="005F0390"/>
    <w:rsid w:val="005F0D23"/>
    <w:rsid w:val="005F1C71"/>
    <w:rsid w:val="005F60DF"/>
    <w:rsid w:val="00602426"/>
    <w:rsid w:val="006075B8"/>
    <w:rsid w:val="00610566"/>
    <w:rsid w:val="00612023"/>
    <w:rsid w:val="00614190"/>
    <w:rsid w:val="00617098"/>
    <w:rsid w:val="00622A99"/>
    <w:rsid w:val="00622E67"/>
    <w:rsid w:val="00626EDC"/>
    <w:rsid w:val="00633F58"/>
    <w:rsid w:val="00634528"/>
    <w:rsid w:val="0063555F"/>
    <w:rsid w:val="006470EC"/>
    <w:rsid w:val="006514FF"/>
    <w:rsid w:val="0065598E"/>
    <w:rsid w:val="00655AF2"/>
    <w:rsid w:val="006568BE"/>
    <w:rsid w:val="0066025D"/>
    <w:rsid w:val="006764E2"/>
    <w:rsid w:val="006773EC"/>
    <w:rsid w:val="00680504"/>
    <w:rsid w:val="00681CD9"/>
    <w:rsid w:val="00682BF5"/>
    <w:rsid w:val="00683E30"/>
    <w:rsid w:val="00687024"/>
    <w:rsid w:val="00687CC2"/>
    <w:rsid w:val="00691337"/>
    <w:rsid w:val="00693B3B"/>
    <w:rsid w:val="00696415"/>
    <w:rsid w:val="006A0311"/>
    <w:rsid w:val="006C1EFF"/>
    <w:rsid w:val="006D3691"/>
    <w:rsid w:val="006E2DCE"/>
    <w:rsid w:val="006F3563"/>
    <w:rsid w:val="006F42B9"/>
    <w:rsid w:val="006F6103"/>
    <w:rsid w:val="00700294"/>
    <w:rsid w:val="00703BCD"/>
    <w:rsid w:val="00704E00"/>
    <w:rsid w:val="007209E7"/>
    <w:rsid w:val="00720DBD"/>
    <w:rsid w:val="00726182"/>
    <w:rsid w:val="00732329"/>
    <w:rsid w:val="007337CA"/>
    <w:rsid w:val="00734CE4"/>
    <w:rsid w:val="00735123"/>
    <w:rsid w:val="00737447"/>
    <w:rsid w:val="00741837"/>
    <w:rsid w:val="007453E6"/>
    <w:rsid w:val="00746394"/>
    <w:rsid w:val="0075243E"/>
    <w:rsid w:val="00764505"/>
    <w:rsid w:val="007666F5"/>
    <w:rsid w:val="007724FD"/>
    <w:rsid w:val="0077309D"/>
    <w:rsid w:val="007741FF"/>
    <w:rsid w:val="007764BE"/>
    <w:rsid w:val="007774EE"/>
    <w:rsid w:val="00781822"/>
    <w:rsid w:val="00783F21"/>
    <w:rsid w:val="00787159"/>
    <w:rsid w:val="00791668"/>
    <w:rsid w:val="00791AA1"/>
    <w:rsid w:val="007A3793"/>
    <w:rsid w:val="007B0D4C"/>
    <w:rsid w:val="007B7847"/>
    <w:rsid w:val="007C1BA2"/>
    <w:rsid w:val="007D20E9"/>
    <w:rsid w:val="007D7881"/>
    <w:rsid w:val="007D7E3A"/>
    <w:rsid w:val="007E0E10"/>
    <w:rsid w:val="007E4768"/>
    <w:rsid w:val="007E5BDD"/>
    <w:rsid w:val="007E777B"/>
    <w:rsid w:val="007F2070"/>
    <w:rsid w:val="007F2116"/>
    <w:rsid w:val="007F5A3F"/>
    <w:rsid w:val="00803B82"/>
    <w:rsid w:val="008053F5"/>
    <w:rsid w:val="008055CA"/>
    <w:rsid w:val="00810198"/>
    <w:rsid w:val="00815D3D"/>
    <w:rsid w:val="00815DA8"/>
    <w:rsid w:val="0082194D"/>
    <w:rsid w:val="00822BAE"/>
    <w:rsid w:val="00826EF5"/>
    <w:rsid w:val="00827897"/>
    <w:rsid w:val="00831693"/>
    <w:rsid w:val="00840104"/>
    <w:rsid w:val="00841823"/>
    <w:rsid w:val="00841FC5"/>
    <w:rsid w:val="00845709"/>
    <w:rsid w:val="008576BD"/>
    <w:rsid w:val="00860463"/>
    <w:rsid w:val="008733DA"/>
    <w:rsid w:val="0087389E"/>
    <w:rsid w:val="00873C55"/>
    <w:rsid w:val="008762E7"/>
    <w:rsid w:val="008850E4"/>
    <w:rsid w:val="00885E4C"/>
    <w:rsid w:val="008A12F5"/>
    <w:rsid w:val="008A288A"/>
    <w:rsid w:val="008B1587"/>
    <w:rsid w:val="008B1B01"/>
    <w:rsid w:val="008B3BCD"/>
    <w:rsid w:val="008B4841"/>
    <w:rsid w:val="008B6DF8"/>
    <w:rsid w:val="008C106C"/>
    <w:rsid w:val="008C10F1"/>
    <w:rsid w:val="008C1E99"/>
    <w:rsid w:val="008C4651"/>
    <w:rsid w:val="008D3FE0"/>
    <w:rsid w:val="008E0085"/>
    <w:rsid w:val="008E2AA6"/>
    <w:rsid w:val="008E311B"/>
    <w:rsid w:val="008E6F94"/>
    <w:rsid w:val="008F46E7"/>
    <w:rsid w:val="008F6F0B"/>
    <w:rsid w:val="008F775F"/>
    <w:rsid w:val="00907BA7"/>
    <w:rsid w:val="0091064E"/>
    <w:rsid w:val="00911FC5"/>
    <w:rsid w:val="00931A10"/>
    <w:rsid w:val="00947967"/>
    <w:rsid w:val="00965200"/>
    <w:rsid w:val="009668B3"/>
    <w:rsid w:val="00971471"/>
    <w:rsid w:val="009849C2"/>
    <w:rsid w:val="00984D24"/>
    <w:rsid w:val="009858EB"/>
    <w:rsid w:val="009920F8"/>
    <w:rsid w:val="009B0046"/>
    <w:rsid w:val="009C1440"/>
    <w:rsid w:val="009C2107"/>
    <w:rsid w:val="009C5D9E"/>
    <w:rsid w:val="009D2C3E"/>
    <w:rsid w:val="009D5E34"/>
    <w:rsid w:val="009D62B1"/>
    <w:rsid w:val="009E0439"/>
    <w:rsid w:val="009E0625"/>
    <w:rsid w:val="009E159E"/>
    <w:rsid w:val="009E3034"/>
    <w:rsid w:val="009E549F"/>
    <w:rsid w:val="009F28A8"/>
    <w:rsid w:val="009F473E"/>
    <w:rsid w:val="009F682A"/>
    <w:rsid w:val="00A022BE"/>
    <w:rsid w:val="00A16215"/>
    <w:rsid w:val="00A231D3"/>
    <w:rsid w:val="00A24C95"/>
    <w:rsid w:val="00A25A10"/>
    <w:rsid w:val="00A26094"/>
    <w:rsid w:val="00A301BF"/>
    <w:rsid w:val="00A302B2"/>
    <w:rsid w:val="00A331B4"/>
    <w:rsid w:val="00A3484E"/>
    <w:rsid w:val="00A36ADA"/>
    <w:rsid w:val="00A42F4F"/>
    <w:rsid w:val="00A438D8"/>
    <w:rsid w:val="00A473F5"/>
    <w:rsid w:val="00A51F9D"/>
    <w:rsid w:val="00A5416A"/>
    <w:rsid w:val="00A639F4"/>
    <w:rsid w:val="00A74CF3"/>
    <w:rsid w:val="00A81A32"/>
    <w:rsid w:val="00A835BD"/>
    <w:rsid w:val="00A83EBE"/>
    <w:rsid w:val="00A934B7"/>
    <w:rsid w:val="00A97B15"/>
    <w:rsid w:val="00AA42D5"/>
    <w:rsid w:val="00AB2FAB"/>
    <w:rsid w:val="00AB5C14"/>
    <w:rsid w:val="00AB75A1"/>
    <w:rsid w:val="00AC1EE7"/>
    <w:rsid w:val="00AC333F"/>
    <w:rsid w:val="00AC3A57"/>
    <w:rsid w:val="00AC585C"/>
    <w:rsid w:val="00AD18F9"/>
    <w:rsid w:val="00AD1925"/>
    <w:rsid w:val="00AE0472"/>
    <w:rsid w:val="00AE067D"/>
    <w:rsid w:val="00AE1257"/>
    <w:rsid w:val="00AF1181"/>
    <w:rsid w:val="00AF2F79"/>
    <w:rsid w:val="00AF4653"/>
    <w:rsid w:val="00AF7DB7"/>
    <w:rsid w:val="00B02526"/>
    <w:rsid w:val="00B10941"/>
    <w:rsid w:val="00B24738"/>
    <w:rsid w:val="00B443E4"/>
    <w:rsid w:val="00B5024A"/>
    <w:rsid w:val="00B563EA"/>
    <w:rsid w:val="00B60E51"/>
    <w:rsid w:val="00B63A54"/>
    <w:rsid w:val="00B7140E"/>
    <w:rsid w:val="00B72E3E"/>
    <w:rsid w:val="00B74B83"/>
    <w:rsid w:val="00B77B7A"/>
    <w:rsid w:val="00B77D18"/>
    <w:rsid w:val="00B8313A"/>
    <w:rsid w:val="00B83C6B"/>
    <w:rsid w:val="00B87A0E"/>
    <w:rsid w:val="00B93503"/>
    <w:rsid w:val="00BA31E8"/>
    <w:rsid w:val="00BA55E0"/>
    <w:rsid w:val="00BA6BD4"/>
    <w:rsid w:val="00BB2655"/>
    <w:rsid w:val="00BB3752"/>
    <w:rsid w:val="00BB6688"/>
    <w:rsid w:val="00BB7CDE"/>
    <w:rsid w:val="00BC26D4"/>
    <w:rsid w:val="00BC580E"/>
    <w:rsid w:val="00BC5C81"/>
    <w:rsid w:val="00BC64F2"/>
    <w:rsid w:val="00BD7C15"/>
    <w:rsid w:val="00BD7D5D"/>
    <w:rsid w:val="00BE100E"/>
    <w:rsid w:val="00BE28E9"/>
    <w:rsid w:val="00BE6DC3"/>
    <w:rsid w:val="00BF2A42"/>
    <w:rsid w:val="00BF6DE6"/>
    <w:rsid w:val="00C03D8C"/>
    <w:rsid w:val="00C055EC"/>
    <w:rsid w:val="00C05CB3"/>
    <w:rsid w:val="00C10DC9"/>
    <w:rsid w:val="00C12FB3"/>
    <w:rsid w:val="00C144AE"/>
    <w:rsid w:val="00C17341"/>
    <w:rsid w:val="00C24EEF"/>
    <w:rsid w:val="00C25CF6"/>
    <w:rsid w:val="00C26C36"/>
    <w:rsid w:val="00C277D4"/>
    <w:rsid w:val="00C32768"/>
    <w:rsid w:val="00C37434"/>
    <w:rsid w:val="00C431DF"/>
    <w:rsid w:val="00C456BD"/>
    <w:rsid w:val="00C46AA4"/>
    <w:rsid w:val="00C530DC"/>
    <w:rsid w:val="00C5350D"/>
    <w:rsid w:val="00C6123C"/>
    <w:rsid w:val="00C67F50"/>
    <w:rsid w:val="00C7084D"/>
    <w:rsid w:val="00C7315E"/>
    <w:rsid w:val="00C75895"/>
    <w:rsid w:val="00C75FD2"/>
    <w:rsid w:val="00C83C9F"/>
    <w:rsid w:val="00C86866"/>
    <w:rsid w:val="00C94840"/>
    <w:rsid w:val="00CA0A43"/>
    <w:rsid w:val="00CA67BD"/>
    <w:rsid w:val="00CA6AC8"/>
    <w:rsid w:val="00CB027F"/>
    <w:rsid w:val="00CB14A2"/>
    <w:rsid w:val="00CB6BB5"/>
    <w:rsid w:val="00CC6297"/>
    <w:rsid w:val="00CC7690"/>
    <w:rsid w:val="00CD1986"/>
    <w:rsid w:val="00CD5430"/>
    <w:rsid w:val="00CD76D7"/>
    <w:rsid w:val="00CE4D5C"/>
    <w:rsid w:val="00CF05DA"/>
    <w:rsid w:val="00CF58EB"/>
    <w:rsid w:val="00D0106E"/>
    <w:rsid w:val="00D06383"/>
    <w:rsid w:val="00D20E85"/>
    <w:rsid w:val="00D24615"/>
    <w:rsid w:val="00D27557"/>
    <w:rsid w:val="00D37842"/>
    <w:rsid w:val="00D41315"/>
    <w:rsid w:val="00D42DC2"/>
    <w:rsid w:val="00D43773"/>
    <w:rsid w:val="00D537E1"/>
    <w:rsid w:val="00D55BB2"/>
    <w:rsid w:val="00D6091A"/>
    <w:rsid w:val="00D62A07"/>
    <w:rsid w:val="00D6695F"/>
    <w:rsid w:val="00D66CBA"/>
    <w:rsid w:val="00D75644"/>
    <w:rsid w:val="00D81656"/>
    <w:rsid w:val="00D8246C"/>
    <w:rsid w:val="00D83D87"/>
    <w:rsid w:val="00D86A30"/>
    <w:rsid w:val="00D971C5"/>
    <w:rsid w:val="00D97CB4"/>
    <w:rsid w:val="00D97DD4"/>
    <w:rsid w:val="00DA5A8A"/>
    <w:rsid w:val="00DA645C"/>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879"/>
    <w:rsid w:val="00E04C2A"/>
    <w:rsid w:val="00E10454"/>
    <w:rsid w:val="00E112E5"/>
    <w:rsid w:val="00E151A9"/>
    <w:rsid w:val="00E21CC7"/>
    <w:rsid w:val="00E24D9E"/>
    <w:rsid w:val="00E25849"/>
    <w:rsid w:val="00E30BEA"/>
    <w:rsid w:val="00E3197E"/>
    <w:rsid w:val="00E342F8"/>
    <w:rsid w:val="00E351ED"/>
    <w:rsid w:val="00E46F50"/>
    <w:rsid w:val="00E6034B"/>
    <w:rsid w:val="00E6549E"/>
    <w:rsid w:val="00E65EDE"/>
    <w:rsid w:val="00E70F81"/>
    <w:rsid w:val="00E73098"/>
    <w:rsid w:val="00E74684"/>
    <w:rsid w:val="00E77055"/>
    <w:rsid w:val="00E77460"/>
    <w:rsid w:val="00E77F35"/>
    <w:rsid w:val="00E83ABC"/>
    <w:rsid w:val="00E8405E"/>
    <w:rsid w:val="00E844F2"/>
    <w:rsid w:val="00E92FCB"/>
    <w:rsid w:val="00E973F1"/>
    <w:rsid w:val="00EA147F"/>
    <w:rsid w:val="00EA2397"/>
    <w:rsid w:val="00EB5E17"/>
    <w:rsid w:val="00ED03AB"/>
    <w:rsid w:val="00ED0CAC"/>
    <w:rsid w:val="00ED1CD4"/>
    <w:rsid w:val="00ED1D2B"/>
    <w:rsid w:val="00ED5767"/>
    <w:rsid w:val="00ED5A8D"/>
    <w:rsid w:val="00ED64B5"/>
    <w:rsid w:val="00EE1EAF"/>
    <w:rsid w:val="00EE7CCA"/>
    <w:rsid w:val="00F07866"/>
    <w:rsid w:val="00F13567"/>
    <w:rsid w:val="00F16A14"/>
    <w:rsid w:val="00F231DC"/>
    <w:rsid w:val="00F362D7"/>
    <w:rsid w:val="00F37D7B"/>
    <w:rsid w:val="00F5314C"/>
    <w:rsid w:val="00F53706"/>
    <w:rsid w:val="00F634AD"/>
    <w:rsid w:val="00F635DD"/>
    <w:rsid w:val="00F648A8"/>
    <w:rsid w:val="00F6627B"/>
    <w:rsid w:val="00F67720"/>
    <w:rsid w:val="00F734F2"/>
    <w:rsid w:val="00F74A8D"/>
    <w:rsid w:val="00F75052"/>
    <w:rsid w:val="00F76FBD"/>
    <w:rsid w:val="00F804D3"/>
    <w:rsid w:val="00F81CD2"/>
    <w:rsid w:val="00F82641"/>
    <w:rsid w:val="00F90F18"/>
    <w:rsid w:val="00F937E4"/>
    <w:rsid w:val="00F95EE7"/>
    <w:rsid w:val="00FA39E6"/>
    <w:rsid w:val="00FA7BC9"/>
    <w:rsid w:val="00FB378E"/>
    <w:rsid w:val="00FB37F1"/>
    <w:rsid w:val="00FB47C0"/>
    <w:rsid w:val="00FB501B"/>
    <w:rsid w:val="00FB7770"/>
    <w:rsid w:val="00FC0E1A"/>
    <w:rsid w:val="00FC37EE"/>
    <w:rsid w:val="00FC6A7E"/>
    <w:rsid w:val="00FD3B91"/>
    <w:rsid w:val="00FD576B"/>
    <w:rsid w:val="00FD579E"/>
    <w:rsid w:val="00FE4516"/>
    <w:rsid w:val="00FE60E0"/>
    <w:rsid w:val="00FE7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1E12C"/>
  <w15:docId w15:val="{194A23C6-E2B1-459A-A8D2-30AA5753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標題 1章名,章,章名,標題 1附件"/>
    <w:basedOn w:val="a6"/>
    <w:qFormat/>
    <w:rsid w:val="004F5E57"/>
    <w:pPr>
      <w:numPr>
        <w:numId w:val="25"/>
      </w:numPr>
      <w:outlineLvl w:val="0"/>
    </w:pPr>
    <w:rPr>
      <w:rFonts w:hAnsi="Arial"/>
      <w:bCs/>
      <w:kern w:val="32"/>
      <w:szCs w:val="52"/>
    </w:rPr>
  </w:style>
  <w:style w:type="paragraph" w:styleId="2">
    <w:name w:val="heading 2"/>
    <w:aliases w:val="標題110/111,節,節1,標題 2節名"/>
    <w:basedOn w:val="a6"/>
    <w:qFormat/>
    <w:rsid w:val="00ED0CAC"/>
    <w:pPr>
      <w:numPr>
        <w:ilvl w:val="1"/>
        <w:numId w:val="25"/>
      </w:numPr>
      <w:outlineLvl w:val="1"/>
    </w:pPr>
    <w:rPr>
      <w:rFonts w:hAnsi="Arial"/>
      <w:b/>
      <w:bCs/>
      <w:kern w:val="32"/>
      <w:szCs w:val="48"/>
    </w:rPr>
  </w:style>
  <w:style w:type="paragraph" w:styleId="3">
    <w:name w:val="heading 3"/>
    <w:aliases w:val="(一),小節標題,sub pro,--1.1.1.,1.1.1,標題 3 字元 字元,標題 3(非粗體)"/>
    <w:basedOn w:val="a6"/>
    <w:link w:val="30"/>
    <w:qFormat/>
    <w:rsid w:val="004F5E57"/>
    <w:pPr>
      <w:numPr>
        <w:ilvl w:val="2"/>
        <w:numId w:val="25"/>
      </w:numPr>
      <w:outlineLvl w:val="2"/>
    </w:pPr>
    <w:rPr>
      <w:rFonts w:hAnsi="Arial"/>
      <w:bCs/>
      <w:kern w:val="32"/>
      <w:szCs w:val="36"/>
    </w:rPr>
  </w:style>
  <w:style w:type="paragraph" w:styleId="4">
    <w:name w:val="heading 4"/>
    <w:aliases w:val="一,一、,H4,--1.,--1,1.1.1.1,1.,標題 4(粗體)"/>
    <w:basedOn w:val="a6"/>
    <w:qFormat/>
    <w:rsid w:val="004F5E57"/>
    <w:pPr>
      <w:numPr>
        <w:ilvl w:val="3"/>
        <w:numId w:val="25"/>
      </w:numPr>
      <w:outlineLvl w:val="3"/>
    </w:pPr>
    <w:rPr>
      <w:rFonts w:hAnsi="Arial"/>
      <w:kern w:val="32"/>
      <w:szCs w:val="36"/>
    </w:rPr>
  </w:style>
  <w:style w:type="paragraph" w:styleId="5">
    <w:name w:val="heading 5"/>
    <w:aliases w:val="（一）標題 5,--(1)1,--(1),COA標題 5,A.,H5,12345,h5,l5,hm,[ (1). ],Level 3 - i,標題 5(粗體)"/>
    <w:basedOn w:val="a6"/>
    <w:qFormat/>
    <w:rsid w:val="004F5E57"/>
    <w:pPr>
      <w:numPr>
        <w:ilvl w:val="4"/>
        <w:numId w:val="25"/>
      </w:numPr>
      <w:outlineLvl w:val="4"/>
    </w:pPr>
    <w:rPr>
      <w:rFonts w:hAnsi="Arial"/>
      <w:bCs/>
      <w:kern w:val="32"/>
      <w:szCs w:val="36"/>
    </w:rPr>
  </w:style>
  <w:style w:type="paragraph" w:styleId="6">
    <w:name w:val="heading 6"/>
    <w:aliases w:val="1,參考文獻,ref-items,A,--A,ISO標題 6,標題 6 參考文獻,標題 6 標題 6"/>
    <w:basedOn w:val="a6"/>
    <w:qFormat/>
    <w:rsid w:val="004F5E57"/>
    <w:pPr>
      <w:numPr>
        <w:ilvl w:val="5"/>
        <w:numId w:val="25"/>
      </w:numPr>
      <w:tabs>
        <w:tab w:val="left" w:pos="2094"/>
      </w:tabs>
      <w:outlineLvl w:val="5"/>
    </w:pPr>
    <w:rPr>
      <w:rFonts w:hAnsi="Arial"/>
      <w:kern w:val="32"/>
      <w:szCs w:val="36"/>
    </w:rPr>
  </w:style>
  <w:style w:type="paragraph" w:styleId="7">
    <w:name w:val="heading 7"/>
    <w:aliases w:val="(1),(A),--(a),--a,標題 7-(a),標題 7 標題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EB5E17"/>
    <w:pPr>
      <w:snapToGrid w:val="0"/>
      <w:jc w:val="left"/>
    </w:pPr>
    <w:rPr>
      <w:sz w:val="20"/>
    </w:rPr>
  </w:style>
  <w:style w:type="character" w:customStyle="1" w:styleId="afb">
    <w:name w:val="註腳文字 字元"/>
    <w:basedOn w:val="a7"/>
    <w:link w:val="afa"/>
    <w:rsid w:val="00EB5E17"/>
    <w:rPr>
      <w:rFonts w:ascii="標楷體" w:eastAsia="標楷體"/>
      <w:kern w:val="2"/>
    </w:rPr>
  </w:style>
  <w:style w:type="character" w:styleId="afc">
    <w:name w:val="footnote reference"/>
    <w:basedOn w:val="a7"/>
    <w:semiHidden/>
    <w:unhideWhenUsed/>
    <w:rsid w:val="00EB5E17"/>
    <w:rPr>
      <w:vertAlign w:val="superscript"/>
    </w:rPr>
  </w:style>
  <w:style w:type="character" w:customStyle="1" w:styleId="30">
    <w:name w:val="標題 3 字元"/>
    <w:aliases w:val="(一) 字元,小節標題 字元,sub pro 字元,--1.1.1. 字元,1.1.1 字元,標題 3 字元 字元 字元,標題 3(非粗體) 字元"/>
    <w:link w:val="3"/>
    <w:rsid w:val="009D5E3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F4B12-4F97-4E4B-9453-CF392733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512</Words>
  <Characters>2919</Characters>
  <Application>Microsoft Office Word</Application>
  <DocSecurity>0</DocSecurity>
  <Lines>24</Lines>
  <Paragraphs>6</Paragraphs>
  <ScaleCrop>false</ScaleCrop>
  <Company>cy</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柯博修</cp:lastModifiedBy>
  <cp:revision>2</cp:revision>
  <cp:lastPrinted>2019-12-10T08:39:00Z</cp:lastPrinted>
  <dcterms:created xsi:type="dcterms:W3CDTF">2021-12-27T07:43:00Z</dcterms:created>
  <dcterms:modified xsi:type="dcterms:W3CDTF">2021-12-27T07:43:00Z</dcterms:modified>
</cp:coreProperties>
</file>