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17F2" w:rsidRDefault="0025106C" w:rsidP="00F37D7B">
      <w:pPr>
        <w:pStyle w:val="af2"/>
      </w:pPr>
      <w:r w:rsidRPr="000817F2">
        <w:rPr>
          <w:rFonts w:hint="eastAsia"/>
        </w:rPr>
        <w:t>糾正案文</w:t>
      </w:r>
    </w:p>
    <w:p w:rsidR="00E25849" w:rsidRPr="000817F2" w:rsidRDefault="0025106C" w:rsidP="00897067">
      <w:pPr>
        <w:pStyle w:val="1"/>
      </w:pPr>
      <w:r w:rsidRPr="000817F2">
        <w:rPr>
          <w:rFonts w:hint="eastAsia"/>
        </w:rPr>
        <w:t>被糾正機關：</w:t>
      </w:r>
      <w:r w:rsidR="000D1D14" w:rsidRPr="000817F2">
        <w:rPr>
          <w:rFonts w:hint="eastAsia"/>
        </w:rPr>
        <w:t>行政院</w:t>
      </w:r>
      <w:r w:rsidRPr="000817F2">
        <w:rPr>
          <w:rFonts w:hint="eastAsia"/>
        </w:rPr>
        <w:t>。</w:t>
      </w:r>
    </w:p>
    <w:p w:rsidR="00E25849" w:rsidRPr="000817F2" w:rsidRDefault="0025106C" w:rsidP="00B002F7">
      <w:pPr>
        <w:pStyle w:val="1"/>
      </w:pPr>
      <w:r w:rsidRPr="000817F2">
        <w:rPr>
          <w:rFonts w:hint="eastAsia"/>
        </w:rPr>
        <w:t>案　　　由：</w:t>
      </w:r>
      <w:r w:rsidR="000D1D14" w:rsidRPr="000817F2">
        <w:rPr>
          <w:rFonts w:hint="eastAsia"/>
        </w:rPr>
        <w:t>國際癌症研究中心(IARC)自西元2003</w:t>
      </w:r>
      <w:r w:rsidR="00CC77D0" w:rsidRPr="000817F2">
        <w:rPr>
          <w:rFonts w:hint="eastAsia"/>
        </w:rPr>
        <w:t>年</w:t>
      </w:r>
      <w:r w:rsidR="000D1D14" w:rsidRPr="000817F2">
        <w:rPr>
          <w:rFonts w:hint="eastAsia"/>
        </w:rPr>
        <w:t>早已發布「</w:t>
      </w:r>
      <w:proofErr w:type="gramStart"/>
      <w:r w:rsidR="000D1D14" w:rsidRPr="000817F2">
        <w:rPr>
          <w:rFonts w:hint="eastAsia"/>
        </w:rPr>
        <w:t>檳榔子屬第一</w:t>
      </w:r>
      <w:proofErr w:type="gramEnd"/>
      <w:r w:rsidR="000D1D14" w:rsidRPr="000817F2">
        <w:rPr>
          <w:rFonts w:hint="eastAsia"/>
        </w:rPr>
        <w:t>類致癌物」警訊，</w:t>
      </w:r>
      <w:proofErr w:type="gramStart"/>
      <w:r w:rsidR="000D1D14" w:rsidRPr="000817F2">
        <w:rPr>
          <w:rFonts w:hint="eastAsia"/>
        </w:rPr>
        <w:t>且嚼食</w:t>
      </w:r>
      <w:proofErr w:type="gramEnd"/>
      <w:r w:rsidR="000D1D14" w:rsidRPr="000817F2">
        <w:rPr>
          <w:rFonts w:hint="eastAsia"/>
        </w:rPr>
        <w:t>檳榔除造成口腔癌外，亦與食道癌形成相關，我國每年約有</w:t>
      </w:r>
      <w:r w:rsidR="000149F3" w:rsidRPr="000817F2">
        <w:rPr>
          <w:rFonts w:hint="eastAsia"/>
        </w:rPr>
        <w:t>超過</w:t>
      </w:r>
      <w:r w:rsidR="000D1D14" w:rsidRPr="000817F2">
        <w:rPr>
          <w:rFonts w:hint="eastAsia"/>
        </w:rPr>
        <w:t>萬人</w:t>
      </w:r>
      <w:proofErr w:type="gramStart"/>
      <w:r w:rsidR="000D1D14" w:rsidRPr="000817F2">
        <w:rPr>
          <w:rFonts w:hint="eastAsia"/>
        </w:rPr>
        <w:t>罹</w:t>
      </w:r>
      <w:proofErr w:type="gramEnd"/>
      <w:r w:rsidR="000D1D14" w:rsidRPr="000817F2">
        <w:rPr>
          <w:rFonts w:hint="eastAsia"/>
        </w:rPr>
        <w:t>患口腔癌、食道癌，每年死亡人數超過5,000人，每年健保醫療費用支出已逐年增加至超出80億(點)，可見檳榔對於健康危害甚</w:t>
      </w:r>
      <w:proofErr w:type="gramStart"/>
      <w:r w:rsidR="000D1D14" w:rsidRPr="000817F2">
        <w:rPr>
          <w:rFonts w:hint="eastAsia"/>
        </w:rPr>
        <w:t>鉅</w:t>
      </w:r>
      <w:proofErr w:type="gramEnd"/>
      <w:r w:rsidR="000D1D14" w:rsidRPr="000817F2">
        <w:rPr>
          <w:rFonts w:hint="eastAsia"/>
        </w:rPr>
        <w:t>。</w:t>
      </w:r>
      <w:proofErr w:type="gramStart"/>
      <w:r w:rsidR="000D1D14" w:rsidRPr="000817F2">
        <w:rPr>
          <w:rFonts w:hint="eastAsia"/>
        </w:rPr>
        <w:t>惟</w:t>
      </w:r>
      <w:proofErr w:type="gramEnd"/>
      <w:r w:rsidR="000D1D14" w:rsidRPr="000817F2">
        <w:rPr>
          <w:rFonts w:hint="eastAsia"/>
        </w:rPr>
        <w:t>行政院長久以來對於檳榔危害防制作為過於消極，每年僅召開1次中央癌症防治會報列管，防制工作早流於形式，且</w:t>
      </w:r>
      <w:proofErr w:type="gramStart"/>
      <w:r w:rsidR="000D1D14" w:rsidRPr="000817F2">
        <w:rPr>
          <w:rFonts w:hint="eastAsia"/>
        </w:rPr>
        <w:t>怠</w:t>
      </w:r>
      <w:proofErr w:type="gramEnd"/>
      <w:r w:rsidR="000D1D14" w:rsidRPr="000817F2">
        <w:rPr>
          <w:rFonts w:hint="eastAsia"/>
        </w:rPr>
        <w:t>於重新檢視並推動檳榔危害</w:t>
      </w:r>
      <w:proofErr w:type="gramStart"/>
      <w:r w:rsidR="000D1D14" w:rsidRPr="000817F2">
        <w:rPr>
          <w:rFonts w:hint="eastAsia"/>
        </w:rPr>
        <w:t>防制專法</w:t>
      </w:r>
      <w:proofErr w:type="gramEnd"/>
      <w:r w:rsidR="000D1D14" w:rsidRPr="000817F2">
        <w:rPr>
          <w:rFonts w:hint="eastAsia"/>
        </w:rPr>
        <w:t>，總以檳榔管理已分散於其他相關法令規定為由推拖，漠視目前各管理法令漏洞及強度不足之後果，坐視國人口腔癌及食道癌發生率居高不下，甚口腔癌發生率高居世界第一之事實，致國人必須付出慘痛的健康代價及社會沉重的醫療支出，核有</w:t>
      </w:r>
      <w:proofErr w:type="gramStart"/>
      <w:r w:rsidR="000D1D14" w:rsidRPr="000817F2">
        <w:rPr>
          <w:rFonts w:hint="eastAsia"/>
        </w:rPr>
        <w:t>怠</w:t>
      </w:r>
      <w:proofErr w:type="gramEnd"/>
      <w:r w:rsidR="000D1D14" w:rsidRPr="000817F2">
        <w:rPr>
          <w:rFonts w:hint="eastAsia"/>
        </w:rPr>
        <w:t>失，</w:t>
      </w:r>
      <w:proofErr w:type="gramStart"/>
      <w:r w:rsidR="008B4841" w:rsidRPr="000817F2">
        <w:rPr>
          <w:rFonts w:hint="eastAsia"/>
        </w:rPr>
        <w:t>爰</w:t>
      </w:r>
      <w:proofErr w:type="gramEnd"/>
      <w:r w:rsidR="008B4841" w:rsidRPr="000817F2">
        <w:rPr>
          <w:rFonts w:hint="eastAsia"/>
        </w:rPr>
        <w:t>依法提案糾正</w:t>
      </w:r>
      <w:r w:rsidRPr="000817F2">
        <w:rPr>
          <w:rFonts w:hint="eastAsia"/>
        </w:rPr>
        <w:t>。</w:t>
      </w:r>
    </w:p>
    <w:p w:rsidR="00E25849" w:rsidRPr="000817F2"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817F2">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0D1D14" w:rsidRPr="000817F2" w:rsidRDefault="000D1D14" w:rsidP="0055550F">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817F2">
        <w:rPr>
          <w:rFonts w:hint="eastAsia"/>
        </w:rPr>
        <w:t>我國口腔癌發生率高居世界第一，且檳榔除造成口腔癌外，亦與食道癌形成相關，我國每年約有</w:t>
      </w:r>
      <w:r w:rsidR="000149F3" w:rsidRPr="000817F2">
        <w:rPr>
          <w:rFonts w:hint="eastAsia"/>
        </w:rPr>
        <w:t>超過</w:t>
      </w:r>
      <w:r w:rsidRPr="000817F2">
        <w:rPr>
          <w:rFonts w:hint="eastAsia"/>
        </w:rPr>
        <w:t>萬人罹患口腔癌、食道癌，每年死亡人數超過5,000人，</w:t>
      </w:r>
      <w:r w:rsidR="0055550F" w:rsidRPr="000817F2">
        <w:rPr>
          <w:rFonts w:hint="eastAsia"/>
        </w:rPr>
        <w:t>而</w:t>
      </w:r>
      <w:r w:rsidRPr="000817F2">
        <w:rPr>
          <w:rFonts w:hint="eastAsia"/>
        </w:rPr>
        <w:t>每年健保醫療費用支出已逐年增加至超出80億(點)</w:t>
      </w:r>
      <w:r w:rsidR="0055550F" w:rsidRPr="000817F2">
        <w:rPr>
          <w:rFonts w:hint="eastAsia"/>
        </w:rPr>
        <w:t>；</w:t>
      </w:r>
      <w:r w:rsidR="00096215" w:rsidRPr="000817F2">
        <w:rPr>
          <w:rFonts w:hint="eastAsia"/>
        </w:rPr>
        <w:t>復查我國</w:t>
      </w:r>
      <w:bookmarkStart w:id="41" w:name="_Hlk88067100"/>
      <w:r w:rsidR="00CD45D8" w:rsidRPr="000817F2">
        <w:rPr>
          <w:rFonts w:hint="eastAsia"/>
        </w:rPr>
        <w:t>曾嚼食檳榔的</w:t>
      </w:r>
      <w:r w:rsidR="0055550F" w:rsidRPr="000817F2">
        <w:rPr>
          <w:rFonts w:hint="eastAsia"/>
        </w:rPr>
        <w:t>國中生</w:t>
      </w:r>
      <w:r w:rsidR="00CD45D8" w:rsidRPr="000817F2">
        <w:rPr>
          <w:rFonts w:hint="eastAsia"/>
        </w:rPr>
        <w:t>，近6成</w:t>
      </w:r>
      <w:r w:rsidR="0055550F" w:rsidRPr="000817F2">
        <w:rPr>
          <w:rFonts w:hint="eastAsia"/>
        </w:rPr>
        <w:t>第1次嚼檳榔是在11歲以前(小學階段)，而</w:t>
      </w:r>
      <w:r w:rsidR="009C3115" w:rsidRPr="000817F2">
        <w:rPr>
          <w:rFonts w:hint="eastAsia"/>
        </w:rPr>
        <w:t>曾</w:t>
      </w:r>
      <w:r w:rsidR="00CD45D8" w:rsidRPr="000817F2">
        <w:rPr>
          <w:rFonts w:hint="eastAsia"/>
        </w:rPr>
        <w:t>嚼食檳榔的青少年學生(包括國民中學、高級中等學校及五專前三年</w:t>
      </w:r>
      <w:r w:rsidR="00CD45D8" w:rsidRPr="000817F2">
        <w:rPr>
          <w:rFonts w:hint="eastAsia"/>
          <w:spacing w:val="-10"/>
        </w:rPr>
        <w:t>學生</w:t>
      </w:r>
      <w:r w:rsidR="00CD45D8" w:rsidRPr="000817F2">
        <w:rPr>
          <w:rFonts w:hint="eastAsia"/>
        </w:rPr>
        <w:t>)，</w:t>
      </w:r>
      <w:r w:rsidR="0055550F" w:rsidRPr="000817F2">
        <w:rPr>
          <w:rFonts w:hint="eastAsia"/>
        </w:rPr>
        <w:t>在7歲或7歲以前</w:t>
      </w:r>
      <w:r w:rsidR="00CD45D8" w:rsidRPr="000817F2">
        <w:rPr>
          <w:rFonts w:hint="eastAsia"/>
        </w:rPr>
        <w:t>(學齡前階段)第1次嚼食檳榔者</w:t>
      </w:r>
      <w:r w:rsidR="0055550F" w:rsidRPr="000817F2">
        <w:rPr>
          <w:rFonts w:hint="eastAsia"/>
        </w:rPr>
        <w:t>甚高達15.1%</w:t>
      </w:r>
      <w:bookmarkEnd w:id="41"/>
      <w:r w:rsidR="0055550F" w:rsidRPr="000817F2">
        <w:rPr>
          <w:rFonts w:hint="eastAsia"/>
        </w:rPr>
        <w:t>；加以，</w:t>
      </w:r>
      <w:r w:rsidR="0055550F" w:rsidRPr="000817F2">
        <w:rPr>
          <w:rFonts w:hint="eastAsia"/>
        </w:rPr>
        <w:lastRenderedPageBreak/>
        <w:t>長久以來，檳榔一直高居</w:t>
      </w:r>
      <w:r w:rsidR="00096215" w:rsidRPr="000817F2">
        <w:rPr>
          <w:rFonts w:hint="eastAsia"/>
        </w:rPr>
        <w:t>為</w:t>
      </w:r>
      <w:r w:rsidR="0055550F" w:rsidRPr="000817F2">
        <w:rPr>
          <w:rFonts w:hint="eastAsia"/>
        </w:rPr>
        <w:t>國內種植面積第二大之作物，僅次於稻米</w:t>
      </w:r>
      <w:r w:rsidR="00096215" w:rsidRPr="000817F2">
        <w:rPr>
          <w:rFonts w:hint="eastAsia"/>
        </w:rPr>
        <w:t>。由上可見，</w:t>
      </w:r>
      <w:r w:rsidR="0055550F" w:rsidRPr="000817F2">
        <w:rPr>
          <w:rFonts w:hint="eastAsia"/>
        </w:rPr>
        <w:t>行政院</w:t>
      </w:r>
      <w:r w:rsidR="003E5904" w:rsidRPr="000817F2">
        <w:rPr>
          <w:rFonts w:hint="eastAsia"/>
        </w:rPr>
        <w:t>及相關主管機關所推動檳榔</w:t>
      </w:r>
      <w:r w:rsidR="00096215" w:rsidRPr="000817F2">
        <w:rPr>
          <w:rFonts w:hint="eastAsia"/>
        </w:rPr>
        <w:t>危害</w:t>
      </w:r>
      <w:r w:rsidR="003E5904" w:rsidRPr="000817F2">
        <w:rPr>
          <w:rFonts w:hint="eastAsia"/>
        </w:rPr>
        <w:t>防制</w:t>
      </w:r>
      <w:r w:rsidR="00096215" w:rsidRPr="000817F2">
        <w:rPr>
          <w:rFonts w:hint="eastAsia"/>
        </w:rPr>
        <w:t>之</w:t>
      </w:r>
      <w:r w:rsidR="003E5904" w:rsidRPr="000817F2">
        <w:rPr>
          <w:rFonts w:hint="eastAsia"/>
        </w:rPr>
        <w:t>作為</w:t>
      </w:r>
      <w:r w:rsidR="00096215" w:rsidRPr="000817F2">
        <w:rPr>
          <w:rFonts w:hint="eastAsia"/>
        </w:rPr>
        <w:t>，</w:t>
      </w:r>
      <w:r w:rsidR="003E5904" w:rsidRPr="000817F2">
        <w:rPr>
          <w:rFonts w:hint="eastAsia"/>
        </w:rPr>
        <w:t>有待</w:t>
      </w:r>
      <w:r w:rsidR="00096215" w:rsidRPr="000817F2">
        <w:rPr>
          <w:rFonts w:hint="eastAsia"/>
        </w:rPr>
        <w:t>深入</w:t>
      </w:r>
      <w:r w:rsidR="003E5904" w:rsidRPr="000817F2">
        <w:rPr>
          <w:rFonts w:hint="eastAsia"/>
        </w:rPr>
        <w:t>檢討。</w:t>
      </w:r>
    </w:p>
    <w:p w:rsidR="000D1D14" w:rsidRPr="000817F2" w:rsidRDefault="000D1D14" w:rsidP="000D1D14">
      <w:pPr>
        <w:pStyle w:val="10"/>
        <w:ind w:left="680" w:firstLine="680"/>
      </w:pPr>
      <w:r w:rsidRPr="000817F2">
        <w:rPr>
          <w:rFonts w:hint="eastAsia"/>
        </w:rPr>
        <w:t>案經</w:t>
      </w:r>
      <w:r w:rsidR="003E5904" w:rsidRPr="000817F2">
        <w:rPr>
          <w:rFonts w:hint="eastAsia"/>
        </w:rPr>
        <w:t>本院</w:t>
      </w:r>
      <w:r w:rsidRPr="000817F2">
        <w:rPr>
          <w:rFonts w:hint="eastAsia"/>
        </w:rPr>
        <w:t>向行政院、行政院農業委員會(下稱農委會)、衛</w:t>
      </w:r>
      <w:r w:rsidR="001262C4" w:rsidRPr="000817F2">
        <w:rPr>
          <w:rFonts w:hint="eastAsia"/>
        </w:rPr>
        <w:t>生</w:t>
      </w:r>
      <w:r w:rsidRPr="000817F2">
        <w:rPr>
          <w:rFonts w:hint="eastAsia"/>
        </w:rPr>
        <w:t>福</w:t>
      </w:r>
      <w:r w:rsidR="001262C4" w:rsidRPr="000817F2">
        <w:rPr>
          <w:rFonts w:hint="eastAsia"/>
        </w:rPr>
        <w:t>利</w:t>
      </w:r>
      <w:r w:rsidRPr="000817F2">
        <w:rPr>
          <w:rFonts w:hint="eastAsia"/>
        </w:rPr>
        <w:t>部</w:t>
      </w:r>
      <w:r w:rsidR="001262C4" w:rsidRPr="000817F2">
        <w:rPr>
          <w:rFonts w:hint="eastAsia"/>
        </w:rPr>
        <w:t>(下稱衛福部)</w:t>
      </w:r>
      <w:r w:rsidRPr="000817F2">
        <w:rPr>
          <w:rFonts w:hint="eastAsia"/>
        </w:rPr>
        <w:t>、財政部、教育部及原住民族委員會(下稱原民會)共6機關調閱相關卷證，並於民國(下同)109年12月24日邀集行政院林萬億政務委員、農委會黃金城副主任委員、衛福部國民</w:t>
      </w:r>
      <w:proofErr w:type="gramStart"/>
      <w:r w:rsidRPr="000817F2">
        <w:rPr>
          <w:rFonts w:hint="eastAsia"/>
        </w:rPr>
        <w:t>健康署</w:t>
      </w:r>
      <w:proofErr w:type="gramEnd"/>
      <w:r w:rsidRPr="000817F2">
        <w:rPr>
          <w:rFonts w:hint="eastAsia"/>
        </w:rPr>
        <w:t>(下</w:t>
      </w:r>
      <w:proofErr w:type="gramStart"/>
      <w:r w:rsidRPr="000817F2">
        <w:rPr>
          <w:rFonts w:hint="eastAsia"/>
        </w:rPr>
        <w:t>稱國健署</w:t>
      </w:r>
      <w:proofErr w:type="gramEnd"/>
      <w:r w:rsidRPr="000817F2">
        <w:rPr>
          <w:rFonts w:hint="eastAsia"/>
        </w:rPr>
        <w:t>)王英偉署長、財政部賦稅</w:t>
      </w:r>
      <w:proofErr w:type="gramStart"/>
      <w:r w:rsidRPr="000817F2">
        <w:rPr>
          <w:rFonts w:hint="eastAsia"/>
        </w:rPr>
        <w:t>署樓美鐘副</w:t>
      </w:r>
      <w:proofErr w:type="gramEnd"/>
      <w:r w:rsidRPr="000817F2">
        <w:rPr>
          <w:rFonts w:hint="eastAsia"/>
        </w:rPr>
        <w:t>署長、經濟部商業司</w:t>
      </w:r>
      <w:proofErr w:type="gramStart"/>
      <w:r w:rsidRPr="000817F2">
        <w:rPr>
          <w:rFonts w:hint="eastAsia"/>
        </w:rPr>
        <w:t>陳秘順副</w:t>
      </w:r>
      <w:proofErr w:type="gramEnd"/>
      <w:r w:rsidRPr="000817F2">
        <w:rPr>
          <w:rFonts w:hint="eastAsia"/>
        </w:rPr>
        <w:t>司長、內政部警政署陳耀南</w:t>
      </w:r>
      <w:r w:rsidR="000817F2" w:rsidRPr="000817F2">
        <w:rPr>
          <w:rFonts w:hint="eastAsia"/>
        </w:rPr>
        <w:t>警政委員</w:t>
      </w:r>
      <w:r w:rsidRPr="000817F2">
        <w:rPr>
          <w:rFonts w:hint="eastAsia"/>
        </w:rPr>
        <w:t>、教育部國民及學前教育署(下稱國教署)戴淑芬副署長、</w:t>
      </w:r>
      <w:r w:rsidRPr="000817F2">
        <w:rPr>
          <w:rFonts w:hint="eastAsia"/>
          <w:spacing w:val="-4"/>
        </w:rPr>
        <w:t>原民會林碧霞副主任委員等相關主管人員到院簡報說明。</w:t>
      </w:r>
    </w:p>
    <w:p w:rsidR="000D1D14" w:rsidRPr="000817F2" w:rsidRDefault="000D1D14" w:rsidP="003E5904">
      <w:pPr>
        <w:pStyle w:val="10"/>
        <w:ind w:left="680" w:firstLine="680"/>
        <w:rPr>
          <w:rFonts w:hAnsi="標楷體"/>
          <w:spacing w:val="-6"/>
        </w:rPr>
      </w:pPr>
      <w:r w:rsidRPr="000817F2">
        <w:rPr>
          <w:rFonts w:hint="eastAsia"/>
        </w:rPr>
        <w:t>嗣於110年1月20日邀請</w:t>
      </w:r>
      <w:r w:rsidR="009F203E" w:rsidRPr="00FC71E2">
        <w:rPr>
          <w:rFonts w:hint="eastAsia"/>
        </w:rPr>
        <w:t>新光吳火獅紀念醫院耳鼻喉科主任/輔仁大學醫學系侯勝博教授</w:t>
      </w:r>
      <w:r w:rsidRPr="000817F2">
        <w:rPr>
          <w:rFonts w:hint="eastAsia"/>
        </w:rPr>
        <w:t>、臺灣頭頸部腫瘤醫學會婁培人理事長、財團法人陽光社會福利基金會舒靜嫻執行長及臺灣檳榔防制暨口腔癌防治聯盟韓良俊主席提供諮詢意見；復於110年4月8日及9日、10月1日分別赴南投縣國姓鄉、屏東縣內埔鄉等現地履勘並辦理檳榔農座談會，瞭解檳榔園輔導轉作及農民執行之困境，以及檳榔採收後之運輸、分級與包裝等情形。再於110年10月27日詢問行政院林萬億政務委員、衛福部陳時中部長、農委會陳</w:t>
      </w:r>
      <w:proofErr w:type="gramStart"/>
      <w:r w:rsidRPr="000817F2">
        <w:rPr>
          <w:rFonts w:hint="eastAsia"/>
        </w:rPr>
        <w:t>駿季副</w:t>
      </w:r>
      <w:proofErr w:type="gramEnd"/>
      <w:r w:rsidRPr="000817F2">
        <w:rPr>
          <w:rFonts w:hint="eastAsia"/>
        </w:rPr>
        <w:t>主任委員、教育部蔡清華政務次長等相關主管人員，</w:t>
      </w:r>
      <w:r w:rsidR="003E5904" w:rsidRPr="000817F2">
        <w:rPr>
          <w:rFonts w:hint="eastAsia"/>
        </w:rPr>
        <w:t>發現行政院所推動之檳榔防制工作早已流於形式，且</w:t>
      </w:r>
      <w:proofErr w:type="gramStart"/>
      <w:r w:rsidR="003E5904" w:rsidRPr="000817F2">
        <w:rPr>
          <w:rFonts w:hint="eastAsia"/>
        </w:rPr>
        <w:t>怠</w:t>
      </w:r>
      <w:proofErr w:type="gramEnd"/>
      <w:r w:rsidR="003E5904" w:rsidRPr="000817F2">
        <w:rPr>
          <w:rFonts w:hint="eastAsia"/>
        </w:rPr>
        <w:t>於重新檢視並推動檳榔危害</w:t>
      </w:r>
      <w:proofErr w:type="gramStart"/>
      <w:r w:rsidR="003E5904" w:rsidRPr="000817F2">
        <w:rPr>
          <w:rFonts w:hint="eastAsia"/>
        </w:rPr>
        <w:t>防制專法</w:t>
      </w:r>
      <w:proofErr w:type="gramEnd"/>
      <w:r w:rsidR="003E5904" w:rsidRPr="000817F2">
        <w:rPr>
          <w:rFonts w:hint="eastAsia"/>
        </w:rPr>
        <w:t>，</w:t>
      </w:r>
      <w:r w:rsidRPr="000817F2">
        <w:rPr>
          <w:rFonts w:hint="eastAsia"/>
        </w:rPr>
        <w:t>應予糾正促其注意改善。茲</w:t>
      </w:r>
      <w:r w:rsidR="003E5904" w:rsidRPr="000817F2">
        <w:rPr>
          <w:rFonts w:hint="eastAsia"/>
        </w:rPr>
        <w:t>陳</w:t>
      </w:r>
      <w:r w:rsidRPr="000817F2">
        <w:rPr>
          <w:rFonts w:hint="eastAsia"/>
        </w:rPr>
        <w:t>列事實與理由如下：</w:t>
      </w:r>
    </w:p>
    <w:p w:rsidR="000D1D14" w:rsidRPr="000817F2" w:rsidRDefault="000D1D14" w:rsidP="00D519E6">
      <w:pPr>
        <w:pStyle w:val="10"/>
        <w:ind w:left="680" w:firstLine="681"/>
        <w:rPr>
          <w:b/>
        </w:rPr>
      </w:pPr>
      <w:bookmarkStart w:id="42" w:name="_Toc524902730"/>
      <w:bookmarkEnd w:id="35"/>
      <w:bookmarkEnd w:id="36"/>
      <w:bookmarkEnd w:id="37"/>
      <w:bookmarkEnd w:id="38"/>
      <w:bookmarkEnd w:id="39"/>
      <w:bookmarkEnd w:id="40"/>
      <w:r w:rsidRPr="000817F2">
        <w:rPr>
          <w:rFonts w:hint="eastAsia"/>
          <w:b/>
        </w:rPr>
        <w:t>國際癌症研究中心(</w:t>
      </w:r>
      <w:r w:rsidRPr="000817F2">
        <w:rPr>
          <w:b/>
        </w:rPr>
        <w:t>IARC</w:t>
      </w:r>
      <w:r w:rsidRPr="000817F2">
        <w:rPr>
          <w:rFonts w:hint="eastAsia"/>
          <w:b/>
        </w:rPr>
        <w:t>)自西元2003</w:t>
      </w:r>
      <w:r w:rsidR="007D7FF8" w:rsidRPr="000817F2">
        <w:rPr>
          <w:rFonts w:hint="eastAsia"/>
          <w:b/>
        </w:rPr>
        <w:t>年</w:t>
      </w:r>
      <w:r w:rsidRPr="000817F2">
        <w:rPr>
          <w:rFonts w:hint="eastAsia"/>
          <w:b/>
        </w:rPr>
        <w:t>早已發布「</w:t>
      </w:r>
      <w:proofErr w:type="gramStart"/>
      <w:r w:rsidRPr="000817F2">
        <w:rPr>
          <w:rFonts w:hint="eastAsia"/>
          <w:b/>
        </w:rPr>
        <w:t>檳榔子屬第一</w:t>
      </w:r>
      <w:proofErr w:type="gramEnd"/>
      <w:r w:rsidRPr="000817F2">
        <w:rPr>
          <w:rFonts w:hint="eastAsia"/>
          <w:b/>
        </w:rPr>
        <w:t>類致癌物」警訊，</w:t>
      </w:r>
      <w:proofErr w:type="gramStart"/>
      <w:r w:rsidRPr="000817F2">
        <w:rPr>
          <w:rFonts w:hint="eastAsia"/>
          <w:b/>
        </w:rPr>
        <w:t>且嚼食</w:t>
      </w:r>
      <w:proofErr w:type="gramEnd"/>
      <w:r w:rsidRPr="000817F2">
        <w:rPr>
          <w:rFonts w:hint="eastAsia"/>
          <w:b/>
        </w:rPr>
        <w:t>檳榔除造成口腔癌外，亦與食道癌形成相關，我國每年約有</w:t>
      </w:r>
      <w:r w:rsidR="000149F3" w:rsidRPr="000817F2">
        <w:rPr>
          <w:rFonts w:hint="eastAsia"/>
          <w:b/>
        </w:rPr>
        <w:t>超過</w:t>
      </w:r>
      <w:r w:rsidRPr="000817F2">
        <w:rPr>
          <w:rFonts w:hint="eastAsia"/>
          <w:b/>
        </w:rPr>
        <w:t>萬人</w:t>
      </w:r>
      <w:proofErr w:type="gramStart"/>
      <w:r w:rsidRPr="000817F2">
        <w:rPr>
          <w:rFonts w:hint="eastAsia"/>
          <w:b/>
        </w:rPr>
        <w:t>罹</w:t>
      </w:r>
      <w:proofErr w:type="gramEnd"/>
      <w:r w:rsidRPr="000817F2">
        <w:rPr>
          <w:rFonts w:hint="eastAsia"/>
          <w:b/>
        </w:rPr>
        <w:t>患口腔癌、食道癌，每年死亡人數超過5</w:t>
      </w:r>
      <w:r w:rsidRPr="000817F2">
        <w:rPr>
          <w:b/>
        </w:rPr>
        <w:t>,</w:t>
      </w:r>
      <w:r w:rsidRPr="000817F2">
        <w:rPr>
          <w:rFonts w:hint="eastAsia"/>
          <w:b/>
        </w:rPr>
        <w:t>000人，每年健保醫療費用支出已逐年增加至超出80億(點)，</w:t>
      </w:r>
      <w:proofErr w:type="gramStart"/>
      <w:r w:rsidRPr="000817F2">
        <w:rPr>
          <w:rFonts w:hint="eastAsia"/>
          <w:b/>
        </w:rPr>
        <w:t>且嚼食</w:t>
      </w:r>
      <w:proofErr w:type="gramEnd"/>
      <w:r w:rsidRPr="000817F2">
        <w:rPr>
          <w:rFonts w:hint="eastAsia"/>
          <w:b/>
        </w:rPr>
        <w:lastRenderedPageBreak/>
        <w:t>檳榔尚易增加缺血性心臟病、高血壓、肝癌、肝硬化</w:t>
      </w:r>
      <w:r w:rsidR="00033067" w:rsidRPr="000817F2">
        <w:rPr>
          <w:rFonts w:hint="eastAsia"/>
          <w:b/>
        </w:rPr>
        <w:t>等</w:t>
      </w:r>
      <w:r w:rsidRPr="000817F2">
        <w:rPr>
          <w:rFonts w:hint="eastAsia"/>
          <w:b/>
        </w:rPr>
        <w:t>風險，可見檳榔對於健康危害甚</w:t>
      </w:r>
      <w:proofErr w:type="gramStart"/>
      <w:r w:rsidRPr="000817F2">
        <w:rPr>
          <w:rFonts w:hint="eastAsia"/>
          <w:b/>
        </w:rPr>
        <w:t>鉅</w:t>
      </w:r>
      <w:proofErr w:type="gramEnd"/>
      <w:r w:rsidRPr="000817F2">
        <w:rPr>
          <w:rFonts w:hint="eastAsia"/>
          <w:b/>
        </w:rPr>
        <w:t>。有鑑於此，澳洲及土耳其已視檳榔為毒品，禁止販售及嚼食，而泰國為檳榔主要生產及消費國，因口腔癌為該國第一大癌症，經逐步推動管制運動，已於西元2012年全面禁止檳榔進口與銷售，其他國家包括加拿大、巴基斯坦、馬紹爾群島及阿拉伯聯合大公國等，均禁止檳榔的進口與銷售，部分甚有相關罰則。反觀我國，行政院長久以來對於檳榔危害防制作為過於消極，每年僅召開1次中央癌症防治會報列管，防制工作早流於形式，且</w:t>
      </w:r>
      <w:proofErr w:type="gramStart"/>
      <w:r w:rsidRPr="000817F2">
        <w:rPr>
          <w:rFonts w:hint="eastAsia"/>
          <w:b/>
        </w:rPr>
        <w:t>怠</w:t>
      </w:r>
      <w:proofErr w:type="gramEnd"/>
      <w:r w:rsidRPr="000817F2">
        <w:rPr>
          <w:rFonts w:hint="eastAsia"/>
          <w:b/>
        </w:rPr>
        <w:t>於重新檢視並推動檳榔危害</w:t>
      </w:r>
      <w:proofErr w:type="gramStart"/>
      <w:r w:rsidRPr="000817F2">
        <w:rPr>
          <w:rFonts w:hint="eastAsia"/>
          <w:b/>
        </w:rPr>
        <w:t>防制專法</w:t>
      </w:r>
      <w:proofErr w:type="gramEnd"/>
      <w:r w:rsidRPr="000817F2">
        <w:rPr>
          <w:rFonts w:hint="eastAsia"/>
          <w:b/>
        </w:rPr>
        <w:t>，總以檳榔管理已分散於其他相關法令規定為由推拖，漠視目前各管理法令漏洞及強度不足之後果，坐視國人口腔癌及食道癌發生率居高不下，甚口腔癌發生率高居世界第一之事實，致國人必須付出慘痛的健康代價及社會沉重的醫療支出，核有</w:t>
      </w:r>
      <w:proofErr w:type="gramStart"/>
      <w:r w:rsidRPr="000817F2">
        <w:rPr>
          <w:rFonts w:hint="eastAsia"/>
          <w:b/>
        </w:rPr>
        <w:t>怠</w:t>
      </w:r>
      <w:proofErr w:type="gramEnd"/>
      <w:r w:rsidRPr="000817F2">
        <w:rPr>
          <w:rFonts w:hint="eastAsia"/>
          <w:b/>
        </w:rPr>
        <w:t>失。</w:t>
      </w:r>
    </w:p>
    <w:p w:rsidR="003E5904" w:rsidRPr="000817F2" w:rsidRDefault="003E5904" w:rsidP="00D519E6">
      <w:pPr>
        <w:pStyle w:val="2"/>
        <w:rPr>
          <w:b w:val="0"/>
        </w:rPr>
      </w:pPr>
      <w:r w:rsidRPr="000817F2">
        <w:rPr>
          <w:rFonts w:hint="eastAsia"/>
          <w:b w:val="0"/>
        </w:rPr>
        <w:t>按「行政院組織法」第2條、第3條及第10條第1項規定，行政院行使憲法所賦予之職權，並設置衛福部、教育部及農業部…</w:t>
      </w:r>
      <w:proofErr w:type="gramStart"/>
      <w:r w:rsidRPr="000817F2">
        <w:rPr>
          <w:rFonts w:hint="eastAsia"/>
          <w:b w:val="0"/>
        </w:rPr>
        <w:t>…</w:t>
      </w:r>
      <w:proofErr w:type="gramEnd"/>
      <w:r w:rsidRPr="000817F2">
        <w:rPr>
          <w:rFonts w:hint="eastAsia"/>
          <w:b w:val="0"/>
        </w:rPr>
        <w:t>等，且行政院院長綜理院</w:t>
      </w:r>
      <w:proofErr w:type="gramStart"/>
      <w:r w:rsidRPr="000817F2">
        <w:rPr>
          <w:rFonts w:hint="eastAsia"/>
          <w:b w:val="0"/>
        </w:rPr>
        <w:t>務</w:t>
      </w:r>
      <w:proofErr w:type="gramEnd"/>
      <w:r w:rsidRPr="000817F2">
        <w:rPr>
          <w:rFonts w:hint="eastAsia"/>
          <w:b w:val="0"/>
        </w:rPr>
        <w:t>，並指揮監督所屬機關。另為整合運用醫療保健資源，有效推動癌症防治工作，減少癌症威脅，維護國民健康，我國於92年5月21日經總統</w:t>
      </w:r>
      <w:proofErr w:type="gramStart"/>
      <w:r w:rsidRPr="000817F2">
        <w:rPr>
          <w:rFonts w:hint="eastAsia"/>
          <w:b w:val="0"/>
        </w:rPr>
        <w:t>華總一義字第09200088630</w:t>
      </w:r>
      <w:proofErr w:type="gramEnd"/>
      <w:r w:rsidRPr="000817F2">
        <w:rPr>
          <w:rFonts w:hint="eastAsia"/>
          <w:b w:val="0"/>
        </w:rPr>
        <w:t>號令制定公布「癌症防治法」。按「癌症防治法」第6條第1項規定：「行政院為執行癌症防治政策，應設中央癌症防治會報。」是行政院應指揮及整合各部會對於癌症防治之相關工作。</w:t>
      </w:r>
    </w:p>
    <w:p w:rsidR="003E5904" w:rsidRPr="000817F2" w:rsidRDefault="003E5904" w:rsidP="00D519E6">
      <w:pPr>
        <w:pStyle w:val="2"/>
        <w:rPr>
          <w:b w:val="0"/>
        </w:rPr>
      </w:pPr>
      <w:r w:rsidRPr="000817F2">
        <w:rPr>
          <w:rFonts w:hint="eastAsia"/>
          <w:b w:val="0"/>
        </w:rPr>
        <w:t>有關檳榔對健康之危害，國際癌症研究中心（International Agency for Research on Cancer, IARC）於西元1987年即綜合各國研究結果，認定「</w:t>
      </w:r>
      <w:proofErr w:type="gramStart"/>
      <w:r w:rsidRPr="000817F2">
        <w:rPr>
          <w:rFonts w:hint="eastAsia"/>
          <w:b w:val="0"/>
        </w:rPr>
        <w:t>嚼食含菸草</w:t>
      </w:r>
      <w:proofErr w:type="gramEnd"/>
      <w:r w:rsidRPr="000817F2">
        <w:rPr>
          <w:rFonts w:hint="eastAsia"/>
          <w:b w:val="0"/>
        </w:rPr>
        <w:t>的檳榔」或「同時有吸菸與檳榔習慣」對人類有致癌性，致癌部位主要在口腔、</w:t>
      </w:r>
      <w:proofErr w:type="gramStart"/>
      <w:r w:rsidRPr="000817F2">
        <w:rPr>
          <w:rFonts w:hint="eastAsia"/>
          <w:b w:val="0"/>
        </w:rPr>
        <w:t>咽及食道</w:t>
      </w:r>
      <w:proofErr w:type="gramEnd"/>
      <w:r w:rsidRPr="000817F2">
        <w:rPr>
          <w:rFonts w:hint="eastAsia"/>
          <w:b w:val="0"/>
        </w:rPr>
        <w:t>。西元</w:t>
      </w:r>
      <w:r w:rsidRPr="000817F2">
        <w:rPr>
          <w:rFonts w:hint="eastAsia"/>
          <w:b w:val="0"/>
        </w:rPr>
        <w:lastRenderedPageBreak/>
        <w:t>2003年，IARC邀集全世界7個國家、16個學者組成工作小組，針對檳榔嚼塊、檳榔子（單獨果實本身）和檳榔含有的</w:t>
      </w:r>
      <w:proofErr w:type="gramStart"/>
      <w:r w:rsidRPr="000817F2">
        <w:rPr>
          <w:rFonts w:hint="eastAsia"/>
          <w:b w:val="0"/>
        </w:rPr>
        <w:t>一些亞硝</w:t>
      </w:r>
      <w:proofErr w:type="gramEnd"/>
      <w:r w:rsidRPr="000817F2">
        <w:rPr>
          <w:rFonts w:hint="eastAsia"/>
          <w:b w:val="0"/>
        </w:rPr>
        <w:t>基胺的致癌性重新予以評議，作了「</w:t>
      </w:r>
      <w:proofErr w:type="gramStart"/>
      <w:r w:rsidRPr="000817F2">
        <w:rPr>
          <w:rFonts w:hint="eastAsia"/>
          <w:b w:val="0"/>
        </w:rPr>
        <w:t>檳榔子屬第一</w:t>
      </w:r>
      <w:proofErr w:type="gramEnd"/>
      <w:r w:rsidRPr="000817F2">
        <w:rPr>
          <w:rFonts w:hint="eastAsia"/>
          <w:b w:val="0"/>
        </w:rPr>
        <w:t>類致癌物」（即對人類有致癌性）的結論，其根據是：動物實驗結果，檳榔子單獨之致癌證據已是充足、檳榔子</w:t>
      </w:r>
      <w:proofErr w:type="gramStart"/>
      <w:r w:rsidRPr="000817F2">
        <w:rPr>
          <w:rFonts w:hint="eastAsia"/>
          <w:b w:val="0"/>
        </w:rPr>
        <w:t>會使嚼食</w:t>
      </w:r>
      <w:proofErr w:type="gramEnd"/>
      <w:r w:rsidRPr="000817F2">
        <w:rPr>
          <w:rFonts w:hint="eastAsia"/>
          <w:b w:val="0"/>
        </w:rPr>
        <w:t>者引起口腔黏膜下纖維化症，後可能發生惡性轉變成為口腔癌，以及其致癌機轉所得之證據明</w:t>
      </w:r>
      <w:proofErr w:type="gramStart"/>
      <w:r w:rsidRPr="000817F2">
        <w:rPr>
          <w:rFonts w:hint="eastAsia"/>
          <w:b w:val="0"/>
        </w:rPr>
        <w:t>確</w:t>
      </w:r>
      <w:proofErr w:type="gramEnd"/>
      <w:r w:rsidRPr="000817F2">
        <w:rPr>
          <w:rStyle w:val="afc"/>
          <w:rFonts w:hAnsi="標楷體" w:cs="Helvetica"/>
          <w:b w:val="0"/>
          <w:szCs w:val="32"/>
        </w:rPr>
        <w:footnoteReference w:id="1"/>
      </w:r>
      <w:r w:rsidRPr="000817F2">
        <w:rPr>
          <w:rFonts w:hint="eastAsia"/>
          <w:b w:val="0"/>
        </w:rPr>
        <w:t>。</w:t>
      </w:r>
      <w:r w:rsidRPr="000817F2">
        <w:rPr>
          <w:rFonts w:hint="eastAsia"/>
          <w:b w:val="0"/>
          <w:u w:val="single"/>
        </w:rPr>
        <w:t>因之，檳榔具致癌性早已毋庸置疑，而在西元2003年更進一步證實「檳榔子」本身即屬於第一類致癌物</w:t>
      </w:r>
      <w:r w:rsidRPr="000817F2">
        <w:rPr>
          <w:rFonts w:hint="eastAsia"/>
          <w:b w:val="0"/>
        </w:rPr>
        <w:t>。</w:t>
      </w:r>
    </w:p>
    <w:p w:rsidR="003E5904" w:rsidRPr="000817F2" w:rsidRDefault="003E5904" w:rsidP="00D519E6">
      <w:pPr>
        <w:pStyle w:val="2"/>
      </w:pPr>
      <w:r w:rsidRPr="000817F2">
        <w:rPr>
          <w:rFonts w:hint="eastAsia"/>
          <w:b w:val="0"/>
        </w:rPr>
        <w:t>查我國102-107年</w:t>
      </w:r>
      <w:proofErr w:type="gramStart"/>
      <w:r w:rsidRPr="000817F2">
        <w:rPr>
          <w:rFonts w:hint="eastAsia"/>
          <w:b w:val="0"/>
        </w:rPr>
        <w:t>罹</w:t>
      </w:r>
      <w:proofErr w:type="gramEnd"/>
      <w:r w:rsidRPr="000817F2">
        <w:rPr>
          <w:rFonts w:hint="eastAsia"/>
          <w:b w:val="0"/>
        </w:rPr>
        <w:t>患口腔癌(含口腔、口咽、下咽，下同)之人數分別計</w:t>
      </w:r>
      <w:r w:rsidRPr="000817F2">
        <w:rPr>
          <w:b w:val="0"/>
        </w:rPr>
        <w:t>7,</w:t>
      </w:r>
      <w:r w:rsidRPr="000817F2">
        <w:rPr>
          <w:rFonts w:hint="eastAsia"/>
          <w:b w:val="0"/>
        </w:rPr>
        <w:t>339、</w:t>
      </w:r>
      <w:r w:rsidRPr="000817F2">
        <w:rPr>
          <w:b w:val="0"/>
        </w:rPr>
        <w:t>7,6</w:t>
      </w:r>
      <w:r w:rsidRPr="000817F2">
        <w:rPr>
          <w:rFonts w:hint="eastAsia"/>
          <w:b w:val="0"/>
        </w:rPr>
        <w:t>82、</w:t>
      </w:r>
      <w:r w:rsidRPr="000817F2">
        <w:rPr>
          <w:b w:val="0"/>
        </w:rPr>
        <w:t>7,</w:t>
      </w:r>
      <w:r w:rsidRPr="000817F2">
        <w:rPr>
          <w:rFonts w:hint="eastAsia"/>
          <w:b w:val="0"/>
        </w:rPr>
        <w:t>757、</w:t>
      </w:r>
      <w:r w:rsidRPr="000817F2">
        <w:rPr>
          <w:b w:val="0"/>
        </w:rPr>
        <w:t>7,8</w:t>
      </w:r>
      <w:r w:rsidRPr="000817F2">
        <w:rPr>
          <w:rFonts w:hint="eastAsia"/>
          <w:b w:val="0"/>
        </w:rPr>
        <w:t>97、</w:t>
      </w:r>
      <w:r w:rsidRPr="000817F2">
        <w:rPr>
          <w:b w:val="0"/>
        </w:rPr>
        <w:t>7,797</w:t>
      </w:r>
      <w:r w:rsidRPr="000817F2">
        <w:rPr>
          <w:rFonts w:hint="eastAsia"/>
          <w:b w:val="0"/>
        </w:rPr>
        <w:t>人及8</w:t>
      </w:r>
      <w:r w:rsidRPr="000817F2">
        <w:rPr>
          <w:b w:val="0"/>
        </w:rPr>
        <w:t>,</w:t>
      </w:r>
      <w:r w:rsidRPr="000817F2">
        <w:rPr>
          <w:rFonts w:hint="eastAsia"/>
          <w:b w:val="0"/>
        </w:rPr>
        <w:t>170人；以標準化發生率計，各年度口腔癌發生率分別為每10萬人口22.6、23.2、22.9、22.7、22.0及22.5人。</w:t>
      </w:r>
      <w:r w:rsidRPr="000817F2">
        <w:rPr>
          <w:rFonts w:hint="eastAsia"/>
          <w:b w:val="0"/>
          <w:u w:val="single"/>
        </w:rPr>
        <w:t>顯見我國每年約有七、八千人</w:t>
      </w:r>
      <w:proofErr w:type="gramStart"/>
      <w:r w:rsidRPr="000817F2">
        <w:rPr>
          <w:rFonts w:hint="eastAsia"/>
          <w:b w:val="0"/>
          <w:u w:val="single"/>
        </w:rPr>
        <w:t>罹</w:t>
      </w:r>
      <w:proofErr w:type="gramEnd"/>
      <w:r w:rsidRPr="000817F2">
        <w:rPr>
          <w:rFonts w:hint="eastAsia"/>
          <w:b w:val="0"/>
          <w:u w:val="single"/>
        </w:rPr>
        <w:t>患口腔癌，且發生人數逐年增加</w:t>
      </w:r>
      <w:r w:rsidRPr="000817F2">
        <w:rPr>
          <w:rFonts w:hint="eastAsia"/>
        </w:rPr>
        <w:t>。</w:t>
      </w:r>
    </w:p>
    <w:p w:rsidR="009909F1" w:rsidRPr="000817F2" w:rsidRDefault="003E5904" w:rsidP="00D519E6">
      <w:pPr>
        <w:pStyle w:val="3"/>
        <w:numPr>
          <w:ilvl w:val="0"/>
          <w:numId w:val="0"/>
        </w:numPr>
        <w:ind w:leftChars="300" w:left="1020" w:firstLineChars="225" w:firstLine="729"/>
        <w:rPr>
          <w:spacing w:val="-8"/>
        </w:rPr>
      </w:pPr>
      <w:r w:rsidRPr="000817F2">
        <w:rPr>
          <w:rFonts w:hint="eastAsia"/>
          <w:spacing w:val="-8"/>
        </w:rPr>
        <w:t>再</w:t>
      </w:r>
      <w:proofErr w:type="gramStart"/>
      <w:r w:rsidRPr="000817F2">
        <w:rPr>
          <w:rFonts w:hint="eastAsia"/>
          <w:spacing w:val="-8"/>
        </w:rPr>
        <w:t>且</w:t>
      </w:r>
      <w:proofErr w:type="gramEnd"/>
      <w:r w:rsidRPr="000817F2">
        <w:rPr>
          <w:rFonts w:hint="eastAsia"/>
          <w:spacing w:val="-8"/>
        </w:rPr>
        <w:t>，依西元</w:t>
      </w:r>
      <w:r w:rsidRPr="000817F2">
        <w:rPr>
          <w:spacing w:val="-8"/>
        </w:rPr>
        <w:t>2020年國際公共衛生的研究統計</w:t>
      </w:r>
      <w:r w:rsidRPr="000817F2">
        <w:rPr>
          <w:rFonts w:hint="eastAsia"/>
          <w:spacing w:val="-8"/>
        </w:rPr>
        <w:t>，全世界</w:t>
      </w:r>
      <w:r w:rsidRPr="000817F2">
        <w:rPr>
          <w:spacing w:val="-8"/>
        </w:rPr>
        <w:t>每10萬人中</w:t>
      </w:r>
      <w:r w:rsidRPr="000817F2">
        <w:rPr>
          <w:rFonts w:hint="eastAsia"/>
          <w:spacing w:val="-8"/>
        </w:rPr>
        <w:t>有4.1</w:t>
      </w:r>
      <w:r w:rsidRPr="000817F2">
        <w:rPr>
          <w:spacing w:val="-8"/>
        </w:rPr>
        <w:t>人</w:t>
      </w:r>
      <w:proofErr w:type="gramStart"/>
      <w:r w:rsidRPr="000817F2">
        <w:rPr>
          <w:rFonts w:hint="eastAsia"/>
          <w:spacing w:val="-8"/>
        </w:rPr>
        <w:t>罹</w:t>
      </w:r>
      <w:proofErr w:type="gramEnd"/>
      <w:r w:rsidRPr="000817F2">
        <w:rPr>
          <w:rFonts w:hint="eastAsia"/>
          <w:spacing w:val="-8"/>
        </w:rPr>
        <w:t>患</w:t>
      </w:r>
      <w:r w:rsidRPr="000817F2">
        <w:rPr>
          <w:spacing w:val="-8"/>
        </w:rPr>
        <w:t>口腔癌</w:t>
      </w:r>
      <w:r w:rsidRPr="000817F2">
        <w:rPr>
          <w:rFonts w:hint="eastAsia"/>
          <w:spacing w:val="-8"/>
        </w:rPr>
        <w:t>，而我國口腔癌發生率歷年來約每10萬人有22人，遠高出世界值；復依據臺灣檳榔</w:t>
      </w:r>
      <w:proofErr w:type="gramStart"/>
      <w:r w:rsidRPr="000817F2">
        <w:rPr>
          <w:rFonts w:hint="eastAsia"/>
          <w:spacing w:val="-8"/>
        </w:rPr>
        <w:t>防制暨口腔癌</w:t>
      </w:r>
      <w:proofErr w:type="gramEnd"/>
      <w:r w:rsidRPr="000817F2">
        <w:rPr>
          <w:rFonts w:hint="eastAsia"/>
          <w:spacing w:val="-8"/>
        </w:rPr>
        <w:t>防治聯盟108年「檳榔</w:t>
      </w:r>
      <w:proofErr w:type="gramStart"/>
      <w:r w:rsidRPr="000817F2">
        <w:rPr>
          <w:rFonts w:hint="eastAsia"/>
          <w:spacing w:val="-8"/>
        </w:rPr>
        <w:t>防制暨口腔癌</w:t>
      </w:r>
      <w:proofErr w:type="gramEnd"/>
      <w:r w:rsidRPr="000817F2">
        <w:rPr>
          <w:rFonts w:hint="eastAsia"/>
          <w:spacing w:val="-8"/>
        </w:rPr>
        <w:t>防治政策說帖」</w:t>
      </w:r>
      <w:r w:rsidR="00096215" w:rsidRPr="000817F2">
        <w:rPr>
          <w:rFonts w:hint="eastAsia"/>
          <w:spacing w:val="-8"/>
        </w:rPr>
        <w:t>指出</w:t>
      </w:r>
      <w:r w:rsidRPr="000817F2">
        <w:rPr>
          <w:rFonts w:hint="eastAsia"/>
          <w:spacing w:val="-8"/>
        </w:rPr>
        <w:t>，西元2016年</w:t>
      </w:r>
      <w:bookmarkStart w:id="43" w:name="_Hlk88053647"/>
      <w:r w:rsidR="001262C4" w:rsidRPr="000817F2">
        <w:rPr>
          <w:rFonts w:hint="eastAsia"/>
          <w:spacing w:val="-8"/>
        </w:rPr>
        <w:t>世界衛生組織(</w:t>
      </w:r>
      <w:r w:rsidR="001262C4" w:rsidRPr="000817F2">
        <w:rPr>
          <w:spacing w:val="-8"/>
        </w:rPr>
        <w:t xml:space="preserve">World Health Organization, </w:t>
      </w:r>
      <w:r w:rsidRPr="000817F2">
        <w:rPr>
          <w:rFonts w:hint="eastAsia"/>
          <w:spacing w:val="-8"/>
        </w:rPr>
        <w:t>WHO</w:t>
      </w:r>
      <w:r w:rsidR="001262C4" w:rsidRPr="000817F2">
        <w:rPr>
          <w:rFonts w:hint="eastAsia"/>
          <w:spacing w:val="-8"/>
        </w:rPr>
        <w:t>)</w:t>
      </w:r>
      <w:bookmarkEnd w:id="43"/>
      <w:r w:rsidRPr="000817F2">
        <w:rPr>
          <w:rFonts w:hint="eastAsia"/>
          <w:spacing w:val="-8"/>
        </w:rPr>
        <w:t>公告口腔癌世界第一為巴布亞紐幾內亞（每10萬</w:t>
      </w:r>
      <w:r w:rsidR="002C240A" w:rsidRPr="000817F2">
        <w:rPr>
          <w:rFonts w:hAnsi="標楷體" w:hint="eastAsia"/>
          <w:spacing w:val="-8"/>
        </w:rPr>
        <w:t>「</w:t>
      </w:r>
      <w:r w:rsidRPr="000817F2">
        <w:rPr>
          <w:rFonts w:hint="eastAsia"/>
          <w:spacing w:val="-8"/>
        </w:rPr>
        <w:t>男性</w:t>
      </w:r>
      <w:r w:rsidR="002C240A" w:rsidRPr="000817F2">
        <w:rPr>
          <w:rFonts w:hint="eastAsia"/>
          <w:spacing w:val="-8"/>
        </w:rPr>
        <w:t>」</w:t>
      </w:r>
      <w:r w:rsidRPr="000817F2">
        <w:rPr>
          <w:rFonts w:hint="eastAsia"/>
          <w:spacing w:val="-8"/>
        </w:rPr>
        <w:t>中有32.3人</w:t>
      </w:r>
      <w:proofErr w:type="gramStart"/>
      <w:r w:rsidRPr="000817F2">
        <w:rPr>
          <w:rFonts w:hint="eastAsia"/>
          <w:spacing w:val="-8"/>
        </w:rPr>
        <w:t>罹</w:t>
      </w:r>
      <w:proofErr w:type="gramEnd"/>
      <w:r w:rsidRPr="000817F2">
        <w:rPr>
          <w:rFonts w:hint="eastAsia"/>
          <w:spacing w:val="-8"/>
        </w:rPr>
        <w:t>患口腔癌）</w:t>
      </w:r>
      <w:r w:rsidR="009909F1" w:rsidRPr="000817F2">
        <w:rPr>
          <w:rFonts w:hint="eastAsia"/>
          <w:spacing w:val="-8"/>
        </w:rPr>
        <w:t>，然</w:t>
      </w:r>
      <w:r w:rsidR="002C240A" w:rsidRPr="000817F2">
        <w:rPr>
          <w:rFonts w:hint="eastAsia"/>
          <w:spacing w:val="-8"/>
        </w:rPr>
        <w:t>同一年度</w:t>
      </w:r>
      <w:r w:rsidR="009909F1" w:rsidRPr="000817F2">
        <w:rPr>
          <w:rFonts w:hint="eastAsia"/>
          <w:spacing w:val="-8"/>
        </w:rPr>
        <w:t>我國每10萬</w:t>
      </w:r>
      <w:r w:rsidR="002C240A" w:rsidRPr="000817F2">
        <w:rPr>
          <w:rFonts w:hint="eastAsia"/>
          <w:spacing w:val="-8"/>
        </w:rPr>
        <w:t>「</w:t>
      </w:r>
      <w:r w:rsidR="009909F1" w:rsidRPr="000817F2">
        <w:rPr>
          <w:rFonts w:hint="eastAsia"/>
          <w:spacing w:val="-8"/>
        </w:rPr>
        <w:t>男性</w:t>
      </w:r>
      <w:r w:rsidR="002C240A" w:rsidRPr="000817F2">
        <w:rPr>
          <w:rFonts w:hint="eastAsia"/>
          <w:spacing w:val="-8"/>
        </w:rPr>
        <w:t>」</w:t>
      </w:r>
      <w:r w:rsidR="009909F1" w:rsidRPr="000817F2">
        <w:rPr>
          <w:rFonts w:hint="eastAsia"/>
          <w:spacing w:val="-8"/>
        </w:rPr>
        <w:t>中有42.4位</w:t>
      </w:r>
      <w:proofErr w:type="gramStart"/>
      <w:r w:rsidR="00CD45D8" w:rsidRPr="000817F2">
        <w:rPr>
          <w:rFonts w:hint="eastAsia"/>
          <w:spacing w:val="-8"/>
        </w:rPr>
        <w:t>罹</w:t>
      </w:r>
      <w:proofErr w:type="gramEnd"/>
      <w:r w:rsidR="00CD45D8" w:rsidRPr="000817F2">
        <w:rPr>
          <w:rFonts w:hint="eastAsia"/>
          <w:spacing w:val="-8"/>
        </w:rPr>
        <w:t>患</w:t>
      </w:r>
      <w:r w:rsidR="009909F1" w:rsidRPr="000817F2">
        <w:rPr>
          <w:rFonts w:hint="eastAsia"/>
          <w:spacing w:val="-8"/>
        </w:rPr>
        <w:t>口腔癌，因此</w:t>
      </w:r>
      <w:r w:rsidR="009909F1" w:rsidRPr="000817F2">
        <w:rPr>
          <w:rFonts w:hint="eastAsia"/>
          <w:spacing w:val="-8"/>
          <w:u w:val="single"/>
        </w:rPr>
        <w:t>我國實際上口腔癌發生率列屬世界第一</w:t>
      </w:r>
      <w:r w:rsidR="009909F1" w:rsidRPr="000817F2">
        <w:rPr>
          <w:rFonts w:hint="eastAsia"/>
          <w:spacing w:val="-8"/>
        </w:rPr>
        <w:t>。</w:t>
      </w:r>
    </w:p>
    <w:p w:rsidR="003E5904" w:rsidRPr="000817F2" w:rsidRDefault="003E5904" w:rsidP="00D519E6">
      <w:pPr>
        <w:pStyle w:val="3"/>
        <w:numPr>
          <w:ilvl w:val="0"/>
          <w:numId w:val="0"/>
        </w:numPr>
        <w:ind w:leftChars="300" w:left="1020" w:firstLineChars="225" w:firstLine="765"/>
      </w:pPr>
      <w:r w:rsidRPr="000817F2">
        <w:rPr>
          <w:rFonts w:hint="eastAsia"/>
        </w:rPr>
        <w:t>另關於口腔癌死亡率，如以標準</w:t>
      </w:r>
      <w:r w:rsidR="001262C4" w:rsidRPr="000817F2">
        <w:rPr>
          <w:rFonts w:hint="eastAsia"/>
        </w:rPr>
        <w:t>化</w:t>
      </w:r>
      <w:r w:rsidRPr="000817F2">
        <w:rPr>
          <w:rFonts w:hint="eastAsia"/>
        </w:rPr>
        <w:t>死亡率計，以105年最高為每10萬人口9.0人，之後則分別為8.5、</w:t>
      </w:r>
      <w:r w:rsidRPr="000817F2">
        <w:rPr>
          <w:rFonts w:hint="eastAsia"/>
        </w:rPr>
        <w:lastRenderedPageBreak/>
        <w:t>8.8、8.9及8.6人(詳如下表)，</w:t>
      </w:r>
      <w:r w:rsidRPr="000817F2">
        <w:rPr>
          <w:rFonts w:hint="eastAsia"/>
          <w:u w:val="single"/>
        </w:rPr>
        <w:t>且每年約排名為第五大或第六大癌症死因</w:t>
      </w:r>
      <w:r w:rsidRPr="000817F2">
        <w:rPr>
          <w:rFonts w:hint="eastAsia"/>
        </w:rPr>
        <w:t>。</w:t>
      </w:r>
    </w:p>
    <w:p w:rsidR="00CD45D8" w:rsidRPr="000817F2" w:rsidRDefault="00CD45D8" w:rsidP="00D519E6">
      <w:pPr>
        <w:pStyle w:val="3"/>
        <w:numPr>
          <w:ilvl w:val="0"/>
          <w:numId w:val="0"/>
        </w:numPr>
        <w:ind w:leftChars="300" w:left="1020" w:firstLineChars="225" w:firstLine="765"/>
      </w:pPr>
      <w:r w:rsidRPr="000817F2">
        <w:rPr>
          <w:rFonts w:hint="eastAsia"/>
        </w:rPr>
        <w:t>至於</w:t>
      </w:r>
      <w:proofErr w:type="gramStart"/>
      <w:r w:rsidRPr="000817F2">
        <w:rPr>
          <w:rFonts w:hint="eastAsia"/>
        </w:rPr>
        <w:t>原住民族嚼食</w:t>
      </w:r>
      <w:proofErr w:type="gramEnd"/>
      <w:r w:rsidRPr="000817F2">
        <w:rPr>
          <w:rFonts w:hint="eastAsia"/>
        </w:rPr>
        <w:t>檳榔文化之問題，據原民會查復略</w:t>
      </w:r>
      <w:proofErr w:type="gramStart"/>
      <w:r w:rsidRPr="000817F2">
        <w:rPr>
          <w:rFonts w:hint="eastAsia"/>
        </w:rPr>
        <w:t>以</w:t>
      </w:r>
      <w:proofErr w:type="gramEnd"/>
      <w:r w:rsidRPr="000817F2">
        <w:rPr>
          <w:rFonts w:hint="eastAsia"/>
        </w:rPr>
        <w:t>，東部及南部的各族群，檳榔為祭儀、定情及交際應酬之禮品，而</w:t>
      </w:r>
      <w:proofErr w:type="gramStart"/>
      <w:r w:rsidRPr="000817F2">
        <w:rPr>
          <w:rFonts w:hint="eastAsia"/>
        </w:rPr>
        <w:t>鄒</w:t>
      </w:r>
      <w:proofErr w:type="gramEnd"/>
      <w:r w:rsidRPr="000817F2">
        <w:rPr>
          <w:rFonts w:hint="eastAsia"/>
        </w:rPr>
        <w:t>族、布農族、泰雅</w:t>
      </w:r>
      <w:proofErr w:type="gramStart"/>
      <w:r w:rsidRPr="000817F2">
        <w:rPr>
          <w:rFonts w:hint="eastAsia"/>
        </w:rPr>
        <w:t>族並無嚼</w:t>
      </w:r>
      <w:proofErr w:type="gramEnd"/>
      <w:r w:rsidRPr="000817F2">
        <w:rPr>
          <w:rFonts w:hint="eastAsia"/>
        </w:rPr>
        <w:t>食檳榔之習慣。查102-106年各年度原住民</w:t>
      </w:r>
      <w:proofErr w:type="gramStart"/>
      <w:r w:rsidRPr="000817F2">
        <w:rPr>
          <w:rFonts w:hint="eastAsia"/>
        </w:rPr>
        <w:t>罹</w:t>
      </w:r>
      <w:proofErr w:type="gramEnd"/>
      <w:r w:rsidRPr="000817F2">
        <w:rPr>
          <w:rFonts w:hint="eastAsia"/>
        </w:rPr>
        <w:t>患口腔癌人數計75、82、94、100及128人，呈現逐年上升趨勢，惟關於</w:t>
      </w:r>
      <w:proofErr w:type="gramStart"/>
      <w:r w:rsidRPr="000817F2">
        <w:rPr>
          <w:rFonts w:hint="eastAsia"/>
        </w:rPr>
        <w:t>原住民族嚼食</w:t>
      </w:r>
      <w:proofErr w:type="gramEnd"/>
      <w:r w:rsidRPr="000817F2">
        <w:rPr>
          <w:rFonts w:hint="eastAsia"/>
        </w:rPr>
        <w:t>檳榔之人數，原民會表示並無相關資料，是有關尊重原住民族文化及健康促進間之平衡，亦值政府重視。</w:t>
      </w:r>
    </w:p>
    <w:p w:rsidR="003E5904" w:rsidRPr="000817F2" w:rsidRDefault="003E5904" w:rsidP="00B002F7">
      <w:pPr>
        <w:pStyle w:val="a3"/>
        <w:numPr>
          <w:ilvl w:val="0"/>
          <w:numId w:val="10"/>
        </w:numPr>
        <w:ind w:left="1418"/>
        <w:jc w:val="center"/>
      </w:pPr>
      <w:r w:rsidRPr="000817F2">
        <w:rPr>
          <w:rFonts w:hint="eastAsia"/>
        </w:rPr>
        <w:t>102-109年各年度口腔癌發生、死亡人數與標準化率</w:t>
      </w:r>
    </w:p>
    <w:p w:rsidR="003E5904" w:rsidRPr="000817F2" w:rsidRDefault="003E5904" w:rsidP="003E5904">
      <w:pPr>
        <w:ind w:firstLineChars="2726" w:firstLine="7092"/>
      </w:pPr>
      <w:r w:rsidRPr="000817F2">
        <w:rPr>
          <w:rFonts w:hint="eastAsia"/>
          <w:sz w:val="24"/>
          <w:szCs w:val="24"/>
        </w:rPr>
        <w:t>單位：人</w:t>
      </w:r>
    </w:p>
    <w:tbl>
      <w:tblPr>
        <w:tblStyle w:val="af6"/>
        <w:tblW w:w="10240" w:type="dxa"/>
        <w:tblInd w:w="-572" w:type="dxa"/>
        <w:tblLook w:val="04A0" w:firstRow="1" w:lastRow="0" w:firstColumn="1" w:lastColumn="0" w:noHBand="0" w:noVBand="1"/>
      </w:tblPr>
      <w:tblGrid>
        <w:gridCol w:w="567"/>
        <w:gridCol w:w="1537"/>
        <w:gridCol w:w="1017"/>
        <w:gridCol w:w="1017"/>
        <w:gridCol w:w="1017"/>
        <w:gridCol w:w="1017"/>
        <w:gridCol w:w="1017"/>
        <w:gridCol w:w="1017"/>
        <w:gridCol w:w="1017"/>
        <w:gridCol w:w="1017"/>
      </w:tblGrid>
      <w:tr w:rsidR="000817F2" w:rsidRPr="000817F2" w:rsidTr="00F615BA">
        <w:trPr>
          <w:trHeight w:val="262"/>
          <w:tblHeader/>
        </w:trPr>
        <w:tc>
          <w:tcPr>
            <w:tcW w:w="2104" w:type="dxa"/>
            <w:gridSpan w:val="2"/>
            <w:shd w:val="clear" w:color="auto" w:fill="DAEEF3" w:themeFill="accent5" w:themeFillTint="33"/>
          </w:tcPr>
          <w:p w:rsidR="003E5904" w:rsidRPr="000817F2" w:rsidRDefault="003E5904" w:rsidP="00F615BA">
            <w:pPr>
              <w:pStyle w:val="af7"/>
              <w:adjustRightInd w:val="0"/>
              <w:snapToGrid w:val="0"/>
              <w:ind w:leftChars="0" w:left="-109"/>
              <w:jc w:val="center"/>
              <w:rPr>
                <w:rFonts w:hAnsi="標楷體"/>
                <w:sz w:val="28"/>
                <w:szCs w:val="28"/>
              </w:rPr>
            </w:pPr>
            <w:r w:rsidRPr="000817F2">
              <w:rPr>
                <w:rFonts w:hAnsi="標楷體" w:hint="eastAsia"/>
                <w:sz w:val="28"/>
                <w:szCs w:val="28"/>
              </w:rPr>
              <w:t>年度</w:t>
            </w:r>
          </w:p>
        </w:tc>
        <w:tc>
          <w:tcPr>
            <w:tcW w:w="1017" w:type="dxa"/>
            <w:shd w:val="clear" w:color="auto" w:fill="DAEEF3" w:themeFill="accent5" w:themeFillTint="33"/>
          </w:tcPr>
          <w:p w:rsidR="003E5904" w:rsidRPr="000817F2" w:rsidRDefault="003E5904" w:rsidP="00F615BA">
            <w:pPr>
              <w:pStyle w:val="af7"/>
              <w:adjustRightInd w:val="0"/>
              <w:snapToGrid w:val="0"/>
              <w:ind w:leftChars="0" w:left="0"/>
              <w:jc w:val="center"/>
              <w:rPr>
                <w:rFonts w:hAnsi="標楷體"/>
                <w:sz w:val="28"/>
                <w:szCs w:val="28"/>
              </w:rPr>
            </w:pPr>
            <w:r w:rsidRPr="000817F2">
              <w:rPr>
                <w:rFonts w:hAnsi="標楷體" w:hint="eastAsia"/>
                <w:sz w:val="28"/>
                <w:szCs w:val="28"/>
              </w:rPr>
              <w:t>102</w:t>
            </w:r>
          </w:p>
        </w:tc>
        <w:tc>
          <w:tcPr>
            <w:tcW w:w="1017" w:type="dxa"/>
            <w:shd w:val="clear" w:color="auto" w:fill="DAEEF3" w:themeFill="accent5" w:themeFillTint="33"/>
          </w:tcPr>
          <w:p w:rsidR="003E5904" w:rsidRPr="000817F2" w:rsidRDefault="003E5904" w:rsidP="00F615BA">
            <w:pPr>
              <w:pStyle w:val="af7"/>
              <w:adjustRightInd w:val="0"/>
              <w:snapToGrid w:val="0"/>
              <w:ind w:leftChars="0" w:left="0"/>
              <w:jc w:val="center"/>
              <w:rPr>
                <w:rFonts w:hAnsi="標楷體"/>
                <w:sz w:val="28"/>
                <w:szCs w:val="28"/>
              </w:rPr>
            </w:pPr>
            <w:r w:rsidRPr="000817F2">
              <w:rPr>
                <w:rFonts w:hAnsi="標楷體" w:hint="eastAsia"/>
                <w:sz w:val="28"/>
                <w:szCs w:val="28"/>
              </w:rPr>
              <w:t>103</w:t>
            </w:r>
          </w:p>
        </w:tc>
        <w:tc>
          <w:tcPr>
            <w:tcW w:w="1017" w:type="dxa"/>
            <w:shd w:val="clear" w:color="auto" w:fill="DAEEF3" w:themeFill="accent5" w:themeFillTint="33"/>
          </w:tcPr>
          <w:p w:rsidR="003E5904" w:rsidRPr="000817F2" w:rsidRDefault="003E5904" w:rsidP="00F615BA">
            <w:pPr>
              <w:pStyle w:val="af7"/>
              <w:adjustRightInd w:val="0"/>
              <w:snapToGrid w:val="0"/>
              <w:ind w:leftChars="0" w:left="0"/>
              <w:jc w:val="center"/>
              <w:rPr>
                <w:rFonts w:hAnsi="標楷體"/>
                <w:sz w:val="28"/>
                <w:szCs w:val="28"/>
              </w:rPr>
            </w:pPr>
            <w:r w:rsidRPr="000817F2">
              <w:rPr>
                <w:rFonts w:hAnsi="標楷體" w:hint="eastAsia"/>
                <w:sz w:val="28"/>
                <w:szCs w:val="28"/>
              </w:rPr>
              <w:t>104</w:t>
            </w:r>
          </w:p>
        </w:tc>
        <w:tc>
          <w:tcPr>
            <w:tcW w:w="1017" w:type="dxa"/>
            <w:shd w:val="clear" w:color="auto" w:fill="DAEEF3" w:themeFill="accent5" w:themeFillTint="33"/>
          </w:tcPr>
          <w:p w:rsidR="003E5904" w:rsidRPr="000817F2" w:rsidRDefault="003E5904" w:rsidP="00F615BA">
            <w:pPr>
              <w:pStyle w:val="af7"/>
              <w:adjustRightInd w:val="0"/>
              <w:snapToGrid w:val="0"/>
              <w:ind w:leftChars="0" w:left="0"/>
              <w:jc w:val="center"/>
              <w:rPr>
                <w:rFonts w:hAnsi="標楷體"/>
                <w:sz w:val="28"/>
                <w:szCs w:val="28"/>
              </w:rPr>
            </w:pPr>
            <w:r w:rsidRPr="000817F2">
              <w:rPr>
                <w:rFonts w:hAnsi="標楷體" w:hint="eastAsia"/>
                <w:sz w:val="28"/>
                <w:szCs w:val="28"/>
              </w:rPr>
              <w:t>105</w:t>
            </w:r>
          </w:p>
        </w:tc>
        <w:tc>
          <w:tcPr>
            <w:tcW w:w="1017" w:type="dxa"/>
            <w:shd w:val="clear" w:color="auto" w:fill="DAEEF3" w:themeFill="accent5" w:themeFillTint="33"/>
          </w:tcPr>
          <w:p w:rsidR="003E5904" w:rsidRPr="000817F2" w:rsidRDefault="003E5904" w:rsidP="00F615BA">
            <w:pPr>
              <w:pStyle w:val="af7"/>
              <w:adjustRightInd w:val="0"/>
              <w:snapToGrid w:val="0"/>
              <w:ind w:leftChars="0" w:left="0"/>
              <w:jc w:val="center"/>
              <w:rPr>
                <w:rFonts w:hAnsi="標楷體"/>
                <w:sz w:val="28"/>
                <w:szCs w:val="28"/>
              </w:rPr>
            </w:pPr>
            <w:r w:rsidRPr="000817F2">
              <w:rPr>
                <w:rFonts w:hAnsi="標楷體" w:hint="eastAsia"/>
                <w:sz w:val="28"/>
                <w:szCs w:val="28"/>
              </w:rPr>
              <w:t>106</w:t>
            </w:r>
          </w:p>
        </w:tc>
        <w:tc>
          <w:tcPr>
            <w:tcW w:w="1017" w:type="dxa"/>
            <w:shd w:val="clear" w:color="auto" w:fill="DAEEF3" w:themeFill="accent5" w:themeFillTint="33"/>
          </w:tcPr>
          <w:p w:rsidR="003E5904" w:rsidRPr="000817F2" w:rsidRDefault="003E5904" w:rsidP="00F615BA">
            <w:pPr>
              <w:pStyle w:val="af7"/>
              <w:adjustRightInd w:val="0"/>
              <w:snapToGrid w:val="0"/>
              <w:ind w:leftChars="0" w:left="0"/>
              <w:jc w:val="center"/>
              <w:rPr>
                <w:rFonts w:hAnsi="標楷體"/>
                <w:sz w:val="28"/>
                <w:szCs w:val="28"/>
              </w:rPr>
            </w:pPr>
            <w:r w:rsidRPr="000817F2">
              <w:rPr>
                <w:rFonts w:hAnsi="標楷體" w:hint="eastAsia"/>
                <w:sz w:val="28"/>
                <w:szCs w:val="28"/>
              </w:rPr>
              <w:t>107</w:t>
            </w:r>
          </w:p>
        </w:tc>
        <w:tc>
          <w:tcPr>
            <w:tcW w:w="1017" w:type="dxa"/>
            <w:shd w:val="clear" w:color="auto" w:fill="DAEEF3" w:themeFill="accent5" w:themeFillTint="33"/>
          </w:tcPr>
          <w:p w:rsidR="003E5904" w:rsidRPr="000817F2" w:rsidRDefault="003E5904" w:rsidP="00F615BA">
            <w:pPr>
              <w:pStyle w:val="af7"/>
              <w:adjustRightInd w:val="0"/>
              <w:snapToGrid w:val="0"/>
              <w:ind w:leftChars="0" w:left="0"/>
              <w:jc w:val="center"/>
              <w:rPr>
                <w:rFonts w:hAnsi="標楷體"/>
                <w:sz w:val="28"/>
                <w:szCs w:val="28"/>
              </w:rPr>
            </w:pPr>
            <w:r w:rsidRPr="000817F2">
              <w:rPr>
                <w:rFonts w:hAnsi="標楷體" w:hint="eastAsia"/>
                <w:sz w:val="28"/>
                <w:szCs w:val="28"/>
              </w:rPr>
              <w:t>108</w:t>
            </w:r>
          </w:p>
        </w:tc>
        <w:tc>
          <w:tcPr>
            <w:tcW w:w="1017" w:type="dxa"/>
            <w:shd w:val="clear" w:color="auto" w:fill="DAEEF3" w:themeFill="accent5" w:themeFillTint="33"/>
          </w:tcPr>
          <w:p w:rsidR="003E5904" w:rsidRPr="000817F2" w:rsidRDefault="003E5904" w:rsidP="00F615BA">
            <w:pPr>
              <w:pStyle w:val="af7"/>
              <w:adjustRightInd w:val="0"/>
              <w:snapToGrid w:val="0"/>
              <w:ind w:leftChars="0" w:left="0"/>
              <w:jc w:val="center"/>
              <w:rPr>
                <w:rFonts w:hAnsi="標楷體"/>
                <w:sz w:val="28"/>
                <w:szCs w:val="28"/>
              </w:rPr>
            </w:pPr>
            <w:r w:rsidRPr="000817F2">
              <w:rPr>
                <w:rFonts w:hAnsi="標楷體" w:hint="eastAsia"/>
                <w:sz w:val="28"/>
                <w:szCs w:val="28"/>
              </w:rPr>
              <w:t>109</w:t>
            </w:r>
          </w:p>
        </w:tc>
      </w:tr>
      <w:tr w:rsidR="000817F2" w:rsidRPr="000817F2" w:rsidTr="00F615BA">
        <w:trPr>
          <w:trHeight w:val="454"/>
        </w:trPr>
        <w:tc>
          <w:tcPr>
            <w:tcW w:w="567" w:type="dxa"/>
            <w:vMerge w:val="restart"/>
          </w:tcPr>
          <w:p w:rsidR="003E5904" w:rsidRPr="000817F2" w:rsidRDefault="003E5904" w:rsidP="00F615BA">
            <w:pPr>
              <w:pStyle w:val="af7"/>
              <w:adjustRightInd w:val="0"/>
              <w:snapToGrid w:val="0"/>
              <w:spacing w:afterLines="30" w:after="137"/>
              <w:ind w:leftChars="0" w:left="0"/>
              <w:rPr>
                <w:rFonts w:hAnsi="標楷體"/>
                <w:sz w:val="28"/>
                <w:szCs w:val="28"/>
              </w:rPr>
            </w:pPr>
            <w:r w:rsidRPr="000817F2">
              <w:rPr>
                <w:rFonts w:hAnsi="標楷體" w:hint="eastAsia"/>
                <w:sz w:val="28"/>
                <w:szCs w:val="28"/>
              </w:rPr>
              <w:t>發生</w:t>
            </w:r>
          </w:p>
        </w:tc>
        <w:tc>
          <w:tcPr>
            <w:tcW w:w="1537" w:type="dxa"/>
            <w:vAlign w:val="center"/>
          </w:tcPr>
          <w:p w:rsidR="003E5904" w:rsidRPr="000817F2" w:rsidRDefault="003E5904" w:rsidP="00F615BA">
            <w:pPr>
              <w:pStyle w:val="af7"/>
              <w:adjustRightInd w:val="0"/>
              <w:snapToGrid w:val="0"/>
              <w:ind w:leftChars="0" w:left="0"/>
              <w:rPr>
                <w:rFonts w:hAnsi="標楷體"/>
                <w:sz w:val="28"/>
                <w:szCs w:val="28"/>
              </w:rPr>
            </w:pPr>
            <w:r w:rsidRPr="000817F2">
              <w:rPr>
                <w:rFonts w:hAnsi="標楷體" w:hint="eastAsia"/>
                <w:sz w:val="28"/>
                <w:szCs w:val="28"/>
              </w:rPr>
              <w:t>人數</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sz w:val="28"/>
                <w:szCs w:val="28"/>
              </w:rPr>
              <w:t>7,</w:t>
            </w:r>
            <w:r w:rsidRPr="000817F2">
              <w:rPr>
                <w:rFonts w:hAnsi="標楷體" w:hint="eastAsia"/>
                <w:sz w:val="28"/>
                <w:szCs w:val="28"/>
              </w:rPr>
              <w:t>339</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sz w:val="28"/>
                <w:szCs w:val="28"/>
              </w:rPr>
              <w:t>7,6</w:t>
            </w:r>
            <w:r w:rsidRPr="000817F2">
              <w:rPr>
                <w:rFonts w:hAnsi="標楷體" w:hint="eastAsia"/>
                <w:sz w:val="28"/>
                <w:szCs w:val="28"/>
              </w:rPr>
              <w:t>82</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sz w:val="28"/>
                <w:szCs w:val="28"/>
              </w:rPr>
              <w:t>7,</w:t>
            </w:r>
            <w:r w:rsidRPr="000817F2">
              <w:rPr>
                <w:rFonts w:hAnsi="標楷體" w:hint="eastAsia"/>
                <w:sz w:val="28"/>
                <w:szCs w:val="28"/>
              </w:rPr>
              <w:t>757</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sz w:val="28"/>
                <w:szCs w:val="28"/>
              </w:rPr>
              <w:t>7,8</w:t>
            </w:r>
            <w:r w:rsidRPr="000817F2">
              <w:rPr>
                <w:rFonts w:hAnsi="標楷體" w:hint="eastAsia"/>
                <w:sz w:val="28"/>
                <w:szCs w:val="28"/>
              </w:rPr>
              <w:t>97</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sz w:val="28"/>
                <w:szCs w:val="28"/>
              </w:rPr>
              <w:t>7,797</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8</w:t>
            </w:r>
            <w:r w:rsidRPr="000817F2">
              <w:rPr>
                <w:rFonts w:hAnsi="標楷體"/>
                <w:sz w:val="28"/>
                <w:szCs w:val="28"/>
              </w:rPr>
              <w:t>,</w:t>
            </w:r>
            <w:r w:rsidRPr="000817F2">
              <w:rPr>
                <w:rFonts w:hAnsi="標楷體" w:hint="eastAsia"/>
                <w:sz w:val="28"/>
                <w:szCs w:val="28"/>
              </w:rPr>
              <w:t>170</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w:t>
            </w:r>
          </w:p>
        </w:tc>
        <w:tc>
          <w:tcPr>
            <w:tcW w:w="1017" w:type="dxa"/>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w:t>
            </w:r>
          </w:p>
        </w:tc>
      </w:tr>
      <w:tr w:rsidR="000817F2" w:rsidRPr="000817F2" w:rsidTr="00F615BA">
        <w:trPr>
          <w:trHeight w:val="454"/>
        </w:trPr>
        <w:tc>
          <w:tcPr>
            <w:tcW w:w="567" w:type="dxa"/>
            <w:vMerge/>
          </w:tcPr>
          <w:p w:rsidR="003E5904" w:rsidRPr="000817F2" w:rsidRDefault="003E5904" w:rsidP="00F615BA">
            <w:pPr>
              <w:pStyle w:val="af7"/>
              <w:adjustRightInd w:val="0"/>
              <w:snapToGrid w:val="0"/>
              <w:spacing w:afterLines="30" w:after="137"/>
              <w:ind w:leftChars="0" w:left="0"/>
              <w:rPr>
                <w:rFonts w:hAnsi="標楷體"/>
                <w:sz w:val="28"/>
                <w:szCs w:val="28"/>
              </w:rPr>
            </w:pPr>
          </w:p>
        </w:tc>
        <w:tc>
          <w:tcPr>
            <w:tcW w:w="1537" w:type="dxa"/>
            <w:vAlign w:val="center"/>
          </w:tcPr>
          <w:p w:rsidR="003E5904" w:rsidRPr="000817F2" w:rsidRDefault="003E5904" w:rsidP="00F615BA">
            <w:pPr>
              <w:pStyle w:val="af7"/>
              <w:adjustRightInd w:val="0"/>
              <w:snapToGrid w:val="0"/>
              <w:ind w:leftChars="0" w:left="0"/>
              <w:rPr>
                <w:rFonts w:hAnsi="標楷體"/>
                <w:sz w:val="18"/>
                <w:szCs w:val="28"/>
              </w:rPr>
            </w:pPr>
            <w:r w:rsidRPr="000817F2">
              <w:rPr>
                <w:rFonts w:hAnsi="標楷體" w:hint="eastAsia"/>
                <w:sz w:val="28"/>
                <w:szCs w:val="28"/>
              </w:rPr>
              <w:t>標準化率</w:t>
            </w:r>
          </w:p>
          <w:p w:rsidR="003E5904" w:rsidRPr="000817F2" w:rsidRDefault="003E5904" w:rsidP="00F615BA">
            <w:pPr>
              <w:pStyle w:val="af7"/>
              <w:adjustRightInd w:val="0"/>
              <w:snapToGrid w:val="0"/>
              <w:ind w:leftChars="0" w:left="0"/>
              <w:rPr>
                <w:rFonts w:hAnsi="標楷體"/>
                <w:w w:val="66"/>
                <w:sz w:val="28"/>
                <w:szCs w:val="28"/>
              </w:rPr>
            </w:pPr>
            <w:r w:rsidRPr="000817F2">
              <w:rPr>
                <w:rFonts w:hAnsi="標楷體" w:hint="eastAsia"/>
                <w:w w:val="66"/>
                <w:sz w:val="18"/>
                <w:szCs w:val="28"/>
              </w:rPr>
              <w:t>(單位：每10萬人)</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22.6</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23.2</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22.9</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22.7</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22.0</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22.5</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w:t>
            </w:r>
          </w:p>
        </w:tc>
        <w:tc>
          <w:tcPr>
            <w:tcW w:w="1017" w:type="dxa"/>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w:t>
            </w:r>
          </w:p>
        </w:tc>
      </w:tr>
      <w:tr w:rsidR="000817F2" w:rsidRPr="000817F2" w:rsidTr="003A2792">
        <w:trPr>
          <w:trHeight w:val="454"/>
        </w:trPr>
        <w:tc>
          <w:tcPr>
            <w:tcW w:w="567" w:type="dxa"/>
            <w:vMerge w:val="restart"/>
          </w:tcPr>
          <w:p w:rsidR="003E5904" w:rsidRPr="000817F2" w:rsidRDefault="003E5904" w:rsidP="00F615BA">
            <w:pPr>
              <w:pStyle w:val="af7"/>
              <w:adjustRightInd w:val="0"/>
              <w:snapToGrid w:val="0"/>
              <w:spacing w:afterLines="30" w:after="137"/>
              <w:ind w:leftChars="0" w:left="0"/>
              <w:rPr>
                <w:rFonts w:hAnsi="標楷體"/>
                <w:sz w:val="28"/>
                <w:szCs w:val="28"/>
              </w:rPr>
            </w:pPr>
            <w:r w:rsidRPr="000817F2">
              <w:rPr>
                <w:rFonts w:hAnsi="標楷體" w:hint="eastAsia"/>
                <w:sz w:val="28"/>
                <w:szCs w:val="28"/>
              </w:rPr>
              <w:t>死亡</w:t>
            </w:r>
          </w:p>
        </w:tc>
        <w:tc>
          <w:tcPr>
            <w:tcW w:w="1537" w:type="dxa"/>
            <w:vAlign w:val="center"/>
          </w:tcPr>
          <w:p w:rsidR="003E5904" w:rsidRPr="000817F2" w:rsidRDefault="003E5904" w:rsidP="00F615BA">
            <w:pPr>
              <w:pStyle w:val="af7"/>
              <w:adjustRightInd w:val="0"/>
              <w:snapToGrid w:val="0"/>
              <w:ind w:leftChars="0" w:left="0"/>
              <w:rPr>
                <w:rFonts w:hAnsi="標楷體"/>
                <w:sz w:val="28"/>
                <w:szCs w:val="28"/>
              </w:rPr>
            </w:pPr>
            <w:r w:rsidRPr="000817F2">
              <w:rPr>
                <w:rFonts w:hAnsi="標楷體" w:hint="eastAsia"/>
                <w:sz w:val="28"/>
                <w:szCs w:val="28"/>
              </w:rPr>
              <w:t>人數</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sz w:val="28"/>
                <w:szCs w:val="28"/>
              </w:rPr>
              <w:t>2,</w:t>
            </w:r>
            <w:r w:rsidRPr="000817F2">
              <w:rPr>
                <w:rFonts w:hAnsi="標楷體" w:hint="eastAsia"/>
                <w:sz w:val="28"/>
                <w:szCs w:val="28"/>
              </w:rPr>
              <w:t>918</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sz w:val="28"/>
                <w:szCs w:val="28"/>
              </w:rPr>
              <w:t>2,</w:t>
            </w:r>
            <w:r w:rsidRPr="000817F2">
              <w:rPr>
                <w:rFonts w:hAnsi="標楷體" w:hint="eastAsia"/>
                <w:sz w:val="28"/>
                <w:szCs w:val="28"/>
              </w:rPr>
              <w:t>943</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sz w:val="28"/>
                <w:szCs w:val="28"/>
              </w:rPr>
              <w:t>2,</w:t>
            </w:r>
            <w:r w:rsidRPr="000817F2">
              <w:rPr>
                <w:rFonts w:hAnsi="標楷體" w:hint="eastAsia"/>
                <w:sz w:val="28"/>
                <w:szCs w:val="28"/>
              </w:rPr>
              <w:t>889</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3</w:t>
            </w:r>
            <w:r w:rsidRPr="000817F2">
              <w:rPr>
                <w:rFonts w:hAnsi="標楷體"/>
                <w:sz w:val="28"/>
                <w:szCs w:val="28"/>
              </w:rPr>
              <w:t>,</w:t>
            </w:r>
            <w:r w:rsidRPr="000817F2">
              <w:rPr>
                <w:rFonts w:hAnsi="標楷體" w:hint="eastAsia"/>
                <w:sz w:val="28"/>
                <w:szCs w:val="28"/>
              </w:rPr>
              <w:t>180</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3</w:t>
            </w:r>
            <w:r w:rsidRPr="000817F2">
              <w:rPr>
                <w:rFonts w:hAnsi="標楷體"/>
                <w:sz w:val="28"/>
                <w:szCs w:val="28"/>
              </w:rPr>
              <w:t>,</w:t>
            </w:r>
            <w:r w:rsidRPr="000817F2">
              <w:rPr>
                <w:rFonts w:hAnsi="標楷體" w:hint="eastAsia"/>
                <w:sz w:val="28"/>
                <w:szCs w:val="28"/>
              </w:rPr>
              <w:t>079</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sz w:val="28"/>
                <w:szCs w:val="28"/>
              </w:rPr>
              <w:t>3</w:t>
            </w:r>
            <w:r w:rsidRPr="000817F2">
              <w:rPr>
                <w:rFonts w:hAnsi="標楷體" w:hint="eastAsia"/>
                <w:sz w:val="28"/>
                <w:szCs w:val="28"/>
              </w:rPr>
              <w:t>,279</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3,425</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3</w:t>
            </w:r>
            <w:r w:rsidRPr="000817F2">
              <w:rPr>
                <w:rFonts w:hAnsi="標楷體"/>
                <w:sz w:val="28"/>
                <w:szCs w:val="28"/>
              </w:rPr>
              <w:t>,</w:t>
            </w:r>
            <w:r w:rsidRPr="000817F2">
              <w:rPr>
                <w:rFonts w:hAnsi="標楷體" w:hint="eastAsia"/>
                <w:sz w:val="28"/>
                <w:szCs w:val="28"/>
              </w:rPr>
              <w:t>380</w:t>
            </w:r>
          </w:p>
        </w:tc>
      </w:tr>
      <w:tr w:rsidR="000817F2" w:rsidRPr="000817F2" w:rsidTr="003A2792">
        <w:trPr>
          <w:trHeight w:val="454"/>
        </w:trPr>
        <w:tc>
          <w:tcPr>
            <w:tcW w:w="567" w:type="dxa"/>
            <w:vMerge/>
          </w:tcPr>
          <w:p w:rsidR="003E5904" w:rsidRPr="000817F2" w:rsidRDefault="003E5904" w:rsidP="00F615BA">
            <w:pPr>
              <w:pStyle w:val="af7"/>
              <w:adjustRightInd w:val="0"/>
              <w:snapToGrid w:val="0"/>
              <w:spacing w:afterLines="30" w:after="137"/>
              <w:ind w:leftChars="0" w:left="0"/>
              <w:rPr>
                <w:rFonts w:hAnsi="標楷體"/>
                <w:sz w:val="28"/>
                <w:szCs w:val="28"/>
              </w:rPr>
            </w:pPr>
          </w:p>
        </w:tc>
        <w:tc>
          <w:tcPr>
            <w:tcW w:w="1537" w:type="dxa"/>
            <w:vAlign w:val="center"/>
          </w:tcPr>
          <w:p w:rsidR="003E5904" w:rsidRPr="000817F2" w:rsidRDefault="003E5904" w:rsidP="00F615BA">
            <w:pPr>
              <w:pStyle w:val="af7"/>
              <w:adjustRightInd w:val="0"/>
              <w:snapToGrid w:val="0"/>
              <w:ind w:leftChars="0" w:left="0"/>
              <w:rPr>
                <w:rFonts w:hAnsi="標楷體"/>
                <w:sz w:val="28"/>
                <w:szCs w:val="28"/>
              </w:rPr>
            </w:pPr>
            <w:r w:rsidRPr="000817F2">
              <w:rPr>
                <w:rFonts w:hAnsi="標楷體" w:hint="eastAsia"/>
                <w:sz w:val="28"/>
                <w:szCs w:val="28"/>
              </w:rPr>
              <w:t>標準化率</w:t>
            </w:r>
          </w:p>
          <w:p w:rsidR="003E5904" w:rsidRPr="000817F2" w:rsidRDefault="003E5904" w:rsidP="00F615BA">
            <w:pPr>
              <w:pStyle w:val="af7"/>
              <w:adjustRightInd w:val="0"/>
              <w:snapToGrid w:val="0"/>
              <w:ind w:leftChars="0" w:left="0"/>
              <w:rPr>
                <w:rFonts w:hAnsi="標楷體"/>
                <w:sz w:val="20"/>
                <w:szCs w:val="28"/>
              </w:rPr>
            </w:pPr>
            <w:r w:rsidRPr="000817F2">
              <w:rPr>
                <w:rFonts w:hAnsi="標楷體" w:hint="eastAsia"/>
                <w:w w:val="66"/>
                <w:sz w:val="20"/>
                <w:szCs w:val="28"/>
              </w:rPr>
              <w:t>(單位：每10萬人)</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8</w:t>
            </w:r>
            <w:r w:rsidRPr="000817F2">
              <w:rPr>
                <w:rFonts w:hAnsi="標楷體"/>
                <w:sz w:val="28"/>
                <w:szCs w:val="28"/>
              </w:rPr>
              <w:t>.</w:t>
            </w:r>
            <w:r w:rsidRPr="000817F2">
              <w:rPr>
                <w:rFonts w:hAnsi="標楷體" w:hint="eastAsia"/>
                <w:sz w:val="28"/>
                <w:szCs w:val="28"/>
              </w:rPr>
              <w:t>9</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8</w:t>
            </w:r>
            <w:r w:rsidRPr="000817F2">
              <w:rPr>
                <w:rFonts w:hAnsi="標楷體"/>
                <w:sz w:val="28"/>
                <w:szCs w:val="28"/>
              </w:rPr>
              <w:t>.</w:t>
            </w:r>
            <w:r w:rsidRPr="000817F2">
              <w:rPr>
                <w:rFonts w:hAnsi="標楷體" w:hint="eastAsia"/>
                <w:sz w:val="28"/>
                <w:szCs w:val="28"/>
              </w:rPr>
              <w:t>8</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8.4</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9.0</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8.5</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8.8</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8.9</w:t>
            </w:r>
          </w:p>
        </w:tc>
        <w:tc>
          <w:tcPr>
            <w:tcW w:w="1017" w:type="dxa"/>
            <w:vAlign w:val="center"/>
          </w:tcPr>
          <w:p w:rsidR="003E5904" w:rsidRPr="000817F2" w:rsidRDefault="003E5904" w:rsidP="00F615BA">
            <w:pPr>
              <w:pStyle w:val="af7"/>
              <w:adjustRightInd w:val="0"/>
              <w:snapToGrid w:val="0"/>
              <w:ind w:leftChars="0" w:left="0"/>
              <w:jc w:val="right"/>
              <w:rPr>
                <w:rFonts w:hAnsi="標楷體"/>
                <w:sz w:val="28"/>
                <w:szCs w:val="28"/>
              </w:rPr>
            </w:pPr>
            <w:r w:rsidRPr="000817F2">
              <w:rPr>
                <w:rFonts w:hAnsi="標楷體" w:hint="eastAsia"/>
                <w:sz w:val="28"/>
                <w:szCs w:val="28"/>
              </w:rPr>
              <w:t>8.6</w:t>
            </w:r>
          </w:p>
        </w:tc>
      </w:tr>
    </w:tbl>
    <w:p w:rsidR="003E5904" w:rsidRPr="000817F2" w:rsidRDefault="003E5904" w:rsidP="003E5904">
      <w:pPr>
        <w:pStyle w:val="af7"/>
        <w:snapToGrid w:val="0"/>
        <w:ind w:leftChars="0" w:left="-709" w:firstLineChars="64" w:firstLine="141"/>
        <w:rPr>
          <w:rFonts w:hAnsi="標楷體"/>
          <w:sz w:val="20"/>
          <w:szCs w:val="28"/>
        </w:rPr>
      </w:pPr>
      <w:r w:rsidRPr="000817F2">
        <w:rPr>
          <w:rFonts w:hAnsi="標楷體" w:hint="eastAsia"/>
          <w:sz w:val="20"/>
          <w:szCs w:val="28"/>
        </w:rPr>
        <w:t>資料來源：衛福部</w:t>
      </w:r>
    </w:p>
    <w:p w:rsidR="003E5904" w:rsidRPr="000817F2" w:rsidRDefault="003E5904" w:rsidP="00B002F7">
      <w:pPr>
        <w:pStyle w:val="af7"/>
        <w:numPr>
          <w:ilvl w:val="0"/>
          <w:numId w:val="11"/>
        </w:numPr>
        <w:overflowPunct/>
        <w:autoSpaceDE/>
        <w:autoSpaceDN/>
        <w:snapToGrid w:val="0"/>
        <w:ind w:leftChars="0" w:left="-142" w:rightChars="-233" w:right="-793"/>
        <w:jc w:val="left"/>
        <w:rPr>
          <w:rFonts w:hAnsi="標楷體"/>
          <w:spacing w:val="-10"/>
          <w:sz w:val="20"/>
          <w:szCs w:val="28"/>
        </w:rPr>
      </w:pPr>
      <w:r w:rsidRPr="000817F2">
        <w:rPr>
          <w:rFonts w:hAnsi="標楷體" w:hint="eastAsia"/>
          <w:spacing w:val="-10"/>
          <w:sz w:val="20"/>
          <w:szCs w:val="28"/>
        </w:rPr>
        <w:t>口腔癌(包含口腔、</w:t>
      </w:r>
      <w:proofErr w:type="gramStart"/>
      <w:r w:rsidRPr="000817F2">
        <w:rPr>
          <w:rFonts w:hAnsi="標楷體" w:hint="eastAsia"/>
          <w:spacing w:val="-10"/>
          <w:sz w:val="20"/>
          <w:szCs w:val="28"/>
        </w:rPr>
        <w:t>口咽及下</w:t>
      </w:r>
      <w:proofErr w:type="gramEnd"/>
      <w:r w:rsidRPr="000817F2">
        <w:rPr>
          <w:rFonts w:hAnsi="標楷體" w:hint="eastAsia"/>
          <w:spacing w:val="-10"/>
          <w:sz w:val="20"/>
          <w:szCs w:val="28"/>
        </w:rPr>
        <w:t>咽)之定義：包含ICD 10代碼C00-C06、C09-C10、C12-C14，下同。</w:t>
      </w:r>
    </w:p>
    <w:p w:rsidR="003E5904" w:rsidRPr="000817F2" w:rsidRDefault="003E5904" w:rsidP="00B002F7">
      <w:pPr>
        <w:pStyle w:val="af7"/>
        <w:numPr>
          <w:ilvl w:val="0"/>
          <w:numId w:val="11"/>
        </w:numPr>
        <w:overflowPunct/>
        <w:autoSpaceDE/>
        <w:autoSpaceDN/>
        <w:snapToGrid w:val="0"/>
        <w:ind w:leftChars="0" w:left="-142" w:rightChars="-233" w:right="-793"/>
        <w:jc w:val="left"/>
        <w:rPr>
          <w:rFonts w:hAnsi="標楷體"/>
          <w:spacing w:val="-10"/>
          <w:sz w:val="20"/>
          <w:szCs w:val="28"/>
        </w:rPr>
      </w:pPr>
      <w:r w:rsidRPr="000817F2">
        <w:rPr>
          <w:rFonts w:hAnsi="標楷體" w:hint="eastAsia"/>
          <w:sz w:val="20"/>
          <w:szCs w:val="28"/>
        </w:rPr>
        <w:t>口腔癌發生資料：衛福</w:t>
      </w:r>
      <w:proofErr w:type="gramStart"/>
      <w:r w:rsidRPr="000817F2">
        <w:rPr>
          <w:rFonts w:hAnsi="標楷體" w:hint="eastAsia"/>
          <w:sz w:val="20"/>
          <w:szCs w:val="28"/>
        </w:rPr>
        <w:t>部國健署</w:t>
      </w:r>
      <w:proofErr w:type="gramEnd"/>
      <w:r w:rsidRPr="000817F2">
        <w:rPr>
          <w:rFonts w:hAnsi="標楷體" w:hint="eastAsia"/>
          <w:sz w:val="20"/>
          <w:szCs w:val="28"/>
        </w:rPr>
        <w:t>台灣癌症登記資料庫，最新年度至107年。</w:t>
      </w:r>
    </w:p>
    <w:p w:rsidR="003E5904" w:rsidRPr="000817F2" w:rsidRDefault="003E5904" w:rsidP="00B002F7">
      <w:pPr>
        <w:pStyle w:val="af7"/>
        <w:numPr>
          <w:ilvl w:val="0"/>
          <w:numId w:val="11"/>
        </w:numPr>
        <w:overflowPunct/>
        <w:autoSpaceDE/>
        <w:autoSpaceDN/>
        <w:snapToGrid w:val="0"/>
        <w:ind w:leftChars="0" w:left="-284" w:rightChars="-233" w:right="-793" w:hanging="218"/>
        <w:jc w:val="left"/>
        <w:rPr>
          <w:rFonts w:hAnsi="標楷體"/>
          <w:spacing w:val="-10"/>
          <w:sz w:val="20"/>
          <w:szCs w:val="28"/>
        </w:rPr>
      </w:pPr>
      <w:r w:rsidRPr="000817F2">
        <w:rPr>
          <w:rFonts w:hAnsi="標楷體" w:hint="eastAsia"/>
          <w:sz w:val="20"/>
          <w:szCs w:val="28"/>
        </w:rPr>
        <w:t>口腔癌死亡資料：衛福部統計處死因統計資料。</w:t>
      </w:r>
      <w:r w:rsidRPr="000817F2">
        <w:rPr>
          <w:rFonts w:hAnsi="標楷體"/>
          <w:sz w:val="20"/>
          <w:szCs w:val="28"/>
        </w:rPr>
        <w:t>108</w:t>
      </w:r>
      <w:r w:rsidRPr="000817F2">
        <w:rPr>
          <w:rFonts w:hAnsi="標楷體" w:hint="eastAsia"/>
          <w:sz w:val="20"/>
          <w:szCs w:val="28"/>
        </w:rPr>
        <w:t>年起死因統計改</w:t>
      </w:r>
      <w:proofErr w:type="gramStart"/>
      <w:r w:rsidRPr="000817F2">
        <w:rPr>
          <w:rFonts w:hAnsi="標楷體" w:hint="eastAsia"/>
          <w:sz w:val="20"/>
          <w:szCs w:val="28"/>
        </w:rPr>
        <w:t>採</w:t>
      </w:r>
      <w:proofErr w:type="gramEnd"/>
      <w:r w:rsidRPr="000817F2">
        <w:rPr>
          <w:rFonts w:hAnsi="標楷體" w:hint="eastAsia"/>
          <w:sz w:val="20"/>
          <w:szCs w:val="28"/>
        </w:rPr>
        <w:t>國際疾病分類</w:t>
      </w:r>
      <w:r w:rsidRPr="000817F2">
        <w:rPr>
          <w:rFonts w:hAnsi="標楷體"/>
          <w:sz w:val="20"/>
          <w:szCs w:val="28"/>
        </w:rPr>
        <w:t>(ICD-10)</w:t>
      </w:r>
      <w:proofErr w:type="gramStart"/>
      <w:r w:rsidRPr="000817F2">
        <w:rPr>
          <w:rFonts w:hAnsi="標楷體" w:hint="eastAsia"/>
          <w:sz w:val="20"/>
          <w:szCs w:val="28"/>
        </w:rPr>
        <w:t>最</w:t>
      </w:r>
      <w:proofErr w:type="gramEnd"/>
      <w:r w:rsidRPr="000817F2">
        <w:rPr>
          <w:rFonts w:hAnsi="標楷體" w:hint="eastAsia"/>
          <w:sz w:val="20"/>
          <w:szCs w:val="28"/>
        </w:rPr>
        <w:t>新版選取標準，並以相同標準設算102-109年。</w:t>
      </w:r>
    </w:p>
    <w:p w:rsidR="003E5904" w:rsidRPr="000817F2" w:rsidRDefault="003E5904" w:rsidP="00B002F7">
      <w:pPr>
        <w:pStyle w:val="af7"/>
        <w:numPr>
          <w:ilvl w:val="0"/>
          <w:numId w:val="11"/>
        </w:numPr>
        <w:overflowPunct/>
        <w:autoSpaceDE/>
        <w:autoSpaceDN/>
        <w:snapToGrid w:val="0"/>
        <w:ind w:leftChars="0" w:left="-142" w:rightChars="-233" w:right="-793"/>
        <w:jc w:val="left"/>
        <w:rPr>
          <w:rFonts w:hAnsi="標楷體"/>
          <w:spacing w:val="-10"/>
          <w:sz w:val="20"/>
          <w:szCs w:val="28"/>
        </w:rPr>
      </w:pPr>
      <w:proofErr w:type="gramStart"/>
      <w:r w:rsidRPr="000817F2">
        <w:rPr>
          <w:rFonts w:hAnsi="標楷體" w:hint="eastAsia"/>
          <w:sz w:val="20"/>
          <w:szCs w:val="28"/>
        </w:rPr>
        <w:t>標準化率係以西</w:t>
      </w:r>
      <w:proofErr w:type="gramEnd"/>
      <w:r w:rsidRPr="000817F2">
        <w:rPr>
          <w:rFonts w:hAnsi="標楷體" w:hint="eastAsia"/>
          <w:sz w:val="20"/>
          <w:szCs w:val="28"/>
        </w:rPr>
        <w:t>元</w:t>
      </w:r>
      <w:r w:rsidRPr="000817F2">
        <w:rPr>
          <w:rFonts w:hAnsi="標楷體"/>
          <w:sz w:val="20"/>
          <w:szCs w:val="28"/>
        </w:rPr>
        <w:t>2000</w:t>
      </w:r>
      <w:r w:rsidRPr="000817F2">
        <w:rPr>
          <w:rFonts w:hAnsi="標楷體" w:hint="eastAsia"/>
          <w:sz w:val="20"/>
          <w:szCs w:val="28"/>
        </w:rPr>
        <w:t>年世界標準人口為標準人口計算</w:t>
      </w:r>
      <w:r w:rsidRPr="000817F2">
        <w:rPr>
          <w:rFonts w:hAnsi="標楷體"/>
          <w:sz w:val="20"/>
          <w:szCs w:val="28"/>
        </w:rPr>
        <w:t>(</w:t>
      </w:r>
      <w:r w:rsidRPr="000817F2">
        <w:rPr>
          <w:rFonts w:hAnsi="標楷體" w:hint="eastAsia"/>
          <w:sz w:val="20"/>
          <w:szCs w:val="28"/>
        </w:rPr>
        <w:t>單位為每</w:t>
      </w:r>
      <w:r w:rsidRPr="000817F2">
        <w:rPr>
          <w:rFonts w:hAnsi="標楷體"/>
          <w:sz w:val="20"/>
          <w:szCs w:val="28"/>
        </w:rPr>
        <w:t>10</w:t>
      </w:r>
      <w:r w:rsidRPr="000817F2">
        <w:rPr>
          <w:rFonts w:hAnsi="標楷體" w:hint="eastAsia"/>
          <w:sz w:val="20"/>
          <w:szCs w:val="28"/>
        </w:rPr>
        <w:t>萬人口</w:t>
      </w:r>
      <w:r w:rsidRPr="000817F2">
        <w:rPr>
          <w:rFonts w:hAnsi="標楷體"/>
          <w:sz w:val="20"/>
          <w:szCs w:val="28"/>
        </w:rPr>
        <w:t>)</w:t>
      </w:r>
      <w:r w:rsidRPr="000817F2">
        <w:rPr>
          <w:rFonts w:hAnsi="標楷體" w:hint="eastAsia"/>
          <w:sz w:val="20"/>
          <w:szCs w:val="28"/>
        </w:rPr>
        <w:t>。</w:t>
      </w:r>
    </w:p>
    <w:p w:rsidR="003E5904" w:rsidRPr="000817F2" w:rsidRDefault="003E5904" w:rsidP="003E5904"/>
    <w:p w:rsidR="003E5904" w:rsidRPr="000817F2" w:rsidRDefault="000817F2" w:rsidP="00D519E6">
      <w:pPr>
        <w:pStyle w:val="3"/>
        <w:numPr>
          <w:ilvl w:val="0"/>
          <w:numId w:val="0"/>
        </w:numPr>
        <w:ind w:leftChars="108" w:left="367" w:firstLineChars="208" w:firstLine="708"/>
      </w:pPr>
      <w:r w:rsidRPr="000817F2">
        <w:rPr>
          <w:rFonts w:hint="eastAsia"/>
        </w:rPr>
        <w:t>關於</w:t>
      </w:r>
      <w:r w:rsidR="003E5904" w:rsidRPr="000817F2">
        <w:rPr>
          <w:rFonts w:hint="eastAsia"/>
        </w:rPr>
        <w:t>口腔癌健保醫療支出，依衛福部中央健康</w:t>
      </w:r>
      <w:proofErr w:type="gramStart"/>
      <w:r w:rsidR="003E5904" w:rsidRPr="000817F2">
        <w:rPr>
          <w:rFonts w:hint="eastAsia"/>
        </w:rPr>
        <w:t>保險署</w:t>
      </w:r>
      <w:proofErr w:type="gramEnd"/>
      <w:r w:rsidR="003E5904" w:rsidRPr="000817F2">
        <w:rPr>
          <w:rFonts w:hint="eastAsia"/>
        </w:rPr>
        <w:t>(下稱健保署)統計，102-109年頭頸癌之醫療費用介於64.4億(點)至86.3億(點)，占全癌症醫療費用占率介於10.</w:t>
      </w:r>
      <w:r w:rsidR="001262C4" w:rsidRPr="000817F2">
        <w:rPr>
          <w:rFonts w:hint="eastAsia"/>
        </w:rPr>
        <w:t>5</w:t>
      </w:r>
      <w:r w:rsidR="003E5904" w:rsidRPr="000817F2">
        <w:rPr>
          <w:rFonts w:hint="eastAsia"/>
        </w:rPr>
        <w:t>%至12.0%，而</w:t>
      </w:r>
      <w:r w:rsidR="003E5904" w:rsidRPr="000817F2">
        <w:rPr>
          <w:rFonts w:hint="eastAsia"/>
          <w:u w:val="single"/>
        </w:rPr>
        <w:t>主診斷為口腔癌之醫療費用則介於46.8億(點)至66.3億(點)</w:t>
      </w:r>
      <w:r w:rsidR="003E5904" w:rsidRPr="000817F2">
        <w:rPr>
          <w:rFonts w:hint="eastAsia"/>
        </w:rPr>
        <w:t>，占頭頸癌醫療費用占率在72.7%至76.8%間，</w:t>
      </w:r>
      <w:r w:rsidR="003E5904" w:rsidRPr="000817F2">
        <w:rPr>
          <w:rFonts w:hint="eastAsia"/>
          <w:u w:val="single"/>
        </w:rPr>
        <w:t>且口腔癌健保醫療支出呈逐年增加趨勢</w:t>
      </w:r>
      <w:r w:rsidR="003E5904" w:rsidRPr="000817F2">
        <w:rPr>
          <w:rFonts w:hint="eastAsia"/>
        </w:rPr>
        <w:t>，109年已高達66.3億(點)，詳如下表。</w:t>
      </w:r>
    </w:p>
    <w:p w:rsidR="003E5904" w:rsidRPr="000817F2" w:rsidRDefault="003E5904" w:rsidP="003E5904"/>
    <w:p w:rsidR="003E5904" w:rsidRPr="000817F2" w:rsidRDefault="003E5904" w:rsidP="003E5904">
      <w:pPr>
        <w:pStyle w:val="a3"/>
        <w:ind w:left="426" w:hanging="480"/>
        <w:jc w:val="center"/>
      </w:pPr>
      <w:r w:rsidRPr="000817F2">
        <w:rPr>
          <w:rFonts w:hint="eastAsia"/>
        </w:rPr>
        <w:t>102-109年口腔癌醫療健保支出及占率</w:t>
      </w:r>
    </w:p>
    <w:p w:rsidR="003E5904" w:rsidRPr="000817F2" w:rsidRDefault="003E5904" w:rsidP="003E5904">
      <w:pPr>
        <w:pStyle w:val="4"/>
        <w:numPr>
          <w:ilvl w:val="0"/>
          <w:numId w:val="0"/>
        </w:numPr>
        <w:ind w:left="1701" w:rightChars="-233" w:right="-793"/>
        <w:jc w:val="right"/>
        <w:rPr>
          <w:sz w:val="24"/>
          <w:szCs w:val="24"/>
        </w:rPr>
      </w:pPr>
      <w:r w:rsidRPr="000817F2">
        <w:rPr>
          <w:rFonts w:hint="eastAsia"/>
          <w:sz w:val="24"/>
          <w:szCs w:val="24"/>
        </w:rPr>
        <w:t>單位：億(點)；%</w:t>
      </w:r>
    </w:p>
    <w:tbl>
      <w:tblPr>
        <w:tblStyle w:val="af6"/>
        <w:tblW w:w="10490" w:type="dxa"/>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04"/>
        <w:gridCol w:w="1067"/>
        <w:gridCol w:w="1067"/>
        <w:gridCol w:w="1067"/>
        <w:gridCol w:w="1067"/>
        <w:gridCol w:w="1067"/>
        <w:gridCol w:w="1067"/>
        <w:gridCol w:w="1067"/>
        <w:gridCol w:w="1017"/>
      </w:tblGrid>
      <w:tr w:rsidR="000817F2" w:rsidRPr="000817F2" w:rsidTr="00F615BA">
        <w:trPr>
          <w:trHeight w:val="82"/>
          <w:tblHeader/>
        </w:trPr>
        <w:tc>
          <w:tcPr>
            <w:tcW w:w="2004" w:type="dxa"/>
            <w:tcBorders>
              <w:bottom w:val="double" w:sz="4" w:space="0" w:color="auto"/>
            </w:tcBorders>
            <w:shd w:val="clear" w:color="auto" w:fill="DAEEF3" w:themeFill="accent5" w:themeFillTint="33"/>
            <w:vAlign w:val="center"/>
          </w:tcPr>
          <w:p w:rsidR="003E5904" w:rsidRPr="000817F2" w:rsidRDefault="003E5904" w:rsidP="00F615BA">
            <w:pPr>
              <w:adjustRightInd w:val="0"/>
              <w:snapToGrid w:val="0"/>
              <w:spacing w:afterLines="30" w:after="137"/>
              <w:jc w:val="center"/>
              <w:rPr>
                <w:rFonts w:hAnsi="標楷體"/>
                <w:sz w:val="28"/>
                <w:szCs w:val="28"/>
              </w:rPr>
            </w:pPr>
            <w:r w:rsidRPr="000817F2">
              <w:rPr>
                <w:rFonts w:hAnsi="標楷體" w:hint="eastAsia"/>
                <w:sz w:val="28"/>
                <w:szCs w:val="28"/>
              </w:rPr>
              <w:t>項目</w:t>
            </w:r>
          </w:p>
        </w:tc>
        <w:tc>
          <w:tcPr>
            <w:tcW w:w="1067" w:type="dxa"/>
            <w:tcBorders>
              <w:bottom w:val="double" w:sz="4" w:space="0" w:color="auto"/>
            </w:tcBorders>
            <w:shd w:val="clear" w:color="auto" w:fill="DAEEF3" w:themeFill="accent5" w:themeFillTint="33"/>
            <w:vAlign w:val="center"/>
          </w:tcPr>
          <w:p w:rsidR="003E5904" w:rsidRPr="000817F2" w:rsidRDefault="003E5904" w:rsidP="00F615BA">
            <w:pPr>
              <w:adjustRightInd w:val="0"/>
              <w:snapToGrid w:val="0"/>
              <w:spacing w:afterLines="30" w:after="137"/>
              <w:jc w:val="center"/>
              <w:rPr>
                <w:rFonts w:hAnsi="標楷體"/>
                <w:spacing w:val="-20"/>
                <w:sz w:val="28"/>
                <w:szCs w:val="28"/>
              </w:rPr>
            </w:pPr>
            <w:r w:rsidRPr="000817F2">
              <w:rPr>
                <w:rFonts w:hAnsi="標楷體" w:hint="eastAsia"/>
                <w:spacing w:val="-20"/>
                <w:sz w:val="28"/>
                <w:szCs w:val="28"/>
              </w:rPr>
              <w:t>102年</w:t>
            </w:r>
          </w:p>
        </w:tc>
        <w:tc>
          <w:tcPr>
            <w:tcW w:w="1067" w:type="dxa"/>
            <w:tcBorders>
              <w:bottom w:val="double" w:sz="4" w:space="0" w:color="auto"/>
            </w:tcBorders>
            <w:shd w:val="clear" w:color="auto" w:fill="DAEEF3" w:themeFill="accent5" w:themeFillTint="33"/>
            <w:vAlign w:val="center"/>
          </w:tcPr>
          <w:p w:rsidR="003E5904" w:rsidRPr="000817F2" w:rsidRDefault="003E5904" w:rsidP="00F615BA">
            <w:pPr>
              <w:adjustRightInd w:val="0"/>
              <w:snapToGrid w:val="0"/>
              <w:spacing w:afterLines="30" w:after="137"/>
              <w:jc w:val="center"/>
              <w:rPr>
                <w:rFonts w:hAnsi="標楷體"/>
                <w:spacing w:val="-20"/>
                <w:sz w:val="28"/>
                <w:szCs w:val="28"/>
              </w:rPr>
            </w:pPr>
            <w:r w:rsidRPr="000817F2">
              <w:rPr>
                <w:rFonts w:hAnsi="標楷體" w:hint="eastAsia"/>
                <w:spacing w:val="-20"/>
                <w:sz w:val="28"/>
                <w:szCs w:val="28"/>
              </w:rPr>
              <w:t>103年</w:t>
            </w:r>
          </w:p>
        </w:tc>
        <w:tc>
          <w:tcPr>
            <w:tcW w:w="1067" w:type="dxa"/>
            <w:tcBorders>
              <w:bottom w:val="double" w:sz="4" w:space="0" w:color="auto"/>
            </w:tcBorders>
            <w:shd w:val="clear" w:color="auto" w:fill="DAEEF3" w:themeFill="accent5" w:themeFillTint="33"/>
            <w:vAlign w:val="center"/>
          </w:tcPr>
          <w:p w:rsidR="003E5904" w:rsidRPr="000817F2" w:rsidRDefault="003E5904" w:rsidP="00F615BA">
            <w:pPr>
              <w:adjustRightInd w:val="0"/>
              <w:snapToGrid w:val="0"/>
              <w:spacing w:afterLines="30" w:after="137"/>
              <w:jc w:val="center"/>
              <w:rPr>
                <w:rFonts w:hAnsi="標楷體"/>
                <w:spacing w:val="-20"/>
                <w:sz w:val="28"/>
                <w:szCs w:val="28"/>
              </w:rPr>
            </w:pPr>
            <w:r w:rsidRPr="000817F2">
              <w:rPr>
                <w:rFonts w:hAnsi="標楷體" w:hint="eastAsia"/>
                <w:spacing w:val="-20"/>
                <w:sz w:val="28"/>
                <w:szCs w:val="28"/>
              </w:rPr>
              <w:t>104年</w:t>
            </w:r>
          </w:p>
        </w:tc>
        <w:tc>
          <w:tcPr>
            <w:tcW w:w="1067" w:type="dxa"/>
            <w:tcBorders>
              <w:bottom w:val="double" w:sz="4" w:space="0" w:color="auto"/>
            </w:tcBorders>
            <w:shd w:val="clear" w:color="auto" w:fill="DAEEF3" w:themeFill="accent5" w:themeFillTint="33"/>
            <w:vAlign w:val="center"/>
          </w:tcPr>
          <w:p w:rsidR="003E5904" w:rsidRPr="000817F2" w:rsidRDefault="003E5904" w:rsidP="00F615BA">
            <w:pPr>
              <w:adjustRightInd w:val="0"/>
              <w:snapToGrid w:val="0"/>
              <w:spacing w:afterLines="30" w:after="137"/>
              <w:jc w:val="center"/>
              <w:rPr>
                <w:rFonts w:hAnsi="標楷體"/>
                <w:spacing w:val="-20"/>
                <w:sz w:val="28"/>
                <w:szCs w:val="28"/>
              </w:rPr>
            </w:pPr>
            <w:r w:rsidRPr="000817F2">
              <w:rPr>
                <w:rFonts w:hAnsi="標楷體" w:hint="eastAsia"/>
                <w:spacing w:val="-20"/>
                <w:sz w:val="28"/>
                <w:szCs w:val="28"/>
              </w:rPr>
              <w:t>105年</w:t>
            </w:r>
          </w:p>
        </w:tc>
        <w:tc>
          <w:tcPr>
            <w:tcW w:w="1067" w:type="dxa"/>
            <w:tcBorders>
              <w:bottom w:val="double" w:sz="4" w:space="0" w:color="auto"/>
            </w:tcBorders>
            <w:shd w:val="clear" w:color="auto" w:fill="DAEEF3" w:themeFill="accent5" w:themeFillTint="33"/>
            <w:vAlign w:val="center"/>
          </w:tcPr>
          <w:p w:rsidR="003E5904" w:rsidRPr="000817F2" w:rsidRDefault="003E5904" w:rsidP="00F615BA">
            <w:pPr>
              <w:adjustRightInd w:val="0"/>
              <w:snapToGrid w:val="0"/>
              <w:spacing w:afterLines="30" w:after="137"/>
              <w:jc w:val="center"/>
              <w:rPr>
                <w:rFonts w:hAnsi="標楷體"/>
                <w:spacing w:val="-20"/>
                <w:sz w:val="28"/>
                <w:szCs w:val="28"/>
              </w:rPr>
            </w:pPr>
            <w:r w:rsidRPr="000817F2">
              <w:rPr>
                <w:rFonts w:hAnsi="標楷體" w:hint="eastAsia"/>
                <w:spacing w:val="-20"/>
                <w:sz w:val="28"/>
                <w:szCs w:val="28"/>
              </w:rPr>
              <w:t>106年</w:t>
            </w:r>
          </w:p>
        </w:tc>
        <w:tc>
          <w:tcPr>
            <w:tcW w:w="1067" w:type="dxa"/>
            <w:tcBorders>
              <w:bottom w:val="double" w:sz="4" w:space="0" w:color="auto"/>
            </w:tcBorders>
            <w:shd w:val="clear" w:color="auto" w:fill="DAEEF3" w:themeFill="accent5" w:themeFillTint="33"/>
            <w:vAlign w:val="center"/>
          </w:tcPr>
          <w:p w:rsidR="003E5904" w:rsidRPr="000817F2" w:rsidRDefault="003E5904" w:rsidP="00F615BA">
            <w:pPr>
              <w:adjustRightInd w:val="0"/>
              <w:snapToGrid w:val="0"/>
              <w:spacing w:afterLines="30" w:after="137"/>
              <w:jc w:val="center"/>
              <w:rPr>
                <w:rFonts w:hAnsi="標楷體"/>
                <w:spacing w:val="-20"/>
                <w:sz w:val="28"/>
                <w:szCs w:val="28"/>
              </w:rPr>
            </w:pPr>
            <w:r w:rsidRPr="000817F2">
              <w:rPr>
                <w:rFonts w:hAnsi="標楷體" w:hint="eastAsia"/>
                <w:spacing w:val="-20"/>
                <w:sz w:val="28"/>
                <w:szCs w:val="28"/>
              </w:rPr>
              <w:t>107年</w:t>
            </w:r>
          </w:p>
        </w:tc>
        <w:tc>
          <w:tcPr>
            <w:tcW w:w="1067" w:type="dxa"/>
            <w:tcBorders>
              <w:bottom w:val="double" w:sz="4" w:space="0" w:color="auto"/>
            </w:tcBorders>
            <w:shd w:val="clear" w:color="auto" w:fill="DAEEF3" w:themeFill="accent5" w:themeFillTint="33"/>
            <w:vAlign w:val="center"/>
          </w:tcPr>
          <w:p w:rsidR="003E5904" w:rsidRPr="000817F2" w:rsidRDefault="003E5904" w:rsidP="00F615BA">
            <w:pPr>
              <w:adjustRightInd w:val="0"/>
              <w:snapToGrid w:val="0"/>
              <w:spacing w:afterLines="30" w:after="137"/>
              <w:jc w:val="center"/>
              <w:rPr>
                <w:rFonts w:hAnsi="標楷體"/>
                <w:spacing w:val="-20"/>
                <w:sz w:val="28"/>
                <w:szCs w:val="28"/>
              </w:rPr>
            </w:pPr>
            <w:r w:rsidRPr="000817F2">
              <w:rPr>
                <w:rFonts w:hAnsi="標楷體" w:hint="eastAsia"/>
                <w:spacing w:val="-20"/>
                <w:sz w:val="28"/>
                <w:szCs w:val="28"/>
              </w:rPr>
              <w:t>108年</w:t>
            </w:r>
          </w:p>
        </w:tc>
        <w:tc>
          <w:tcPr>
            <w:tcW w:w="1017" w:type="dxa"/>
            <w:tcBorders>
              <w:bottom w:val="double" w:sz="4" w:space="0" w:color="auto"/>
            </w:tcBorders>
            <w:shd w:val="clear" w:color="auto" w:fill="DAEEF3" w:themeFill="accent5" w:themeFillTint="33"/>
            <w:vAlign w:val="center"/>
          </w:tcPr>
          <w:p w:rsidR="003E5904" w:rsidRPr="000817F2" w:rsidRDefault="003E5904" w:rsidP="00F615BA">
            <w:pPr>
              <w:adjustRightInd w:val="0"/>
              <w:snapToGrid w:val="0"/>
              <w:spacing w:afterLines="30" w:after="137"/>
              <w:jc w:val="center"/>
              <w:rPr>
                <w:rFonts w:hAnsi="標楷體"/>
                <w:spacing w:val="-20"/>
                <w:sz w:val="28"/>
                <w:szCs w:val="28"/>
              </w:rPr>
            </w:pPr>
            <w:r w:rsidRPr="000817F2">
              <w:rPr>
                <w:rFonts w:hAnsi="標楷體" w:hint="eastAsia"/>
                <w:spacing w:val="-20"/>
                <w:sz w:val="28"/>
                <w:szCs w:val="28"/>
              </w:rPr>
              <w:t>109年</w:t>
            </w:r>
          </w:p>
        </w:tc>
      </w:tr>
      <w:tr w:rsidR="000817F2" w:rsidRPr="000817F2" w:rsidTr="00F615BA">
        <w:trPr>
          <w:trHeight w:val="487"/>
        </w:trPr>
        <w:tc>
          <w:tcPr>
            <w:tcW w:w="10490" w:type="dxa"/>
            <w:gridSpan w:val="9"/>
            <w:tcBorders>
              <w:top w:val="doub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jc w:val="left"/>
              <w:rPr>
                <w:rFonts w:hAnsi="標楷體"/>
                <w:b/>
                <w:spacing w:val="-20"/>
                <w:sz w:val="28"/>
                <w:szCs w:val="28"/>
              </w:rPr>
            </w:pPr>
            <w:r w:rsidRPr="000817F2">
              <w:rPr>
                <w:rFonts w:hAnsi="標楷體" w:hint="eastAsia"/>
                <w:b/>
                <w:spacing w:val="-20"/>
                <w:sz w:val="28"/>
                <w:szCs w:val="28"/>
              </w:rPr>
              <w:t>醫療費用點數(億點)</w:t>
            </w:r>
          </w:p>
        </w:tc>
      </w:tr>
      <w:tr w:rsidR="000817F2" w:rsidRPr="000817F2" w:rsidTr="00F615BA">
        <w:trPr>
          <w:trHeight w:val="498"/>
        </w:trPr>
        <w:tc>
          <w:tcPr>
            <w:tcW w:w="2004"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rPr>
                <w:rFonts w:hAnsi="標楷體"/>
                <w:sz w:val="28"/>
                <w:szCs w:val="28"/>
              </w:rPr>
            </w:pPr>
            <w:r w:rsidRPr="000817F2">
              <w:rPr>
                <w:rFonts w:hAnsi="標楷體" w:hint="eastAsia"/>
                <w:sz w:val="28"/>
                <w:szCs w:val="28"/>
              </w:rPr>
              <w:t>健保總支出</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ind w:leftChars="-24" w:left="-82" w:rightChars="-26" w:right="-88"/>
              <w:jc w:val="right"/>
              <w:rPr>
                <w:rFonts w:hAnsi="標楷體"/>
                <w:spacing w:val="-20"/>
                <w:sz w:val="28"/>
                <w:szCs w:val="28"/>
              </w:rPr>
            </w:pPr>
            <w:r w:rsidRPr="000817F2">
              <w:rPr>
                <w:rFonts w:hAnsi="標楷體" w:hint="eastAsia"/>
                <w:spacing w:val="-20"/>
                <w:sz w:val="28"/>
                <w:szCs w:val="28"/>
              </w:rPr>
              <w:t xml:space="preserve">5,895.7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ind w:leftChars="-24" w:left="-82" w:rightChars="-26" w:right="-88"/>
              <w:jc w:val="right"/>
              <w:rPr>
                <w:rFonts w:hAnsi="標楷體"/>
                <w:spacing w:val="-20"/>
                <w:sz w:val="28"/>
                <w:szCs w:val="28"/>
              </w:rPr>
            </w:pPr>
            <w:r w:rsidRPr="000817F2">
              <w:rPr>
                <w:rFonts w:hAnsi="標楷體" w:hint="eastAsia"/>
                <w:spacing w:val="-20"/>
                <w:sz w:val="28"/>
                <w:szCs w:val="28"/>
              </w:rPr>
              <w:t xml:space="preserve">6,152.6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ind w:leftChars="-24" w:left="-82" w:rightChars="-26" w:right="-88"/>
              <w:jc w:val="right"/>
              <w:rPr>
                <w:rFonts w:hAnsi="標楷體"/>
                <w:spacing w:val="-20"/>
                <w:sz w:val="28"/>
                <w:szCs w:val="28"/>
              </w:rPr>
            </w:pPr>
            <w:r w:rsidRPr="000817F2">
              <w:rPr>
                <w:rFonts w:hAnsi="標楷體" w:hint="eastAsia"/>
                <w:spacing w:val="-20"/>
                <w:sz w:val="28"/>
                <w:szCs w:val="28"/>
              </w:rPr>
              <w:t xml:space="preserve">6,303.8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ind w:leftChars="-24" w:left="-82" w:rightChars="-26" w:right="-88"/>
              <w:jc w:val="right"/>
              <w:rPr>
                <w:rFonts w:hAnsi="標楷體"/>
                <w:spacing w:val="-20"/>
                <w:sz w:val="28"/>
                <w:szCs w:val="28"/>
              </w:rPr>
            </w:pPr>
            <w:r w:rsidRPr="000817F2">
              <w:rPr>
                <w:rFonts w:hAnsi="標楷體" w:hint="eastAsia"/>
                <w:spacing w:val="-20"/>
                <w:sz w:val="28"/>
                <w:szCs w:val="28"/>
              </w:rPr>
              <w:t xml:space="preserve">6,618.7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ind w:leftChars="-24" w:left="-82" w:rightChars="-26" w:right="-88"/>
              <w:jc w:val="right"/>
              <w:rPr>
                <w:rFonts w:hAnsi="標楷體"/>
                <w:spacing w:val="-20"/>
                <w:sz w:val="28"/>
                <w:szCs w:val="28"/>
              </w:rPr>
            </w:pPr>
            <w:r w:rsidRPr="000817F2">
              <w:rPr>
                <w:rFonts w:hAnsi="標楷體" w:hint="eastAsia"/>
                <w:spacing w:val="-20"/>
                <w:sz w:val="28"/>
                <w:szCs w:val="28"/>
              </w:rPr>
              <w:t xml:space="preserve">7,008.6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ind w:leftChars="-24" w:left="-82" w:rightChars="-26" w:right="-88"/>
              <w:jc w:val="right"/>
              <w:rPr>
                <w:rFonts w:hAnsi="標楷體"/>
                <w:spacing w:val="-20"/>
                <w:sz w:val="28"/>
                <w:szCs w:val="28"/>
              </w:rPr>
            </w:pPr>
            <w:r w:rsidRPr="000817F2">
              <w:rPr>
                <w:rFonts w:hAnsi="標楷體" w:hint="eastAsia"/>
                <w:spacing w:val="-20"/>
                <w:sz w:val="28"/>
                <w:szCs w:val="28"/>
              </w:rPr>
              <w:t xml:space="preserve">7,384.1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ind w:leftChars="-24" w:left="-82" w:rightChars="-26" w:right="-88"/>
              <w:jc w:val="right"/>
              <w:rPr>
                <w:rFonts w:hAnsi="標楷體"/>
                <w:spacing w:val="-20"/>
                <w:sz w:val="28"/>
                <w:szCs w:val="28"/>
              </w:rPr>
            </w:pPr>
            <w:r w:rsidRPr="000817F2">
              <w:rPr>
                <w:rFonts w:hAnsi="標楷體" w:hint="eastAsia"/>
                <w:spacing w:val="-20"/>
                <w:sz w:val="28"/>
                <w:szCs w:val="28"/>
              </w:rPr>
              <w:t xml:space="preserve">7,731.1 </w:t>
            </w:r>
          </w:p>
        </w:tc>
        <w:tc>
          <w:tcPr>
            <w:tcW w:w="101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ind w:leftChars="-24" w:left="-82" w:rightChars="-26" w:right="-88"/>
              <w:jc w:val="right"/>
              <w:rPr>
                <w:rFonts w:hAnsi="標楷體"/>
                <w:spacing w:val="-20"/>
                <w:sz w:val="28"/>
                <w:szCs w:val="28"/>
              </w:rPr>
            </w:pPr>
            <w:r w:rsidRPr="000817F2">
              <w:rPr>
                <w:spacing w:val="-20"/>
                <w:sz w:val="28"/>
                <w:szCs w:val="28"/>
              </w:rPr>
              <w:t>7,803.8</w:t>
            </w:r>
          </w:p>
        </w:tc>
      </w:tr>
      <w:tr w:rsidR="000817F2" w:rsidRPr="000817F2" w:rsidTr="00F615BA">
        <w:trPr>
          <w:trHeight w:val="487"/>
        </w:trPr>
        <w:tc>
          <w:tcPr>
            <w:tcW w:w="2004"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ind w:firstLineChars="104" w:firstLine="312"/>
              <w:rPr>
                <w:rFonts w:hAnsi="標楷體"/>
                <w:sz w:val="28"/>
                <w:szCs w:val="28"/>
              </w:rPr>
            </w:pPr>
            <w:r w:rsidRPr="000817F2">
              <w:rPr>
                <w:rFonts w:hAnsi="標楷體" w:hint="eastAsia"/>
                <w:sz w:val="28"/>
                <w:szCs w:val="28"/>
              </w:rPr>
              <w:t>癌症</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537.8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564.0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589.2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620.7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676.5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720.0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760.4 </w:t>
            </w:r>
          </w:p>
        </w:tc>
        <w:tc>
          <w:tcPr>
            <w:tcW w:w="101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spacing w:val="-20"/>
                <w:sz w:val="28"/>
                <w:szCs w:val="28"/>
              </w:rPr>
              <w:t>820.9</w:t>
            </w:r>
          </w:p>
        </w:tc>
      </w:tr>
      <w:tr w:rsidR="000817F2" w:rsidRPr="000817F2" w:rsidTr="00F615BA">
        <w:trPr>
          <w:trHeight w:val="498"/>
        </w:trPr>
        <w:tc>
          <w:tcPr>
            <w:tcW w:w="2004"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ind w:firstLineChars="198" w:firstLine="594"/>
              <w:rPr>
                <w:rFonts w:hAnsi="標楷體"/>
                <w:sz w:val="28"/>
                <w:szCs w:val="28"/>
              </w:rPr>
            </w:pPr>
            <w:r w:rsidRPr="000817F2">
              <w:rPr>
                <w:rFonts w:hAnsi="標楷體" w:hint="eastAsia"/>
                <w:sz w:val="28"/>
                <w:szCs w:val="28"/>
              </w:rPr>
              <w:t>頭頸癌</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64.4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66.9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67.0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71.3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76.7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79.0 </w:t>
            </w:r>
          </w:p>
        </w:tc>
        <w:tc>
          <w:tcPr>
            <w:tcW w:w="106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81.9 </w:t>
            </w:r>
          </w:p>
        </w:tc>
        <w:tc>
          <w:tcPr>
            <w:tcW w:w="1017" w:type="dxa"/>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spacing w:val="-20"/>
                <w:sz w:val="28"/>
                <w:szCs w:val="28"/>
              </w:rPr>
              <w:t>86.3</w:t>
            </w:r>
          </w:p>
        </w:tc>
      </w:tr>
      <w:tr w:rsidR="000817F2" w:rsidRPr="000817F2" w:rsidTr="00F615BA">
        <w:trPr>
          <w:trHeight w:val="498"/>
        </w:trPr>
        <w:tc>
          <w:tcPr>
            <w:tcW w:w="2004" w:type="dxa"/>
            <w:tcBorders>
              <w:top w:val="single" w:sz="4" w:space="0" w:color="auto"/>
              <w:left w:val="single" w:sz="4" w:space="0" w:color="auto"/>
              <w:bottom w:val="double" w:sz="4" w:space="0" w:color="auto"/>
              <w:right w:val="single" w:sz="4" w:space="0" w:color="auto"/>
            </w:tcBorders>
            <w:vAlign w:val="center"/>
          </w:tcPr>
          <w:p w:rsidR="003E5904" w:rsidRPr="000817F2" w:rsidRDefault="003E5904" w:rsidP="00F615BA">
            <w:pPr>
              <w:adjustRightInd w:val="0"/>
              <w:snapToGrid w:val="0"/>
              <w:spacing w:afterLines="30" w:after="137"/>
              <w:ind w:firstLineChars="293" w:firstLine="879"/>
              <w:rPr>
                <w:rFonts w:hAnsi="標楷體"/>
                <w:sz w:val="28"/>
                <w:szCs w:val="28"/>
              </w:rPr>
            </w:pPr>
            <w:r w:rsidRPr="000817F2">
              <w:rPr>
                <w:rFonts w:hAnsi="標楷體" w:hint="eastAsia"/>
                <w:sz w:val="28"/>
                <w:szCs w:val="28"/>
              </w:rPr>
              <w:t>口腔癌</w:t>
            </w:r>
          </w:p>
        </w:tc>
        <w:tc>
          <w:tcPr>
            <w:tcW w:w="1067" w:type="dxa"/>
            <w:tcBorders>
              <w:top w:val="single" w:sz="4" w:space="0" w:color="auto"/>
              <w:left w:val="single" w:sz="4" w:space="0" w:color="auto"/>
              <w:bottom w:val="doub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46.8 </w:t>
            </w:r>
          </w:p>
        </w:tc>
        <w:tc>
          <w:tcPr>
            <w:tcW w:w="1067" w:type="dxa"/>
            <w:tcBorders>
              <w:top w:val="single" w:sz="4" w:space="0" w:color="auto"/>
              <w:left w:val="single" w:sz="4" w:space="0" w:color="auto"/>
              <w:bottom w:val="doub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48.8 </w:t>
            </w:r>
          </w:p>
        </w:tc>
        <w:tc>
          <w:tcPr>
            <w:tcW w:w="1067" w:type="dxa"/>
            <w:tcBorders>
              <w:top w:val="single" w:sz="4" w:space="0" w:color="auto"/>
              <w:left w:val="single" w:sz="4" w:space="0" w:color="auto"/>
              <w:bottom w:val="doub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49.4 </w:t>
            </w:r>
          </w:p>
        </w:tc>
        <w:tc>
          <w:tcPr>
            <w:tcW w:w="1067" w:type="dxa"/>
            <w:tcBorders>
              <w:top w:val="single" w:sz="4" w:space="0" w:color="auto"/>
              <w:left w:val="single" w:sz="4" w:space="0" w:color="auto"/>
              <w:bottom w:val="doub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52.8 </w:t>
            </w:r>
          </w:p>
        </w:tc>
        <w:tc>
          <w:tcPr>
            <w:tcW w:w="1067" w:type="dxa"/>
            <w:tcBorders>
              <w:top w:val="single" w:sz="4" w:space="0" w:color="auto"/>
              <w:left w:val="single" w:sz="4" w:space="0" w:color="auto"/>
              <w:bottom w:val="doub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57.7 </w:t>
            </w:r>
          </w:p>
        </w:tc>
        <w:tc>
          <w:tcPr>
            <w:tcW w:w="1067" w:type="dxa"/>
            <w:tcBorders>
              <w:top w:val="single" w:sz="4" w:space="0" w:color="auto"/>
              <w:left w:val="single" w:sz="4" w:space="0" w:color="auto"/>
              <w:bottom w:val="doub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59.9 </w:t>
            </w:r>
          </w:p>
        </w:tc>
        <w:tc>
          <w:tcPr>
            <w:tcW w:w="1067" w:type="dxa"/>
            <w:tcBorders>
              <w:top w:val="single" w:sz="4" w:space="0" w:color="auto"/>
              <w:left w:val="single" w:sz="4" w:space="0" w:color="auto"/>
              <w:bottom w:val="doub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rFonts w:hAnsi="標楷體" w:hint="eastAsia"/>
                <w:spacing w:val="-20"/>
                <w:sz w:val="28"/>
                <w:szCs w:val="28"/>
              </w:rPr>
              <w:t xml:space="preserve">61.9 </w:t>
            </w:r>
          </w:p>
        </w:tc>
        <w:tc>
          <w:tcPr>
            <w:tcW w:w="1017" w:type="dxa"/>
            <w:tcBorders>
              <w:top w:val="single" w:sz="4" w:space="0" w:color="auto"/>
              <w:left w:val="single" w:sz="4" w:space="0" w:color="auto"/>
              <w:bottom w:val="double" w:sz="4" w:space="0" w:color="auto"/>
              <w:right w:val="single" w:sz="4" w:space="0" w:color="auto"/>
            </w:tcBorders>
            <w:vAlign w:val="center"/>
          </w:tcPr>
          <w:p w:rsidR="003E5904" w:rsidRPr="000817F2" w:rsidRDefault="003E5904" w:rsidP="00F615BA">
            <w:pPr>
              <w:adjustRightInd w:val="0"/>
              <w:snapToGrid w:val="0"/>
              <w:spacing w:afterLines="30" w:after="137"/>
              <w:jc w:val="right"/>
              <w:rPr>
                <w:rFonts w:hAnsi="標楷體"/>
                <w:spacing w:val="-20"/>
                <w:sz w:val="28"/>
                <w:szCs w:val="28"/>
              </w:rPr>
            </w:pPr>
            <w:r w:rsidRPr="000817F2">
              <w:rPr>
                <w:spacing w:val="-20"/>
                <w:sz w:val="28"/>
                <w:szCs w:val="28"/>
              </w:rPr>
              <w:t>66.3</w:t>
            </w:r>
          </w:p>
        </w:tc>
      </w:tr>
    </w:tbl>
    <w:p w:rsidR="003E5904" w:rsidRPr="000817F2" w:rsidRDefault="003E5904" w:rsidP="003E5904">
      <w:pPr>
        <w:pStyle w:val="af7"/>
        <w:snapToGrid w:val="0"/>
        <w:ind w:leftChars="-208" w:left="-708"/>
        <w:rPr>
          <w:rFonts w:hAnsi="標楷體"/>
          <w:sz w:val="20"/>
          <w:szCs w:val="28"/>
        </w:rPr>
      </w:pPr>
      <w:r w:rsidRPr="000817F2">
        <w:rPr>
          <w:rFonts w:hAnsi="標楷體" w:hint="eastAsia"/>
          <w:sz w:val="20"/>
          <w:szCs w:val="28"/>
        </w:rPr>
        <w:t>資料來源：衛福部健保署三代倉儲系統門診、交付機構及住</w:t>
      </w:r>
      <w:proofErr w:type="gramStart"/>
      <w:r w:rsidRPr="000817F2">
        <w:rPr>
          <w:rFonts w:hAnsi="標楷體" w:hint="eastAsia"/>
          <w:sz w:val="20"/>
          <w:szCs w:val="28"/>
        </w:rPr>
        <w:t>診明細檔</w:t>
      </w:r>
      <w:proofErr w:type="gramEnd"/>
      <w:r w:rsidRPr="000817F2">
        <w:rPr>
          <w:rFonts w:hAnsi="標楷體" w:hint="eastAsia"/>
          <w:sz w:val="20"/>
          <w:szCs w:val="28"/>
        </w:rPr>
        <w:t>，資料擷取日：109年9月8日。</w:t>
      </w:r>
    </w:p>
    <w:p w:rsidR="00096215" w:rsidRPr="000817F2" w:rsidRDefault="00096215" w:rsidP="00096215">
      <w:pPr>
        <w:pStyle w:val="3"/>
        <w:numPr>
          <w:ilvl w:val="0"/>
          <w:numId w:val="0"/>
        </w:numPr>
        <w:ind w:left="1361"/>
      </w:pPr>
    </w:p>
    <w:p w:rsidR="003E5904" w:rsidRPr="000817F2" w:rsidRDefault="003E5904" w:rsidP="00D519E6">
      <w:pPr>
        <w:pStyle w:val="2"/>
        <w:rPr>
          <w:b w:val="0"/>
        </w:rPr>
      </w:pPr>
      <w:r w:rsidRPr="000817F2">
        <w:rPr>
          <w:rFonts w:hint="eastAsia"/>
          <w:b w:val="0"/>
        </w:rPr>
        <w:t>另前財團法人國家衛生研究院「環境衛生與職業醫學組」研究員兼主任、高雄醫學大學葛應欽教授等於西元1995年於「口腔病理學及口腔內科學雜誌」發表之研究指出，</w:t>
      </w:r>
      <w:r w:rsidRPr="000817F2">
        <w:rPr>
          <w:b w:val="0"/>
        </w:rPr>
        <w:t>若同時具有嚼食檳榔、抽菸習慣者，</w:t>
      </w:r>
      <w:proofErr w:type="gramStart"/>
      <w:r w:rsidRPr="000817F2">
        <w:rPr>
          <w:rFonts w:hint="eastAsia"/>
          <w:b w:val="0"/>
        </w:rPr>
        <w:t>罹</w:t>
      </w:r>
      <w:proofErr w:type="gramEnd"/>
      <w:r w:rsidRPr="000817F2">
        <w:rPr>
          <w:rFonts w:hint="eastAsia"/>
          <w:b w:val="0"/>
        </w:rPr>
        <w:t>患</w:t>
      </w:r>
      <w:r w:rsidRPr="000817F2">
        <w:rPr>
          <w:b w:val="0"/>
        </w:rPr>
        <w:t>口腔癌的機</w:t>
      </w:r>
      <w:r w:rsidRPr="000817F2">
        <w:rPr>
          <w:rFonts w:hint="eastAsia"/>
          <w:b w:val="0"/>
        </w:rPr>
        <w:t>率</w:t>
      </w:r>
      <w:r w:rsidRPr="000817F2">
        <w:rPr>
          <w:b w:val="0"/>
        </w:rPr>
        <w:t>為一般人的89倍</w:t>
      </w:r>
      <w:r w:rsidRPr="000817F2">
        <w:rPr>
          <w:rFonts w:hint="eastAsia"/>
          <w:b w:val="0"/>
        </w:rPr>
        <w:t>，而如有</w:t>
      </w:r>
      <w:r w:rsidRPr="000817F2">
        <w:rPr>
          <w:b w:val="0"/>
          <w:u w:val="single"/>
        </w:rPr>
        <w:t>嚼檳榔、抽菸及喝酒</w:t>
      </w:r>
      <w:proofErr w:type="gramStart"/>
      <w:r w:rsidRPr="000817F2">
        <w:rPr>
          <w:b w:val="0"/>
          <w:u w:val="single"/>
        </w:rPr>
        <w:t>三</w:t>
      </w:r>
      <w:proofErr w:type="gramEnd"/>
      <w:r w:rsidRPr="000817F2">
        <w:rPr>
          <w:b w:val="0"/>
          <w:u w:val="single"/>
        </w:rPr>
        <w:t>習慣</w:t>
      </w:r>
      <w:r w:rsidRPr="000817F2">
        <w:rPr>
          <w:rFonts w:hint="eastAsia"/>
          <w:b w:val="0"/>
          <w:u w:val="single"/>
        </w:rPr>
        <w:t>皆有者</w:t>
      </w:r>
      <w:r w:rsidRPr="000817F2">
        <w:rPr>
          <w:b w:val="0"/>
          <w:u w:val="single"/>
        </w:rPr>
        <w:t>，</w:t>
      </w:r>
      <w:proofErr w:type="gramStart"/>
      <w:r w:rsidRPr="000817F2">
        <w:rPr>
          <w:rFonts w:hint="eastAsia"/>
          <w:b w:val="0"/>
          <w:u w:val="single"/>
        </w:rPr>
        <w:t>罹</w:t>
      </w:r>
      <w:proofErr w:type="gramEnd"/>
      <w:r w:rsidRPr="000817F2">
        <w:rPr>
          <w:rFonts w:hint="eastAsia"/>
          <w:b w:val="0"/>
          <w:u w:val="single"/>
        </w:rPr>
        <w:t>患口腔癌之機會</w:t>
      </w:r>
      <w:r w:rsidRPr="000817F2">
        <w:rPr>
          <w:b w:val="0"/>
          <w:u w:val="single"/>
        </w:rPr>
        <w:t>更高達123倍</w:t>
      </w:r>
      <w:r w:rsidRPr="000817F2">
        <w:rPr>
          <w:b w:val="0"/>
        </w:rPr>
        <w:t>。</w:t>
      </w:r>
      <w:r w:rsidRPr="000817F2">
        <w:rPr>
          <w:rFonts w:hint="eastAsia"/>
          <w:b w:val="0"/>
        </w:rPr>
        <w:t>由此可知，檳榔實為三大禍害之首，對於健康有極大之威脅。</w:t>
      </w:r>
    </w:p>
    <w:p w:rsidR="003E5904" w:rsidRPr="000817F2" w:rsidRDefault="003E5904" w:rsidP="003E5904">
      <w:pPr>
        <w:pStyle w:val="a3"/>
        <w:ind w:left="2748" w:hanging="480"/>
        <w:jc w:val="center"/>
      </w:pPr>
      <w:r w:rsidRPr="000817F2">
        <w:rPr>
          <w:rFonts w:hint="eastAsia"/>
        </w:rPr>
        <w:t>檳榔、</w:t>
      </w:r>
      <w:proofErr w:type="gramStart"/>
      <w:r w:rsidRPr="000817F2">
        <w:rPr>
          <w:rFonts w:hint="eastAsia"/>
        </w:rPr>
        <w:t>菸</w:t>
      </w:r>
      <w:proofErr w:type="gramEnd"/>
      <w:r w:rsidRPr="000817F2">
        <w:rPr>
          <w:rFonts w:hint="eastAsia"/>
        </w:rPr>
        <w:t>及酒對於口腔癌之致癌風險</w:t>
      </w:r>
    </w:p>
    <w:tbl>
      <w:tblPr>
        <w:tblStyle w:val="af6"/>
        <w:tblW w:w="6946" w:type="dxa"/>
        <w:tblInd w:w="1838" w:type="dxa"/>
        <w:tblLook w:val="04A0" w:firstRow="1" w:lastRow="0" w:firstColumn="1" w:lastColumn="0" w:noHBand="0" w:noVBand="1"/>
      </w:tblPr>
      <w:tblGrid>
        <w:gridCol w:w="3260"/>
        <w:gridCol w:w="3686"/>
      </w:tblGrid>
      <w:tr w:rsidR="000817F2" w:rsidRPr="000817F2" w:rsidTr="00F615BA">
        <w:trPr>
          <w:trHeight w:val="411"/>
        </w:trPr>
        <w:tc>
          <w:tcPr>
            <w:tcW w:w="3260" w:type="dxa"/>
            <w:tcBorders>
              <w:bottom w:val="single" w:sz="4" w:space="0" w:color="auto"/>
            </w:tcBorders>
            <w:shd w:val="clear" w:color="auto" w:fill="DAEEF3" w:themeFill="accent5" w:themeFillTint="33"/>
          </w:tcPr>
          <w:p w:rsidR="003E5904" w:rsidRPr="000817F2" w:rsidRDefault="003E5904" w:rsidP="00F615BA">
            <w:pPr>
              <w:pStyle w:val="af7"/>
              <w:adjustRightInd w:val="0"/>
              <w:snapToGrid w:val="0"/>
              <w:ind w:leftChars="-32" w:left="-109"/>
              <w:jc w:val="center"/>
              <w:rPr>
                <w:rFonts w:hAnsi="標楷體"/>
                <w:sz w:val="28"/>
                <w:szCs w:val="28"/>
              </w:rPr>
            </w:pPr>
            <w:r w:rsidRPr="000817F2">
              <w:rPr>
                <w:rFonts w:hAnsi="標楷體" w:hint="eastAsia"/>
                <w:sz w:val="28"/>
                <w:szCs w:val="28"/>
              </w:rPr>
              <w:t>危險因子</w:t>
            </w:r>
          </w:p>
        </w:tc>
        <w:tc>
          <w:tcPr>
            <w:tcW w:w="3686" w:type="dxa"/>
            <w:tcBorders>
              <w:bottom w:val="single" w:sz="4" w:space="0" w:color="auto"/>
            </w:tcBorders>
            <w:shd w:val="clear" w:color="auto" w:fill="DAEEF3" w:themeFill="accent5" w:themeFillTint="33"/>
          </w:tcPr>
          <w:p w:rsidR="003E5904" w:rsidRPr="000817F2" w:rsidRDefault="003E5904" w:rsidP="00F615BA">
            <w:pPr>
              <w:pStyle w:val="af7"/>
              <w:adjustRightInd w:val="0"/>
              <w:snapToGrid w:val="0"/>
              <w:ind w:leftChars="0" w:left="0"/>
              <w:jc w:val="center"/>
              <w:rPr>
                <w:rFonts w:hAnsi="標楷體"/>
                <w:sz w:val="28"/>
                <w:szCs w:val="28"/>
              </w:rPr>
            </w:pPr>
            <w:proofErr w:type="gramStart"/>
            <w:r w:rsidRPr="000817F2">
              <w:rPr>
                <w:rFonts w:hAnsi="標楷體" w:hint="eastAsia"/>
                <w:sz w:val="28"/>
                <w:szCs w:val="28"/>
              </w:rPr>
              <w:t>罹</w:t>
            </w:r>
            <w:proofErr w:type="gramEnd"/>
            <w:r w:rsidRPr="000817F2">
              <w:rPr>
                <w:rFonts w:hAnsi="標楷體" w:hint="eastAsia"/>
                <w:sz w:val="28"/>
                <w:szCs w:val="28"/>
              </w:rPr>
              <w:t>患口腔癌危險機率倍數</w:t>
            </w:r>
          </w:p>
        </w:tc>
      </w:tr>
      <w:tr w:rsidR="000817F2" w:rsidRPr="000817F2" w:rsidTr="00F615BA">
        <w:trPr>
          <w:trHeight w:val="50"/>
        </w:trPr>
        <w:tc>
          <w:tcPr>
            <w:tcW w:w="3260" w:type="dxa"/>
            <w:shd w:val="clear" w:color="auto" w:fill="auto"/>
          </w:tcPr>
          <w:p w:rsidR="003E5904" w:rsidRPr="000817F2" w:rsidRDefault="003E5904" w:rsidP="00F615BA">
            <w:pPr>
              <w:pStyle w:val="af7"/>
              <w:adjustRightInd w:val="0"/>
              <w:snapToGrid w:val="0"/>
              <w:ind w:leftChars="-32" w:left="-109" w:firstLineChars="94" w:firstLine="282"/>
              <w:jc w:val="left"/>
              <w:rPr>
                <w:rFonts w:hAnsi="標楷體"/>
                <w:sz w:val="28"/>
                <w:szCs w:val="28"/>
              </w:rPr>
            </w:pPr>
            <w:r w:rsidRPr="000817F2">
              <w:rPr>
                <w:rFonts w:hAnsi="標楷體" w:hint="eastAsia"/>
                <w:sz w:val="28"/>
                <w:szCs w:val="28"/>
              </w:rPr>
              <w:t>酗酒+抽菸+嚼食檳榔</w:t>
            </w:r>
          </w:p>
        </w:tc>
        <w:tc>
          <w:tcPr>
            <w:tcW w:w="3686" w:type="dxa"/>
            <w:shd w:val="clear" w:color="auto" w:fill="auto"/>
          </w:tcPr>
          <w:p w:rsidR="003E5904" w:rsidRPr="000817F2" w:rsidRDefault="003E5904" w:rsidP="00F615BA">
            <w:pPr>
              <w:pStyle w:val="af7"/>
              <w:adjustRightInd w:val="0"/>
              <w:snapToGrid w:val="0"/>
              <w:ind w:leftChars="0" w:left="0"/>
              <w:jc w:val="center"/>
              <w:rPr>
                <w:rFonts w:hAnsi="標楷體"/>
                <w:sz w:val="28"/>
                <w:szCs w:val="28"/>
              </w:rPr>
            </w:pPr>
            <w:r w:rsidRPr="000817F2">
              <w:rPr>
                <w:rFonts w:hAnsi="標楷體" w:hint="eastAsia"/>
                <w:sz w:val="28"/>
                <w:szCs w:val="28"/>
              </w:rPr>
              <w:t>123倍</w:t>
            </w:r>
          </w:p>
        </w:tc>
      </w:tr>
      <w:tr w:rsidR="000817F2" w:rsidRPr="000817F2" w:rsidTr="00F615BA">
        <w:trPr>
          <w:trHeight w:val="411"/>
        </w:trPr>
        <w:tc>
          <w:tcPr>
            <w:tcW w:w="3260" w:type="dxa"/>
            <w:shd w:val="clear" w:color="auto" w:fill="auto"/>
          </w:tcPr>
          <w:p w:rsidR="003E5904" w:rsidRPr="000817F2" w:rsidRDefault="003E5904" w:rsidP="00F615BA">
            <w:pPr>
              <w:pStyle w:val="af7"/>
              <w:adjustRightInd w:val="0"/>
              <w:snapToGrid w:val="0"/>
              <w:ind w:leftChars="-32" w:left="-109" w:firstLineChars="94" w:firstLine="282"/>
              <w:jc w:val="left"/>
              <w:rPr>
                <w:rFonts w:hAnsi="標楷體"/>
                <w:sz w:val="28"/>
                <w:szCs w:val="28"/>
              </w:rPr>
            </w:pPr>
            <w:r w:rsidRPr="000817F2">
              <w:rPr>
                <w:rFonts w:hAnsi="標楷體" w:hint="eastAsia"/>
                <w:sz w:val="28"/>
                <w:szCs w:val="28"/>
              </w:rPr>
              <w:t>抽菸+嚼食</w:t>
            </w:r>
            <w:proofErr w:type="gramStart"/>
            <w:r w:rsidRPr="000817F2">
              <w:rPr>
                <w:rFonts w:hAnsi="標楷體" w:hint="eastAsia"/>
                <w:sz w:val="28"/>
                <w:szCs w:val="28"/>
              </w:rPr>
              <w:t>檳</w:t>
            </w:r>
            <w:proofErr w:type="gramEnd"/>
          </w:p>
        </w:tc>
        <w:tc>
          <w:tcPr>
            <w:tcW w:w="3686" w:type="dxa"/>
            <w:shd w:val="clear" w:color="auto" w:fill="auto"/>
          </w:tcPr>
          <w:p w:rsidR="003E5904" w:rsidRPr="000817F2" w:rsidRDefault="003E5904" w:rsidP="00F615BA">
            <w:pPr>
              <w:pStyle w:val="af7"/>
              <w:adjustRightInd w:val="0"/>
              <w:snapToGrid w:val="0"/>
              <w:ind w:leftChars="0" w:left="0"/>
              <w:jc w:val="center"/>
              <w:rPr>
                <w:rFonts w:hAnsi="標楷體"/>
                <w:sz w:val="28"/>
                <w:szCs w:val="28"/>
              </w:rPr>
            </w:pPr>
            <w:r w:rsidRPr="000817F2">
              <w:rPr>
                <w:rFonts w:hAnsi="標楷體" w:hint="eastAsia"/>
                <w:sz w:val="28"/>
                <w:szCs w:val="28"/>
              </w:rPr>
              <w:t>89倍</w:t>
            </w:r>
          </w:p>
        </w:tc>
      </w:tr>
      <w:tr w:rsidR="000817F2" w:rsidRPr="000817F2" w:rsidTr="00F615BA">
        <w:trPr>
          <w:trHeight w:val="411"/>
        </w:trPr>
        <w:tc>
          <w:tcPr>
            <w:tcW w:w="3260" w:type="dxa"/>
            <w:shd w:val="clear" w:color="auto" w:fill="auto"/>
          </w:tcPr>
          <w:p w:rsidR="003E5904" w:rsidRPr="000817F2" w:rsidRDefault="003E5904" w:rsidP="00F615BA">
            <w:pPr>
              <w:pStyle w:val="af7"/>
              <w:adjustRightInd w:val="0"/>
              <w:snapToGrid w:val="0"/>
              <w:ind w:leftChars="-32" w:left="-109" w:firstLineChars="94" w:firstLine="282"/>
              <w:jc w:val="left"/>
              <w:rPr>
                <w:rFonts w:hAnsi="標楷體"/>
                <w:sz w:val="28"/>
                <w:szCs w:val="28"/>
              </w:rPr>
            </w:pPr>
            <w:r w:rsidRPr="000817F2">
              <w:rPr>
                <w:rFonts w:hAnsi="標楷體" w:hint="eastAsia"/>
                <w:sz w:val="28"/>
                <w:szCs w:val="28"/>
              </w:rPr>
              <w:t>酗酒+嚼食檳榔</w:t>
            </w:r>
          </w:p>
        </w:tc>
        <w:tc>
          <w:tcPr>
            <w:tcW w:w="3686" w:type="dxa"/>
            <w:shd w:val="clear" w:color="auto" w:fill="auto"/>
          </w:tcPr>
          <w:p w:rsidR="003E5904" w:rsidRPr="000817F2" w:rsidRDefault="003E5904" w:rsidP="00F615BA">
            <w:pPr>
              <w:pStyle w:val="af7"/>
              <w:adjustRightInd w:val="0"/>
              <w:snapToGrid w:val="0"/>
              <w:ind w:leftChars="0" w:left="0"/>
              <w:jc w:val="center"/>
              <w:rPr>
                <w:rFonts w:hAnsi="標楷體"/>
                <w:sz w:val="28"/>
                <w:szCs w:val="28"/>
              </w:rPr>
            </w:pPr>
            <w:r w:rsidRPr="000817F2">
              <w:rPr>
                <w:rFonts w:hAnsi="標楷體" w:hint="eastAsia"/>
                <w:sz w:val="28"/>
                <w:szCs w:val="28"/>
              </w:rPr>
              <w:t>54倍</w:t>
            </w:r>
          </w:p>
        </w:tc>
      </w:tr>
      <w:tr w:rsidR="000817F2" w:rsidRPr="000817F2" w:rsidTr="00F615BA">
        <w:trPr>
          <w:trHeight w:val="411"/>
        </w:trPr>
        <w:tc>
          <w:tcPr>
            <w:tcW w:w="3260" w:type="dxa"/>
            <w:shd w:val="clear" w:color="auto" w:fill="auto"/>
          </w:tcPr>
          <w:p w:rsidR="003E5904" w:rsidRPr="000817F2" w:rsidRDefault="003E5904" w:rsidP="00F615BA">
            <w:pPr>
              <w:pStyle w:val="af7"/>
              <w:adjustRightInd w:val="0"/>
              <w:snapToGrid w:val="0"/>
              <w:ind w:leftChars="-32" w:left="-109" w:firstLineChars="94" w:firstLine="282"/>
              <w:jc w:val="left"/>
              <w:rPr>
                <w:rFonts w:hAnsi="標楷體"/>
                <w:sz w:val="28"/>
                <w:szCs w:val="28"/>
              </w:rPr>
            </w:pPr>
            <w:r w:rsidRPr="000817F2">
              <w:rPr>
                <w:rFonts w:hAnsi="標楷體" w:hint="eastAsia"/>
                <w:sz w:val="28"/>
                <w:szCs w:val="28"/>
              </w:rPr>
              <w:t>嚼食檳榔</w:t>
            </w:r>
          </w:p>
        </w:tc>
        <w:tc>
          <w:tcPr>
            <w:tcW w:w="3686" w:type="dxa"/>
            <w:shd w:val="clear" w:color="auto" w:fill="auto"/>
          </w:tcPr>
          <w:p w:rsidR="003E5904" w:rsidRPr="000817F2" w:rsidRDefault="003E5904" w:rsidP="00F615BA">
            <w:pPr>
              <w:pStyle w:val="af7"/>
              <w:adjustRightInd w:val="0"/>
              <w:snapToGrid w:val="0"/>
              <w:ind w:leftChars="0" w:left="0"/>
              <w:jc w:val="center"/>
              <w:rPr>
                <w:rFonts w:hAnsi="標楷體"/>
                <w:sz w:val="28"/>
                <w:szCs w:val="28"/>
              </w:rPr>
            </w:pPr>
            <w:r w:rsidRPr="000817F2">
              <w:rPr>
                <w:rFonts w:hAnsi="標楷體" w:hint="eastAsia"/>
                <w:sz w:val="28"/>
                <w:szCs w:val="28"/>
              </w:rPr>
              <w:t>28倍</w:t>
            </w:r>
          </w:p>
        </w:tc>
      </w:tr>
      <w:tr w:rsidR="000817F2" w:rsidRPr="000817F2" w:rsidTr="00F615BA">
        <w:trPr>
          <w:trHeight w:val="411"/>
        </w:trPr>
        <w:tc>
          <w:tcPr>
            <w:tcW w:w="3260" w:type="dxa"/>
            <w:shd w:val="clear" w:color="auto" w:fill="auto"/>
          </w:tcPr>
          <w:p w:rsidR="003E5904" w:rsidRPr="000817F2" w:rsidRDefault="003E5904" w:rsidP="00F615BA">
            <w:pPr>
              <w:pStyle w:val="af7"/>
              <w:adjustRightInd w:val="0"/>
              <w:snapToGrid w:val="0"/>
              <w:ind w:leftChars="-32" w:left="-109" w:firstLineChars="94" w:firstLine="282"/>
              <w:jc w:val="left"/>
              <w:rPr>
                <w:rFonts w:hAnsi="標楷體"/>
                <w:sz w:val="28"/>
                <w:szCs w:val="28"/>
              </w:rPr>
            </w:pPr>
            <w:r w:rsidRPr="000817F2">
              <w:rPr>
                <w:rFonts w:hAnsi="標楷體" w:hint="eastAsia"/>
                <w:sz w:val="28"/>
                <w:szCs w:val="28"/>
              </w:rPr>
              <w:t>酗酒+抽菸</w:t>
            </w:r>
          </w:p>
        </w:tc>
        <w:tc>
          <w:tcPr>
            <w:tcW w:w="3686" w:type="dxa"/>
            <w:shd w:val="clear" w:color="auto" w:fill="auto"/>
          </w:tcPr>
          <w:p w:rsidR="003E5904" w:rsidRPr="000817F2" w:rsidRDefault="003E5904" w:rsidP="00F615BA">
            <w:pPr>
              <w:pStyle w:val="af7"/>
              <w:adjustRightInd w:val="0"/>
              <w:snapToGrid w:val="0"/>
              <w:ind w:leftChars="0" w:left="0"/>
              <w:jc w:val="center"/>
              <w:rPr>
                <w:rFonts w:hAnsi="標楷體"/>
                <w:sz w:val="28"/>
                <w:szCs w:val="28"/>
              </w:rPr>
            </w:pPr>
            <w:r w:rsidRPr="000817F2">
              <w:rPr>
                <w:rFonts w:hAnsi="標楷體" w:hint="eastAsia"/>
                <w:sz w:val="28"/>
                <w:szCs w:val="28"/>
              </w:rPr>
              <w:t>22倍</w:t>
            </w:r>
          </w:p>
        </w:tc>
      </w:tr>
      <w:tr w:rsidR="000817F2" w:rsidRPr="000817F2" w:rsidTr="00F615BA">
        <w:trPr>
          <w:trHeight w:val="411"/>
        </w:trPr>
        <w:tc>
          <w:tcPr>
            <w:tcW w:w="3260" w:type="dxa"/>
            <w:shd w:val="clear" w:color="auto" w:fill="auto"/>
          </w:tcPr>
          <w:p w:rsidR="003E5904" w:rsidRPr="000817F2" w:rsidRDefault="003E5904" w:rsidP="00F615BA">
            <w:pPr>
              <w:pStyle w:val="af7"/>
              <w:adjustRightInd w:val="0"/>
              <w:snapToGrid w:val="0"/>
              <w:ind w:leftChars="-32" w:left="-109" w:firstLineChars="94" w:firstLine="320"/>
              <w:jc w:val="left"/>
              <w:rPr>
                <w:rFonts w:hAnsi="標楷體"/>
                <w:sz w:val="28"/>
                <w:szCs w:val="28"/>
              </w:rPr>
            </w:pPr>
            <w:r w:rsidRPr="000817F2">
              <w:rPr>
                <w:rFonts w:hint="eastAsia"/>
              </w:rPr>
              <w:t>抽</w:t>
            </w:r>
            <w:r w:rsidRPr="000817F2">
              <w:t>菸</w:t>
            </w:r>
          </w:p>
        </w:tc>
        <w:tc>
          <w:tcPr>
            <w:tcW w:w="3686" w:type="dxa"/>
            <w:shd w:val="clear" w:color="auto" w:fill="auto"/>
          </w:tcPr>
          <w:p w:rsidR="003E5904" w:rsidRPr="000817F2" w:rsidRDefault="003E5904" w:rsidP="00F615BA">
            <w:pPr>
              <w:pStyle w:val="af7"/>
              <w:adjustRightInd w:val="0"/>
              <w:snapToGrid w:val="0"/>
              <w:ind w:leftChars="0" w:left="0"/>
              <w:jc w:val="center"/>
              <w:rPr>
                <w:rFonts w:hAnsi="標楷體"/>
                <w:sz w:val="28"/>
                <w:szCs w:val="28"/>
              </w:rPr>
            </w:pPr>
            <w:r w:rsidRPr="000817F2">
              <w:rPr>
                <w:rFonts w:hAnsi="標楷體" w:hint="eastAsia"/>
                <w:sz w:val="28"/>
                <w:szCs w:val="28"/>
              </w:rPr>
              <w:t>18倍</w:t>
            </w:r>
          </w:p>
        </w:tc>
      </w:tr>
      <w:tr w:rsidR="000817F2" w:rsidRPr="000817F2" w:rsidTr="00F615BA">
        <w:trPr>
          <w:trHeight w:val="411"/>
        </w:trPr>
        <w:tc>
          <w:tcPr>
            <w:tcW w:w="3260" w:type="dxa"/>
            <w:shd w:val="clear" w:color="auto" w:fill="auto"/>
          </w:tcPr>
          <w:p w:rsidR="003E5904" w:rsidRPr="000817F2" w:rsidRDefault="003E5904" w:rsidP="00F615BA">
            <w:pPr>
              <w:pStyle w:val="af7"/>
              <w:adjustRightInd w:val="0"/>
              <w:snapToGrid w:val="0"/>
              <w:ind w:leftChars="-32" w:left="-109" w:firstLineChars="94" w:firstLine="320"/>
              <w:jc w:val="left"/>
            </w:pPr>
            <w:r w:rsidRPr="000817F2">
              <w:rPr>
                <w:rFonts w:hint="eastAsia"/>
              </w:rPr>
              <w:t>酗酒</w:t>
            </w:r>
          </w:p>
        </w:tc>
        <w:tc>
          <w:tcPr>
            <w:tcW w:w="3686" w:type="dxa"/>
            <w:shd w:val="clear" w:color="auto" w:fill="auto"/>
          </w:tcPr>
          <w:p w:rsidR="003E5904" w:rsidRPr="000817F2" w:rsidRDefault="003E5904" w:rsidP="00F615BA">
            <w:pPr>
              <w:pStyle w:val="af7"/>
              <w:adjustRightInd w:val="0"/>
              <w:snapToGrid w:val="0"/>
              <w:ind w:leftChars="0" w:left="0"/>
              <w:jc w:val="center"/>
              <w:rPr>
                <w:rFonts w:hAnsi="標楷體"/>
                <w:sz w:val="28"/>
                <w:szCs w:val="28"/>
              </w:rPr>
            </w:pPr>
            <w:r w:rsidRPr="000817F2">
              <w:rPr>
                <w:rFonts w:hAnsi="標楷體" w:hint="eastAsia"/>
                <w:sz w:val="28"/>
                <w:szCs w:val="28"/>
              </w:rPr>
              <w:t>10倍</w:t>
            </w:r>
          </w:p>
        </w:tc>
      </w:tr>
    </w:tbl>
    <w:p w:rsidR="003E5904" w:rsidRPr="000817F2" w:rsidRDefault="003E5904" w:rsidP="003E5904">
      <w:pPr>
        <w:spacing w:line="360" w:lineRule="exact"/>
        <w:ind w:leftChars="542" w:left="2409" w:hangingChars="217" w:hanging="565"/>
        <w:rPr>
          <w:sz w:val="24"/>
          <w:szCs w:val="24"/>
        </w:rPr>
      </w:pPr>
      <w:proofErr w:type="gramStart"/>
      <w:r w:rsidRPr="000817F2">
        <w:rPr>
          <w:rFonts w:hint="eastAsia"/>
          <w:sz w:val="24"/>
          <w:szCs w:val="24"/>
        </w:rPr>
        <w:t>註</w:t>
      </w:r>
      <w:proofErr w:type="gramEnd"/>
      <w:r w:rsidRPr="000817F2">
        <w:rPr>
          <w:rFonts w:hint="eastAsia"/>
          <w:sz w:val="24"/>
          <w:szCs w:val="24"/>
        </w:rPr>
        <w:t>：</w:t>
      </w:r>
      <w:proofErr w:type="gramStart"/>
      <w:r w:rsidRPr="000817F2">
        <w:rPr>
          <w:rFonts w:hint="eastAsia"/>
          <w:sz w:val="24"/>
          <w:szCs w:val="24"/>
        </w:rPr>
        <w:t>罹</w:t>
      </w:r>
      <w:proofErr w:type="gramEnd"/>
      <w:r w:rsidRPr="000817F2">
        <w:rPr>
          <w:rFonts w:hint="eastAsia"/>
          <w:sz w:val="24"/>
          <w:szCs w:val="24"/>
        </w:rPr>
        <w:t>患口腔癌的機率倍數與</w:t>
      </w:r>
      <w:proofErr w:type="gramStart"/>
      <w:r w:rsidRPr="000817F2">
        <w:rPr>
          <w:rFonts w:hint="eastAsia"/>
          <w:sz w:val="24"/>
          <w:szCs w:val="24"/>
        </w:rPr>
        <w:t>不</w:t>
      </w:r>
      <w:proofErr w:type="gramEnd"/>
      <w:r w:rsidRPr="000817F2">
        <w:rPr>
          <w:rFonts w:hint="eastAsia"/>
          <w:sz w:val="24"/>
          <w:szCs w:val="24"/>
        </w:rPr>
        <w:t>抽菸、不喝酒、不嚼檳榔者相</w:t>
      </w:r>
      <w:r w:rsidRPr="000817F2">
        <w:rPr>
          <w:rFonts w:hint="eastAsia"/>
          <w:sz w:val="24"/>
          <w:szCs w:val="24"/>
        </w:rPr>
        <w:lastRenderedPageBreak/>
        <w:t>比(設為1倍)。</w:t>
      </w:r>
    </w:p>
    <w:p w:rsidR="003E5904" w:rsidRPr="000817F2" w:rsidRDefault="003E5904" w:rsidP="003E5904">
      <w:pPr>
        <w:spacing w:line="360" w:lineRule="exact"/>
        <w:ind w:leftChars="542" w:left="2391" w:hangingChars="217" w:hanging="547"/>
        <w:rPr>
          <w:spacing w:val="-4"/>
        </w:rPr>
      </w:pPr>
      <w:r w:rsidRPr="000817F2">
        <w:rPr>
          <w:rFonts w:hint="eastAsia"/>
          <w:spacing w:val="-4"/>
          <w:sz w:val="24"/>
          <w:szCs w:val="24"/>
        </w:rPr>
        <w:t>資料來源：葛應欽等(1995)，臺灣之口腔癌與嚼檳榔、吸菸、酒精</w:t>
      </w:r>
      <w:proofErr w:type="gramStart"/>
      <w:r w:rsidRPr="000817F2">
        <w:rPr>
          <w:rFonts w:hint="eastAsia"/>
          <w:spacing w:val="-4"/>
          <w:sz w:val="24"/>
          <w:szCs w:val="24"/>
        </w:rPr>
        <w:t>消耗間的關聯</w:t>
      </w:r>
      <w:proofErr w:type="gramEnd"/>
      <w:r w:rsidRPr="000817F2">
        <w:rPr>
          <w:rFonts w:hint="eastAsia"/>
          <w:spacing w:val="-4"/>
          <w:sz w:val="24"/>
          <w:szCs w:val="24"/>
        </w:rPr>
        <w:t>性。口腔病理學及口腔內科學雜誌，第24卷。</w:t>
      </w:r>
    </w:p>
    <w:p w:rsidR="003E5904" w:rsidRPr="000817F2" w:rsidRDefault="003E5904" w:rsidP="003E5904"/>
    <w:p w:rsidR="003E5904" w:rsidRPr="000817F2" w:rsidRDefault="003E5904" w:rsidP="00D519E6">
      <w:pPr>
        <w:pStyle w:val="3"/>
        <w:numPr>
          <w:ilvl w:val="0"/>
          <w:numId w:val="0"/>
        </w:numPr>
        <w:ind w:leftChars="300" w:left="1020" w:firstLineChars="225" w:firstLine="729"/>
        <w:rPr>
          <w:spacing w:val="-8"/>
        </w:rPr>
      </w:pPr>
      <w:proofErr w:type="gramStart"/>
      <w:r w:rsidRPr="000817F2">
        <w:rPr>
          <w:rFonts w:hint="eastAsia"/>
          <w:spacing w:val="-8"/>
        </w:rPr>
        <w:t>再者，</w:t>
      </w:r>
      <w:proofErr w:type="gramEnd"/>
      <w:r w:rsidRPr="000817F2">
        <w:rPr>
          <w:rFonts w:hint="eastAsia"/>
          <w:spacing w:val="-8"/>
        </w:rPr>
        <w:t>葛教授於</w:t>
      </w:r>
      <w:r w:rsidRPr="000817F2">
        <w:rPr>
          <w:rFonts w:hint="eastAsia"/>
        </w:rPr>
        <w:t>西元</w:t>
      </w:r>
      <w:r w:rsidRPr="000817F2">
        <w:rPr>
          <w:rFonts w:hint="eastAsia"/>
          <w:spacing w:val="-8"/>
        </w:rPr>
        <w:t>2005年及2006年研究進一步指出，</w:t>
      </w:r>
      <w:r w:rsidRPr="000817F2">
        <w:rPr>
          <w:rFonts w:hint="eastAsia"/>
          <w:spacing w:val="-8"/>
          <w:u w:val="single"/>
        </w:rPr>
        <w:t>檳榔亦與食道癌形成相關</w:t>
      </w:r>
      <w:r w:rsidRPr="000817F2">
        <w:rPr>
          <w:rFonts w:hint="eastAsia"/>
          <w:spacing w:val="-8"/>
        </w:rPr>
        <w:t>，主要在於助長</w:t>
      </w:r>
      <w:proofErr w:type="gramStart"/>
      <w:r w:rsidRPr="000817F2">
        <w:rPr>
          <w:rFonts w:hint="eastAsia"/>
          <w:spacing w:val="-8"/>
        </w:rPr>
        <w:t>菸</w:t>
      </w:r>
      <w:proofErr w:type="gramEnd"/>
      <w:r w:rsidRPr="000817F2">
        <w:rPr>
          <w:rFonts w:hint="eastAsia"/>
          <w:spacing w:val="-8"/>
        </w:rPr>
        <w:t>與酒的致癌作用，</w:t>
      </w:r>
      <w:r w:rsidRPr="000817F2">
        <w:rPr>
          <w:rFonts w:hint="eastAsia"/>
          <w:spacing w:val="-8"/>
          <w:u w:val="single"/>
        </w:rPr>
        <w:t>同時具有嚼食檳榔、抽菸及喝酒</w:t>
      </w:r>
      <w:proofErr w:type="gramStart"/>
      <w:r w:rsidRPr="000817F2">
        <w:rPr>
          <w:rFonts w:hint="eastAsia"/>
          <w:spacing w:val="-8"/>
          <w:u w:val="single"/>
        </w:rPr>
        <w:t>三</w:t>
      </w:r>
      <w:proofErr w:type="gramEnd"/>
      <w:r w:rsidRPr="000817F2">
        <w:rPr>
          <w:rFonts w:hint="eastAsia"/>
          <w:spacing w:val="-8"/>
          <w:u w:val="single"/>
        </w:rPr>
        <w:t>習慣者，</w:t>
      </w:r>
      <w:proofErr w:type="gramStart"/>
      <w:r w:rsidRPr="000817F2">
        <w:rPr>
          <w:rFonts w:hint="eastAsia"/>
          <w:spacing w:val="-8"/>
          <w:u w:val="single"/>
        </w:rPr>
        <w:t>罹</w:t>
      </w:r>
      <w:proofErr w:type="gramEnd"/>
      <w:r w:rsidRPr="000817F2">
        <w:rPr>
          <w:rFonts w:hint="eastAsia"/>
          <w:spacing w:val="-8"/>
          <w:u w:val="single"/>
        </w:rPr>
        <w:t>患食道癌的機率為一般人的195.6倍</w:t>
      </w:r>
      <w:r w:rsidRPr="000817F2">
        <w:rPr>
          <w:rStyle w:val="afc"/>
          <w:spacing w:val="-8"/>
        </w:rPr>
        <w:footnoteReference w:id="2"/>
      </w:r>
      <w:r w:rsidRPr="000817F2">
        <w:rPr>
          <w:rFonts w:hint="eastAsia"/>
          <w:spacing w:val="-8"/>
        </w:rPr>
        <w:t>，詳如下表。</w:t>
      </w:r>
    </w:p>
    <w:p w:rsidR="003E5904" w:rsidRPr="000817F2" w:rsidRDefault="003E5904" w:rsidP="003E5904">
      <w:pPr>
        <w:pStyle w:val="a3"/>
        <w:ind w:left="2748" w:hanging="763"/>
      </w:pPr>
      <w:r w:rsidRPr="000817F2">
        <w:rPr>
          <w:rFonts w:hint="eastAsia"/>
        </w:rPr>
        <w:t>檳榔、</w:t>
      </w:r>
      <w:proofErr w:type="gramStart"/>
      <w:r w:rsidRPr="000817F2">
        <w:rPr>
          <w:rFonts w:hint="eastAsia"/>
        </w:rPr>
        <w:t>菸</w:t>
      </w:r>
      <w:proofErr w:type="gramEnd"/>
      <w:r w:rsidRPr="000817F2">
        <w:rPr>
          <w:rFonts w:hint="eastAsia"/>
        </w:rPr>
        <w:t>、</w:t>
      </w:r>
      <w:proofErr w:type="gramStart"/>
      <w:r w:rsidRPr="000817F2">
        <w:rPr>
          <w:rFonts w:hint="eastAsia"/>
        </w:rPr>
        <w:t>酒對上呼吸道</w:t>
      </w:r>
      <w:proofErr w:type="gramEnd"/>
      <w:r w:rsidRPr="000817F2">
        <w:rPr>
          <w:rFonts w:hint="eastAsia"/>
        </w:rPr>
        <w:t>、上消化道的致癌風險</w:t>
      </w:r>
    </w:p>
    <w:tbl>
      <w:tblPr>
        <w:tblStyle w:val="af6"/>
        <w:tblW w:w="0" w:type="auto"/>
        <w:tblInd w:w="1413" w:type="dxa"/>
        <w:tblLook w:val="04A0" w:firstRow="1" w:lastRow="0" w:firstColumn="1" w:lastColumn="0" w:noHBand="0" w:noVBand="1"/>
      </w:tblPr>
      <w:tblGrid>
        <w:gridCol w:w="1134"/>
        <w:gridCol w:w="2324"/>
        <w:gridCol w:w="2070"/>
        <w:gridCol w:w="1722"/>
      </w:tblGrid>
      <w:tr w:rsidR="000817F2" w:rsidRPr="000817F2" w:rsidTr="00F615BA">
        <w:tc>
          <w:tcPr>
            <w:tcW w:w="1134" w:type="dxa"/>
            <w:shd w:val="clear" w:color="auto" w:fill="DAEEF3" w:themeFill="accent5" w:themeFillTint="33"/>
          </w:tcPr>
          <w:p w:rsidR="003E5904" w:rsidRPr="000817F2" w:rsidRDefault="003E5904" w:rsidP="00F615BA">
            <w:pPr>
              <w:pStyle w:val="3"/>
              <w:numPr>
                <w:ilvl w:val="0"/>
                <w:numId w:val="0"/>
              </w:numPr>
              <w:rPr>
                <w:sz w:val="28"/>
                <w:szCs w:val="28"/>
              </w:rPr>
            </w:pPr>
          </w:p>
        </w:tc>
        <w:tc>
          <w:tcPr>
            <w:tcW w:w="2324" w:type="dxa"/>
            <w:shd w:val="clear" w:color="auto" w:fill="DAEEF3" w:themeFill="accent5" w:themeFillTint="33"/>
          </w:tcPr>
          <w:p w:rsidR="003E5904" w:rsidRPr="000817F2" w:rsidRDefault="003E5904" w:rsidP="00F615BA">
            <w:pPr>
              <w:pStyle w:val="3"/>
              <w:numPr>
                <w:ilvl w:val="0"/>
                <w:numId w:val="0"/>
              </w:numPr>
              <w:jc w:val="center"/>
              <w:rPr>
                <w:sz w:val="28"/>
                <w:szCs w:val="28"/>
              </w:rPr>
            </w:pPr>
            <w:r w:rsidRPr="000817F2">
              <w:rPr>
                <w:rFonts w:hint="eastAsia"/>
                <w:sz w:val="28"/>
                <w:szCs w:val="28"/>
              </w:rPr>
              <w:t>主要危險因子</w:t>
            </w:r>
          </w:p>
        </w:tc>
        <w:tc>
          <w:tcPr>
            <w:tcW w:w="2070" w:type="dxa"/>
            <w:shd w:val="clear" w:color="auto" w:fill="DAEEF3" w:themeFill="accent5" w:themeFillTint="33"/>
          </w:tcPr>
          <w:p w:rsidR="003E5904" w:rsidRPr="000817F2" w:rsidRDefault="003E5904" w:rsidP="00F615BA">
            <w:pPr>
              <w:pStyle w:val="3"/>
              <w:numPr>
                <w:ilvl w:val="0"/>
                <w:numId w:val="0"/>
              </w:numPr>
              <w:jc w:val="center"/>
              <w:rPr>
                <w:sz w:val="28"/>
                <w:szCs w:val="28"/>
              </w:rPr>
            </w:pPr>
            <w:r w:rsidRPr="000817F2">
              <w:rPr>
                <w:rFonts w:hint="eastAsia"/>
                <w:sz w:val="28"/>
                <w:szCs w:val="28"/>
              </w:rPr>
              <w:t>次要危險因子</w:t>
            </w:r>
          </w:p>
        </w:tc>
        <w:tc>
          <w:tcPr>
            <w:tcW w:w="1722" w:type="dxa"/>
            <w:shd w:val="clear" w:color="auto" w:fill="DAEEF3" w:themeFill="accent5" w:themeFillTint="33"/>
          </w:tcPr>
          <w:p w:rsidR="003E5904" w:rsidRPr="000817F2" w:rsidRDefault="003E5904" w:rsidP="00F615BA">
            <w:pPr>
              <w:pStyle w:val="3"/>
              <w:numPr>
                <w:ilvl w:val="0"/>
                <w:numId w:val="0"/>
              </w:numPr>
              <w:jc w:val="center"/>
              <w:rPr>
                <w:sz w:val="28"/>
                <w:szCs w:val="28"/>
              </w:rPr>
            </w:pPr>
            <w:proofErr w:type="gramStart"/>
            <w:r w:rsidRPr="000817F2">
              <w:rPr>
                <w:rFonts w:hint="eastAsia"/>
                <w:sz w:val="28"/>
                <w:szCs w:val="28"/>
              </w:rPr>
              <w:t>菸</w:t>
            </w:r>
            <w:proofErr w:type="gramEnd"/>
            <w:r w:rsidRPr="000817F2">
              <w:rPr>
                <w:rFonts w:hint="eastAsia"/>
                <w:sz w:val="28"/>
                <w:szCs w:val="28"/>
              </w:rPr>
              <w:t>+酒+檳榔</w:t>
            </w:r>
          </w:p>
        </w:tc>
      </w:tr>
      <w:tr w:rsidR="000817F2" w:rsidRPr="000817F2" w:rsidTr="00F615BA">
        <w:tc>
          <w:tcPr>
            <w:tcW w:w="1134" w:type="dxa"/>
            <w:vAlign w:val="center"/>
          </w:tcPr>
          <w:p w:rsidR="003E5904" w:rsidRPr="000817F2" w:rsidRDefault="003E5904" w:rsidP="00F615BA">
            <w:pPr>
              <w:widowControl/>
              <w:snapToGrid w:val="0"/>
              <w:spacing w:line="420" w:lineRule="exact"/>
              <w:rPr>
                <w:rFonts w:hAnsi="標楷體" w:cs="新細明體"/>
                <w:kern w:val="0"/>
                <w:sz w:val="28"/>
                <w:szCs w:val="28"/>
              </w:rPr>
            </w:pPr>
            <w:proofErr w:type="gramStart"/>
            <w:r w:rsidRPr="000817F2">
              <w:rPr>
                <w:rFonts w:hAnsi="標楷體" w:cs="新細明體" w:hint="eastAsia"/>
                <w:kern w:val="0"/>
                <w:sz w:val="28"/>
                <w:szCs w:val="28"/>
              </w:rPr>
              <w:t>咽癌</w:t>
            </w:r>
            <w:proofErr w:type="gramEnd"/>
          </w:p>
        </w:tc>
        <w:tc>
          <w:tcPr>
            <w:tcW w:w="2324" w:type="dxa"/>
          </w:tcPr>
          <w:p w:rsidR="003E5904" w:rsidRPr="000817F2" w:rsidRDefault="003E5904" w:rsidP="00F615BA">
            <w:pPr>
              <w:snapToGrid w:val="0"/>
              <w:spacing w:line="420" w:lineRule="exact"/>
              <w:jc w:val="right"/>
              <w:rPr>
                <w:rFonts w:hAnsi="標楷體"/>
                <w:sz w:val="28"/>
                <w:szCs w:val="28"/>
              </w:rPr>
            </w:pPr>
            <w:r w:rsidRPr="000817F2">
              <w:rPr>
                <w:rFonts w:hAnsi="標楷體" w:hint="eastAsia"/>
                <w:sz w:val="28"/>
                <w:szCs w:val="28"/>
              </w:rPr>
              <w:t>檳榔(7.7倍)</w:t>
            </w:r>
          </w:p>
        </w:tc>
        <w:tc>
          <w:tcPr>
            <w:tcW w:w="2070" w:type="dxa"/>
          </w:tcPr>
          <w:p w:rsidR="003E5904" w:rsidRPr="000817F2" w:rsidRDefault="003E5904" w:rsidP="00F615BA">
            <w:pPr>
              <w:snapToGrid w:val="0"/>
              <w:spacing w:line="420" w:lineRule="exact"/>
              <w:jc w:val="right"/>
              <w:rPr>
                <w:rFonts w:hAnsi="標楷體"/>
                <w:sz w:val="28"/>
                <w:szCs w:val="28"/>
              </w:rPr>
            </w:pPr>
            <w:r w:rsidRPr="000817F2">
              <w:rPr>
                <w:rFonts w:hAnsi="標楷體" w:hint="eastAsia"/>
                <w:sz w:val="28"/>
                <w:szCs w:val="28"/>
              </w:rPr>
              <w:t>酒(6.6倍)</w:t>
            </w:r>
          </w:p>
        </w:tc>
        <w:tc>
          <w:tcPr>
            <w:tcW w:w="1722" w:type="dxa"/>
            <w:vAlign w:val="center"/>
          </w:tcPr>
          <w:p w:rsidR="003E5904" w:rsidRPr="000817F2" w:rsidRDefault="003E5904" w:rsidP="00F615BA">
            <w:pPr>
              <w:snapToGrid w:val="0"/>
              <w:spacing w:line="420" w:lineRule="exact"/>
              <w:jc w:val="right"/>
              <w:rPr>
                <w:rFonts w:hAnsi="標楷體"/>
                <w:sz w:val="28"/>
                <w:szCs w:val="28"/>
              </w:rPr>
            </w:pPr>
            <w:r w:rsidRPr="000817F2">
              <w:rPr>
                <w:rFonts w:hAnsi="標楷體" w:hint="eastAsia"/>
                <w:sz w:val="28"/>
                <w:szCs w:val="28"/>
              </w:rPr>
              <w:t>96.9倍</w:t>
            </w:r>
          </w:p>
        </w:tc>
      </w:tr>
      <w:tr w:rsidR="000817F2" w:rsidRPr="000817F2" w:rsidTr="00F615BA">
        <w:tc>
          <w:tcPr>
            <w:tcW w:w="1134" w:type="dxa"/>
            <w:vAlign w:val="center"/>
          </w:tcPr>
          <w:p w:rsidR="003E5904" w:rsidRPr="000817F2" w:rsidRDefault="003E5904" w:rsidP="00F615BA">
            <w:pPr>
              <w:widowControl/>
              <w:snapToGrid w:val="0"/>
              <w:spacing w:line="420" w:lineRule="exact"/>
              <w:rPr>
                <w:rFonts w:hAnsi="標楷體" w:cs="新細明體"/>
                <w:kern w:val="0"/>
                <w:sz w:val="28"/>
                <w:szCs w:val="28"/>
              </w:rPr>
            </w:pPr>
            <w:r w:rsidRPr="000817F2">
              <w:rPr>
                <w:rFonts w:hAnsi="標楷體" w:cs="新細明體" w:hint="eastAsia"/>
                <w:kern w:val="0"/>
                <w:sz w:val="28"/>
                <w:szCs w:val="28"/>
              </w:rPr>
              <w:t>喉癌</w:t>
            </w:r>
          </w:p>
        </w:tc>
        <w:tc>
          <w:tcPr>
            <w:tcW w:w="2324" w:type="dxa"/>
          </w:tcPr>
          <w:p w:rsidR="003E5904" w:rsidRPr="000817F2" w:rsidRDefault="003E5904" w:rsidP="00F615BA">
            <w:pPr>
              <w:snapToGrid w:val="0"/>
              <w:spacing w:line="420" w:lineRule="exact"/>
              <w:jc w:val="right"/>
              <w:rPr>
                <w:rFonts w:hAnsi="標楷體"/>
                <w:sz w:val="28"/>
                <w:szCs w:val="28"/>
              </w:rPr>
            </w:pPr>
            <w:proofErr w:type="gramStart"/>
            <w:r w:rsidRPr="000817F2">
              <w:rPr>
                <w:rFonts w:hAnsi="標楷體" w:hint="eastAsia"/>
                <w:sz w:val="28"/>
                <w:szCs w:val="28"/>
              </w:rPr>
              <w:t>菸</w:t>
            </w:r>
            <w:proofErr w:type="gramEnd"/>
            <w:r w:rsidRPr="000817F2">
              <w:rPr>
                <w:rFonts w:hAnsi="標楷體" w:hint="eastAsia"/>
                <w:sz w:val="28"/>
                <w:szCs w:val="28"/>
              </w:rPr>
              <w:t>(7.1倍)</w:t>
            </w:r>
          </w:p>
        </w:tc>
        <w:tc>
          <w:tcPr>
            <w:tcW w:w="2070" w:type="dxa"/>
          </w:tcPr>
          <w:p w:rsidR="003E5904" w:rsidRPr="000817F2" w:rsidRDefault="003E5904" w:rsidP="00F615BA">
            <w:pPr>
              <w:snapToGrid w:val="0"/>
              <w:spacing w:line="420" w:lineRule="exact"/>
              <w:jc w:val="right"/>
              <w:rPr>
                <w:rFonts w:hAnsi="標楷體"/>
                <w:sz w:val="28"/>
                <w:szCs w:val="28"/>
              </w:rPr>
            </w:pPr>
            <w:r w:rsidRPr="000817F2">
              <w:rPr>
                <w:rFonts w:hAnsi="標楷體" w:hint="eastAsia"/>
                <w:sz w:val="28"/>
                <w:szCs w:val="28"/>
              </w:rPr>
              <w:t>酒(3.8倍)</w:t>
            </w:r>
          </w:p>
        </w:tc>
        <w:tc>
          <w:tcPr>
            <w:tcW w:w="1722" w:type="dxa"/>
            <w:vAlign w:val="center"/>
          </w:tcPr>
          <w:p w:rsidR="003E5904" w:rsidRPr="000817F2" w:rsidRDefault="003E5904" w:rsidP="00F615BA">
            <w:pPr>
              <w:snapToGrid w:val="0"/>
              <w:spacing w:line="420" w:lineRule="exact"/>
              <w:jc w:val="right"/>
              <w:rPr>
                <w:rFonts w:hAnsi="標楷體"/>
                <w:sz w:val="28"/>
                <w:szCs w:val="28"/>
              </w:rPr>
            </w:pPr>
            <w:r w:rsidRPr="000817F2">
              <w:rPr>
                <w:rFonts w:hAnsi="標楷體" w:hint="eastAsia"/>
                <w:sz w:val="28"/>
                <w:szCs w:val="28"/>
              </w:rPr>
              <w:t>40.3倍</w:t>
            </w:r>
          </w:p>
        </w:tc>
      </w:tr>
      <w:tr w:rsidR="000817F2" w:rsidRPr="000817F2" w:rsidTr="00F615BA">
        <w:tc>
          <w:tcPr>
            <w:tcW w:w="1134" w:type="dxa"/>
            <w:vAlign w:val="center"/>
          </w:tcPr>
          <w:p w:rsidR="003E5904" w:rsidRPr="000817F2" w:rsidRDefault="003E5904" w:rsidP="00F615BA">
            <w:pPr>
              <w:widowControl/>
              <w:snapToGrid w:val="0"/>
              <w:spacing w:line="420" w:lineRule="exact"/>
              <w:rPr>
                <w:rFonts w:hAnsi="標楷體" w:cs="新細明體"/>
                <w:kern w:val="0"/>
                <w:sz w:val="28"/>
                <w:szCs w:val="28"/>
              </w:rPr>
            </w:pPr>
            <w:r w:rsidRPr="000817F2">
              <w:rPr>
                <w:rFonts w:hAnsi="標楷體" w:cs="新細明體" w:hint="eastAsia"/>
                <w:kern w:val="0"/>
                <w:sz w:val="28"/>
                <w:szCs w:val="28"/>
              </w:rPr>
              <w:t>食道癌</w:t>
            </w:r>
          </w:p>
        </w:tc>
        <w:tc>
          <w:tcPr>
            <w:tcW w:w="2324" w:type="dxa"/>
          </w:tcPr>
          <w:p w:rsidR="003E5904" w:rsidRPr="000817F2" w:rsidRDefault="003E5904" w:rsidP="00F615BA">
            <w:pPr>
              <w:snapToGrid w:val="0"/>
              <w:spacing w:line="420" w:lineRule="exact"/>
              <w:jc w:val="right"/>
              <w:rPr>
                <w:rFonts w:hAnsi="標楷體"/>
                <w:sz w:val="28"/>
                <w:szCs w:val="28"/>
              </w:rPr>
            </w:pPr>
            <w:r w:rsidRPr="000817F2">
              <w:rPr>
                <w:rFonts w:hAnsi="標楷體" w:hint="eastAsia"/>
                <w:sz w:val="28"/>
                <w:szCs w:val="28"/>
              </w:rPr>
              <w:t>酒(17.6倍)</w:t>
            </w:r>
          </w:p>
        </w:tc>
        <w:tc>
          <w:tcPr>
            <w:tcW w:w="2070" w:type="dxa"/>
          </w:tcPr>
          <w:p w:rsidR="003E5904" w:rsidRPr="000817F2" w:rsidRDefault="003E5904" w:rsidP="00F615BA">
            <w:pPr>
              <w:snapToGrid w:val="0"/>
              <w:spacing w:line="420" w:lineRule="exact"/>
              <w:jc w:val="right"/>
              <w:rPr>
                <w:rFonts w:hAnsi="標楷體"/>
                <w:sz w:val="28"/>
                <w:szCs w:val="28"/>
              </w:rPr>
            </w:pPr>
            <w:proofErr w:type="gramStart"/>
            <w:r w:rsidRPr="000817F2">
              <w:rPr>
                <w:rFonts w:hAnsi="標楷體" w:hint="eastAsia"/>
                <w:sz w:val="28"/>
                <w:szCs w:val="28"/>
              </w:rPr>
              <w:t>菸</w:t>
            </w:r>
            <w:proofErr w:type="gramEnd"/>
            <w:r w:rsidRPr="000817F2">
              <w:rPr>
                <w:rFonts w:hAnsi="標楷體" w:hint="eastAsia"/>
                <w:sz w:val="28"/>
                <w:szCs w:val="28"/>
              </w:rPr>
              <w:t>(5.4倍)</w:t>
            </w:r>
          </w:p>
        </w:tc>
        <w:tc>
          <w:tcPr>
            <w:tcW w:w="1722" w:type="dxa"/>
            <w:vAlign w:val="center"/>
          </w:tcPr>
          <w:p w:rsidR="003E5904" w:rsidRPr="000817F2" w:rsidRDefault="003E5904" w:rsidP="00F615BA">
            <w:pPr>
              <w:snapToGrid w:val="0"/>
              <w:spacing w:line="420" w:lineRule="exact"/>
              <w:jc w:val="right"/>
              <w:rPr>
                <w:rFonts w:hAnsi="標楷體"/>
                <w:sz w:val="28"/>
                <w:szCs w:val="28"/>
              </w:rPr>
            </w:pPr>
            <w:r w:rsidRPr="000817F2">
              <w:rPr>
                <w:rFonts w:hAnsi="標楷體" w:hint="eastAsia"/>
                <w:sz w:val="28"/>
                <w:szCs w:val="28"/>
              </w:rPr>
              <w:t>195.6倍</w:t>
            </w:r>
          </w:p>
        </w:tc>
      </w:tr>
    </w:tbl>
    <w:p w:rsidR="003E5904" w:rsidRPr="000817F2" w:rsidRDefault="003E5904" w:rsidP="003E5904">
      <w:pPr>
        <w:spacing w:line="360" w:lineRule="exact"/>
        <w:ind w:leftChars="416" w:left="1873" w:rightChars="100" w:right="340" w:hangingChars="176" w:hanging="458"/>
        <w:rPr>
          <w:sz w:val="24"/>
          <w:szCs w:val="24"/>
        </w:rPr>
      </w:pPr>
      <w:proofErr w:type="gramStart"/>
      <w:r w:rsidRPr="000817F2">
        <w:rPr>
          <w:rFonts w:hint="eastAsia"/>
          <w:sz w:val="24"/>
          <w:szCs w:val="24"/>
        </w:rPr>
        <w:t>註</w:t>
      </w:r>
      <w:proofErr w:type="gramEnd"/>
      <w:r w:rsidRPr="000817F2">
        <w:rPr>
          <w:rFonts w:hint="eastAsia"/>
          <w:sz w:val="24"/>
          <w:szCs w:val="24"/>
        </w:rPr>
        <w:t>：</w:t>
      </w:r>
      <w:proofErr w:type="gramStart"/>
      <w:r w:rsidRPr="000817F2">
        <w:rPr>
          <w:rFonts w:hint="eastAsia"/>
          <w:sz w:val="24"/>
          <w:szCs w:val="24"/>
        </w:rPr>
        <w:t>罹</w:t>
      </w:r>
      <w:proofErr w:type="gramEnd"/>
      <w:r w:rsidRPr="000817F2">
        <w:rPr>
          <w:rFonts w:hint="eastAsia"/>
          <w:sz w:val="24"/>
          <w:szCs w:val="24"/>
        </w:rPr>
        <w:t>患口腔癌的機率倍數與</w:t>
      </w:r>
      <w:proofErr w:type="gramStart"/>
      <w:r w:rsidRPr="000817F2">
        <w:rPr>
          <w:rFonts w:hint="eastAsia"/>
          <w:sz w:val="24"/>
          <w:szCs w:val="24"/>
        </w:rPr>
        <w:t>不</w:t>
      </w:r>
      <w:proofErr w:type="gramEnd"/>
      <w:r w:rsidRPr="000817F2">
        <w:rPr>
          <w:rFonts w:hint="eastAsia"/>
          <w:sz w:val="24"/>
          <w:szCs w:val="24"/>
        </w:rPr>
        <w:t>抽菸、不喝酒、不嚼檳榔者相比(設為1倍)。</w:t>
      </w:r>
    </w:p>
    <w:p w:rsidR="003E5904" w:rsidRPr="000817F2" w:rsidRDefault="003E5904" w:rsidP="003E5904">
      <w:pPr>
        <w:spacing w:line="360" w:lineRule="exact"/>
        <w:ind w:leftChars="417" w:left="1965" w:hangingChars="217" w:hanging="547"/>
        <w:rPr>
          <w:spacing w:val="-4"/>
          <w:sz w:val="24"/>
          <w:szCs w:val="24"/>
        </w:rPr>
      </w:pPr>
      <w:r w:rsidRPr="000817F2">
        <w:rPr>
          <w:rFonts w:hint="eastAsia"/>
          <w:spacing w:val="-4"/>
          <w:sz w:val="24"/>
          <w:szCs w:val="24"/>
        </w:rPr>
        <w:t>資料來源：同</w:t>
      </w:r>
      <w:proofErr w:type="gramStart"/>
      <w:r w:rsidRPr="000817F2">
        <w:rPr>
          <w:rFonts w:hint="eastAsia"/>
          <w:spacing w:val="-4"/>
          <w:sz w:val="24"/>
          <w:szCs w:val="24"/>
        </w:rPr>
        <w:t>註</w:t>
      </w:r>
      <w:proofErr w:type="gramEnd"/>
      <w:r w:rsidR="001262C4" w:rsidRPr="000817F2">
        <w:rPr>
          <w:rFonts w:hint="eastAsia"/>
          <w:spacing w:val="-4"/>
          <w:sz w:val="24"/>
          <w:szCs w:val="24"/>
        </w:rPr>
        <w:t>2</w:t>
      </w:r>
      <w:r w:rsidRPr="000817F2">
        <w:rPr>
          <w:rFonts w:hint="eastAsia"/>
          <w:spacing w:val="-4"/>
          <w:sz w:val="24"/>
          <w:szCs w:val="24"/>
        </w:rPr>
        <w:t>。</w:t>
      </w:r>
    </w:p>
    <w:p w:rsidR="003E5904" w:rsidRPr="000817F2" w:rsidRDefault="003E5904" w:rsidP="003E5904">
      <w:pPr>
        <w:spacing w:line="360" w:lineRule="exact"/>
        <w:ind w:leftChars="417" w:left="2139" w:hangingChars="217" w:hanging="721"/>
        <w:rPr>
          <w:spacing w:val="-4"/>
        </w:rPr>
      </w:pPr>
    </w:p>
    <w:p w:rsidR="003E5904" w:rsidRPr="000817F2" w:rsidRDefault="003E5904" w:rsidP="00D519E6">
      <w:pPr>
        <w:pStyle w:val="3"/>
        <w:numPr>
          <w:ilvl w:val="0"/>
          <w:numId w:val="0"/>
        </w:numPr>
        <w:ind w:leftChars="300" w:left="1020" w:firstLineChars="225" w:firstLine="765"/>
      </w:pPr>
      <w:r w:rsidRPr="000817F2">
        <w:rPr>
          <w:rFonts w:hint="eastAsia"/>
        </w:rPr>
        <w:t>至於我國食道癌發生率、死亡人數及健保支出情形，查102-107年</w:t>
      </w:r>
      <w:proofErr w:type="gramStart"/>
      <w:r w:rsidRPr="000817F2">
        <w:rPr>
          <w:rFonts w:hint="eastAsia"/>
        </w:rPr>
        <w:t>罹</w:t>
      </w:r>
      <w:proofErr w:type="gramEnd"/>
      <w:r w:rsidRPr="000817F2">
        <w:rPr>
          <w:rFonts w:hint="eastAsia"/>
        </w:rPr>
        <w:t>患食道癌之人數分別計2</w:t>
      </w:r>
      <w:r w:rsidRPr="000817F2">
        <w:t>,</w:t>
      </w:r>
      <w:r w:rsidRPr="000817F2">
        <w:rPr>
          <w:rFonts w:hint="eastAsia"/>
        </w:rPr>
        <w:t>521、2</w:t>
      </w:r>
      <w:r w:rsidRPr="000817F2">
        <w:t>,6</w:t>
      </w:r>
      <w:r w:rsidR="001262C4" w:rsidRPr="000817F2">
        <w:rPr>
          <w:rFonts w:hint="eastAsia"/>
        </w:rPr>
        <w:t>28</w:t>
      </w:r>
      <w:r w:rsidRPr="000817F2">
        <w:rPr>
          <w:rFonts w:hint="eastAsia"/>
        </w:rPr>
        <w:t>、2</w:t>
      </w:r>
      <w:r w:rsidRPr="000817F2">
        <w:t>,</w:t>
      </w:r>
      <w:r w:rsidRPr="000817F2">
        <w:rPr>
          <w:rFonts w:hint="eastAsia"/>
        </w:rPr>
        <w:t>596、2</w:t>
      </w:r>
      <w:r w:rsidRPr="000817F2">
        <w:t>,</w:t>
      </w:r>
      <w:r w:rsidRPr="000817F2">
        <w:rPr>
          <w:rFonts w:hint="eastAsia"/>
        </w:rPr>
        <w:t>648、2</w:t>
      </w:r>
      <w:r w:rsidRPr="000817F2">
        <w:t>,</w:t>
      </w:r>
      <w:r w:rsidRPr="000817F2">
        <w:rPr>
          <w:rFonts w:hint="eastAsia"/>
        </w:rPr>
        <w:t>800人及2</w:t>
      </w:r>
      <w:r w:rsidRPr="000817F2">
        <w:t>,</w:t>
      </w:r>
      <w:r w:rsidRPr="000817F2">
        <w:rPr>
          <w:rFonts w:hint="eastAsia"/>
        </w:rPr>
        <w:t>778人；以標準化發生率計，各年度</w:t>
      </w:r>
      <w:r w:rsidR="003A2792" w:rsidRPr="000817F2">
        <w:rPr>
          <w:rFonts w:hint="eastAsia"/>
        </w:rPr>
        <w:t>食道癌</w:t>
      </w:r>
      <w:r w:rsidRPr="000817F2">
        <w:rPr>
          <w:rFonts w:hint="eastAsia"/>
        </w:rPr>
        <w:t>發生率分別為每10萬人口7.53、7.68、7.39、7.38、7.63及7.37人。</w:t>
      </w:r>
      <w:r w:rsidRPr="000817F2">
        <w:rPr>
          <w:rFonts w:hint="eastAsia"/>
          <w:u w:val="single"/>
        </w:rPr>
        <w:t>顯見我國每年約有2</w:t>
      </w:r>
      <w:r w:rsidRPr="000817F2">
        <w:rPr>
          <w:u w:val="single"/>
        </w:rPr>
        <w:t>,</w:t>
      </w:r>
      <w:r w:rsidRPr="000817F2">
        <w:rPr>
          <w:rFonts w:hint="eastAsia"/>
          <w:u w:val="single"/>
        </w:rPr>
        <w:t>700餘人</w:t>
      </w:r>
      <w:proofErr w:type="gramStart"/>
      <w:r w:rsidRPr="000817F2">
        <w:rPr>
          <w:rFonts w:hint="eastAsia"/>
          <w:u w:val="single"/>
        </w:rPr>
        <w:t>罹</w:t>
      </w:r>
      <w:proofErr w:type="gramEnd"/>
      <w:r w:rsidRPr="000817F2">
        <w:rPr>
          <w:rFonts w:hint="eastAsia"/>
          <w:u w:val="single"/>
        </w:rPr>
        <w:t>患食道癌，且發生率居高不下。</w:t>
      </w:r>
      <w:r w:rsidRPr="000817F2">
        <w:rPr>
          <w:rFonts w:hint="eastAsia"/>
        </w:rPr>
        <w:t>另關於死亡率，102-109年每年死亡人數分別計1</w:t>
      </w:r>
      <w:r w:rsidRPr="000817F2">
        <w:t>,</w:t>
      </w:r>
      <w:r w:rsidRPr="000817F2">
        <w:rPr>
          <w:rFonts w:hint="eastAsia"/>
        </w:rPr>
        <w:t>660、1</w:t>
      </w:r>
      <w:r w:rsidRPr="000817F2">
        <w:t>,</w:t>
      </w:r>
      <w:r w:rsidRPr="000817F2">
        <w:rPr>
          <w:rFonts w:hint="eastAsia"/>
        </w:rPr>
        <w:t>791、1</w:t>
      </w:r>
      <w:r w:rsidRPr="000817F2">
        <w:t>,</w:t>
      </w:r>
      <w:r w:rsidRPr="000817F2">
        <w:rPr>
          <w:rFonts w:hint="eastAsia"/>
        </w:rPr>
        <w:t>807、1</w:t>
      </w:r>
      <w:r w:rsidRPr="000817F2">
        <w:t>,</w:t>
      </w:r>
      <w:r w:rsidRPr="000817F2">
        <w:rPr>
          <w:rFonts w:hint="eastAsia"/>
        </w:rPr>
        <w:t>731、1</w:t>
      </w:r>
      <w:r w:rsidRPr="000817F2">
        <w:t>,</w:t>
      </w:r>
      <w:r w:rsidRPr="000817F2">
        <w:rPr>
          <w:rFonts w:hint="eastAsia"/>
        </w:rPr>
        <w:t>797、1,929、1,983及1</w:t>
      </w:r>
      <w:r w:rsidRPr="000817F2">
        <w:t>,</w:t>
      </w:r>
      <w:r w:rsidRPr="000817F2">
        <w:rPr>
          <w:rFonts w:hint="eastAsia"/>
        </w:rPr>
        <w:t>954人，亦即近3年每年有近2</w:t>
      </w:r>
      <w:r w:rsidRPr="000817F2">
        <w:t>,</w:t>
      </w:r>
      <w:r w:rsidRPr="000817F2">
        <w:rPr>
          <w:rFonts w:hint="eastAsia"/>
        </w:rPr>
        <w:t>000人死亡(詳如下表)，此嚴重性不容小覷。</w:t>
      </w:r>
    </w:p>
    <w:p w:rsidR="003E5904" w:rsidRPr="000817F2" w:rsidRDefault="003E5904" w:rsidP="003E5904">
      <w:pPr>
        <w:pStyle w:val="a3"/>
        <w:ind w:left="426" w:hanging="480"/>
        <w:jc w:val="center"/>
        <w:rPr>
          <w:rFonts w:hAnsi="標楷體" w:cstheme="majorBidi"/>
          <w:szCs w:val="32"/>
        </w:rPr>
      </w:pPr>
      <w:r w:rsidRPr="000817F2">
        <w:rPr>
          <w:rFonts w:hint="eastAsia"/>
        </w:rPr>
        <w:lastRenderedPageBreak/>
        <w:t>102-109年各年度食道癌發生、死亡人數與標準化率</w:t>
      </w:r>
    </w:p>
    <w:p w:rsidR="003E5904" w:rsidRPr="000817F2" w:rsidRDefault="003E5904" w:rsidP="003E5904">
      <w:pPr>
        <w:ind w:rightChars="-191" w:right="-650"/>
        <w:jc w:val="right"/>
        <w:rPr>
          <w:rFonts w:hAnsi="標楷體" w:cstheme="majorBidi"/>
          <w:sz w:val="24"/>
          <w:szCs w:val="24"/>
        </w:rPr>
      </w:pPr>
      <w:r w:rsidRPr="000817F2">
        <w:rPr>
          <w:rFonts w:hint="eastAsia"/>
          <w:sz w:val="24"/>
          <w:szCs w:val="24"/>
        </w:rPr>
        <w:t>單位：人；人/每10萬人</w:t>
      </w:r>
    </w:p>
    <w:tbl>
      <w:tblPr>
        <w:tblStyle w:val="af6"/>
        <w:tblW w:w="5442" w:type="pct"/>
        <w:tblInd w:w="-5" w:type="dxa"/>
        <w:tblLook w:val="04A0" w:firstRow="1" w:lastRow="0" w:firstColumn="1" w:lastColumn="0" w:noHBand="0" w:noVBand="1"/>
      </w:tblPr>
      <w:tblGrid>
        <w:gridCol w:w="530"/>
        <w:gridCol w:w="1285"/>
        <w:gridCol w:w="975"/>
        <w:gridCol w:w="975"/>
        <w:gridCol w:w="975"/>
        <w:gridCol w:w="975"/>
        <w:gridCol w:w="975"/>
        <w:gridCol w:w="975"/>
        <w:gridCol w:w="975"/>
        <w:gridCol w:w="975"/>
      </w:tblGrid>
      <w:tr w:rsidR="000817F2" w:rsidRPr="000817F2" w:rsidTr="00F615BA">
        <w:trPr>
          <w:trHeight w:val="442"/>
          <w:tblHeader/>
        </w:trPr>
        <w:tc>
          <w:tcPr>
            <w:tcW w:w="944" w:type="pct"/>
            <w:gridSpan w:val="2"/>
            <w:shd w:val="clear" w:color="auto" w:fill="DAEEF3" w:themeFill="accent5" w:themeFillTint="33"/>
          </w:tcPr>
          <w:p w:rsidR="003E5904" w:rsidRPr="000817F2" w:rsidRDefault="003E5904" w:rsidP="00F615BA">
            <w:pPr>
              <w:adjustRightInd w:val="0"/>
              <w:snapToGrid w:val="0"/>
              <w:ind w:leftChars="-32" w:left="-109"/>
              <w:jc w:val="center"/>
              <w:rPr>
                <w:rFonts w:hAnsi="標楷體"/>
                <w:sz w:val="28"/>
                <w:szCs w:val="28"/>
              </w:rPr>
            </w:pPr>
            <w:r w:rsidRPr="000817F2">
              <w:rPr>
                <w:rFonts w:hAnsi="標楷體" w:hint="eastAsia"/>
                <w:sz w:val="28"/>
                <w:szCs w:val="28"/>
              </w:rPr>
              <w:t>年度</w:t>
            </w:r>
          </w:p>
        </w:tc>
        <w:tc>
          <w:tcPr>
            <w:tcW w:w="507" w:type="pct"/>
            <w:shd w:val="clear" w:color="auto" w:fill="DAEEF3" w:themeFill="accent5" w:themeFillTint="33"/>
          </w:tcPr>
          <w:p w:rsidR="003E5904" w:rsidRPr="000817F2" w:rsidRDefault="003E5904" w:rsidP="00F615BA">
            <w:pPr>
              <w:adjustRightInd w:val="0"/>
              <w:snapToGrid w:val="0"/>
              <w:jc w:val="center"/>
              <w:rPr>
                <w:rFonts w:hAnsi="標楷體"/>
                <w:sz w:val="28"/>
                <w:szCs w:val="28"/>
              </w:rPr>
            </w:pPr>
            <w:r w:rsidRPr="000817F2">
              <w:rPr>
                <w:rFonts w:hAnsi="標楷體" w:hint="eastAsia"/>
                <w:sz w:val="28"/>
                <w:szCs w:val="28"/>
              </w:rPr>
              <w:t>102</w:t>
            </w:r>
          </w:p>
        </w:tc>
        <w:tc>
          <w:tcPr>
            <w:tcW w:w="507" w:type="pct"/>
            <w:shd w:val="clear" w:color="auto" w:fill="DAEEF3" w:themeFill="accent5" w:themeFillTint="33"/>
          </w:tcPr>
          <w:p w:rsidR="003E5904" w:rsidRPr="000817F2" w:rsidRDefault="003E5904" w:rsidP="00F615BA">
            <w:pPr>
              <w:adjustRightInd w:val="0"/>
              <w:snapToGrid w:val="0"/>
              <w:jc w:val="center"/>
              <w:rPr>
                <w:rFonts w:hAnsi="標楷體"/>
                <w:sz w:val="28"/>
                <w:szCs w:val="28"/>
              </w:rPr>
            </w:pPr>
            <w:r w:rsidRPr="000817F2">
              <w:rPr>
                <w:rFonts w:hAnsi="標楷體" w:hint="eastAsia"/>
                <w:sz w:val="28"/>
                <w:szCs w:val="28"/>
              </w:rPr>
              <w:t>103</w:t>
            </w:r>
          </w:p>
        </w:tc>
        <w:tc>
          <w:tcPr>
            <w:tcW w:w="507" w:type="pct"/>
            <w:shd w:val="clear" w:color="auto" w:fill="DAEEF3" w:themeFill="accent5" w:themeFillTint="33"/>
          </w:tcPr>
          <w:p w:rsidR="003E5904" w:rsidRPr="000817F2" w:rsidRDefault="003E5904" w:rsidP="00F615BA">
            <w:pPr>
              <w:adjustRightInd w:val="0"/>
              <w:snapToGrid w:val="0"/>
              <w:jc w:val="center"/>
              <w:rPr>
                <w:rFonts w:hAnsi="標楷體"/>
                <w:sz w:val="28"/>
                <w:szCs w:val="28"/>
              </w:rPr>
            </w:pPr>
            <w:r w:rsidRPr="000817F2">
              <w:rPr>
                <w:rFonts w:hAnsi="標楷體" w:hint="eastAsia"/>
                <w:sz w:val="28"/>
                <w:szCs w:val="28"/>
              </w:rPr>
              <w:t>104</w:t>
            </w:r>
          </w:p>
        </w:tc>
        <w:tc>
          <w:tcPr>
            <w:tcW w:w="507" w:type="pct"/>
            <w:shd w:val="clear" w:color="auto" w:fill="DAEEF3" w:themeFill="accent5" w:themeFillTint="33"/>
          </w:tcPr>
          <w:p w:rsidR="003E5904" w:rsidRPr="000817F2" w:rsidRDefault="003E5904" w:rsidP="00F615BA">
            <w:pPr>
              <w:adjustRightInd w:val="0"/>
              <w:snapToGrid w:val="0"/>
              <w:jc w:val="center"/>
              <w:rPr>
                <w:rFonts w:hAnsi="標楷體"/>
                <w:sz w:val="28"/>
                <w:szCs w:val="28"/>
              </w:rPr>
            </w:pPr>
            <w:r w:rsidRPr="000817F2">
              <w:rPr>
                <w:rFonts w:hAnsi="標楷體" w:hint="eastAsia"/>
                <w:sz w:val="28"/>
                <w:szCs w:val="28"/>
              </w:rPr>
              <w:t>105</w:t>
            </w:r>
          </w:p>
        </w:tc>
        <w:tc>
          <w:tcPr>
            <w:tcW w:w="507" w:type="pct"/>
            <w:shd w:val="clear" w:color="auto" w:fill="DAEEF3" w:themeFill="accent5" w:themeFillTint="33"/>
          </w:tcPr>
          <w:p w:rsidR="003E5904" w:rsidRPr="000817F2" w:rsidRDefault="003E5904" w:rsidP="00F615BA">
            <w:pPr>
              <w:adjustRightInd w:val="0"/>
              <w:snapToGrid w:val="0"/>
              <w:jc w:val="center"/>
              <w:rPr>
                <w:rFonts w:hAnsi="標楷體"/>
                <w:sz w:val="28"/>
                <w:szCs w:val="28"/>
              </w:rPr>
            </w:pPr>
            <w:r w:rsidRPr="000817F2">
              <w:rPr>
                <w:rFonts w:hAnsi="標楷體" w:hint="eastAsia"/>
                <w:sz w:val="28"/>
                <w:szCs w:val="28"/>
              </w:rPr>
              <w:t>106</w:t>
            </w:r>
          </w:p>
        </w:tc>
        <w:tc>
          <w:tcPr>
            <w:tcW w:w="507" w:type="pct"/>
            <w:shd w:val="clear" w:color="auto" w:fill="DAEEF3" w:themeFill="accent5" w:themeFillTint="33"/>
          </w:tcPr>
          <w:p w:rsidR="003E5904" w:rsidRPr="000817F2" w:rsidRDefault="003E5904" w:rsidP="00F615BA">
            <w:pPr>
              <w:adjustRightInd w:val="0"/>
              <w:snapToGrid w:val="0"/>
              <w:jc w:val="center"/>
              <w:rPr>
                <w:rFonts w:hAnsi="標楷體"/>
                <w:sz w:val="28"/>
                <w:szCs w:val="28"/>
              </w:rPr>
            </w:pPr>
            <w:r w:rsidRPr="000817F2">
              <w:rPr>
                <w:rFonts w:hAnsi="標楷體" w:hint="eastAsia"/>
                <w:sz w:val="28"/>
                <w:szCs w:val="28"/>
              </w:rPr>
              <w:t>107</w:t>
            </w:r>
          </w:p>
        </w:tc>
        <w:tc>
          <w:tcPr>
            <w:tcW w:w="507" w:type="pct"/>
            <w:shd w:val="clear" w:color="auto" w:fill="DAEEF3" w:themeFill="accent5" w:themeFillTint="33"/>
          </w:tcPr>
          <w:p w:rsidR="003E5904" w:rsidRPr="000817F2" w:rsidRDefault="003E5904" w:rsidP="00F615BA">
            <w:pPr>
              <w:adjustRightInd w:val="0"/>
              <w:snapToGrid w:val="0"/>
              <w:jc w:val="center"/>
              <w:rPr>
                <w:rFonts w:hAnsi="標楷體"/>
                <w:sz w:val="28"/>
                <w:szCs w:val="28"/>
              </w:rPr>
            </w:pPr>
            <w:r w:rsidRPr="000817F2">
              <w:rPr>
                <w:rFonts w:hAnsi="標楷體" w:hint="eastAsia"/>
                <w:sz w:val="28"/>
                <w:szCs w:val="28"/>
              </w:rPr>
              <w:t>108</w:t>
            </w:r>
          </w:p>
        </w:tc>
        <w:tc>
          <w:tcPr>
            <w:tcW w:w="507" w:type="pct"/>
            <w:shd w:val="clear" w:color="auto" w:fill="DAEEF3" w:themeFill="accent5" w:themeFillTint="33"/>
          </w:tcPr>
          <w:p w:rsidR="003E5904" w:rsidRPr="000817F2" w:rsidRDefault="003E5904" w:rsidP="00F615BA">
            <w:pPr>
              <w:adjustRightInd w:val="0"/>
              <w:snapToGrid w:val="0"/>
              <w:jc w:val="center"/>
              <w:rPr>
                <w:rFonts w:hAnsi="標楷體"/>
                <w:sz w:val="28"/>
                <w:szCs w:val="28"/>
              </w:rPr>
            </w:pPr>
            <w:r w:rsidRPr="000817F2">
              <w:rPr>
                <w:rFonts w:hAnsi="標楷體" w:hint="eastAsia"/>
                <w:sz w:val="28"/>
                <w:szCs w:val="28"/>
              </w:rPr>
              <w:t>109</w:t>
            </w:r>
          </w:p>
        </w:tc>
      </w:tr>
      <w:tr w:rsidR="000817F2" w:rsidRPr="000817F2" w:rsidTr="00F615BA">
        <w:trPr>
          <w:trHeight w:val="454"/>
        </w:trPr>
        <w:tc>
          <w:tcPr>
            <w:tcW w:w="276" w:type="pct"/>
            <w:vMerge w:val="restart"/>
          </w:tcPr>
          <w:p w:rsidR="003E5904" w:rsidRPr="000817F2" w:rsidRDefault="003E5904" w:rsidP="00F615BA">
            <w:pPr>
              <w:adjustRightInd w:val="0"/>
              <w:snapToGrid w:val="0"/>
              <w:rPr>
                <w:rFonts w:hAnsi="標楷體"/>
                <w:sz w:val="28"/>
                <w:szCs w:val="28"/>
              </w:rPr>
            </w:pPr>
            <w:r w:rsidRPr="000817F2">
              <w:rPr>
                <w:rFonts w:hAnsi="標楷體" w:hint="eastAsia"/>
                <w:sz w:val="28"/>
                <w:szCs w:val="28"/>
              </w:rPr>
              <w:t>發生</w:t>
            </w:r>
          </w:p>
        </w:tc>
        <w:tc>
          <w:tcPr>
            <w:tcW w:w="668" w:type="pct"/>
            <w:vAlign w:val="center"/>
          </w:tcPr>
          <w:p w:rsidR="003E5904" w:rsidRPr="000817F2" w:rsidRDefault="003E5904" w:rsidP="00F615BA">
            <w:pPr>
              <w:adjustRightInd w:val="0"/>
              <w:snapToGrid w:val="0"/>
              <w:ind w:leftChars="-17" w:left="-58" w:rightChars="-18" w:right="-61"/>
              <w:rPr>
                <w:rFonts w:hAnsi="標楷體"/>
                <w:sz w:val="28"/>
                <w:szCs w:val="28"/>
              </w:rPr>
            </w:pPr>
            <w:r w:rsidRPr="000817F2">
              <w:rPr>
                <w:rFonts w:hAnsi="標楷體" w:hint="eastAsia"/>
                <w:sz w:val="28"/>
                <w:szCs w:val="28"/>
              </w:rPr>
              <w:t>人數</w:t>
            </w:r>
          </w:p>
        </w:tc>
        <w:tc>
          <w:tcPr>
            <w:tcW w:w="507" w:type="pct"/>
            <w:vAlign w:val="center"/>
          </w:tcPr>
          <w:p w:rsidR="003E5904" w:rsidRPr="000817F2" w:rsidRDefault="003E5904" w:rsidP="00F615BA">
            <w:pPr>
              <w:adjustRightInd w:val="0"/>
              <w:snapToGrid w:val="0"/>
              <w:jc w:val="right"/>
              <w:rPr>
                <w:sz w:val="28"/>
                <w:szCs w:val="28"/>
              </w:rPr>
            </w:pPr>
            <w:r w:rsidRPr="000817F2">
              <w:rPr>
                <w:rFonts w:hint="eastAsia"/>
                <w:sz w:val="28"/>
                <w:szCs w:val="28"/>
              </w:rPr>
              <w:t>2,521</w:t>
            </w:r>
          </w:p>
        </w:tc>
        <w:tc>
          <w:tcPr>
            <w:tcW w:w="507" w:type="pct"/>
            <w:vAlign w:val="center"/>
          </w:tcPr>
          <w:p w:rsidR="003E5904" w:rsidRPr="000817F2" w:rsidRDefault="003E5904" w:rsidP="00F615BA">
            <w:pPr>
              <w:adjustRightInd w:val="0"/>
              <w:snapToGrid w:val="0"/>
              <w:jc w:val="right"/>
              <w:rPr>
                <w:sz w:val="28"/>
                <w:szCs w:val="28"/>
              </w:rPr>
            </w:pPr>
            <w:r w:rsidRPr="000817F2">
              <w:rPr>
                <w:rFonts w:hint="eastAsia"/>
                <w:sz w:val="28"/>
                <w:szCs w:val="28"/>
              </w:rPr>
              <w:t>2,628</w:t>
            </w:r>
          </w:p>
        </w:tc>
        <w:tc>
          <w:tcPr>
            <w:tcW w:w="507" w:type="pct"/>
            <w:vAlign w:val="center"/>
          </w:tcPr>
          <w:p w:rsidR="003E5904" w:rsidRPr="000817F2" w:rsidRDefault="003E5904" w:rsidP="00F615BA">
            <w:pPr>
              <w:adjustRightInd w:val="0"/>
              <w:snapToGrid w:val="0"/>
              <w:jc w:val="right"/>
              <w:rPr>
                <w:sz w:val="28"/>
                <w:szCs w:val="28"/>
              </w:rPr>
            </w:pPr>
            <w:r w:rsidRPr="000817F2">
              <w:rPr>
                <w:rFonts w:hint="eastAsia"/>
                <w:sz w:val="28"/>
                <w:szCs w:val="28"/>
              </w:rPr>
              <w:t>2,596</w:t>
            </w:r>
          </w:p>
        </w:tc>
        <w:tc>
          <w:tcPr>
            <w:tcW w:w="507" w:type="pct"/>
            <w:vAlign w:val="center"/>
          </w:tcPr>
          <w:p w:rsidR="003E5904" w:rsidRPr="000817F2" w:rsidRDefault="003E5904" w:rsidP="00F615BA">
            <w:pPr>
              <w:adjustRightInd w:val="0"/>
              <w:snapToGrid w:val="0"/>
              <w:jc w:val="right"/>
              <w:rPr>
                <w:sz w:val="28"/>
                <w:szCs w:val="28"/>
              </w:rPr>
            </w:pPr>
            <w:r w:rsidRPr="000817F2">
              <w:rPr>
                <w:rFonts w:hint="eastAsia"/>
                <w:sz w:val="28"/>
                <w:szCs w:val="28"/>
              </w:rPr>
              <w:t>2,648</w:t>
            </w:r>
          </w:p>
        </w:tc>
        <w:tc>
          <w:tcPr>
            <w:tcW w:w="507" w:type="pct"/>
            <w:vAlign w:val="center"/>
          </w:tcPr>
          <w:p w:rsidR="003E5904" w:rsidRPr="000817F2" w:rsidRDefault="003E5904" w:rsidP="00F615BA">
            <w:pPr>
              <w:adjustRightInd w:val="0"/>
              <w:snapToGrid w:val="0"/>
              <w:jc w:val="right"/>
              <w:rPr>
                <w:sz w:val="28"/>
                <w:szCs w:val="28"/>
              </w:rPr>
            </w:pPr>
            <w:r w:rsidRPr="000817F2">
              <w:rPr>
                <w:rFonts w:hint="eastAsia"/>
                <w:sz w:val="28"/>
                <w:szCs w:val="28"/>
              </w:rPr>
              <w:t>2,800</w:t>
            </w:r>
          </w:p>
        </w:tc>
        <w:tc>
          <w:tcPr>
            <w:tcW w:w="507" w:type="pct"/>
            <w:vAlign w:val="center"/>
          </w:tcPr>
          <w:p w:rsidR="003E5904" w:rsidRPr="000817F2" w:rsidRDefault="003E5904" w:rsidP="00F615BA">
            <w:pPr>
              <w:adjustRightInd w:val="0"/>
              <w:snapToGrid w:val="0"/>
              <w:jc w:val="right"/>
              <w:rPr>
                <w:sz w:val="28"/>
                <w:szCs w:val="28"/>
              </w:rPr>
            </w:pPr>
            <w:r w:rsidRPr="000817F2">
              <w:rPr>
                <w:rFonts w:hint="eastAsia"/>
                <w:sz w:val="28"/>
                <w:szCs w:val="28"/>
              </w:rPr>
              <w:t>2,778</w:t>
            </w:r>
          </w:p>
        </w:tc>
        <w:tc>
          <w:tcPr>
            <w:tcW w:w="507" w:type="pct"/>
            <w:vAlign w:val="center"/>
          </w:tcPr>
          <w:p w:rsidR="003E5904" w:rsidRPr="000817F2" w:rsidRDefault="003E5904" w:rsidP="00F615BA">
            <w:pPr>
              <w:adjustRightInd w:val="0"/>
              <w:snapToGrid w:val="0"/>
              <w:jc w:val="right"/>
              <w:rPr>
                <w:sz w:val="28"/>
                <w:szCs w:val="28"/>
              </w:rPr>
            </w:pPr>
            <w:r w:rsidRPr="000817F2">
              <w:rPr>
                <w:rFonts w:hint="eastAsia"/>
                <w:sz w:val="28"/>
                <w:szCs w:val="28"/>
              </w:rPr>
              <w:t>-</w:t>
            </w:r>
          </w:p>
        </w:tc>
        <w:tc>
          <w:tcPr>
            <w:tcW w:w="507" w:type="pct"/>
          </w:tcPr>
          <w:p w:rsidR="003E5904" w:rsidRPr="000817F2" w:rsidRDefault="003E5904" w:rsidP="00F615BA">
            <w:pPr>
              <w:adjustRightInd w:val="0"/>
              <w:snapToGrid w:val="0"/>
              <w:jc w:val="right"/>
              <w:rPr>
                <w:sz w:val="28"/>
                <w:szCs w:val="28"/>
              </w:rPr>
            </w:pPr>
            <w:r w:rsidRPr="000817F2">
              <w:rPr>
                <w:rFonts w:hint="eastAsia"/>
                <w:sz w:val="28"/>
                <w:szCs w:val="28"/>
              </w:rPr>
              <w:t>-</w:t>
            </w:r>
          </w:p>
        </w:tc>
      </w:tr>
      <w:tr w:rsidR="000817F2" w:rsidRPr="000817F2" w:rsidTr="00F615BA">
        <w:trPr>
          <w:trHeight w:val="454"/>
        </w:trPr>
        <w:tc>
          <w:tcPr>
            <w:tcW w:w="276" w:type="pct"/>
            <w:vMerge/>
          </w:tcPr>
          <w:p w:rsidR="003E5904" w:rsidRPr="000817F2" w:rsidRDefault="003E5904" w:rsidP="00F615BA">
            <w:pPr>
              <w:adjustRightInd w:val="0"/>
              <w:snapToGrid w:val="0"/>
              <w:rPr>
                <w:rFonts w:hAnsi="標楷體"/>
                <w:sz w:val="28"/>
                <w:szCs w:val="28"/>
              </w:rPr>
            </w:pPr>
          </w:p>
        </w:tc>
        <w:tc>
          <w:tcPr>
            <w:tcW w:w="668" w:type="pct"/>
            <w:vAlign w:val="center"/>
          </w:tcPr>
          <w:p w:rsidR="003E5904" w:rsidRPr="000817F2" w:rsidRDefault="003E5904" w:rsidP="00F615BA">
            <w:pPr>
              <w:adjustRightInd w:val="0"/>
              <w:snapToGrid w:val="0"/>
              <w:ind w:leftChars="-17" w:left="-58" w:rightChars="-18" w:right="-61"/>
              <w:rPr>
                <w:rFonts w:hAnsi="標楷體"/>
                <w:spacing w:val="-8"/>
                <w:sz w:val="28"/>
                <w:szCs w:val="28"/>
              </w:rPr>
            </w:pPr>
            <w:r w:rsidRPr="000817F2">
              <w:rPr>
                <w:rFonts w:hAnsi="標楷體" w:hint="eastAsia"/>
                <w:spacing w:val="-8"/>
                <w:sz w:val="28"/>
                <w:szCs w:val="28"/>
              </w:rPr>
              <w:t>標準化率</w:t>
            </w:r>
          </w:p>
          <w:p w:rsidR="003E5904" w:rsidRPr="000817F2" w:rsidRDefault="003E5904" w:rsidP="00F615BA">
            <w:pPr>
              <w:adjustRightInd w:val="0"/>
              <w:snapToGrid w:val="0"/>
              <w:ind w:leftChars="-17" w:left="-58" w:rightChars="-18" w:right="-61"/>
              <w:rPr>
                <w:rFonts w:hAnsi="標楷體"/>
                <w:w w:val="66"/>
                <w:sz w:val="28"/>
                <w:szCs w:val="28"/>
              </w:rPr>
            </w:pPr>
            <w:r w:rsidRPr="000817F2">
              <w:rPr>
                <w:rFonts w:hAnsi="標楷體" w:hint="eastAsia"/>
                <w:w w:val="66"/>
                <w:sz w:val="18"/>
                <w:szCs w:val="28"/>
              </w:rPr>
              <w:t>(單位：每10萬人)</w:t>
            </w:r>
          </w:p>
        </w:tc>
        <w:tc>
          <w:tcPr>
            <w:tcW w:w="507" w:type="pct"/>
            <w:vAlign w:val="center"/>
          </w:tcPr>
          <w:p w:rsidR="003E5904" w:rsidRPr="000817F2" w:rsidRDefault="003E5904" w:rsidP="00F615BA">
            <w:pPr>
              <w:adjustRightInd w:val="0"/>
              <w:snapToGrid w:val="0"/>
              <w:jc w:val="right"/>
              <w:rPr>
                <w:sz w:val="28"/>
                <w:szCs w:val="28"/>
              </w:rPr>
            </w:pPr>
            <w:r w:rsidRPr="000817F2">
              <w:rPr>
                <w:rFonts w:hint="eastAsia"/>
                <w:sz w:val="28"/>
                <w:szCs w:val="28"/>
              </w:rPr>
              <w:t>7.53</w:t>
            </w:r>
          </w:p>
        </w:tc>
        <w:tc>
          <w:tcPr>
            <w:tcW w:w="507" w:type="pct"/>
            <w:vAlign w:val="center"/>
          </w:tcPr>
          <w:p w:rsidR="003E5904" w:rsidRPr="000817F2" w:rsidRDefault="003E5904" w:rsidP="00F615BA">
            <w:pPr>
              <w:adjustRightInd w:val="0"/>
              <w:snapToGrid w:val="0"/>
              <w:jc w:val="right"/>
              <w:rPr>
                <w:sz w:val="28"/>
                <w:szCs w:val="28"/>
              </w:rPr>
            </w:pPr>
            <w:r w:rsidRPr="000817F2">
              <w:rPr>
                <w:rFonts w:hint="eastAsia"/>
                <w:sz w:val="28"/>
                <w:szCs w:val="28"/>
              </w:rPr>
              <w:t>7.68</w:t>
            </w:r>
          </w:p>
        </w:tc>
        <w:tc>
          <w:tcPr>
            <w:tcW w:w="507" w:type="pct"/>
            <w:vAlign w:val="center"/>
          </w:tcPr>
          <w:p w:rsidR="003E5904" w:rsidRPr="000817F2" w:rsidRDefault="003E5904" w:rsidP="00F615BA">
            <w:pPr>
              <w:adjustRightInd w:val="0"/>
              <w:snapToGrid w:val="0"/>
              <w:jc w:val="right"/>
              <w:rPr>
                <w:sz w:val="28"/>
                <w:szCs w:val="28"/>
              </w:rPr>
            </w:pPr>
            <w:r w:rsidRPr="000817F2">
              <w:rPr>
                <w:rFonts w:hint="eastAsia"/>
                <w:sz w:val="28"/>
                <w:szCs w:val="28"/>
              </w:rPr>
              <w:t>7.39</w:t>
            </w:r>
          </w:p>
        </w:tc>
        <w:tc>
          <w:tcPr>
            <w:tcW w:w="507" w:type="pct"/>
            <w:vAlign w:val="center"/>
          </w:tcPr>
          <w:p w:rsidR="003E5904" w:rsidRPr="000817F2" w:rsidRDefault="003E5904" w:rsidP="00F615BA">
            <w:pPr>
              <w:adjustRightInd w:val="0"/>
              <w:snapToGrid w:val="0"/>
              <w:jc w:val="right"/>
              <w:rPr>
                <w:sz w:val="28"/>
                <w:szCs w:val="28"/>
              </w:rPr>
            </w:pPr>
            <w:r w:rsidRPr="000817F2">
              <w:rPr>
                <w:rFonts w:hint="eastAsia"/>
                <w:sz w:val="28"/>
                <w:szCs w:val="28"/>
              </w:rPr>
              <w:t>7.38</w:t>
            </w:r>
          </w:p>
        </w:tc>
        <w:tc>
          <w:tcPr>
            <w:tcW w:w="507" w:type="pct"/>
            <w:vAlign w:val="center"/>
          </w:tcPr>
          <w:p w:rsidR="003E5904" w:rsidRPr="000817F2" w:rsidRDefault="003E5904" w:rsidP="00F615BA">
            <w:pPr>
              <w:adjustRightInd w:val="0"/>
              <w:snapToGrid w:val="0"/>
              <w:jc w:val="right"/>
              <w:rPr>
                <w:sz w:val="28"/>
                <w:szCs w:val="28"/>
              </w:rPr>
            </w:pPr>
            <w:r w:rsidRPr="000817F2">
              <w:rPr>
                <w:rFonts w:hint="eastAsia"/>
                <w:sz w:val="28"/>
                <w:szCs w:val="28"/>
              </w:rPr>
              <w:t>7.63</w:t>
            </w:r>
          </w:p>
        </w:tc>
        <w:tc>
          <w:tcPr>
            <w:tcW w:w="507" w:type="pct"/>
            <w:vAlign w:val="center"/>
          </w:tcPr>
          <w:p w:rsidR="003E5904" w:rsidRPr="000817F2" w:rsidRDefault="003E5904" w:rsidP="00F615BA">
            <w:pPr>
              <w:adjustRightInd w:val="0"/>
              <w:snapToGrid w:val="0"/>
              <w:jc w:val="right"/>
              <w:rPr>
                <w:sz w:val="28"/>
                <w:szCs w:val="28"/>
              </w:rPr>
            </w:pPr>
            <w:r w:rsidRPr="000817F2">
              <w:rPr>
                <w:rFonts w:hint="eastAsia"/>
                <w:sz w:val="28"/>
                <w:szCs w:val="28"/>
              </w:rPr>
              <w:t>7.37</w:t>
            </w:r>
          </w:p>
        </w:tc>
        <w:tc>
          <w:tcPr>
            <w:tcW w:w="507" w:type="pct"/>
            <w:vAlign w:val="center"/>
          </w:tcPr>
          <w:p w:rsidR="003E5904" w:rsidRPr="000817F2" w:rsidRDefault="003E5904" w:rsidP="00F615BA">
            <w:pPr>
              <w:adjustRightInd w:val="0"/>
              <w:snapToGrid w:val="0"/>
              <w:jc w:val="right"/>
              <w:rPr>
                <w:sz w:val="28"/>
                <w:szCs w:val="28"/>
              </w:rPr>
            </w:pPr>
            <w:r w:rsidRPr="000817F2">
              <w:rPr>
                <w:rFonts w:hint="eastAsia"/>
                <w:sz w:val="28"/>
                <w:szCs w:val="28"/>
              </w:rPr>
              <w:t>-</w:t>
            </w:r>
          </w:p>
        </w:tc>
        <w:tc>
          <w:tcPr>
            <w:tcW w:w="507" w:type="pct"/>
          </w:tcPr>
          <w:p w:rsidR="003E5904" w:rsidRPr="000817F2" w:rsidRDefault="003E5904" w:rsidP="00F615BA">
            <w:pPr>
              <w:adjustRightInd w:val="0"/>
              <w:snapToGrid w:val="0"/>
              <w:jc w:val="right"/>
              <w:rPr>
                <w:sz w:val="28"/>
                <w:szCs w:val="28"/>
              </w:rPr>
            </w:pPr>
            <w:r w:rsidRPr="000817F2">
              <w:rPr>
                <w:rFonts w:hint="eastAsia"/>
                <w:sz w:val="28"/>
                <w:szCs w:val="28"/>
              </w:rPr>
              <w:t>-</w:t>
            </w:r>
          </w:p>
        </w:tc>
      </w:tr>
      <w:tr w:rsidR="000817F2" w:rsidRPr="000817F2" w:rsidTr="003A2792">
        <w:trPr>
          <w:trHeight w:val="454"/>
        </w:trPr>
        <w:tc>
          <w:tcPr>
            <w:tcW w:w="276" w:type="pct"/>
            <w:vMerge w:val="restart"/>
          </w:tcPr>
          <w:p w:rsidR="003E5904" w:rsidRPr="000817F2" w:rsidRDefault="003E5904" w:rsidP="00F615BA">
            <w:pPr>
              <w:adjustRightInd w:val="0"/>
              <w:snapToGrid w:val="0"/>
              <w:rPr>
                <w:rFonts w:hAnsi="標楷體"/>
                <w:sz w:val="28"/>
                <w:szCs w:val="28"/>
              </w:rPr>
            </w:pPr>
            <w:r w:rsidRPr="000817F2">
              <w:rPr>
                <w:rFonts w:hAnsi="標楷體" w:hint="eastAsia"/>
                <w:sz w:val="28"/>
                <w:szCs w:val="28"/>
              </w:rPr>
              <w:t>死亡</w:t>
            </w:r>
          </w:p>
        </w:tc>
        <w:tc>
          <w:tcPr>
            <w:tcW w:w="668" w:type="pct"/>
            <w:vAlign w:val="center"/>
          </w:tcPr>
          <w:p w:rsidR="003E5904" w:rsidRPr="000817F2" w:rsidRDefault="003E5904" w:rsidP="00F615BA">
            <w:pPr>
              <w:adjustRightInd w:val="0"/>
              <w:snapToGrid w:val="0"/>
              <w:ind w:leftChars="-17" w:left="-58" w:rightChars="-18" w:right="-61"/>
              <w:rPr>
                <w:rFonts w:hAnsi="標楷體"/>
                <w:sz w:val="28"/>
                <w:szCs w:val="28"/>
              </w:rPr>
            </w:pPr>
            <w:r w:rsidRPr="000817F2">
              <w:rPr>
                <w:rFonts w:hAnsi="標楷體" w:hint="eastAsia"/>
                <w:sz w:val="28"/>
                <w:szCs w:val="28"/>
              </w:rPr>
              <w:t>人數</w:t>
            </w:r>
          </w:p>
        </w:tc>
        <w:tc>
          <w:tcPr>
            <w:tcW w:w="507" w:type="pct"/>
            <w:vAlign w:val="center"/>
          </w:tcPr>
          <w:p w:rsidR="003E5904" w:rsidRPr="000817F2" w:rsidRDefault="003E5904" w:rsidP="00F615BA">
            <w:pPr>
              <w:adjustRightInd w:val="0"/>
              <w:snapToGrid w:val="0"/>
              <w:jc w:val="right"/>
              <w:rPr>
                <w:rFonts w:hAnsi="標楷體"/>
                <w:sz w:val="28"/>
                <w:szCs w:val="28"/>
              </w:rPr>
            </w:pPr>
            <w:r w:rsidRPr="000817F2">
              <w:rPr>
                <w:rFonts w:hAnsi="標楷體"/>
                <w:sz w:val="28"/>
                <w:szCs w:val="28"/>
              </w:rPr>
              <w:t>1,660</w:t>
            </w:r>
          </w:p>
        </w:tc>
        <w:tc>
          <w:tcPr>
            <w:tcW w:w="507" w:type="pct"/>
            <w:vAlign w:val="center"/>
          </w:tcPr>
          <w:p w:rsidR="003E5904" w:rsidRPr="000817F2" w:rsidRDefault="003E5904" w:rsidP="00F615BA">
            <w:pPr>
              <w:adjustRightInd w:val="0"/>
              <w:snapToGrid w:val="0"/>
              <w:jc w:val="right"/>
              <w:rPr>
                <w:rFonts w:hAnsi="標楷體"/>
                <w:sz w:val="28"/>
                <w:szCs w:val="28"/>
              </w:rPr>
            </w:pPr>
            <w:r w:rsidRPr="000817F2">
              <w:rPr>
                <w:rFonts w:hAnsi="標楷體"/>
                <w:sz w:val="28"/>
                <w:szCs w:val="28"/>
              </w:rPr>
              <w:t>1,791</w:t>
            </w:r>
          </w:p>
        </w:tc>
        <w:tc>
          <w:tcPr>
            <w:tcW w:w="507" w:type="pct"/>
            <w:vAlign w:val="center"/>
          </w:tcPr>
          <w:p w:rsidR="003E5904" w:rsidRPr="000817F2" w:rsidRDefault="003E5904" w:rsidP="00F615BA">
            <w:pPr>
              <w:adjustRightInd w:val="0"/>
              <w:snapToGrid w:val="0"/>
              <w:jc w:val="right"/>
              <w:rPr>
                <w:rFonts w:hAnsi="標楷體"/>
                <w:sz w:val="28"/>
                <w:szCs w:val="28"/>
              </w:rPr>
            </w:pPr>
            <w:r w:rsidRPr="000817F2">
              <w:rPr>
                <w:rFonts w:hAnsi="標楷體"/>
                <w:sz w:val="28"/>
                <w:szCs w:val="28"/>
              </w:rPr>
              <w:t>1,807</w:t>
            </w:r>
          </w:p>
        </w:tc>
        <w:tc>
          <w:tcPr>
            <w:tcW w:w="507" w:type="pct"/>
            <w:vAlign w:val="center"/>
          </w:tcPr>
          <w:p w:rsidR="003E5904" w:rsidRPr="000817F2" w:rsidRDefault="003E5904" w:rsidP="00F615BA">
            <w:pPr>
              <w:adjustRightInd w:val="0"/>
              <w:snapToGrid w:val="0"/>
              <w:jc w:val="right"/>
              <w:rPr>
                <w:rFonts w:hAnsi="標楷體"/>
                <w:sz w:val="28"/>
                <w:szCs w:val="28"/>
              </w:rPr>
            </w:pPr>
            <w:r w:rsidRPr="000817F2">
              <w:rPr>
                <w:rFonts w:hAnsi="標楷體"/>
                <w:sz w:val="28"/>
                <w:szCs w:val="28"/>
              </w:rPr>
              <w:t>1,731</w:t>
            </w:r>
          </w:p>
        </w:tc>
        <w:tc>
          <w:tcPr>
            <w:tcW w:w="507" w:type="pct"/>
            <w:vAlign w:val="center"/>
          </w:tcPr>
          <w:p w:rsidR="003E5904" w:rsidRPr="000817F2" w:rsidRDefault="003E5904" w:rsidP="00F615BA">
            <w:pPr>
              <w:adjustRightInd w:val="0"/>
              <w:snapToGrid w:val="0"/>
              <w:jc w:val="right"/>
              <w:rPr>
                <w:rFonts w:hAnsi="標楷體"/>
                <w:sz w:val="28"/>
                <w:szCs w:val="28"/>
              </w:rPr>
            </w:pPr>
            <w:r w:rsidRPr="000817F2">
              <w:rPr>
                <w:rFonts w:hAnsi="標楷體"/>
                <w:sz w:val="28"/>
                <w:szCs w:val="28"/>
              </w:rPr>
              <w:t>1,797</w:t>
            </w:r>
          </w:p>
        </w:tc>
        <w:tc>
          <w:tcPr>
            <w:tcW w:w="507" w:type="pct"/>
            <w:vAlign w:val="center"/>
          </w:tcPr>
          <w:p w:rsidR="003E5904" w:rsidRPr="000817F2" w:rsidRDefault="003E5904" w:rsidP="00F615BA">
            <w:pPr>
              <w:adjustRightInd w:val="0"/>
              <w:snapToGrid w:val="0"/>
              <w:jc w:val="right"/>
              <w:rPr>
                <w:rFonts w:hAnsi="標楷體"/>
                <w:sz w:val="28"/>
                <w:szCs w:val="28"/>
              </w:rPr>
            </w:pPr>
            <w:r w:rsidRPr="000817F2">
              <w:rPr>
                <w:rFonts w:hAnsi="標楷體"/>
                <w:sz w:val="28"/>
                <w:szCs w:val="28"/>
              </w:rPr>
              <w:t>1,929</w:t>
            </w:r>
          </w:p>
        </w:tc>
        <w:tc>
          <w:tcPr>
            <w:tcW w:w="507" w:type="pct"/>
            <w:vAlign w:val="center"/>
          </w:tcPr>
          <w:p w:rsidR="003E5904" w:rsidRPr="000817F2" w:rsidRDefault="003E5904" w:rsidP="00F615BA">
            <w:pPr>
              <w:adjustRightInd w:val="0"/>
              <w:snapToGrid w:val="0"/>
              <w:jc w:val="right"/>
              <w:rPr>
                <w:rFonts w:hAnsi="標楷體"/>
                <w:sz w:val="28"/>
                <w:szCs w:val="28"/>
              </w:rPr>
            </w:pPr>
            <w:r w:rsidRPr="000817F2">
              <w:rPr>
                <w:rFonts w:hAnsi="標楷體"/>
                <w:sz w:val="28"/>
                <w:szCs w:val="28"/>
              </w:rPr>
              <w:t>1,983</w:t>
            </w:r>
          </w:p>
        </w:tc>
        <w:tc>
          <w:tcPr>
            <w:tcW w:w="507" w:type="pct"/>
            <w:vAlign w:val="center"/>
          </w:tcPr>
          <w:p w:rsidR="003E5904" w:rsidRPr="000817F2" w:rsidRDefault="003E5904" w:rsidP="00F615BA">
            <w:pPr>
              <w:adjustRightInd w:val="0"/>
              <w:snapToGrid w:val="0"/>
              <w:jc w:val="right"/>
              <w:rPr>
                <w:rFonts w:hAnsi="標楷體"/>
                <w:sz w:val="28"/>
                <w:szCs w:val="28"/>
              </w:rPr>
            </w:pPr>
            <w:r w:rsidRPr="000817F2">
              <w:rPr>
                <w:rFonts w:hAnsi="標楷體"/>
                <w:sz w:val="28"/>
                <w:szCs w:val="28"/>
              </w:rPr>
              <w:t>1,954</w:t>
            </w:r>
          </w:p>
        </w:tc>
      </w:tr>
      <w:tr w:rsidR="000817F2" w:rsidRPr="000817F2" w:rsidTr="00F615BA">
        <w:trPr>
          <w:trHeight w:val="604"/>
        </w:trPr>
        <w:tc>
          <w:tcPr>
            <w:tcW w:w="276" w:type="pct"/>
            <w:vMerge/>
          </w:tcPr>
          <w:p w:rsidR="003E5904" w:rsidRPr="000817F2" w:rsidRDefault="003E5904" w:rsidP="00F615BA">
            <w:pPr>
              <w:adjustRightInd w:val="0"/>
              <w:snapToGrid w:val="0"/>
              <w:rPr>
                <w:rFonts w:hAnsi="標楷體"/>
                <w:sz w:val="28"/>
                <w:szCs w:val="28"/>
              </w:rPr>
            </w:pPr>
          </w:p>
        </w:tc>
        <w:tc>
          <w:tcPr>
            <w:tcW w:w="668" w:type="pct"/>
            <w:vAlign w:val="center"/>
          </w:tcPr>
          <w:p w:rsidR="003E5904" w:rsidRPr="000817F2" w:rsidRDefault="003E5904" w:rsidP="00F615BA">
            <w:pPr>
              <w:adjustRightInd w:val="0"/>
              <w:snapToGrid w:val="0"/>
              <w:ind w:leftChars="-17" w:left="-58" w:rightChars="-18" w:right="-61"/>
              <w:rPr>
                <w:rFonts w:hAnsi="標楷體"/>
                <w:spacing w:val="-8"/>
                <w:sz w:val="28"/>
                <w:szCs w:val="28"/>
              </w:rPr>
            </w:pPr>
            <w:r w:rsidRPr="000817F2">
              <w:rPr>
                <w:rFonts w:hAnsi="標楷體" w:hint="eastAsia"/>
                <w:spacing w:val="-8"/>
                <w:sz w:val="28"/>
                <w:szCs w:val="28"/>
              </w:rPr>
              <w:t>標準化率</w:t>
            </w:r>
          </w:p>
          <w:p w:rsidR="003E5904" w:rsidRPr="000817F2" w:rsidRDefault="003E5904" w:rsidP="00F615BA">
            <w:pPr>
              <w:adjustRightInd w:val="0"/>
              <w:snapToGrid w:val="0"/>
              <w:ind w:leftChars="-17" w:left="-58" w:rightChars="-18" w:right="-61"/>
              <w:rPr>
                <w:rFonts w:hAnsi="標楷體"/>
                <w:sz w:val="28"/>
                <w:szCs w:val="28"/>
              </w:rPr>
            </w:pPr>
            <w:r w:rsidRPr="000817F2">
              <w:rPr>
                <w:rFonts w:hAnsi="標楷體" w:hint="eastAsia"/>
                <w:w w:val="66"/>
                <w:sz w:val="18"/>
                <w:szCs w:val="28"/>
              </w:rPr>
              <w:t>(單位：每10萬人)</w:t>
            </w:r>
          </w:p>
        </w:tc>
        <w:tc>
          <w:tcPr>
            <w:tcW w:w="507" w:type="pct"/>
            <w:vAlign w:val="center"/>
          </w:tcPr>
          <w:p w:rsidR="003E5904" w:rsidRPr="000817F2" w:rsidRDefault="003E5904" w:rsidP="00F615BA">
            <w:pPr>
              <w:adjustRightInd w:val="0"/>
              <w:snapToGrid w:val="0"/>
              <w:jc w:val="right"/>
              <w:rPr>
                <w:rFonts w:hAnsi="標楷體"/>
                <w:sz w:val="28"/>
                <w:szCs w:val="28"/>
              </w:rPr>
            </w:pPr>
            <w:r w:rsidRPr="000817F2">
              <w:rPr>
                <w:rFonts w:hAnsi="標楷體"/>
                <w:sz w:val="28"/>
                <w:szCs w:val="28"/>
              </w:rPr>
              <w:t>5.0</w:t>
            </w:r>
          </w:p>
        </w:tc>
        <w:tc>
          <w:tcPr>
            <w:tcW w:w="507" w:type="pct"/>
            <w:vAlign w:val="center"/>
          </w:tcPr>
          <w:p w:rsidR="003E5904" w:rsidRPr="000817F2" w:rsidRDefault="003E5904" w:rsidP="00F615BA">
            <w:pPr>
              <w:adjustRightInd w:val="0"/>
              <w:snapToGrid w:val="0"/>
              <w:jc w:val="right"/>
              <w:rPr>
                <w:rFonts w:hAnsi="標楷體"/>
                <w:sz w:val="28"/>
                <w:szCs w:val="28"/>
              </w:rPr>
            </w:pPr>
            <w:r w:rsidRPr="000817F2">
              <w:rPr>
                <w:rFonts w:hAnsi="標楷體"/>
                <w:sz w:val="28"/>
                <w:szCs w:val="28"/>
              </w:rPr>
              <w:t>5.2</w:t>
            </w:r>
          </w:p>
        </w:tc>
        <w:tc>
          <w:tcPr>
            <w:tcW w:w="507" w:type="pct"/>
            <w:vAlign w:val="center"/>
          </w:tcPr>
          <w:p w:rsidR="003E5904" w:rsidRPr="000817F2" w:rsidRDefault="003E5904" w:rsidP="00F615BA">
            <w:pPr>
              <w:adjustRightInd w:val="0"/>
              <w:snapToGrid w:val="0"/>
              <w:jc w:val="right"/>
              <w:rPr>
                <w:rFonts w:hAnsi="標楷體"/>
                <w:sz w:val="28"/>
                <w:szCs w:val="28"/>
              </w:rPr>
            </w:pPr>
            <w:r w:rsidRPr="000817F2">
              <w:rPr>
                <w:rFonts w:hAnsi="標楷體"/>
                <w:sz w:val="28"/>
                <w:szCs w:val="28"/>
              </w:rPr>
              <w:t>5.1</w:t>
            </w:r>
          </w:p>
        </w:tc>
        <w:tc>
          <w:tcPr>
            <w:tcW w:w="507" w:type="pct"/>
            <w:vAlign w:val="center"/>
          </w:tcPr>
          <w:p w:rsidR="003E5904" w:rsidRPr="000817F2" w:rsidRDefault="003E5904" w:rsidP="00F615BA">
            <w:pPr>
              <w:adjustRightInd w:val="0"/>
              <w:snapToGrid w:val="0"/>
              <w:jc w:val="right"/>
              <w:rPr>
                <w:rFonts w:hAnsi="標楷體"/>
                <w:sz w:val="28"/>
                <w:szCs w:val="28"/>
              </w:rPr>
            </w:pPr>
            <w:r w:rsidRPr="000817F2">
              <w:rPr>
                <w:rFonts w:hAnsi="標楷體"/>
                <w:sz w:val="28"/>
                <w:szCs w:val="28"/>
              </w:rPr>
              <w:t>4.8</w:t>
            </w:r>
          </w:p>
        </w:tc>
        <w:tc>
          <w:tcPr>
            <w:tcW w:w="507" w:type="pct"/>
            <w:vAlign w:val="center"/>
          </w:tcPr>
          <w:p w:rsidR="003E5904" w:rsidRPr="000817F2" w:rsidRDefault="003E5904" w:rsidP="00F615BA">
            <w:pPr>
              <w:adjustRightInd w:val="0"/>
              <w:snapToGrid w:val="0"/>
              <w:jc w:val="right"/>
              <w:rPr>
                <w:rFonts w:hAnsi="標楷體"/>
                <w:sz w:val="28"/>
                <w:szCs w:val="28"/>
              </w:rPr>
            </w:pPr>
            <w:r w:rsidRPr="000817F2">
              <w:rPr>
                <w:rFonts w:hAnsi="標楷體"/>
                <w:sz w:val="28"/>
                <w:szCs w:val="28"/>
              </w:rPr>
              <w:t>4.8</w:t>
            </w:r>
          </w:p>
        </w:tc>
        <w:tc>
          <w:tcPr>
            <w:tcW w:w="507" w:type="pct"/>
            <w:vAlign w:val="center"/>
          </w:tcPr>
          <w:p w:rsidR="003E5904" w:rsidRPr="000817F2" w:rsidRDefault="003E5904" w:rsidP="00F615BA">
            <w:pPr>
              <w:adjustRightInd w:val="0"/>
              <w:snapToGrid w:val="0"/>
              <w:jc w:val="right"/>
              <w:rPr>
                <w:rFonts w:hAnsi="標楷體"/>
                <w:sz w:val="28"/>
                <w:szCs w:val="28"/>
              </w:rPr>
            </w:pPr>
            <w:r w:rsidRPr="000817F2">
              <w:rPr>
                <w:rFonts w:hAnsi="標楷體"/>
                <w:sz w:val="28"/>
                <w:szCs w:val="28"/>
              </w:rPr>
              <w:t>5.1</w:t>
            </w:r>
          </w:p>
        </w:tc>
        <w:tc>
          <w:tcPr>
            <w:tcW w:w="507" w:type="pct"/>
            <w:vAlign w:val="center"/>
          </w:tcPr>
          <w:p w:rsidR="003E5904" w:rsidRPr="000817F2" w:rsidRDefault="003E5904" w:rsidP="00F615BA">
            <w:pPr>
              <w:adjustRightInd w:val="0"/>
              <w:snapToGrid w:val="0"/>
              <w:jc w:val="right"/>
              <w:rPr>
                <w:rFonts w:hAnsi="標楷體"/>
                <w:sz w:val="28"/>
                <w:szCs w:val="28"/>
              </w:rPr>
            </w:pPr>
            <w:r w:rsidRPr="000817F2">
              <w:rPr>
                <w:rFonts w:hAnsi="標楷體"/>
                <w:sz w:val="28"/>
                <w:szCs w:val="28"/>
              </w:rPr>
              <w:t>5.1</w:t>
            </w:r>
          </w:p>
        </w:tc>
        <w:tc>
          <w:tcPr>
            <w:tcW w:w="507" w:type="pct"/>
            <w:vAlign w:val="center"/>
          </w:tcPr>
          <w:p w:rsidR="003E5904" w:rsidRPr="000817F2" w:rsidRDefault="003E5904" w:rsidP="00F615BA">
            <w:pPr>
              <w:adjustRightInd w:val="0"/>
              <w:snapToGrid w:val="0"/>
              <w:jc w:val="right"/>
              <w:rPr>
                <w:rFonts w:hAnsi="標楷體"/>
                <w:sz w:val="28"/>
                <w:szCs w:val="28"/>
              </w:rPr>
            </w:pPr>
            <w:r w:rsidRPr="000817F2">
              <w:rPr>
                <w:rFonts w:hAnsi="標楷體" w:hint="eastAsia"/>
                <w:sz w:val="28"/>
                <w:szCs w:val="28"/>
              </w:rPr>
              <w:t>4</w:t>
            </w:r>
            <w:r w:rsidRPr="000817F2">
              <w:rPr>
                <w:rFonts w:hAnsi="標楷體"/>
                <w:sz w:val="28"/>
                <w:szCs w:val="28"/>
              </w:rPr>
              <w:t>.9</w:t>
            </w:r>
          </w:p>
        </w:tc>
      </w:tr>
    </w:tbl>
    <w:p w:rsidR="003E5904" w:rsidRPr="000817F2" w:rsidRDefault="003E5904" w:rsidP="003E5904">
      <w:pPr>
        <w:snapToGrid w:val="0"/>
        <w:rPr>
          <w:rFonts w:hAnsi="標楷體"/>
          <w:sz w:val="24"/>
          <w:szCs w:val="24"/>
          <w:lang w:bidi="ne-NP"/>
        </w:rPr>
      </w:pPr>
      <w:proofErr w:type="gramStart"/>
      <w:r w:rsidRPr="000817F2">
        <w:rPr>
          <w:rFonts w:hAnsi="標楷體"/>
          <w:sz w:val="24"/>
          <w:szCs w:val="24"/>
          <w:lang w:bidi="ne-NP"/>
        </w:rPr>
        <w:t>註</w:t>
      </w:r>
      <w:proofErr w:type="gramEnd"/>
      <w:r w:rsidRPr="000817F2">
        <w:rPr>
          <w:rFonts w:hAnsi="標楷體"/>
          <w:sz w:val="24"/>
          <w:szCs w:val="24"/>
          <w:lang w:bidi="ne-NP"/>
        </w:rPr>
        <w:t>：</w:t>
      </w:r>
    </w:p>
    <w:p w:rsidR="003E5904" w:rsidRPr="000817F2" w:rsidRDefault="003E5904" w:rsidP="003E5904">
      <w:pPr>
        <w:snapToGrid w:val="0"/>
        <w:ind w:leftChars="3" w:left="140" w:hangingChars="50" w:hanging="130"/>
        <w:rPr>
          <w:rFonts w:hAnsi="標楷體"/>
          <w:sz w:val="24"/>
          <w:szCs w:val="24"/>
          <w:lang w:bidi="ne-NP"/>
        </w:rPr>
      </w:pPr>
      <w:r w:rsidRPr="000817F2">
        <w:rPr>
          <w:rFonts w:hAnsi="標楷體" w:hint="eastAsia"/>
          <w:sz w:val="24"/>
          <w:szCs w:val="24"/>
          <w:lang w:bidi="ne-NP"/>
        </w:rPr>
        <w:t>1.以上資料僅列侵襲癌個案。</w:t>
      </w:r>
    </w:p>
    <w:p w:rsidR="003E5904" w:rsidRPr="000817F2" w:rsidRDefault="003E5904" w:rsidP="003E5904">
      <w:pPr>
        <w:snapToGrid w:val="0"/>
        <w:ind w:leftChars="3" w:left="10"/>
        <w:rPr>
          <w:rFonts w:hAnsi="標楷體"/>
          <w:sz w:val="24"/>
          <w:szCs w:val="24"/>
          <w:lang w:bidi="ne-NP"/>
        </w:rPr>
      </w:pPr>
      <w:r w:rsidRPr="000817F2">
        <w:rPr>
          <w:rFonts w:hAnsi="標楷體" w:hint="eastAsia"/>
          <w:sz w:val="24"/>
          <w:szCs w:val="24"/>
          <w:lang w:bidi="ne-NP"/>
        </w:rPr>
        <w:t>2.年齡標準化率（單位每10萬人口）係使用2000年世界標準人口計算。</w:t>
      </w:r>
    </w:p>
    <w:p w:rsidR="003E5904" w:rsidRPr="000817F2" w:rsidRDefault="003E5904" w:rsidP="003E5904">
      <w:pPr>
        <w:snapToGrid w:val="0"/>
        <w:ind w:leftChars="3" w:left="10"/>
        <w:rPr>
          <w:rFonts w:hAnsi="標楷體"/>
          <w:sz w:val="24"/>
          <w:szCs w:val="24"/>
          <w:lang w:bidi="ne-NP"/>
        </w:rPr>
      </w:pPr>
      <w:r w:rsidRPr="000817F2">
        <w:rPr>
          <w:rFonts w:hAnsi="標楷體" w:hint="eastAsia"/>
          <w:sz w:val="24"/>
          <w:szCs w:val="24"/>
          <w:lang w:bidi="ne-NP"/>
        </w:rPr>
        <w:t>3.標準化發生率：癌症登記資料庫，最新至107年。</w:t>
      </w:r>
    </w:p>
    <w:p w:rsidR="003E5904" w:rsidRPr="000817F2" w:rsidRDefault="003E5904" w:rsidP="003E5904">
      <w:pPr>
        <w:pStyle w:val="3"/>
        <w:numPr>
          <w:ilvl w:val="0"/>
          <w:numId w:val="0"/>
        </w:numPr>
        <w:ind w:leftChars="1" w:left="11" w:hangingChars="3" w:hanging="8"/>
        <w:rPr>
          <w:rFonts w:hAnsi="標楷體"/>
          <w:bCs w:val="0"/>
          <w:kern w:val="2"/>
          <w:sz w:val="24"/>
          <w:szCs w:val="24"/>
          <w:lang w:bidi="ne-NP"/>
        </w:rPr>
      </w:pPr>
      <w:r w:rsidRPr="000817F2">
        <w:rPr>
          <w:rFonts w:hAnsi="標楷體" w:hint="eastAsia"/>
          <w:bCs w:val="0"/>
          <w:kern w:val="2"/>
          <w:sz w:val="24"/>
          <w:szCs w:val="24"/>
          <w:lang w:bidi="ne-NP"/>
        </w:rPr>
        <w:t>資料來源：衛福部</w:t>
      </w:r>
    </w:p>
    <w:p w:rsidR="00096215" w:rsidRPr="000817F2" w:rsidRDefault="00096215" w:rsidP="003E5904">
      <w:pPr>
        <w:pStyle w:val="3"/>
        <w:numPr>
          <w:ilvl w:val="0"/>
          <w:numId w:val="0"/>
        </w:numPr>
        <w:ind w:left="1361" w:firstLineChars="200" w:firstLine="656"/>
        <w:rPr>
          <w:spacing w:val="-6"/>
        </w:rPr>
      </w:pPr>
    </w:p>
    <w:p w:rsidR="003E5904" w:rsidRPr="000817F2" w:rsidRDefault="003E5904" w:rsidP="00D519E6">
      <w:pPr>
        <w:pStyle w:val="3"/>
        <w:numPr>
          <w:ilvl w:val="0"/>
          <w:numId w:val="0"/>
        </w:numPr>
        <w:ind w:leftChars="300" w:left="1020" w:firstLineChars="200" w:firstLine="656"/>
        <w:rPr>
          <w:spacing w:val="-6"/>
        </w:rPr>
      </w:pPr>
      <w:r w:rsidRPr="000817F2">
        <w:rPr>
          <w:rFonts w:hint="eastAsia"/>
          <w:spacing w:val="-6"/>
        </w:rPr>
        <w:t>關於食道癌之</w:t>
      </w:r>
      <w:r w:rsidR="001262C4" w:rsidRPr="000817F2">
        <w:rPr>
          <w:rFonts w:hint="eastAsia"/>
          <w:spacing w:val="-6"/>
        </w:rPr>
        <w:t>醫療</w:t>
      </w:r>
      <w:r w:rsidRPr="000817F2">
        <w:rPr>
          <w:rFonts w:hint="eastAsia"/>
          <w:spacing w:val="-6"/>
        </w:rPr>
        <w:t>健保支出費用，102-109年間醫療費用支出逐年增加，109年已達20.0億(點)為近年最高(詳如下表</w:t>
      </w:r>
      <w:r w:rsidRPr="000817F2">
        <w:rPr>
          <w:spacing w:val="-6"/>
        </w:rPr>
        <w:t>)</w:t>
      </w:r>
      <w:r w:rsidRPr="000817F2">
        <w:rPr>
          <w:rFonts w:hint="eastAsia"/>
          <w:spacing w:val="-6"/>
        </w:rPr>
        <w:t>。</w:t>
      </w:r>
    </w:p>
    <w:p w:rsidR="003E5904" w:rsidRPr="000817F2" w:rsidRDefault="003E5904" w:rsidP="003E5904">
      <w:pPr>
        <w:pStyle w:val="a3"/>
        <w:ind w:left="426" w:hanging="480"/>
        <w:jc w:val="center"/>
      </w:pPr>
      <w:r w:rsidRPr="000817F2">
        <w:rPr>
          <w:rFonts w:hint="eastAsia"/>
        </w:rPr>
        <w:t>102-109年食道癌醫療健保支出及占率</w:t>
      </w:r>
    </w:p>
    <w:p w:rsidR="003E5904" w:rsidRPr="000817F2" w:rsidRDefault="003E5904" w:rsidP="003E5904">
      <w:pPr>
        <w:pStyle w:val="4"/>
        <w:numPr>
          <w:ilvl w:val="0"/>
          <w:numId w:val="0"/>
        </w:numPr>
        <w:ind w:left="1701" w:rightChars="-108" w:right="-367"/>
        <w:jc w:val="right"/>
        <w:rPr>
          <w:sz w:val="24"/>
          <w:szCs w:val="24"/>
        </w:rPr>
      </w:pPr>
      <w:r w:rsidRPr="000817F2">
        <w:rPr>
          <w:rFonts w:hint="eastAsia"/>
          <w:sz w:val="24"/>
          <w:szCs w:val="24"/>
        </w:rPr>
        <w:t>單位：億(點)；%</w:t>
      </w:r>
    </w:p>
    <w:tbl>
      <w:tblPr>
        <w:tblStyle w:val="af6"/>
        <w:tblW w:w="5821"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31"/>
        <w:gridCol w:w="1042"/>
        <w:gridCol w:w="1012"/>
        <w:gridCol w:w="1002"/>
        <w:gridCol w:w="973"/>
        <w:gridCol w:w="975"/>
        <w:gridCol w:w="1045"/>
        <w:gridCol w:w="1002"/>
        <w:gridCol w:w="1101"/>
        <w:gridCol w:w="6"/>
      </w:tblGrid>
      <w:tr w:rsidR="000817F2" w:rsidRPr="000817F2" w:rsidTr="00F615BA">
        <w:trPr>
          <w:gridAfter w:val="1"/>
          <w:wAfter w:w="3" w:type="pct"/>
          <w:trHeight w:val="225"/>
          <w:tblHeader/>
        </w:trPr>
        <w:tc>
          <w:tcPr>
            <w:tcW w:w="1035" w:type="pct"/>
            <w:tcBorders>
              <w:bottom w:val="double" w:sz="4" w:space="0" w:color="auto"/>
            </w:tcBorders>
            <w:shd w:val="clear" w:color="auto" w:fill="DAEEF3" w:themeFill="accent5" w:themeFillTint="33"/>
            <w:vAlign w:val="center"/>
          </w:tcPr>
          <w:p w:rsidR="003E5904" w:rsidRPr="000817F2" w:rsidRDefault="003E5904" w:rsidP="00F615BA">
            <w:pPr>
              <w:spacing w:afterLines="30" w:after="137" w:line="420" w:lineRule="exact"/>
              <w:rPr>
                <w:sz w:val="28"/>
                <w:szCs w:val="28"/>
              </w:rPr>
            </w:pPr>
            <w:r w:rsidRPr="000817F2">
              <w:rPr>
                <w:sz w:val="28"/>
                <w:szCs w:val="28"/>
              </w:rPr>
              <w:t>項目</w:t>
            </w:r>
          </w:p>
        </w:tc>
        <w:tc>
          <w:tcPr>
            <w:tcW w:w="506" w:type="pct"/>
            <w:tcBorders>
              <w:bottom w:val="double" w:sz="4" w:space="0" w:color="auto"/>
            </w:tcBorders>
            <w:shd w:val="clear" w:color="auto" w:fill="DAEEF3" w:themeFill="accent5" w:themeFillTint="33"/>
            <w:vAlign w:val="center"/>
          </w:tcPr>
          <w:p w:rsidR="003E5904" w:rsidRPr="000817F2" w:rsidRDefault="003E5904" w:rsidP="00F615BA">
            <w:pPr>
              <w:spacing w:afterLines="30" w:after="137" w:line="420" w:lineRule="exact"/>
              <w:jc w:val="center"/>
              <w:rPr>
                <w:sz w:val="28"/>
                <w:szCs w:val="28"/>
              </w:rPr>
            </w:pPr>
            <w:r w:rsidRPr="000817F2">
              <w:rPr>
                <w:sz w:val="28"/>
                <w:szCs w:val="28"/>
              </w:rPr>
              <w:t>102年</w:t>
            </w:r>
          </w:p>
        </w:tc>
        <w:tc>
          <w:tcPr>
            <w:tcW w:w="492" w:type="pct"/>
            <w:tcBorders>
              <w:bottom w:val="double" w:sz="4" w:space="0" w:color="auto"/>
            </w:tcBorders>
            <w:shd w:val="clear" w:color="auto" w:fill="DAEEF3" w:themeFill="accent5" w:themeFillTint="33"/>
            <w:vAlign w:val="center"/>
          </w:tcPr>
          <w:p w:rsidR="003E5904" w:rsidRPr="000817F2" w:rsidRDefault="003E5904" w:rsidP="00F615BA">
            <w:pPr>
              <w:spacing w:afterLines="30" w:after="137" w:line="420" w:lineRule="exact"/>
              <w:jc w:val="center"/>
              <w:rPr>
                <w:sz w:val="28"/>
                <w:szCs w:val="28"/>
              </w:rPr>
            </w:pPr>
            <w:r w:rsidRPr="000817F2">
              <w:rPr>
                <w:sz w:val="28"/>
                <w:szCs w:val="28"/>
              </w:rPr>
              <w:t>103年</w:t>
            </w:r>
          </w:p>
        </w:tc>
        <w:tc>
          <w:tcPr>
            <w:tcW w:w="487" w:type="pct"/>
            <w:tcBorders>
              <w:bottom w:val="double" w:sz="4" w:space="0" w:color="auto"/>
            </w:tcBorders>
            <w:shd w:val="clear" w:color="auto" w:fill="DAEEF3" w:themeFill="accent5" w:themeFillTint="33"/>
            <w:vAlign w:val="center"/>
          </w:tcPr>
          <w:p w:rsidR="003E5904" w:rsidRPr="000817F2" w:rsidRDefault="003E5904" w:rsidP="00F615BA">
            <w:pPr>
              <w:spacing w:afterLines="30" w:after="137" w:line="420" w:lineRule="exact"/>
              <w:jc w:val="center"/>
              <w:rPr>
                <w:sz w:val="28"/>
                <w:szCs w:val="28"/>
              </w:rPr>
            </w:pPr>
            <w:r w:rsidRPr="000817F2">
              <w:rPr>
                <w:sz w:val="28"/>
                <w:szCs w:val="28"/>
              </w:rPr>
              <w:t>104年</w:t>
            </w:r>
          </w:p>
        </w:tc>
        <w:tc>
          <w:tcPr>
            <w:tcW w:w="473" w:type="pct"/>
            <w:tcBorders>
              <w:bottom w:val="double" w:sz="4" w:space="0" w:color="auto"/>
            </w:tcBorders>
            <w:shd w:val="clear" w:color="auto" w:fill="DAEEF3" w:themeFill="accent5" w:themeFillTint="33"/>
            <w:vAlign w:val="center"/>
          </w:tcPr>
          <w:p w:rsidR="003E5904" w:rsidRPr="000817F2" w:rsidRDefault="003E5904" w:rsidP="00F615BA">
            <w:pPr>
              <w:spacing w:afterLines="30" w:after="137" w:line="420" w:lineRule="exact"/>
              <w:jc w:val="center"/>
              <w:rPr>
                <w:sz w:val="28"/>
                <w:szCs w:val="28"/>
              </w:rPr>
            </w:pPr>
            <w:r w:rsidRPr="000817F2">
              <w:rPr>
                <w:sz w:val="28"/>
                <w:szCs w:val="28"/>
              </w:rPr>
              <w:t>105年</w:t>
            </w:r>
          </w:p>
        </w:tc>
        <w:tc>
          <w:tcPr>
            <w:tcW w:w="474" w:type="pct"/>
            <w:tcBorders>
              <w:bottom w:val="double" w:sz="4" w:space="0" w:color="auto"/>
            </w:tcBorders>
            <w:shd w:val="clear" w:color="auto" w:fill="DAEEF3" w:themeFill="accent5" w:themeFillTint="33"/>
            <w:vAlign w:val="center"/>
          </w:tcPr>
          <w:p w:rsidR="003E5904" w:rsidRPr="000817F2" w:rsidRDefault="003E5904" w:rsidP="00F615BA">
            <w:pPr>
              <w:spacing w:afterLines="30" w:after="137" w:line="420" w:lineRule="exact"/>
              <w:jc w:val="center"/>
              <w:rPr>
                <w:sz w:val="28"/>
                <w:szCs w:val="28"/>
              </w:rPr>
            </w:pPr>
            <w:r w:rsidRPr="000817F2">
              <w:rPr>
                <w:sz w:val="28"/>
                <w:szCs w:val="28"/>
              </w:rPr>
              <w:t>106年</w:t>
            </w:r>
          </w:p>
        </w:tc>
        <w:tc>
          <w:tcPr>
            <w:tcW w:w="508" w:type="pct"/>
            <w:tcBorders>
              <w:bottom w:val="double" w:sz="4" w:space="0" w:color="auto"/>
            </w:tcBorders>
            <w:shd w:val="clear" w:color="auto" w:fill="DAEEF3" w:themeFill="accent5" w:themeFillTint="33"/>
            <w:vAlign w:val="center"/>
          </w:tcPr>
          <w:p w:rsidR="003E5904" w:rsidRPr="000817F2" w:rsidRDefault="003E5904" w:rsidP="00F615BA">
            <w:pPr>
              <w:spacing w:afterLines="30" w:after="137" w:line="420" w:lineRule="exact"/>
              <w:jc w:val="center"/>
              <w:rPr>
                <w:sz w:val="28"/>
                <w:szCs w:val="28"/>
              </w:rPr>
            </w:pPr>
            <w:r w:rsidRPr="000817F2">
              <w:rPr>
                <w:sz w:val="28"/>
                <w:szCs w:val="28"/>
              </w:rPr>
              <w:t>107年</w:t>
            </w:r>
          </w:p>
        </w:tc>
        <w:tc>
          <w:tcPr>
            <w:tcW w:w="487" w:type="pct"/>
            <w:tcBorders>
              <w:bottom w:val="double" w:sz="4" w:space="0" w:color="auto"/>
            </w:tcBorders>
            <w:shd w:val="clear" w:color="auto" w:fill="DAEEF3" w:themeFill="accent5" w:themeFillTint="33"/>
            <w:vAlign w:val="center"/>
          </w:tcPr>
          <w:p w:rsidR="003E5904" w:rsidRPr="000817F2" w:rsidRDefault="003E5904" w:rsidP="00F615BA">
            <w:pPr>
              <w:spacing w:afterLines="30" w:after="137" w:line="420" w:lineRule="exact"/>
              <w:jc w:val="center"/>
              <w:rPr>
                <w:sz w:val="28"/>
                <w:szCs w:val="28"/>
              </w:rPr>
            </w:pPr>
            <w:r w:rsidRPr="000817F2">
              <w:rPr>
                <w:sz w:val="28"/>
                <w:szCs w:val="28"/>
              </w:rPr>
              <w:t>108年</w:t>
            </w:r>
          </w:p>
        </w:tc>
        <w:tc>
          <w:tcPr>
            <w:tcW w:w="535" w:type="pct"/>
            <w:tcBorders>
              <w:bottom w:val="double" w:sz="4" w:space="0" w:color="auto"/>
            </w:tcBorders>
            <w:shd w:val="clear" w:color="auto" w:fill="DAEEF3" w:themeFill="accent5" w:themeFillTint="33"/>
            <w:vAlign w:val="center"/>
          </w:tcPr>
          <w:p w:rsidR="003E5904" w:rsidRPr="000817F2" w:rsidRDefault="003E5904" w:rsidP="00F615BA">
            <w:pPr>
              <w:spacing w:afterLines="30" w:after="137" w:line="420" w:lineRule="exact"/>
              <w:ind w:rightChars="-28" w:right="-95"/>
              <w:jc w:val="center"/>
              <w:rPr>
                <w:sz w:val="28"/>
                <w:szCs w:val="28"/>
              </w:rPr>
            </w:pPr>
            <w:r w:rsidRPr="000817F2">
              <w:rPr>
                <w:sz w:val="28"/>
                <w:szCs w:val="28"/>
              </w:rPr>
              <w:t>109年</w:t>
            </w:r>
          </w:p>
        </w:tc>
      </w:tr>
      <w:tr w:rsidR="000817F2" w:rsidRPr="000817F2" w:rsidTr="00F615BA">
        <w:trPr>
          <w:trHeight w:val="255"/>
        </w:trPr>
        <w:tc>
          <w:tcPr>
            <w:tcW w:w="5000" w:type="pct"/>
            <w:gridSpan w:val="10"/>
            <w:tcBorders>
              <w:top w:val="double" w:sz="4" w:space="0" w:color="auto"/>
              <w:left w:val="single" w:sz="4" w:space="0" w:color="auto"/>
              <w:bottom w:val="single" w:sz="4" w:space="0" w:color="auto"/>
              <w:right w:val="single" w:sz="4" w:space="0" w:color="auto"/>
            </w:tcBorders>
            <w:vAlign w:val="center"/>
          </w:tcPr>
          <w:p w:rsidR="003E5904" w:rsidRPr="000817F2" w:rsidRDefault="003E5904" w:rsidP="00F615BA">
            <w:pPr>
              <w:spacing w:afterLines="30" w:after="137" w:line="360" w:lineRule="exact"/>
              <w:rPr>
                <w:rFonts w:hAnsi="標楷體"/>
                <w:b/>
                <w:spacing w:val="-10"/>
                <w:sz w:val="28"/>
                <w:szCs w:val="28"/>
              </w:rPr>
            </w:pPr>
            <w:r w:rsidRPr="000817F2">
              <w:rPr>
                <w:rFonts w:hAnsi="標楷體" w:hint="eastAsia"/>
                <w:b/>
                <w:spacing w:val="-10"/>
                <w:sz w:val="28"/>
                <w:szCs w:val="28"/>
              </w:rPr>
              <w:t>醫療費用點數(億點)</w:t>
            </w:r>
          </w:p>
        </w:tc>
      </w:tr>
      <w:tr w:rsidR="000817F2" w:rsidRPr="000817F2" w:rsidTr="00F615BA">
        <w:trPr>
          <w:gridAfter w:val="1"/>
          <w:wAfter w:w="3" w:type="pct"/>
          <w:trHeight w:val="255"/>
        </w:trPr>
        <w:tc>
          <w:tcPr>
            <w:tcW w:w="1035"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ind w:leftChars="15" w:left="432" w:hangingChars="127" w:hanging="381"/>
              <w:rPr>
                <w:rFonts w:hAnsi="標楷體"/>
                <w:sz w:val="28"/>
                <w:szCs w:val="28"/>
              </w:rPr>
            </w:pPr>
            <w:r w:rsidRPr="000817F2">
              <w:rPr>
                <w:rFonts w:hAnsi="標楷體" w:hint="eastAsia"/>
                <w:sz w:val="28"/>
                <w:szCs w:val="28"/>
              </w:rPr>
              <w:t>健保總支出</w:t>
            </w:r>
          </w:p>
        </w:tc>
        <w:tc>
          <w:tcPr>
            <w:tcW w:w="506"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rightChars="-26" w:right="-88"/>
              <w:jc w:val="right"/>
              <w:rPr>
                <w:spacing w:val="-20"/>
                <w:sz w:val="28"/>
                <w:szCs w:val="28"/>
              </w:rPr>
            </w:pPr>
            <w:r w:rsidRPr="000817F2">
              <w:rPr>
                <w:spacing w:val="-20"/>
                <w:sz w:val="28"/>
                <w:szCs w:val="28"/>
              </w:rPr>
              <w:t xml:space="preserve">5,895.7 </w:t>
            </w:r>
          </w:p>
        </w:tc>
        <w:tc>
          <w:tcPr>
            <w:tcW w:w="492"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rightChars="-26" w:right="-88"/>
              <w:jc w:val="right"/>
              <w:rPr>
                <w:spacing w:val="-20"/>
                <w:sz w:val="28"/>
                <w:szCs w:val="28"/>
              </w:rPr>
            </w:pPr>
            <w:r w:rsidRPr="000817F2">
              <w:rPr>
                <w:spacing w:val="-20"/>
                <w:sz w:val="28"/>
                <w:szCs w:val="28"/>
              </w:rPr>
              <w:t xml:space="preserve">6,152.6 </w:t>
            </w:r>
          </w:p>
        </w:tc>
        <w:tc>
          <w:tcPr>
            <w:tcW w:w="487"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rightChars="-26" w:right="-88"/>
              <w:jc w:val="right"/>
              <w:rPr>
                <w:spacing w:val="-20"/>
                <w:sz w:val="28"/>
                <w:szCs w:val="28"/>
              </w:rPr>
            </w:pPr>
            <w:r w:rsidRPr="000817F2">
              <w:rPr>
                <w:spacing w:val="-20"/>
                <w:sz w:val="28"/>
                <w:szCs w:val="28"/>
              </w:rPr>
              <w:t xml:space="preserve">6,303.8 </w:t>
            </w:r>
          </w:p>
        </w:tc>
        <w:tc>
          <w:tcPr>
            <w:tcW w:w="473"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rightChars="-26" w:right="-88"/>
              <w:jc w:val="right"/>
              <w:rPr>
                <w:spacing w:val="-20"/>
                <w:sz w:val="28"/>
                <w:szCs w:val="28"/>
              </w:rPr>
            </w:pPr>
            <w:r w:rsidRPr="000817F2">
              <w:rPr>
                <w:spacing w:val="-20"/>
                <w:sz w:val="28"/>
                <w:szCs w:val="28"/>
              </w:rPr>
              <w:t xml:space="preserve">6,618.7 </w:t>
            </w:r>
          </w:p>
        </w:tc>
        <w:tc>
          <w:tcPr>
            <w:tcW w:w="474"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rightChars="-26" w:right="-88"/>
              <w:jc w:val="right"/>
              <w:rPr>
                <w:spacing w:val="-20"/>
                <w:sz w:val="28"/>
                <w:szCs w:val="28"/>
              </w:rPr>
            </w:pPr>
            <w:r w:rsidRPr="000817F2">
              <w:rPr>
                <w:spacing w:val="-20"/>
                <w:sz w:val="28"/>
                <w:szCs w:val="28"/>
              </w:rPr>
              <w:t xml:space="preserve">7,008.6 </w:t>
            </w:r>
          </w:p>
        </w:tc>
        <w:tc>
          <w:tcPr>
            <w:tcW w:w="508"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rightChars="-26" w:right="-88"/>
              <w:jc w:val="right"/>
              <w:rPr>
                <w:spacing w:val="-20"/>
                <w:sz w:val="28"/>
                <w:szCs w:val="28"/>
              </w:rPr>
            </w:pPr>
            <w:r w:rsidRPr="000817F2">
              <w:rPr>
                <w:spacing w:val="-20"/>
                <w:sz w:val="28"/>
                <w:szCs w:val="28"/>
              </w:rPr>
              <w:t xml:space="preserve">7,384.1 </w:t>
            </w:r>
          </w:p>
        </w:tc>
        <w:tc>
          <w:tcPr>
            <w:tcW w:w="487"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rightChars="-26" w:right="-88"/>
              <w:jc w:val="right"/>
              <w:rPr>
                <w:spacing w:val="-20"/>
                <w:sz w:val="28"/>
                <w:szCs w:val="28"/>
              </w:rPr>
            </w:pPr>
            <w:r w:rsidRPr="000817F2">
              <w:rPr>
                <w:spacing w:val="-20"/>
                <w:sz w:val="28"/>
                <w:szCs w:val="28"/>
              </w:rPr>
              <w:t xml:space="preserve">7,731.1 </w:t>
            </w:r>
          </w:p>
        </w:tc>
        <w:tc>
          <w:tcPr>
            <w:tcW w:w="535"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rightChars="-26" w:right="-88"/>
              <w:jc w:val="right"/>
              <w:rPr>
                <w:spacing w:val="-20"/>
                <w:sz w:val="28"/>
                <w:szCs w:val="28"/>
              </w:rPr>
            </w:pPr>
            <w:r w:rsidRPr="000817F2">
              <w:rPr>
                <w:spacing w:val="-20"/>
                <w:sz w:val="28"/>
                <w:szCs w:val="28"/>
              </w:rPr>
              <w:t>7,803.8</w:t>
            </w:r>
          </w:p>
        </w:tc>
      </w:tr>
      <w:tr w:rsidR="000817F2" w:rsidRPr="000817F2" w:rsidTr="00F615BA">
        <w:trPr>
          <w:gridAfter w:val="1"/>
          <w:wAfter w:w="3" w:type="pct"/>
          <w:trHeight w:val="236"/>
        </w:trPr>
        <w:tc>
          <w:tcPr>
            <w:tcW w:w="1035"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ind w:leftChars="15" w:left="432" w:hangingChars="127" w:hanging="381"/>
              <w:rPr>
                <w:rFonts w:hAnsi="標楷體"/>
                <w:sz w:val="28"/>
                <w:szCs w:val="28"/>
              </w:rPr>
            </w:pPr>
            <w:r w:rsidRPr="000817F2">
              <w:rPr>
                <w:rFonts w:hAnsi="標楷體" w:hint="eastAsia"/>
                <w:sz w:val="28"/>
                <w:szCs w:val="28"/>
              </w:rPr>
              <w:t>癌症</w:t>
            </w:r>
          </w:p>
        </w:tc>
        <w:tc>
          <w:tcPr>
            <w:tcW w:w="506"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jc w:val="right"/>
              <w:rPr>
                <w:spacing w:val="-20"/>
                <w:sz w:val="28"/>
                <w:szCs w:val="28"/>
              </w:rPr>
            </w:pPr>
            <w:r w:rsidRPr="000817F2">
              <w:rPr>
                <w:spacing w:val="-20"/>
                <w:sz w:val="28"/>
                <w:szCs w:val="28"/>
              </w:rPr>
              <w:t xml:space="preserve">537.8 </w:t>
            </w:r>
          </w:p>
        </w:tc>
        <w:tc>
          <w:tcPr>
            <w:tcW w:w="492"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jc w:val="right"/>
              <w:rPr>
                <w:spacing w:val="-20"/>
                <w:sz w:val="28"/>
                <w:szCs w:val="28"/>
              </w:rPr>
            </w:pPr>
            <w:r w:rsidRPr="000817F2">
              <w:rPr>
                <w:spacing w:val="-20"/>
                <w:sz w:val="28"/>
                <w:szCs w:val="28"/>
              </w:rPr>
              <w:t xml:space="preserve">564.0 </w:t>
            </w:r>
          </w:p>
        </w:tc>
        <w:tc>
          <w:tcPr>
            <w:tcW w:w="487"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jc w:val="right"/>
              <w:rPr>
                <w:spacing w:val="-20"/>
                <w:sz w:val="28"/>
                <w:szCs w:val="28"/>
              </w:rPr>
            </w:pPr>
            <w:r w:rsidRPr="000817F2">
              <w:rPr>
                <w:spacing w:val="-20"/>
                <w:sz w:val="28"/>
                <w:szCs w:val="28"/>
              </w:rPr>
              <w:t xml:space="preserve">589.2 </w:t>
            </w:r>
          </w:p>
        </w:tc>
        <w:tc>
          <w:tcPr>
            <w:tcW w:w="473"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jc w:val="right"/>
              <w:rPr>
                <w:spacing w:val="-20"/>
                <w:sz w:val="28"/>
                <w:szCs w:val="28"/>
              </w:rPr>
            </w:pPr>
            <w:r w:rsidRPr="000817F2">
              <w:rPr>
                <w:spacing w:val="-20"/>
                <w:sz w:val="28"/>
                <w:szCs w:val="28"/>
              </w:rPr>
              <w:t xml:space="preserve">620.7 </w:t>
            </w:r>
          </w:p>
        </w:tc>
        <w:tc>
          <w:tcPr>
            <w:tcW w:w="474"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jc w:val="right"/>
              <w:rPr>
                <w:spacing w:val="-20"/>
                <w:sz w:val="28"/>
                <w:szCs w:val="28"/>
              </w:rPr>
            </w:pPr>
            <w:r w:rsidRPr="000817F2">
              <w:rPr>
                <w:spacing w:val="-20"/>
                <w:sz w:val="28"/>
                <w:szCs w:val="28"/>
              </w:rPr>
              <w:t xml:space="preserve">676.5 </w:t>
            </w:r>
          </w:p>
        </w:tc>
        <w:tc>
          <w:tcPr>
            <w:tcW w:w="508"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jc w:val="right"/>
              <w:rPr>
                <w:spacing w:val="-20"/>
                <w:sz w:val="28"/>
                <w:szCs w:val="28"/>
              </w:rPr>
            </w:pPr>
            <w:r w:rsidRPr="000817F2">
              <w:rPr>
                <w:spacing w:val="-20"/>
                <w:sz w:val="28"/>
                <w:szCs w:val="28"/>
              </w:rPr>
              <w:t xml:space="preserve">720.0 </w:t>
            </w:r>
          </w:p>
        </w:tc>
        <w:tc>
          <w:tcPr>
            <w:tcW w:w="487"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jc w:val="right"/>
              <w:rPr>
                <w:spacing w:val="-20"/>
                <w:sz w:val="28"/>
                <w:szCs w:val="28"/>
              </w:rPr>
            </w:pPr>
            <w:r w:rsidRPr="000817F2">
              <w:rPr>
                <w:spacing w:val="-20"/>
                <w:sz w:val="28"/>
                <w:szCs w:val="28"/>
              </w:rPr>
              <w:t xml:space="preserve">760.4 </w:t>
            </w:r>
          </w:p>
        </w:tc>
        <w:tc>
          <w:tcPr>
            <w:tcW w:w="535"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jc w:val="right"/>
              <w:rPr>
                <w:spacing w:val="-20"/>
                <w:sz w:val="28"/>
                <w:szCs w:val="28"/>
              </w:rPr>
            </w:pPr>
            <w:r w:rsidRPr="000817F2">
              <w:rPr>
                <w:spacing w:val="-20"/>
                <w:sz w:val="28"/>
                <w:szCs w:val="28"/>
              </w:rPr>
              <w:t>820.9</w:t>
            </w:r>
          </w:p>
        </w:tc>
      </w:tr>
      <w:tr w:rsidR="000817F2" w:rsidRPr="000817F2" w:rsidTr="00F615BA">
        <w:trPr>
          <w:gridAfter w:val="1"/>
          <w:wAfter w:w="3" w:type="pct"/>
          <w:trHeight w:val="272"/>
        </w:trPr>
        <w:tc>
          <w:tcPr>
            <w:tcW w:w="1035"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afterLines="30" w:after="137"/>
              <w:rPr>
                <w:rFonts w:hAnsi="標楷體"/>
                <w:sz w:val="28"/>
                <w:szCs w:val="28"/>
                <w:highlight w:val="yellow"/>
              </w:rPr>
            </w:pPr>
            <w:r w:rsidRPr="000817F2">
              <w:rPr>
                <w:rFonts w:hAnsi="標楷體" w:hint="eastAsia"/>
                <w:sz w:val="28"/>
                <w:szCs w:val="28"/>
              </w:rPr>
              <w:t xml:space="preserve">  食道癌</w:t>
            </w:r>
          </w:p>
        </w:tc>
        <w:tc>
          <w:tcPr>
            <w:tcW w:w="506"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jc w:val="right"/>
              <w:rPr>
                <w:spacing w:val="-20"/>
                <w:sz w:val="28"/>
                <w:szCs w:val="28"/>
              </w:rPr>
            </w:pPr>
            <w:r w:rsidRPr="000817F2">
              <w:rPr>
                <w:rFonts w:hint="eastAsia"/>
                <w:spacing w:val="-20"/>
                <w:sz w:val="28"/>
                <w:szCs w:val="28"/>
              </w:rPr>
              <w:t>14.7</w:t>
            </w:r>
            <w:r w:rsidRPr="000817F2">
              <w:rPr>
                <w:spacing w:val="-20"/>
                <w:sz w:val="28"/>
                <w:szCs w:val="28"/>
              </w:rPr>
              <w:t xml:space="preserve"> </w:t>
            </w:r>
          </w:p>
        </w:tc>
        <w:tc>
          <w:tcPr>
            <w:tcW w:w="492"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jc w:val="right"/>
              <w:rPr>
                <w:spacing w:val="-20"/>
                <w:sz w:val="28"/>
                <w:szCs w:val="28"/>
              </w:rPr>
            </w:pPr>
            <w:r w:rsidRPr="000817F2">
              <w:rPr>
                <w:rFonts w:hint="eastAsia"/>
                <w:spacing w:val="-20"/>
                <w:sz w:val="28"/>
                <w:szCs w:val="28"/>
              </w:rPr>
              <w:t>15.9</w:t>
            </w:r>
            <w:r w:rsidRPr="000817F2">
              <w:rPr>
                <w:spacing w:val="-20"/>
                <w:sz w:val="28"/>
                <w:szCs w:val="28"/>
              </w:rPr>
              <w:t xml:space="preserve"> </w:t>
            </w:r>
          </w:p>
        </w:tc>
        <w:tc>
          <w:tcPr>
            <w:tcW w:w="487"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jc w:val="right"/>
              <w:rPr>
                <w:spacing w:val="-20"/>
                <w:sz w:val="28"/>
                <w:szCs w:val="28"/>
              </w:rPr>
            </w:pPr>
            <w:r w:rsidRPr="000817F2">
              <w:rPr>
                <w:rFonts w:hint="eastAsia"/>
                <w:spacing w:val="-20"/>
                <w:sz w:val="28"/>
                <w:szCs w:val="28"/>
              </w:rPr>
              <w:t>15.8</w:t>
            </w:r>
            <w:r w:rsidRPr="000817F2">
              <w:rPr>
                <w:spacing w:val="-20"/>
                <w:sz w:val="28"/>
                <w:szCs w:val="28"/>
              </w:rPr>
              <w:t xml:space="preserve"> </w:t>
            </w:r>
          </w:p>
        </w:tc>
        <w:tc>
          <w:tcPr>
            <w:tcW w:w="473"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jc w:val="right"/>
              <w:rPr>
                <w:spacing w:val="-20"/>
                <w:sz w:val="28"/>
                <w:szCs w:val="28"/>
              </w:rPr>
            </w:pPr>
            <w:r w:rsidRPr="000817F2">
              <w:rPr>
                <w:rFonts w:hint="eastAsia"/>
                <w:spacing w:val="-20"/>
                <w:sz w:val="28"/>
                <w:szCs w:val="28"/>
              </w:rPr>
              <w:t>16.4</w:t>
            </w:r>
            <w:r w:rsidRPr="000817F2">
              <w:rPr>
                <w:spacing w:val="-20"/>
                <w:sz w:val="28"/>
                <w:szCs w:val="28"/>
              </w:rPr>
              <w:t xml:space="preserve"> </w:t>
            </w:r>
          </w:p>
        </w:tc>
        <w:tc>
          <w:tcPr>
            <w:tcW w:w="474"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jc w:val="right"/>
              <w:rPr>
                <w:spacing w:val="-20"/>
                <w:sz w:val="28"/>
                <w:szCs w:val="28"/>
              </w:rPr>
            </w:pPr>
            <w:r w:rsidRPr="000817F2">
              <w:rPr>
                <w:rFonts w:hint="eastAsia"/>
                <w:spacing w:val="-20"/>
                <w:sz w:val="28"/>
                <w:szCs w:val="28"/>
              </w:rPr>
              <w:t>17.9</w:t>
            </w:r>
            <w:r w:rsidRPr="000817F2">
              <w:rPr>
                <w:spacing w:val="-20"/>
                <w:sz w:val="28"/>
                <w:szCs w:val="28"/>
              </w:rPr>
              <w:t xml:space="preserve"> </w:t>
            </w:r>
          </w:p>
        </w:tc>
        <w:tc>
          <w:tcPr>
            <w:tcW w:w="508"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jc w:val="right"/>
              <w:rPr>
                <w:spacing w:val="-20"/>
                <w:sz w:val="28"/>
                <w:szCs w:val="28"/>
              </w:rPr>
            </w:pPr>
            <w:r w:rsidRPr="000817F2">
              <w:rPr>
                <w:rFonts w:hint="eastAsia"/>
                <w:spacing w:val="-20"/>
                <w:sz w:val="28"/>
                <w:szCs w:val="28"/>
              </w:rPr>
              <w:t>19.1</w:t>
            </w:r>
            <w:r w:rsidRPr="000817F2">
              <w:rPr>
                <w:spacing w:val="-20"/>
                <w:sz w:val="28"/>
                <w:szCs w:val="28"/>
              </w:rPr>
              <w:t xml:space="preserve"> </w:t>
            </w:r>
          </w:p>
        </w:tc>
        <w:tc>
          <w:tcPr>
            <w:tcW w:w="487"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jc w:val="right"/>
              <w:rPr>
                <w:spacing w:val="-20"/>
                <w:sz w:val="28"/>
                <w:szCs w:val="28"/>
              </w:rPr>
            </w:pPr>
            <w:r w:rsidRPr="000817F2">
              <w:rPr>
                <w:rFonts w:hint="eastAsia"/>
                <w:spacing w:val="-20"/>
                <w:sz w:val="28"/>
                <w:szCs w:val="28"/>
              </w:rPr>
              <w:t>18.7</w:t>
            </w:r>
            <w:r w:rsidRPr="000817F2">
              <w:rPr>
                <w:spacing w:val="-20"/>
                <w:sz w:val="28"/>
                <w:szCs w:val="28"/>
              </w:rPr>
              <w:t xml:space="preserve"> </w:t>
            </w:r>
          </w:p>
        </w:tc>
        <w:tc>
          <w:tcPr>
            <w:tcW w:w="535" w:type="pct"/>
            <w:tcBorders>
              <w:top w:val="single" w:sz="4" w:space="0" w:color="auto"/>
              <w:left w:val="single" w:sz="4" w:space="0" w:color="auto"/>
              <w:bottom w:val="single" w:sz="4" w:space="0" w:color="auto"/>
              <w:right w:val="single" w:sz="4" w:space="0" w:color="auto"/>
            </w:tcBorders>
            <w:vAlign w:val="center"/>
          </w:tcPr>
          <w:p w:rsidR="003E5904" w:rsidRPr="000817F2" w:rsidRDefault="003E5904" w:rsidP="00F615BA">
            <w:pPr>
              <w:adjustRightInd w:val="0"/>
              <w:snapToGrid w:val="0"/>
              <w:spacing w:before="100" w:beforeAutospacing="1"/>
              <w:ind w:leftChars="-136" w:left="-463"/>
              <w:jc w:val="right"/>
              <w:rPr>
                <w:spacing w:val="-20"/>
                <w:sz w:val="28"/>
                <w:szCs w:val="28"/>
              </w:rPr>
            </w:pPr>
            <w:r w:rsidRPr="000817F2">
              <w:rPr>
                <w:rFonts w:hint="eastAsia"/>
                <w:spacing w:val="-20"/>
                <w:sz w:val="28"/>
                <w:szCs w:val="28"/>
              </w:rPr>
              <w:t>20.0</w:t>
            </w:r>
          </w:p>
        </w:tc>
      </w:tr>
    </w:tbl>
    <w:p w:rsidR="003E5904" w:rsidRPr="000817F2" w:rsidRDefault="003E5904" w:rsidP="00096215">
      <w:pPr>
        <w:snapToGrid w:val="0"/>
        <w:ind w:leftChars="-83" w:left="-282" w:rightChars="-233" w:right="-793"/>
        <w:rPr>
          <w:rFonts w:hAnsi="標楷體"/>
          <w:sz w:val="24"/>
          <w:szCs w:val="24"/>
          <w:lang w:bidi="ne-NP"/>
        </w:rPr>
      </w:pPr>
      <w:proofErr w:type="gramStart"/>
      <w:r w:rsidRPr="000817F2">
        <w:rPr>
          <w:rFonts w:hAnsi="標楷體"/>
          <w:sz w:val="24"/>
          <w:szCs w:val="24"/>
          <w:lang w:bidi="ne-NP"/>
        </w:rPr>
        <w:t>註</w:t>
      </w:r>
      <w:proofErr w:type="gramEnd"/>
      <w:r w:rsidRPr="000817F2">
        <w:rPr>
          <w:rFonts w:hAnsi="標楷體"/>
          <w:sz w:val="24"/>
          <w:szCs w:val="24"/>
          <w:lang w:bidi="ne-NP"/>
        </w:rPr>
        <w:t>：</w:t>
      </w:r>
    </w:p>
    <w:p w:rsidR="003E5904" w:rsidRPr="000817F2" w:rsidRDefault="003E5904" w:rsidP="00096215">
      <w:pPr>
        <w:snapToGrid w:val="0"/>
        <w:ind w:leftChars="-83" w:left="-282" w:rightChars="-233" w:right="-793"/>
        <w:rPr>
          <w:rFonts w:hAnsi="標楷體"/>
          <w:sz w:val="24"/>
          <w:szCs w:val="24"/>
          <w:lang w:bidi="ne-NP"/>
        </w:rPr>
      </w:pPr>
      <w:r w:rsidRPr="000817F2">
        <w:rPr>
          <w:rFonts w:hAnsi="標楷體"/>
          <w:sz w:val="24"/>
          <w:szCs w:val="24"/>
          <w:lang w:bidi="ne-NP"/>
        </w:rPr>
        <w:t>1.統計範圍為因癌症門、住診就醫申報案件。</w:t>
      </w:r>
    </w:p>
    <w:p w:rsidR="003E5904" w:rsidRPr="000817F2" w:rsidRDefault="003E5904" w:rsidP="00096215">
      <w:pPr>
        <w:snapToGrid w:val="0"/>
        <w:ind w:leftChars="-83" w:left="-1" w:rightChars="-233" w:right="-793" w:hangingChars="108" w:hanging="281"/>
        <w:rPr>
          <w:rFonts w:hAnsi="標楷體"/>
          <w:sz w:val="24"/>
          <w:szCs w:val="24"/>
          <w:lang w:bidi="ne-NP"/>
        </w:rPr>
      </w:pPr>
      <w:r w:rsidRPr="000817F2">
        <w:rPr>
          <w:rFonts w:hAnsi="標楷體"/>
          <w:sz w:val="24"/>
          <w:szCs w:val="24"/>
          <w:lang w:bidi="ne-NP"/>
        </w:rPr>
        <w:t>2.癌症案件係以主診斷碼判定，診斷碼範圍為：(1)ICD-9-CM：疾病</w:t>
      </w:r>
      <w:proofErr w:type="gramStart"/>
      <w:r w:rsidRPr="000817F2">
        <w:rPr>
          <w:rFonts w:hAnsi="標楷體"/>
          <w:sz w:val="24"/>
          <w:szCs w:val="24"/>
          <w:lang w:bidi="ne-NP"/>
        </w:rPr>
        <w:t>診斷碼前3碼</w:t>
      </w:r>
      <w:proofErr w:type="gramEnd"/>
      <w:r w:rsidRPr="000817F2">
        <w:rPr>
          <w:rFonts w:hAnsi="標楷體"/>
          <w:sz w:val="24"/>
          <w:szCs w:val="24"/>
          <w:lang w:bidi="ne-NP"/>
        </w:rPr>
        <w:t>為140-208之案件。(2)ICD-10-CM：疾病</w:t>
      </w:r>
      <w:proofErr w:type="gramStart"/>
      <w:r w:rsidRPr="000817F2">
        <w:rPr>
          <w:rFonts w:hAnsi="標楷體"/>
          <w:sz w:val="24"/>
          <w:szCs w:val="24"/>
          <w:lang w:bidi="ne-NP"/>
        </w:rPr>
        <w:t>診斷碼前3碼</w:t>
      </w:r>
      <w:proofErr w:type="gramEnd"/>
      <w:r w:rsidRPr="000817F2">
        <w:rPr>
          <w:rFonts w:hAnsi="標楷體"/>
          <w:sz w:val="24"/>
          <w:szCs w:val="24"/>
          <w:lang w:bidi="ne-NP"/>
        </w:rPr>
        <w:t>為C00-C97之案件。</w:t>
      </w:r>
    </w:p>
    <w:p w:rsidR="003E5904" w:rsidRPr="000817F2" w:rsidRDefault="003E5904" w:rsidP="00096215">
      <w:pPr>
        <w:snapToGrid w:val="0"/>
        <w:ind w:leftChars="-83" w:left="-1" w:rightChars="-233" w:right="-793" w:hangingChars="108" w:hanging="281"/>
        <w:rPr>
          <w:rFonts w:hAnsi="標楷體"/>
          <w:sz w:val="24"/>
          <w:szCs w:val="24"/>
          <w:lang w:bidi="ne-NP"/>
        </w:rPr>
      </w:pPr>
      <w:r w:rsidRPr="000817F2">
        <w:rPr>
          <w:rFonts w:hAnsi="標楷體" w:hint="eastAsia"/>
          <w:sz w:val="24"/>
          <w:szCs w:val="24"/>
          <w:lang w:bidi="ne-NP"/>
        </w:rPr>
        <w:t>3</w:t>
      </w:r>
      <w:r w:rsidRPr="000817F2">
        <w:rPr>
          <w:rFonts w:hAnsi="標楷體"/>
          <w:sz w:val="24"/>
          <w:szCs w:val="24"/>
          <w:lang w:bidi="ne-NP"/>
        </w:rPr>
        <w:t>.食道癌係以主診斷碼認定，診斷碼範圍為：(</w:t>
      </w:r>
      <w:r w:rsidRPr="000817F2">
        <w:rPr>
          <w:rFonts w:hAnsi="標楷體" w:hint="eastAsia"/>
          <w:sz w:val="24"/>
          <w:szCs w:val="24"/>
          <w:lang w:bidi="ne-NP"/>
        </w:rPr>
        <w:t>1</w:t>
      </w:r>
      <w:r w:rsidRPr="000817F2">
        <w:rPr>
          <w:rFonts w:hAnsi="標楷體"/>
          <w:sz w:val="24"/>
          <w:szCs w:val="24"/>
          <w:lang w:bidi="ne-NP"/>
        </w:rPr>
        <w:t>)ICD-9-CM：疾病</w:t>
      </w:r>
      <w:proofErr w:type="gramStart"/>
      <w:r w:rsidRPr="000817F2">
        <w:rPr>
          <w:rFonts w:hAnsi="標楷體"/>
          <w:sz w:val="24"/>
          <w:szCs w:val="24"/>
          <w:lang w:bidi="ne-NP"/>
        </w:rPr>
        <w:t>診斷碼前3碼</w:t>
      </w:r>
      <w:proofErr w:type="gramEnd"/>
      <w:r w:rsidRPr="000817F2">
        <w:rPr>
          <w:rFonts w:hAnsi="標楷體"/>
          <w:sz w:val="24"/>
          <w:szCs w:val="24"/>
          <w:lang w:bidi="ne-NP"/>
        </w:rPr>
        <w:t>為150之案件。(2)ICD-10-CM：疾病</w:t>
      </w:r>
      <w:proofErr w:type="gramStart"/>
      <w:r w:rsidRPr="000817F2">
        <w:rPr>
          <w:rFonts w:hAnsi="標楷體"/>
          <w:sz w:val="24"/>
          <w:szCs w:val="24"/>
          <w:lang w:bidi="ne-NP"/>
        </w:rPr>
        <w:t>診斷碼前3碼</w:t>
      </w:r>
      <w:proofErr w:type="gramEnd"/>
      <w:r w:rsidRPr="000817F2">
        <w:rPr>
          <w:rFonts w:hAnsi="標楷體"/>
          <w:sz w:val="24"/>
          <w:szCs w:val="24"/>
          <w:lang w:bidi="ne-NP"/>
        </w:rPr>
        <w:t>為C15之案件。</w:t>
      </w:r>
    </w:p>
    <w:p w:rsidR="003E5904" w:rsidRPr="000817F2" w:rsidRDefault="003E5904" w:rsidP="00096215">
      <w:pPr>
        <w:snapToGrid w:val="0"/>
        <w:ind w:leftChars="-83" w:left="-282" w:rightChars="-233" w:right="-793"/>
        <w:rPr>
          <w:rFonts w:hAnsi="標楷體"/>
          <w:spacing w:val="-28"/>
          <w:sz w:val="24"/>
          <w:szCs w:val="24"/>
          <w:lang w:bidi="ne-NP"/>
        </w:rPr>
      </w:pPr>
      <w:r w:rsidRPr="000817F2">
        <w:rPr>
          <w:rFonts w:hAnsi="標楷體"/>
          <w:sz w:val="24"/>
          <w:szCs w:val="24"/>
          <w:lang w:bidi="ne-NP"/>
        </w:rPr>
        <w:t>資料來源：</w:t>
      </w:r>
      <w:r w:rsidRPr="000817F2">
        <w:rPr>
          <w:rFonts w:hAnsi="標楷體" w:hint="eastAsia"/>
          <w:spacing w:val="-20"/>
          <w:sz w:val="24"/>
          <w:szCs w:val="24"/>
          <w:lang w:bidi="ne-NP"/>
        </w:rPr>
        <w:t>衛福部健保署</w:t>
      </w:r>
      <w:r w:rsidRPr="000817F2">
        <w:rPr>
          <w:rFonts w:hAnsi="標楷體"/>
          <w:spacing w:val="-20"/>
          <w:sz w:val="24"/>
          <w:szCs w:val="24"/>
          <w:lang w:bidi="ne-NP"/>
        </w:rPr>
        <w:t>三代倉儲系統門診、交付機構及住</w:t>
      </w:r>
      <w:proofErr w:type="gramStart"/>
      <w:r w:rsidRPr="000817F2">
        <w:rPr>
          <w:rFonts w:hAnsi="標楷體"/>
          <w:spacing w:val="-20"/>
          <w:sz w:val="24"/>
          <w:szCs w:val="24"/>
          <w:lang w:bidi="ne-NP"/>
        </w:rPr>
        <w:t>診明細檔</w:t>
      </w:r>
      <w:proofErr w:type="gramEnd"/>
      <w:r w:rsidRPr="000817F2">
        <w:rPr>
          <w:rFonts w:hAnsi="標楷體"/>
          <w:spacing w:val="-20"/>
          <w:sz w:val="24"/>
          <w:szCs w:val="24"/>
          <w:lang w:bidi="ne-NP"/>
        </w:rPr>
        <w:t>，資料擷取日：110年10月22日。</w:t>
      </w:r>
    </w:p>
    <w:p w:rsidR="003E5904" w:rsidRPr="000817F2" w:rsidRDefault="003E5904" w:rsidP="003E5904">
      <w:pPr>
        <w:snapToGrid w:val="0"/>
        <w:ind w:leftChars="-250" w:left="-850"/>
        <w:rPr>
          <w:rFonts w:hAnsi="標楷體"/>
          <w:sz w:val="24"/>
          <w:szCs w:val="24"/>
          <w:lang w:bidi="ne-NP"/>
        </w:rPr>
      </w:pPr>
    </w:p>
    <w:p w:rsidR="003E5904" w:rsidRPr="000817F2" w:rsidRDefault="003E5904" w:rsidP="003E5904">
      <w:pPr>
        <w:snapToGrid w:val="0"/>
        <w:ind w:leftChars="-250" w:left="-850"/>
        <w:rPr>
          <w:rFonts w:hAnsi="標楷體"/>
          <w:sz w:val="24"/>
          <w:szCs w:val="24"/>
          <w:lang w:bidi="ne-NP"/>
        </w:rPr>
      </w:pPr>
    </w:p>
    <w:p w:rsidR="003E5904" w:rsidRPr="000817F2" w:rsidRDefault="003E5904" w:rsidP="00D519E6">
      <w:pPr>
        <w:pStyle w:val="2"/>
        <w:rPr>
          <w:b w:val="0"/>
        </w:rPr>
      </w:pPr>
      <w:r w:rsidRPr="000817F2">
        <w:rPr>
          <w:rFonts w:hint="eastAsia"/>
          <w:b w:val="0"/>
        </w:rPr>
        <w:lastRenderedPageBreak/>
        <w:t>依上，嚼食檳榔易造成口腔癌及食道癌發生，以最新的癌症發生率統計資料觀之，107年</w:t>
      </w:r>
      <w:proofErr w:type="gramStart"/>
      <w:r w:rsidRPr="000817F2">
        <w:rPr>
          <w:rFonts w:hint="eastAsia"/>
          <w:b w:val="0"/>
        </w:rPr>
        <w:t>罹</w:t>
      </w:r>
      <w:proofErr w:type="gramEnd"/>
      <w:r w:rsidRPr="000817F2">
        <w:rPr>
          <w:rFonts w:hint="eastAsia"/>
          <w:b w:val="0"/>
        </w:rPr>
        <w:t>患口腔癌、食道癌者，總計有</w:t>
      </w:r>
      <w:r w:rsidR="003A2792" w:rsidRPr="000817F2">
        <w:rPr>
          <w:b w:val="0"/>
        </w:rPr>
        <w:t>10</w:t>
      </w:r>
      <w:r w:rsidR="003A2792" w:rsidRPr="000817F2">
        <w:rPr>
          <w:rFonts w:hint="eastAsia"/>
          <w:b w:val="0"/>
        </w:rPr>
        <w:t>,948</w:t>
      </w:r>
      <w:r w:rsidRPr="000817F2">
        <w:rPr>
          <w:rFonts w:hint="eastAsia"/>
          <w:b w:val="0"/>
        </w:rPr>
        <w:t>人，即</w:t>
      </w:r>
      <w:r w:rsidRPr="000817F2">
        <w:rPr>
          <w:rFonts w:hint="eastAsia"/>
          <w:b w:val="0"/>
          <w:u w:val="single"/>
        </w:rPr>
        <w:t>一年當中有</w:t>
      </w:r>
      <w:r w:rsidR="003A2792" w:rsidRPr="000817F2">
        <w:rPr>
          <w:rFonts w:hint="eastAsia"/>
          <w:b w:val="0"/>
          <w:u w:val="single"/>
        </w:rPr>
        <w:t>超過</w:t>
      </w:r>
      <w:r w:rsidRPr="000817F2">
        <w:rPr>
          <w:rFonts w:hint="eastAsia"/>
          <w:b w:val="0"/>
          <w:u w:val="single"/>
        </w:rPr>
        <w:t>萬人</w:t>
      </w:r>
      <w:proofErr w:type="gramStart"/>
      <w:r w:rsidRPr="000817F2">
        <w:rPr>
          <w:rFonts w:hint="eastAsia"/>
          <w:b w:val="0"/>
          <w:u w:val="single"/>
        </w:rPr>
        <w:t>罹</w:t>
      </w:r>
      <w:proofErr w:type="gramEnd"/>
      <w:r w:rsidRPr="000817F2">
        <w:rPr>
          <w:rFonts w:hint="eastAsia"/>
          <w:b w:val="0"/>
          <w:u w:val="single"/>
        </w:rPr>
        <w:t>患該2項癌症</w:t>
      </w:r>
      <w:r w:rsidRPr="000817F2">
        <w:rPr>
          <w:rFonts w:hint="eastAsia"/>
          <w:b w:val="0"/>
        </w:rPr>
        <w:t>，</w:t>
      </w:r>
      <w:r w:rsidRPr="000817F2">
        <w:rPr>
          <w:rFonts w:hint="eastAsia"/>
          <w:b w:val="0"/>
          <w:u w:val="single"/>
        </w:rPr>
        <w:t>而每年死於口腔癌、食道癌者，約計5</w:t>
      </w:r>
      <w:r w:rsidRPr="000817F2">
        <w:rPr>
          <w:b w:val="0"/>
          <w:u w:val="single"/>
        </w:rPr>
        <w:t>,</w:t>
      </w:r>
      <w:r w:rsidRPr="000817F2">
        <w:rPr>
          <w:rFonts w:hint="eastAsia"/>
          <w:b w:val="0"/>
          <w:u w:val="single"/>
        </w:rPr>
        <w:t>300人</w:t>
      </w:r>
      <w:r w:rsidRPr="000817F2">
        <w:rPr>
          <w:rFonts w:hint="eastAsia"/>
          <w:b w:val="0"/>
        </w:rPr>
        <w:t>，以男性主要癌症死因統計，口腔癌及食道癌近年均排名為第四大及第五大死因。且口腔癌及食道癌之健保醫療支出均逐年增加，109年支出已超出80億(點)。另除誘發口腔癌外，嚼食檳榔會使牙齒變黑、磨損、動搖、牙齦萎縮造成牙周病等，雖未及癌症前病變，但仍需耗費</w:t>
      </w:r>
      <w:proofErr w:type="gramStart"/>
      <w:r w:rsidRPr="000817F2">
        <w:rPr>
          <w:rFonts w:hint="eastAsia"/>
          <w:b w:val="0"/>
        </w:rPr>
        <w:t>相當</w:t>
      </w:r>
      <w:proofErr w:type="gramEnd"/>
      <w:r w:rsidRPr="000817F2">
        <w:rPr>
          <w:rFonts w:hint="eastAsia"/>
          <w:b w:val="0"/>
        </w:rPr>
        <w:t>醫療支出；</w:t>
      </w:r>
      <w:proofErr w:type="gramStart"/>
      <w:r w:rsidRPr="000817F2">
        <w:rPr>
          <w:rFonts w:hint="eastAsia"/>
          <w:b w:val="0"/>
        </w:rPr>
        <w:t>再者，</w:t>
      </w:r>
      <w:proofErr w:type="gramEnd"/>
      <w:r w:rsidRPr="000817F2">
        <w:rPr>
          <w:rFonts w:hint="eastAsia"/>
          <w:b w:val="0"/>
        </w:rPr>
        <w:t>流行病學研究指出嚼檳榔者易增加缺血性心臟病的風險</w:t>
      </w:r>
      <w:r w:rsidRPr="000817F2">
        <w:rPr>
          <w:rStyle w:val="afc"/>
          <w:b w:val="0"/>
        </w:rPr>
        <w:footnoteReference w:id="3"/>
      </w:r>
      <w:r w:rsidRPr="000817F2">
        <w:rPr>
          <w:rFonts w:hint="eastAsia"/>
          <w:b w:val="0"/>
        </w:rPr>
        <w:t>、與</w:t>
      </w:r>
      <w:r w:rsidRPr="000817F2">
        <w:rPr>
          <w:b w:val="0"/>
        </w:rPr>
        <w:t>高血壓顯著相關</w:t>
      </w:r>
      <w:r w:rsidRPr="000817F2">
        <w:rPr>
          <w:rFonts w:hint="eastAsia"/>
          <w:b w:val="0"/>
        </w:rPr>
        <w:t>(第二型糖尿病患者)</w:t>
      </w:r>
      <w:r w:rsidRPr="000817F2">
        <w:rPr>
          <w:rStyle w:val="afc"/>
          <w:b w:val="0"/>
        </w:rPr>
        <w:footnoteReference w:id="4"/>
      </w:r>
      <w:r w:rsidRPr="000817F2">
        <w:rPr>
          <w:rFonts w:hint="eastAsia"/>
          <w:b w:val="0"/>
        </w:rPr>
        <w:t>、增加肝癌、肝硬化之風險</w:t>
      </w:r>
      <w:r w:rsidRPr="000817F2">
        <w:rPr>
          <w:rStyle w:val="afc"/>
          <w:b w:val="0"/>
        </w:rPr>
        <w:footnoteReference w:id="5"/>
      </w:r>
      <w:r w:rsidRPr="000817F2">
        <w:rPr>
          <w:rFonts w:hint="eastAsia"/>
          <w:b w:val="0"/>
        </w:rPr>
        <w:t>等，可見檳榔對於健康尚有甚多危害。要言之，檳榔對於健康之危害相當嚴重，衍生之醫療支出及家庭負擔亦為龐大，行政院及相關主管機關不應持續漠視之。</w:t>
      </w:r>
    </w:p>
    <w:p w:rsidR="003E5904" w:rsidRPr="000817F2" w:rsidRDefault="003E5904" w:rsidP="00D519E6">
      <w:pPr>
        <w:pStyle w:val="2"/>
        <w:rPr>
          <w:b w:val="0"/>
        </w:rPr>
      </w:pPr>
      <w:r w:rsidRPr="000817F2">
        <w:rPr>
          <w:rFonts w:hint="eastAsia"/>
          <w:b w:val="0"/>
        </w:rPr>
        <w:t>有關政府近30年對於檳榔危害之防制作為，經查行政院於83年12月舉行之第15次科技顧問會議，討論議題</w:t>
      </w:r>
      <w:proofErr w:type="gramStart"/>
      <w:r w:rsidRPr="000817F2">
        <w:rPr>
          <w:rFonts w:hint="eastAsia"/>
          <w:b w:val="0"/>
        </w:rPr>
        <w:t>貳</w:t>
      </w:r>
      <w:proofErr w:type="gramEnd"/>
      <w:r w:rsidRPr="000817F2">
        <w:rPr>
          <w:rFonts w:hint="eastAsia"/>
          <w:b w:val="0"/>
        </w:rPr>
        <w:t>：保健與公共衛生，子題（二）：防制健康危險因子中，有關「嚼檳榔」問題，會議結論建議「由行政院成立跨部會之『檳榔問題防制會報』，</w:t>
      </w:r>
      <w:proofErr w:type="gramStart"/>
      <w:r w:rsidRPr="000817F2">
        <w:rPr>
          <w:rFonts w:hint="eastAsia"/>
          <w:b w:val="0"/>
        </w:rPr>
        <w:t>訂定相關防</w:t>
      </w:r>
      <w:proofErr w:type="gramEnd"/>
      <w:r w:rsidRPr="000817F2">
        <w:rPr>
          <w:rFonts w:hint="eastAsia"/>
          <w:b w:val="0"/>
        </w:rPr>
        <w:t>制措施」。原行政院衛生署(下稱原衛生署)依據前項會議結論，</w:t>
      </w:r>
      <w:proofErr w:type="gramStart"/>
      <w:r w:rsidRPr="000817F2">
        <w:rPr>
          <w:rFonts w:hint="eastAsia"/>
          <w:b w:val="0"/>
        </w:rPr>
        <w:t>研</w:t>
      </w:r>
      <w:proofErr w:type="gramEnd"/>
      <w:r w:rsidRPr="000817F2">
        <w:rPr>
          <w:rFonts w:hint="eastAsia"/>
          <w:b w:val="0"/>
        </w:rPr>
        <w:t>提「有關檳榔危害防制工作及協調</w:t>
      </w:r>
      <w:proofErr w:type="gramStart"/>
      <w:r w:rsidRPr="000817F2">
        <w:rPr>
          <w:rFonts w:hint="eastAsia"/>
          <w:b w:val="0"/>
        </w:rPr>
        <w:t>誇</w:t>
      </w:r>
      <w:proofErr w:type="gramEnd"/>
      <w:r w:rsidRPr="000817F2">
        <w:rPr>
          <w:rFonts w:hint="eastAsia"/>
          <w:b w:val="0"/>
        </w:rPr>
        <w:t>部會共</w:t>
      </w:r>
      <w:r w:rsidRPr="000817F2">
        <w:rPr>
          <w:rFonts w:hint="eastAsia"/>
          <w:b w:val="0"/>
        </w:rPr>
        <w:lastRenderedPageBreak/>
        <w:t>同作業」乙案，陳報行政院，行政院秘書長於85年9月20日以台85</w:t>
      </w:r>
      <w:proofErr w:type="gramStart"/>
      <w:r w:rsidRPr="000817F2">
        <w:rPr>
          <w:rFonts w:hint="eastAsia"/>
          <w:b w:val="0"/>
        </w:rPr>
        <w:t>衛字第31852號</w:t>
      </w:r>
      <w:proofErr w:type="gramEnd"/>
      <w:r w:rsidRPr="000817F2">
        <w:rPr>
          <w:rFonts w:hint="eastAsia"/>
          <w:b w:val="0"/>
        </w:rPr>
        <w:t>函復，請原衛生署邀集相關部會及省(市)政府</w:t>
      </w:r>
      <w:proofErr w:type="gramStart"/>
      <w:r w:rsidRPr="000817F2">
        <w:rPr>
          <w:rFonts w:hint="eastAsia"/>
          <w:b w:val="0"/>
        </w:rPr>
        <w:t>研</w:t>
      </w:r>
      <w:proofErr w:type="gramEnd"/>
      <w:r w:rsidRPr="000817F2">
        <w:rPr>
          <w:rFonts w:hint="eastAsia"/>
          <w:b w:val="0"/>
        </w:rPr>
        <w:t>商辦理。</w:t>
      </w:r>
    </w:p>
    <w:p w:rsidR="003E5904" w:rsidRPr="000817F2" w:rsidRDefault="003E5904" w:rsidP="00D519E6">
      <w:pPr>
        <w:pStyle w:val="3"/>
        <w:numPr>
          <w:ilvl w:val="0"/>
          <w:numId w:val="0"/>
        </w:numPr>
        <w:ind w:leftChars="300" w:left="1020" w:firstLineChars="196" w:firstLine="667"/>
      </w:pPr>
      <w:r w:rsidRPr="000817F2">
        <w:rPr>
          <w:rFonts w:hint="eastAsia"/>
        </w:rPr>
        <w:t>行政院</w:t>
      </w:r>
      <w:r w:rsidRPr="000817F2">
        <w:t>於86年4月8日以台86為字第13516號函核定</w:t>
      </w:r>
      <w:r w:rsidRPr="000817F2">
        <w:rPr>
          <w:rFonts w:hint="eastAsia"/>
        </w:rPr>
        <w:t>原</w:t>
      </w:r>
      <w:r w:rsidRPr="000817F2">
        <w:t>衛生署</w:t>
      </w:r>
      <w:proofErr w:type="gramStart"/>
      <w:r w:rsidRPr="000817F2">
        <w:rPr>
          <w:rFonts w:hint="eastAsia"/>
        </w:rPr>
        <w:t>研</w:t>
      </w:r>
      <w:proofErr w:type="gramEnd"/>
      <w:r w:rsidRPr="000817F2">
        <w:rPr>
          <w:rFonts w:hint="eastAsia"/>
        </w:rPr>
        <w:t>擬之</w:t>
      </w:r>
      <w:r w:rsidRPr="000817F2">
        <w:t>「檳榔問題管理方案」，該方案</w:t>
      </w:r>
      <w:r w:rsidRPr="000817F2">
        <w:rPr>
          <w:rFonts w:hint="eastAsia"/>
        </w:rPr>
        <w:t>集結7部會，著手辦理檳榔各面向問題並訂定相關執行目標，包括</w:t>
      </w:r>
      <w:r w:rsidRPr="000817F2">
        <w:t>降低與預防兒童、少年嚼食檳榔行為</w:t>
      </w:r>
      <w:r w:rsidRPr="000817F2">
        <w:rPr>
          <w:rFonts w:hint="eastAsia"/>
        </w:rPr>
        <w:t>、</w:t>
      </w:r>
      <w:r w:rsidRPr="000817F2">
        <w:t>降低國人嚼食檳榔比例</w:t>
      </w:r>
      <w:r w:rsidRPr="000817F2">
        <w:rPr>
          <w:rFonts w:hint="eastAsia"/>
        </w:rPr>
        <w:t>、</w:t>
      </w:r>
      <w:r w:rsidRPr="000817F2">
        <w:t>加強查緝檳榔走私進口</w:t>
      </w:r>
      <w:r w:rsidRPr="000817F2">
        <w:rPr>
          <w:rFonts w:hint="eastAsia"/>
        </w:rPr>
        <w:t>、</w:t>
      </w:r>
      <w:r w:rsidRPr="000817F2">
        <w:t>將檳榔業納入公司行號</w:t>
      </w:r>
      <w:r w:rsidRPr="000817F2">
        <w:rPr>
          <w:rFonts w:hint="eastAsia"/>
        </w:rPr>
        <w:t>以加</w:t>
      </w:r>
      <w:r w:rsidRPr="000817F2">
        <w:t>強管理並予課稅</w:t>
      </w:r>
      <w:r w:rsidRPr="000817F2">
        <w:rPr>
          <w:rFonts w:hint="eastAsia"/>
        </w:rPr>
        <w:t>，</w:t>
      </w:r>
      <w:r w:rsidRPr="000817F2">
        <w:t>取締</w:t>
      </w:r>
      <w:proofErr w:type="gramStart"/>
      <w:r w:rsidRPr="000817F2">
        <w:t>檳榔攤占用</w:t>
      </w:r>
      <w:proofErr w:type="gramEnd"/>
      <w:r w:rsidRPr="000817F2">
        <w:t>道路</w:t>
      </w:r>
      <w:r w:rsidRPr="000817F2">
        <w:rPr>
          <w:rFonts w:hint="eastAsia"/>
        </w:rPr>
        <w:t>及</w:t>
      </w:r>
      <w:r w:rsidRPr="000817F2">
        <w:t>僱用未成年少女穿著暴露服裝販售檳榔之行為</w:t>
      </w:r>
      <w:r w:rsidRPr="000817F2">
        <w:rPr>
          <w:rFonts w:hint="eastAsia"/>
        </w:rPr>
        <w:t>、</w:t>
      </w:r>
      <w:r w:rsidRPr="000817F2">
        <w:t>保育水土資源</w:t>
      </w:r>
      <w:r w:rsidRPr="000817F2">
        <w:rPr>
          <w:rFonts w:hint="eastAsia"/>
        </w:rPr>
        <w:t>等。</w:t>
      </w:r>
      <w:r w:rsidRPr="000817F2">
        <w:t>該方案並於91年6月執行結束。</w:t>
      </w:r>
    </w:p>
    <w:p w:rsidR="003E5904" w:rsidRPr="000817F2" w:rsidRDefault="003E5904" w:rsidP="00D519E6">
      <w:pPr>
        <w:pStyle w:val="3"/>
        <w:numPr>
          <w:ilvl w:val="0"/>
          <w:numId w:val="0"/>
        </w:numPr>
        <w:ind w:leftChars="300" w:left="1020" w:firstLineChars="196" w:firstLine="667"/>
        <w:rPr>
          <w:rFonts w:ascii="Times New Roman" w:hAnsi="標楷體"/>
        </w:rPr>
      </w:pPr>
      <w:r w:rsidRPr="000817F2">
        <w:t>「檳榔問題管理方案」</w:t>
      </w:r>
      <w:r w:rsidRPr="000817F2">
        <w:rPr>
          <w:rFonts w:ascii="Times New Roman" w:hAnsi="標楷體" w:hint="eastAsia"/>
        </w:rPr>
        <w:t>結束後，行政院因摒棄該方案所建立之跨部會防制基礎架構，未能周延持續推動跨</w:t>
      </w:r>
      <w:r w:rsidRPr="000817F2">
        <w:rPr>
          <w:rFonts w:ascii="Times New Roman" w:hAnsi="標楷體" w:hint="eastAsia"/>
          <w:bCs w:val="0"/>
          <w:kern w:val="0"/>
        </w:rPr>
        <w:t>部會檳榔防制工作等情，前經本院立案調查，並於</w:t>
      </w:r>
      <w:r w:rsidRPr="000817F2">
        <w:rPr>
          <w:rFonts w:ascii="Times New Roman" w:hAnsi="標楷體" w:hint="eastAsia"/>
          <w:bCs w:val="0"/>
          <w:kern w:val="0"/>
        </w:rPr>
        <w:t>102</w:t>
      </w:r>
      <w:r w:rsidRPr="000817F2">
        <w:rPr>
          <w:rFonts w:ascii="Times New Roman" w:hAnsi="標楷體" w:hint="eastAsia"/>
          <w:bCs w:val="0"/>
          <w:kern w:val="0"/>
        </w:rPr>
        <w:t>年</w:t>
      </w:r>
      <w:r w:rsidRPr="000817F2">
        <w:rPr>
          <w:rFonts w:ascii="Times New Roman" w:hAnsi="標楷體" w:hint="eastAsia"/>
          <w:bCs w:val="0"/>
          <w:kern w:val="0"/>
        </w:rPr>
        <w:t>1</w:t>
      </w:r>
      <w:r w:rsidRPr="000817F2">
        <w:rPr>
          <w:rFonts w:ascii="Times New Roman" w:hAnsi="標楷體" w:hint="eastAsia"/>
          <w:bCs w:val="0"/>
          <w:kern w:val="0"/>
        </w:rPr>
        <w:t>月</w:t>
      </w:r>
      <w:r w:rsidRPr="000817F2">
        <w:rPr>
          <w:rFonts w:ascii="Times New Roman" w:hAnsi="標楷體" w:hint="eastAsia"/>
          <w:bCs w:val="0"/>
          <w:kern w:val="0"/>
        </w:rPr>
        <w:t>2</w:t>
      </w:r>
      <w:r w:rsidRPr="000817F2">
        <w:rPr>
          <w:rFonts w:ascii="Times New Roman" w:hAnsi="標楷體" w:hint="eastAsia"/>
          <w:bCs w:val="0"/>
          <w:kern w:val="0"/>
        </w:rPr>
        <w:t>日經本院財政及經濟、內政及少數民族、教育及文化委員會第</w:t>
      </w:r>
      <w:r w:rsidRPr="000817F2">
        <w:rPr>
          <w:rFonts w:ascii="Times New Roman" w:hAnsi="標楷體" w:hint="eastAsia"/>
          <w:bCs w:val="0"/>
          <w:kern w:val="0"/>
        </w:rPr>
        <w:t>4</w:t>
      </w:r>
      <w:r w:rsidRPr="000817F2">
        <w:rPr>
          <w:rFonts w:ascii="Times New Roman" w:hAnsi="標楷體" w:hint="eastAsia"/>
          <w:bCs w:val="0"/>
          <w:kern w:val="0"/>
        </w:rPr>
        <w:t>屆第</w:t>
      </w:r>
      <w:r w:rsidRPr="000817F2">
        <w:rPr>
          <w:rFonts w:ascii="Times New Roman" w:hAnsi="標楷體" w:hint="eastAsia"/>
          <w:bCs w:val="0"/>
          <w:kern w:val="0"/>
        </w:rPr>
        <w:t>31</w:t>
      </w:r>
      <w:r w:rsidRPr="000817F2">
        <w:rPr>
          <w:rFonts w:ascii="Times New Roman" w:hAnsi="標楷體" w:hint="eastAsia"/>
          <w:bCs w:val="0"/>
          <w:kern w:val="0"/>
        </w:rPr>
        <w:t>次聯席會議通過調查報告</w:t>
      </w:r>
      <w:r w:rsidRPr="000817F2">
        <w:rPr>
          <w:rFonts w:ascii="Times New Roman" w:hAnsi="標楷體" w:hint="eastAsia"/>
        </w:rPr>
        <w:t>，並糾正行政院在案</w:t>
      </w:r>
      <w:r w:rsidRPr="000817F2">
        <w:rPr>
          <w:rStyle w:val="afc"/>
          <w:rFonts w:ascii="Times New Roman" w:hAnsi="標楷體"/>
        </w:rPr>
        <w:footnoteReference w:id="6"/>
      </w:r>
      <w:r w:rsidRPr="000817F2">
        <w:rPr>
          <w:rFonts w:ascii="Times New Roman" w:hAnsi="標楷體" w:hint="eastAsia"/>
        </w:rPr>
        <w:t>。</w:t>
      </w:r>
      <w:r w:rsidRPr="000817F2">
        <w:rPr>
          <w:rFonts w:hint="eastAsia"/>
          <w:bCs w:val="0"/>
        </w:rPr>
        <w:t>是</w:t>
      </w:r>
      <w:proofErr w:type="gramStart"/>
      <w:r w:rsidRPr="000817F2">
        <w:rPr>
          <w:rFonts w:hint="eastAsia"/>
          <w:bCs w:val="0"/>
        </w:rPr>
        <w:t>以</w:t>
      </w:r>
      <w:proofErr w:type="gramEnd"/>
      <w:r w:rsidRPr="000817F2">
        <w:rPr>
          <w:rFonts w:hint="eastAsia"/>
          <w:bCs w:val="0"/>
        </w:rPr>
        <w:t>，行政院應重視此問題，並積極</w:t>
      </w:r>
      <w:proofErr w:type="gramStart"/>
      <w:r w:rsidRPr="000817F2">
        <w:rPr>
          <w:rFonts w:hint="eastAsia"/>
          <w:bCs w:val="0"/>
        </w:rPr>
        <w:t>研</w:t>
      </w:r>
      <w:proofErr w:type="gramEnd"/>
      <w:r w:rsidRPr="000817F2">
        <w:rPr>
          <w:rFonts w:hint="eastAsia"/>
          <w:bCs w:val="0"/>
        </w:rPr>
        <w:t>謀改善，惟該</w:t>
      </w:r>
      <w:proofErr w:type="gramStart"/>
      <w:r w:rsidRPr="000817F2">
        <w:rPr>
          <w:rFonts w:hint="eastAsia"/>
          <w:bCs w:val="0"/>
        </w:rPr>
        <w:t>院仍迄未</w:t>
      </w:r>
      <w:proofErr w:type="gramEnd"/>
      <w:r w:rsidRPr="000817F2">
        <w:rPr>
          <w:rFonts w:hint="eastAsia"/>
          <w:bCs w:val="0"/>
        </w:rPr>
        <w:t>恢復或重新建立跨部會防制架構，亦未曾再推動全方面之跨部會防制策略並訂定達成目標，對於檳榔防制工作顯為消極怠慢。</w:t>
      </w:r>
    </w:p>
    <w:p w:rsidR="003E5904" w:rsidRPr="000817F2" w:rsidRDefault="003E5904" w:rsidP="00D519E6">
      <w:pPr>
        <w:pStyle w:val="2"/>
        <w:rPr>
          <w:b w:val="0"/>
        </w:rPr>
      </w:pPr>
      <w:r w:rsidRPr="000817F2">
        <w:rPr>
          <w:rFonts w:hint="eastAsia"/>
          <w:b w:val="0"/>
        </w:rPr>
        <w:t>復查，行政院雖表示，目前經由中央癌症防治會報討論，可整合並督導各部會檳榔防制工作等語。</w:t>
      </w:r>
      <w:proofErr w:type="gramStart"/>
      <w:r w:rsidRPr="000817F2">
        <w:rPr>
          <w:rFonts w:hint="eastAsia"/>
          <w:b w:val="0"/>
        </w:rPr>
        <w:t>惟查</w:t>
      </w:r>
      <w:proofErr w:type="gramEnd"/>
      <w:r w:rsidRPr="000817F2">
        <w:rPr>
          <w:rFonts w:hint="eastAsia"/>
          <w:b w:val="0"/>
        </w:rPr>
        <w:t>，中央癌症防治會報1年僅召開1次，且1場會議通常提列4-6個報告案，檳榔危害防制報告僅是其中1案，加以與檳榔防制相關之工作報告，主要落在</w:t>
      </w:r>
      <w:proofErr w:type="gramStart"/>
      <w:r w:rsidRPr="000817F2">
        <w:rPr>
          <w:rFonts w:hint="eastAsia"/>
          <w:b w:val="0"/>
        </w:rPr>
        <w:t>衛福部及農委會</w:t>
      </w:r>
      <w:proofErr w:type="gramEnd"/>
      <w:r w:rsidRPr="000817F2">
        <w:rPr>
          <w:rFonts w:hint="eastAsia"/>
          <w:b w:val="0"/>
        </w:rPr>
        <w:t>，其餘部會僅偶而提會報告涉及權責之非持續業</w:t>
      </w:r>
      <w:r w:rsidRPr="000817F2">
        <w:rPr>
          <w:rFonts w:hint="eastAsia"/>
          <w:b w:val="0"/>
        </w:rPr>
        <w:lastRenderedPageBreak/>
        <w:t>務(例如：勞動部-改善陸上運輸業勞動條件等)，故中央癌症防治會報之檳榔危害防制作業，難謂為緊密且周延之跨部會防制架構。</w:t>
      </w:r>
      <w:proofErr w:type="gramStart"/>
      <w:r w:rsidRPr="000817F2">
        <w:rPr>
          <w:rFonts w:hint="eastAsia"/>
          <w:b w:val="0"/>
        </w:rPr>
        <w:t>再者，</w:t>
      </w:r>
      <w:proofErr w:type="gramEnd"/>
      <w:r w:rsidRPr="000817F2">
        <w:rPr>
          <w:rFonts w:hint="eastAsia"/>
          <w:b w:val="0"/>
        </w:rPr>
        <w:t>該會報之開會方式，主要係由部會報告1年以來之執行情形，再由會報委員提供相關建議，需</w:t>
      </w:r>
      <w:proofErr w:type="gramStart"/>
      <w:r w:rsidRPr="000817F2">
        <w:rPr>
          <w:rFonts w:hint="eastAsia"/>
          <w:b w:val="0"/>
        </w:rPr>
        <w:t>俟</w:t>
      </w:r>
      <w:proofErr w:type="gramEnd"/>
      <w:r w:rsidRPr="000817F2">
        <w:rPr>
          <w:rFonts w:hint="eastAsia"/>
          <w:b w:val="0"/>
        </w:rPr>
        <w:t>1年後再予檢視及追蹤，是</w:t>
      </w:r>
      <w:proofErr w:type="gramStart"/>
      <w:r w:rsidRPr="000817F2">
        <w:rPr>
          <w:rFonts w:hint="eastAsia"/>
          <w:b w:val="0"/>
        </w:rPr>
        <w:t>以</w:t>
      </w:r>
      <w:proofErr w:type="gramEnd"/>
      <w:r w:rsidRPr="000817F2">
        <w:rPr>
          <w:rFonts w:hint="eastAsia"/>
          <w:b w:val="0"/>
        </w:rPr>
        <w:t>，此方式進行之檳榔危害防制工作自流於形式、難具效益。</w:t>
      </w:r>
    </w:p>
    <w:p w:rsidR="003E5904" w:rsidRPr="000817F2" w:rsidRDefault="003E5904" w:rsidP="00D519E6">
      <w:pPr>
        <w:pStyle w:val="2"/>
        <w:rPr>
          <w:b w:val="0"/>
        </w:rPr>
      </w:pPr>
      <w:r w:rsidRPr="000817F2">
        <w:rPr>
          <w:rFonts w:hint="eastAsia"/>
          <w:b w:val="0"/>
        </w:rPr>
        <w:t>再查，原衛生署曾於99年</w:t>
      </w:r>
      <w:proofErr w:type="gramStart"/>
      <w:r w:rsidRPr="000817F2">
        <w:rPr>
          <w:rFonts w:hint="eastAsia"/>
          <w:b w:val="0"/>
        </w:rPr>
        <w:t>研</w:t>
      </w:r>
      <w:proofErr w:type="gramEnd"/>
      <w:r w:rsidRPr="000817F2">
        <w:rPr>
          <w:rFonts w:hint="eastAsia"/>
          <w:b w:val="0"/>
        </w:rPr>
        <w:t>擬「檳榔危害防制法」(草案)，</w:t>
      </w:r>
      <w:proofErr w:type="gramStart"/>
      <w:r w:rsidRPr="000817F2">
        <w:rPr>
          <w:rFonts w:hint="eastAsia"/>
          <w:b w:val="0"/>
        </w:rPr>
        <w:t>嗣</w:t>
      </w:r>
      <w:proofErr w:type="gramEnd"/>
      <w:r w:rsidRPr="000817F2">
        <w:rPr>
          <w:rFonts w:hint="eastAsia"/>
          <w:b w:val="0"/>
        </w:rPr>
        <w:t>表示在立法技術上，無法以單一法典或單一法律案含</w:t>
      </w:r>
      <w:proofErr w:type="gramStart"/>
      <w:r w:rsidRPr="000817F2">
        <w:rPr>
          <w:rFonts w:hint="eastAsia"/>
          <w:b w:val="0"/>
        </w:rPr>
        <w:t>括</w:t>
      </w:r>
      <w:proofErr w:type="gramEnd"/>
      <w:r w:rsidRPr="000817F2">
        <w:rPr>
          <w:rFonts w:hint="eastAsia"/>
          <w:b w:val="0"/>
        </w:rPr>
        <w:t>所有層面（環境污染、水土保持、衛生健康、走私查緝、產銷管理及轉業輔導等），因各事項的主管機關不同，有其專業分工上的考量，若由原衛生署主導，實有外行領導內行之虞，亦與現行法制不符，立法範圍建議限於「衛生健康」面向，</w:t>
      </w:r>
      <w:proofErr w:type="gramStart"/>
      <w:r w:rsidRPr="000817F2">
        <w:rPr>
          <w:rFonts w:hint="eastAsia"/>
          <w:b w:val="0"/>
        </w:rPr>
        <w:t>爰</w:t>
      </w:r>
      <w:proofErr w:type="gramEnd"/>
      <w:r w:rsidRPr="000817F2">
        <w:rPr>
          <w:rFonts w:hint="eastAsia"/>
          <w:b w:val="0"/>
        </w:rPr>
        <w:t>改</w:t>
      </w:r>
      <w:proofErr w:type="gramStart"/>
      <w:r w:rsidRPr="000817F2">
        <w:rPr>
          <w:rFonts w:hint="eastAsia"/>
          <w:b w:val="0"/>
        </w:rPr>
        <w:t>研</w:t>
      </w:r>
      <w:proofErr w:type="gramEnd"/>
      <w:r w:rsidRPr="000817F2">
        <w:rPr>
          <w:rFonts w:hint="eastAsia"/>
          <w:b w:val="0"/>
        </w:rPr>
        <w:t>擬「檳榔健康危害防制法」(草案)。嗣後又表示該草案內容之管理面向，於現行法規業已規範，如兒童及少年、孕婦嚼檳榔行為之禁止，已有「兒童及少年福利與權益保障法」、「學校衛生法」等；嚼檳榔場所之限制有「廢棄物清理法」、「大眾捷運法」、「鐵路法」等；檳榔害之教育宣導及篩檢服務有「口腔健康法」、「癌症防治法」等相關法規進行規範與管理；另表示檳榔問題亦涉及農民、原住民等弱勢族群生計，經100年行政院第6次與第7次中央癌症防治會報討論，決議請原衛生署先行推動檳榔防制社會運動，強化宣導，</w:t>
      </w:r>
      <w:proofErr w:type="gramStart"/>
      <w:r w:rsidRPr="000817F2">
        <w:rPr>
          <w:rFonts w:hint="eastAsia"/>
          <w:b w:val="0"/>
        </w:rPr>
        <w:t>爰</w:t>
      </w:r>
      <w:proofErr w:type="gramEnd"/>
      <w:r w:rsidRPr="000817F2">
        <w:rPr>
          <w:rFonts w:hint="eastAsia"/>
          <w:b w:val="0"/>
        </w:rPr>
        <w:t>未送立法院審議迄今。</w:t>
      </w:r>
    </w:p>
    <w:p w:rsidR="003E5904" w:rsidRPr="000817F2" w:rsidRDefault="003E5904" w:rsidP="00D519E6">
      <w:pPr>
        <w:pStyle w:val="2"/>
        <w:rPr>
          <w:b w:val="0"/>
        </w:rPr>
      </w:pPr>
      <w:proofErr w:type="gramStart"/>
      <w:r w:rsidRPr="000817F2">
        <w:rPr>
          <w:rFonts w:hint="eastAsia"/>
          <w:b w:val="0"/>
        </w:rPr>
        <w:t>惟查</w:t>
      </w:r>
      <w:proofErr w:type="gramEnd"/>
      <w:r w:rsidRPr="000817F2">
        <w:rPr>
          <w:rFonts w:hint="eastAsia"/>
          <w:b w:val="0"/>
        </w:rPr>
        <w:t>，上開「檳榔健康危害防制法」(草案)對於檳榔之管理，在與現行法規重複部分，或可再</w:t>
      </w:r>
      <w:proofErr w:type="gramStart"/>
      <w:r w:rsidRPr="000817F2">
        <w:rPr>
          <w:rFonts w:hint="eastAsia"/>
          <w:b w:val="0"/>
        </w:rPr>
        <w:t>研</w:t>
      </w:r>
      <w:proofErr w:type="gramEnd"/>
      <w:r w:rsidRPr="000817F2">
        <w:rPr>
          <w:rFonts w:hint="eastAsia"/>
          <w:b w:val="0"/>
        </w:rPr>
        <w:t>議是否以特別法規定優先，以摒除重複問題，在目前未有專法管理之情形下，衍生諸多管理漏洞現象，例如：衛福部無法將檳榔定位為「食品」，</w:t>
      </w:r>
      <w:proofErr w:type="gramStart"/>
      <w:r w:rsidRPr="000817F2">
        <w:rPr>
          <w:rFonts w:hint="eastAsia"/>
          <w:b w:val="0"/>
        </w:rPr>
        <w:t>爰</w:t>
      </w:r>
      <w:proofErr w:type="gramEnd"/>
      <w:r w:rsidRPr="000817F2">
        <w:rPr>
          <w:rFonts w:hint="eastAsia"/>
          <w:b w:val="0"/>
        </w:rPr>
        <w:t>無法以「食品安全衛</w:t>
      </w:r>
      <w:r w:rsidRPr="000817F2">
        <w:rPr>
          <w:rFonts w:hint="eastAsia"/>
          <w:b w:val="0"/>
        </w:rPr>
        <w:lastRenderedPageBreak/>
        <w:t>生管理法」列管，導致檳榔之販賣場所、檳榔包裝標示、</w:t>
      </w:r>
      <w:proofErr w:type="gramStart"/>
      <w:r w:rsidRPr="000817F2">
        <w:rPr>
          <w:rFonts w:hint="eastAsia"/>
          <w:b w:val="0"/>
        </w:rPr>
        <w:t>警示語等</w:t>
      </w:r>
      <w:proofErr w:type="gramEnd"/>
      <w:r w:rsidRPr="000817F2">
        <w:rPr>
          <w:rFonts w:hint="eastAsia"/>
          <w:b w:val="0"/>
        </w:rPr>
        <w:t>無法可管，且檳榔常搭配食用的紅、白灰等是否具毒性、製造加工場所安全衛生等食用之安全衛生問題，</w:t>
      </w:r>
      <w:proofErr w:type="gramStart"/>
      <w:r w:rsidRPr="000817F2">
        <w:rPr>
          <w:rFonts w:hint="eastAsia"/>
          <w:b w:val="0"/>
        </w:rPr>
        <w:t>衛福部認與</w:t>
      </w:r>
      <w:proofErr w:type="gramEnd"/>
      <w:r w:rsidRPr="000817F2">
        <w:rPr>
          <w:rFonts w:hint="eastAsia"/>
          <w:b w:val="0"/>
        </w:rPr>
        <w:t>檳榔相關，亦放任不管，且</w:t>
      </w:r>
      <w:proofErr w:type="gramStart"/>
      <w:r w:rsidRPr="000817F2">
        <w:rPr>
          <w:rFonts w:hint="eastAsia"/>
          <w:b w:val="0"/>
        </w:rPr>
        <w:t>荖</w:t>
      </w:r>
      <w:proofErr w:type="gramEnd"/>
      <w:r w:rsidRPr="000817F2">
        <w:rPr>
          <w:rFonts w:hint="eastAsia"/>
          <w:b w:val="0"/>
        </w:rPr>
        <w:t>葉、</w:t>
      </w:r>
      <w:proofErr w:type="gramStart"/>
      <w:r w:rsidRPr="000817F2">
        <w:rPr>
          <w:rFonts w:hint="eastAsia"/>
          <w:b w:val="0"/>
        </w:rPr>
        <w:t>荖</w:t>
      </w:r>
      <w:proofErr w:type="gramEnd"/>
      <w:r w:rsidRPr="000817F2">
        <w:rPr>
          <w:rFonts w:hint="eastAsia"/>
          <w:b w:val="0"/>
        </w:rPr>
        <w:t>花及檳榔等是否屬於「農作物」，在農委會現行法令上，亦有納管之困難，相對應之</w:t>
      </w:r>
      <w:proofErr w:type="gramStart"/>
      <w:r w:rsidRPr="000817F2">
        <w:rPr>
          <w:rFonts w:hint="eastAsia"/>
          <w:b w:val="0"/>
        </w:rPr>
        <w:t>產銷鏈及</w:t>
      </w:r>
      <w:proofErr w:type="gramEnd"/>
      <w:r w:rsidRPr="000817F2">
        <w:rPr>
          <w:rFonts w:hint="eastAsia"/>
          <w:b w:val="0"/>
        </w:rPr>
        <w:t>價格，僅能任由民間聯誼會組織決定，政府毫無介入空間，迄今該等問題仍懸</w:t>
      </w:r>
      <w:proofErr w:type="gramStart"/>
      <w:r w:rsidRPr="000817F2">
        <w:rPr>
          <w:rFonts w:hint="eastAsia"/>
          <w:b w:val="0"/>
        </w:rPr>
        <w:t>宕</w:t>
      </w:r>
      <w:proofErr w:type="gramEnd"/>
      <w:r w:rsidRPr="000817F2">
        <w:rPr>
          <w:rFonts w:hint="eastAsia"/>
          <w:b w:val="0"/>
        </w:rPr>
        <w:t>未解；加以，檳榔種植破壞林地，造成土石流失問題等，本</w:t>
      </w:r>
      <w:proofErr w:type="gramStart"/>
      <w:r w:rsidRPr="000817F2">
        <w:rPr>
          <w:rFonts w:hint="eastAsia"/>
          <w:b w:val="0"/>
        </w:rPr>
        <w:t>院均曾調查</w:t>
      </w:r>
      <w:proofErr w:type="gramEnd"/>
      <w:r w:rsidRPr="000817F2">
        <w:rPr>
          <w:rFonts w:hint="eastAsia"/>
          <w:b w:val="0"/>
        </w:rPr>
        <w:t>並請行政院及相關主管機關檢討改善</w:t>
      </w:r>
      <w:r w:rsidRPr="000817F2">
        <w:rPr>
          <w:rStyle w:val="afc"/>
          <w:b w:val="0"/>
        </w:rPr>
        <w:footnoteReference w:id="7"/>
      </w:r>
      <w:r w:rsidRPr="000817F2">
        <w:rPr>
          <w:rFonts w:hint="eastAsia"/>
          <w:b w:val="0"/>
        </w:rPr>
        <w:t>。</w:t>
      </w:r>
    </w:p>
    <w:p w:rsidR="003E5904" w:rsidRPr="000817F2" w:rsidRDefault="003E5904" w:rsidP="00D519E6">
      <w:pPr>
        <w:pStyle w:val="3"/>
        <w:numPr>
          <w:ilvl w:val="0"/>
          <w:numId w:val="0"/>
        </w:numPr>
        <w:ind w:leftChars="300" w:left="1020" w:firstLineChars="183" w:firstLine="622"/>
      </w:pPr>
      <w:r w:rsidRPr="000817F2">
        <w:rPr>
          <w:rFonts w:hint="eastAsia"/>
        </w:rPr>
        <w:t>再</w:t>
      </w:r>
      <w:proofErr w:type="gramStart"/>
      <w:r w:rsidRPr="000817F2">
        <w:rPr>
          <w:rFonts w:hint="eastAsia"/>
        </w:rPr>
        <w:t>且</w:t>
      </w:r>
      <w:proofErr w:type="gramEnd"/>
      <w:r w:rsidRPr="000817F2">
        <w:rPr>
          <w:rFonts w:hint="eastAsia"/>
        </w:rPr>
        <w:t>，行政院雖認為現行對於檳榔之管理，與現行法規或有重複，然以青少年不得嚼食檳榔為例，縱使「兒童及少年福利與權益保障法」第43條規定已明文禁止，惟據衛福</w:t>
      </w:r>
      <w:proofErr w:type="gramStart"/>
      <w:r w:rsidRPr="000817F2">
        <w:rPr>
          <w:rFonts w:hint="eastAsia"/>
        </w:rPr>
        <w:t>部國健署108</w:t>
      </w:r>
      <w:proofErr w:type="gramEnd"/>
      <w:r w:rsidRPr="000817F2">
        <w:rPr>
          <w:rFonts w:hint="eastAsia"/>
        </w:rPr>
        <w:t>年度調查，曾嚼過檳榔之青少年學生（包括國民中學、高級中等學校及五專前三年學生）第1次嚼食檳榔的年齡在7歲或7歲以前者，竟高達15%以上，即在學齡前就有嚼食檳榔之經驗，顯見目前分散於各法令之規定，對於檳榔防制的管理強度及成效實屬有限。簡言之，上開管理法令漏洞及強度不足之結果，國人必須付出慘痛的健康代價及沉重的醫療支出與社會成本，故行政院已到全面檢討並推動檳榔危害</w:t>
      </w:r>
      <w:proofErr w:type="gramStart"/>
      <w:r w:rsidRPr="000817F2">
        <w:rPr>
          <w:rFonts w:hint="eastAsia"/>
        </w:rPr>
        <w:t>防制專法</w:t>
      </w:r>
      <w:proofErr w:type="gramEnd"/>
      <w:r w:rsidRPr="000817F2">
        <w:rPr>
          <w:rFonts w:hint="eastAsia"/>
        </w:rPr>
        <w:t>之時刻，始可發揮由上而下統合各層面管理的成效。</w:t>
      </w:r>
    </w:p>
    <w:p w:rsidR="003E5904" w:rsidRPr="000817F2" w:rsidRDefault="003E5904" w:rsidP="00D519E6">
      <w:pPr>
        <w:pStyle w:val="2"/>
        <w:rPr>
          <w:b w:val="0"/>
        </w:rPr>
      </w:pPr>
      <w:proofErr w:type="gramStart"/>
      <w:r w:rsidRPr="000817F2">
        <w:rPr>
          <w:rFonts w:hint="eastAsia"/>
          <w:b w:val="0"/>
        </w:rPr>
        <w:lastRenderedPageBreak/>
        <w:t>末查</w:t>
      </w:r>
      <w:proofErr w:type="gramEnd"/>
      <w:r w:rsidRPr="000817F2">
        <w:rPr>
          <w:rFonts w:hint="eastAsia"/>
          <w:b w:val="0"/>
        </w:rPr>
        <w:t>，澳洲紐西蘭食品標準局(Food Standards Australia New Zealand</w:t>
      </w:r>
      <w:r w:rsidRPr="000817F2">
        <w:rPr>
          <w:b w:val="0"/>
        </w:rPr>
        <w:t xml:space="preserve">, </w:t>
      </w:r>
      <w:r w:rsidRPr="000817F2">
        <w:rPr>
          <w:rFonts w:hint="eastAsia"/>
          <w:b w:val="0"/>
        </w:rPr>
        <w:t>FSANZ)已明文規定禁止嚼食檳榔，甚至認為</w:t>
      </w:r>
      <w:proofErr w:type="gramStart"/>
      <w:r w:rsidRPr="000817F2">
        <w:rPr>
          <w:rFonts w:hint="eastAsia"/>
          <w:b w:val="0"/>
        </w:rPr>
        <w:t>檳榔鹼屬四級</w:t>
      </w:r>
      <w:proofErr w:type="gramEnd"/>
      <w:r w:rsidRPr="000817F2">
        <w:rPr>
          <w:rFonts w:hint="eastAsia"/>
          <w:b w:val="0"/>
        </w:rPr>
        <w:t>毒品</w:t>
      </w:r>
      <w:r w:rsidRPr="000817F2">
        <w:rPr>
          <w:rStyle w:val="afc"/>
          <w:b w:val="0"/>
        </w:rPr>
        <w:footnoteReference w:id="8"/>
      </w:r>
      <w:r w:rsidRPr="000817F2">
        <w:rPr>
          <w:rFonts w:hint="eastAsia"/>
          <w:b w:val="0"/>
        </w:rPr>
        <w:t>，而土耳其也將檳榔視為毒品，故禁止販賣、進口，也禁個人嚼食。另值得注意的是，泰國為主要的檳榔生產及消費國，於西元1950年左右，因口腔癌為該國第一大癌症，</w:t>
      </w:r>
      <w:proofErr w:type="gramStart"/>
      <w:r w:rsidRPr="000817F2">
        <w:rPr>
          <w:rFonts w:hint="eastAsia"/>
          <w:b w:val="0"/>
        </w:rPr>
        <w:t>爰</w:t>
      </w:r>
      <w:proofErr w:type="gramEnd"/>
      <w:r w:rsidRPr="000817F2">
        <w:rPr>
          <w:rFonts w:hint="eastAsia"/>
          <w:b w:val="0"/>
        </w:rPr>
        <w:t>逐步推動檳榔防制運動，西元2012年起已全面禁止檳榔進口及銷售</w:t>
      </w:r>
      <w:r w:rsidRPr="000817F2">
        <w:rPr>
          <w:rStyle w:val="afc"/>
          <w:b w:val="0"/>
        </w:rPr>
        <w:footnoteReference w:id="9"/>
      </w:r>
      <w:r w:rsidRPr="000817F2">
        <w:rPr>
          <w:rFonts w:hint="eastAsia"/>
          <w:b w:val="0"/>
        </w:rPr>
        <w:t>。其他國家包括加拿大、巴基斯坦、馬紹爾群島及阿拉伯聯合大公國等，均禁止檳榔的進口與銷售，部分甚有相關罰則。是</w:t>
      </w:r>
      <w:proofErr w:type="gramStart"/>
      <w:r w:rsidRPr="000817F2">
        <w:rPr>
          <w:rFonts w:hint="eastAsia"/>
          <w:b w:val="0"/>
        </w:rPr>
        <w:t>以</w:t>
      </w:r>
      <w:proofErr w:type="gramEnd"/>
      <w:r w:rsidRPr="000817F2">
        <w:rPr>
          <w:rFonts w:hint="eastAsia"/>
          <w:b w:val="0"/>
        </w:rPr>
        <w:t>，國際上已有部分國家將檳榔視為毒品，禁止食用及販售，且有多數國家因檳榔具致癌性，而規定禁止銷售，其中包括檳榔生產大國(泰國)，值此之際，行政院應立即正視檳榔問題並妥謀積極管理措施。</w:t>
      </w:r>
    </w:p>
    <w:p w:rsidR="003E5904" w:rsidRPr="000817F2" w:rsidRDefault="003E5904" w:rsidP="00D519E6">
      <w:pPr>
        <w:pStyle w:val="2"/>
        <w:rPr>
          <w:b w:val="0"/>
        </w:rPr>
      </w:pPr>
      <w:r w:rsidRPr="000817F2">
        <w:rPr>
          <w:rFonts w:hint="eastAsia"/>
          <w:b w:val="0"/>
        </w:rPr>
        <w:t>綜上，</w:t>
      </w:r>
      <w:r w:rsidRPr="000817F2">
        <w:rPr>
          <w:b w:val="0"/>
        </w:rPr>
        <w:t>IARC</w:t>
      </w:r>
      <w:r w:rsidRPr="000817F2">
        <w:rPr>
          <w:rFonts w:hint="eastAsia"/>
          <w:b w:val="0"/>
        </w:rPr>
        <w:t>自西元2003年早已發布「</w:t>
      </w:r>
      <w:proofErr w:type="gramStart"/>
      <w:r w:rsidRPr="000817F2">
        <w:rPr>
          <w:rFonts w:hint="eastAsia"/>
          <w:b w:val="0"/>
        </w:rPr>
        <w:t>檳榔子屬第一</w:t>
      </w:r>
      <w:proofErr w:type="gramEnd"/>
      <w:r w:rsidRPr="000817F2">
        <w:rPr>
          <w:rFonts w:hint="eastAsia"/>
          <w:b w:val="0"/>
        </w:rPr>
        <w:t>類致癌物」警訊，</w:t>
      </w:r>
      <w:proofErr w:type="gramStart"/>
      <w:r w:rsidRPr="000817F2">
        <w:rPr>
          <w:rFonts w:hint="eastAsia"/>
          <w:b w:val="0"/>
        </w:rPr>
        <w:t>且嚼食</w:t>
      </w:r>
      <w:proofErr w:type="gramEnd"/>
      <w:r w:rsidRPr="000817F2">
        <w:rPr>
          <w:rFonts w:hint="eastAsia"/>
          <w:b w:val="0"/>
        </w:rPr>
        <w:t>檳榔除造成口腔癌外，亦與食道癌形成相關，我國每年約有</w:t>
      </w:r>
      <w:r w:rsidR="000149F3" w:rsidRPr="000817F2">
        <w:rPr>
          <w:rFonts w:hint="eastAsia"/>
          <w:b w:val="0"/>
        </w:rPr>
        <w:t>超過</w:t>
      </w:r>
      <w:r w:rsidRPr="000817F2">
        <w:rPr>
          <w:rFonts w:hint="eastAsia"/>
          <w:b w:val="0"/>
        </w:rPr>
        <w:t>萬人</w:t>
      </w:r>
      <w:proofErr w:type="gramStart"/>
      <w:r w:rsidRPr="000817F2">
        <w:rPr>
          <w:rFonts w:hint="eastAsia"/>
          <w:b w:val="0"/>
        </w:rPr>
        <w:t>罹</w:t>
      </w:r>
      <w:proofErr w:type="gramEnd"/>
      <w:r w:rsidRPr="000817F2">
        <w:rPr>
          <w:rFonts w:hint="eastAsia"/>
          <w:b w:val="0"/>
        </w:rPr>
        <w:t>患口腔癌、食道癌，每年死亡人數超過5</w:t>
      </w:r>
      <w:r w:rsidRPr="000817F2">
        <w:rPr>
          <w:b w:val="0"/>
        </w:rPr>
        <w:t>,</w:t>
      </w:r>
      <w:r w:rsidRPr="000817F2">
        <w:rPr>
          <w:rFonts w:hint="eastAsia"/>
          <w:b w:val="0"/>
        </w:rPr>
        <w:t>000人，每年健保醫療費用支出已逐年增加至超出80億(點)，</w:t>
      </w:r>
      <w:proofErr w:type="gramStart"/>
      <w:r w:rsidRPr="000817F2">
        <w:rPr>
          <w:rFonts w:hint="eastAsia"/>
          <w:b w:val="0"/>
        </w:rPr>
        <w:t>且嚼食</w:t>
      </w:r>
      <w:proofErr w:type="gramEnd"/>
      <w:r w:rsidRPr="000817F2">
        <w:rPr>
          <w:rFonts w:hint="eastAsia"/>
          <w:b w:val="0"/>
        </w:rPr>
        <w:t>檳榔尚易增加缺血性心臟病、高血壓、肝癌、肝硬化</w:t>
      </w:r>
      <w:r w:rsidR="00033067" w:rsidRPr="000817F2">
        <w:rPr>
          <w:rFonts w:hint="eastAsia"/>
          <w:b w:val="0"/>
        </w:rPr>
        <w:t>等</w:t>
      </w:r>
      <w:r w:rsidRPr="000817F2">
        <w:rPr>
          <w:rFonts w:hint="eastAsia"/>
          <w:b w:val="0"/>
        </w:rPr>
        <w:t>風險，可見檳榔對於健康危害甚</w:t>
      </w:r>
      <w:proofErr w:type="gramStart"/>
      <w:r w:rsidRPr="000817F2">
        <w:rPr>
          <w:rFonts w:hint="eastAsia"/>
          <w:b w:val="0"/>
        </w:rPr>
        <w:t>鉅</w:t>
      </w:r>
      <w:proofErr w:type="gramEnd"/>
      <w:r w:rsidRPr="000817F2">
        <w:rPr>
          <w:rFonts w:hint="eastAsia"/>
          <w:b w:val="0"/>
        </w:rPr>
        <w:t>。有鑑於此，澳洲及土耳其已視檳榔為毒品，禁止販售及嚼食，而泰國為檳榔主要生產及消費國，因口腔癌為該國第一大癌症，經逐步推動管制運動，已於西元2012年全面禁止檳榔進口與銷售，其他國家包括加拿大、巴基斯坦、馬紹爾群島及阿拉伯聯合大公國等，均禁止檳榔的進口與銷售，部分甚有相關罰則。反觀我國，行政院長</w:t>
      </w:r>
      <w:r w:rsidRPr="000817F2">
        <w:rPr>
          <w:rFonts w:hint="eastAsia"/>
          <w:b w:val="0"/>
        </w:rPr>
        <w:lastRenderedPageBreak/>
        <w:t>久以來對於檳榔危害防制作為過於消極，每年僅召開1次中央癌症防治會報列管，防制工作早流於形式，且</w:t>
      </w:r>
      <w:proofErr w:type="gramStart"/>
      <w:r w:rsidRPr="000817F2">
        <w:rPr>
          <w:rFonts w:hint="eastAsia"/>
          <w:b w:val="0"/>
        </w:rPr>
        <w:t>怠</w:t>
      </w:r>
      <w:proofErr w:type="gramEnd"/>
      <w:r w:rsidRPr="000817F2">
        <w:rPr>
          <w:rFonts w:hint="eastAsia"/>
          <w:b w:val="0"/>
        </w:rPr>
        <w:t>於重新檢</w:t>
      </w:r>
      <w:r w:rsidRPr="000817F2">
        <w:rPr>
          <w:rFonts w:hint="eastAsia"/>
          <w:b w:val="0"/>
          <w:spacing w:val="-2"/>
        </w:rPr>
        <w:t>視並推動檳榔危害</w:t>
      </w:r>
      <w:proofErr w:type="gramStart"/>
      <w:r w:rsidRPr="000817F2">
        <w:rPr>
          <w:rFonts w:hint="eastAsia"/>
          <w:b w:val="0"/>
          <w:spacing w:val="-2"/>
        </w:rPr>
        <w:t>防制專法</w:t>
      </w:r>
      <w:proofErr w:type="gramEnd"/>
      <w:r w:rsidRPr="000817F2">
        <w:rPr>
          <w:rFonts w:hint="eastAsia"/>
          <w:b w:val="0"/>
          <w:spacing w:val="-2"/>
        </w:rPr>
        <w:t>，總以檳榔管理已分散於其他相關法令規定為由推拖，漠視目前各管理法令漏洞及強度不足之後果，坐視國人口腔癌及食道癌發生率居高不下，</w:t>
      </w:r>
      <w:r w:rsidRPr="000817F2">
        <w:rPr>
          <w:rFonts w:hint="eastAsia"/>
          <w:b w:val="0"/>
          <w:spacing w:val="-2"/>
          <w:u w:val="single"/>
        </w:rPr>
        <w:t>甚口腔癌發生率高居世界第一</w:t>
      </w:r>
      <w:r w:rsidRPr="000817F2">
        <w:rPr>
          <w:rFonts w:hint="eastAsia"/>
          <w:b w:val="0"/>
          <w:spacing w:val="-2"/>
        </w:rPr>
        <w:t>之事實，致國人必須付出慘痛的健康代價及社會沉重的醫療支出，核有</w:t>
      </w:r>
      <w:proofErr w:type="gramStart"/>
      <w:r w:rsidRPr="000817F2">
        <w:rPr>
          <w:rFonts w:hint="eastAsia"/>
          <w:b w:val="0"/>
          <w:spacing w:val="-2"/>
        </w:rPr>
        <w:t>怠</w:t>
      </w:r>
      <w:proofErr w:type="gramEnd"/>
      <w:r w:rsidRPr="000817F2">
        <w:rPr>
          <w:rFonts w:hint="eastAsia"/>
          <w:b w:val="0"/>
          <w:spacing w:val="-2"/>
        </w:rPr>
        <w:t>失。</w:t>
      </w:r>
    </w:p>
    <w:p w:rsidR="00096215" w:rsidRPr="000817F2" w:rsidRDefault="00096215" w:rsidP="00CD45D8">
      <w:pPr>
        <w:pStyle w:val="3"/>
        <w:numPr>
          <w:ilvl w:val="0"/>
          <w:numId w:val="0"/>
        </w:numPr>
      </w:pPr>
    </w:p>
    <w:p w:rsidR="000D1D14" w:rsidRPr="000817F2" w:rsidRDefault="000D1D14" w:rsidP="004F632D">
      <w:pPr>
        <w:pStyle w:val="0"/>
        <w:ind w:left="680" w:firstLineChars="217" w:firstLine="738"/>
      </w:pPr>
      <w:r w:rsidRPr="000817F2">
        <w:rPr>
          <w:rFonts w:hint="eastAsia"/>
        </w:rPr>
        <w:t>綜上所述，</w:t>
      </w:r>
      <w:r w:rsidR="009909F1" w:rsidRPr="000817F2">
        <w:rPr>
          <w:rFonts w:hint="eastAsia"/>
        </w:rPr>
        <w:t>行政院長久以來對於檳榔危害防制作為過於消極，</w:t>
      </w:r>
      <w:r w:rsidR="003E5904" w:rsidRPr="000817F2">
        <w:rPr>
          <w:rFonts w:hint="eastAsia"/>
        </w:rPr>
        <w:t>每年僅召開1次中央癌症防治會報列管，防制工作早流於形式，且</w:t>
      </w:r>
      <w:proofErr w:type="gramStart"/>
      <w:r w:rsidR="003E5904" w:rsidRPr="000817F2">
        <w:rPr>
          <w:rFonts w:hint="eastAsia"/>
        </w:rPr>
        <w:t>怠</w:t>
      </w:r>
      <w:proofErr w:type="gramEnd"/>
      <w:r w:rsidR="003E5904" w:rsidRPr="000817F2">
        <w:rPr>
          <w:rFonts w:hint="eastAsia"/>
        </w:rPr>
        <w:t>於重新檢視並推動管理專法，坐視國人口腔癌及食道癌發生率居高不下，甚口腔癌發生率高居世界第一之事實，致國人必須付出慘痛的健康代價及社會沉重的醫療支出，確有</w:t>
      </w:r>
      <w:proofErr w:type="gramStart"/>
      <w:r w:rsidR="003E5904" w:rsidRPr="000817F2">
        <w:rPr>
          <w:rFonts w:hint="eastAsia"/>
        </w:rPr>
        <w:t>怠</w:t>
      </w:r>
      <w:proofErr w:type="gramEnd"/>
      <w:r w:rsidR="003E5904" w:rsidRPr="000817F2">
        <w:rPr>
          <w:rFonts w:hint="eastAsia"/>
        </w:rPr>
        <w:t>失</w:t>
      </w:r>
      <w:r w:rsidRPr="000817F2">
        <w:rPr>
          <w:rFonts w:hint="eastAsia"/>
        </w:rPr>
        <w:t>，</w:t>
      </w:r>
      <w:proofErr w:type="gramStart"/>
      <w:r w:rsidRPr="000817F2">
        <w:rPr>
          <w:rFonts w:hint="eastAsia"/>
        </w:rPr>
        <w:t>爰</w:t>
      </w:r>
      <w:proofErr w:type="gramEnd"/>
      <w:r w:rsidRPr="000817F2">
        <w:rPr>
          <w:rFonts w:hint="eastAsia"/>
        </w:rPr>
        <w:t>依監察法第24條規定提案糾正，移</w:t>
      </w:r>
      <w:r w:rsidR="00096215" w:rsidRPr="000817F2">
        <w:rPr>
          <w:rFonts w:hint="eastAsia"/>
        </w:rPr>
        <w:t>請</w:t>
      </w:r>
      <w:r w:rsidRPr="000817F2">
        <w:rPr>
          <w:rFonts w:hint="eastAsia"/>
        </w:rPr>
        <w:t>行政院確實檢討改善</w:t>
      </w:r>
      <w:proofErr w:type="gramStart"/>
      <w:r w:rsidRPr="000817F2">
        <w:rPr>
          <w:rFonts w:hint="eastAsia"/>
        </w:rPr>
        <w:t>見復。</w:t>
      </w:r>
      <w:proofErr w:type="gramEnd"/>
    </w:p>
    <w:p w:rsidR="000D1D14" w:rsidRPr="000817F2" w:rsidRDefault="000D1D14" w:rsidP="00FC71E2">
      <w:pPr>
        <w:pStyle w:val="aa"/>
        <w:spacing w:beforeLines="150" w:before="685" w:after="0"/>
        <w:ind w:leftChars="459" w:left="3742" w:hangingChars="491" w:hanging="2181"/>
        <w:rPr>
          <w:b w:val="0"/>
          <w:bCs/>
          <w:snapToGrid/>
          <w:spacing w:val="12"/>
          <w:kern w:val="0"/>
          <w:sz w:val="40"/>
        </w:rPr>
      </w:pPr>
      <w:bookmarkStart w:id="44" w:name="_Toc524895649"/>
      <w:bookmarkStart w:id="45" w:name="_Toc524896195"/>
      <w:bookmarkStart w:id="46" w:name="_Toc524896225"/>
      <w:bookmarkStart w:id="47" w:name="_GoBack"/>
      <w:bookmarkEnd w:id="44"/>
      <w:bookmarkEnd w:id="45"/>
      <w:bookmarkEnd w:id="46"/>
      <w:bookmarkEnd w:id="47"/>
      <w:r w:rsidRPr="000817F2">
        <w:rPr>
          <w:rFonts w:hint="eastAsia"/>
          <w:b w:val="0"/>
          <w:bCs/>
          <w:snapToGrid/>
          <w:spacing w:val="12"/>
          <w:kern w:val="0"/>
          <w:sz w:val="40"/>
        </w:rPr>
        <w:t>提案委員：</w:t>
      </w:r>
      <w:r w:rsidR="00FC71E2">
        <w:rPr>
          <w:rFonts w:hint="eastAsia"/>
          <w:b w:val="0"/>
          <w:bCs/>
          <w:snapToGrid/>
          <w:spacing w:val="12"/>
          <w:kern w:val="0"/>
          <w:sz w:val="40"/>
        </w:rPr>
        <w:t>趙永清</w:t>
      </w:r>
      <w:r w:rsidR="00FC71E2">
        <w:rPr>
          <w:rFonts w:hAnsi="標楷體" w:hint="eastAsia"/>
          <w:b w:val="0"/>
          <w:bCs/>
          <w:snapToGrid/>
          <w:spacing w:val="12"/>
          <w:kern w:val="0"/>
          <w:sz w:val="40"/>
        </w:rPr>
        <w:t>、</w:t>
      </w:r>
      <w:r w:rsidR="00FC71E2">
        <w:rPr>
          <w:rFonts w:hint="eastAsia"/>
          <w:b w:val="0"/>
          <w:bCs/>
          <w:snapToGrid/>
          <w:spacing w:val="12"/>
          <w:kern w:val="0"/>
          <w:sz w:val="40"/>
        </w:rPr>
        <w:t>范巽綠</w:t>
      </w:r>
      <w:r w:rsidR="00FC71E2">
        <w:rPr>
          <w:rFonts w:hAnsi="標楷體" w:hint="eastAsia"/>
          <w:b w:val="0"/>
          <w:bCs/>
          <w:snapToGrid/>
          <w:spacing w:val="12"/>
          <w:kern w:val="0"/>
          <w:sz w:val="40"/>
        </w:rPr>
        <w:t>、</w:t>
      </w:r>
      <w:r w:rsidR="00FC71E2">
        <w:rPr>
          <w:rFonts w:hint="eastAsia"/>
          <w:b w:val="0"/>
          <w:bCs/>
          <w:snapToGrid/>
          <w:spacing w:val="12"/>
          <w:kern w:val="0"/>
          <w:sz w:val="40"/>
        </w:rPr>
        <w:t>蕭自佑</w:t>
      </w:r>
      <w:bookmarkEnd w:id="42"/>
    </w:p>
    <w:sectPr w:rsidR="000D1D14" w:rsidRPr="000817F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B39" w:rsidRDefault="00001B39">
      <w:r>
        <w:separator/>
      </w:r>
    </w:p>
  </w:endnote>
  <w:endnote w:type="continuationSeparator" w:id="0">
    <w:p w:rsidR="00001B39" w:rsidRDefault="0000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SimSun"/>
    <w:charset w:val="88"/>
    <w:family w:val="auto"/>
    <w:pitch w:val="variable"/>
    <w:sig w:usb0="80000001" w:usb1="28091800" w:usb2="00000016" w:usb3="00000000" w:csb0="001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C71E2">
      <w:rPr>
        <w:rStyle w:val="ac"/>
        <w:noProof/>
        <w:sz w:val="24"/>
      </w:rPr>
      <w:t>14</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B39" w:rsidRDefault="00001B39">
      <w:r>
        <w:separator/>
      </w:r>
    </w:p>
  </w:footnote>
  <w:footnote w:type="continuationSeparator" w:id="0">
    <w:p w:rsidR="00001B39" w:rsidRDefault="00001B39">
      <w:r>
        <w:continuationSeparator/>
      </w:r>
    </w:p>
  </w:footnote>
  <w:footnote w:id="1">
    <w:p w:rsidR="003E5904" w:rsidRDefault="003E5904" w:rsidP="003E5904">
      <w:pPr>
        <w:pStyle w:val="afa"/>
      </w:pPr>
      <w:r>
        <w:rPr>
          <w:rStyle w:val="afc"/>
        </w:rPr>
        <w:footnoteRef/>
      </w:r>
      <w:r>
        <w:t xml:space="preserve"> </w:t>
      </w:r>
      <w:r w:rsidRPr="001C05F4">
        <w:rPr>
          <w:rFonts w:hint="eastAsia"/>
        </w:rPr>
        <w:t>資料來源：衛福部國健署官網；檳榔子是國際認定第一類致癌物；查詢網址：</w:t>
      </w:r>
      <w:hyperlink r:id="rId1" w:history="1">
        <w:r w:rsidRPr="002C240A">
          <w:rPr>
            <w:rStyle w:val="ae"/>
            <w:color w:val="auto"/>
            <w:u w:val="none"/>
          </w:rPr>
          <w:t>https://www.hpa.gov.tw/Pages/Detail.aspx?nodeid=1127&amp;pid=1804，查詢日期：110</w:t>
        </w:r>
      </w:hyperlink>
      <w:r w:rsidRPr="001D7101">
        <w:rPr>
          <w:rFonts w:hint="eastAsia"/>
        </w:rPr>
        <w:t>年3月9日。</w:t>
      </w:r>
    </w:p>
  </w:footnote>
  <w:footnote w:id="2">
    <w:p w:rsidR="003E5904" w:rsidRPr="00E570F0" w:rsidRDefault="003E5904" w:rsidP="003E5904">
      <w:pPr>
        <w:pStyle w:val="afa"/>
        <w:ind w:leftChars="4" w:left="283" w:hangingChars="122" w:hanging="269"/>
        <w:rPr>
          <w:rFonts w:hAnsi="標楷體"/>
          <w:spacing w:val="-8"/>
        </w:rPr>
      </w:pPr>
      <w:r w:rsidRPr="00E570F0">
        <w:rPr>
          <w:rStyle w:val="afc"/>
          <w:rFonts w:hAnsi="標楷體"/>
          <w:spacing w:val="-8"/>
        </w:rPr>
        <w:footnoteRef/>
      </w:r>
      <w:r w:rsidRPr="00E570F0">
        <w:rPr>
          <w:rFonts w:hAnsi="標楷體" w:hint="eastAsia"/>
          <w:spacing w:val="-8"/>
        </w:rPr>
        <w:t>(1)</w:t>
      </w:r>
      <w:r w:rsidRPr="00E570F0">
        <w:rPr>
          <w:rFonts w:hAnsi="標楷體"/>
          <w:spacing w:val="-20"/>
        </w:rPr>
        <w:t>Ka-Wo Lee,…</w:t>
      </w:r>
      <w:r w:rsidRPr="00E570F0">
        <w:rPr>
          <w:rFonts w:hAnsi="標楷體" w:hint="eastAsia"/>
          <w:spacing w:val="-20"/>
        </w:rPr>
        <w:t xml:space="preserve"> </w:t>
      </w:r>
      <w:r w:rsidRPr="00E570F0">
        <w:rPr>
          <w:rFonts w:hAnsi="標楷體"/>
          <w:spacing w:val="-20"/>
        </w:rPr>
        <w:t>and Ying-Chin Ko: Different impact from betel quid, alcohol and cigarette: Risk factors for pharyngeal and laryngeal cancer. Int J Cancer 2005; 117: 831–836.</w:t>
      </w:r>
    </w:p>
    <w:p w:rsidR="003E5904" w:rsidRDefault="003E5904" w:rsidP="003E5904">
      <w:pPr>
        <w:pStyle w:val="afa"/>
        <w:ind w:leftChars="32" w:left="270" w:hangingChars="79" w:hanging="161"/>
      </w:pPr>
      <w:r w:rsidRPr="00E570F0">
        <w:rPr>
          <w:rFonts w:hAnsi="標楷體" w:hint="eastAsia"/>
          <w:spacing w:val="-8"/>
        </w:rPr>
        <w:t>(2)</w:t>
      </w:r>
      <w:r w:rsidRPr="00E570F0">
        <w:rPr>
          <w:rFonts w:hAnsi="標楷體"/>
          <w:spacing w:val="-8"/>
        </w:rPr>
        <w:t>I. C. Wu,…</w:t>
      </w:r>
      <w:r w:rsidRPr="00E570F0">
        <w:rPr>
          <w:rFonts w:hAnsi="標楷體" w:hint="eastAsia"/>
          <w:spacing w:val="-8"/>
        </w:rPr>
        <w:t xml:space="preserve"> </w:t>
      </w:r>
      <w:r w:rsidRPr="00E570F0">
        <w:rPr>
          <w:rFonts w:hAnsi="標楷體"/>
          <w:spacing w:val="-8"/>
        </w:rPr>
        <w:t>and Y. C. Ko: Interaction between cigarette, alcohol and betel nut use on esophageal cancer risk in Taiwan. Eur J of Clin Invest 2006; 36(4): 236–241.</w:t>
      </w:r>
    </w:p>
  </w:footnote>
  <w:footnote w:id="3">
    <w:p w:rsidR="003E5904" w:rsidRDefault="003E5904" w:rsidP="003E5904">
      <w:pPr>
        <w:pStyle w:val="afa"/>
        <w:jc w:val="both"/>
      </w:pPr>
      <w:r>
        <w:rPr>
          <w:rStyle w:val="afc"/>
        </w:rPr>
        <w:footnoteRef/>
      </w:r>
      <w:r>
        <w:t xml:space="preserve"> </w:t>
      </w:r>
      <w:r w:rsidRPr="0094271D">
        <w:t xml:space="preserve">Chin-Hsiao Tseng </w:t>
      </w:r>
      <w:r>
        <w:rPr>
          <w:rFonts w:hint="eastAsia"/>
        </w:rPr>
        <w:t>.</w:t>
      </w:r>
      <w:r w:rsidRPr="0094271D">
        <w:t>Betel Nut Chewing and Subclinical Ischemic Heart Disease in Diabetic Patients</w:t>
      </w:r>
      <w:r>
        <w:rPr>
          <w:rFonts w:hint="eastAsia"/>
        </w:rPr>
        <w:t>.</w:t>
      </w:r>
      <w:r w:rsidRPr="0094271D">
        <w:t xml:space="preserve"> Cardiol Res Pract. 2011: 451489.</w:t>
      </w:r>
    </w:p>
  </w:footnote>
  <w:footnote w:id="4">
    <w:p w:rsidR="003E5904" w:rsidRDefault="003E5904" w:rsidP="003E5904">
      <w:pPr>
        <w:pStyle w:val="afa"/>
        <w:jc w:val="both"/>
      </w:pPr>
      <w:r>
        <w:rPr>
          <w:rStyle w:val="afc"/>
        </w:rPr>
        <w:footnoteRef/>
      </w:r>
      <w:r>
        <w:t xml:space="preserve"> </w:t>
      </w:r>
      <w:r w:rsidRPr="00005783">
        <w:t>Chin-Hsiao T</w:t>
      </w:r>
      <w:r>
        <w:t>seng</w:t>
      </w:r>
      <w:r>
        <w:rPr>
          <w:rFonts w:hint="eastAsia"/>
        </w:rPr>
        <w:t>.</w:t>
      </w:r>
      <w:r w:rsidRPr="00005783">
        <w:t xml:space="preserve"> </w:t>
      </w:r>
      <w:r>
        <w:t>Betel Nut Chewing Is Associated with Hypertension</w:t>
      </w:r>
    </w:p>
    <w:p w:rsidR="003E5904" w:rsidRDefault="003E5904" w:rsidP="003E5904">
      <w:pPr>
        <w:pStyle w:val="afa"/>
        <w:jc w:val="both"/>
      </w:pPr>
      <w:r>
        <w:t>in Taiwanese Type 2 Diabetic Patients.</w:t>
      </w:r>
      <w:r w:rsidRPr="00005783">
        <w:t xml:space="preserve"> Hypertension Research volume 31, pages417</w:t>
      </w:r>
      <w:r w:rsidRPr="00005783">
        <w:t>–</w:t>
      </w:r>
      <w:r w:rsidRPr="00005783">
        <w:t>423 (2008)</w:t>
      </w:r>
    </w:p>
  </w:footnote>
  <w:footnote w:id="5">
    <w:p w:rsidR="003E5904" w:rsidRDefault="003E5904" w:rsidP="003E5904">
      <w:pPr>
        <w:pStyle w:val="afa"/>
        <w:jc w:val="both"/>
      </w:pPr>
      <w:r>
        <w:rPr>
          <w:rStyle w:val="afc"/>
        </w:rPr>
        <w:footnoteRef/>
      </w:r>
      <w:r>
        <w:t xml:space="preserve"> </w:t>
      </w:r>
      <w:r w:rsidRPr="00005783">
        <w:t>Grace Hui-Min Wu Barbara J Boucher, Yueh-Hsia Chiu, Chao-Sheng Liao, Tony Hsiu-Hsi Chen</w:t>
      </w:r>
      <w:r>
        <w:rPr>
          <w:rFonts w:hint="eastAsia"/>
        </w:rPr>
        <w:t xml:space="preserve">. </w:t>
      </w:r>
      <w:r w:rsidRPr="00005783">
        <w:t>Impact of chewing betel-nut (Areca catechu) on liver cirrhosis and hepatocellular carcinoma: a population-based study from an area with a high prevalence of hepatitis B and C infections</w:t>
      </w:r>
      <w:r>
        <w:rPr>
          <w:rFonts w:hint="eastAsia"/>
        </w:rPr>
        <w:t>.</w:t>
      </w:r>
      <w:r w:rsidRPr="00005783">
        <w:t xml:space="preserve"> </w:t>
      </w:r>
      <w:r>
        <w:t>Health Nutr. 2009 Jan;12(1):129-35</w:t>
      </w:r>
      <w:r>
        <w:rPr>
          <w:rFonts w:hint="eastAsia"/>
        </w:rPr>
        <w:t>.</w:t>
      </w:r>
    </w:p>
  </w:footnote>
  <w:footnote w:id="6">
    <w:p w:rsidR="003E5904" w:rsidRDefault="003E5904" w:rsidP="003E5904">
      <w:pPr>
        <w:pStyle w:val="afa"/>
        <w:ind w:leftChars="2" w:left="91" w:hangingChars="38" w:hanging="84"/>
        <w:jc w:val="both"/>
      </w:pPr>
      <w:r>
        <w:rPr>
          <w:rStyle w:val="afc"/>
        </w:rPr>
        <w:footnoteRef/>
      </w:r>
      <w:r>
        <w:rPr>
          <w:rFonts w:hint="eastAsia"/>
        </w:rPr>
        <w:t>本院101年2月29日院台調壹字第1010800074號函派案之糾正事由：</w:t>
      </w:r>
      <w:r w:rsidRPr="00BF0A4C">
        <w:rPr>
          <w:rFonts w:hint="eastAsia"/>
        </w:rPr>
        <w:t>行政院雖於86年訂有檳榔問題管理方案，以整合並督導各部會檳榔防制，然未能善用該方案已建立之防制架構，將防治工作提升層級，列入國家永續發展工作相關項目辦理，致相關部會整合防制工作未能延續以盡事功，錯失</w:t>
      </w:r>
      <w:r w:rsidRPr="001D7101">
        <w:rPr>
          <w:rFonts w:hint="eastAsia"/>
        </w:rPr>
        <w:t>管理先機等情。</w:t>
      </w:r>
      <w:r>
        <w:rPr>
          <w:rFonts w:hint="eastAsia"/>
        </w:rPr>
        <w:t>該糾正案業於103年5月7日本院</w:t>
      </w:r>
      <w:r w:rsidRPr="00FA070D">
        <w:rPr>
          <w:rFonts w:hint="eastAsia"/>
        </w:rPr>
        <w:t>財政及經濟、內政及少數民族、教育及文化委員會第4屆第</w:t>
      </w:r>
      <w:r>
        <w:rPr>
          <w:rFonts w:hint="eastAsia"/>
        </w:rPr>
        <w:t>44</w:t>
      </w:r>
      <w:r w:rsidRPr="00FA070D">
        <w:rPr>
          <w:rFonts w:hint="eastAsia"/>
        </w:rPr>
        <w:t>次聯席會議</w:t>
      </w:r>
      <w:r>
        <w:rPr>
          <w:rFonts w:hint="eastAsia"/>
        </w:rPr>
        <w:t>審議決議全案結案存查。</w:t>
      </w:r>
    </w:p>
  </w:footnote>
  <w:footnote w:id="7">
    <w:p w:rsidR="003E5904" w:rsidRDefault="003E5904" w:rsidP="003E5904">
      <w:pPr>
        <w:pStyle w:val="afa"/>
        <w:jc w:val="both"/>
      </w:pPr>
      <w:r>
        <w:rPr>
          <w:rStyle w:val="afc"/>
        </w:rPr>
        <w:footnoteRef/>
      </w:r>
      <w:r>
        <w:rPr>
          <w:rFonts w:hint="eastAsia"/>
        </w:rPr>
        <w:t>本院</w:t>
      </w:r>
      <w:r w:rsidRPr="007233A7">
        <w:rPr>
          <w:rFonts w:hint="eastAsia"/>
        </w:rPr>
        <w:t>108年7月23日院台調壹字第1080800141號</w:t>
      </w:r>
      <w:r>
        <w:rPr>
          <w:rFonts w:hint="eastAsia"/>
        </w:rPr>
        <w:t>派</w:t>
      </w:r>
      <w:r w:rsidRPr="007233A7">
        <w:rPr>
          <w:rFonts w:hint="eastAsia"/>
        </w:rPr>
        <w:t>函</w:t>
      </w:r>
      <w:r>
        <w:rPr>
          <w:rFonts w:hint="eastAsia"/>
        </w:rPr>
        <w:t>：「</w:t>
      </w:r>
      <w:r w:rsidRPr="007233A7">
        <w:rPr>
          <w:rFonts w:hint="eastAsia"/>
        </w:rPr>
        <w:t>據悉，30年來因食藥署未公告檳榔農藥殘留標準、農委會未制定檳榔用藥規範及田間管理標準，檳榔園一直未納管而自主噴藥。歐盟已視檳榔為食品並公告食安農藥標準，我國農委會農業藥物毒物試驗所亦早已完成檳榔農藥殘留標準數據訂定，然食藥署因政策性不鼓勵國人食用檳榔，迄今未公告農藥殘留標準。惟檳榔2018年的栽種面積仍僅次於稻米，位居全國第二，種植面積約42,510公頃，年產量10萬公噸。目前國人食用檳榔人口眾多，政府不應坐視業者自主管理，以致有危害國人及農民健康、威脅環境生態之虞。因事已多年均未見政府有效管理，爰有調查之必要案。</w:t>
      </w:r>
      <w:r>
        <w:rPr>
          <w:rFonts w:hint="eastAsia"/>
        </w:rPr>
        <w:t>」及</w:t>
      </w:r>
      <w:r w:rsidRPr="007233A7">
        <w:rPr>
          <w:rFonts w:hint="eastAsia"/>
        </w:rPr>
        <w:t>106年10月27日院台調壹字第1060800267號</w:t>
      </w:r>
      <w:r>
        <w:rPr>
          <w:rFonts w:hint="eastAsia"/>
        </w:rPr>
        <w:t>派</w:t>
      </w:r>
      <w:r w:rsidRPr="007233A7">
        <w:rPr>
          <w:rFonts w:hint="eastAsia"/>
        </w:rPr>
        <w:t>函</w:t>
      </w:r>
      <w:r>
        <w:rPr>
          <w:rFonts w:hint="eastAsia"/>
        </w:rPr>
        <w:t>：「</w:t>
      </w:r>
      <w:r w:rsidRPr="007233A7">
        <w:rPr>
          <w:rFonts w:hint="eastAsia"/>
        </w:rPr>
        <w:t>財政部國有財產署將檳榔管理方案執行情形納入超限利用國有非公用土地執行計畫管考，惟該方案列管應優先處理案件已屆清理期限，清理比率約僅4成，清理成效欠佳等情案。</w:t>
      </w:r>
      <w:r>
        <w:rPr>
          <w:rFonts w:hint="eastAsia"/>
        </w:rPr>
        <w:t>」</w:t>
      </w:r>
    </w:p>
  </w:footnote>
  <w:footnote w:id="8">
    <w:p w:rsidR="003E5904" w:rsidRDefault="003E5904" w:rsidP="003E5904">
      <w:pPr>
        <w:pStyle w:val="afa"/>
      </w:pPr>
      <w:r w:rsidRPr="00041B78">
        <w:rPr>
          <w:rStyle w:val="afc"/>
        </w:rPr>
        <w:footnoteRef/>
      </w:r>
      <w:r w:rsidRPr="00041B78">
        <w:rPr>
          <w:rFonts w:hint="eastAsia"/>
        </w:rPr>
        <w:t>資料來源：A</w:t>
      </w:r>
      <w:r w:rsidRPr="00041B78">
        <w:t>lcohol and Drug Foundation</w:t>
      </w:r>
      <w:r w:rsidRPr="00041B78">
        <w:rPr>
          <w:rStyle w:val="ae"/>
          <w:color w:val="auto"/>
          <w:u w:val="none"/>
        </w:rPr>
        <w:t>.</w:t>
      </w:r>
      <w:r w:rsidRPr="00041B78">
        <w:t xml:space="preserve"> Betel nut. 2021.</w:t>
      </w:r>
      <w:hyperlink r:id="rId2" w:history="1">
        <w:r w:rsidRPr="00041B78">
          <w:rPr>
            <w:rStyle w:val="ae"/>
            <w:rFonts w:hint="eastAsia"/>
            <w:color w:val="auto"/>
            <w:u w:val="none"/>
          </w:rPr>
          <w:t>https://adf.org.au/drug-facts/betel-nut/</w:t>
        </w:r>
      </w:hyperlink>
      <w:r w:rsidRPr="00041B78">
        <w:rPr>
          <w:rFonts w:hint="eastAsia"/>
        </w:rPr>
        <w:t>。</w:t>
      </w:r>
    </w:p>
  </w:footnote>
  <w:footnote w:id="9">
    <w:p w:rsidR="003E5904" w:rsidRDefault="003E5904" w:rsidP="003E5904">
      <w:pPr>
        <w:pStyle w:val="afa"/>
      </w:pPr>
      <w:r>
        <w:rPr>
          <w:rStyle w:val="afc"/>
        </w:rPr>
        <w:footnoteRef/>
      </w:r>
      <w:r>
        <w:rPr>
          <w:rFonts w:hint="eastAsia"/>
        </w:rPr>
        <w:t>吳嬌等(2020)，淺析國際檳榔文化及各國管理政策，熱帶生物學報，第11卷，第4期。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BE03D6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65D2F31"/>
    <w:multiLevelType w:val="hybridMultilevel"/>
    <w:tmpl w:val="B6403B12"/>
    <w:lvl w:ilvl="0" w:tplc="5ADC02D8">
      <w:start w:val="1"/>
      <w:numFmt w:val="decimal"/>
      <w:suff w:val="nothing"/>
      <w:lvlText w:val="%1."/>
      <w:lvlJc w:val="left"/>
      <w:pPr>
        <w:ind w:left="360" w:hanging="360"/>
      </w:pPr>
      <w:rPr>
        <w:rFonts w:hint="default"/>
        <w:sz w:val="20"/>
        <w:szCs w:val="24"/>
      </w:rPr>
    </w:lvl>
    <w:lvl w:ilvl="1" w:tplc="7312EE20">
      <w:start w:val="1"/>
      <w:numFmt w:val="decimalEnclosedCircle"/>
      <w:lvlText w:val="%2"/>
      <w:lvlJc w:val="left"/>
      <w:pPr>
        <w:ind w:left="1920" w:hanging="360"/>
      </w:pPr>
      <w:rPr>
        <w:rFonts w:ascii="新細明體" w:eastAsia="新細明體" w:hAnsi="新細明體" w:cs="新細明體"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5"/>
    <w:lvlOverride w:ilvl="0">
      <w:startOverride w:val="1"/>
    </w:lvlOverride>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B39"/>
    <w:rsid w:val="00006961"/>
    <w:rsid w:val="000112BF"/>
    <w:rsid w:val="00012233"/>
    <w:rsid w:val="000149F3"/>
    <w:rsid w:val="00017318"/>
    <w:rsid w:val="00023179"/>
    <w:rsid w:val="000246F7"/>
    <w:rsid w:val="00025480"/>
    <w:rsid w:val="0003114D"/>
    <w:rsid w:val="00033067"/>
    <w:rsid w:val="00036D76"/>
    <w:rsid w:val="00050778"/>
    <w:rsid w:val="000512D1"/>
    <w:rsid w:val="00052CD9"/>
    <w:rsid w:val="00057F32"/>
    <w:rsid w:val="00057F34"/>
    <w:rsid w:val="00062A25"/>
    <w:rsid w:val="00073CB5"/>
    <w:rsid w:val="0007425C"/>
    <w:rsid w:val="00077553"/>
    <w:rsid w:val="00080040"/>
    <w:rsid w:val="000817F2"/>
    <w:rsid w:val="000851A2"/>
    <w:rsid w:val="0009352E"/>
    <w:rsid w:val="00096215"/>
    <w:rsid w:val="00096B96"/>
    <w:rsid w:val="00097136"/>
    <w:rsid w:val="000A2F3F"/>
    <w:rsid w:val="000A3DB3"/>
    <w:rsid w:val="000A71BC"/>
    <w:rsid w:val="000B0B4A"/>
    <w:rsid w:val="000B279A"/>
    <w:rsid w:val="000B61D2"/>
    <w:rsid w:val="000B70A7"/>
    <w:rsid w:val="000C495F"/>
    <w:rsid w:val="000D1D14"/>
    <w:rsid w:val="000E07AB"/>
    <w:rsid w:val="000E6431"/>
    <w:rsid w:val="000F0D35"/>
    <w:rsid w:val="000F21A5"/>
    <w:rsid w:val="00102B9F"/>
    <w:rsid w:val="00107D9B"/>
    <w:rsid w:val="00112637"/>
    <w:rsid w:val="0012001E"/>
    <w:rsid w:val="001262C4"/>
    <w:rsid w:val="00126A55"/>
    <w:rsid w:val="00133AA2"/>
    <w:rsid w:val="00133F08"/>
    <w:rsid w:val="001345E6"/>
    <w:rsid w:val="001378B0"/>
    <w:rsid w:val="00142E00"/>
    <w:rsid w:val="0014327F"/>
    <w:rsid w:val="00152793"/>
    <w:rsid w:val="001545A9"/>
    <w:rsid w:val="001637C7"/>
    <w:rsid w:val="0016480E"/>
    <w:rsid w:val="00174297"/>
    <w:rsid w:val="001817B3"/>
    <w:rsid w:val="00183014"/>
    <w:rsid w:val="001959C2"/>
    <w:rsid w:val="001A78B2"/>
    <w:rsid w:val="001A7968"/>
    <w:rsid w:val="001B3483"/>
    <w:rsid w:val="001B3C1E"/>
    <w:rsid w:val="001B4494"/>
    <w:rsid w:val="001B48EB"/>
    <w:rsid w:val="001C0D8B"/>
    <w:rsid w:val="001C0DA8"/>
    <w:rsid w:val="001E0D8A"/>
    <w:rsid w:val="001E67BA"/>
    <w:rsid w:val="001E74C2"/>
    <w:rsid w:val="001E75B1"/>
    <w:rsid w:val="001F5A48"/>
    <w:rsid w:val="001F6260"/>
    <w:rsid w:val="001F7EB0"/>
    <w:rsid w:val="00200007"/>
    <w:rsid w:val="002030A5"/>
    <w:rsid w:val="00203131"/>
    <w:rsid w:val="00212E88"/>
    <w:rsid w:val="00213C9C"/>
    <w:rsid w:val="0022009E"/>
    <w:rsid w:val="0022425C"/>
    <w:rsid w:val="002246DE"/>
    <w:rsid w:val="002421B5"/>
    <w:rsid w:val="0025106C"/>
    <w:rsid w:val="00252BC4"/>
    <w:rsid w:val="00254014"/>
    <w:rsid w:val="0026504D"/>
    <w:rsid w:val="00270E3E"/>
    <w:rsid w:val="00273A2F"/>
    <w:rsid w:val="00280986"/>
    <w:rsid w:val="00281ECE"/>
    <w:rsid w:val="002831C7"/>
    <w:rsid w:val="002840C6"/>
    <w:rsid w:val="00286B1B"/>
    <w:rsid w:val="00295174"/>
    <w:rsid w:val="00296172"/>
    <w:rsid w:val="00296B92"/>
    <w:rsid w:val="002A2C22"/>
    <w:rsid w:val="002A3744"/>
    <w:rsid w:val="002B02EB"/>
    <w:rsid w:val="002C0602"/>
    <w:rsid w:val="002C240A"/>
    <w:rsid w:val="002D5C16"/>
    <w:rsid w:val="002E53B4"/>
    <w:rsid w:val="002F3DFF"/>
    <w:rsid w:val="002F5E05"/>
    <w:rsid w:val="00307ED0"/>
    <w:rsid w:val="00317053"/>
    <w:rsid w:val="0032109C"/>
    <w:rsid w:val="00322B45"/>
    <w:rsid w:val="00323809"/>
    <w:rsid w:val="00323D41"/>
    <w:rsid w:val="00325414"/>
    <w:rsid w:val="003302F1"/>
    <w:rsid w:val="0034470E"/>
    <w:rsid w:val="00352DB0"/>
    <w:rsid w:val="00356F58"/>
    <w:rsid w:val="00362EA6"/>
    <w:rsid w:val="003679B8"/>
    <w:rsid w:val="00371833"/>
    <w:rsid w:val="00371ED3"/>
    <w:rsid w:val="003771B0"/>
    <w:rsid w:val="0037728A"/>
    <w:rsid w:val="00380B7D"/>
    <w:rsid w:val="00381A99"/>
    <w:rsid w:val="003829C2"/>
    <w:rsid w:val="00384724"/>
    <w:rsid w:val="003919B7"/>
    <w:rsid w:val="00391D57"/>
    <w:rsid w:val="00392292"/>
    <w:rsid w:val="00396EC5"/>
    <w:rsid w:val="003A2792"/>
    <w:rsid w:val="003A47F7"/>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E5904"/>
    <w:rsid w:val="003F27E1"/>
    <w:rsid w:val="003F437A"/>
    <w:rsid w:val="003F5C2B"/>
    <w:rsid w:val="004015DD"/>
    <w:rsid w:val="004023E9"/>
    <w:rsid w:val="00413F83"/>
    <w:rsid w:val="0041490C"/>
    <w:rsid w:val="00416191"/>
    <w:rsid w:val="00416721"/>
    <w:rsid w:val="00421EF0"/>
    <w:rsid w:val="004224FA"/>
    <w:rsid w:val="00423D07"/>
    <w:rsid w:val="004255DB"/>
    <w:rsid w:val="004351D8"/>
    <w:rsid w:val="004362CA"/>
    <w:rsid w:val="0044346F"/>
    <w:rsid w:val="00451E78"/>
    <w:rsid w:val="0046520A"/>
    <w:rsid w:val="004672AB"/>
    <w:rsid w:val="004714FE"/>
    <w:rsid w:val="00485CDE"/>
    <w:rsid w:val="00493F18"/>
    <w:rsid w:val="00495053"/>
    <w:rsid w:val="004A1C17"/>
    <w:rsid w:val="004A1F59"/>
    <w:rsid w:val="004A29BE"/>
    <w:rsid w:val="004A3225"/>
    <w:rsid w:val="004A33EE"/>
    <w:rsid w:val="004A3AA8"/>
    <w:rsid w:val="004B13C7"/>
    <w:rsid w:val="004B1558"/>
    <w:rsid w:val="004B76B7"/>
    <w:rsid w:val="004B778F"/>
    <w:rsid w:val="004C5DD4"/>
    <w:rsid w:val="004C6C7F"/>
    <w:rsid w:val="004D141F"/>
    <w:rsid w:val="004D6310"/>
    <w:rsid w:val="004D6345"/>
    <w:rsid w:val="004E0062"/>
    <w:rsid w:val="004E0251"/>
    <w:rsid w:val="004E05A1"/>
    <w:rsid w:val="004F5E57"/>
    <w:rsid w:val="004F632D"/>
    <w:rsid w:val="004F6710"/>
    <w:rsid w:val="00502849"/>
    <w:rsid w:val="00502BC0"/>
    <w:rsid w:val="00504334"/>
    <w:rsid w:val="005104D7"/>
    <w:rsid w:val="00510B9E"/>
    <w:rsid w:val="00526873"/>
    <w:rsid w:val="00530F05"/>
    <w:rsid w:val="00531D2C"/>
    <w:rsid w:val="00536BC2"/>
    <w:rsid w:val="005425E1"/>
    <w:rsid w:val="005427C5"/>
    <w:rsid w:val="00542CF6"/>
    <w:rsid w:val="00553C03"/>
    <w:rsid w:val="0055550F"/>
    <w:rsid w:val="00563692"/>
    <w:rsid w:val="00571349"/>
    <w:rsid w:val="005908B8"/>
    <w:rsid w:val="0059512E"/>
    <w:rsid w:val="005A6DD2"/>
    <w:rsid w:val="005C385D"/>
    <w:rsid w:val="005D3B20"/>
    <w:rsid w:val="005E5C68"/>
    <w:rsid w:val="005E65C0"/>
    <w:rsid w:val="005F0390"/>
    <w:rsid w:val="00612023"/>
    <w:rsid w:val="00614190"/>
    <w:rsid w:val="006202D6"/>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1C0F"/>
    <w:rsid w:val="006E2DCE"/>
    <w:rsid w:val="006E6A40"/>
    <w:rsid w:val="006F3563"/>
    <w:rsid w:val="006F42B9"/>
    <w:rsid w:val="006F504E"/>
    <w:rsid w:val="006F6103"/>
    <w:rsid w:val="00704E00"/>
    <w:rsid w:val="00714358"/>
    <w:rsid w:val="00715444"/>
    <w:rsid w:val="007209E7"/>
    <w:rsid w:val="00726182"/>
    <w:rsid w:val="00732329"/>
    <w:rsid w:val="007337CA"/>
    <w:rsid w:val="00734CE4"/>
    <w:rsid w:val="00735123"/>
    <w:rsid w:val="00741837"/>
    <w:rsid w:val="007453E6"/>
    <w:rsid w:val="0075243E"/>
    <w:rsid w:val="007537D5"/>
    <w:rsid w:val="007653B4"/>
    <w:rsid w:val="007666F5"/>
    <w:rsid w:val="0077309D"/>
    <w:rsid w:val="007774EE"/>
    <w:rsid w:val="00781822"/>
    <w:rsid w:val="00783F21"/>
    <w:rsid w:val="00787159"/>
    <w:rsid w:val="00791668"/>
    <w:rsid w:val="00791AA1"/>
    <w:rsid w:val="00793DF1"/>
    <w:rsid w:val="007A3793"/>
    <w:rsid w:val="007B3787"/>
    <w:rsid w:val="007C1BA2"/>
    <w:rsid w:val="007D20E9"/>
    <w:rsid w:val="007D7881"/>
    <w:rsid w:val="007D7E3A"/>
    <w:rsid w:val="007D7FF8"/>
    <w:rsid w:val="007E0E10"/>
    <w:rsid w:val="007E178B"/>
    <w:rsid w:val="007E4768"/>
    <w:rsid w:val="007E5BDD"/>
    <w:rsid w:val="007E777B"/>
    <w:rsid w:val="007F2070"/>
    <w:rsid w:val="008053F5"/>
    <w:rsid w:val="00810198"/>
    <w:rsid w:val="008152A6"/>
    <w:rsid w:val="00815DA8"/>
    <w:rsid w:val="00816CA9"/>
    <w:rsid w:val="0082194D"/>
    <w:rsid w:val="00826EF5"/>
    <w:rsid w:val="00831693"/>
    <w:rsid w:val="00840104"/>
    <w:rsid w:val="00841FC5"/>
    <w:rsid w:val="00845709"/>
    <w:rsid w:val="008576BD"/>
    <w:rsid w:val="00860463"/>
    <w:rsid w:val="008733DA"/>
    <w:rsid w:val="0088470A"/>
    <w:rsid w:val="008850E4"/>
    <w:rsid w:val="00897067"/>
    <w:rsid w:val="00897874"/>
    <w:rsid w:val="008A12F5"/>
    <w:rsid w:val="008A288A"/>
    <w:rsid w:val="008B1587"/>
    <w:rsid w:val="008B1B01"/>
    <w:rsid w:val="008B3BCD"/>
    <w:rsid w:val="008B4841"/>
    <w:rsid w:val="008B6DF8"/>
    <w:rsid w:val="008C106C"/>
    <w:rsid w:val="008C10F1"/>
    <w:rsid w:val="008C1E99"/>
    <w:rsid w:val="008D0B2F"/>
    <w:rsid w:val="008E0085"/>
    <w:rsid w:val="008E2AA6"/>
    <w:rsid w:val="008E311B"/>
    <w:rsid w:val="008E3725"/>
    <w:rsid w:val="008F46E7"/>
    <w:rsid w:val="008F6F0B"/>
    <w:rsid w:val="00907BA7"/>
    <w:rsid w:val="0091064E"/>
    <w:rsid w:val="00911FC5"/>
    <w:rsid w:val="00931A10"/>
    <w:rsid w:val="00947967"/>
    <w:rsid w:val="00965200"/>
    <w:rsid w:val="009668B3"/>
    <w:rsid w:val="00971471"/>
    <w:rsid w:val="009849C2"/>
    <w:rsid w:val="00984D24"/>
    <w:rsid w:val="009858EB"/>
    <w:rsid w:val="009909F1"/>
    <w:rsid w:val="009B0046"/>
    <w:rsid w:val="009B087A"/>
    <w:rsid w:val="009B138A"/>
    <w:rsid w:val="009C1440"/>
    <w:rsid w:val="009C2107"/>
    <w:rsid w:val="009C3115"/>
    <w:rsid w:val="009C5D9E"/>
    <w:rsid w:val="009D2C3E"/>
    <w:rsid w:val="009E0625"/>
    <w:rsid w:val="009E3034"/>
    <w:rsid w:val="009E549F"/>
    <w:rsid w:val="009F203E"/>
    <w:rsid w:val="009F28A8"/>
    <w:rsid w:val="009F473E"/>
    <w:rsid w:val="009F682A"/>
    <w:rsid w:val="00A022BE"/>
    <w:rsid w:val="00A231D3"/>
    <w:rsid w:val="00A24C95"/>
    <w:rsid w:val="00A26094"/>
    <w:rsid w:val="00A301BF"/>
    <w:rsid w:val="00A302B2"/>
    <w:rsid w:val="00A31744"/>
    <w:rsid w:val="00A331B4"/>
    <w:rsid w:val="00A3484E"/>
    <w:rsid w:val="00A36ADA"/>
    <w:rsid w:val="00A438D8"/>
    <w:rsid w:val="00A473F5"/>
    <w:rsid w:val="00A51F9D"/>
    <w:rsid w:val="00A5416A"/>
    <w:rsid w:val="00A639F4"/>
    <w:rsid w:val="00A81A32"/>
    <w:rsid w:val="00A835BD"/>
    <w:rsid w:val="00A9349D"/>
    <w:rsid w:val="00A93AB5"/>
    <w:rsid w:val="00A97B15"/>
    <w:rsid w:val="00AA42D5"/>
    <w:rsid w:val="00AB2FAB"/>
    <w:rsid w:val="00AB5C14"/>
    <w:rsid w:val="00AC1EE7"/>
    <w:rsid w:val="00AC333F"/>
    <w:rsid w:val="00AC585C"/>
    <w:rsid w:val="00AD1925"/>
    <w:rsid w:val="00AE067D"/>
    <w:rsid w:val="00AE1257"/>
    <w:rsid w:val="00AE58D9"/>
    <w:rsid w:val="00AF1181"/>
    <w:rsid w:val="00AF2F79"/>
    <w:rsid w:val="00AF4653"/>
    <w:rsid w:val="00AF4D55"/>
    <w:rsid w:val="00AF7DB7"/>
    <w:rsid w:val="00B002F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4568"/>
    <w:rsid w:val="00BD7D5D"/>
    <w:rsid w:val="00BF2A42"/>
    <w:rsid w:val="00C03D8C"/>
    <w:rsid w:val="00C055EC"/>
    <w:rsid w:val="00C10DC9"/>
    <w:rsid w:val="00C12FB3"/>
    <w:rsid w:val="00C17341"/>
    <w:rsid w:val="00C24EEF"/>
    <w:rsid w:val="00C25CF6"/>
    <w:rsid w:val="00C26C36"/>
    <w:rsid w:val="00C32768"/>
    <w:rsid w:val="00C33518"/>
    <w:rsid w:val="00C431DF"/>
    <w:rsid w:val="00C456BD"/>
    <w:rsid w:val="00C530DC"/>
    <w:rsid w:val="00C5350D"/>
    <w:rsid w:val="00C6123C"/>
    <w:rsid w:val="00C7084D"/>
    <w:rsid w:val="00C716A5"/>
    <w:rsid w:val="00C7315E"/>
    <w:rsid w:val="00C75895"/>
    <w:rsid w:val="00C83C9F"/>
    <w:rsid w:val="00C86866"/>
    <w:rsid w:val="00C94840"/>
    <w:rsid w:val="00CA6AC8"/>
    <w:rsid w:val="00CB027F"/>
    <w:rsid w:val="00CC6297"/>
    <w:rsid w:val="00CC7690"/>
    <w:rsid w:val="00CC77D0"/>
    <w:rsid w:val="00CD1986"/>
    <w:rsid w:val="00CD2D8D"/>
    <w:rsid w:val="00CD45D8"/>
    <w:rsid w:val="00CD525B"/>
    <w:rsid w:val="00CE4D5C"/>
    <w:rsid w:val="00CF05DA"/>
    <w:rsid w:val="00CF4CA7"/>
    <w:rsid w:val="00CF58EB"/>
    <w:rsid w:val="00D0106E"/>
    <w:rsid w:val="00D06383"/>
    <w:rsid w:val="00D20E85"/>
    <w:rsid w:val="00D24615"/>
    <w:rsid w:val="00D27557"/>
    <w:rsid w:val="00D37842"/>
    <w:rsid w:val="00D42DC2"/>
    <w:rsid w:val="00D519E6"/>
    <w:rsid w:val="00D537E1"/>
    <w:rsid w:val="00D55BB2"/>
    <w:rsid w:val="00D6091A"/>
    <w:rsid w:val="00D65623"/>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50BD"/>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1AD7"/>
    <w:rsid w:val="00EE7CCA"/>
    <w:rsid w:val="00F16A14"/>
    <w:rsid w:val="00F231DC"/>
    <w:rsid w:val="00F362D7"/>
    <w:rsid w:val="00F37D7B"/>
    <w:rsid w:val="00F528C2"/>
    <w:rsid w:val="00F5314C"/>
    <w:rsid w:val="00F635DD"/>
    <w:rsid w:val="00F6627B"/>
    <w:rsid w:val="00F734F2"/>
    <w:rsid w:val="00F75052"/>
    <w:rsid w:val="00F804D3"/>
    <w:rsid w:val="00F81CD2"/>
    <w:rsid w:val="00F82641"/>
    <w:rsid w:val="00F84654"/>
    <w:rsid w:val="00F907FA"/>
    <w:rsid w:val="00F90F18"/>
    <w:rsid w:val="00F937E4"/>
    <w:rsid w:val="00F95EE7"/>
    <w:rsid w:val="00FA39E6"/>
    <w:rsid w:val="00FA7BC9"/>
    <w:rsid w:val="00FB378E"/>
    <w:rsid w:val="00FB37F1"/>
    <w:rsid w:val="00FB47C0"/>
    <w:rsid w:val="00FB501B"/>
    <w:rsid w:val="00FB7770"/>
    <w:rsid w:val="00FC2E22"/>
    <w:rsid w:val="00FC71E2"/>
    <w:rsid w:val="00FD3B91"/>
    <w:rsid w:val="00FD576B"/>
    <w:rsid w:val="00FD579E"/>
    <w:rsid w:val="00FE4516"/>
    <w:rsid w:val="00FF48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2605A6-5FD5-4BE2-A81F-73AD5A47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526873"/>
    <w:pPr>
      <w:snapToGrid w:val="0"/>
      <w:jc w:val="left"/>
    </w:pPr>
    <w:rPr>
      <w:sz w:val="20"/>
    </w:rPr>
  </w:style>
  <w:style w:type="character" w:customStyle="1" w:styleId="afb">
    <w:name w:val="註腳文字 字元"/>
    <w:basedOn w:val="a7"/>
    <w:link w:val="afa"/>
    <w:uiPriority w:val="99"/>
    <w:rsid w:val="00526873"/>
    <w:rPr>
      <w:rFonts w:ascii="標楷體" w:eastAsia="標楷體"/>
      <w:kern w:val="2"/>
    </w:rPr>
  </w:style>
  <w:style w:type="character" w:styleId="afc">
    <w:name w:val="footnote reference"/>
    <w:basedOn w:val="a7"/>
    <w:uiPriority w:val="99"/>
    <w:semiHidden/>
    <w:unhideWhenUsed/>
    <w:rsid w:val="00526873"/>
    <w:rPr>
      <w:vertAlign w:val="superscript"/>
    </w:rPr>
  </w:style>
  <w:style w:type="character" w:customStyle="1" w:styleId="50">
    <w:name w:val="標題 5 字元"/>
    <w:basedOn w:val="a7"/>
    <w:link w:val="5"/>
    <w:rsid w:val="00023179"/>
    <w:rPr>
      <w:rFonts w:ascii="標楷體" w:eastAsia="標楷體" w:hAnsi="Arial"/>
      <w:bCs/>
      <w:kern w:val="32"/>
      <w:sz w:val="32"/>
      <w:szCs w:val="36"/>
    </w:rPr>
  </w:style>
  <w:style w:type="character" w:customStyle="1" w:styleId="60">
    <w:name w:val="標題 6 字元"/>
    <w:basedOn w:val="a7"/>
    <w:link w:val="6"/>
    <w:rsid w:val="00052CD9"/>
    <w:rPr>
      <w:rFonts w:ascii="標楷體" w:eastAsia="標楷體" w:hAnsi="Arial"/>
      <w:kern w:val="32"/>
      <w:sz w:val="32"/>
      <w:szCs w:val="36"/>
    </w:rPr>
  </w:style>
  <w:style w:type="character" w:customStyle="1" w:styleId="30">
    <w:name w:val="標題 3 字元"/>
    <w:basedOn w:val="a7"/>
    <w:link w:val="3"/>
    <w:rsid w:val="00052CD9"/>
    <w:rPr>
      <w:rFonts w:ascii="標楷體" w:eastAsia="標楷體" w:hAnsi="Arial"/>
      <w:bCs/>
      <w:kern w:val="32"/>
      <w:sz w:val="32"/>
      <w:szCs w:val="36"/>
    </w:rPr>
  </w:style>
  <w:style w:type="character" w:customStyle="1" w:styleId="40">
    <w:name w:val="標題 4 字元"/>
    <w:basedOn w:val="a7"/>
    <w:link w:val="4"/>
    <w:rsid w:val="00052CD9"/>
    <w:rPr>
      <w:rFonts w:ascii="標楷體" w:eastAsia="標楷體" w:hAnsi="Arial"/>
      <w:kern w:val="32"/>
      <w:sz w:val="32"/>
      <w:szCs w:val="36"/>
    </w:rPr>
  </w:style>
  <w:style w:type="character" w:customStyle="1" w:styleId="y2iqfc">
    <w:name w:val="y2iqfc"/>
    <w:basedOn w:val="a7"/>
    <w:rsid w:val="00884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44245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df.org.au/drug-facts/betel-nut/" TargetMode="External"/><Relationship Id="rId1" Type="http://schemas.openxmlformats.org/officeDocument/2006/relationships/hyperlink" Target="https://www.hpa.gov.tw/Pages/Detail.aspx?nodeid=1127&amp;pid=1804&#65292;&#26597;&#35426;&#26085;&#26399;&#65306;1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EA3DE-631A-42CB-8BB2-6BC718C65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14</Pages>
  <Words>1375</Words>
  <Characters>7839</Characters>
  <Application>Microsoft Office Word</Application>
  <DocSecurity>0</DocSecurity>
  <Lines>65</Lines>
  <Paragraphs>18</Paragraphs>
  <ScaleCrop>false</ScaleCrop>
  <Company>cy</Company>
  <LinksUpToDate>false</LinksUpToDate>
  <CharactersWithSpaces>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王心芬</dc:creator>
  <cp:lastModifiedBy>林秀珍</cp:lastModifiedBy>
  <cp:revision>5</cp:revision>
  <cp:lastPrinted>2021-11-26T09:05:00Z</cp:lastPrinted>
  <dcterms:created xsi:type="dcterms:W3CDTF">2021-11-29T01:47:00Z</dcterms:created>
  <dcterms:modified xsi:type="dcterms:W3CDTF">2021-11-30T07:44:00Z</dcterms:modified>
</cp:coreProperties>
</file>