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08" w:rsidRPr="00A6287E" w:rsidRDefault="00255E08" w:rsidP="00A6287E">
      <w:pPr>
        <w:pStyle w:val="a6"/>
        <w:kinsoku w:val="0"/>
        <w:spacing w:before="0"/>
        <w:ind w:left="0" w:firstLine="0"/>
        <w:jc w:val="center"/>
        <w:rPr>
          <w:rFonts w:hAnsi="標楷體"/>
          <w:bCs/>
          <w:snapToGrid/>
          <w:spacing w:val="200"/>
          <w:kern w:val="0"/>
          <w:sz w:val="40"/>
        </w:rPr>
      </w:pPr>
      <w:r w:rsidRPr="00F64788">
        <w:rPr>
          <w:rFonts w:hAnsi="標楷體" w:hint="eastAsia"/>
          <w:bCs/>
          <w:snapToGrid/>
          <w:spacing w:val="200"/>
          <w:kern w:val="0"/>
          <w:sz w:val="40"/>
        </w:rPr>
        <w:t>調查</w:t>
      </w: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r w:rsidRPr="00A6287E">
        <w:rPr>
          <w:rFonts w:hAnsi="標楷體" w:hint="eastAsia"/>
          <w:bCs/>
          <w:snapToGrid/>
          <w:spacing w:val="200"/>
          <w:kern w:val="0"/>
          <w:sz w:val="40"/>
        </w:rPr>
        <w:t>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55088A" w:rsidRPr="00F64788" w:rsidRDefault="0055088A" w:rsidP="0055088A">
      <w:pPr>
        <w:pStyle w:val="10"/>
        <w:ind w:left="680" w:firstLine="680"/>
        <w:rPr>
          <w:rFonts w:hAnsi="標楷體"/>
          <w:szCs w:val="32"/>
        </w:rPr>
      </w:pPr>
      <w:bookmarkStart w:id="22" w:name="_Toc524902730"/>
      <w:r w:rsidRPr="00F64788">
        <w:rPr>
          <w:rFonts w:hAnsi="標楷體" w:hint="eastAsia"/>
          <w:szCs w:val="32"/>
        </w:rPr>
        <w:t>民國（下同）</w:t>
      </w:r>
      <w:r w:rsidRPr="00F64788">
        <w:rPr>
          <w:rFonts w:hAnsi="標楷體"/>
          <w:szCs w:val="32"/>
        </w:rPr>
        <w:t>103</w:t>
      </w:r>
      <w:r w:rsidRPr="00F64788">
        <w:rPr>
          <w:rFonts w:hAnsi="標楷體" w:hint="eastAsia"/>
          <w:szCs w:val="32"/>
        </w:rPr>
        <w:t>年</w:t>
      </w:r>
      <w:r w:rsidRPr="00F64788">
        <w:rPr>
          <w:rFonts w:hAnsi="標楷體"/>
          <w:szCs w:val="32"/>
        </w:rPr>
        <w:t>4</w:t>
      </w:r>
      <w:r w:rsidRPr="00F64788">
        <w:rPr>
          <w:rFonts w:hAnsi="標楷體" w:hint="eastAsia"/>
          <w:szCs w:val="32"/>
        </w:rPr>
        <w:t>月</w:t>
      </w:r>
      <w:r w:rsidRPr="00F64788">
        <w:rPr>
          <w:rFonts w:hAnsi="標楷體"/>
          <w:szCs w:val="32"/>
        </w:rPr>
        <w:t>25</w:t>
      </w:r>
      <w:r w:rsidRPr="00F64788">
        <w:rPr>
          <w:rFonts w:hAnsi="標楷體" w:hint="eastAsia"/>
          <w:szCs w:val="32"/>
        </w:rPr>
        <w:t>日發生群眾聚集包圍立法院出口，企圖阻撓立法委員與官員離開，甚至發生</w:t>
      </w:r>
      <w:proofErr w:type="gramStart"/>
      <w:r w:rsidRPr="00F64788">
        <w:rPr>
          <w:rFonts w:hAnsi="標楷體" w:hint="eastAsia"/>
          <w:szCs w:val="32"/>
        </w:rPr>
        <w:t>民眾撲趴在</w:t>
      </w:r>
      <w:proofErr w:type="gramEnd"/>
      <w:r w:rsidRPr="00F64788">
        <w:rPr>
          <w:rFonts w:hAnsi="標楷體" w:hint="eastAsia"/>
          <w:szCs w:val="32"/>
        </w:rPr>
        <w:t>立法委員座車引擎蓋上，欲阻擋其座車離去；另有路人駕駛自用車欲以阻擋，並一路尾隨跟蹤；</w:t>
      </w:r>
      <w:r w:rsidRPr="00F64788">
        <w:rPr>
          <w:rFonts w:hAnsi="標楷體"/>
          <w:szCs w:val="32"/>
        </w:rPr>
        <w:t>4</w:t>
      </w:r>
      <w:r w:rsidRPr="00F64788">
        <w:rPr>
          <w:rFonts w:hAnsi="標楷體" w:hint="eastAsia"/>
          <w:szCs w:val="32"/>
        </w:rPr>
        <w:t>月</w:t>
      </w:r>
      <w:r w:rsidRPr="00F64788">
        <w:rPr>
          <w:rFonts w:hAnsi="標楷體"/>
          <w:szCs w:val="32"/>
        </w:rPr>
        <w:t>27</w:t>
      </w:r>
      <w:r w:rsidRPr="00F64788">
        <w:rPr>
          <w:rFonts w:hAnsi="標楷體" w:hint="eastAsia"/>
          <w:szCs w:val="32"/>
        </w:rPr>
        <w:t>日抗議群眾號召反核遊行，嗣後更</w:t>
      </w:r>
      <w:r w:rsidR="004F6619">
        <w:rPr>
          <w:rFonts w:hAnsi="標楷體" w:hint="eastAsia"/>
          <w:szCs w:val="32"/>
        </w:rPr>
        <w:t>占</w:t>
      </w:r>
      <w:r w:rsidRPr="00F64788">
        <w:rPr>
          <w:rFonts w:hAnsi="標楷體" w:hint="eastAsia"/>
          <w:szCs w:val="32"/>
        </w:rPr>
        <w:t>領忠孝西路，癱瘓交通要衝，</w:t>
      </w:r>
      <w:r w:rsidR="00BA17EB">
        <w:rPr>
          <w:rFonts w:hAnsi="標楷體" w:hint="eastAsia"/>
          <w:szCs w:val="32"/>
        </w:rPr>
        <w:t>對臺北市交通及治安形成威脅</w:t>
      </w:r>
      <w:r w:rsidRPr="00F64788">
        <w:rPr>
          <w:rFonts w:hAnsi="標楷體" w:hint="eastAsia"/>
          <w:szCs w:val="32"/>
        </w:rPr>
        <w:t>；</w:t>
      </w:r>
      <w:r w:rsidRPr="00F64788">
        <w:rPr>
          <w:rFonts w:hAnsi="標楷體"/>
          <w:szCs w:val="32"/>
        </w:rPr>
        <w:t>4</w:t>
      </w:r>
      <w:r w:rsidRPr="00F64788">
        <w:rPr>
          <w:rFonts w:hAnsi="標楷體" w:hint="eastAsia"/>
          <w:szCs w:val="32"/>
        </w:rPr>
        <w:t>月</w:t>
      </w:r>
      <w:r w:rsidRPr="00F64788">
        <w:rPr>
          <w:rFonts w:hAnsi="標楷體"/>
          <w:szCs w:val="32"/>
        </w:rPr>
        <w:t>29</w:t>
      </w:r>
      <w:r w:rsidRPr="00F64788">
        <w:rPr>
          <w:rFonts w:hAnsi="標楷體" w:hint="eastAsia"/>
          <w:szCs w:val="32"/>
        </w:rPr>
        <w:t>日又發生群眾對立委盤查身分、跟蹤隨行、言語辱罵、阻攔座車、打破車窗等行為，甚至盤據忠孝東路與林森南路口，嚴重阻礙交通，</w:t>
      </w:r>
      <w:r w:rsidR="00213240" w:rsidRPr="00F64788">
        <w:rPr>
          <w:rFonts w:hAnsi="標楷體" w:hint="eastAsia"/>
          <w:szCs w:val="32"/>
        </w:rPr>
        <w:t>導致臺北市中心地區交通秩序及治安狀況嚴重失序，形同危城。究政府相關主管機關對此非法暴行有無依法處置？有無</w:t>
      </w:r>
      <w:proofErr w:type="gramStart"/>
      <w:r w:rsidR="00213240" w:rsidRPr="00F64788">
        <w:rPr>
          <w:rFonts w:hAnsi="標楷體" w:hint="eastAsia"/>
          <w:szCs w:val="32"/>
        </w:rPr>
        <w:t>怠</w:t>
      </w:r>
      <w:proofErr w:type="gramEnd"/>
      <w:r w:rsidR="00213240" w:rsidRPr="00F64788">
        <w:rPr>
          <w:rFonts w:hAnsi="標楷體" w:hint="eastAsia"/>
          <w:szCs w:val="32"/>
        </w:rPr>
        <w:t>失情事等情？本院認有深入調查之必要，</w:t>
      </w:r>
      <w:proofErr w:type="gramStart"/>
      <w:r w:rsidR="00213240" w:rsidRPr="00F64788">
        <w:rPr>
          <w:rFonts w:hAnsi="標楷體" w:hint="eastAsia"/>
          <w:szCs w:val="32"/>
        </w:rPr>
        <w:t>爰</w:t>
      </w:r>
      <w:proofErr w:type="gramEnd"/>
      <w:r w:rsidR="00213240" w:rsidRPr="00F64788">
        <w:rPr>
          <w:rFonts w:hAnsi="標楷體" w:hint="eastAsia"/>
          <w:szCs w:val="32"/>
        </w:rPr>
        <w:t>核定委員申請自動調查。</w:t>
      </w:r>
    </w:p>
    <w:p w:rsidR="00213240" w:rsidRPr="00F64788" w:rsidRDefault="00213240" w:rsidP="0055088A">
      <w:pPr>
        <w:pStyle w:val="10"/>
        <w:ind w:left="680" w:firstLine="680"/>
        <w:rPr>
          <w:rFonts w:hAnsi="標楷體"/>
          <w:bCs/>
          <w:szCs w:val="32"/>
        </w:rPr>
      </w:pPr>
      <w:r w:rsidRPr="00F64788">
        <w:rPr>
          <w:rFonts w:hAnsi="標楷體" w:hint="eastAsia"/>
          <w:szCs w:val="32"/>
        </w:rPr>
        <w:t>案經先行廣泛蒐集該段期間之媒體報導</w:t>
      </w:r>
      <w:r w:rsidR="002F5233">
        <w:rPr>
          <w:rFonts w:hAnsi="標楷體" w:hint="eastAsia"/>
          <w:szCs w:val="32"/>
        </w:rPr>
        <w:t>及</w:t>
      </w:r>
      <w:r w:rsidRPr="00F64788">
        <w:rPr>
          <w:rFonts w:hAnsi="標楷體" w:hint="eastAsia"/>
          <w:szCs w:val="32"/>
        </w:rPr>
        <w:t>輿</w:t>
      </w:r>
      <w:r w:rsidR="002F5233">
        <w:rPr>
          <w:rFonts w:hAnsi="標楷體" w:hint="eastAsia"/>
          <w:szCs w:val="32"/>
        </w:rPr>
        <w:t>情反映</w:t>
      </w:r>
      <w:r w:rsidRPr="00F64788">
        <w:rPr>
          <w:rFonts w:hAnsi="標楷體" w:hint="eastAsia"/>
          <w:szCs w:val="32"/>
        </w:rPr>
        <w:t>；</w:t>
      </w:r>
      <w:proofErr w:type="gramStart"/>
      <w:r w:rsidRPr="00F64788">
        <w:rPr>
          <w:rFonts w:hAnsi="標楷體" w:hint="eastAsia"/>
          <w:szCs w:val="32"/>
        </w:rPr>
        <w:t>嗣</w:t>
      </w:r>
      <w:proofErr w:type="gramEnd"/>
      <w:r w:rsidRPr="00F64788">
        <w:rPr>
          <w:rFonts w:hAnsi="標楷體" w:hint="eastAsia"/>
          <w:bCs/>
        </w:rPr>
        <w:t>於同（103）年6月9日約</w:t>
      </w:r>
      <w:proofErr w:type="gramStart"/>
      <w:r w:rsidRPr="00F64788">
        <w:rPr>
          <w:rFonts w:hAnsi="標楷體" w:hint="eastAsia"/>
          <w:bCs/>
        </w:rPr>
        <w:t>詢</w:t>
      </w:r>
      <w:proofErr w:type="gramEnd"/>
      <w:r w:rsidRPr="00F64788">
        <w:rPr>
          <w:rFonts w:hAnsi="標楷體" w:hint="eastAsia"/>
        </w:rPr>
        <w:t>臺北市</w:t>
      </w:r>
      <w:r w:rsidRPr="00F64788">
        <w:rPr>
          <w:rFonts w:hAnsi="標楷體" w:hint="eastAsia"/>
          <w:noProof/>
        </w:rPr>
        <w:t>市長郝龍斌、</w:t>
      </w:r>
      <w:r w:rsidR="004F6619">
        <w:rPr>
          <w:rFonts w:hAnsi="標楷體" w:hint="eastAsia"/>
          <w:noProof/>
        </w:rPr>
        <w:t>臺北市政府</w:t>
      </w:r>
      <w:r w:rsidRPr="00F64788">
        <w:rPr>
          <w:rFonts w:hAnsi="標楷體" w:hint="eastAsia"/>
          <w:noProof/>
        </w:rPr>
        <w:t>警察局（下稱臺北市警局）局長黃昇勇、內政部警政署（下稱警政署）副署長蔡俊章、國家通訊傳播委員會（下稱通傳會）副主任委員虞孝成及相關主管人員；同年</w:t>
      </w:r>
      <w:r w:rsidRPr="00F64788">
        <w:rPr>
          <w:rFonts w:hAnsi="標楷體" w:hint="eastAsia"/>
          <w:bCs/>
        </w:rPr>
        <w:t>6月11日約</w:t>
      </w:r>
      <w:proofErr w:type="gramStart"/>
      <w:r w:rsidRPr="00F64788">
        <w:rPr>
          <w:rFonts w:hAnsi="標楷體" w:hint="eastAsia"/>
          <w:bCs/>
        </w:rPr>
        <w:t>詢</w:t>
      </w:r>
      <w:proofErr w:type="gramEnd"/>
      <w:r w:rsidRPr="00F64788">
        <w:rPr>
          <w:rFonts w:hAnsi="標楷體" w:hint="eastAsia"/>
          <w:noProof/>
        </w:rPr>
        <w:t>最高法院檢察署檢察總長顏大和</w:t>
      </w:r>
      <w:r w:rsidRPr="00F64788">
        <w:rPr>
          <w:rFonts w:hAnsi="標楷體" w:hint="eastAsia"/>
        </w:rPr>
        <w:t>，並分別請上開機關提具案關書面報告，會後請</w:t>
      </w:r>
      <w:proofErr w:type="gramStart"/>
      <w:r w:rsidR="002F5233">
        <w:rPr>
          <w:rFonts w:hAnsi="標楷體" w:hint="eastAsia"/>
        </w:rPr>
        <w:t>其</w:t>
      </w:r>
      <w:r w:rsidRPr="00F64788">
        <w:rPr>
          <w:rFonts w:hAnsi="標楷體" w:hint="eastAsia"/>
        </w:rPr>
        <w:t>續復補充</w:t>
      </w:r>
      <w:proofErr w:type="gramEnd"/>
      <w:r w:rsidRPr="00F64788">
        <w:rPr>
          <w:rFonts w:hAnsi="標楷體" w:hint="eastAsia"/>
        </w:rPr>
        <w:t>資料</w:t>
      </w:r>
      <w:r w:rsidR="002F5233">
        <w:rPr>
          <w:rFonts w:hAnsi="標楷體" w:hint="eastAsia"/>
        </w:rPr>
        <w:t>到院</w:t>
      </w:r>
      <w:r w:rsidRPr="00F64788">
        <w:rPr>
          <w:rFonts w:hAnsi="標楷體" w:hint="eastAsia"/>
        </w:rPr>
        <w:t>；復再請本院政風室提供103年4月25日至29日</w:t>
      </w:r>
      <w:r w:rsidRPr="00F64788">
        <w:rPr>
          <w:rFonts w:hAnsi="標楷體" w:hint="eastAsia"/>
          <w:szCs w:val="32"/>
        </w:rPr>
        <w:t>期間本院安全狀況</w:t>
      </w:r>
      <w:r w:rsidR="002F5233">
        <w:rPr>
          <w:rFonts w:hAnsi="標楷體" w:hint="eastAsia"/>
          <w:szCs w:val="32"/>
        </w:rPr>
        <w:t>說明</w:t>
      </w:r>
      <w:r w:rsidRPr="00F64788">
        <w:rPr>
          <w:rFonts w:hAnsi="標楷體" w:hint="eastAsia"/>
        </w:rPr>
        <w:t>，全案業已</w:t>
      </w:r>
      <w:proofErr w:type="gramStart"/>
      <w:r w:rsidRPr="00F64788">
        <w:rPr>
          <w:rFonts w:hAnsi="標楷體" w:hint="eastAsia"/>
        </w:rPr>
        <w:t>調查竣事</w:t>
      </w:r>
      <w:proofErr w:type="gramEnd"/>
      <w:r w:rsidRPr="00F64788">
        <w:rPr>
          <w:rFonts w:hAnsi="標楷體" w:hint="eastAsia"/>
        </w:rPr>
        <w:t>，</w:t>
      </w:r>
      <w:r w:rsidRPr="00F64788">
        <w:rPr>
          <w:rFonts w:hAnsi="標楷體" w:hint="eastAsia"/>
          <w:bCs/>
        </w:rPr>
        <w:t>茲將調查</w:t>
      </w:r>
      <w:proofErr w:type="gramStart"/>
      <w:r w:rsidRPr="00F64788">
        <w:rPr>
          <w:rFonts w:hAnsi="標楷體" w:hint="eastAsia"/>
          <w:bCs/>
        </w:rPr>
        <w:t>意見分敘如下</w:t>
      </w:r>
      <w:proofErr w:type="gramEnd"/>
      <w:r w:rsidRPr="00F64788">
        <w:rPr>
          <w:rFonts w:hAnsi="標楷體" w:hint="eastAsia"/>
          <w:bCs/>
        </w:rPr>
        <w:t>：</w:t>
      </w:r>
    </w:p>
    <w:p w:rsidR="00201B2D" w:rsidRPr="00F64788" w:rsidRDefault="00AD2578">
      <w:pPr>
        <w:pStyle w:val="2"/>
        <w:ind w:left="1020" w:hanging="680"/>
        <w:rPr>
          <w:rFonts w:hAnsi="標楷體"/>
        </w:rPr>
      </w:pPr>
      <w:bookmarkStart w:id="23" w:name="_Toc2400393"/>
      <w:bookmarkStart w:id="24" w:name="_Toc4316187"/>
      <w:bookmarkStart w:id="25" w:name="_Toc4473328"/>
      <w:bookmarkStart w:id="26" w:name="_Toc69556895"/>
      <w:bookmarkStart w:id="27" w:name="_Toc69556944"/>
      <w:bookmarkStart w:id="28" w:name="_Toc69609818"/>
      <w:bookmarkStart w:id="29" w:name="_Toc70241814"/>
      <w:bookmarkStart w:id="30" w:name="_Toc70242203"/>
      <w:r>
        <w:rPr>
          <w:rFonts w:hAnsi="標楷體" w:hint="eastAsia"/>
          <w:b/>
        </w:rPr>
        <w:t>臺北市警局</w:t>
      </w:r>
      <w:r w:rsidR="00A6159F">
        <w:rPr>
          <w:rFonts w:hAnsi="標楷體" w:hint="eastAsia"/>
          <w:b/>
        </w:rPr>
        <w:t>針對</w:t>
      </w:r>
      <w:r>
        <w:rPr>
          <w:rFonts w:hAnsi="標楷體" w:hint="eastAsia"/>
          <w:b/>
        </w:rPr>
        <w:t>處理</w:t>
      </w:r>
      <w:r w:rsidR="00A6159F">
        <w:rPr>
          <w:rFonts w:hAnsi="標楷體" w:hint="eastAsia"/>
          <w:b/>
        </w:rPr>
        <w:t>本案</w:t>
      </w:r>
      <w:r w:rsidR="00DD378E" w:rsidRPr="00F64788">
        <w:rPr>
          <w:rFonts w:hAnsi="標楷體" w:hint="eastAsia"/>
          <w:b/>
        </w:rPr>
        <w:t>三</w:t>
      </w:r>
      <w:r w:rsidR="00A6159F">
        <w:rPr>
          <w:rFonts w:hAnsi="標楷體" w:hint="eastAsia"/>
          <w:b/>
        </w:rPr>
        <w:t>起</w:t>
      </w:r>
      <w:proofErr w:type="gramStart"/>
      <w:r>
        <w:rPr>
          <w:rFonts w:hAnsi="標楷體" w:hint="eastAsia"/>
          <w:b/>
        </w:rPr>
        <w:t>群眾陳抗</w:t>
      </w:r>
      <w:r w:rsidR="00DD378E" w:rsidRPr="00F64788">
        <w:rPr>
          <w:rFonts w:hAnsi="標楷體" w:hint="eastAsia"/>
          <w:b/>
        </w:rPr>
        <w:t>事件</w:t>
      </w:r>
      <w:proofErr w:type="gramEnd"/>
      <w:r w:rsidR="00DD378E" w:rsidRPr="00F64788">
        <w:rPr>
          <w:rFonts w:hAnsi="標楷體" w:hint="eastAsia"/>
          <w:b/>
        </w:rPr>
        <w:t>過程中，出現若干警力不足及警力</w:t>
      </w:r>
      <w:r>
        <w:rPr>
          <w:rFonts w:hAnsi="標楷體" w:hint="eastAsia"/>
          <w:b/>
        </w:rPr>
        <w:t>部</w:t>
      </w:r>
      <w:r w:rsidR="00DD378E" w:rsidRPr="00F64788">
        <w:rPr>
          <w:rFonts w:hAnsi="標楷體" w:hint="eastAsia"/>
          <w:b/>
        </w:rPr>
        <w:t>署空缺情事，</w:t>
      </w:r>
      <w:r w:rsidR="00BA17EB">
        <w:rPr>
          <w:rFonts w:hAnsi="標楷體" w:hint="eastAsia"/>
          <w:b/>
        </w:rPr>
        <w:t>嚴重影響交通秩序與社會治安，</w:t>
      </w:r>
      <w:r w:rsidR="00DD378E" w:rsidRPr="00F64788">
        <w:rPr>
          <w:rFonts w:hAnsi="標楷體" w:hint="eastAsia"/>
          <w:b/>
        </w:rPr>
        <w:t>允</w:t>
      </w:r>
      <w:r w:rsidR="00BA17EB">
        <w:rPr>
          <w:rFonts w:hAnsi="標楷體" w:hint="eastAsia"/>
          <w:b/>
        </w:rPr>
        <w:t>應</w:t>
      </w:r>
      <w:r w:rsidR="00DD378E" w:rsidRPr="00F64788">
        <w:rPr>
          <w:rFonts w:hAnsi="標楷體" w:hint="eastAsia"/>
          <w:b/>
        </w:rPr>
        <w:t>進行細部檢討，以</w:t>
      </w:r>
      <w:proofErr w:type="gramStart"/>
      <w:r w:rsidR="00DD378E" w:rsidRPr="00F64788">
        <w:rPr>
          <w:rFonts w:hAnsi="標楷體" w:hint="eastAsia"/>
          <w:b/>
        </w:rPr>
        <w:t>惕</w:t>
      </w:r>
      <w:proofErr w:type="gramEnd"/>
      <w:r w:rsidR="00DD378E" w:rsidRPr="00F64788">
        <w:rPr>
          <w:rFonts w:hAnsi="標楷體" w:hint="eastAsia"/>
          <w:b/>
        </w:rPr>
        <w:t>來茲：</w:t>
      </w:r>
    </w:p>
    <w:p w:rsidR="005E7DA3" w:rsidRPr="00F64788" w:rsidRDefault="00AD2578" w:rsidP="00DD378E">
      <w:pPr>
        <w:pStyle w:val="3"/>
        <w:rPr>
          <w:rFonts w:hAnsi="標楷體"/>
        </w:rPr>
      </w:pPr>
      <w:r>
        <w:rPr>
          <w:rFonts w:hAnsi="標楷體" w:hint="eastAsia"/>
        </w:rPr>
        <w:t>關於</w:t>
      </w:r>
      <w:r w:rsidR="005E7DA3" w:rsidRPr="00F64788">
        <w:rPr>
          <w:rFonts w:hAnsi="標楷體" w:hint="eastAsia"/>
        </w:rPr>
        <w:t>103年4月25日</w:t>
      </w:r>
      <w:proofErr w:type="gramStart"/>
      <w:r>
        <w:rPr>
          <w:rFonts w:hAnsi="標楷體" w:hint="eastAsia"/>
        </w:rPr>
        <w:t>群眾陳抗事件</w:t>
      </w:r>
      <w:proofErr w:type="gramEnd"/>
      <w:r>
        <w:rPr>
          <w:rFonts w:hAnsi="標楷體" w:hint="eastAsia"/>
        </w:rPr>
        <w:t>，</w:t>
      </w:r>
      <w:r>
        <w:rPr>
          <w:rFonts w:hAnsi="標楷體" w:hint="eastAsia"/>
          <w:szCs w:val="32"/>
        </w:rPr>
        <w:t>「公投護臺灣聯盟」召集人</w:t>
      </w:r>
      <w:proofErr w:type="gramStart"/>
      <w:r>
        <w:rPr>
          <w:rFonts w:hAnsi="標楷體" w:hint="eastAsia"/>
          <w:szCs w:val="32"/>
        </w:rPr>
        <w:t>蔡</w:t>
      </w:r>
      <w:proofErr w:type="gramEnd"/>
      <w:r>
        <w:rPr>
          <w:rFonts w:hAnsi="標楷體" w:hint="eastAsia"/>
          <w:szCs w:val="32"/>
        </w:rPr>
        <w:t>○貴，先取得濟南路之道路同意使用權</w:t>
      </w:r>
      <w:r w:rsidR="005E7DA3" w:rsidRPr="00F64788">
        <w:rPr>
          <w:rFonts w:hAnsi="標楷體" w:hint="eastAsia"/>
          <w:szCs w:val="32"/>
        </w:rPr>
        <w:t>，復據以申請集會遊行，並以「公投靜坐遊</w:t>
      </w:r>
      <w:r w:rsidR="005E7DA3" w:rsidRPr="00F64788">
        <w:rPr>
          <w:rFonts w:hAnsi="標楷體" w:hint="eastAsia"/>
          <w:szCs w:val="32"/>
        </w:rPr>
        <w:lastRenderedPageBreak/>
        <w:t>行」為由，向臺北市警局中正第一分局</w:t>
      </w:r>
      <w:r w:rsidR="004F6619">
        <w:rPr>
          <w:rFonts w:hAnsi="標楷體" w:hint="eastAsia"/>
          <w:szCs w:val="32"/>
        </w:rPr>
        <w:t>（下稱中正第一分局）</w:t>
      </w:r>
      <w:proofErr w:type="gramStart"/>
      <w:r w:rsidR="005E7DA3" w:rsidRPr="00F64788">
        <w:rPr>
          <w:rFonts w:hAnsi="標楷體" w:hint="eastAsia"/>
          <w:szCs w:val="32"/>
        </w:rPr>
        <w:t>申准於</w:t>
      </w:r>
      <w:proofErr w:type="gramEnd"/>
      <w:r w:rsidR="005E7DA3" w:rsidRPr="00F64788">
        <w:rPr>
          <w:rFonts w:hAnsi="標楷體" w:hint="eastAsia"/>
          <w:szCs w:val="32"/>
        </w:rPr>
        <w:t>103年4月25日9時至22時，自濟南路遊行出發，行經中山南路、青島東路、林森南路，再返回濟南路舉行集會活動。</w:t>
      </w:r>
      <w:r w:rsidR="005E7DA3" w:rsidRPr="00F64788">
        <w:rPr>
          <w:rFonts w:hAnsi="標楷體" w:hint="eastAsia"/>
        </w:rPr>
        <w:t>然因「公投護臺灣聯盟」及群眾要求立法委員須</w:t>
      </w:r>
      <w:r>
        <w:rPr>
          <w:rFonts w:hAnsi="標楷體" w:hint="eastAsia"/>
        </w:rPr>
        <w:t>作</w:t>
      </w:r>
      <w:r w:rsidR="005E7DA3" w:rsidRPr="00F64788">
        <w:rPr>
          <w:rFonts w:hAnsi="標楷體" w:hint="eastAsia"/>
        </w:rPr>
        <w:t>成「停建核四」之決議，在未達到其</w:t>
      </w:r>
      <w:proofErr w:type="gramStart"/>
      <w:r w:rsidR="005E7DA3" w:rsidRPr="00F64788">
        <w:rPr>
          <w:rFonts w:hAnsi="標楷體" w:hint="eastAsia"/>
        </w:rPr>
        <w:t>訴求前</w:t>
      </w:r>
      <w:proofErr w:type="gramEnd"/>
      <w:r w:rsidR="005E7DA3" w:rsidRPr="00F64788">
        <w:rPr>
          <w:rFonts w:hAnsi="標楷體" w:hint="eastAsia"/>
        </w:rPr>
        <w:t>，不准委員離開立法院</w:t>
      </w:r>
      <w:r>
        <w:rPr>
          <w:rFonts w:hAnsi="標楷體" w:hint="eastAsia"/>
        </w:rPr>
        <w:t>。</w:t>
      </w:r>
      <w:proofErr w:type="gramStart"/>
      <w:r w:rsidR="005E7DA3" w:rsidRPr="00F64788">
        <w:rPr>
          <w:rFonts w:hAnsi="標楷體" w:hint="eastAsia"/>
        </w:rPr>
        <w:t>蔡</w:t>
      </w:r>
      <w:proofErr w:type="gramEnd"/>
      <w:r w:rsidR="005E7DA3" w:rsidRPr="00F64788">
        <w:rPr>
          <w:rFonts w:hAnsi="標楷體" w:hint="eastAsia"/>
        </w:rPr>
        <w:t>○</w:t>
      </w:r>
      <w:proofErr w:type="gramStart"/>
      <w:r w:rsidR="005E7DA3" w:rsidRPr="00F64788">
        <w:rPr>
          <w:rFonts w:hAnsi="標楷體" w:hint="eastAsia"/>
        </w:rPr>
        <w:t>貴等</w:t>
      </w:r>
      <w:r>
        <w:rPr>
          <w:rFonts w:hAnsi="標楷體" w:hint="eastAsia"/>
        </w:rPr>
        <w:t>旋</w:t>
      </w:r>
      <w:r w:rsidR="005E7DA3" w:rsidRPr="00F64788">
        <w:rPr>
          <w:rFonts w:hAnsi="標楷體" w:hint="eastAsia"/>
        </w:rPr>
        <w:t>號召</w:t>
      </w:r>
      <w:proofErr w:type="gramEnd"/>
      <w:r w:rsidR="005E7DA3" w:rsidRPr="00F64788">
        <w:rPr>
          <w:rFonts w:hAnsi="標楷體" w:hint="eastAsia"/>
        </w:rPr>
        <w:t>群眾於立法院周邊各出入口盤據，部分群眾</w:t>
      </w:r>
      <w:r>
        <w:rPr>
          <w:rFonts w:hAnsi="標楷體" w:hint="eastAsia"/>
        </w:rPr>
        <w:t>更</w:t>
      </w:r>
      <w:r w:rsidR="005E7DA3" w:rsidRPr="00F64788">
        <w:rPr>
          <w:rFonts w:hAnsi="標楷體" w:hint="eastAsia"/>
        </w:rPr>
        <w:t>發放立法委員相片供盤據群眾指認。</w:t>
      </w:r>
    </w:p>
    <w:p w:rsidR="00546DE6" w:rsidRDefault="005E7DA3" w:rsidP="005E7DA3">
      <w:pPr>
        <w:pStyle w:val="3"/>
        <w:numPr>
          <w:ilvl w:val="0"/>
          <w:numId w:val="0"/>
        </w:numPr>
        <w:ind w:left="1393" w:firstLineChars="200" w:firstLine="680"/>
        <w:rPr>
          <w:rFonts w:hAnsi="標楷體"/>
          <w:szCs w:val="32"/>
        </w:rPr>
      </w:pPr>
      <w:r w:rsidRPr="00F64788">
        <w:rPr>
          <w:rFonts w:hAnsi="標楷體" w:hint="eastAsia"/>
          <w:szCs w:val="32"/>
        </w:rPr>
        <w:t>當日中正第一分局共申請支援機動保安警力9個分隊（360人），並在立法院周邊規劃3個分區及2組機動隊，</w:t>
      </w:r>
      <w:proofErr w:type="gramStart"/>
      <w:r w:rsidRPr="00F64788">
        <w:rPr>
          <w:rFonts w:hAnsi="標楷體" w:hint="eastAsia"/>
          <w:szCs w:val="32"/>
        </w:rPr>
        <w:t>均由該</w:t>
      </w:r>
      <w:proofErr w:type="gramEnd"/>
      <w:r w:rsidRPr="00F64788">
        <w:rPr>
          <w:rFonts w:hAnsi="標楷體" w:hint="eastAsia"/>
          <w:szCs w:val="32"/>
        </w:rPr>
        <w:t>分局派出所所長及警備隊隊長擔任分區指揮官或帶隊官，</w:t>
      </w:r>
      <w:proofErr w:type="gramStart"/>
      <w:r w:rsidRPr="00F64788">
        <w:rPr>
          <w:rFonts w:hAnsi="標楷體" w:hint="eastAsia"/>
          <w:szCs w:val="32"/>
        </w:rPr>
        <w:t>另每分區</w:t>
      </w:r>
      <w:proofErr w:type="gramEnd"/>
      <w:r w:rsidRPr="00F64788">
        <w:rPr>
          <w:rFonts w:hAnsi="標楷體" w:hint="eastAsia"/>
          <w:szCs w:val="32"/>
        </w:rPr>
        <w:t>編排2組至3組機動處理組，同時編組機動</w:t>
      </w:r>
      <w:proofErr w:type="gramStart"/>
      <w:r w:rsidRPr="00F64788">
        <w:rPr>
          <w:rFonts w:hAnsi="標楷體" w:hint="eastAsia"/>
          <w:szCs w:val="32"/>
        </w:rPr>
        <w:t>蒐證隊</w:t>
      </w:r>
      <w:proofErr w:type="gramEnd"/>
      <w:r w:rsidRPr="00F64788">
        <w:rPr>
          <w:rFonts w:hAnsi="標楷體" w:hint="eastAsia"/>
          <w:szCs w:val="32"/>
        </w:rPr>
        <w:t>及</w:t>
      </w:r>
      <w:proofErr w:type="gramStart"/>
      <w:r w:rsidRPr="00F64788">
        <w:rPr>
          <w:rFonts w:hAnsi="標楷體" w:hint="eastAsia"/>
          <w:szCs w:val="32"/>
        </w:rPr>
        <w:t>架離組因應</w:t>
      </w:r>
      <w:proofErr w:type="gramEnd"/>
      <w:r w:rsidRPr="00F64788">
        <w:rPr>
          <w:rFonts w:hAnsi="標楷體" w:hint="eastAsia"/>
          <w:szCs w:val="32"/>
        </w:rPr>
        <w:t>。</w:t>
      </w:r>
      <w:r w:rsidRPr="00F64788">
        <w:rPr>
          <w:rFonts w:hAnsi="標楷體" w:hint="eastAsia"/>
        </w:rPr>
        <w:t>依中正第一分局勤指中心紀錄，計有羅</w:t>
      </w:r>
      <w:proofErr w:type="gramStart"/>
      <w:r w:rsidRPr="00F64788">
        <w:rPr>
          <w:rFonts w:hAnsi="標楷體" w:hint="eastAsia"/>
        </w:rPr>
        <w:t>○蕾及</w:t>
      </w:r>
      <w:proofErr w:type="gramEnd"/>
      <w:r w:rsidRPr="00F64788">
        <w:rPr>
          <w:rFonts w:hAnsi="標楷體" w:hint="eastAsia"/>
        </w:rPr>
        <w:t>王○雄委員離開立法院時遭群眾包圍，立法院王院長自監察院搭車離開亦遭群眾阻擋，</w:t>
      </w:r>
      <w:proofErr w:type="gramStart"/>
      <w:r w:rsidRPr="00F64788">
        <w:rPr>
          <w:rFonts w:hAnsi="標楷體" w:hint="eastAsia"/>
        </w:rPr>
        <w:t>均經警方</w:t>
      </w:r>
      <w:proofErr w:type="gramEnd"/>
      <w:r w:rsidRPr="00F64788">
        <w:rPr>
          <w:rFonts w:hAnsi="標楷體" w:hint="eastAsia"/>
        </w:rPr>
        <w:t>強力排除群眾後得以離開。</w:t>
      </w:r>
      <w:r w:rsidR="00EA4A90" w:rsidRPr="00F64788">
        <w:rPr>
          <w:rFonts w:hAnsi="標楷體" w:hint="eastAsia"/>
        </w:rPr>
        <w:t>又查</w:t>
      </w:r>
      <w:r w:rsidR="00EE746F" w:rsidRPr="00F64788">
        <w:rPr>
          <w:rFonts w:hAnsi="標楷體" w:hint="eastAsia"/>
          <w:szCs w:val="32"/>
        </w:rPr>
        <w:t>於16時45分許，</w:t>
      </w:r>
      <w:proofErr w:type="gramStart"/>
      <w:r w:rsidR="00EE746F" w:rsidRPr="00F64788">
        <w:rPr>
          <w:rFonts w:hAnsi="標楷體" w:hint="eastAsia"/>
          <w:szCs w:val="32"/>
        </w:rPr>
        <w:t>蔡</w:t>
      </w:r>
      <w:proofErr w:type="gramEnd"/>
      <w:r w:rsidR="00EE746F" w:rsidRPr="00F64788">
        <w:rPr>
          <w:rFonts w:hAnsi="標楷體" w:hint="eastAsia"/>
          <w:szCs w:val="32"/>
        </w:rPr>
        <w:t>○元委員自行從監察院離開時，遭林○文等反核人士約10餘人攔阻，其中</w:t>
      </w:r>
      <w:r w:rsidR="00D54B90" w:rsidRPr="00F64788">
        <w:rPr>
          <w:rFonts w:hAnsi="標楷體" w:hint="eastAsia"/>
          <w:szCs w:val="32"/>
        </w:rPr>
        <w:t>林○文</w:t>
      </w:r>
      <w:r w:rsidR="00EE746F" w:rsidRPr="00F64788">
        <w:rPr>
          <w:rFonts w:hAnsi="標楷體" w:hint="eastAsia"/>
          <w:szCs w:val="32"/>
        </w:rPr>
        <w:t>甚至</w:t>
      </w:r>
      <w:proofErr w:type="gramStart"/>
      <w:r w:rsidR="00EE746F" w:rsidRPr="00F64788">
        <w:rPr>
          <w:rFonts w:hAnsi="標楷體" w:hint="eastAsia"/>
          <w:szCs w:val="32"/>
        </w:rPr>
        <w:t>強撲至</w:t>
      </w:r>
      <w:proofErr w:type="gramEnd"/>
      <w:r w:rsidR="00EE746F" w:rsidRPr="00F64788">
        <w:rPr>
          <w:rFonts w:hAnsi="標楷體" w:hint="eastAsia"/>
          <w:szCs w:val="32"/>
        </w:rPr>
        <w:t>蔡委員座車引擎蓋上，另林○</w:t>
      </w:r>
      <w:proofErr w:type="gramStart"/>
      <w:r w:rsidR="00EE746F" w:rsidRPr="00F64788">
        <w:rPr>
          <w:rFonts w:hAnsi="標楷體" w:hint="eastAsia"/>
          <w:szCs w:val="32"/>
        </w:rPr>
        <w:t>燕更</w:t>
      </w:r>
      <w:r w:rsidR="007C50DC" w:rsidRPr="00F64788">
        <w:rPr>
          <w:rFonts w:hAnsi="標楷體" w:hint="eastAsia"/>
          <w:szCs w:val="32"/>
        </w:rPr>
        <w:t>於</w:t>
      </w:r>
      <w:proofErr w:type="gramEnd"/>
      <w:r w:rsidR="00EE746F" w:rsidRPr="00F64788">
        <w:rPr>
          <w:rFonts w:hAnsi="標楷體" w:hint="eastAsia"/>
          <w:szCs w:val="32"/>
        </w:rPr>
        <w:t>臺北市林森北路、長安東路口，以自用車輛橫</w:t>
      </w:r>
      <w:r w:rsidR="00EA4A90" w:rsidRPr="00F64788">
        <w:rPr>
          <w:rFonts w:hAnsi="標楷體" w:hint="eastAsia"/>
          <w:szCs w:val="32"/>
        </w:rPr>
        <w:t>加阻</w:t>
      </w:r>
      <w:r w:rsidR="00EE746F" w:rsidRPr="00F64788">
        <w:rPr>
          <w:rFonts w:hAnsi="標楷體" w:hint="eastAsia"/>
          <w:szCs w:val="32"/>
        </w:rPr>
        <w:t>擋，而</w:t>
      </w:r>
      <w:proofErr w:type="gramStart"/>
      <w:r w:rsidR="00EE746F" w:rsidRPr="00F64788">
        <w:rPr>
          <w:rFonts w:hAnsi="標楷體" w:hint="eastAsia"/>
          <w:szCs w:val="32"/>
        </w:rPr>
        <w:t>其子朱</w:t>
      </w:r>
      <w:proofErr w:type="gramEnd"/>
      <w:r w:rsidR="00EE746F" w:rsidRPr="00F64788">
        <w:rPr>
          <w:rFonts w:hAnsi="標楷體" w:hint="eastAsia"/>
          <w:szCs w:val="32"/>
        </w:rPr>
        <w:t>○玄則下車攻擊</w:t>
      </w:r>
      <w:proofErr w:type="gramStart"/>
      <w:r w:rsidR="00546DE6">
        <w:rPr>
          <w:rFonts w:hAnsi="標楷體" w:hint="eastAsia"/>
          <w:szCs w:val="32"/>
        </w:rPr>
        <w:t>蔡</w:t>
      </w:r>
      <w:proofErr w:type="gramEnd"/>
      <w:r w:rsidR="00EE746F" w:rsidRPr="00F64788">
        <w:rPr>
          <w:rFonts w:hAnsi="標楷體" w:hint="eastAsia"/>
          <w:szCs w:val="32"/>
        </w:rPr>
        <w:t>立委座車等脫序行為</w:t>
      </w:r>
      <w:r w:rsidR="00EA4A90" w:rsidRPr="00F64788">
        <w:rPr>
          <w:rFonts w:hAnsi="標楷體" w:hint="eastAsia"/>
          <w:szCs w:val="32"/>
        </w:rPr>
        <w:t>。</w:t>
      </w:r>
    </w:p>
    <w:p w:rsidR="005E7DA3" w:rsidRPr="00F64788" w:rsidRDefault="00546DE6" w:rsidP="00A91800">
      <w:pPr>
        <w:pStyle w:val="3"/>
        <w:numPr>
          <w:ilvl w:val="0"/>
          <w:numId w:val="0"/>
        </w:numPr>
        <w:ind w:left="1393" w:firstLineChars="200" w:firstLine="680"/>
        <w:rPr>
          <w:rFonts w:hAnsi="標楷體"/>
        </w:rPr>
      </w:pPr>
      <w:r>
        <w:rPr>
          <w:rFonts w:hAnsi="標楷體" w:hint="eastAsia"/>
          <w:szCs w:val="32"/>
        </w:rPr>
        <w:t>據臺北市警局稱，</w:t>
      </w:r>
      <w:proofErr w:type="gramStart"/>
      <w:r w:rsidRPr="00E92712">
        <w:rPr>
          <w:rFonts w:hAnsi="標楷體" w:hint="eastAsia"/>
          <w:szCs w:val="32"/>
        </w:rPr>
        <w:t>蔡</w:t>
      </w:r>
      <w:proofErr w:type="gramEnd"/>
      <w:r>
        <w:rPr>
          <w:rFonts w:hAnsi="標楷體" w:hint="eastAsia"/>
          <w:szCs w:val="32"/>
        </w:rPr>
        <w:t>○</w:t>
      </w:r>
      <w:r w:rsidRPr="00E92712">
        <w:rPr>
          <w:rFonts w:hAnsi="標楷體" w:hint="eastAsia"/>
          <w:szCs w:val="32"/>
        </w:rPr>
        <w:t>元委員座車自</w:t>
      </w:r>
      <w:r>
        <w:rPr>
          <w:rFonts w:hAnsi="標楷體" w:hint="eastAsia"/>
          <w:szCs w:val="32"/>
        </w:rPr>
        <w:t>監察</w:t>
      </w:r>
      <w:r w:rsidRPr="00E92712">
        <w:rPr>
          <w:rFonts w:hAnsi="標楷體" w:hint="eastAsia"/>
          <w:szCs w:val="32"/>
        </w:rPr>
        <w:t>院離開時，因未接獲蔡委員請求警方協助，</w:t>
      </w:r>
      <w:r>
        <w:rPr>
          <w:rFonts w:hAnsi="標楷體" w:hint="eastAsia"/>
          <w:szCs w:val="32"/>
        </w:rPr>
        <w:t>且</w:t>
      </w:r>
      <w:r w:rsidRPr="00E92712">
        <w:rPr>
          <w:rFonts w:hAnsi="標楷體" w:hint="eastAsia"/>
          <w:szCs w:val="32"/>
        </w:rPr>
        <w:t>監察院大門並</w:t>
      </w:r>
      <w:r>
        <w:rPr>
          <w:rFonts w:hAnsi="標楷體" w:hint="eastAsia"/>
          <w:szCs w:val="32"/>
        </w:rPr>
        <w:t>非立委平時離開之路線，該分局事先未部署警力，致蔡委員座車遭民眾攔阻及攻擊，此尚與警力及部署無關等語。</w:t>
      </w:r>
      <w:proofErr w:type="gramStart"/>
      <w:r w:rsidR="005E7DA3" w:rsidRPr="00F64788">
        <w:rPr>
          <w:rFonts w:hAnsi="標楷體" w:hint="eastAsia"/>
        </w:rPr>
        <w:t>惟</w:t>
      </w:r>
      <w:proofErr w:type="gramEnd"/>
      <w:r w:rsidR="007C50DC" w:rsidRPr="00F64788">
        <w:rPr>
          <w:rFonts w:hAnsi="標楷體" w:hint="eastAsia"/>
        </w:rPr>
        <w:t>依</w:t>
      </w:r>
      <w:r w:rsidR="00AD2578">
        <w:rPr>
          <w:rFonts w:hAnsi="標楷體" w:hint="eastAsia"/>
        </w:rPr>
        <w:t>本</w:t>
      </w:r>
      <w:r w:rsidR="005E7DA3" w:rsidRPr="00F64788">
        <w:rPr>
          <w:rFonts w:hAnsi="標楷體" w:hint="eastAsia"/>
        </w:rPr>
        <w:t>院政風室</w:t>
      </w:r>
      <w:r w:rsidR="00AD2578">
        <w:rPr>
          <w:rFonts w:hAnsi="標楷體" w:hint="eastAsia"/>
        </w:rPr>
        <w:t>書面</w:t>
      </w:r>
      <w:r w:rsidR="005E7DA3" w:rsidRPr="00F64788">
        <w:rPr>
          <w:rFonts w:hAnsi="標楷體" w:hint="eastAsia"/>
        </w:rPr>
        <w:t>說明</w:t>
      </w:r>
      <w:proofErr w:type="gramStart"/>
      <w:r w:rsidR="005E7DA3" w:rsidRPr="00F64788">
        <w:rPr>
          <w:rFonts w:hAnsi="標楷體" w:hint="eastAsia"/>
        </w:rPr>
        <w:t>以</w:t>
      </w:r>
      <w:proofErr w:type="gramEnd"/>
      <w:r w:rsidR="005E7DA3" w:rsidRPr="00F64788">
        <w:rPr>
          <w:rFonts w:hAnsi="標楷體" w:hint="eastAsia"/>
        </w:rPr>
        <w:t>：</w:t>
      </w:r>
      <w:r w:rsidR="00592BBF">
        <w:rPr>
          <w:rFonts w:hAnsi="標楷體" w:hint="eastAsia"/>
        </w:rPr>
        <w:t>「</w:t>
      </w:r>
      <w:r w:rsidR="005E7DA3" w:rsidRPr="00F64788">
        <w:rPr>
          <w:rFonts w:hAnsi="標楷體" w:hint="eastAsia"/>
        </w:rPr>
        <w:t>是日約16時15分起，立法院多位委員（包含王○平院長、洪○柱副院長、</w:t>
      </w:r>
      <w:proofErr w:type="gramStart"/>
      <w:r w:rsidR="005E7DA3" w:rsidRPr="00F64788">
        <w:rPr>
          <w:rFonts w:hAnsi="標楷體" w:hint="eastAsia"/>
        </w:rPr>
        <w:t>蔡</w:t>
      </w:r>
      <w:proofErr w:type="gramEnd"/>
      <w:r w:rsidR="005E7DA3" w:rsidRPr="00F64788">
        <w:rPr>
          <w:rFonts w:hAnsi="標楷體" w:hint="eastAsia"/>
        </w:rPr>
        <w:t>○隆、</w:t>
      </w:r>
      <w:proofErr w:type="gramStart"/>
      <w:r w:rsidR="005E7DA3" w:rsidRPr="00F64788">
        <w:rPr>
          <w:rFonts w:hAnsi="標楷體" w:hint="eastAsia"/>
        </w:rPr>
        <w:t>蔡</w:t>
      </w:r>
      <w:proofErr w:type="gramEnd"/>
      <w:r w:rsidR="005E7DA3" w:rsidRPr="00F64788">
        <w:rPr>
          <w:rFonts w:hAnsi="標楷體" w:hint="eastAsia"/>
        </w:rPr>
        <w:t>○元、</w:t>
      </w:r>
      <w:proofErr w:type="gramStart"/>
      <w:r w:rsidR="005E7DA3" w:rsidRPr="00F64788">
        <w:rPr>
          <w:rFonts w:hAnsi="標楷體" w:hint="eastAsia"/>
        </w:rPr>
        <w:t>姚</w:t>
      </w:r>
      <w:proofErr w:type="gramEnd"/>
      <w:r w:rsidR="005E7DA3" w:rsidRPr="00F64788">
        <w:rPr>
          <w:rFonts w:hAnsi="標楷體" w:hint="eastAsia"/>
        </w:rPr>
        <w:t>○智</w:t>
      </w:r>
      <w:r w:rsidR="005E7DA3" w:rsidRPr="00F64788">
        <w:rPr>
          <w:rFonts w:hAnsi="標楷體" w:hint="eastAsia"/>
        </w:rPr>
        <w:lastRenderedPageBreak/>
        <w:t>等）利用該院青島會館消防門（僅可單向通行），借道通過</w:t>
      </w:r>
      <w:r w:rsidR="00A91800">
        <w:rPr>
          <w:rFonts w:hAnsi="標楷體" w:hint="eastAsia"/>
        </w:rPr>
        <w:t>本</w:t>
      </w:r>
      <w:r w:rsidR="005E7DA3" w:rsidRPr="00F64788">
        <w:rPr>
          <w:rFonts w:hAnsi="標楷體" w:hint="eastAsia"/>
        </w:rPr>
        <w:t>院區離開，</w:t>
      </w:r>
      <w:proofErr w:type="gramStart"/>
      <w:r w:rsidR="005E7DA3" w:rsidRPr="00F64788">
        <w:rPr>
          <w:rFonts w:hAnsi="標楷體" w:hint="eastAsia"/>
        </w:rPr>
        <w:t>陳抗民眾</w:t>
      </w:r>
      <w:proofErr w:type="gramEnd"/>
      <w:r w:rsidR="005E7DA3" w:rsidRPr="00F64788">
        <w:rPr>
          <w:rFonts w:hAnsi="標楷體" w:hint="eastAsia"/>
        </w:rPr>
        <w:t>發覺後，迅速聚集防堵，其中</w:t>
      </w:r>
      <w:proofErr w:type="gramStart"/>
      <w:r w:rsidR="005E7DA3" w:rsidRPr="00F64788">
        <w:rPr>
          <w:rFonts w:hAnsi="標楷體" w:hint="eastAsia"/>
        </w:rPr>
        <w:t>蔡</w:t>
      </w:r>
      <w:proofErr w:type="gramEnd"/>
      <w:r w:rsidR="005E7DA3" w:rsidRPr="00F64788">
        <w:rPr>
          <w:rFonts w:hAnsi="標楷體" w:hint="eastAsia"/>
        </w:rPr>
        <w:t>○元委員及王○平院長，於</w:t>
      </w:r>
      <w:r w:rsidR="00A91800">
        <w:rPr>
          <w:rFonts w:hAnsi="標楷體" w:hint="eastAsia"/>
        </w:rPr>
        <w:t>本</w:t>
      </w:r>
      <w:r w:rsidR="005E7DA3" w:rsidRPr="00F64788">
        <w:rPr>
          <w:rFonts w:hAnsi="標楷體" w:hint="eastAsia"/>
        </w:rPr>
        <w:t>院正門區域引發混亂情形。</w:t>
      </w:r>
      <w:r w:rsidR="00A91800" w:rsidRPr="00F64788">
        <w:rPr>
          <w:rFonts w:hAnsi="標楷體" w:hint="eastAsia"/>
        </w:rPr>
        <w:t>16時45分許，</w:t>
      </w:r>
      <w:r w:rsidR="00767D3C" w:rsidRPr="00C05FE9">
        <w:rPr>
          <w:rFonts w:hAnsi="標楷體" w:hint="eastAsia"/>
        </w:rPr>
        <w:t>政</w:t>
      </w:r>
      <w:r w:rsidR="00A91800" w:rsidRPr="00F64788">
        <w:rPr>
          <w:rFonts w:hAnsi="標楷體" w:hint="eastAsia"/>
        </w:rPr>
        <w:t>風室即曾聯繫中正第一分局派遣警力支援</w:t>
      </w:r>
      <w:r w:rsidR="00A91800">
        <w:rPr>
          <w:rFonts w:hAnsi="標楷體" w:hint="eastAsia"/>
        </w:rPr>
        <w:t>排除</w:t>
      </w:r>
      <w:r w:rsidR="00A91800" w:rsidRPr="00F64788">
        <w:rPr>
          <w:rFonts w:hAnsi="標楷體" w:hint="eastAsia"/>
        </w:rPr>
        <w:t>，約10分鐘後該分局回報「警力調度困難，無法前往支援」</w:t>
      </w:r>
      <w:r w:rsidR="00A91800">
        <w:rPr>
          <w:rFonts w:hAnsi="標楷體" w:hint="eastAsia"/>
        </w:rPr>
        <w:t>。</w:t>
      </w:r>
      <w:r w:rsidR="005E7DA3" w:rsidRPr="00F64788">
        <w:rPr>
          <w:rFonts w:hAnsi="標楷體" w:hint="eastAsia"/>
        </w:rPr>
        <w:t>17時至19時</w:t>
      </w:r>
      <w:proofErr w:type="gramStart"/>
      <w:r w:rsidR="005E7DA3" w:rsidRPr="00F64788">
        <w:rPr>
          <w:rFonts w:hAnsi="標楷體" w:hint="eastAsia"/>
        </w:rPr>
        <w:t>期間，</w:t>
      </w:r>
      <w:proofErr w:type="gramEnd"/>
      <w:r w:rsidR="005E7DA3" w:rsidRPr="00F64788">
        <w:rPr>
          <w:rFonts w:hAnsi="標楷體" w:hint="eastAsia"/>
        </w:rPr>
        <w:t>近百名民眾聚集正門區域，防堵立法委員借道由</w:t>
      </w:r>
      <w:r w:rsidR="00A91800">
        <w:rPr>
          <w:rFonts w:hAnsi="標楷體" w:hint="eastAsia"/>
        </w:rPr>
        <w:t>本</w:t>
      </w:r>
      <w:r w:rsidR="005E7DA3" w:rsidRPr="00F64788">
        <w:rPr>
          <w:rFonts w:hAnsi="標楷體" w:hint="eastAsia"/>
        </w:rPr>
        <w:t>院離去</w:t>
      </w:r>
      <w:r w:rsidR="00A91800">
        <w:rPr>
          <w:rFonts w:hAnsi="標楷體" w:hint="eastAsia"/>
        </w:rPr>
        <w:t>。</w:t>
      </w:r>
      <w:r>
        <w:rPr>
          <w:rFonts w:hAnsi="標楷體" w:hint="eastAsia"/>
        </w:rPr>
        <w:t>本</w:t>
      </w:r>
      <w:r w:rsidR="00066B45" w:rsidRPr="00F64788">
        <w:rPr>
          <w:rFonts w:hAnsi="標楷體" w:hint="eastAsia"/>
        </w:rPr>
        <w:t>院</w:t>
      </w:r>
      <w:r w:rsidR="005E7DA3" w:rsidRPr="00F64788">
        <w:rPr>
          <w:rFonts w:hAnsi="標楷體" w:hint="eastAsia"/>
        </w:rPr>
        <w:t>秘書處及政風室人員協調</w:t>
      </w:r>
      <w:proofErr w:type="gramStart"/>
      <w:r w:rsidR="005E7DA3" w:rsidRPr="00F64788">
        <w:rPr>
          <w:rFonts w:hAnsi="標楷體" w:hint="eastAsia"/>
        </w:rPr>
        <w:t>民眾讓道</w:t>
      </w:r>
      <w:proofErr w:type="gramEnd"/>
      <w:r w:rsidR="005E7DA3" w:rsidRPr="00F64788">
        <w:rPr>
          <w:rFonts w:hAnsi="標楷體" w:hint="eastAsia"/>
        </w:rPr>
        <w:t>，引導</w:t>
      </w:r>
      <w:r>
        <w:rPr>
          <w:rFonts w:hAnsi="標楷體" w:hint="eastAsia"/>
        </w:rPr>
        <w:t>本院</w:t>
      </w:r>
      <w:r w:rsidR="005E7DA3" w:rsidRPr="00F64788">
        <w:rPr>
          <w:rFonts w:hAnsi="標楷體" w:hint="eastAsia"/>
        </w:rPr>
        <w:t>委員、同仁經由忠孝東路通道離院，惟所有車輛須經檢視始予放行。</w:t>
      </w:r>
      <w:r w:rsidR="00A91800" w:rsidRPr="00F64788">
        <w:rPr>
          <w:rFonts w:hAnsi="標楷體" w:hint="eastAsia"/>
        </w:rPr>
        <w:t>約19時</w:t>
      </w:r>
      <w:r w:rsidR="00A91800">
        <w:rPr>
          <w:rFonts w:hAnsi="標楷體" w:hint="eastAsia"/>
        </w:rPr>
        <w:t>始獲</w:t>
      </w:r>
      <w:r w:rsidR="00A91800" w:rsidRPr="00F64788">
        <w:rPr>
          <w:rFonts w:hAnsi="標楷體" w:hint="eastAsia"/>
        </w:rPr>
        <w:t>調度10名警力支援</w:t>
      </w:r>
      <w:r w:rsidR="00A91800">
        <w:rPr>
          <w:rFonts w:hAnsi="標楷體" w:hint="eastAsia"/>
        </w:rPr>
        <w:t>本</w:t>
      </w:r>
      <w:r w:rsidR="00A91800" w:rsidRPr="00F64788">
        <w:rPr>
          <w:rFonts w:hAnsi="標楷體" w:hint="eastAsia"/>
        </w:rPr>
        <w:t>院大門區域安全維護事宜，至</w:t>
      </w:r>
      <w:r w:rsidR="00767D3C" w:rsidRPr="00C05FE9">
        <w:rPr>
          <w:rFonts w:hAnsi="標楷體" w:hint="eastAsia"/>
        </w:rPr>
        <w:t>此</w:t>
      </w:r>
      <w:r w:rsidR="00A91800" w:rsidRPr="00C05FE9">
        <w:rPr>
          <w:rFonts w:hAnsi="標楷體" w:hint="eastAsia"/>
        </w:rPr>
        <w:t>群眾</w:t>
      </w:r>
      <w:r w:rsidR="00767D3C" w:rsidRPr="00C05FE9">
        <w:rPr>
          <w:rFonts w:hAnsi="標楷體" w:hint="eastAsia"/>
        </w:rPr>
        <w:t>始</w:t>
      </w:r>
      <w:r w:rsidR="00A91800" w:rsidRPr="00F64788">
        <w:rPr>
          <w:rFonts w:hAnsi="標楷體" w:hint="eastAsia"/>
        </w:rPr>
        <w:t>逐漸散去。</w:t>
      </w:r>
      <w:r w:rsidR="00592BBF">
        <w:rPr>
          <w:rFonts w:hAnsi="標楷體" w:hint="eastAsia"/>
        </w:rPr>
        <w:t>」</w:t>
      </w:r>
    </w:p>
    <w:p w:rsidR="000D4F42" w:rsidRPr="000D4F42" w:rsidRDefault="007938AF" w:rsidP="009846EA">
      <w:pPr>
        <w:pStyle w:val="3"/>
        <w:rPr>
          <w:rFonts w:hAnsi="標楷體"/>
          <w:bCs w:val="0"/>
        </w:rPr>
      </w:pPr>
      <w:bookmarkStart w:id="31" w:name="_Toc525066147"/>
      <w:bookmarkStart w:id="32" w:name="_Toc525070838"/>
      <w:bookmarkStart w:id="33" w:name="_Toc525938378"/>
      <w:bookmarkStart w:id="34" w:name="_Toc525939226"/>
      <w:bookmarkStart w:id="35" w:name="_Toc525939731"/>
      <w:bookmarkStart w:id="36" w:name="_Toc529218271"/>
      <w:bookmarkStart w:id="37" w:name="_Toc529222688"/>
      <w:bookmarkStart w:id="38" w:name="_Toc529223110"/>
      <w:bookmarkStart w:id="39" w:name="_Toc529223861"/>
      <w:bookmarkStart w:id="40" w:name="_Toc529228264"/>
      <w:bookmarkEnd w:id="23"/>
      <w:bookmarkEnd w:id="24"/>
      <w:bookmarkEnd w:id="25"/>
      <w:bookmarkEnd w:id="26"/>
      <w:bookmarkEnd w:id="27"/>
      <w:bookmarkEnd w:id="28"/>
      <w:bookmarkEnd w:id="29"/>
      <w:bookmarkEnd w:id="30"/>
      <w:r>
        <w:rPr>
          <w:rFonts w:hAnsi="標楷體" w:hint="eastAsia"/>
          <w:szCs w:val="32"/>
        </w:rPr>
        <w:t>103年</w:t>
      </w:r>
      <w:r w:rsidR="00051F9A" w:rsidRPr="00F64788">
        <w:rPr>
          <w:rFonts w:hAnsi="標楷體" w:hint="eastAsia"/>
          <w:szCs w:val="32"/>
        </w:rPr>
        <w:t>4月27日之集會遊行活動</w:t>
      </w:r>
      <w:r>
        <w:rPr>
          <w:rFonts w:hAnsi="標楷體" w:hint="eastAsia"/>
          <w:szCs w:val="32"/>
        </w:rPr>
        <w:t>，係</w:t>
      </w:r>
      <w:r w:rsidR="00051F9A" w:rsidRPr="00F64788">
        <w:rPr>
          <w:rFonts w:hAnsi="標楷體" w:hint="eastAsia"/>
          <w:szCs w:val="32"/>
        </w:rPr>
        <w:t>「地球公民基金會」</w:t>
      </w:r>
      <w:r w:rsidR="00C36974" w:rsidRPr="00F64788">
        <w:rPr>
          <w:rFonts w:hAnsi="標楷體" w:hint="eastAsia"/>
          <w:szCs w:val="32"/>
        </w:rPr>
        <w:t>花東辦公室主任</w:t>
      </w:r>
      <w:proofErr w:type="gramStart"/>
      <w:r w:rsidR="00C36974" w:rsidRPr="00F64788">
        <w:rPr>
          <w:rFonts w:hAnsi="標楷體" w:hint="eastAsia"/>
          <w:szCs w:val="32"/>
        </w:rPr>
        <w:t>蔡</w:t>
      </w:r>
      <w:proofErr w:type="gramEnd"/>
      <w:r w:rsidR="00C36974" w:rsidRPr="00F64788">
        <w:rPr>
          <w:rFonts w:hAnsi="標楷體" w:hint="eastAsia"/>
          <w:szCs w:val="32"/>
        </w:rPr>
        <w:t>○</w:t>
      </w:r>
      <w:proofErr w:type="gramStart"/>
      <w:r w:rsidR="00C36974" w:rsidRPr="00F64788">
        <w:rPr>
          <w:rFonts w:hAnsi="標楷體" w:hint="eastAsia"/>
          <w:szCs w:val="32"/>
        </w:rPr>
        <w:t>岳</w:t>
      </w:r>
      <w:r w:rsidR="00051F9A" w:rsidRPr="00F64788">
        <w:rPr>
          <w:rFonts w:hAnsi="標楷體" w:hint="eastAsia"/>
          <w:szCs w:val="32"/>
        </w:rPr>
        <w:t>以</w:t>
      </w:r>
      <w:proofErr w:type="gramEnd"/>
      <w:r w:rsidR="00051F9A" w:rsidRPr="00F64788">
        <w:rPr>
          <w:rFonts w:hAnsi="標楷體" w:hint="eastAsia"/>
          <w:szCs w:val="32"/>
        </w:rPr>
        <w:t>「終結核四，全面廢核」為由，向中正第一</w:t>
      </w:r>
      <w:proofErr w:type="gramStart"/>
      <w:r w:rsidR="00051F9A" w:rsidRPr="00F64788">
        <w:rPr>
          <w:rFonts w:hAnsi="標楷體" w:hint="eastAsia"/>
          <w:szCs w:val="32"/>
        </w:rPr>
        <w:t>分局申准於</w:t>
      </w:r>
      <w:proofErr w:type="gramEnd"/>
      <w:r w:rsidR="00051F9A" w:rsidRPr="00F64788">
        <w:rPr>
          <w:rFonts w:hAnsi="標楷體" w:hint="eastAsia"/>
          <w:szCs w:val="32"/>
        </w:rPr>
        <w:t>103年4月27日0時至24時，自</w:t>
      </w:r>
      <w:proofErr w:type="gramStart"/>
      <w:r w:rsidR="00051F9A" w:rsidRPr="00F64788">
        <w:rPr>
          <w:rFonts w:hAnsi="標楷體" w:hint="eastAsia"/>
          <w:szCs w:val="32"/>
        </w:rPr>
        <w:t>凱</w:t>
      </w:r>
      <w:proofErr w:type="gramEnd"/>
      <w:r w:rsidR="00051F9A" w:rsidRPr="00F64788">
        <w:rPr>
          <w:rFonts w:hAnsi="標楷體" w:hint="eastAsia"/>
          <w:szCs w:val="32"/>
        </w:rPr>
        <w:t>道遊行出發，再返回</w:t>
      </w:r>
      <w:proofErr w:type="gramStart"/>
      <w:r w:rsidR="00051F9A" w:rsidRPr="00F64788">
        <w:rPr>
          <w:rFonts w:hAnsi="標楷體" w:hint="eastAsia"/>
          <w:szCs w:val="32"/>
        </w:rPr>
        <w:t>凱</w:t>
      </w:r>
      <w:proofErr w:type="gramEnd"/>
      <w:r w:rsidR="00051F9A" w:rsidRPr="00F64788">
        <w:rPr>
          <w:rFonts w:hAnsi="標楷體" w:hint="eastAsia"/>
          <w:szCs w:val="32"/>
        </w:rPr>
        <w:t>道舉行集會活動，申請人數為3萬人，參與活動最多人數估計約2萬7,200餘人。</w:t>
      </w:r>
      <w:r w:rsidR="000D4F42">
        <w:rPr>
          <w:rFonts w:hAnsi="標楷體" w:hint="eastAsia"/>
          <w:szCs w:val="32"/>
        </w:rPr>
        <w:t>由於</w:t>
      </w:r>
      <w:r w:rsidR="00051F9A" w:rsidRPr="00F64788">
        <w:rPr>
          <w:rFonts w:hAnsi="標楷體" w:hint="eastAsia"/>
          <w:szCs w:val="32"/>
        </w:rPr>
        <w:t>忠孝西路係遊行路線之一，該分局核定使用順向1線車道（緊靠遊行路線最外側車道），並限制全線依號</w:t>
      </w:r>
      <w:proofErr w:type="gramStart"/>
      <w:r w:rsidR="00051F9A" w:rsidRPr="00F64788">
        <w:rPr>
          <w:rFonts w:hAnsi="標楷體" w:hint="eastAsia"/>
          <w:szCs w:val="32"/>
        </w:rPr>
        <w:t>誌</w:t>
      </w:r>
      <w:proofErr w:type="gramEnd"/>
      <w:r w:rsidR="00051F9A" w:rsidRPr="00F64788">
        <w:rPr>
          <w:rFonts w:hAnsi="標楷體" w:hint="eastAsia"/>
          <w:szCs w:val="32"/>
        </w:rPr>
        <w:t>行進，注意</w:t>
      </w:r>
      <w:proofErr w:type="gramStart"/>
      <w:r w:rsidR="00051F9A" w:rsidRPr="00F64788">
        <w:rPr>
          <w:rFonts w:hAnsi="標楷體" w:hint="eastAsia"/>
          <w:szCs w:val="32"/>
        </w:rPr>
        <w:t>勿</w:t>
      </w:r>
      <w:proofErr w:type="gramEnd"/>
      <w:r w:rsidR="00051F9A" w:rsidRPr="00F64788">
        <w:rPr>
          <w:rFonts w:hAnsi="標楷體" w:hint="eastAsia"/>
          <w:szCs w:val="32"/>
        </w:rPr>
        <w:t>跨越快車道，沿途不得藉故停留、演講、侮辱公署或有其他妨害人身、建築物安全及人車通行之情事。</w:t>
      </w:r>
    </w:p>
    <w:p w:rsidR="0092125B" w:rsidRPr="00F64788" w:rsidRDefault="00051F9A" w:rsidP="0092125B">
      <w:pPr>
        <w:pStyle w:val="3"/>
        <w:numPr>
          <w:ilvl w:val="0"/>
          <w:numId w:val="0"/>
        </w:numPr>
        <w:ind w:left="1393" w:firstLineChars="200" w:firstLine="680"/>
        <w:rPr>
          <w:rFonts w:hAnsi="標楷體"/>
          <w:szCs w:val="32"/>
        </w:rPr>
      </w:pPr>
      <w:r w:rsidRPr="00F64788">
        <w:rPr>
          <w:rFonts w:hAnsi="標楷體" w:hint="eastAsia"/>
          <w:szCs w:val="32"/>
        </w:rPr>
        <w:t>該次集會遊行活動</w:t>
      </w:r>
      <w:r w:rsidR="000D4F42">
        <w:rPr>
          <w:rFonts w:hAnsi="標楷體" w:hint="eastAsia"/>
          <w:szCs w:val="32"/>
        </w:rPr>
        <w:t>事前</w:t>
      </w:r>
      <w:r w:rsidRPr="00F64788">
        <w:rPr>
          <w:rFonts w:hAnsi="標楷體" w:hint="eastAsia"/>
          <w:szCs w:val="32"/>
        </w:rPr>
        <w:t>據</w:t>
      </w:r>
      <w:r w:rsidR="0092125B" w:rsidRPr="00F64788">
        <w:rPr>
          <w:rFonts w:hAnsi="標楷體" w:hint="eastAsia"/>
          <w:szCs w:val="32"/>
        </w:rPr>
        <w:t>警方</w:t>
      </w:r>
      <w:proofErr w:type="gramStart"/>
      <w:r w:rsidR="000D4F42">
        <w:rPr>
          <w:rFonts w:hAnsi="標楷體" w:hint="eastAsia"/>
          <w:szCs w:val="32"/>
        </w:rPr>
        <w:t>接獲</w:t>
      </w:r>
      <w:r w:rsidRPr="00F64788">
        <w:rPr>
          <w:rFonts w:hAnsi="標楷體" w:hint="eastAsia"/>
          <w:szCs w:val="32"/>
        </w:rPr>
        <w:t>情資顯示</w:t>
      </w:r>
      <w:proofErr w:type="gramEnd"/>
      <w:r w:rsidRPr="00F64788">
        <w:rPr>
          <w:rFonts w:hAnsi="標楷體" w:hint="eastAsia"/>
          <w:szCs w:val="32"/>
        </w:rPr>
        <w:t>，為首者將率眾故意違法占據忠孝西路重要交通要道，</w:t>
      </w:r>
      <w:r w:rsidR="000D4F42">
        <w:rPr>
          <w:rFonts w:hAnsi="標楷體" w:hint="eastAsia"/>
          <w:szCs w:val="32"/>
        </w:rPr>
        <w:t>顯</w:t>
      </w:r>
      <w:r w:rsidRPr="00F64788">
        <w:rPr>
          <w:rFonts w:hAnsi="標楷體" w:hint="eastAsia"/>
          <w:szCs w:val="32"/>
        </w:rPr>
        <w:t>係非和平、理性</w:t>
      </w:r>
      <w:r w:rsidR="000D4F42">
        <w:rPr>
          <w:rFonts w:hAnsi="標楷體" w:hint="eastAsia"/>
          <w:szCs w:val="32"/>
        </w:rPr>
        <w:t>陳情</w:t>
      </w:r>
      <w:r w:rsidRPr="00F64788">
        <w:rPr>
          <w:rFonts w:hAnsi="標楷體" w:hint="eastAsia"/>
          <w:szCs w:val="32"/>
        </w:rPr>
        <w:t>之計畫性作為。</w:t>
      </w:r>
      <w:r w:rsidR="000D4F42" w:rsidRPr="00F64788">
        <w:rPr>
          <w:rFonts w:hAnsi="標楷體" w:hint="eastAsia"/>
          <w:szCs w:val="32"/>
        </w:rPr>
        <w:t>臺北市警局</w:t>
      </w:r>
      <w:r w:rsidR="0092125B" w:rsidRPr="00F64788">
        <w:rPr>
          <w:rFonts w:hAnsi="標楷體" w:hint="eastAsia"/>
          <w:szCs w:val="32"/>
        </w:rPr>
        <w:t>為維護集會處所（凱達格蘭大道）及遊行路線周邊之交通秩序與公共安全，規劃</w:t>
      </w:r>
      <w:proofErr w:type="gramStart"/>
      <w:r w:rsidR="0092125B" w:rsidRPr="00F64788">
        <w:rPr>
          <w:rFonts w:hAnsi="標楷體" w:hint="eastAsia"/>
          <w:szCs w:val="32"/>
        </w:rPr>
        <w:t>凱</w:t>
      </w:r>
      <w:proofErr w:type="gramEnd"/>
      <w:r w:rsidR="0092125B" w:rsidRPr="00F64788">
        <w:rPr>
          <w:rFonts w:hAnsi="標楷體" w:hint="eastAsia"/>
          <w:szCs w:val="32"/>
        </w:rPr>
        <w:t>道周邊、總統府、外交部周邊、中興寓所、二二八紀念公園周邊及行政院等6個責任分區，分別由</w:t>
      </w:r>
      <w:r w:rsidR="000D4F42">
        <w:rPr>
          <w:rFonts w:hAnsi="標楷體" w:hint="eastAsia"/>
          <w:szCs w:val="32"/>
        </w:rPr>
        <w:t>所屬</w:t>
      </w:r>
      <w:r w:rsidR="0092125B" w:rsidRPr="00F64788">
        <w:rPr>
          <w:rFonts w:hAnsi="標楷體" w:hint="eastAsia"/>
          <w:szCs w:val="32"/>
        </w:rPr>
        <w:t>中正第一、</w:t>
      </w:r>
      <w:r w:rsidR="0092125B" w:rsidRPr="00F64788">
        <w:rPr>
          <w:rFonts w:hAnsi="標楷體" w:hint="eastAsia"/>
          <w:szCs w:val="32"/>
        </w:rPr>
        <w:lastRenderedPageBreak/>
        <w:t>萬華、大安、中正第二、文山第一及士林等分局負責，共計使用警力1,617名（建制警力697名、警政署支援機動保安警力23個分隊920名）。另針對遊行群眾可能</w:t>
      </w:r>
      <w:r w:rsidR="000D4F42" w:rsidRPr="00F64788">
        <w:rPr>
          <w:rFonts w:hAnsi="標楷體" w:hint="eastAsia"/>
          <w:szCs w:val="32"/>
        </w:rPr>
        <w:t>占據忠孝西路</w:t>
      </w:r>
      <w:r w:rsidR="0092125B" w:rsidRPr="00F64788">
        <w:rPr>
          <w:rFonts w:hAnsi="標楷體" w:hint="eastAsia"/>
          <w:szCs w:val="32"/>
        </w:rPr>
        <w:t>癱瘓</w:t>
      </w:r>
      <w:r w:rsidR="000D4F42">
        <w:rPr>
          <w:rFonts w:hAnsi="標楷體" w:hint="eastAsia"/>
          <w:szCs w:val="32"/>
        </w:rPr>
        <w:t>交通</w:t>
      </w:r>
      <w:r w:rsidR="0092125B" w:rsidRPr="00F64788">
        <w:rPr>
          <w:rFonts w:hAnsi="標楷體" w:hint="eastAsia"/>
          <w:szCs w:val="32"/>
        </w:rPr>
        <w:t>之</w:t>
      </w:r>
      <w:r w:rsidR="000D4F42">
        <w:rPr>
          <w:rFonts w:hAnsi="標楷體" w:hint="eastAsia"/>
          <w:szCs w:val="32"/>
        </w:rPr>
        <w:t>動作</w:t>
      </w:r>
      <w:r w:rsidR="0092125B" w:rsidRPr="00F64788">
        <w:rPr>
          <w:rFonts w:hAnsi="標楷體" w:hint="eastAsia"/>
          <w:szCs w:val="32"/>
        </w:rPr>
        <w:t>，</w:t>
      </w:r>
      <w:r w:rsidR="00EF661E">
        <w:rPr>
          <w:rFonts w:hAnsi="標楷體" w:hint="eastAsia"/>
          <w:szCs w:val="32"/>
        </w:rPr>
        <w:t>警</w:t>
      </w:r>
      <w:r w:rsidR="000D4F42">
        <w:rPr>
          <w:rFonts w:hAnsi="標楷體" w:hint="eastAsia"/>
          <w:szCs w:val="32"/>
        </w:rPr>
        <w:t>方</w:t>
      </w:r>
      <w:r w:rsidR="0092125B" w:rsidRPr="00F64788">
        <w:rPr>
          <w:rFonts w:hAnsi="標楷體" w:hint="eastAsia"/>
          <w:szCs w:val="32"/>
        </w:rPr>
        <w:t>事先於</w:t>
      </w:r>
      <w:r w:rsidR="000D4F42">
        <w:rPr>
          <w:rFonts w:hAnsi="標楷體" w:hint="eastAsia"/>
          <w:szCs w:val="32"/>
        </w:rPr>
        <w:t>該</w:t>
      </w:r>
      <w:r w:rsidR="001D542F">
        <w:rPr>
          <w:rFonts w:hAnsi="標楷體" w:hint="eastAsia"/>
          <w:szCs w:val="32"/>
        </w:rPr>
        <w:t>道路</w:t>
      </w:r>
      <w:r w:rsidR="0092125B" w:rsidRPr="00F64788">
        <w:rPr>
          <w:rFonts w:hAnsi="標楷體" w:hint="eastAsia"/>
          <w:szCs w:val="32"/>
        </w:rPr>
        <w:t>西往東方</w:t>
      </w:r>
      <w:proofErr w:type="gramStart"/>
      <w:r w:rsidR="0092125B" w:rsidRPr="00F64788">
        <w:rPr>
          <w:rFonts w:hAnsi="標楷體" w:hint="eastAsia"/>
          <w:szCs w:val="32"/>
        </w:rPr>
        <w:t>向圍設</w:t>
      </w:r>
      <w:proofErr w:type="gramEnd"/>
      <w:r w:rsidR="0092125B" w:rsidRPr="00F64788">
        <w:rPr>
          <w:rFonts w:hAnsi="標楷體" w:hint="eastAsia"/>
          <w:szCs w:val="32"/>
        </w:rPr>
        <w:t>改道牌230面，並下釘、連結，預留1個半車道供車輛通行及警力部署。以南陽街為界，以西由文山第一分局負責，以東由中正第一分局負責，另再增派機動保安警力5個分隊支援。</w:t>
      </w:r>
    </w:p>
    <w:p w:rsidR="0092125B" w:rsidRPr="00F64788" w:rsidRDefault="0092125B" w:rsidP="0092125B">
      <w:pPr>
        <w:pStyle w:val="3"/>
        <w:numPr>
          <w:ilvl w:val="0"/>
          <w:numId w:val="0"/>
        </w:numPr>
        <w:ind w:left="1393" w:firstLineChars="200" w:firstLine="680"/>
        <w:rPr>
          <w:rFonts w:hAnsi="標楷體"/>
          <w:szCs w:val="32"/>
        </w:rPr>
      </w:pPr>
      <w:r w:rsidRPr="00F64788">
        <w:rPr>
          <w:rFonts w:hAnsi="標楷體" w:hint="eastAsia"/>
          <w:szCs w:val="32"/>
        </w:rPr>
        <w:t>雖臺北市警局已事先調派警力支援防處，</w:t>
      </w:r>
      <w:proofErr w:type="gramStart"/>
      <w:r w:rsidRPr="00F64788">
        <w:rPr>
          <w:rFonts w:hAnsi="標楷體" w:hint="eastAsia"/>
          <w:szCs w:val="32"/>
        </w:rPr>
        <w:t>惟除遊行</w:t>
      </w:r>
      <w:proofErr w:type="gramEnd"/>
      <w:r w:rsidRPr="00F64788">
        <w:rPr>
          <w:rFonts w:hAnsi="標楷體" w:hint="eastAsia"/>
          <w:szCs w:val="32"/>
        </w:rPr>
        <w:t>群眾外，部分群眾預先於忠孝西路南北兩側等候，</w:t>
      </w:r>
      <w:proofErr w:type="gramStart"/>
      <w:r w:rsidRPr="00F64788">
        <w:rPr>
          <w:rFonts w:hAnsi="標楷體" w:hint="eastAsia"/>
          <w:szCs w:val="32"/>
        </w:rPr>
        <w:t>俟</w:t>
      </w:r>
      <w:proofErr w:type="gramEnd"/>
      <w:r w:rsidRPr="00F64788">
        <w:rPr>
          <w:rFonts w:hAnsi="標楷體" w:hint="eastAsia"/>
          <w:szCs w:val="32"/>
        </w:rPr>
        <w:t>遊行隊伍抵達，隨即湧入占據道路；因忠孝西路路幅寬廣係屬開放空間，且群眾人數逾2萬人，較現場警力超出甚多，</w:t>
      </w:r>
      <w:r w:rsidR="001D542F">
        <w:rPr>
          <w:rFonts w:hAnsi="標楷體" w:hint="eastAsia"/>
          <w:szCs w:val="32"/>
        </w:rPr>
        <w:t>群眾</w:t>
      </w:r>
      <w:r w:rsidRPr="00F64788">
        <w:rPr>
          <w:rFonts w:hAnsi="標楷體" w:hint="eastAsia"/>
          <w:szCs w:val="32"/>
        </w:rPr>
        <w:t>並</w:t>
      </w:r>
      <w:proofErr w:type="gramStart"/>
      <w:r w:rsidRPr="00F64788">
        <w:rPr>
          <w:rFonts w:hAnsi="標楷體" w:hint="eastAsia"/>
          <w:szCs w:val="32"/>
        </w:rPr>
        <w:t>採</w:t>
      </w:r>
      <w:proofErr w:type="gramEnd"/>
      <w:r w:rsidRPr="00F64788">
        <w:rPr>
          <w:rFonts w:hAnsi="標楷體" w:hint="eastAsia"/>
          <w:szCs w:val="32"/>
        </w:rPr>
        <w:t>多點突破方式，故現場警力無法兼顧，致雙向6線</w:t>
      </w:r>
      <w:proofErr w:type="gramStart"/>
      <w:r w:rsidRPr="00F64788">
        <w:rPr>
          <w:rFonts w:hAnsi="標楷體" w:hint="eastAsia"/>
          <w:szCs w:val="32"/>
        </w:rPr>
        <w:t>道均為之</w:t>
      </w:r>
      <w:proofErr w:type="gramEnd"/>
      <w:r w:rsidRPr="00F64788">
        <w:rPr>
          <w:rFonts w:hAnsi="標楷體" w:hint="eastAsia"/>
          <w:szCs w:val="32"/>
        </w:rPr>
        <w:t>占據，癱瘓忠孝西路</w:t>
      </w:r>
      <w:r w:rsidR="001D542F">
        <w:rPr>
          <w:rFonts w:hAnsi="標楷體" w:hint="eastAsia"/>
          <w:szCs w:val="32"/>
        </w:rPr>
        <w:t>，車行嚴重受阻</w:t>
      </w:r>
      <w:r w:rsidRPr="00F64788">
        <w:rPr>
          <w:rFonts w:hAnsi="標楷體" w:hint="eastAsia"/>
          <w:szCs w:val="32"/>
        </w:rPr>
        <w:t>。</w:t>
      </w:r>
    </w:p>
    <w:p w:rsidR="0092125B" w:rsidRPr="00F64788" w:rsidRDefault="001D542F" w:rsidP="0092125B">
      <w:pPr>
        <w:pStyle w:val="3"/>
        <w:rPr>
          <w:rFonts w:hAnsi="標楷體"/>
          <w:bCs w:val="0"/>
        </w:rPr>
      </w:pPr>
      <w:r>
        <w:rPr>
          <w:rFonts w:hAnsi="標楷體" w:hint="eastAsia"/>
          <w:szCs w:val="32"/>
        </w:rPr>
        <w:t>至103年</w:t>
      </w:r>
      <w:r w:rsidR="00C36974" w:rsidRPr="00F64788">
        <w:rPr>
          <w:rFonts w:hAnsi="標楷體" w:hint="eastAsia"/>
          <w:szCs w:val="32"/>
        </w:rPr>
        <w:t>4月29日亦為「公投護臺灣聯盟」召集人</w:t>
      </w:r>
      <w:proofErr w:type="gramStart"/>
      <w:r w:rsidR="00C36974" w:rsidRPr="00F64788">
        <w:rPr>
          <w:rFonts w:hAnsi="標楷體" w:hint="eastAsia"/>
          <w:szCs w:val="32"/>
        </w:rPr>
        <w:t>蔡</w:t>
      </w:r>
      <w:proofErr w:type="gramEnd"/>
      <w:r w:rsidR="00C36974" w:rsidRPr="00F64788">
        <w:rPr>
          <w:rFonts w:hAnsi="標楷體" w:hint="eastAsia"/>
          <w:szCs w:val="32"/>
        </w:rPr>
        <w:t>○貴等人，持續以</w:t>
      </w:r>
      <w:r>
        <w:rPr>
          <w:rFonts w:hAnsi="標楷體" w:hint="eastAsia"/>
          <w:szCs w:val="32"/>
        </w:rPr>
        <w:t>催促</w:t>
      </w:r>
      <w:r w:rsidR="00C36974" w:rsidRPr="00F64788">
        <w:rPr>
          <w:rFonts w:hAnsi="標楷體" w:hint="eastAsia"/>
          <w:szCs w:val="32"/>
        </w:rPr>
        <w:t>立委做出停建核四之決議為由，號召群眾包圍立法院周邊各出入口，舉辦「阻止核四過關」抗議活動，同時欲以包圍行政院院長方式，脅迫遵照其訴求。</w:t>
      </w:r>
      <w:proofErr w:type="gramStart"/>
      <w:r w:rsidR="00C36974" w:rsidRPr="00F64788">
        <w:rPr>
          <w:rFonts w:hAnsi="標楷體" w:hint="eastAsia"/>
          <w:szCs w:val="32"/>
        </w:rPr>
        <w:t>蔡</w:t>
      </w:r>
      <w:proofErr w:type="gramEnd"/>
      <w:r w:rsidR="00C36974" w:rsidRPr="00F64788">
        <w:rPr>
          <w:rFonts w:hAnsi="標楷體" w:hint="eastAsia"/>
          <w:szCs w:val="32"/>
        </w:rPr>
        <w:t>○</w:t>
      </w:r>
      <w:proofErr w:type="gramStart"/>
      <w:r w:rsidR="00C36974" w:rsidRPr="00F64788">
        <w:rPr>
          <w:rFonts w:hAnsi="標楷體" w:hint="eastAsia"/>
          <w:szCs w:val="32"/>
        </w:rPr>
        <w:t>貴先取得</w:t>
      </w:r>
      <w:proofErr w:type="gramEnd"/>
      <w:r w:rsidR="00C36974" w:rsidRPr="00F64788">
        <w:rPr>
          <w:rFonts w:hAnsi="標楷體" w:hint="eastAsia"/>
          <w:szCs w:val="32"/>
        </w:rPr>
        <w:t>濟南路之道路同意使用權後，復據以申請集會遊行，並以「公投靜坐遊行」為由，向中正第一</w:t>
      </w:r>
      <w:proofErr w:type="gramStart"/>
      <w:r w:rsidR="00C36974" w:rsidRPr="00F64788">
        <w:rPr>
          <w:rFonts w:hAnsi="標楷體" w:hint="eastAsia"/>
          <w:szCs w:val="32"/>
        </w:rPr>
        <w:t>分局申准於</w:t>
      </w:r>
      <w:proofErr w:type="gramEnd"/>
      <w:r w:rsidR="00C36974" w:rsidRPr="00F64788">
        <w:rPr>
          <w:rFonts w:hAnsi="標楷體" w:hint="eastAsia"/>
          <w:szCs w:val="32"/>
        </w:rPr>
        <w:t>103年4月29日9時至22時，自濟南路遊行出發，行經中山南路、青島東路、林森南路，再返回濟南路舉行集會活動</w:t>
      </w:r>
      <w:r>
        <w:rPr>
          <w:rFonts w:hAnsi="標楷體" w:hint="eastAsia"/>
          <w:szCs w:val="32"/>
        </w:rPr>
        <w:t>，</w:t>
      </w:r>
      <w:r w:rsidRPr="00F64788">
        <w:rPr>
          <w:rFonts w:hAnsi="標楷體" w:hint="eastAsia"/>
          <w:szCs w:val="32"/>
        </w:rPr>
        <w:t>經估算立法院周邊參與活動群眾最多約1,250人</w:t>
      </w:r>
      <w:r w:rsidR="00C36974" w:rsidRPr="00F64788">
        <w:rPr>
          <w:rFonts w:hAnsi="標楷體" w:hint="eastAsia"/>
          <w:szCs w:val="32"/>
        </w:rPr>
        <w:t>。</w:t>
      </w:r>
    </w:p>
    <w:p w:rsidR="00C36974" w:rsidRPr="00F64788" w:rsidRDefault="00C36974" w:rsidP="000F3857">
      <w:pPr>
        <w:pStyle w:val="3"/>
        <w:numPr>
          <w:ilvl w:val="0"/>
          <w:numId w:val="0"/>
        </w:numPr>
        <w:ind w:left="1393"/>
        <w:rPr>
          <w:rFonts w:hAnsi="標楷體"/>
          <w:szCs w:val="32"/>
        </w:rPr>
      </w:pPr>
      <w:r w:rsidRPr="00F64788">
        <w:rPr>
          <w:rFonts w:hAnsi="標楷體" w:hint="eastAsia"/>
          <w:szCs w:val="32"/>
        </w:rPr>
        <w:t xml:space="preserve">    當日臺北市警局</w:t>
      </w:r>
      <w:r w:rsidRPr="00F64788">
        <w:rPr>
          <w:rFonts w:hAnsi="標楷體" w:hint="eastAsia"/>
          <w:bCs w:val="0"/>
        </w:rPr>
        <w:t>執行</w:t>
      </w:r>
      <w:r w:rsidRPr="00F64788">
        <w:rPr>
          <w:rFonts w:hAnsi="標楷體" w:hint="eastAsia"/>
          <w:szCs w:val="32"/>
        </w:rPr>
        <w:t>立法院安全維護勤務，院</w:t>
      </w:r>
      <w:proofErr w:type="gramStart"/>
      <w:r w:rsidRPr="00F64788">
        <w:rPr>
          <w:rFonts w:hAnsi="標楷體" w:hint="eastAsia"/>
          <w:szCs w:val="32"/>
        </w:rPr>
        <w:t>區外共劃分</w:t>
      </w:r>
      <w:proofErr w:type="gramEnd"/>
      <w:r w:rsidRPr="00F64788">
        <w:rPr>
          <w:rFonts w:hAnsi="標楷體" w:hint="eastAsia"/>
          <w:szCs w:val="32"/>
        </w:rPr>
        <w:t>2個分區（院區內由保六總隊負責），分別責由該局中正第一分局及內湖分局負責防處</w:t>
      </w:r>
      <w:r w:rsidR="000F3857" w:rsidRPr="00F64788">
        <w:rPr>
          <w:rFonts w:hAnsi="標楷體" w:hint="eastAsia"/>
          <w:szCs w:val="32"/>
        </w:rPr>
        <w:t>。</w:t>
      </w:r>
      <w:r w:rsidRPr="00F64788">
        <w:rPr>
          <w:rFonts w:hAnsi="標楷體" w:hint="eastAsia"/>
          <w:szCs w:val="32"/>
        </w:rPr>
        <w:lastRenderedPageBreak/>
        <w:t>中正第一</w:t>
      </w:r>
      <w:r w:rsidRPr="00F64788">
        <w:rPr>
          <w:rFonts w:hAnsi="標楷體" w:hint="eastAsia"/>
        </w:rPr>
        <w:t>分局負責立法院（南側）安全維護勤務，</w:t>
      </w:r>
      <w:proofErr w:type="gramStart"/>
      <w:r w:rsidRPr="00F64788">
        <w:rPr>
          <w:rFonts w:hAnsi="標楷體" w:hint="eastAsia"/>
        </w:rPr>
        <w:t>責任地境東</w:t>
      </w:r>
      <w:proofErr w:type="gramEnd"/>
      <w:r w:rsidRPr="00F64788">
        <w:rPr>
          <w:rFonts w:hAnsi="標楷體" w:hint="eastAsia"/>
        </w:rPr>
        <w:t>起林森南路（不含）、南到濟南路、西至中山南路慢車道、北迄青島東路（不含），共劃分3小區，並編組2個機動隊，共申請機動保安警力7個分隊。</w:t>
      </w:r>
      <w:r w:rsidRPr="00F64788">
        <w:rPr>
          <w:rFonts w:hAnsi="標楷體" w:hint="eastAsia"/>
          <w:szCs w:val="32"/>
        </w:rPr>
        <w:t>各小區及機動</w:t>
      </w:r>
      <w:proofErr w:type="gramStart"/>
      <w:r w:rsidRPr="00F64788">
        <w:rPr>
          <w:rFonts w:hAnsi="標楷體" w:hint="eastAsia"/>
          <w:szCs w:val="32"/>
        </w:rPr>
        <w:t>隊均由該</w:t>
      </w:r>
      <w:proofErr w:type="gramEnd"/>
      <w:r w:rsidRPr="00F64788">
        <w:rPr>
          <w:rFonts w:hAnsi="標楷體" w:hint="eastAsia"/>
          <w:szCs w:val="32"/>
        </w:rPr>
        <w:t>分局派出所所長及警備隊隊長擔任指揮官或帶隊官，另每</w:t>
      </w:r>
      <w:proofErr w:type="gramStart"/>
      <w:r w:rsidRPr="00F64788">
        <w:rPr>
          <w:rFonts w:hAnsi="標楷體" w:hint="eastAsia"/>
          <w:szCs w:val="32"/>
        </w:rPr>
        <w:t>個</w:t>
      </w:r>
      <w:proofErr w:type="gramEnd"/>
      <w:r w:rsidRPr="00F64788">
        <w:rPr>
          <w:rFonts w:hAnsi="標楷體" w:hint="eastAsia"/>
          <w:szCs w:val="32"/>
        </w:rPr>
        <w:t>小區各編排2組至3組機動處理組，同時編組機動</w:t>
      </w:r>
      <w:proofErr w:type="gramStart"/>
      <w:r w:rsidRPr="00F64788">
        <w:rPr>
          <w:rFonts w:hAnsi="標楷體" w:hint="eastAsia"/>
          <w:szCs w:val="32"/>
        </w:rPr>
        <w:t>蒐證隊</w:t>
      </w:r>
      <w:proofErr w:type="gramEnd"/>
      <w:r w:rsidRPr="00F64788">
        <w:rPr>
          <w:rFonts w:hAnsi="標楷體" w:hint="eastAsia"/>
          <w:szCs w:val="32"/>
        </w:rPr>
        <w:t>及</w:t>
      </w:r>
      <w:proofErr w:type="gramStart"/>
      <w:r w:rsidRPr="00F64788">
        <w:rPr>
          <w:rFonts w:hAnsi="標楷體" w:hint="eastAsia"/>
          <w:szCs w:val="32"/>
        </w:rPr>
        <w:t>架離組</w:t>
      </w:r>
      <w:proofErr w:type="gramEnd"/>
      <w:r w:rsidRPr="00F64788">
        <w:rPr>
          <w:rFonts w:hAnsi="標楷體" w:hint="eastAsia"/>
          <w:szCs w:val="32"/>
        </w:rPr>
        <w:t>。</w:t>
      </w:r>
      <w:r w:rsidR="000F3857" w:rsidRPr="00F64788">
        <w:rPr>
          <w:rFonts w:hAnsi="標楷體" w:hint="eastAsia"/>
          <w:szCs w:val="32"/>
        </w:rPr>
        <w:t>另</w:t>
      </w:r>
      <w:r w:rsidRPr="00F64788">
        <w:rPr>
          <w:rFonts w:hAnsi="標楷體" w:hint="eastAsia"/>
          <w:szCs w:val="32"/>
        </w:rPr>
        <w:t>內湖分局負責立法院(北側)安全維護勤務，</w:t>
      </w:r>
      <w:proofErr w:type="gramStart"/>
      <w:r w:rsidRPr="00F64788">
        <w:rPr>
          <w:rFonts w:hAnsi="標楷體" w:hint="eastAsia"/>
          <w:szCs w:val="32"/>
        </w:rPr>
        <w:t>責任地境東</w:t>
      </w:r>
      <w:proofErr w:type="gramEnd"/>
      <w:r w:rsidRPr="00F64788">
        <w:rPr>
          <w:rFonts w:hAnsi="標楷體" w:hint="eastAsia"/>
          <w:szCs w:val="32"/>
        </w:rPr>
        <w:t>起林森南路(不含)、南到林森南路8巷(不含)、西至</w:t>
      </w:r>
      <w:r w:rsidRPr="00F64788">
        <w:rPr>
          <w:rFonts w:hAnsi="標楷體" w:hint="eastAsia"/>
        </w:rPr>
        <w:t>中山南路</w:t>
      </w:r>
      <w:r w:rsidRPr="00F64788">
        <w:rPr>
          <w:rFonts w:hAnsi="標楷體" w:hint="eastAsia"/>
          <w:szCs w:val="32"/>
        </w:rPr>
        <w:t>慢車道(含)、北迄忠孝東路(含)，共劃分4小區，申請機動保安警力7個分隊</w:t>
      </w:r>
      <w:r w:rsidR="00667172" w:rsidRPr="00F64788">
        <w:rPr>
          <w:rFonts w:hAnsi="標楷體" w:hint="eastAsia"/>
          <w:szCs w:val="32"/>
        </w:rPr>
        <w:t>，</w:t>
      </w:r>
      <w:r w:rsidRPr="00F64788">
        <w:rPr>
          <w:rFonts w:hAnsi="標楷體" w:hint="eastAsia"/>
          <w:szCs w:val="32"/>
        </w:rPr>
        <w:t>各小區</w:t>
      </w:r>
      <w:proofErr w:type="gramStart"/>
      <w:r w:rsidR="000F3857" w:rsidRPr="00F64788">
        <w:rPr>
          <w:rFonts w:hAnsi="標楷體" w:hint="eastAsia"/>
          <w:szCs w:val="32"/>
        </w:rPr>
        <w:t>亦</w:t>
      </w:r>
      <w:r w:rsidRPr="00F64788">
        <w:rPr>
          <w:rFonts w:hAnsi="標楷體" w:hint="eastAsia"/>
          <w:szCs w:val="32"/>
        </w:rPr>
        <w:t>均由該</w:t>
      </w:r>
      <w:proofErr w:type="gramEnd"/>
      <w:r w:rsidRPr="00F64788">
        <w:rPr>
          <w:rFonts w:hAnsi="標楷體" w:hint="eastAsia"/>
          <w:szCs w:val="32"/>
        </w:rPr>
        <w:t>分局派出所所長擔任指揮官。</w:t>
      </w:r>
    </w:p>
    <w:p w:rsidR="00EB42BD" w:rsidRPr="00F64788" w:rsidRDefault="00EB42BD" w:rsidP="00EB42BD">
      <w:pPr>
        <w:pStyle w:val="3"/>
        <w:numPr>
          <w:ilvl w:val="0"/>
          <w:numId w:val="0"/>
        </w:numPr>
        <w:ind w:left="1393"/>
        <w:rPr>
          <w:rFonts w:hAnsi="標楷體"/>
        </w:rPr>
      </w:pPr>
      <w:r w:rsidRPr="00F64788">
        <w:rPr>
          <w:rFonts w:hAnsi="標楷體" w:hint="eastAsia"/>
          <w:bCs w:val="0"/>
        </w:rPr>
        <w:t xml:space="preserve">    </w:t>
      </w:r>
      <w:r w:rsidR="001D542F">
        <w:rPr>
          <w:rFonts w:hAnsi="標楷體" w:hint="eastAsia"/>
          <w:szCs w:val="32"/>
        </w:rPr>
        <w:t>是</w:t>
      </w:r>
      <w:r w:rsidRPr="00F64788">
        <w:rPr>
          <w:rFonts w:hAnsi="標楷體" w:hint="eastAsia"/>
          <w:szCs w:val="32"/>
        </w:rPr>
        <w:t>日10時</w:t>
      </w:r>
      <w:r w:rsidR="001D542F">
        <w:rPr>
          <w:rFonts w:hAnsi="標楷體" w:hint="eastAsia"/>
          <w:szCs w:val="32"/>
        </w:rPr>
        <w:t>許</w:t>
      </w:r>
      <w:r w:rsidRPr="00F64788">
        <w:rPr>
          <w:rFonts w:hAnsi="標楷體" w:hint="eastAsia"/>
          <w:szCs w:val="32"/>
        </w:rPr>
        <w:t>蔡○貴率群眾分6路包圍立法院各出入口，立委及立法院員工進出院</w:t>
      </w:r>
      <w:proofErr w:type="gramStart"/>
      <w:r w:rsidRPr="00F64788">
        <w:rPr>
          <w:rFonts w:hAnsi="標楷體" w:hint="eastAsia"/>
          <w:szCs w:val="32"/>
        </w:rPr>
        <w:t>區均遭抗議</w:t>
      </w:r>
      <w:proofErr w:type="gramEnd"/>
      <w:r w:rsidRPr="00F64788">
        <w:rPr>
          <w:rFonts w:hAnsi="標楷體" w:hint="eastAsia"/>
          <w:szCs w:val="32"/>
        </w:rPr>
        <w:t>群眾阻攔，其中林○</w:t>
      </w:r>
      <w:proofErr w:type="gramStart"/>
      <w:r w:rsidRPr="00F64788">
        <w:rPr>
          <w:rFonts w:hAnsi="標楷體" w:hint="eastAsia"/>
          <w:szCs w:val="32"/>
        </w:rPr>
        <w:t>溱</w:t>
      </w:r>
      <w:proofErr w:type="gramEnd"/>
      <w:r w:rsidRPr="00F64788">
        <w:rPr>
          <w:rFonts w:hAnsi="標楷體" w:hint="eastAsia"/>
          <w:szCs w:val="32"/>
        </w:rPr>
        <w:t>委員於12時30分許搭乘立法院公務車輛欲自中興大樓離開時，遭抗議群眾包圍及攻擊；13時許吳○</w:t>
      </w:r>
      <w:proofErr w:type="gramStart"/>
      <w:r w:rsidRPr="00F64788">
        <w:rPr>
          <w:rFonts w:hAnsi="標楷體" w:hint="eastAsia"/>
          <w:szCs w:val="32"/>
        </w:rPr>
        <w:t>昇</w:t>
      </w:r>
      <w:proofErr w:type="gramEnd"/>
      <w:r w:rsidRPr="00F64788">
        <w:rPr>
          <w:rFonts w:hAnsi="標楷體" w:hint="eastAsia"/>
          <w:szCs w:val="32"/>
        </w:rPr>
        <w:t>委員欲從忠孝東路、鎮江街口離開，亦遭抗議群眾阻擋；另</w:t>
      </w:r>
      <w:proofErr w:type="gramStart"/>
      <w:r w:rsidRPr="00F64788">
        <w:rPr>
          <w:rFonts w:hAnsi="標楷體" w:hint="eastAsia"/>
          <w:szCs w:val="32"/>
        </w:rPr>
        <w:t>廖</w:t>
      </w:r>
      <w:proofErr w:type="gramEnd"/>
      <w:r w:rsidRPr="00F64788">
        <w:rPr>
          <w:rFonts w:hAnsi="標楷體" w:hint="eastAsia"/>
          <w:szCs w:val="32"/>
        </w:rPr>
        <w:t>○井委員於16時許，分別由濟南路及青島東路離開立法院時，也遭群眾阻撓及包圍，</w:t>
      </w:r>
      <w:proofErr w:type="gramStart"/>
      <w:r w:rsidRPr="00F64788">
        <w:rPr>
          <w:rFonts w:hAnsi="標楷體" w:hint="eastAsia"/>
          <w:szCs w:val="32"/>
        </w:rPr>
        <w:t>均由警力</w:t>
      </w:r>
      <w:proofErr w:type="gramEnd"/>
      <w:r w:rsidRPr="00F64788">
        <w:rPr>
          <w:rFonts w:hAnsi="標楷體" w:hint="eastAsia"/>
          <w:szCs w:val="32"/>
        </w:rPr>
        <w:t>排除。</w:t>
      </w:r>
      <w:r w:rsidRPr="00F64788">
        <w:rPr>
          <w:rFonts w:hAnsi="標楷體" w:hint="eastAsia"/>
        </w:rPr>
        <w:t>16時10分許，</w:t>
      </w:r>
      <w:proofErr w:type="gramStart"/>
      <w:r w:rsidRPr="00F64788">
        <w:rPr>
          <w:rFonts w:hAnsi="標楷體" w:hint="eastAsia"/>
        </w:rPr>
        <w:t>盧</w:t>
      </w:r>
      <w:proofErr w:type="gramEnd"/>
      <w:r w:rsidRPr="00F64788">
        <w:rPr>
          <w:rFonts w:hAnsi="標楷體" w:hint="eastAsia"/>
        </w:rPr>
        <w:t>○辰及陳○生委員欲從青島東路、鎮江街口之來來大廈臨青島東路4-7號旁</w:t>
      </w:r>
      <w:proofErr w:type="gramStart"/>
      <w:r w:rsidRPr="00F64788">
        <w:rPr>
          <w:rFonts w:hAnsi="標楷體" w:hint="eastAsia"/>
        </w:rPr>
        <w:t>無名巷</w:t>
      </w:r>
      <w:proofErr w:type="gramEnd"/>
      <w:r w:rsidRPr="00F64788">
        <w:rPr>
          <w:rFonts w:hAnsi="標楷體" w:hint="eastAsia"/>
        </w:rPr>
        <w:t>離開時，遭原在此巷口聚集之群眾約50餘人阻擋，要求委員返回院內開會，內湖</w:t>
      </w:r>
      <w:r w:rsidRPr="00F64788">
        <w:rPr>
          <w:rFonts w:hAnsi="標楷體" w:hint="eastAsia"/>
          <w:szCs w:val="32"/>
        </w:rPr>
        <w:t>分局</w:t>
      </w:r>
      <w:r w:rsidRPr="00F64788">
        <w:rPr>
          <w:rFonts w:hAnsi="標楷體" w:hint="eastAsia"/>
        </w:rPr>
        <w:t>執勤員警發現後，立即將阻擋群眾排除隔離並保護委員人身安全，始順利將盧委員護送上座車；另陳○生等3位委員亦在警力保護下安全離開。</w:t>
      </w:r>
    </w:p>
    <w:p w:rsidR="00EB42BD" w:rsidRPr="00F64788" w:rsidRDefault="00EB42BD" w:rsidP="00EB42BD">
      <w:pPr>
        <w:pStyle w:val="3"/>
        <w:numPr>
          <w:ilvl w:val="0"/>
          <w:numId w:val="0"/>
        </w:numPr>
        <w:ind w:left="1393" w:firstLineChars="200" w:firstLine="680"/>
        <w:rPr>
          <w:rFonts w:hAnsi="標楷體"/>
        </w:rPr>
      </w:pPr>
      <w:r w:rsidRPr="00F64788">
        <w:rPr>
          <w:rFonts w:hAnsi="標楷體" w:hint="eastAsia"/>
        </w:rPr>
        <w:t>惟</w:t>
      </w:r>
      <w:proofErr w:type="gramStart"/>
      <w:r w:rsidRPr="00F64788">
        <w:rPr>
          <w:rFonts w:hAnsi="標楷體" w:hint="eastAsia"/>
        </w:rPr>
        <w:t>盧</w:t>
      </w:r>
      <w:proofErr w:type="gramEnd"/>
      <w:r w:rsidR="001D542F" w:rsidRPr="00F64788">
        <w:rPr>
          <w:rFonts w:hAnsi="標楷體" w:hint="eastAsia"/>
        </w:rPr>
        <w:t>○辰</w:t>
      </w:r>
      <w:r w:rsidRPr="00F64788">
        <w:rPr>
          <w:rFonts w:hAnsi="標楷體" w:hint="eastAsia"/>
        </w:rPr>
        <w:t>委員座車因停放於青島東路4-</w:t>
      </w:r>
      <w:proofErr w:type="gramStart"/>
      <w:r w:rsidRPr="00F64788">
        <w:rPr>
          <w:rFonts w:hAnsi="標楷體" w:hint="eastAsia"/>
        </w:rPr>
        <w:t>7號陳抗群眾</w:t>
      </w:r>
      <w:proofErr w:type="gramEnd"/>
      <w:r w:rsidRPr="00F64788">
        <w:rPr>
          <w:rFonts w:hAnsi="標楷體" w:hint="eastAsia"/>
        </w:rPr>
        <w:t>靜坐處前，盧委員離開時，群眾坐、躺於車</w:t>
      </w:r>
      <w:r w:rsidRPr="00F64788">
        <w:rPr>
          <w:rFonts w:hAnsi="標楷體" w:hint="eastAsia"/>
        </w:rPr>
        <w:lastRenderedPageBreak/>
        <w:t>前阻擋座車離開，經現場警力排除後，復有一輛疑似拋錨之銀色自小客車，將車輛以南北向橫放於青島東路中央，致委員座車受阻，</w:t>
      </w:r>
      <w:proofErr w:type="gramStart"/>
      <w:r w:rsidRPr="00F64788">
        <w:rPr>
          <w:rFonts w:hAnsi="標楷體" w:hint="eastAsia"/>
        </w:rPr>
        <w:t>且在場群眾</w:t>
      </w:r>
      <w:proofErr w:type="gramEnd"/>
      <w:r w:rsidRPr="00F64788">
        <w:rPr>
          <w:rFonts w:hAnsi="標楷體" w:hint="eastAsia"/>
        </w:rPr>
        <w:t>迅速串聯立法院周邊各出入口之抗議群眾蜂擁而至，內湖分局調派警力適時排除包圍座車群眾；保護座車前進到青島東路、林森南路口，此時群眾已達600餘人。17時左右，盧委員座車在警力保護下，由青島東路右轉林森南路欲往南行進時，忽有2輛計程車發生擦撞，以及一輛疑似拋錨之白色自小客車以東西向橫停於林森南路上，致盧委員座車受阻。</w:t>
      </w:r>
    </w:p>
    <w:p w:rsidR="00EB42BD" w:rsidRPr="00F64788" w:rsidRDefault="00626C4A" w:rsidP="00EB42BD">
      <w:pPr>
        <w:pStyle w:val="3"/>
        <w:numPr>
          <w:ilvl w:val="0"/>
          <w:numId w:val="0"/>
        </w:numPr>
        <w:ind w:left="1393" w:firstLineChars="200" w:firstLine="680"/>
        <w:rPr>
          <w:rFonts w:hAnsi="標楷體"/>
        </w:rPr>
      </w:pPr>
      <w:r w:rsidRPr="00F64788">
        <w:rPr>
          <w:rFonts w:hAnsi="標楷體" w:hint="eastAsia"/>
        </w:rPr>
        <w:t>斯</w:t>
      </w:r>
      <w:r w:rsidR="00EB42BD" w:rsidRPr="00F64788">
        <w:rPr>
          <w:rFonts w:hAnsi="標楷體" w:hint="eastAsia"/>
        </w:rPr>
        <w:t>時行政院長、立法院長</w:t>
      </w:r>
      <w:r w:rsidR="00EF661E">
        <w:rPr>
          <w:rFonts w:hAnsi="標楷體" w:hint="eastAsia"/>
        </w:rPr>
        <w:t>及</w:t>
      </w:r>
      <w:r w:rsidR="00EB42BD" w:rsidRPr="00F64788">
        <w:rPr>
          <w:rFonts w:hAnsi="標楷體" w:hint="eastAsia"/>
        </w:rPr>
        <w:t>大多數立委亦陸續由忠孝東路、鎮江街口及其他各路口離開</w:t>
      </w:r>
      <w:r w:rsidR="004E3842">
        <w:rPr>
          <w:rFonts w:hAnsi="標楷體" w:hint="eastAsia"/>
        </w:rPr>
        <w:t>院區</w:t>
      </w:r>
      <w:r w:rsidR="00EB42BD" w:rsidRPr="00F64788">
        <w:rPr>
          <w:rFonts w:hAnsi="標楷體" w:hint="eastAsia"/>
        </w:rPr>
        <w:t>，</w:t>
      </w:r>
      <w:r w:rsidRPr="00F64788">
        <w:rPr>
          <w:rFonts w:hAnsi="標楷體" w:hint="eastAsia"/>
        </w:rPr>
        <w:t>內湖分局</w:t>
      </w:r>
      <w:r w:rsidR="00EB42BD" w:rsidRPr="00F64788">
        <w:rPr>
          <w:rFonts w:hAnsi="標楷體" w:hint="eastAsia"/>
        </w:rPr>
        <w:t>乃</w:t>
      </w:r>
      <w:proofErr w:type="gramStart"/>
      <w:r w:rsidR="00EB42BD" w:rsidRPr="00F64788">
        <w:rPr>
          <w:rFonts w:hAnsi="標楷體" w:hint="eastAsia"/>
        </w:rPr>
        <w:t>俟</w:t>
      </w:r>
      <w:proofErr w:type="gramEnd"/>
      <w:r w:rsidR="00EB42BD" w:rsidRPr="00F64788">
        <w:rPr>
          <w:rFonts w:hAnsi="標楷體" w:hint="eastAsia"/>
        </w:rPr>
        <w:t>行政院長、立法院長及多數立委約於17時40分由忠孝東路、鎮江街等路口安全離開後，始得調派駐守立法院周邊警力，於17時50分許由指揮官統整部隊，向群眾喊話勸離未果後下令驅離；17時55分時排除阻擋群眾後，盧委員</w:t>
      </w:r>
      <w:proofErr w:type="gramStart"/>
      <w:r w:rsidR="00EB42BD" w:rsidRPr="00F64788">
        <w:rPr>
          <w:rFonts w:hAnsi="標楷體" w:hint="eastAsia"/>
        </w:rPr>
        <w:t>座車</w:t>
      </w:r>
      <w:r w:rsidRPr="00F64788">
        <w:rPr>
          <w:rFonts w:hAnsi="標楷體" w:hint="eastAsia"/>
        </w:rPr>
        <w:t>方克</w:t>
      </w:r>
      <w:r w:rsidR="00EB42BD" w:rsidRPr="00F64788">
        <w:rPr>
          <w:rFonts w:hAnsi="標楷體" w:hint="eastAsia"/>
        </w:rPr>
        <w:t>由</w:t>
      </w:r>
      <w:proofErr w:type="gramEnd"/>
      <w:r w:rsidR="00EB42BD" w:rsidRPr="00F64788">
        <w:rPr>
          <w:rFonts w:hAnsi="標楷體" w:hint="eastAsia"/>
        </w:rPr>
        <w:t>青島東路(西向東)方向離開。</w:t>
      </w:r>
    </w:p>
    <w:p w:rsidR="00EB42BD" w:rsidRPr="00F64788" w:rsidRDefault="00626C4A" w:rsidP="00EB42BD">
      <w:pPr>
        <w:pStyle w:val="3"/>
        <w:numPr>
          <w:ilvl w:val="0"/>
          <w:numId w:val="0"/>
        </w:numPr>
        <w:ind w:left="1393" w:firstLineChars="200" w:firstLine="680"/>
        <w:rPr>
          <w:rFonts w:hAnsi="標楷體"/>
          <w:szCs w:val="32"/>
        </w:rPr>
      </w:pPr>
      <w:r w:rsidRPr="00F64788">
        <w:rPr>
          <w:rFonts w:hAnsi="標楷體" w:hint="eastAsia"/>
          <w:bCs w:val="0"/>
        </w:rPr>
        <w:t>其後，</w:t>
      </w:r>
      <w:r w:rsidRPr="00F64788">
        <w:rPr>
          <w:rFonts w:hAnsi="標楷體" w:hint="eastAsia"/>
          <w:szCs w:val="32"/>
        </w:rPr>
        <w:t>18時許民眾圍堵委員未果，見立法院院會已結束，</w:t>
      </w:r>
      <w:r w:rsidR="00351766" w:rsidRPr="0043129A">
        <w:rPr>
          <w:rFonts w:hAnsi="標楷體" w:hint="eastAsia"/>
          <w:szCs w:val="32"/>
        </w:rPr>
        <w:t>洪○</w:t>
      </w:r>
      <w:proofErr w:type="gramStart"/>
      <w:r w:rsidR="00351766" w:rsidRPr="0043129A">
        <w:rPr>
          <w:rFonts w:hAnsi="標楷體" w:hint="eastAsia"/>
          <w:szCs w:val="32"/>
        </w:rPr>
        <w:t>晏</w:t>
      </w:r>
      <w:proofErr w:type="gramEnd"/>
      <w:r w:rsidR="00351766" w:rsidRPr="0043129A">
        <w:rPr>
          <w:rFonts w:hAnsi="標楷體" w:hint="eastAsia"/>
          <w:szCs w:val="32"/>
        </w:rPr>
        <w:t>、賴○榮</w:t>
      </w:r>
      <w:r w:rsidR="00351766" w:rsidRPr="00782845">
        <w:rPr>
          <w:rFonts w:hAnsi="標楷體" w:hint="eastAsia"/>
          <w:szCs w:val="32"/>
        </w:rPr>
        <w:t>於網路號召</w:t>
      </w:r>
      <w:proofErr w:type="gramStart"/>
      <w:r w:rsidR="00351766" w:rsidRPr="00782845">
        <w:rPr>
          <w:rFonts w:hAnsi="標楷體" w:hint="eastAsia"/>
          <w:szCs w:val="32"/>
        </w:rPr>
        <w:t>聚眾</w:t>
      </w:r>
      <w:r w:rsidRPr="00F64788">
        <w:rPr>
          <w:rFonts w:hAnsi="標楷體" w:hint="eastAsia"/>
          <w:szCs w:val="32"/>
        </w:rPr>
        <w:t>轉往</w:t>
      </w:r>
      <w:proofErr w:type="gramEnd"/>
      <w:r w:rsidRPr="00F64788">
        <w:rPr>
          <w:rFonts w:hAnsi="標楷體" w:hint="eastAsia"/>
          <w:szCs w:val="32"/>
        </w:rPr>
        <w:t>忠孝東路、林森南路口集結，企圖盤據忠孝東路癱瘓交通</w:t>
      </w:r>
      <w:r w:rsidR="00C05FE9">
        <w:rPr>
          <w:rFonts w:hAnsi="標楷體" w:hint="eastAsia"/>
          <w:szCs w:val="32"/>
        </w:rPr>
        <w:t>。內湖分局警力調度不及，</w:t>
      </w:r>
      <w:proofErr w:type="gramStart"/>
      <w:r w:rsidRPr="00F64788">
        <w:rPr>
          <w:rFonts w:hAnsi="標楷體" w:hint="eastAsia"/>
          <w:szCs w:val="32"/>
        </w:rPr>
        <w:t>嗣</w:t>
      </w:r>
      <w:proofErr w:type="gramEnd"/>
      <w:r w:rsidRPr="00F64788">
        <w:rPr>
          <w:rFonts w:hAnsi="標楷體" w:hint="eastAsia"/>
          <w:szCs w:val="32"/>
        </w:rPr>
        <w:t>改由中正第一分局派員到場疏導交通，以擴音器勸導及舉牌警告民眾始離去，</w:t>
      </w:r>
      <w:r w:rsidR="00C05FE9">
        <w:rPr>
          <w:rFonts w:hAnsi="標楷體" w:hint="eastAsia"/>
          <w:szCs w:val="32"/>
        </w:rPr>
        <w:t>始</w:t>
      </w:r>
      <w:r w:rsidRPr="00F64788">
        <w:rPr>
          <w:rFonts w:hAnsi="標楷體" w:hint="eastAsia"/>
          <w:szCs w:val="32"/>
        </w:rPr>
        <w:t>於19時13分許自行返回</w:t>
      </w:r>
      <w:proofErr w:type="gramStart"/>
      <w:r w:rsidRPr="00F64788">
        <w:rPr>
          <w:rFonts w:hAnsi="標楷體" w:hint="eastAsia"/>
          <w:szCs w:val="32"/>
        </w:rPr>
        <w:t>凱</w:t>
      </w:r>
      <w:proofErr w:type="gramEnd"/>
      <w:r w:rsidRPr="00F64788">
        <w:rPr>
          <w:rFonts w:hAnsi="標楷體" w:hint="eastAsia"/>
          <w:szCs w:val="32"/>
        </w:rPr>
        <w:t>道參加「守護民主．守護廢核決心之夜」活動，未再與警方發生衝突。</w:t>
      </w:r>
    </w:p>
    <w:p w:rsidR="00236F52" w:rsidRPr="00EC0573" w:rsidRDefault="00351766" w:rsidP="00A91418">
      <w:pPr>
        <w:pStyle w:val="3"/>
        <w:rPr>
          <w:rFonts w:hAnsi="標楷體"/>
          <w:bCs w:val="0"/>
        </w:rPr>
      </w:pPr>
      <w:r>
        <w:rPr>
          <w:rFonts w:hAnsi="標楷體" w:hint="eastAsia"/>
        </w:rPr>
        <w:t>由上可知，本案</w:t>
      </w:r>
      <w:r>
        <w:rPr>
          <w:rFonts w:hAnsi="標楷體" w:hint="eastAsia"/>
          <w:szCs w:val="32"/>
        </w:rPr>
        <w:t>臺北市警局</w:t>
      </w:r>
      <w:r w:rsidR="00CA27AD">
        <w:rPr>
          <w:rFonts w:hAnsi="標楷體" w:hint="eastAsia"/>
          <w:szCs w:val="32"/>
        </w:rPr>
        <w:t>處理上揭</w:t>
      </w:r>
      <w:r w:rsidR="00236F52" w:rsidRPr="00F64788">
        <w:rPr>
          <w:rFonts w:hAnsi="標楷體" w:hint="eastAsia"/>
          <w:szCs w:val="32"/>
        </w:rPr>
        <w:t>三</w:t>
      </w:r>
      <w:r>
        <w:rPr>
          <w:rFonts w:hAnsi="標楷體" w:hint="eastAsia"/>
          <w:szCs w:val="32"/>
        </w:rPr>
        <w:t>起</w:t>
      </w:r>
      <w:proofErr w:type="gramStart"/>
      <w:r>
        <w:rPr>
          <w:rFonts w:hAnsi="標楷體" w:hint="eastAsia"/>
          <w:szCs w:val="32"/>
        </w:rPr>
        <w:t>群眾陳抗</w:t>
      </w:r>
      <w:r w:rsidR="00236F52" w:rsidRPr="00F64788">
        <w:rPr>
          <w:rFonts w:hAnsi="標楷體" w:hint="eastAsia"/>
          <w:szCs w:val="32"/>
        </w:rPr>
        <w:t>事件</w:t>
      </w:r>
      <w:proofErr w:type="gramEnd"/>
      <w:r w:rsidR="00236F52" w:rsidRPr="00F64788">
        <w:rPr>
          <w:rFonts w:hAnsi="標楷體" w:hint="eastAsia"/>
        </w:rPr>
        <w:t>過程</w:t>
      </w:r>
      <w:r w:rsidR="00236F52" w:rsidRPr="00EC0573">
        <w:rPr>
          <w:rFonts w:hAnsi="標楷體" w:hint="eastAsia"/>
        </w:rPr>
        <w:t>中，仍出現若干警力不足及警力</w:t>
      </w:r>
      <w:r w:rsidR="00CA27AD" w:rsidRPr="00EC0573">
        <w:rPr>
          <w:rFonts w:hAnsi="標楷體" w:hint="eastAsia"/>
        </w:rPr>
        <w:t>部</w:t>
      </w:r>
      <w:r w:rsidR="00236F52" w:rsidRPr="00EC0573">
        <w:rPr>
          <w:rFonts w:hAnsi="標楷體" w:hint="eastAsia"/>
        </w:rPr>
        <w:t>署空缺</w:t>
      </w:r>
      <w:r w:rsidR="00CA27AD" w:rsidRPr="00EC0573">
        <w:rPr>
          <w:rFonts w:hAnsi="標楷體" w:hint="eastAsia"/>
        </w:rPr>
        <w:t>之</w:t>
      </w:r>
      <w:r w:rsidR="00236F52" w:rsidRPr="00EC0573">
        <w:rPr>
          <w:rFonts w:hAnsi="標楷體" w:hint="eastAsia"/>
        </w:rPr>
        <w:t>情事</w:t>
      </w:r>
      <w:r w:rsidRPr="00EC0573">
        <w:rPr>
          <w:rFonts w:hAnsi="標楷體" w:hint="eastAsia"/>
        </w:rPr>
        <w:t>，</w:t>
      </w:r>
      <w:r w:rsidR="008365AB" w:rsidRPr="00EC0573">
        <w:rPr>
          <w:rFonts w:hAnsi="標楷體" w:hint="eastAsia"/>
        </w:rPr>
        <w:t>嚴重影響交通秩序與社會治安，</w:t>
      </w:r>
      <w:r w:rsidR="00236F52" w:rsidRPr="00EC0573">
        <w:rPr>
          <w:rFonts w:hAnsi="標楷體" w:hint="eastAsia"/>
        </w:rPr>
        <w:t>例如</w:t>
      </w:r>
      <w:r w:rsidRPr="00EC0573">
        <w:rPr>
          <w:rFonts w:hAnsi="標楷體" w:hint="eastAsia"/>
        </w:rPr>
        <w:t>：</w:t>
      </w:r>
      <w:r w:rsidR="00236F52" w:rsidRPr="00EC0573">
        <w:rPr>
          <w:rFonts w:hAnsi="標楷體" w:hint="eastAsia"/>
        </w:rPr>
        <w:t>4月25日</w:t>
      </w:r>
      <w:r w:rsidR="00315AB6" w:rsidRPr="00EC0573">
        <w:rPr>
          <w:rFonts w:hAnsi="標楷體" w:hint="eastAsia"/>
        </w:rPr>
        <w:t>16時15分起，</w:t>
      </w:r>
      <w:proofErr w:type="gramStart"/>
      <w:r w:rsidR="00315AB6" w:rsidRPr="00EC0573">
        <w:rPr>
          <w:rFonts w:hAnsi="標楷體" w:hint="eastAsia"/>
        </w:rPr>
        <w:t>立法院含王</w:t>
      </w:r>
      <w:proofErr w:type="gramEnd"/>
      <w:r w:rsidR="00315AB6" w:rsidRPr="00EC0573">
        <w:rPr>
          <w:rFonts w:hAnsi="標楷體" w:hint="eastAsia"/>
        </w:rPr>
        <w:t>○平</w:t>
      </w:r>
      <w:r w:rsidR="00315AB6" w:rsidRPr="00F64788">
        <w:rPr>
          <w:rFonts w:hAnsi="標楷體" w:hint="eastAsia"/>
        </w:rPr>
        <w:t>院長等多</w:t>
      </w:r>
      <w:r w:rsidR="00315AB6" w:rsidRPr="00F64788">
        <w:rPr>
          <w:rFonts w:hAnsi="標楷體" w:hint="eastAsia"/>
        </w:rPr>
        <w:lastRenderedPageBreak/>
        <w:t>位立委利用青島會館消防門，借道通過本院區離開，</w:t>
      </w:r>
      <w:proofErr w:type="gramStart"/>
      <w:r w:rsidR="00315AB6" w:rsidRPr="00F64788">
        <w:rPr>
          <w:rFonts w:hAnsi="標楷體" w:hint="eastAsia"/>
        </w:rPr>
        <w:t>陳抗民眾</w:t>
      </w:r>
      <w:proofErr w:type="gramEnd"/>
      <w:r w:rsidR="00315AB6" w:rsidRPr="00F64788">
        <w:rPr>
          <w:rFonts w:hAnsi="標楷體" w:hint="eastAsia"/>
        </w:rPr>
        <w:t>發覺後迅速聚集</w:t>
      </w:r>
      <w:r w:rsidR="00542EA6">
        <w:rPr>
          <w:rFonts w:hAnsi="標楷體" w:hint="eastAsia"/>
        </w:rPr>
        <w:t>圍</w:t>
      </w:r>
      <w:r w:rsidR="00315AB6" w:rsidRPr="00F64788">
        <w:rPr>
          <w:rFonts w:hAnsi="標楷體" w:hint="eastAsia"/>
        </w:rPr>
        <w:t>堵</w:t>
      </w:r>
      <w:r w:rsidR="00CA27AD">
        <w:rPr>
          <w:rFonts w:hAnsi="標楷體" w:hint="eastAsia"/>
        </w:rPr>
        <w:t>本院大門</w:t>
      </w:r>
      <w:r w:rsidR="00315AB6" w:rsidRPr="00F64788">
        <w:rPr>
          <w:rFonts w:hAnsi="標楷體" w:hint="eastAsia"/>
        </w:rPr>
        <w:t>，</w:t>
      </w:r>
      <w:r w:rsidR="00CA27AD">
        <w:rPr>
          <w:rFonts w:hAnsi="標楷體" w:hint="eastAsia"/>
        </w:rPr>
        <w:t>欲阻止渠等座車離去。</w:t>
      </w:r>
      <w:r w:rsidR="00315AB6" w:rsidRPr="00F64788">
        <w:rPr>
          <w:rFonts w:hAnsi="標楷體" w:hint="eastAsia"/>
        </w:rPr>
        <w:t>王○平院長</w:t>
      </w:r>
      <w:r w:rsidR="00542EA6">
        <w:rPr>
          <w:rFonts w:hAnsi="標楷體" w:hint="eastAsia"/>
        </w:rPr>
        <w:t>座車</w:t>
      </w:r>
      <w:r w:rsidR="00315AB6" w:rsidRPr="00F64788">
        <w:rPr>
          <w:rFonts w:hAnsi="標楷體" w:hint="eastAsia"/>
        </w:rPr>
        <w:t>經隨扈保六警力強力排除民眾阻擾始得以</w:t>
      </w:r>
      <w:r w:rsidR="00542EA6">
        <w:rPr>
          <w:rFonts w:hAnsi="標楷體" w:hint="eastAsia"/>
        </w:rPr>
        <w:t>駛</w:t>
      </w:r>
      <w:r w:rsidR="00315AB6" w:rsidRPr="00F64788">
        <w:rPr>
          <w:rFonts w:hAnsi="標楷體" w:hint="eastAsia"/>
        </w:rPr>
        <w:t>離</w:t>
      </w:r>
      <w:r w:rsidR="00CA27AD">
        <w:rPr>
          <w:rFonts w:hAnsi="標楷體" w:hint="eastAsia"/>
        </w:rPr>
        <w:t>，</w:t>
      </w:r>
      <w:r w:rsidR="00542EA6">
        <w:rPr>
          <w:rFonts w:hAnsi="標楷體" w:hint="eastAsia"/>
        </w:rPr>
        <w:t>此時本</w:t>
      </w:r>
      <w:r w:rsidR="00315AB6" w:rsidRPr="00F64788">
        <w:rPr>
          <w:rFonts w:hAnsi="標楷體" w:hint="eastAsia"/>
        </w:rPr>
        <w:t>院大門</w:t>
      </w:r>
      <w:r w:rsidR="00542EA6">
        <w:rPr>
          <w:rFonts w:hAnsi="標楷體" w:hint="eastAsia"/>
        </w:rPr>
        <w:t>仍有不少</w:t>
      </w:r>
      <w:r w:rsidR="00315AB6" w:rsidRPr="00F64788">
        <w:rPr>
          <w:rFonts w:hAnsi="標楷體" w:hint="eastAsia"/>
        </w:rPr>
        <w:t>民眾</w:t>
      </w:r>
      <w:r w:rsidR="00542EA6">
        <w:rPr>
          <w:rFonts w:hAnsi="標楷體" w:hint="eastAsia"/>
        </w:rPr>
        <w:t>持續</w:t>
      </w:r>
      <w:r w:rsidR="00315AB6" w:rsidRPr="00F64788">
        <w:rPr>
          <w:rFonts w:hAnsi="標楷體" w:hint="eastAsia"/>
        </w:rPr>
        <w:t>聚集滋事，警方竟未適時</w:t>
      </w:r>
      <w:r w:rsidR="00542EA6">
        <w:rPr>
          <w:rFonts w:hAnsi="標楷體" w:hint="eastAsia"/>
        </w:rPr>
        <w:t>通報</w:t>
      </w:r>
      <w:r w:rsidR="00315AB6" w:rsidRPr="00F64788">
        <w:rPr>
          <w:rFonts w:hAnsi="標楷體" w:hint="eastAsia"/>
        </w:rPr>
        <w:t>上級核派警力</w:t>
      </w:r>
      <w:r w:rsidR="00542EA6">
        <w:rPr>
          <w:rFonts w:hAnsi="標楷體" w:hint="eastAsia"/>
        </w:rPr>
        <w:t>馳</w:t>
      </w:r>
      <w:r w:rsidR="00315AB6" w:rsidRPr="00F64788">
        <w:rPr>
          <w:rFonts w:hAnsi="標楷體" w:hint="eastAsia"/>
        </w:rPr>
        <w:t>赴該</w:t>
      </w:r>
      <w:r w:rsidR="00542EA6">
        <w:rPr>
          <w:rFonts w:hAnsi="標楷體" w:hint="eastAsia"/>
        </w:rPr>
        <w:t>處</w:t>
      </w:r>
      <w:r w:rsidR="00315AB6" w:rsidRPr="00F64788">
        <w:rPr>
          <w:rFonts w:hAnsi="標楷體" w:hint="eastAsia"/>
        </w:rPr>
        <w:t>支援，</w:t>
      </w:r>
      <w:proofErr w:type="gramStart"/>
      <w:r w:rsidR="00542EA6">
        <w:rPr>
          <w:rFonts w:hAnsi="標楷體" w:hint="eastAsia"/>
        </w:rPr>
        <w:t>致</w:t>
      </w:r>
      <w:r w:rsidR="00315AB6" w:rsidRPr="00F64788">
        <w:rPr>
          <w:rFonts w:hAnsi="標楷體" w:hint="eastAsia"/>
        </w:rPr>
        <w:t>肇生</w:t>
      </w:r>
      <w:proofErr w:type="gramEnd"/>
      <w:r w:rsidR="00315AB6" w:rsidRPr="00F64788">
        <w:rPr>
          <w:rFonts w:hAnsi="標楷體" w:hint="eastAsia"/>
        </w:rPr>
        <w:t>蔡委員座車遭民眾</w:t>
      </w:r>
      <w:r w:rsidR="004E3842">
        <w:rPr>
          <w:rFonts w:hAnsi="標楷體" w:hint="eastAsia"/>
        </w:rPr>
        <w:t>滋</w:t>
      </w:r>
      <w:r w:rsidR="00315AB6" w:rsidRPr="00F64788">
        <w:rPr>
          <w:rFonts w:hAnsi="標楷體" w:hint="eastAsia"/>
        </w:rPr>
        <w:t>擾情事，</w:t>
      </w:r>
      <w:r w:rsidR="0042003A">
        <w:rPr>
          <w:rFonts w:hAnsi="標楷體" w:hint="eastAsia"/>
        </w:rPr>
        <w:t>其後</w:t>
      </w:r>
      <w:r w:rsidR="00315AB6" w:rsidRPr="00F64788">
        <w:rPr>
          <w:rFonts w:hAnsi="標楷體" w:hint="eastAsia"/>
        </w:rPr>
        <w:t>本院院長離院時</w:t>
      </w:r>
      <w:r w:rsidR="001447F9" w:rsidRPr="00F64788">
        <w:rPr>
          <w:rFonts w:hAnsi="標楷體" w:hint="eastAsia"/>
        </w:rPr>
        <w:t>行動</w:t>
      </w:r>
      <w:r w:rsidR="0042003A">
        <w:rPr>
          <w:rFonts w:hAnsi="標楷體" w:hint="eastAsia"/>
        </w:rPr>
        <w:t>亦</w:t>
      </w:r>
      <w:r w:rsidR="001447F9" w:rsidRPr="00F64788">
        <w:rPr>
          <w:rFonts w:hAnsi="標楷體" w:hint="eastAsia"/>
        </w:rPr>
        <w:t>受阻</w:t>
      </w:r>
      <w:r w:rsidR="0042003A">
        <w:rPr>
          <w:rFonts w:hAnsi="標楷體" w:hint="eastAsia"/>
        </w:rPr>
        <w:t>擾</w:t>
      </w:r>
      <w:r w:rsidR="001447F9" w:rsidRPr="00F64788">
        <w:rPr>
          <w:rFonts w:hAnsi="標楷體" w:hint="eastAsia"/>
        </w:rPr>
        <w:t>，</w:t>
      </w:r>
      <w:r w:rsidR="00CA27AD">
        <w:rPr>
          <w:rFonts w:hAnsi="標楷體" w:hint="eastAsia"/>
        </w:rPr>
        <w:t>以及</w:t>
      </w:r>
      <w:r w:rsidR="00542EA6">
        <w:rPr>
          <w:rFonts w:hAnsi="標楷體" w:hint="eastAsia"/>
        </w:rPr>
        <w:t>本院</w:t>
      </w:r>
      <w:r w:rsidR="00315AB6" w:rsidRPr="00F64788">
        <w:rPr>
          <w:rFonts w:hAnsi="標楷體" w:hint="eastAsia"/>
        </w:rPr>
        <w:t>車輛</w:t>
      </w:r>
      <w:proofErr w:type="gramStart"/>
      <w:r w:rsidR="00315AB6" w:rsidRPr="00F64788">
        <w:rPr>
          <w:rFonts w:hAnsi="標楷體" w:hint="eastAsia"/>
        </w:rPr>
        <w:t>須經</w:t>
      </w:r>
      <w:r w:rsidR="00EC0573">
        <w:rPr>
          <w:rFonts w:hAnsi="標楷體" w:hint="eastAsia"/>
          <w:color w:val="FF0000"/>
        </w:rPr>
        <w:t>滋擾</w:t>
      </w:r>
      <w:proofErr w:type="gramEnd"/>
      <w:r w:rsidR="0042003A">
        <w:rPr>
          <w:rFonts w:hAnsi="標楷體" w:hint="eastAsia"/>
        </w:rPr>
        <w:t>民眾</w:t>
      </w:r>
      <w:r w:rsidR="00315AB6" w:rsidRPr="00F64788">
        <w:rPr>
          <w:rFonts w:hAnsi="標楷體" w:hint="eastAsia"/>
        </w:rPr>
        <w:t>檢視始予放行</w:t>
      </w:r>
      <w:r w:rsidR="00542EA6">
        <w:rPr>
          <w:rFonts w:hAnsi="標楷體" w:hint="eastAsia"/>
        </w:rPr>
        <w:t>之憾事</w:t>
      </w:r>
      <w:r w:rsidR="001447F9" w:rsidRPr="00F64788">
        <w:rPr>
          <w:rFonts w:hAnsi="標楷體" w:hint="eastAsia"/>
        </w:rPr>
        <w:t>。</w:t>
      </w:r>
      <w:r w:rsidR="00B00C72" w:rsidRPr="00F64788">
        <w:rPr>
          <w:rFonts w:hAnsi="標楷體" w:hint="eastAsia"/>
        </w:rPr>
        <w:t>另4月27日</w:t>
      </w:r>
      <w:r w:rsidR="00176F3E" w:rsidRPr="00F64788">
        <w:rPr>
          <w:rFonts w:hAnsi="標楷體" w:hint="eastAsia"/>
        </w:rPr>
        <w:t>警方早已掌握</w:t>
      </w:r>
      <w:r w:rsidR="00CA27AD">
        <w:rPr>
          <w:rFonts w:hAnsi="標楷體" w:hint="eastAsia"/>
        </w:rPr>
        <w:t>集會遊行</w:t>
      </w:r>
      <w:r w:rsidR="00176F3E" w:rsidRPr="00F64788">
        <w:rPr>
          <w:rFonts w:hAnsi="標楷體" w:hint="eastAsia"/>
        </w:rPr>
        <w:t>為首者將</w:t>
      </w:r>
      <w:proofErr w:type="gramStart"/>
      <w:r w:rsidR="00176F3E" w:rsidRPr="00F64788">
        <w:rPr>
          <w:rFonts w:hAnsi="標楷體" w:hint="eastAsia"/>
        </w:rPr>
        <w:t>率眾占據</w:t>
      </w:r>
      <w:proofErr w:type="gramEnd"/>
      <w:r w:rsidR="00176F3E" w:rsidRPr="00F64788">
        <w:rPr>
          <w:rFonts w:hAnsi="標楷體" w:hint="eastAsia"/>
        </w:rPr>
        <w:t>忠孝西路，因該</w:t>
      </w:r>
      <w:proofErr w:type="gramStart"/>
      <w:r w:rsidR="00CA27AD">
        <w:rPr>
          <w:rFonts w:hAnsi="標楷體" w:hint="eastAsia"/>
        </w:rPr>
        <w:t>路</w:t>
      </w:r>
      <w:r w:rsidR="00176F3E" w:rsidRPr="00F64788">
        <w:rPr>
          <w:rFonts w:hAnsi="標楷體" w:hint="eastAsia"/>
        </w:rPr>
        <w:t>路幅</w:t>
      </w:r>
      <w:proofErr w:type="gramEnd"/>
      <w:r w:rsidR="00176F3E" w:rsidRPr="00F64788">
        <w:rPr>
          <w:rFonts w:hAnsi="標楷體" w:hint="eastAsia"/>
        </w:rPr>
        <w:t>寬廣</w:t>
      </w:r>
      <w:r w:rsidR="00CA27AD">
        <w:rPr>
          <w:rFonts w:hAnsi="標楷體" w:hint="eastAsia"/>
        </w:rPr>
        <w:t>屬</w:t>
      </w:r>
      <w:r w:rsidR="00176F3E" w:rsidRPr="00F64788">
        <w:rPr>
          <w:rFonts w:hAnsi="標楷體" w:hint="eastAsia"/>
        </w:rPr>
        <w:t>開放空間，且</w:t>
      </w:r>
      <w:r w:rsidR="00DE03EF">
        <w:rPr>
          <w:rFonts w:hAnsi="標楷體" w:hint="eastAsia"/>
        </w:rPr>
        <w:t>集會</w:t>
      </w:r>
      <w:r w:rsidR="00176F3E" w:rsidRPr="00F64788">
        <w:rPr>
          <w:rFonts w:hAnsi="標楷體" w:hint="eastAsia"/>
        </w:rPr>
        <w:t>群眾人數逾2萬人，遠較現場</w:t>
      </w:r>
      <w:r w:rsidR="00CA27AD">
        <w:rPr>
          <w:rFonts w:hAnsi="標楷體" w:hint="eastAsia"/>
        </w:rPr>
        <w:t>部署</w:t>
      </w:r>
      <w:r w:rsidR="00176F3E" w:rsidRPr="00F64788">
        <w:rPr>
          <w:rFonts w:hAnsi="標楷體" w:hint="eastAsia"/>
        </w:rPr>
        <w:t>警力為多，</w:t>
      </w:r>
      <w:r w:rsidR="00CA27AD">
        <w:rPr>
          <w:rFonts w:hAnsi="標楷體" w:hint="eastAsia"/>
        </w:rPr>
        <w:t>警方無法有效約制，</w:t>
      </w:r>
      <w:r w:rsidR="00DE03EF">
        <w:rPr>
          <w:rFonts w:hAnsi="標楷體" w:hint="eastAsia"/>
        </w:rPr>
        <w:t>至</w:t>
      </w:r>
      <w:r w:rsidR="00CA27AD">
        <w:rPr>
          <w:rFonts w:hAnsi="標楷體" w:hint="eastAsia"/>
        </w:rPr>
        <w:t>終</w:t>
      </w:r>
      <w:r w:rsidR="00176F3E" w:rsidRPr="00F64788">
        <w:rPr>
          <w:rFonts w:hAnsi="標楷體" w:hint="eastAsia"/>
        </w:rPr>
        <w:t>雙向6線</w:t>
      </w:r>
      <w:proofErr w:type="gramStart"/>
      <w:r w:rsidR="00176F3E" w:rsidRPr="00F64788">
        <w:rPr>
          <w:rFonts w:hAnsi="標楷體" w:hint="eastAsia"/>
        </w:rPr>
        <w:t>道均</w:t>
      </w:r>
      <w:r w:rsidR="00CA27AD">
        <w:rPr>
          <w:rFonts w:hAnsi="標楷體" w:hint="eastAsia"/>
        </w:rPr>
        <w:t>遭</w:t>
      </w:r>
      <w:r w:rsidR="00DE03EF">
        <w:rPr>
          <w:rFonts w:hAnsi="標楷體" w:hint="eastAsia"/>
        </w:rPr>
        <w:t>占</w:t>
      </w:r>
      <w:proofErr w:type="gramEnd"/>
      <w:r w:rsidR="00DE03EF">
        <w:rPr>
          <w:rFonts w:hAnsi="標楷體" w:hint="eastAsia"/>
        </w:rPr>
        <w:t>據，市中心交通</w:t>
      </w:r>
      <w:r w:rsidR="00176F3E" w:rsidRPr="00F64788">
        <w:rPr>
          <w:rFonts w:hAnsi="標楷體" w:hint="eastAsia"/>
        </w:rPr>
        <w:t>為之癱瘓。</w:t>
      </w:r>
      <w:r w:rsidR="00DC0B34">
        <w:rPr>
          <w:rFonts w:hAnsi="標楷體" w:hint="eastAsia"/>
        </w:rPr>
        <w:t>又</w:t>
      </w:r>
      <w:r w:rsidR="00176F3E" w:rsidRPr="00F64788">
        <w:rPr>
          <w:rFonts w:hAnsi="標楷體" w:hint="eastAsia"/>
        </w:rPr>
        <w:t>4月29日</w:t>
      </w:r>
      <w:proofErr w:type="gramStart"/>
      <w:r w:rsidR="00176F3E" w:rsidRPr="00F64788">
        <w:rPr>
          <w:rFonts w:hAnsi="標楷體" w:hint="eastAsia"/>
        </w:rPr>
        <w:t>盧</w:t>
      </w:r>
      <w:proofErr w:type="gramEnd"/>
      <w:r w:rsidR="00DC0B34" w:rsidRPr="00F64788">
        <w:rPr>
          <w:rFonts w:hAnsi="標楷體" w:hint="eastAsia"/>
        </w:rPr>
        <w:t>○辰</w:t>
      </w:r>
      <w:r w:rsidR="00176F3E" w:rsidRPr="00F64788">
        <w:rPr>
          <w:rFonts w:hAnsi="標楷體" w:hint="eastAsia"/>
        </w:rPr>
        <w:t>委員座車</w:t>
      </w:r>
      <w:r w:rsidR="00DC0B34">
        <w:rPr>
          <w:rFonts w:hAnsi="標楷體" w:hint="eastAsia"/>
        </w:rPr>
        <w:t>受阻於包圍群眾中，進退不得，內湖分局須先行集中警力</w:t>
      </w:r>
      <w:proofErr w:type="gramStart"/>
      <w:r w:rsidR="00DC0B34">
        <w:rPr>
          <w:rFonts w:hAnsi="標楷體" w:hint="eastAsia"/>
        </w:rPr>
        <w:t>俟</w:t>
      </w:r>
      <w:proofErr w:type="gramEnd"/>
      <w:r w:rsidR="00291139" w:rsidRPr="00F64788">
        <w:rPr>
          <w:rFonts w:hAnsi="標楷體" w:hint="eastAsia"/>
        </w:rPr>
        <w:t>行政院長、立法院長離開</w:t>
      </w:r>
      <w:r w:rsidR="00DC0B34">
        <w:rPr>
          <w:rFonts w:hAnsi="標楷體" w:hint="eastAsia"/>
        </w:rPr>
        <w:t>立院</w:t>
      </w:r>
      <w:r w:rsidR="00291139" w:rsidRPr="00F64788">
        <w:rPr>
          <w:rFonts w:hAnsi="標楷體" w:hint="eastAsia"/>
        </w:rPr>
        <w:t>後，</w:t>
      </w:r>
      <w:proofErr w:type="gramStart"/>
      <w:r w:rsidR="00DC0B34">
        <w:rPr>
          <w:rFonts w:hAnsi="標楷體" w:hint="eastAsia"/>
        </w:rPr>
        <w:t>方</w:t>
      </w:r>
      <w:r w:rsidR="0052177B">
        <w:rPr>
          <w:rFonts w:hAnsi="標楷體" w:hint="eastAsia"/>
        </w:rPr>
        <w:t>克</w:t>
      </w:r>
      <w:r w:rsidR="00291139" w:rsidRPr="00F64788">
        <w:rPr>
          <w:rFonts w:hAnsi="標楷體" w:hint="eastAsia"/>
        </w:rPr>
        <w:t>調派</w:t>
      </w:r>
      <w:proofErr w:type="gramEnd"/>
      <w:r w:rsidR="00DC0B34">
        <w:rPr>
          <w:rFonts w:hAnsi="標楷體" w:hint="eastAsia"/>
        </w:rPr>
        <w:t>員</w:t>
      </w:r>
      <w:r w:rsidR="00291139" w:rsidRPr="00F64788">
        <w:rPr>
          <w:rFonts w:hAnsi="標楷體" w:hint="eastAsia"/>
        </w:rPr>
        <w:t>警驅離阻擋群眾，</w:t>
      </w:r>
      <w:r w:rsidR="00DC0B34">
        <w:rPr>
          <w:rFonts w:hAnsi="標楷體" w:hint="eastAsia"/>
        </w:rPr>
        <w:t>協助</w:t>
      </w:r>
      <w:r w:rsidR="00291139" w:rsidRPr="00F64788">
        <w:rPr>
          <w:rFonts w:hAnsi="標楷體" w:hint="eastAsia"/>
        </w:rPr>
        <w:t>盧委員座車</w:t>
      </w:r>
      <w:r w:rsidR="00DC0B34">
        <w:rPr>
          <w:rFonts w:hAnsi="標楷體" w:hint="eastAsia"/>
        </w:rPr>
        <w:t>脫離</w:t>
      </w:r>
      <w:r w:rsidR="00291139" w:rsidRPr="00F64788">
        <w:rPr>
          <w:rFonts w:hAnsi="標楷體" w:hint="eastAsia"/>
        </w:rPr>
        <w:t>現場。</w:t>
      </w:r>
      <w:proofErr w:type="gramStart"/>
      <w:r w:rsidR="00291139" w:rsidRPr="00F64788">
        <w:rPr>
          <w:rFonts w:hAnsi="標楷體" w:hint="eastAsia"/>
        </w:rPr>
        <w:t>此外，</w:t>
      </w:r>
      <w:proofErr w:type="gramEnd"/>
      <w:r w:rsidR="00291139" w:rsidRPr="00F64788">
        <w:rPr>
          <w:rFonts w:hAnsi="標楷體" w:hint="eastAsia"/>
        </w:rPr>
        <w:t>當日</w:t>
      </w:r>
      <w:r w:rsidR="00A333C3">
        <w:rPr>
          <w:rFonts w:hAnsi="標楷體" w:hint="eastAsia"/>
          <w:szCs w:val="32"/>
        </w:rPr>
        <w:t>群</w:t>
      </w:r>
      <w:r w:rsidR="00291139" w:rsidRPr="00EC0573">
        <w:rPr>
          <w:rFonts w:hAnsi="標楷體" w:hint="eastAsia"/>
          <w:szCs w:val="32"/>
        </w:rPr>
        <w:t>眾圍堵</w:t>
      </w:r>
      <w:r w:rsidR="00DE03EF" w:rsidRPr="00EC0573">
        <w:rPr>
          <w:rFonts w:hAnsi="標楷體" w:hint="eastAsia"/>
          <w:szCs w:val="32"/>
        </w:rPr>
        <w:t>立</w:t>
      </w:r>
      <w:r w:rsidR="00291139" w:rsidRPr="00EC0573">
        <w:rPr>
          <w:rFonts w:hAnsi="標楷體" w:hint="eastAsia"/>
          <w:szCs w:val="32"/>
        </w:rPr>
        <w:t>委未果，旋即</w:t>
      </w:r>
      <w:r w:rsidR="00A6159F" w:rsidRPr="00EC0573">
        <w:rPr>
          <w:rFonts w:hAnsi="標楷體" w:hint="eastAsia"/>
          <w:szCs w:val="32"/>
        </w:rPr>
        <w:t>透過網路號召</w:t>
      </w:r>
      <w:r w:rsidR="00A333C3" w:rsidRPr="00EC0573">
        <w:rPr>
          <w:rFonts w:hAnsi="標楷體" w:hint="eastAsia"/>
          <w:szCs w:val="32"/>
        </w:rPr>
        <w:t>民</w:t>
      </w:r>
      <w:r w:rsidR="00A6159F" w:rsidRPr="00EC0573">
        <w:rPr>
          <w:rFonts w:hAnsi="標楷體" w:hint="eastAsia"/>
          <w:szCs w:val="32"/>
        </w:rPr>
        <w:t>眾</w:t>
      </w:r>
      <w:r w:rsidR="00291139" w:rsidRPr="00EC0573">
        <w:rPr>
          <w:rFonts w:hAnsi="標楷體" w:hint="eastAsia"/>
          <w:szCs w:val="32"/>
        </w:rPr>
        <w:t>轉往忠孝東路、林森南路口集結，盤據</w:t>
      </w:r>
      <w:r w:rsidR="00A6159F" w:rsidRPr="00EC0573">
        <w:rPr>
          <w:rFonts w:hAnsi="標楷體" w:hint="eastAsia"/>
          <w:szCs w:val="32"/>
        </w:rPr>
        <w:t>要道阻礙</w:t>
      </w:r>
      <w:r w:rsidR="00291139" w:rsidRPr="00EC0573">
        <w:rPr>
          <w:rFonts w:hAnsi="標楷體" w:hint="eastAsia"/>
          <w:szCs w:val="32"/>
        </w:rPr>
        <w:t>交通。</w:t>
      </w:r>
      <w:r w:rsidR="0052177B" w:rsidRPr="00EC0573">
        <w:rPr>
          <w:rFonts w:hAnsi="標楷體" w:hint="eastAsia"/>
          <w:szCs w:val="32"/>
        </w:rPr>
        <w:t>亦</w:t>
      </w:r>
      <w:r w:rsidR="00A6159F" w:rsidRPr="00EC0573">
        <w:rPr>
          <w:rFonts w:hAnsi="標楷體" w:hint="eastAsia"/>
          <w:szCs w:val="32"/>
        </w:rPr>
        <w:t>因現場</w:t>
      </w:r>
      <w:r w:rsidR="00291139" w:rsidRPr="00EC0573">
        <w:rPr>
          <w:rFonts w:hAnsi="標楷體" w:hint="eastAsia"/>
          <w:szCs w:val="32"/>
        </w:rPr>
        <w:t>警力調度不及，</w:t>
      </w:r>
      <w:proofErr w:type="gramStart"/>
      <w:r w:rsidR="00291139" w:rsidRPr="00EC0573">
        <w:rPr>
          <w:rFonts w:hAnsi="標楷體" w:hint="eastAsia"/>
          <w:szCs w:val="32"/>
        </w:rPr>
        <w:t>嗣</w:t>
      </w:r>
      <w:proofErr w:type="gramEnd"/>
      <w:r w:rsidR="00291139" w:rsidRPr="00EC0573">
        <w:rPr>
          <w:rFonts w:hAnsi="標楷體" w:hint="eastAsia"/>
          <w:szCs w:val="32"/>
        </w:rPr>
        <w:t>由中正第一分局派員到場疏導</w:t>
      </w:r>
      <w:r w:rsidR="0052177B" w:rsidRPr="00EC0573">
        <w:rPr>
          <w:rFonts w:hAnsi="標楷體" w:hint="eastAsia"/>
          <w:szCs w:val="32"/>
        </w:rPr>
        <w:t>後</w:t>
      </w:r>
      <w:r w:rsidR="00291139" w:rsidRPr="00EC0573">
        <w:rPr>
          <w:rFonts w:hAnsi="標楷體" w:hint="eastAsia"/>
          <w:szCs w:val="32"/>
        </w:rPr>
        <w:t>，</w:t>
      </w:r>
      <w:r w:rsidR="00A333C3" w:rsidRPr="00EC0573">
        <w:rPr>
          <w:rFonts w:hAnsi="標楷體" w:hint="eastAsia"/>
          <w:szCs w:val="32"/>
        </w:rPr>
        <w:t>群眾散去</w:t>
      </w:r>
      <w:r w:rsidR="00291139" w:rsidRPr="00EC0573">
        <w:rPr>
          <w:rFonts w:hAnsi="標楷體" w:hint="eastAsia"/>
          <w:szCs w:val="32"/>
        </w:rPr>
        <w:t>交通始恢復正常。</w:t>
      </w:r>
      <w:r w:rsidR="00A6159F" w:rsidRPr="00EC0573">
        <w:rPr>
          <w:rFonts w:hAnsi="標楷體" w:hint="eastAsia"/>
        </w:rPr>
        <w:t>是</w:t>
      </w:r>
      <w:proofErr w:type="gramStart"/>
      <w:r w:rsidR="00A6159F" w:rsidRPr="00EC0573">
        <w:rPr>
          <w:rFonts w:hAnsi="標楷體" w:hint="eastAsia"/>
        </w:rPr>
        <w:t>以</w:t>
      </w:r>
      <w:proofErr w:type="gramEnd"/>
      <w:r w:rsidR="00A6159F" w:rsidRPr="00EC0573">
        <w:rPr>
          <w:rFonts w:hAnsi="標楷體" w:hint="eastAsia"/>
        </w:rPr>
        <w:t>，臺北市警局允</w:t>
      </w:r>
      <w:r w:rsidR="008365AB" w:rsidRPr="00EC0573">
        <w:rPr>
          <w:rFonts w:hAnsi="標楷體" w:hint="eastAsia"/>
        </w:rPr>
        <w:t>應</w:t>
      </w:r>
      <w:r w:rsidR="00476EBD" w:rsidRPr="00EC0573">
        <w:rPr>
          <w:rFonts w:hAnsi="標楷體" w:hint="eastAsia"/>
        </w:rPr>
        <w:t>針對上開缺失情事</w:t>
      </w:r>
      <w:r w:rsidR="00236F52" w:rsidRPr="00EC0573">
        <w:rPr>
          <w:rFonts w:hAnsi="標楷體" w:hint="eastAsia"/>
        </w:rPr>
        <w:t>進行細部檢討，以</w:t>
      </w:r>
      <w:proofErr w:type="gramStart"/>
      <w:r w:rsidR="00236F52" w:rsidRPr="00EC0573">
        <w:rPr>
          <w:rFonts w:hAnsi="標楷體" w:hint="eastAsia"/>
        </w:rPr>
        <w:t>惕</w:t>
      </w:r>
      <w:proofErr w:type="gramEnd"/>
      <w:r w:rsidR="00236F52" w:rsidRPr="00EC0573">
        <w:rPr>
          <w:rFonts w:hAnsi="標楷體" w:hint="eastAsia"/>
        </w:rPr>
        <w:t>來茲。</w:t>
      </w:r>
    </w:p>
    <w:p w:rsidR="00DD378E" w:rsidRPr="00EC0573" w:rsidRDefault="00DD378E" w:rsidP="00DD378E">
      <w:pPr>
        <w:pStyle w:val="2"/>
        <w:ind w:left="1020" w:hanging="680"/>
        <w:rPr>
          <w:rFonts w:hAnsi="標楷體"/>
          <w:bCs w:val="0"/>
        </w:rPr>
      </w:pPr>
      <w:bookmarkStart w:id="41" w:name="_Toc2400394"/>
      <w:bookmarkStart w:id="42" w:name="_Toc4316188"/>
      <w:bookmarkStart w:id="43" w:name="_Toc4473329"/>
      <w:bookmarkStart w:id="44" w:name="_Toc69556896"/>
      <w:bookmarkStart w:id="45" w:name="_Toc69556945"/>
      <w:bookmarkStart w:id="46" w:name="_Toc69609819"/>
      <w:r w:rsidRPr="00EC0573">
        <w:rPr>
          <w:rFonts w:hAnsi="標楷體" w:hint="eastAsia"/>
          <w:b/>
        </w:rPr>
        <w:t>對於</w:t>
      </w:r>
      <w:r w:rsidR="00751155" w:rsidRPr="00EC0573">
        <w:rPr>
          <w:rFonts w:hAnsi="標楷體" w:hint="eastAsia"/>
          <w:b/>
        </w:rPr>
        <w:t>本案</w:t>
      </w:r>
      <w:r w:rsidR="008365AB" w:rsidRPr="00EC0573">
        <w:rPr>
          <w:rFonts w:hAnsi="標楷體" w:hint="eastAsia"/>
          <w:b/>
        </w:rPr>
        <w:t>中</w:t>
      </w:r>
      <w:r w:rsidRPr="00EC0573">
        <w:rPr>
          <w:rFonts w:hAnsi="標楷體" w:hint="eastAsia"/>
          <w:b/>
        </w:rPr>
        <w:t>立法委員及行政官員人身自由遭遇威脅</w:t>
      </w:r>
      <w:r w:rsidR="008365AB" w:rsidRPr="00EC0573">
        <w:rPr>
          <w:rFonts w:hAnsi="標楷體" w:hint="eastAsia"/>
          <w:b/>
        </w:rPr>
        <w:t>及員警執法受到暴力脅迫</w:t>
      </w:r>
      <w:r w:rsidRPr="00EC0573">
        <w:rPr>
          <w:rFonts w:hAnsi="標楷體" w:hint="eastAsia"/>
          <w:b/>
        </w:rPr>
        <w:t>等</w:t>
      </w:r>
      <w:r w:rsidR="00803A8B" w:rsidRPr="00EC0573">
        <w:rPr>
          <w:rFonts w:hAnsi="標楷體" w:hint="eastAsia"/>
          <w:b/>
        </w:rPr>
        <w:t>不法</w:t>
      </w:r>
      <w:r w:rsidRPr="00EC0573">
        <w:rPr>
          <w:rFonts w:hAnsi="標楷體" w:hint="eastAsia"/>
          <w:b/>
        </w:rPr>
        <w:t>情事，檢警雙方應加強合作</w:t>
      </w:r>
      <w:r w:rsidR="00751155" w:rsidRPr="00EC0573">
        <w:rPr>
          <w:rFonts w:hAnsi="標楷體" w:hint="eastAsia"/>
          <w:b/>
        </w:rPr>
        <w:t>，積極</w:t>
      </w:r>
      <w:proofErr w:type="gramStart"/>
      <w:r w:rsidR="00751155" w:rsidRPr="00EC0573">
        <w:rPr>
          <w:rFonts w:hAnsi="標楷體" w:hint="eastAsia"/>
          <w:b/>
        </w:rPr>
        <w:t>蒐</w:t>
      </w:r>
      <w:proofErr w:type="gramEnd"/>
      <w:r w:rsidR="00751155" w:rsidRPr="00EC0573">
        <w:rPr>
          <w:rFonts w:hAnsi="標楷體" w:hint="eastAsia"/>
          <w:b/>
        </w:rPr>
        <w:t>證</w:t>
      </w:r>
      <w:proofErr w:type="gramStart"/>
      <w:r w:rsidRPr="00EC0573">
        <w:rPr>
          <w:rFonts w:hAnsi="標楷體" w:hint="eastAsia"/>
          <w:b/>
        </w:rPr>
        <w:t>釐</w:t>
      </w:r>
      <w:proofErr w:type="gramEnd"/>
      <w:r w:rsidRPr="00EC0573">
        <w:rPr>
          <w:rFonts w:hAnsi="標楷體" w:hint="eastAsia"/>
          <w:b/>
        </w:rPr>
        <w:t>清相關案情，</w:t>
      </w:r>
      <w:r w:rsidR="00751155" w:rsidRPr="00EC0573">
        <w:rPr>
          <w:rFonts w:hAnsi="標楷體" w:hint="eastAsia"/>
          <w:b/>
        </w:rPr>
        <w:t>從速</w:t>
      </w:r>
      <w:r w:rsidRPr="00EC0573">
        <w:rPr>
          <w:rFonts w:hAnsi="標楷體" w:hint="eastAsia"/>
          <w:b/>
        </w:rPr>
        <w:t>完成</w:t>
      </w:r>
      <w:r w:rsidR="00803A8B" w:rsidRPr="00EC0573">
        <w:rPr>
          <w:rFonts w:hAnsi="標楷體" w:hint="eastAsia"/>
          <w:b/>
        </w:rPr>
        <w:t>偵辦及</w:t>
      </w:r>
      <w:r w:rsidR="00751155" w:rsidRPr="00EC0573">
        <w:rPr>
          <w:rFonts w:hAnsi="標楷體" w:hint="eastAsia"/>
          <w:b/>
        </w:rPr>
        <w:t>追訴</w:t>
      </w:r>
      <w:r w:rsidRPr="00EC0573">
        <w:rPr>
          <w:rFonts w:hAnsi="標楷體" w:hint="eastAsia"/>
          <w:b/>
        </w:rPr>
        <w:t>作為</w:t>
      </w:r>
      <w:r w:rsidR="00BF5A5B" w:rsidRPr="00EC0573">
        <w:rPr>
          <w:rFonts w:hAnsi="標楷體" w:hint="eastAsia"/>
          <w:b/>
        </w:rPr>
        <w:t>：</w:t>
      </w:r>
    </w:p>
    <w:p w:rsidR="001002E2" w:rsidRPr="00EC0573" w:rsidRDefault="00122F03" w:rsidP="00E054CC">
      <w:pPr>
        <w:pStyle w:val="3"/>
        <w:rPr>
          <w:rFonts w:hAnsi="標楷體"/>
        </w:rPr>
      </w:pPr>
      <w:r w:rsidRPr="00EC0573">
        <w:rPr>
          <w:rFonts w:hAnsi="標楷體" w:hint="eastAsia"/>
          <w:szCs w:val="32"/>
        </w:rPr>
        <w:t>據最高法院檢察署</w:t>
      </w:r>
      <w:r w:rsidR="00E054CC" w:rsidRPr="00EC0573">
        <w:rPr>
          <w:rFonts w:hAnsi="標楷體" w:hint="eastAsia"/>
          <w:szCs w:val="32"/>
        </w:rPr>
        <w:t>查</w:t>
      </w:r>
      <w:r w:rsidRPr="00EC0573">
        <w:rPr>
          <w:rFonts w:hAnsi="標楷體" w:hint="eastAsia"/>
          <w:szCs w:val="32"/>
        </w:rPr>
        <w:t>復</w:t>
      </w:r>
      <w:r w:rsidR="00E054CC" w:rsidRPr="00EC0573">
        <w:rPr>
          <w:rFonts w:hAnsi="標楷體" w:hint="eastAsia"/>
          <w:szCs w:val="32"/>
        </w:rPr>
        <w:t>本院</w:t>
      </w:r>
      <w:r w:rsidRPr="00EC0573">
        <w:rPr>
          <w:rFonts w:hAnsi="標楷體" w:hint="eastAsia"/>
          <w:szCs w:val="32"/>
        </w:rPr>
        <w:t>稱</w:t>
      </w:r>
      <w:r w:rsidR="00877CE7" w:rsidRPr="00EC0573">
        <w:rPr>
          <w:rFonts w:hAnsi="標楷體" w:hint="eastAsia"/>
          <w:szCs w:val="32"/>
        </w:rPr>
        <w:t>：</w:t>
      </w:r>
    </w:p>
    <w:p w:rsidR="00115508" w:rsidRPr="00F64788" w:rsidRDefault="00122F03" w:rsidP="00314F41">
      <w:pPr>
        <w:pStyle w:val="4"/>
        <w:ind w:leftChars="300" w:left="1700" w:hangingChars="200" w:hanging="680"/>
        <w:rPr>
          <w:rFonts w:hAnsi="標楷體"/>
          <w:szCs w:val="32"/>
        </w:rPr>
      </w:pPr>
      <w:r w:rsidRPr="00F64788">
        <w:rPr>
          <w:rFonts w:hAnsi="標楷體"/>
          <w:bCs/>
        </w:rPr>
        <w:t>103</w:t>
      </w:r>
      <w:r w:rsidRPr="00F64788">
        <w:rPr>
          <w:rFonts w:hAnsi="標楷體" w:hint="eastAsia"/>
          <w:bCs/>
        </w:rPr>
        <w:t>年</w:t>
      </w:r>
      <w:r w:rsidRPr="00F64788">
        <w:rPr>
          <w:rFonts w:hAnsi="標楷體"/>
          <w:bCs/>
        </w:rPr>
        <w:t>4</w:t>
      </w:r>
      <w:r w:rsidRPr="00F64788">
        <w:rPr>
          <w:rFonts w:hAnsi="標楷體" w:hint="eastAsia"/>
        </w:rPr>
        <w:t>月</w:t>
      </w:r>
      <w:r w:rsidRPr="00F64788">
        <w:rPr>
          <w:rFonts w:hAnsi="標楷體"/>
        </w:rPr>
        <w:t>25</w:t>
      </w:r>
      <w:r w:rsidRPr="00F64788">
        <w:rPr>
          <w:rFonts w:hAnsi="標楷體" w:hint="eastAsia"/>
        </w:rPr>
        <w:t>日、</w:t>
      </w:r>
      <w:r w:rsidRPr="00F64788">
        <w:rPr>
          <w:rFonts w:hAnsi="標楷體"/>
        </w:rPr>
        <w:t>27</w:t>
      </w:r>
      <w:r w:rsidRPr="00F64788">
        <w:rPr>
          <w:rFonts w:hAnsi="標楷體" w:hint="eastAsia"/>
        </w:rPr>
        <w:t>日、</w:t>
      </w:r>
      <w:r w:rsidRPr="00F64788">
        <w:rPr>
          <w:rFonts w:hAnsi="標楷體"/>
        </w:rPr>
        <w:t>29</w:t>
      </w:r>
      <w:r w:rsidRPr="00F64788">
        <w:rPr>
          <w:rFonts w:hAnsi="標楷體" w:hint="eastAsia"/>
        </w:rPr>
        <w:t>日所發生之群眾事件，若已達</w:t>
      </w:r>
      <w:r w:rsidRPr="00F64788">
        <w:rPr>
          <w:rFonts w:hAnsi="標楷體" w:hint="eastAsia"/>
          <w:szCs w:val="32"/>
        </w:rPr>
        <w:t>刑事不法</w:t>
      </w:r>
      <w:r w:rsidRPr="00F64788">
        <w:rPr>
          <w:rFonts w:hAnsi="標楷體" w:hint="eastAsia"/>
        </w:rPr>
        <w:t>程度，得視具體狀況，查其行為態樣是否構成下列之犯罪：</w:t>
      </w:r>
    </w:p>
    <w:p w:rsidR="00115508" w:rsidRPr="00F64788" w:rsidRDefault="00122F03" w:rsidP="00115508">
      <w:pPr>
        <w:pStyle w:val="5"/>
        <w:rPr>
          <w:rFonts w:hAnsi="標楷體"/>
          <w:szCs w:val="32"/>
        </w:rPr>
      </w:pPr>
      <w:r w:rsidRPr="00F64788">
        <w:rPr>
          <w:rFonts w:hAnsi="標楷體" w:hint="eastAsia"/>
        </w:rPr>
        <w:lastRenderedPageBreak/>
        <w:t>刑法第135條（對於執行職務公務員強暴脅迫罪）、</w:t>
      </w:r>
      <w:r w:rsidR="00E054CC" w:rsidRPr="00F64788">
        <w:rPr>
          <w:rFonts w:hAnsi="標楷體" w:hint="eastAsia"/>
        </w:rPr>
        <w:t>第136條（聚眾妨害公務</w:t>
      </w:r>
      <w:r w:rsidR="00115508" w:rsidRPr="00F64788">
        <w:rPr>
          <w:rFonts w:hAnsi="標楷體" w:hint="eastAsia"/>
        </w:rPr>
        <w:t>罪</w:t>
      </w:r>
      <w:r w:rsidR="00E054CC" w:rsidRPr="00F64788">
        <w:rPr>
          <w:rFonts w:hAnsi="標楷體" w:hint="eastAsia"/>
        </w:rPr>
        <w:t>）、第138條（毀損公務上掌管之文書物品罪）、第140條（侮辱公務員及公署罪）、第149條（公然聚眾不</w:t>
      </w:r>
      <w:r w:rsidR="001002E2" w:rsidRPr="00F64788">
        <w:rPr>
          <w:rFonts w:hAnsi="標楷體" w:hint="eastAsia"/>
        </w:rPr>
        <w:t>遵</w:t>
      </w:r>
      <w:r w:rsidR="00E054CC" w:rsidRPr="00F64788">
        <w:rPr>
          <w:rFonts w:hAnsi="標楷體" w:hint="eastAsia"/>
        </w:rPr>
        <w:t>命令解散罪）、第150條（聚眾強暴脅迫罪）、第185條（妨害公眾往來安全罪）、</w:t>
      </w:r>
      <w:r w:rsidR="00877CE7" w:rsidRPr="00F64788">
        <w:rPr>
          <w:rFonts w:hAnsi="標楷體" w:hint="eastAsia"/>
        </w:rPr>
        <w:t>第276條（過失致死罪）、第304條（強制罪）、第309條（公然</w:t>
      </w:r>
      <w:r w:rsidR="00F069E9" w:rsidRPr="00F64788">
        <w:rPr>
          <w:rFonts w:hAnsi="標楷體" w:hint="eastAsia"/>
        </w:rPr>
        <w:t>侮辱罪</w:t>
      </w:r>
      <w:r w:rsidR="00877CE7" w:rsidRPr="00F64788">
        <w:rPr>
          <w:rFonts w:hAnsi="標楷體" w:hint="eastAsia"/>
        </w:rPr>
        <w:t>）、第354條（毀損器物罪）</w:t>
      </w:r>
      <w:r w:rsidR="00115508" w:rsidRPr="00F64788">
        <w:rPr>
          <w:rFonts w:hAnsi="標楷體" w:hint="eastAsia"/>
        </w:rPr>
        <w:t>。</w:t>
      </w:r>
    </w:p>
    <w:p w:rsidR="00122F03" w:rsidRPr="00F64788" w:rsidRDefault="001002E2" w:rsidP="00115508">
      <w:pPr>
        <w:pStyle w:val="5"/>
        <w:rPr>
          <w:rFonts w:hAnsi="標楷體"/>
          <w:szCs w:val="32"/>
        </w:rPr>
      </w:pPr>
      <w:r w:rsidRPr="00F64788">
        <w:rPr>
          <w:rFonts w:hAnsi="標楷體" w:hint="eastAsia"/>
        </w:rPr>
        <w:t>集會遊行法第29條</w:t>
      </w:r>
      <w:r w:rsidRPr="00F64788">
        <w:rPr>
          <w:rFonts w:hAnsi="標楷體" w:hint="eastAsia"/>
          <w:szCs w:val="32"/>
        </w:rPr>
        <w:t>：「集會、遊行經該管主管機關命令解散而不解散，仍繼續舉行經制止而不遵從，首謀者處</w:t>
      </w:r>
      <w:r w:rsidRPr="00F64788">
        <w:rPr>
          <w:rFonts w:hAnsi="標楷體"/>
          <w:szCs w:val="32"/>
        </w:rPr>
        <w:t xml:space="preserve">2 </w:t>
      </w:r>
      <w:r w:rsidRPr="00F64788">
        <w:rPr>
          <w:rFonts w:hAnsi="標楷體" w:hint="eastAsia"/>
          <w:szCs w:val="32"/>
        </w:rPr>
        <w:t>年以下有期徒刑或拘役。」</w:t>
      </w:r>
      <w:r w:rsidRPr="00F64788">
        <w:rPr>
          <w:rFonts w:hAnsi="標楷體" w:hint="eastAsia"/>
        </w:rPr>
        <w:t>同法第30條：</w:t>
      </w:r>
      <w:r w:rsidRPr="00F64788">
        <w:rPr>
          <w:rFonts w:hAnsi="標楷體" w:hint="eastAsia"/>
          <w:szCs w:val="32"/>
        </w:rPr>
        <w:t>「集會、遊行時，以文字、圖畫、演說或他法，侮辱、誹謗公署、依法執行職務之公務員或他人者，處</w:t>
      </w:r>
      <w:r w:rsidRPr="00F64788">
        <w:rPr>
          <w:rFonts w:hAnsi="標楷體"/>
          <w:szCs w:val="32"/>
        </w:rPr>
        <w:t>2</w:t>
      </w:r>
      <w:r w:rsidRPr="00F64788">
        <w:rPr>
          <w:rFonts w:hAnsi="標楷體" w:hint="eastAsia"/>
          <w:szCs w:val="32"/>
        </w:rPr>
        <w:t>年以下有期徒刑、拘役或科或</w:t>
      </w:r>
      <w:proofErr w:type="gramStart"/>
      <w:r w:rsidRPr="00F64788">
        <w:rPr>
          <w:rFonts w:hAnsi="標楷體" w:hint="eastAsia"/>
          <w:szCs w:val="32"/>
        </w:rPr>
        <w:t>併</w:t>
      </w:r>
      <w:proofErr w:type="gramEnd"/>
      <w:r w:rsidRPr="00F64788">
        <w:rPr>
          <w:rFonts w:hAnsi="標楷體" w:hint="eastAsia"/>
          <w:szCs w:val="32"/>
        </w:rPr>
        <w:t>科新台幣</w:t>
      </w:r>
      <w:r w:rsidRPr="00F64788">
        <w:rPr>
          <w:rFonts w:hAnsi="標楷體"/>
          <w:szCs w:val="32"/>
        </w:rPr>
        <w:t>6</w:t>
      </w:r>
      <w:r w:rsidRPr="00F64788">
        <w:rPr>
          <w:rFonts w:hAnsi="標楷體" w:hint="eastAsia"/>
          <w:szCs w:val="32"/>
        </w:rPr>
        <w:t>萬元以下罰金。」</w:t>
      </w:r>
    </w:p>
    <w:p w:rsidR="00115508" w:rsidRPr="00F64788" w:rsidRDefault="005E4628" w:rsidP="00314F41">
      <w:pPr>
        <w:pStyle w:val="4"/>
        <w:ind w:leftChars="300" w:left="1700" w:hangingChars="200" w:hanging="680"/>
        <w:rPr>
          <w:rFonts w:hAnsi="標楷體"/>
          <w:szCs w:val="32"/>
        </w:rPr>
      </w:pPr>
      <w:r w:rsidRPr="00F64788">
        <w:rPr>
          <w:rFonts w:hAnsi="標楷體" w:hint="eastAsia"/>
          <w:szCs w:val="32"/>
        </w:rPr>
        <w:t>至上</w:t>
      </w:r>
      <w:proofErr w:type="gramStart"/>
      <w:r w:rsidR="00115508" w:rsidRPr="00F64788">
        <w:rPr>
          <w:rFonts w:hAnsi="標楷體" w:hint="eastAsia"/>
          <w:szCs w:val="32"/>
        </w:rPr>
        <w:t>揭</w:t>
      </w:r>
      <w:proofErr w:type="gramEnd"/>
      <w:r w:rsidR="00115508" w:rsidRPr="00F64788">
        <w:rPr>
          <w:rFonts w:hAnsi="標楷體" w:hint="eastAsia"/>
          <w:szCs w:val="32"/>
        </w:rPr>
        <w:t>群眾事件若未達刑事不法程度，</w:t>
      </w:r>
      <w:r w:rsidR="00140911" w:rsidRPr="00F64788">
        <w:rPr>
          <w:rFonts w:hAnsi="標楷體" w:hint="eastAsia"/>
          <w:szCs w:val="32"/>
        </w:rPr>
        <w:t>警察為制止或排除現行危害公共安全、公共秩序或個人生命、身體、自由、名譽或財產之行為或事實狀況，</w:t>
      </w:r>
      <w:r w:rsidR="00115508" w:rsidRPr="00F64788">
        <w:rPr>
          <w:rFonts w:hAnsi="標楷體" w:hint="eastAsia"/>
          <w:szCs w:val="32"/>
        </w:rPr>
        <w:t>得視具體狀況，查</w:t>
      </w:r>
      <w:r w:rsidR="00320036">
        <w:rPr>
          <w:rFonts w:hAnsi="標楷體" w:hint="eastAsia"/>
          <w:szCs w:val="32"/>
        </w:rPr>
        <w:t>其</w:t>
      </w:r>
      <w:r w:rsidR="00115508" w:rsidRPr="00F64788">
        <w:rPr>
          <w:rFonts w:hAnsi="標楷體" w:hint="eastAsia"/>
          <w:szCs w:val="32"/>
        </w:rPr>
        <w:t>所為是否違反警察職權行使法第</w:t>
      </w:r>
      <w:r w:rsidR="00115508" w:rsidRPr="00F64788">
        <w:rPr>
          <w:rFonts w:hAnsi="標楷體"/>
          <w:szCs w:val="32"/>
        </w:rPr>
        <w:t>19</w:t>
      </w:r>
      <w:r w:rsidR="00115508" w:rsidRPr="00F64788">
        <w:rPr>
          <w:rFonts w:hAnsi="標楷體" w:hint="eastAsia"/>
          <w:szCs w:val="32"/>
        </w:rPr>
        <w:t>條第</w:t>
      </w:r>
      <w:r w:rsidR="00115508" w:rsidRPr="00F64788">
        <w:rPr>
          <w:rFonts w:hAnsi="標楷體"/>
          <w:szCs w:val="32"/>
        </w:rPr>
        <w:t>4</w:t>
      </w:r>
      <w:r w:rsidR="00115508" w:rsidRPr="00F64788">
        <w:rPr>
          <w:rFonts w:hAnsi="標楷體" w:hint="eastAsia"/>
          <w:szCs w:val="32"/>
        </w:rPr>
        <w:t>款</w:t>
      </w:r>
      <w:r w:rsidR="00140911" w:rsidRPr="00F64788">
        <w:rPr>
          <w:rFonts w:hAnsi="標楷體" w:hint="eastAsia"/>
          <w:szCs w:val="32"/>
        </w:rPr>
        <w:t>、第21條、第27條、第28條規定，而分別為管束、驅離、禁止進入</w:t>
      </w:r>
      <w:r w:rsidRPr="00F64788">
        <w:rPr>
          <w:rFonts w:hAnsi="標楷體" w:hint="eastAsia"/>
          <w:szCs w:val="32"/>
        </w:rPr>
        <w:t>之處理；或有違反社會秩序維護法第64條第1款、第68條第2款、第73條第1款之情事，</w:t>
      </w:r>
      <w:r w:rsidR="008F387B" w:rsidRPr="00F64788">
        <w:rPr>
          <w:rFonts w:hAnsi="標楷體" w:hint="eastAsia"/>
          <w:szCs w:val="32"/>
        </w:rPr>
        <w:t>由警察</w:t>
      </w:r>
      <w:r w:rsidRPr="00F64788">
        <w:rPr>
          <w:rFonts w:hAnsi="標楷體" w:hint="eastAsia"/>
          <w:szCs w:val="32"/>
        </w:rPr>
        <w:t>分別為</w:t>
      </w:r>
      <w:r w:rsidR="00140911" w:rsidRPr="00F64788">
        <w:rPr>
          <w:rFonts w:hAnsi="標楷體" w:hint="eastAsia"/>
          <w:szCs w:val="32"/>
        </w:rPr>
        <w:t>拘留、罰鍰</w:t>
      </w:r>
      <w:r w:rsidRPr="00F64788">
        <w:rPr>
          <w:rFonts w:hAnsi="標楷體" w:hint="eastAsia"/>
          <w:szCs w:val="32"/>
        </w:rPr>
        <w:t>或申誡之處分；或因</w:t>
      </w:r>
      <w:r w:rsidR="008F387B" w:rsidRPr="00F64788">
        <w:rPr>
          <w:rFonts w:hAnsi="標楷體" w:hint="eastAsia"/>
          <w:szCs w:val="32"/>
        </w:rPr>
        <w:t>違反集會遊行法第22條第2項但書、第</w:t>
      </w:r>
      <w:r w:rsidR="008F387B" w:rsidRPr="00F64788">
        <w:rPr>
          <w:rFonts w:hAnsi="標楷體"/>
          <w:szCs w:val="32"/>
        </w:rPr>
        <w:t>25</w:t>
      </w:r>
      <w:r w:rsidR="008F387B" w:rsidRPr="00F64788">
        <w:rPr>
          <w:rFonts w:hAnsi="標楷體" w:hint="eastAsia"/>
          <w:szCs w:val="32"/>
        </w:rPr>
        <w:t>條、第28條情形，分別處以罰鍰或予以警告、制止、命令解散。</w:t>
      </w:r>
    </w:p>
    <w:p w:rsidR="00505668" w:rsidRPr="00F64788" w:rsidRDefault="00F069E9" w:rsidP="00505668">
      <w:pPr>
        <w:pStyle w:val="3"/>
        <w:rPr>
          <w:rFonts w:hAnsi="標楷體"/>
        </w:rPr>
      </w:pPr>
      <w:r w:rsidRPr="00F64788">
        <w:rPr>
          <w:rFonts w:hAnsi="標楷體" w:hint="eastAsia"/>
          <w:szCs w:val="32"/>
        </w:rPr>
        <w:t>上</w:t>
      </w:r>
      <w:proofErr w:type="gramStart"/>
      <w:r w:rsidRPr="00F64788">
        <w:rPr>
          <w:rFonts w:hAnsi="標楷體" w:hint="eastAsia"/>
          <w:szCs w:val="32"/>
        </w:rPr>
        <w:t>揭陳抗</w:t>
      </w:r>
      <w:proofErr w:type="gramEnd"/>
      <w:r w:rsidRPr="00F64788">
        <w:rPr>
          <w:rFonts w:hAnsi="標楷體" w:hint="eastAsia"/>
          <w:szCs w:val="32"/>
        </w:rPr>
        <w:t>群眾可能涉及之違法</w:t>
      </w:r>
      <w:r w:rsidR="00EF661E">
        <w:rPr>
          <w:rFonts w:hAnsi="標楷體" w:hint="eastAsia"/>
          <w:color w:val="FF0000"/>
          <w:szCs w:val="32"/>
        </w:rPr>
        <w:t>情事</w:t>
      </w:r>
      <w:r w:rsidRPr="00F64788">
        <w:rPr>
          <w:rFonts w:hAnsi="標楷體" w:hint="eastAsia"/>
          <w:szCs w:val="32"/>
        </w:rPr>
        <w:t>，除刑法第276條過失致人於死罪、第309條</w:t>
      </w:r>
      <w:r w:rsidRPr="00F64788">
        <w:rPr>
          <w:rFonts w:hAnsi="標楷體" w:hint="eastAsia"/>
        </w:rPr>
        <w:t>公然侮辱罪</w:t>
      </w:r>
      <w:r w:rsidRPr="00F64788">
        <w:rPr>
          <w:rFonts w:hAnsi="標楷體" w:hint="eastAsia"/>
          <w:szCs w:val="32"/>
        </w:rPr>
        <w:t>、第354條</w:t>
      </w:r>
      <w:r w:rsidRPr="00F64788">
        <w:rPr>
          <w:rFonts w:hAnsi="標楷體" w:hint="eastAsia"/>
        </w:rPr>
        <w:t>毀損器物罪屬</w:t>
      </w:r>
      <w:r w:rsidR="00320036">
        <w:rPr>
          <w:rFonts w:hAnsi="標楷體" w:hint="eastAsia"/>
        </w:rPr>
        <w:t>於</w:t>
      </w:r>
      <w:r w:rsidRPr="00F64788">
        <w:rPr>
          <w:rFonts w:hAnsi="標楷體" w:hint="eastAsia"/>
        </w:rPr>
        <w:t>告訴乃論</w:t>
      </w:r>
      <w:proofErr w:type="gramStart"/>
      <w:r w:rsidRPr="00F64788">
        <w:rPr>
          <w:rFonts w:hAnsi="標楷體" w:hint="eastAsia"/>
        </w:rPr>
        <w:t>之罪外</w:t>
      </w:r>
      <w:proofErr w:type="gramEnd"/>
      <w:r w:rsidRPr="00F64788">
        <w:rPr>
          <w:rFonts w:hAnsi="標楷體" w:hint="eastAsia"/>
        </w:rPr>
        <w:t>，</w:t>
      </w:r>
      <w:proofErr w:type="gramStart"/>
      <w:r w:rsidRPr="00F64788">
        <w:rPr>
          <w:rFonts w:hAnsi="標楷體" w:hint="eastAsia"/>
        </w:rPr>
        <w:t>餘均屬公訴</w:t>
      </w:r>
      <w:proofErr w:type="gramEnd"/>
      <w:r w:rsidRPr="00F64788">
        <w:rPr>
          <w:rFonts w:hAnsi="標楷體" w:hint="eastAsia"/>
        </w:rPr>
        <w:t>罪</w:t>
      </w:r>
      <w:r w:rsidR="00320036">
        <w:rPr>
          <w:rFonts w:hAnsi="標楷體" w:hint="eastAsia"/>
        </w:rPr>
        <w:lastRenderedPageBreak/>
        <w:t>範疇</w:t>
      </w:r>
      <w:r w:rsidRPr="00F64788">
        <w:rPr>
          <w:rFonts w:hAnsi="標楷體" w:hint="eastAsia"/>
        </w:rPr>
        <w:t>。另</w:t>
      </w:r>
      <w:r w:rsidR="00CA15F6" w:rsidRPr="00F64788">
        <w:rPr>
          <w:rFonts w:hAnsi="標楷體" w:hint="eastAsia"/>
          <w:szCs w:val="32"/>
        </w:rPr>
        <w:t>按刑事訴訟法第88條第1、2項規定，現行犯，不問何人得逕行逮捕之，</w:t>
      </w:r>
      <w:r w:rsidRPr="00F64788">
        <w:rPr>
          <w:rFonts w:hAnsi="標楷體" w:hint="eastAsia"/>
          <w:szCs w:val="32"/>
        </w:rPr>
        <w:t>又</w:t>
      </w:r>
      <w:r w:rsidR="00CA15F6" w:rsidRPr="00F64788">
        <w:rPr>
          <w:rFonts w:hAnsi="標楷體" w:hint="eastAsia"/>
          <w:szCs w:val="32"/>
        </w:rPr>
        <w:t>犯罪在實施中或實施後即時發覺者，為現行犯。故現場實施</w:t>
      </w:r>
      <w:proofErr w:type="gramStart"/>
      <w:r w:rsidR="00CA15F6" w:rsidRPr="00F64788">
        <w:rPr>
          <w:rFonts w:hAnsi="標楷體" w:hint="eastAsia"/>
          <w:szCs w:val="32"/>
        </w:rPr>
        <w:t>犯罪行為均為現行犯</w:t>
      </w:r>
      <w:proofErr w:type="gramEnd"/>
      <w:r w:rsidR="00CA15F6" w:rsidRPr="00F64788">
        <w:rPr>
          <w:rFonts w:hAnsi="標楷體" w:hint="eastAsia"/>
          <w:szCs w:val="32"/>
        </w:rPr>
        <w:t>，警方對於暴力攻擊之民眾應立即逮捕，以嚇阻不法，如未能即時發覺或現場不宜逕行逮捕者，亦應於事後依</w:t>
      </w:r>
      <w:proofErr w:type="gramStart"/>
      <w:r w:rsidR="00CA15F6" w:rsidRPr="00F64788">
        <w:rPr>
          <w:rFonts w:hAnsi="標楷體" w:hint="eastAsia"/>
          <w:szCs w:val="32"/>
        </w:rPr>
        <w:t>蒐</w:t>
      </w:r>
      <w:proofErr w:type="gramEnd"/>
      <w:r w:rsidR="00CA15F6" w:rsidRPr="00F64788">
        <w:rPr>
          <w:rFonts w:hAnsi="標楷體" w:hint="eastAsia"/>
          <w:szCs w:val="32"/>
        </w:rPr>
        <w:t>證畫面，儘速依法偵辦</w:t>
      </w:r>
      <w:r w:rsidRPr="00F64788">
        <w:rPr>
          <w:rFonts w:hAnsi="標楷體" w:hint="eastAsia"/>
          <w:szCs w:val="32"/>
        </w:rPr>
        <w:t>並</w:t>
      </w:r>
      <w:r w:rsidR="00CA15F6" w:rsidRPr="00F64788">
        <w:rPr>
          <w:rFonts w:hAnsi="標楷體" w:hint="eastAsia"/>
          <w:szCs w:val="32"/>
        </w:rPr>
        <w:t>移送</w:t>
      </w:r>
      <w:r w:rsidRPr="00F64788">
        <w:rPr>
          <w:rFonts w:hAnsi="標楷體" w:hint="eastAsia"/>
          <w:szCs w:val="32"/>
        </w:rPr>
        <w:t>檢察署。本案警方偵辦上揭群眾違法事件，</w:t>
      </w:r>
      <w:r w:rsidR="00320036" w:rsidRPr="00F64788">
        <w:rPr>
          <w:rFonts w:hAnsi="標楷體" w:hint="eastAsia"/>
          <w:szCs w:val="32"/>
        </w:rPr>
        <w:t>經核</w:t>
      </w:r>
      <w:r w:rsidRPr="00F64788">
        <w:rPr>
          <w:rFonts w:hAnsi="標楷體" w:hint="eastAsia"/>
          <w:szCs w:val="32"/>
        </w:rPr>
        <w:t>有</w:t>
      </w:r>
      <w:r w:rsidR="00320036">
        <w:rPr>
          <w:rFonts w:hAnsi="標楷體" w:hint="eastAsia"/>
          <w:szCs w:val="32"/>
        </w:rPr>
        <w:t>下列</w:t>
      </w:r>
      <w:r w:rsidRPr="00F64788">
        <w:rPr>
          <w:rFonts w:hAnsi="標楷體" w:hint="eastAsia"/>
          <w:szCs w:val="32"/>
        </w:rPr>
        <w:t>應行檢討之處</w:t>
      </w:r>
      <w:r w:rsidR="00B47D01" w:rsidRPr="00F64788">
        <w:rPr>
          <w:rFonts w:hAnsi="標楷體" w:hint="eastAsia"/>
        </w:rPr>
        <w:t>（參閱附表</w:t>
      </w:r>
      <w:r w:rsidR="00B47D01">
        <w:rPr>
          <w:rFonts w:hAnsi="標楷體" w:hint="eastAsia"/>
        </w:rPr>
        <w:t>一</w:t>
      </w:r>
      <w:r w:rsidR="00B47D01" w:rsidRPr="00F64788">
        <w:rPr>
          <w:rFonts w:hAnsi="標楷體" w:hint="eastAsia"/>
        </w:rPr>
        <w:t>）</w:t>
      </w:r>
      <w:r w:rsidRPr="00F64788">
        <w:rPr>
          <w:rFonts w:hAnsi="標楷體" w:hint="eastAsia"/>
          <w:szCs w:val="32"/>
        </w:rPr>
        <w:t>：</w:t>
      </w:r>
    </w:p>
    <w:p w:rsidR="00F069E9" w:rsidRPr="00F64788" w:rsidRDefault="00621B8C" w:rsidP="00314F41">
      <w:pPr>
        <w:pStyle w:val="4"/>
        <w:ind w:leftChars="300" w:left="1700" w:hangingChars="200" w:hanging="680"/>
        <w:rPr>
          <w:rFonts w:hAnsi="標楷體"/>
        </w:rPr>
      </w:pPr>
      <w:r w:rsidRPr="00F64788">
        <w:rPr>
          <w:rFonts w:hAnsi="標楷體" w:hint="eastAsia"/>
        </w:rPr>
        <w:t>警方送辦之犯罪嫌疑人，</w:t>
      </w:r>
      <w:r w:rsidR="00305921" w:rsidRPr="00F64788">
        <w:rPr>
          <w:rFonts w:hAnsi="標楷體" w:hint="eastAsia"/>
        </w:rPr>
        <w:t>相較於</w:t>
      </w:r>
      <w:proofErr w:type="gramStart"/>
      <w:r w:rsidR="00305921" w:rsidRPr="00F64788">
        <w:rPr>
          <w:rFonts w:hAnsi="標楷體" w:hint="eastAsia"/>
        </w:rPr>
        <w:t>在場涉</w:t>
      </w:r>
      <w:proofErr w:type="gramEnd"/>
      <w:r w:rsidR="00305921" w:rsidRPr="00F64788">
        <w:rPr>
          <w:rFonts w:hAnsi="標楷體" w:hint="eastAsia"/>
        </w:rPr>
        <w:t>案群眾之規模，</w:t>
      </w:r>
      <w:r w:rsidRPr="00F64788">
        <w:rPr>
          <w:rFonts w:hAnsi="標楷體" w:hint="eastAsia"/>
        </w:rPr>
        <w:t>其</w:t>
      </w:r>
      <w:r w:rsidR="00305921" w:rsidRPr="00F64788">
        <w:rPr>
          <w:rFonts w:hAnsi="標楷體" w:hint="eastAsia"/>
        </w:rPr>
        <w:t>比例顯然偏低</w:t>
      </w:r>
      <w:r w:rsidR="00782D55" w:rsidRPr="00F64788">
        <w:rPr>
          <w:rFonts w:hAnsi="標楷體" w:hint="eastAsia"/>
        </w:rPr>
        <w:t>，無法</w:t>
      </w:r>
      <w:r w:rsidR="00320036">
        <w:rPr>
          <w:rFonts w:hAnsi="標楷體" w:hint="eastAsia"/>
        </w:rPr>
        <w:t>有效</w:t>
      </w:r>
      <w:r w:rsidR="00EF661E">
        <w:rPr>
          <w:rFonts w:hAnsi="標楷體" w:hint="eastAsia"/>
        </w:rPr>
        <w:t>發揮嚇阻不法之</w:t>
      </w:r>
      <w:r w:rsidR="00782D55" w:rsidRPr="00F64788">
        <w:rPr>
          <w:rFonts w:hAnsi="標楷體" w:hint="eastAsia"/>
        </w:rPr>
        <w:t>效</w:t>
      </w:r>
      <w:r w:rsidR="00EF661E">
        <w:rPr>
          <w:rFonts w:hAnsi="標楷體" w:hint="eastAsia"/>
        </w:rPr>
        <w:t>果</w:t>
      </w:r>
      <w:r w:rsidR="00305921" w:rsidRPr="00F64788">
        <w:rPr>
          <w:rFonts w:hAnsi="標楷體" w:hint="eastAsia"/>
        </w:rPr>
        <w:t>：</w:t>
      </w:r>
    </w:p>
    <w:p w:rsidR="00305921" w:rsidRPr="00F64788" w:rsidRDefault="00621B8C" w:rsidP="00305921">
      <w:pPr>
        <w:pStyle w:val="5"/>
        <w:rPr>
          <w:rFonts w:hAnsi="標楷體"/>
        </w:rPr>
      </w:pPr>
      <w:r w:rsidRPr="00F64788">
        <w:rPr>
          <w:rFonts w:hAnsi="標楷體" w:hint="eastAsia"/>
        </w:rPr>
        <w:t>103年</w:t>
      </w:r>
      <w:r w:rsidR="00305921" w:rsidRPr="00F64788">
        <w:rPr>
          <w:rFonts w:hAnsi="標楷體" w:hint="eastAsia"/>
        </w:rPr>
        <w:t>4月25日群眾包圍立法院及本院</w:t>
      </w:r>
      <w:r w:rsidR="00320036">
        <w:rPr>
          <w:rFonts w:hAnsi="標楷體" w:hint="eastAsia"/>
        </w:rPr>
        <w:t>各</w:t>
      </w:r>
      <w:r w:rsidR="00305921" w:rsidRPr="00F64788">
        <w:rPr>
          <w:rFonts w:hAnsi="標楷體" w:hint="eastAsia"/>
        </w:rPr>
        <w:t>出</w:t>
      </w:r>
      <w:r w:rsidR="00320036">
        <w:rPr>
          <w:rFonts w:hAnsi="標楷體" w:hint="eastAsia"/>
        </w:rPr>
        <w:t>入</w:t>
      </w:r>
      <w:r w:rsidR="00305921" w:rsidRPr="00F64788">
        <w:rPr>
          <w:rFonts w:hAnsi="標楷體" w:hint="eastAsia"/>
        </w:rPr>
        <w:t>口，企圖阻撓立委與官員離開之滋擾事件，警方</w:t>
      </w:r>
      <w:proofErr w:type="gramStart"/>
      <w:r w:rsidR="00305921" w:rsidRPr="00F64788">
        <w:rPr>
          <w:rFonts w:hAnsi="標楷體" w:hint="eastAsia"/>
        </w:rPr>
        <w:t>估計在場群眾</w:t>
      </w:r>
      <w:proofErr w:type="gramEnd"/>
      <w:r w:rsidR="00305921" w:rsidRPr="00F64788">
        <w:rPr>
          <w:rFonts w:hAnsi="標楷體" w:hint="eastAsia"/>
        </w:rPr>
        <w:t>最多時約有960人</w:t>
      </w:r>
      <w:r w:rsidR="00001314" w:rsidRPr="00F64788">
        <w:rPr>
          <w:rFonts w:hAnsi="標楷體" w:hint="eastAsia"/>
        </w:rPr>
        <w:t>，當日</w:t>
      </w:r>
      <w:r w:rsidR="00574A94" w:rsidRPr="00F64788">
        <w:rPr>
          <w:rFonts w:hAnsi="標楷體" w:hint="eastAsia"/>
        </w:rPr>
        <w:t>群眾過激</w:t>
      </w:r>
      <w:r w:rsidR="00320036">
        <w:rPr>
          <w:rFonts w:hAnsi="標楷體" w:hint="eastAsia"/>
        </w:rPr>
        <w:t>不法</w:t>
      </w:r>
      <w:r w:rsidR="00001314" w:rsidRPr="00F64788">
        <w:rPr>
          <w:rFonts w:hAnsi="標楷體" w:hint="eastAsia"/>
        </w:rPr>
        <w:t>之</w:t>
      </w:r>
      <w:r w:rsidR="00574A94" w:rsidRPr="00F64788">
        <w:rPr>
          <w:rFonts w:hAnsi="標楷體" w:hint="eastAsia"/>
        </w:rPr>
        <w:t>舉動</w:t>
      </w:r>
      <w:r w:rsidR="0072706D" w:rsidRPr="00F64788">
        <w:rPr>
          <w:rFonts w:hAnsi="標楷體" w:hint="eastAsia"/>
        </w:rPr>
        <w:t>造成5名員警受傷</w:t>
      </w:r>
      <w:r w:rsidR="00305921" w:rsidRPr="00F64788">
        <w:rPr>
          <w:rFonts w:hAnsi="標楷體" w:hint="eastAsia"/>
        </w:rPr>
        <w:t>。</w:t>
      </w:r>
      <w:proofErr w:type="gramStart"/>
      <w:r w:rsidR="00574A94" w:rsidRPr="00F64788">
        <w:rPr>
          <w:rFonts w:hAnsi="標楷體" w:hint="eastAsia"/>
        </w:rPr>
        <w:t>惟</w:t>
      </w:r>
      <w:proofErr w:type="gramEnd"/>
      <w:r w:rsidR="00305921" w:rsidRPr="00F64788">
        <w:rPr>
          <w:rFonts w:hAnsi="標楷體" w:hint="eastAsia"/>
        </w:rPr>
        <w:t>警方</w:t>
      </w:r>
      <w:r w:rsidR="0072706D" w:rsidRPr="00F64788">
        <w:rPr>
          <w:rFonts w:hAnsi="標楷體" w:hint="eastAsia"/>
          <w:szCs w:val="32"/>
        </w:rPr>
        <w:t>著手偵辦</w:t>
      </w:r>
      <w:r w:rsidRPr="00F64788">
        <w:rPr>
          <w:rFonts w:hAnsi="標楷體" w:hint="eastAsia"/>
          <w:szCs w:val="32"/>
        </w:rPr>
        <w:t>（含</w:t>
      </w:r>
      <w:r w:rsidR="00320036">
        <w:rPr>
          <w:rFonts w:hAnsi="標楷體" w:hint="eastAsia"/>
          <w:szCs w:val="32"/>
        </w:rPr>
        <w:t>已</w:t>
      </w:r>
      <w:r w:rsidRPr="00F64788">
        <w:rPr>
          <w:rFonts w:hAnsi="標楷體" w:hint="eastAsia"/>
          <w:szCs w:val="32"/>
        </w:rPr>
        <w:t>移送）</w:t>
      </w:r>
      <w:r w:rsidR="0072706D" w:rsidRPr="00F64788">
        <w:rPr>
          <w:rFonts w:hAnsi="標楷體" w:hint="eastAsia"/>
          <w:szCs w:val="32"/>
        </w:rPr>
        <w:t>者，</w:t>
      </w:r>
      <w:r w:rsidR="00001314" w:rsidRPr="00F64788">
        <w:rPr>
          <w:rFonts w:hAnsi="標楷體" w:hint="eastAsia"/>
          <w:szCs w:val="32"/>
        </w:rPr>
        <w:t>經查</w:t>
      </w:r>
      <w:r w:rsidR="0072706D" w:rsidRPr="00F64788">
        <w:rPr>
          <w:rFonts w:hAnsi="標楷體" w:hint="eastAsia"/>
          <w:szCs w:val="32"/>
        </w:rPr>
        <w:t>僅有</w:t>
      </w:r>
      <w:r w:rsidR="00305921" w:rsidRPr="00F64788">
        <w:rPr>
          <w:rFonts w:hAnsi="標楷體" w:hint="eastAsia"/>
          <w:szCs w:val="32"/>
        </w:rPr>
        <w:t>林○燕</w:t>
      </w:r>
      <w:r w:rsidR="0072706D" w:rsidRPr="00F64788">
        <w:rPr>
          <w:rFonts w:hAnsi="標楷體" w:hint="eastAsia"/>
          <w:szCs w:val="32"/>
        </w:rPr>
        <w:t>、</w:t>
      </w:r>
      <w:r w:rsidR="00305921" w:rsidRPr="00F64788">
        <w:rPr>
          <w:rFonts w:hAnsi="標楷體" w:hint="eastAsia"/>
          <w:szCs w:val="32"/>
        </w:rPr>
        <w:t>朱○玄</w:t>
      </w:r>
      <w:r w:rsidR="0072706D" w:rsidRPr="00F64788">
        <w:rPr>
          <w:rFonts w:hAnsi="標楷體" w:hint="eastAsia"/>
          <w:szCs w:val="32"/>
        </w:rPr>
        <w:t>等6人</w:t>
      </w:r>
      <w:r w:rsidR="00305921" w:rsidRPr="00F64788">
        <w:rPr>
          <w:rFonts w:hAnsi="標楷體" w:hint="eastAsia"/>
          <w:szCs w:val="32"/>
        </w:rPr>
        <w:t>。</w:t>
      </w:r>
    </w:p>
    <w:p w:rsidR="009679F7" w:rsidRPr="00F64788" w:rsidRDefault="00621B8C" w:rsidP="00305921">
      <w:pPr>
        <w:pStyle w:val="5"/>
        <w:rPr>
          <w:rFonts w:hAnsi="標楷體"/>
        </w:rPr>
      </w:pPr>
      <w:r w:rsidRPr="00F64788">
        <w:rPr>
          <w:rFonts w:hAnsi="標楷體" w:hint="eastAsia"/>
        </w:rPr>
        <w:t>103年4月27、28日群眾反核集會遊行並</w:t>
      </w:r>
      <w:r w:rsidR="004F6619">
        <w:rPr>
          <w:rFonts w:hAnsi="標楷體" w:hint="eastAsia"/>
        </w:rPr>
        <w:t>占領</w:t>
      </w:r>
      <w:r w:rsidRPr="00F64788">
        <w:rPr>
          <w:rFonts w:hAnsi="標楷體" w:hint="eastAsia"/>
        </w:rPr>
        <w:t>忠孝西路之滋擾事件，警方估計參與群眾</w:t>
      </w:r>
      <w:r w:rsidR="00574A94" w:rsidRPr="00F64788">
        <w:rPr>
          <w:rFonts w:hAnsi="標楷體" w:hint="eastAsia"/>
        </w:rPr>
        <w:t>最多約2萬7,200餘人。</w:t>
      </w:r>
      <w:proofErr w:type="gramStart"/>
      <w:r w:rsidR="00574A94" w:rsidRPr="00F64788">
        <w:rPr>
          <w:rFonts w:hAnsi="標楷體" w:hint="eastAsia"/>
          <w:szCs w:val="32"/>
        </w:rPr>
        <w:t>因陳抗群眾</w:t>
      </w:r>
      <w:proofErr w:type="gramEnd"/>
      <w:r w:rsidR="00574A94" w:rsidRPr="00F64788">
        <w:rPr>
          <w:rFonts w:hAnsi="標楷體" w:hint="eastAsia"/>
          <w:szCs w:val="32"/>
        </w:rPr>
        <w:t>盤據忠孝東、西路交通要道，故意癱瘓交通等違法行為，嚴重影響民眾生活，警方被迫於28日2時42分執行淨空勤務。</w:t>
      </w:r>
      <w:proofErr w:type="gramStart"/>
      <w:r w:rsidR="00574A94" w:rsidRPr="00F64788">
        <w:rPr>
          <w:rFonts w:hAnsi="標楷體" w:hint="eastAsia"/>
          <w:szCs w:val="32"/>
        </w:rPr>
        <w:t>惟</w:t>
      </w:r>
      <w:proofErr w:type="gramEnd"/>
      <w:r w:rsidR="00574A94" w:rsidRPr="00F64788">
        <w:rPr>
          <w:rFonts w:hAnsi="標楷體" w:hint="eastAsia"/>
          <w:szCs w:val="32"/>
        </w:rPr>
        <w:t>執行過程中，抗議民眾不時對執行員警推擠、叫囂、甚至朝忠孝西路地下道執行淨空員警丟擲石塊、酒瓶、</w:t>
      </w:r>
      <w:proofErr w:type="gramStart"/>
      <w:r w:rsidR="00574A94" w:rsidRPr="00F64788">
        <w:rPr>
          <w:rFonts w:hAnsi="標楷體" w:hint="eastAsia"/>
          <w:szCs w:val="32"/>
        </w:rPr>
        <w:t>交通錐及潑</w:t>
      </w:r>
      <w:proofErr w:type="gramEnd"/>
      <w:r w:rsidR="00574A94" w:rsidRPr="00F64788">
        <w:rPr>
          <w:rFonts w:hAnsi="標楷體" w:hint="eastAsia"/>
          <w:szCs w:val="32"/>
        </w:rPr>
        <w:t>灑不明油性液體之攻擊行為；復於6時許，警察隊伍行至中山南路與忠孝東路口，</w:t>
      </w:r>
      <w:r w:rsidR="005D6049" w:rsidRPr="00F64788">
        <w:rPr>
          <w:rFonts w:hAnsi="標楷體" w:hint="eastAsia"/>
          <w:szCs w:val="32"/>
        </w:rPr>
        <w:t>由於</w:t>
      </w:r>
      <w:r w:rsidR="00574A94" w:rsidRPr="00F64788">
        <w:rPr>
          <w:rFonts w:hAnsi="標楷體" w:hint="eastAsia"/>
          <w:szCs w:val="32"/>
        </w:rPr>
        <w:t>該路口西側行人陸橋上聚集人數</w:t>
      </w:r>
      <w:proofErr w:type="gramStart"/>
      <w:r w:rsidR="00574A94" w:rsidRPr="00F64788">
        <w:rPr>
          <w:rFonts w:hAnsi="標楷體" w:hint="eastAsia"/>
          <w:szCs w:val="32"/>
        </w:rPr>
        <w:t>眾多，且有丟</w:t>
      </w:r>
      <w:proofErr w:type="gramEnd"/>
      <w:r w:rsidR="00574A94" w:rsidRPr="00F64788">
        <w:rPr>
          <w:rFonts w:hAnsi="標楷體" w:hint="eastAsia"/>
          <w:szCs w:val="32"/>
        </w:rPr>
        <w:t>擲危險物品之行為，臺北市警局刑事警察大隊特勤中隊及中正第一分局實施柔性勸離，因民眾不</w:t>
      </w:r>
      <w:r w:rsidR="00574A94" w:rsidRPr="00F64788">
        <w:rPr>
          <w:rFonts w:hAnsi="標楷體" w:hint="eastAsia"/>
          <w:szCs w:val="32"/>
        </w:rPr>
        <w:lastRenderedPageBreak/>
        <w:t>願配合離去，警方執</w:t>
      </w:r>
      <w:r w:rsidR="00AA3214" w:rsidRPr="00F64788">
        <w:rPr>
          <w:rFonts w:hAnsi="標楷體" w:hint="eastAsia"/>
          <w:szCs w:val="32"/>
        </w:rPr>
        <w:t>行淨空勤務</w:t>
      </w:r>
      <w:r w:rsidR="00574A94" w:rsidRPr="00F64788">
        <w:rPr>
          <w:rFonts w:hAnsi="標楷體" w:hint="eastAsia"/>
          <w:szCs w:val="32"/>
        </w:rPr>
        <w:t>過程中造成77名員警受傷。然</w:t>
      </w:r>
      <w:r w:rsidR="005D6049" w:rsidRPr="00F64788">
        <w:rPr>
          <w:rFonts w:hAnsi="標楷體" w:hint="eastAsia"/>
          <w:szCs w:val="32"/>
        </w:rPr>
        <w:t>該</w:t>
      </w:r>
      <w:r w:rsidR="00AA3214">
        <w:rPr>
          <w:rFonts w:hAnsi="標楷體" w:hint="eastAsia"/>
          <w:szCs w:val="32"/>
        </w:rPr>
        <w:t>次</w:t>
      </w:r>
      <w:r w:rsidR="00574A94" w:rsidRPr="00F64788">
        <w:rPr>
          <w:rFonts w:hAnsi="標楷體" w:hint="eastAsia"/>
          <w:szCs w:val="32"/>
        </w:rPr>
        <w:t>重大群眾違法事件，</w:t>
      </w:r>
      <w:r w:rsidR="005D6049" w:rsidRPr="00F64788">
        <w:rPr>
          <w:rFonts w:hAnsi="標楷體" w:hint="eastAsia"/>
          <w:szCs w:val="32"/>
        </w:rPr>
        <w:t>警方</w:t>
      </w:r>
      <w:r w:rsidR="00574A94" w:rsidRPr="00F64788">
        <w:rPr>
          <w:rFonts w:hAnsi="標楷體" w:hint="eastAsia"/>
          <w:szCs w:val="32"/>
        </w:rPr>
        <w:t>偵辦</w:t>
      </w:r>
      <w:r w:rsidR="00782D55" w:rsidRPr="00F64788">
        <w:rPr>
          <w:rFonts w:hAnsi="標楷體" w:hint="eastAsia"/>
          <w:szCs w:val="32"/>
        </w:rPr>
        <w:t>中</w:t>
      </w:r>
      <w:r w:rsidR="005D6049" w:rsidRPr="00F64788">
        <w:rPr>
          <w:rFonts w:hAnsi="標楷體" w:hint="eastAsia"/>
          <w:szCs w:val="32"/>
        </w:rPr>
        <w:t>之</w:t>
      </w:r>
      <w:r w:rsidR="00574A94" w:rsidRPr="00F64788">
        <w:rPr>
          <w:rFonts w:hAnsi="標楷體" w:hint="eastAsia"/>
          <w:szCs w:val="32"/>
        </w:rPr>
        <w:t>對象</w:t>
      </w:r>
      <w:r w:rsidR="00AA3214">
        <w:rPr>
          <w:rFonts w:hAnsi="標楷體" w:hint="eastAsia"/>
          <w:szCs w:val="32"/>
        </w:rPr>
        <w:t>，經查僅有</w:t>
      </w:r>
      <w:proofErr w:type="gramStart"/>
      <w:r w:rsidR="00782D55" w:rsidRPr="00F64788">
        <w:rPr>
          <w:rFonts w:hAnsi="標楷體" w:hint="eastAsia"/>
          <w:szCs w:val="32"/>
        </w:rPr>
        <w:t>蔡</w:t>
      </w:r>
      <w:proofErr w:type="gramEnd"/>
      <w:r w:rsidR="00782D55" w:rsidRPr="00F64788">
        <w:rPr>
          <w:rFonts w:hAnsi="標楷體" w:hint="eastAsia"/>
          <w:szCs w:val="32"/>
        </w:rPr>
        <w:t>○岳、</w:t>
      </w:r>
      <w:proofErr w:type="gramStart"/>
      <w:r w:rsidR="00782D55" w:rsidRPr="00F64788">
        <w:rPr>
          <w:rFonts w:hAnsi="標楷體" w:hint="eastAsia"/>
          <w:szCs w:val="32"/>
        </w:rPr>
        <w:t>蔡○勳</w:t>
      </w:r>
      <w:proofErr w:type="gramEnd"/>
      <w:r w:rsidR="00AA3214">
        <w:rPr>
          <w:rFonts w:hAnsi="標楷體" w:hint="eastAsia"/>
          <w:szCs w:val="32"/>
        </w:rPr>
        <w:t>等</w:t>
      </w:r>
      <w:r w:rsidR="00782D55" w:rsidRPr="00F64788">
        <w:rPr>
          <w:rFonts w:hAnsi="標楷體" w:hint="eastAsia"/>
          <w:szCs w:val="32"/>
        </w:rPr>
        <w:t>10人。</w:t>
      </w:r>
    </w:p>
    <w:p w:rsidR="005D6049" w:rsidRPr="00F64788" w:rsidRDefault="00B9155C" w:rsidP="00305921">
      <w:pPr>
        <w:pStyle w:val="5"/>
        <w:rPr>
          <w:rFonts w:hAnsi="標楷體"/>
        </w:rPr>
      </w:pPr>
      <w:r w:rsidRPr="00F64788">
        <w:rPr>
          <w:rFonts w:hAnsi="標楷體" w:hint="eastAsia"/>
          <w:szCs w:val="32"/>
        </w:rPr>
        <w:t>103年4月29日「公投護臺灣聯盟」之支持群眾，又對立委進行身分盤查、跟蹤隨行、言語辱罵、阻攔座車、打破車窗等行為，其後更盤據忠孝東路與林森南路口，阻止民眾及交通工具通行逾</w:t>
      </w:r>
      <w:r w:rsidR="00AA3214">
        <w:rPr>
          <w:rFonts w:hAnsi="標楷體" w:hint="eastAsia"/>
          <w:szCs w:val="32"/>
        </w:rPr>
        <w:t>1</w:t>
      </w:r>
      <w:r w:rsidRPr="00F64788">
        <w:rPr>
          <w:rFonts w:hAnsi="標楷體" w:hint="eastAsia"/>
          <w:szCs w:val="32"/>
        </w:rPr>
        <w:t>小時，交通因而癱瘓，警方估算立法院周邊參與活動之群眾約1,250人。</w:t>
      </w:r>
      <w:r w:rsidR="00085E72" w:rsidRPr="00F64788">
        <w:rPr>
          <w:rFonts w:hAnsi="標楷體" w:hint="eastAsia"/>
          <w:szCs w:val="32"/>
        </w:rPr>
        <w:t>當日警方於執法過程中有16名員警受傷，</w:t>
      </w:r>
      <w:r w:rsidR="00811FAA" w:rsidRPr="00F64788">
        <w:rPr>
          <w:rFonts w:hAnsi="標楷體" w:hint="eastAsia"/>
          <w:szCs w:val="32"/>
        </w:rPr>
        <w:t>惟僅於現場逮捕10名施暴民眾，並以現行犯移送</w:t>
      </w:r>
      <w:proofErr w:type="gramStart"/>
      <w:r w:rsidR="00811FAA" w:rsidRPr="00F64788">
        <w:rPr>
          <w:rFonts w:hAnsi="標楷體" w:hint="eastAsia"/>
          <w:szCs w:val="32"/>
        </w:rPr>
        <w:t>臺</w:t>
      </w:r>
      <w:proofErr w:type="gramEnd"/>
      <w:r w:rsidR="00811FAA" w:rsidRPr="00F64788">
        <w:rPr>
          <w:rFonts w:hAnsi="標楷體" w:hint="eastAsia"/>
          <w:szCs w:val="32"/>
        </w:rPr>
        <w:t>北地檢署偵辦。</w:t>
      </w:r>
    </w:p>
    <w:p w:rsidR="0072706D" w:rsidRPr="00F64788" w:rsidRDefault="0072706D" w:rsidP="00314F41">
      <w:pPr>
        <w:pStyle w:val="4"/>
        <w:ind w:leftChars="300" w:left="1700" w:hangingChars="200" w:hanging="680"/>
        <w:rPr>
          <w:rFonts w:hAnsi="標楷體"/>
        </w:rPr>
      </w:pPr>
      <w:r w:rsidRPr="00F64788">
        <w:rPr>
          <w:rFonts w:hAnsi="標楷體" w:hint="eastAsia"/>
        </w:rPr>
        <w:t>警方</w:t>
      </w:r>
      <w:r w:rsidR="00EF437B" w:rsidRPr="00F64788">
        <w:rPr>
          <w:rFonts w:hAnsi="標楷體" w:hint="eastAsia"/>
          <w:szCs w:val="32"/>
        </w:rPr>
        <w:t>偵辦</w:t>
      </w:r>
      <w:proofErr w:type="gramStart"/>
      <w:r w:rsidR="00EF437B">
        <w:rPr>
          <w:rFonts w:hAnsi="標楷體" w:hint="eastAsia"/>
          <w:szCs w:val="32"/>
        </w:rPr>
        <w:t>不法陳抗群眾</w:t>
      </w:r>
      <w:proofErr w:type="gramEnd"/>
      <w:r w:rsidR="00EF437B">
        <w:rPr>
          <w:rFonts w:hAnsi="標楷體" w:hint="eastAsia"/>
          <w:szCs w:val="32"/>
        </w:rPr>
        <w:t>之</w:t>
      </w:r>
      <w:r w:rsidR="00EF437B" w:rsidRPr="00F64788">
        <w:rPr>
          <w:rFonts w:hAnsi="標楷體" w:hint="eastAsia"/>
          <w:szCs w:val="32"/>
        </w:rPr>
        <w:t>進度過於緩慢，</w:t>
      </w:r>
      <w:r w:rsidR="00EF437B">
        <w:rPr>
          <w:rFonts w:hAnsi="標楷體" w:hint="eastAsia"/>
          <w:szCs w:val="32"/>
        </w:rPr>
        <w:t>無法彰顯檢肅犯罪</w:t>
      </w:r>
      <w:r w:rsidR="00EF437B" w:rsidRPr="00EF437B">
        <w:rPr>
          <w:rFonts w:hAnsi="標楷體" w:hint="eastAsia"/>
        </w:rPr>
        <w:t>之執法效能</w:t>
      </w:r>
      <w:r w:rsidRPr="00F64788">
        <w:rPr>
          <w:rFonts w:hAnsi="標楷體" w:hint="eastAsia"/>
        </w:rPr>
        <w:t>：</w:t>
      </w:r>
    </w:p>
    <w:p w:rsidR="0072706D" w:rsidRPr="00F64788" w:rsidRDefault="00EF437B" w:rsidP="00102A0C">
      <w:pPr>
        <w:pStyle w:val="5"/>
        <w:rPr>
          <w:rFonts w:hAnsi="標楷體"/>
        </w:rPr>
      </w:pPr>
      <w:r>
        <w:rPr>
          <w:rFonts w:hAnsi="標楷體" w:hint="eastAsia"/>
        </w:rPr>
        <w:t>103年</w:t>
      </w:r>
      <w:r w:rsidR="0072706D" w:rsidRPr="00F64788">
        <w:rPr>
          <w:rFonts w:hAnsi="標楷體" w:hint="eastAsia"/>
        </w:rPr>
        <w:t>4月25日群眾滋擾事件，警方</w:t>
      </w:r>
      <w:r w:rsidR="0072706D" w:rsidRPr="00F64788">
        <w:rPr>
          <w:rFonts w:hAnsi="標楷體" w:hint="eastAsia"/>
          <w:szCs w:val="32"/>
        </w:rPr>
        <w:t>當日</w:t>
      </w:r>
      <w:r>
        <w:rPr>
          <w:rFonts w:hAnsi="標楷體" w:hint="eastAsia"/>
          <w:szCs w:val="32"/>
        </w:rPr>
        <w:t>除受理</w:t>
      </w:r>
      <w:r w:rsidR="0072706D" w:rsidRPr="00F64788">
        <w:rPr>
          <w:rFonts w:hAnsi="標楷體" w:hint="eastAsia"/>
          <w:szCs w:val="32"/>
        </w:rPr>
        <w:t>蔡委員駕駛黃○</w:t>
      </w:r>
      <w:proofErr w:type="gramStart"/>
      <w:r w:rsidR="0072706D" w:rsidRPr="00F64788">
        <w:rPr>
          <w:rFonts w:hAnsi="標楷體" w:hint="eastAsia"/>
          <w:szCs w:val="32"/>
        </w:rPr>
        <w:t>忠提告</w:t>
      </w:r>
      <w:proofErr w:type="gramEnd"/>
      <w:r w:rsidR="0072706D" w:rsidRPr="00F64788">
        <w:rPr>
          <w:rFonts w:hAnsi="標楷體" w:hint="eastAsia"/>
          <w:szCs w:val="32"/>
        </w:rPr>
        <w:t>，依妨害自由、毀損等罪嫌，以現行犯逮捕移送林○燕及朱○玄等2人</w:t>
      </w:r>
      <w:r w:rsidR="00102A0C" w:rsidRPr="00F64788">
        <w:rPr>
          <w:rFonts w:hAnsi="標楷體" w:hint="eastAsia"/>
          <w:szCs w:val="32"/>
        </w:rPr>
        <w:t>至</w:t>
      </w:r>
      <w:proofErr w:type="gramStart"/>
      <w:r w:rsidR="00102A0C" w:rsidRPr="00F64788">
        <w:rPr>
          <w:rFonts w:hAnsi="標楷體" w:hint="eastAsia"/>
          <w:szCs w:val="32"/>
        </w:rPr>
        <w:t>臺</w:t>
      </w:r>
      <w:proofErr w:type="gramEnd"/>
      <w:r w:rsidR="00102A0C" w:rsidRPr="00F64788">
        <w:rPr>
          <w:rFonts w:hAnsi="標楷體" w:hint="eastAsia"/>
          <w:szCs w:val="32"/>
        </w:rPr>
        <w:t>北地檢署</w:t>
      </w:r>
      <w:proofErr w:type="gramStart"/>
      <w:r w:rsidR="00102A0C" w:rsidRPr="00F64788">
        <w:rPr>
          <w:rFonts w:hAnsi="標楷體" w:hint="eastAsia"/>
          <w:szCs w:val="32"/>
        </w:rPr>
        <w:t>檢署外</w:t>
      </w:r>
      <w:proofErr w:type="gramEnd"/>
      <w:r w:rsidR="00E75C6A" w:rsidRPr="00F64788">
        <w:rPr>
          <w:rFonts w:hAnsi="標楷體" w:hint="eastAsia"/>
          <w:szCs w:val="32"/>
        </w:rPr>
        <w:t>；</w:t>
      </w:r>
      <w:r w:rsidR="00102A0C" w:rsidRPr="00F64788">
        <w:rPr>
          <w:rFonts w:hAnsi="標楷體" w:hint="eastAsia"/>
          <w:szCs w:val="32"/>
        </w:rPr>
        <w:t>另林○文、謝○</w:t>
      </w:r>
      <w:proofErr w:type="gramStart"/>
      <w:r w:rsidR="00102A0C" w:rsidRPr="00F64788">
        <w:rPr>
          <w:rFonts w:hAnsi="標楷體" w:hint="eastAsia"/>
          <w:szCs w:val="32"/>
        </w:rPr>
        <w:t>宏撲趴於蔡</w:t>
      </w:r>
      <w:proofErr w:type="gramEnd"/>
      <w:r w:rsidR="00102A0C" w:rsidRPr="00F64788">
        <w:rPr>
          <w:rFonts w:hAnsi="標楷體" w:hint="eastAsia"/>
          <w:szCs w:val="32"/>
        </w:rPr>
        <w:t>委員座車上涉嫌妨害自由</w:t>
      </w:r>
      <w:r>
        <w:rPr>
          <w:rFonts w:hAnsi="標楷體" w:hint="eastAsia"/>
          <w:szCs w:val="32"/>
        </w:rPr>
        <w:t>部分</w:t>
      </w:r>
      <w:r w:rsidR="00102A0C" w:rsidRPr="00F64788">
        <w:rPr>
          <w:rFonts w:hAnsi="標楷體" w:hint="eastAsia"/>
          <w:szCs w:val="32"/>
        </w:rPr>
        <w:t>，警方續依</w:t>
      </w:r>
      <w:proofErr w:type="gramStart"/>
      <w:r w:rsidR="00102A0C" w:rsidRPr="00F64788">
        <w:rPr>
          <w:rFonts w:hAnsi="標楷體" w:hint="eastAsia"/>
          <w:szCs w:val="32"/>
        </w:rPr>
        <w:t>蒐</w:t>
      </w:r>
      <w:proofErr w:type="gramEnd"/>
      <w:r w:rsidR="00102A0C" w:rsidRPr="00F64788">
        <w:rPr>
          <w:rFonts w:hAnsi="標楷體" w:hint="eastAsia"/>
          <w:szCs w:val="32"/>
        </w:rPr>
        <w:t>證畫面，通知林、謝二人及另名疑似駕駛貨車攔阻委員座車當事人許○</w:t>
      </w:r>
      <w:proofErr w:type="gramStart"/>
      <w:r w:rsidR="00102A0C" w:rsidRPr="00F64788">
        <w:rPr>
          <w:rFonts w:hAnsi="標楷體" w:hint="eastAsia"/>
          <w:szCs w:val="32"/>
        </w:rPr>
        <w:t>昇</w:t>
      </w:r>
      <w:proofErr w:type="gramEnd"/>
      <w:r w:rsidR="00102A0C" w:rsidRPr="00F64788">
        <w:rPr>
          <w:rFonts w:hAnsi="標楷體" w:hint="eastAsia"/>
          <w:szCs w:val="32"/>
        </w:rPr>
        <w:t>到案。惟</w:t>
      </w:r>
      <w:r w:rsidRPr="00F64788">
        <w:rPr>
          <w:rFonts w:hAnsi="標楷體" w:hint="eastAsia"/>
          <w:szCs w:val="32"/>
        </w:rPr>
        <w:t>許員</w:t>
      </w:r>
      <w:r w:rsidR="00782D55" w:rsidRPr="00F64788">
        <w:rPr>
          <w:rFonts w:hAnsi="標楷體" w:hint="eastAsia"/>
          <w:szCs w:val="32"/>
        </w:rPr>
        <w:t>竟</w:t>
      </w:r>
      <w:r w:rsidR="00102A0C" w:rsidRPr="00F64788">
        <w:rPr>
          <w:rFonts w:hAnsi="標楷體" w:hint="eastAsia"/>
          <w:szCs w:val="32"/>
        </w:rPr>
        <w:t>遲至5月15日始至中正第一分局製作筆錄</w:t>
      </w:r>
      <w:proofErr w:type="gramStart"/>
      <w:r w:rsidR="00102A0C" w:rsidRPr="00F64788">
        <w:rPr>
          <w:rFonts w:hAnsi="標楷體" w:hint="eastAsia"/>
          <w:szCs w:val="32"/>
        </w:rPr>
        <w:t>（</w:t>
      </w:r>
      <w:proofErr w:type="gramEnd"/>
      <w:r>
        <w:rPr>
          <w:rFonts w:hAnsi="標楷體" w:hint="eastAsia"/>
          <w:szCs w:val="32"/>
        </w:rPr>
        <w:t>另</w:t>
      </w:r>
      <w:r w:rsidR="00102A0C" w:rsidRPr="00F64788">
        <w:rPr>
          <w:rFonts w:hAnsi="標楷體" w:hint="eastAsia"/>
          <w:szCs w:val="32"/>
        </w:rPr>
        <w:t>謝○宏未到案)，該案</w:t>
      </w:r>
      <w:r w:rsidR="006775D5" w:rsidRPr="00F64788">
        <w:rPr>
          <w:rFonts w:hAnsi="標楷體" w:hint="eastAsia"/>
          <w:szCs w:val="32"/>
        </w:rPr>
        <w:t>迄</w:t>
      </w:r>
      <w:r>
        <w:rPr>
          <w:rFonts w:hAnsi="標楷體" w:hint="eastAsia"/>
          <w:szCs w:val="32"/>
        </w:rPr>
        <w:t>今警方</w:t>
      </w:r>
      <w:r w:rsidR="006775D5" w:rsidRPr="00F64788">
        <w:rPr>
          <w:rFonts w:hAnsi="標楷體" w:hint="eastAsia"/>
          <w:szCs w:val="32"/>
        </w:rPr>
        <w:t>仍</w:t>
      </w:r>
      <w:r>
        <w:rPr>
          <w:rFonts w:hAnsi="標楷體" w:hint="eastAsia"/>
          <w:szCs w:val="32"/>
        </w:rPr>
        <w:t>在偵查</w:t>
      </w:r>
      <w:r w:rsidR="00102A0C" w:rsidRPr="00F64788">
        <w:rPr>
          <w:rFonts w:hAnsi="標楷體" w:hint="eastAsia"/>
          <w:szCs w:val="32"/>
        </w:rPr>
        <w:t>中，</w:t>
      </w:r>
      <w:r>
        <w:rPr>
          <w:rFonts w:hAnsi="標楷體" w:hint="eastAsia"/>
          <w:szCs w:val="32"/>
        </w:rPr>
        <w:t>尚</w:t>
      </w:r>
      <w:r w:rsidR="00E75C6A" w:rsidRPr="00F64788">
        <w:rPr>
          <w:rFonts w:hAnsi="標楷體" w:hint="eastAsia"/>
          <w:szCs w:val="32"/>
        </w:rPr>
        <w:t>須</w:t>
      </w:r>
      <w:proofErr w:type="gramStart"/>
      <w:r w:rsidR="006775D5" w:rsidRPr="00F64788">
        <w:rPr>
          <w:rFonts w:hAnsi="標楷體" w:hint="eastAsia"/>
          <w:szCs w:val="32"/>
        </w:rPr>
        <w:t>俟</w:t>
      </w:r>
      <w:proofErr w:type="gramEnd"/>
      <w:r>
        <w:rPr>
          <w:rFonts w:hAnsi="標楷體" w:hint="eastAsia"/>
          <w:szCs w:val="32"/>
        </w:rPr>
        <w:t>當事人到案</w:t>
      </w:r>
      <w:r w:rsidR="006775D5" w:rsidRPr="00F64788">
        <w:rPr>
          <w:rFonts w:hAnsi="標楷體" w:hint="eastAsia"/>
          <w:szCs w:val="32"/>
        </w:rPr>
        <w:t>查明後</w:t>
      </w:r>
      <w:r>
        <w:rPr>
          <w:rFonts w:hAnsi="標楷體" w:hint="eastAsia"/>
          <w:szCs w:val="32"/>
        </w:rPr>
        <w:t>，</w:t>
      </w:r>
      <w:r w:rsidR="0072706D" w:rsidRPr="00F64788">
        <w:rPr>
          <w:rFonts w:hAnsi="標楷體" w:hint="eastAsia"/>
          <w:szCs w:val="32"/>
        </w:rPr>
        <w:t>再分別依刑法強制罪、毀損罪嫌函請地檢署偵辦。</w:t>
      </w:r>
    </w:p>
    <w:p w:rsidR="00553CB9" w:rsidRDefault="00553CB9" w:rsidP="00553CB9">
      <w:pPr>
        <w:pStyle w:val="5"/>
        <w:rPr>
          <w:rFonts w:hAnsi="標楷體"/>
          <w:szCs w:val="32"/>
        </w:rPr>
      </w:pPr>
      <w:proofErr w:type="gramStart"/>
      <w:r w:rsidRPr="00F64788">
        <w:rPr>
          <w:rFonts w:hAnsi="標楷體" w:hint="eastAsia"/>
          <w:szCs w:val="32"/>
        </w:rPr>
        <w:t>蔡</w:t>
      </w:r>
      <w:proofErr w:type="gramEnd"/>
      <w:r w:rsidRPr="00F64788">
        <w:rPr>
          <w:rFonts w:hAnsi="標楷體" w:hint="eastAsia"/>
          <w:szCs w:val="32"/>
        </w:rPr>
        <w:t>○貴等人因於4月27日反核遊行癱瘓忠孝西路，涉嫌違反集會遊行法，臺北市警局中正第一分局共傳喚通知該次集會遊行主要負責人</w:t>
      </w:r>
      <w:proofErr w:type="gramStart"/>
      <w:r w:rsidRPr="00F64788">
        <w:rPr>
          <w:rFonts w:hAnsi="標楷體" w:hint="eastAsia"/>
          <w:szCs w:val="32"/>
        </w:rPr>
        <w:t>蔡</w:t>
      </w:r>
      <w:proofErr w:type="gramEnd"/>
      <w:r w:rsidRPr="00F64788">
        <w:rPr>
          <w:rFonts w:hAnsi="標楷體" w:hint="eastAsia"/>
          <w:szCs w:val="32"/>
        </w:rPr>
        <w:t>○岳等4人，惟</w:t>
      </w:r>
      <w:r w:rsidR="00D508CD">
        <w:rPr>
          <w:rFonts w:hAnsi="標楷體" w:hint="eastAsia"/>
          <w:szCs w:val="32"/>
        </w:rPr>
        <w:t>仍</w:t>
      </w:r>
      <w:r w:rsidRPr="00F64788">
        <w:rPr>
          <w:rFonts w:hAnsi="標楷體" w:hint="eastAsia"/>
          <w:szCs w:val="32"/>
        </w:rPr>
        <w:t>尚未到案，相關案情如</w:t>
      </w:r>
      <w:r w:rsidRPr="00F64788">
        <w:rPr>
          <w:rFonts w:hAnsi="標楷體" w:hint="eastAsia"/>
          <w:szCs w:val="32"/>
        </w:rPr>
        <w:lastRenderedPageBreak/>
        <w:t>下表：</w:t>
      </w:r>
    </w:p>
    <w:p w:rsidR="00553CB9" w:rsidRPr="00F64788" w:rsidRDefault="00553CB9" w:rsidP="00553CB9">
      <w:pPr>
        <w:spacing w:line="480" w:lineRule="exact"/>
        <w:jc w:val="both"/>
        <w:rPr>
          <w:rFonts w:ascii="標楷體" w:hAnsi="標楷體"/>
          <w:szCs w:val="32"/>
        </w:rPr>
      </w:pPr>
      <w:r w:rsidRPr="00F64788">
        <w:rPr>
          <w:rFonts w:ascii="標楷體" w:hAnsi="標楷體" w:hint="eastAsia"/>
          <w:szCs w:val="32"/>
        </w:rPr>
        <w:t xml:space="preserve">    </w:t>
      </w:r>
      <w:r w:rsidRPr="00F64788">
        <w:rPr>
          <w:rFonts w:ascii="標楷體" w:hAnsi="標楷體" w:hint="eastAsia"/>
          <w:sz w:val="28"/>
          <w:szCs w:val="28"/>
        </w:rPr>
        <w:t>103年4月27日涉嫌違法之偵辦情形一覽表</w:t>
      </w:r>
    </w:p>
    <w:tbl>
      <w:tblPr>
        <w:tblW w:w="8195" w:type="dxa"/>
        <w:tblInd w:w="5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4A0"/>
      </w:tblPr>
      <w:tblGrid>
        <w:gridCol w:w="1418"/>
        <w:gridCol w:w="1701"/>
        <w:gridCol w:w="1134"/>
        <w:gridCol w:w="1134"/>
        <w:gridCol w:w="1276"/>
        <w:gridCol w:w="1532"/>
      </w:tblGrid>
      <w:tr w:rsidR="00553CB9" w:rsidRPr="00F64788" w:rsidTr="00553CB9">
        <w:trPr>
          <w:trHeight w:val="975"/>
        </w:trPr>
        <w:tc>
          <w:tcPr>
            <w:tcW w:w="1418" w:type="dxa"/>
            <w:shd w:val="clear" w:color="auto" w:fill="FFFFFF" w:themeFill="background1"/>
            <w:noWrap/>
            <w:vAlign w:val="center"/>
            <w:hideMark/>
          </w:tcPr>
          <w:p w:rsidR="00553CB9" w:rsidRPr="00F64788" w:rsidRDefault="00553CB9" w:rsidP="00453CBC">
            <w:pPr>
              <w:widowControl/>
              <w:jc w:val="center"/>
              <w:rPr>
                <w:rFonts w:ascii="標楷體" w:hAnsi="標楷體" w:cs="新細明體"/>
                <w:kern w:val="0"/>
                <w:sz w:val="24"/>
                <w:szCs w:val="24"/>
              </w:rPr>
            </w:pPr>
            <w:r w:rsidRPr="00F64788">
              <w:rPr>
                <w:rFonts w:ascii="標楷體" w:hAnsi="標楷體" w:cs="新細明體" w:hint="eastAsia"/>
                <w:kern w:val="0"/>
                <w:sz w:val="24"/>
                <w:szCs w:val="24"/>
              </w:rPr>
              <w:t>姓名</w:t>
            </w:r>
          </w:p>
        </w:tc>
        <w:tc>
          <w:tcPr>
            <w:tcW w:w="1701" w:type="dxa"/>
            <w:shd w:val="clear" w:color="auto" w:fill="FFFFFF" w:themeFill="background1"/>
            <w:noWrap/>
            <w:vAlign w:val="center"/>
          </w:tcPr>
          <w:p w:rsidR="00553CB9" w:rsidRPr="00F64788" w:rsidRDefault="00553CB9" w:rsidP="00453CBC">
            <w:pPr>
              <w:widowControl/>
              <w:jc w:val="center"/>
              <w:rPr>
                <w:rFonts w:ascii="標楷體" w:hAnsi="標楷體" w:cs="新細明體"/>
                <w:kern w:val="0"/>
                <w:sz w:val="24"/>
                <w:szCs w:val="24"/>
              </w:rPr>
            </w:pPr>
            <w:r w:rsidRPr="00F64788">
              <w:rPr>
                <w:rFonts w:ascii="標楷體" w:hAnsi="標楷體" w:cs="新細明體"/>
                <w:kern w:val="0"/>
                <w:sz w:val="24"/>
                <w:szCs w:val="24"/>
              </w:rPr>
              <w:t>涉案法條</w:t>
            </w:r>
          </w:p>
        </w:tc>
        <w:tc>
          <w:tcPr>
            <w:tcW w:w="1134" w:type="dxa"/>
            <w:shd w:val="clear" w:color="auto" w:fill="FFFFFF" w:themeFill="background1"/>
            <w:vAlign w:val="center"/>
          </w:tcPr>
          <w:p w:rsidR="00553CB9" w:rsidRPr="00F64788" w:rsidRDefault="00553CB9" w:rsidP="00453CBC">
            <w:pPr>
              <w:widowControl/>
              <w:jc w:val="center"/>
              <w:rPr>
                <w:rFonts w:ascii="標楷體" w:hAnsi="標楷體" w:cs="新細明體"/>
                <w:kern w:val="0"/>
                <w:sz w:val="24"/>
                <w:szCs w:val="24"/>
              </w:rPr>
            </w:pPr>
            <w:r w:rsidRPr="00F64788">
              <w:rPr>
                <w:rFonts w:ascii="標楷體" w:hAnsi="標楷體" w:cs="新細明體" w:hint="eastAsia"/>
                <w:kern w:val="0"/>
                <w:sz w:val="24"/>
                <w:szCs w:val="24"/>
              </w:rPr>
              <w:t>第一次通知日期</w:t>
            </w:r>
          </w:p>
        </w:tc>
        <w:tc>
          <w:tcPr>
            <w:tcW w:w="1134" w:type="dxa"/>
            <w:shd w:val="clear" w:color="auto" w:fill="FFFFFF" w:themeFill="background1"/>
            <w:noWrap/>
            <w:vAlign w:val="center"/>
            <w:hideMark/>
          </w:tcPr>
          <w:p w:rsidR="00553CB9" w:rsidRPr="00F64788" w:rsidRDefault="00553CB9" w:rsidP="00453CBC">
            <w:pPr>
              <w:widowControl/>
              <w:jc w:val="center"/>
              <w:rPr>
                <w:rFonts w:ascii="標楷體" w:hAnsi="標楷體" w:cs="新細明體"/>
                <w:kern w:val="0"/>
                <w:sz w:val="24"/>
                <w:szCs w:val="24"/>
              </w:rPr>
            </w:pPr>
            <w:r w:rsidRPr="00F64788">
              <w:rPr>
                <w:rFonts w:ascii="標楷體" w:hAnsi="標楷體" w:cs="新細明體" w:hint="eastAsia"/>
                <w:kern w:val="0"/>
                <w:sz w:val="24"/>
                <w:szCs w:val="24"/>
              </w:rPr>
              <w:t>第二次通知日期</w:t>
            </w:r>
          </w:p>
        </w:tc>
        <w:tc>
          <w:tcPr>
            <w:tcW w:w="1276" w:type="dxa"/>
            <w:shd w:val="clear" w:color="auto" w:fill="FFFFFF" w:themeFill="background1"/>
            <w:vAlign w:val="center"/>
          </w:tcPr>
          <w:p w:rsidR="00553CB9" w:rsidRPr="00F64788" w:rsidRDefault="00553CB9" w:rsidP="00453CBC">
            <w:pPr>
              <w:jc w:val="center"/>
              <w:rPr>
                <w:rFonts w:ascii="標楷體" w:hAnsi="標楷體" w:cs="新細明體"/>
                <w:kern w:val="0"/>
                <w:sz w:val="24"/>
                <w:szCs w:val="24"/>
              </w:rPr>
            </w:pPr>
            <w:r w:rsidRPr="00F64788">
              <w:rPr>
                <w:rFonts w:ascii="標楷體" w:hAnsi="標楷體" w:cs="新細明體" w:hint="eastAsia"/>
                <w:kern w:val="0"/>
                <w:sz w:val="24"/>
                <w:szCs w:val="24"/>
              </w:rPr>
              <w:t>到案情形</w:t>
            </w:r>
          </w:p>
        </w:tc>
        <w:tc>
          <w:tcPr>
            <w:tcW w:w="1532" w:type="dxa"/>
            <w:shd w:val="clear" w:color="auto" w:fill="FFFFFF" w:themeFill="background1"/>
            <w:vAlign w:val="center"/>
          </w:tcPr>
          <w:p w:rsidR="00553CB9" w:rsidRPr="00F64788" w:rsidRDefault="00553CB9" w:rsidP="00453CBC">
            <w:pPr>
              <w:jc w:val="center"/>
              <w:rPr>
                <w:rFonts w:ascii="標楷體" w:hAnsi="標楷體" w:cs="新細明體"/>
                <w:kern w:val="0"/>
                <w:sz w:val="24"/>
                <w:szCs w:val="24"/>
              </w:rPr>
            </w:pPr>
            <w:r w:rsidRPr="00F64788">
              <w:rPr>
                <w:rFonts w:ascii="標楷體" w:hAnsi="標楷體" w:cs="新細明體"/>
                <w:kern w:val="0"/>
                <w:sz w:val="24"/>
                <w:szCs w:val="24"/>
              </w:rPr>
              <w:t>備註</w:t>
            </w:r>
          </w:p>
        </w:tc>
      </w:tr>
      <w:tr w:rsidR="00553CB9" w:rsidRPr="00F64788" w:rsidTr="00553CB9">
        <w:trPr>
          <w:trHeight w:val="477"/>
        </w:trPr>
        <w:tc>
          <w:tcPr>
            <w:tcW w:w="1418" w:type="dxa"/>
            <w:shd w:val="clear" w:color="auto" w:fill="FFFFFF" w:themeFill="background1"/>
            <w:noWrap/>
            <w:vAlign w:val="center"/>
            <w:hideMark/>
          </w:tcPr>
          <w:p w:rsidR="00553CB9" w:rsidRPr="00F64788" w:rsidRDefault="00553CB9" w:rsidP="00453CBC">
            <w:pPr>
              <w:widowControl/>
              <w:jc w:val="center"/>
              <w:rPr>
                <w:rFonts w:ascii="標楷體" w:hAnsi="標楷體" w:cs="新細明體"/>
                <w:kern w:val="0"/>
                <w:sz w:val="28"/>
                <w:szCs w:val="28"/>
              </w:rPr>
            </w:pPr>
            <w:proofErr w:type="gramStart"/>
            <w:r w:rsidRPr="00F64788">
              <w:rPr>
                <w:rFonts w:ascii="標楷體" w:hAnsi="標楷體" w:cs="新細明體" w:hint="eastAsia"/>
                <w:kern w:val="0"/>
                <w:sz w:val="28"/>
                <w:szCs w:val="28"/>
              </w:rPr>
              <w:t>蔡</w:t>
            </w:r>
            <w:proofErr w:type="gramEnd"/>
            <w:r w:rsidRPr="00F64788">
              <w:rPr>
                <w:rFonts w:ascii="標楷體" w:hAnsi="標楷體" w:cs="新細明體" w:hint="eastAsia"/>
                <w:kern w:val="0"/>
                <w:sz w:val="28"/>
                <w:szCs w:val="28"/>
              </w:rPr>
              <w:t>○岳</w:t>
            </w:r>
          </w:p>
        </w:tc>
        <w:tc>
          <w:tcPr>
            <w:tcW w:w="1701" w:type="dxa"/>
            <w:vMerge w:val="restart"/>
            <w:shd w:val="clear" w:color="auto" w:fill="FFFFFF" w:themeFill="background1"/>
            <w:noWrap/>
            <w:vAlign w:val="center"/>
            <w:hideMark/>
          </w:tcPr>
          <w:p w:rsidR="00553CB9" w:rsidRPr="00F64788" w:rsidRDefault="00553CB9" w:rsidP="00453CBC">
            <w:pPr>
              <w:spacing w:line="300" w:lineRule="exact"/>
              <w:jc w:val="both"/>
              <w:rPr>
                <w:rFonts w:ascii="標楷體" w:hAnsi="標楷體" w:cs="新細明體"/>
                <w:sz w:val="24"/>
                <w:szCs w:val="24"/>
              </w:rPr>
            </w:pPr>
            <w:r w:rsidRPr="00F64788">
              <w:rPr>
                <w:rFonts w:ascii="標楷體" w:hAnsi="標楷體" w:cs="新細明體" w:hint="eastAsia"/>
                <w:kern w:val="0"/>
                <w:sz w:val="24"/>
                <w:szCs w:val="24"/>
              </w:rPr>
              <w:t>集會遊行法第29條、刑法第135條第1項妨害公務罪、第136條</w:t>
            </w:r>
            <w:proofErr w:type="gramStart"/>
            <w:r w:rsidRPr="00F64788">
              <w:rPr>
                <w:rFonts w:ascii="標楷體" w:hAnsi="標楷體" w:cs="新細明體" w:hint="eastAsia"/>
                <w:kern w:val="0"/>
                <w:sz w:val="24"/>
                <w:szCs w:val="24"/>
              </w:rPr>
              <w:t>第1項聚</w:t>
            </w:r>
            <w:proofErr w:type="gramEnd"/>
            <w:r w:rsidRPr="00F64788">
              <w:rPr>
                <w:rFonts w:ascii="標楷體" w:hAnsi="標楷體" w:cs="新細明體" w:hint="eastAsia"/>
                <w:kern w:val="0"/>
                <w:sz w:val="24"/>
                <w:szCs w:val="24"/>
              </w:rPr>
              <w:t>眾妨害公務罪、第185條第1項公共危險罪</w:t>
            </w:r>
          </w:p>
        </w:tc>
        <w:tc>
          <w:tcPr>
            <w:tcW w:w="1134" w:type="dxa"/>
            <w:vMerge w:val="restart"/>
            <w:shd w:val="clear" w:color="auto" w:fill="FFFFFF" w:themeFill="background1"/>
            <w:vAlign w:val="center"/>
          </w:tcPr>
          <w:p w:rsidR="00553CB9" w:rsidRPr="00F64788" w:rsidRDefault="00553CB9" w:rsidP="00453CBC">
            <w:pPr>
              <w:widowControl/>
              <w:jc w:val="center"/>
              <w:rPr>
                <w:rFonts w:ascii="標楷體" w:hAnsi="標楷體" w:cs="新細明體"/>
                <w:kern w:val="0"/>
                <w:sz w:val="28"/>
                <w:szCs w:val="28"/>
              </w:rPr>
            </w:pPr>
            <w:r w:rsidRPr="00F64788">
              <w:rPr>
                <w:rFonts w:ascii="標楷體" w:hAnsi="標楷體" w:cs="新細明體" w:hint="eastAsia"/>
                <w:kern w:val="0"/>
                <w:sz w:val="28"/>
                <w:szCs w:val="28"/>
              </w:rPr>
              <w:t>0523</w:t>
            </w:r>
          </w:p>
        </w:tc>
        <w:tc>
          <w:tcPr>
            <w:tcW w:w="1134" w:type="dxa"/>
            <w:vMerge w:val="restart"/>
            <w:shd w:val="clear" w:color="auto" w:fill="FFFFFF" w:themeFill="background1"/>
            <w:vAlign w:val="center"/>
            <w:hideMark/>
          </w:tcPr>
          <w:p w:rsidR="00553CB9" w:rsidRPr="00F64788" w:rsidRDefault="00553CB9" w:rsidP="00453CBC">
            <w:pPr>
              <w:widowControl/>
              <w:jc w:val="center"/>
              <w:rPr>
                <w:rFonts w:ascii="標楷體" w:hAnsi="標楷體" w:cs="新細明體"/>
                <w:kern w:val="0"/>
                <w:sz w:val="28"/>
                <w:szCs w:val="28"/>
              </w:rPr>
            </w:pPr>
            <w:r w:rsidRPr="00F64788">
              <w:rPr>
                <w:rFonts w:ascii="標楷體" w:hAnsi="標楷體" w:cs="新細明體" w:hint="eastAsia"/>
                <w:kern w:val="0"/>
                <w:sz w:val="28"/>
                <w:szCs w:val="28"/>
              </w:rPr>
              <w:t>0607</w:t>
            </w:r>
          </w:p>
        </w:tc>
        <w:tc>
          <w:tcPr>
            <w:tcW w:w="1276" w:type="dxa"/>
            <w:vMerge w:val="restart"/>
            <w:shd w:val="clear" w:color="auto" w:fill="FFFFFF" w:themeFill="background1"/>
            <w:vAlign w:val="center"/>
          </w:tcPr>
          <w:p w:rsidR="00553CB9" w:rsidRPr="00F64788" w:rsidRDefault="00553CB9" w:rsidP="00453CBC">
            <w:pPr>
              <w:jc w:val="center"/>
              <w:rPr>
                <w:rFonts w:ascii="標楷體" w:hAnsi="標楷體" w:cs="新細明體"/>
                <w:kern w:val="0"/>
                <w:sz w:val="28"/>
                <w:szCs w:val="28"/>
              </w:rPr>
            </w:pPr>
            <w:r w:rsidRPr="00F64788">
              <w:rPr>
                <w:rFonts w:ascii="標楷體" w:hAnsi="標楷體" w:cs="新細明體"/>
                <w:kern w:val="0"/>
                <w:sz w:val="28"/>
                <w:szCs w:val="28"/>
              </w:rPr>
              <w:t>未到案</w:t>
            </w:r>
          </w:p>
        </w:tc>
        <w:tc>
          <w:tcPr>
            <w:tcW w:w="1532" w:type="dxa"/>
            <w:shd w:val="clear" w:color="auto" w:fill="FFFFFF" w:themeFill="background1"/>
            <w:vAlign w:val="center"/>
          </w:tcPr>
          <w:p w:rsidR="00553CB9" w:rsidRPr="00F64788" w:rsidRDefault="00553CB9" w:rsidP="00453CBC">
            <w:pPr>
              <w:jc w:val="center"/>
              <w:rPr>
                <w:rFonts w:ascii="標楷體" w:hAnsi="標楷體" w:cs="新細明體"/>
                <w:kern w:val="0"/>
              </w:rPr>
            </w:pPr>
          </w:p>
        </w:tc>
      </w:tr>
      <w:tr w:rsidR="00553CB9" w:rsidRPr="00F64788" w:rsidTr="00553CB9">
        <w:trPr>
          <w:trHeight w:val="427"/>
        </w:trPr>
        <w:tc>
          <w:tcPr>
            <w:tcW w:w="1418" w:type="dxa"/>
            <w:shd w:val="clear" w:color="auto" w:fill="FFFFFF" w:themeFill="background1"/>
            <w:noWrap/>
            <w:vAlign w:val="center"/>
          </w:tcPr>
          <w:p w:rsidR="00553CB9" w:rsidRPr="00F64788" w:rsidRDefault="00553CB9" w:rsidP="00453CBC">
            <w:pPr>
              <w:jc w:val="center"/>
              <w:rPr>
                <w:rFonts w:ascii="標楷體" w:hAnsi="標楷體" w:cs="新細明體"/>
                <w:sz w:val="28"/>
                <w:szCs w:val="28"/>
              </w:rPr>
            </w:pPr>
            <w:proofErr w:type="gramStart"/>
            <w:r w:rsidRPr="00F64788">
              <w:rPr>
                <w:rFonts w:ascii="標楷體" w:hAnsi="標楷體" w:hint="eastAsia"/>
                <w:sz w:val="28"/>
                <w:szCs w:val="28"/>
              </w:rPr>
              <w:t>蔡</w:t>
            </w:r>
            <w:r w:rsidRPr="00F64788">
              <w:rPr>
                <w:rFonts w:ascii="標楷體" w:hAnsi="標楷體" w:cs="新細明體" w:hint="eastAsia"/>
                <w:kern w:val="0"/>
                <w:sz w:val="28"/>
                <w:szCs w:val="28"/>
              </w:rPr>
              <w:t>○勳</w:t>
            </w:r>
            <w:proofErr w:type="gramEnd"/>
          </w:p>
        </w:tc>
        <w:tc>
          <w:tcPr>
            <w:tcW w:w="1701" w:type="dxa"/>
            <w:vMerge/>
            <w:shd w:val="clear" w:color="auto" w:fill="FFFFFF" w:themeFill="background1"/>
            <w:noWrap/>
            <w:vAlign w:val="center"/>
          </w:tcPr>
          <w:p w:rsidR="00553CB9" w:rsidRPr="00F64788" w:rsidRDefault="00553CB9" w:rsidP="00453CBC">
            <w:pPr>
              <w:jc w:val="center"/>
              <w:rPr>
                <w:rFonts w:ascii="標楷體" w:hAnsi="標楷體" w:cs="新細明體"/>
              </w:rPr>
            </w:pPr>
          </w:p>
        </w:tc>
        <w:tc>
          <w:tcPr>
            <w:tcW w:w="1134" w:type="dxa"/>
            <w:vMerge/>
            <w:shd w:val="clear" w:color="auto" w:fill="FFFFFF" w:themeFill="background1"/>
            <w:vAlign w:val="center"/>
          </w:tcPr>
          <w:p w:rsidR="00553CB9" w:rsidRPr="00F64788" w:rsidRDefault="00553CB9" w:rsidP="00453CBC">
            <w:pPr>
              <w:jc w:val="center"/>
              <w:rPr>
                <w:rFonts w:ascii="標楷體" w:hAnsi="標楷體" w:cs="新細明體"/>
                <w:sz w:val="28"/>
                <w:szCs w:val="28"/>
              </w:rPr>
            </w:pPr>
          </w:p>
        </w:tc>
        <w:tc>
          <w:tcPr>
            <w:tcW w:w="1134" w:type="dxa"/>
            <w:vMerge/>
            <w:shd w:val="clear" w:color="auto" w:fill="FFFFFF" w:themeFill="background1"/>
            <w:vAlign w:val="center"/>
          </w:tcPr>
          <w:p w:rsidR="00553CB9" w:rsidRPr="00F64788" w:rsidRDefault="00553CB9" w:rsidP="00453CBC">
            <w:pPr>
              <w:jc w:val="center"/>
              <w:rPr>
                <w:rFonts w:ascii="標楷體" w:hAnsi="標楷體" w:cs="新細明體"/>
                <w:sz w:val="28"/>
                <w:szCs w:val="28"/>
              </w:rPr>
            </w:pPr>
          </w:p>
        </w:tc>
        <w:tc>
          <w:tcPr>
            <w:tcW w:w="1276" w:type="dxa"/>
            <w:vMerge/>
            <w:shd w:val="clear" w:color="auto" w:fill="FFFFFF" w:themeFill="background1"/>
            <w:vAlign w:val="center"/>
          </w:tcPr>
          <w:p w:rsidR="00553CB9" w:rsidRPr="00F64788" w:rsidRDefault="00553CB9" w:rsidP="00453CBC">
            <w:pPr>
              <w:jc w:val="center"/>
              <w:rPr>
                <w:rFonts w:ascii="標楷體" w:hAnsi="標楷體" w:cs="新細明體"/>
              </w:rPr>
            </w:pPr>
          </w:p>
        </w:tc>
        <w:tc>
          <w:tcPr>
            <w:tcW w:w="1532" w:type="dxa"/>
            <w:shd w:val="clear" w:color="auto" w:fill="FFFFFF" w:themeFill="background1"/>
            <w:vAlign w:val="center"/>
          </w:tcPr>
          <w:p w:rsidR="00553CB9" w:rsidRPr="00F64788" w:rsidRDefault="00553CB9" w:rsidP="00453CBC">
            <w:pPr>
              <w:jc w:val="center"/>
              <w:rPr>
                <w:rFonts w:ascii="標楷體" w:hAnsi="標楷體" w:cs="新細明體"/>
              </w:rPr>
            </w:pPr>
          </w:p>
        </w:tc>
      </w:tr>
      <w:tr w:rsidR="00553CB9" w:rsidRPr="00F64788" w:rsidTr="00553CB9">
        <w:trPr>
          <w:trHeight w:val="278"/>
        </w:trPr>
        <w:tc>
          <w:tcPr>
            <w:tcW w:w="1418" w:type="dxa"/>
            <w:shd w:val="clear" w:color="auto" w:fill="FFFFFF" w:themeFill="background1"/>
            <w:noWrap/>
            <w:vAlign w:val="center"/>
          </w:tcPr>
          <w:p w:rsidR="00553CB9" w:rsidRPr="00F64788" w:rsidRDefault="00553CB9" w:rsidP="00453CBC">
            <w:pPr>
              <w:jc w:val="center"/>
              <w:rPr>
                <w:rFonts w:ascii="標楷體" w:hAnsi="標楷體"/>
                <w:sz w:val="28"/>
                <w:szCs w:val="28"/>
              </w:rPr>
            </w:pPr>
            <w:proofErr w:type="gramStart"/>
            <w:r w:rsidRPr="00F64788">
              <w:rPr>
                <w:rFonts w:ascii="標楷體" w:hAnsi="標楷體" w:hint="eastAsia"/>
                <w:sz w:val="28"/>
                <w:szCs w:val="28"/>
              </w:rPr>
              <w:t>崔</w:t>
            </w:r>
            <w:proofErr w:type="gramEnd"/>
            <w:r w:rsidRPr="00F64788">
              <w:rPr>
                <w:rFonts w:ascii="標楷體" w:hAnsi="標楷體" w:cs="新細明體" w:hint="eastAsia"/>
                <w:kern w:val="0"/>
                <w:sz w:val="28"/>
                <w:szCs w:val="28"/>
              </w:rPr>
              <w:t>○欣</w:t>
            </w:r>
          </w:p>
        </w:tc>
        <w:tc>
          <w:tcPr>
            <w:tcW w:w="1701" w:type="dxa"/>
            <w:vMerge/>
            <w:shd w:val="clear" w:color="auto" w:fill="FFFFFF" w:themeFill="background1"/>
            <w:noWrap/>
            <w:vAlign w:val="center"/>
          </w:tcPr>
          <w:p w:rsidR="00553CB9" w:rsidRPr="00F64788" w:rsidRDefault="00553CB9" w:rsidP="00453CBC">
            <w:pPr>
              <w:jc w:val="center"/>
              <w:rPr>
                <w:rFonts w:ascii="標楷體" w:hAnsi="標楷體"/>
              </w:rPr>
            </w:pPr>
          </w:p>
        </w:tc>
        <w:tc>
          <w:tcPr>
            <w:tcW w:w="1134" w:type="dxa"/>
            <w:vMerge/>
            <w:shd w:val="clear" w:color="auto" w:fill="FFFFFF" w:themeFill="background1"/>
            <w:vAlign w:val="center"/>
          </w:tcPr>
          <w:p w:rsidR="00553CB9" w:rsidRPr="00F64788" w:rsidRDefault="00553CB9" w:rsidP="00453CBC">
            <w:pPr>
              <w:jc w:val="center"/>
              <w:rPr>
                <w:rFonts w:ascii="標楷體" w:hAnsi="標楷體"/>
                <w:sz w:val="28"/>
                <w:szCs w:val="28"/>
              </w:rPr>
            </w:pPr>
          </w:p>
        </w:tc>
        <w:tc>
          <w:tcPr>
            <w:tcW w:w="1134" w:type="dxa"/>
            <w:vMerge/>
            <w:shd w:val="clear" w:color="auto" w:fill="FFFFFF" w:themeFill="background1"/>
            <w:vAlign w:val="center"/>
          </w:tcPr>
          <w:p w:rsidR="00553CB9" w:rsidRPr="00F64788" w:rsidRDefault="00553CB9" w:rsidP="00453CBC">
            <w:pPr>
              <w:widowControl/>
              <w:jc w:val="center"/>
              <w:rPr>
                <w:rFonts w:ascii="標楷體" w:hAnsi="標楷體" w:cs="新細明體"/>
                <w:kern w:val="0"/>
                <w:sz w:val="28"/>
                <w:szCs w:val="28"/>
              </w:rPr>
            </w:pPr>
          </w:p>
        </w:tc>
        <w:tc>
          <w:tcPr>
            <w:tcW w:w="1276" w:type="dxa"/>
            <w:vMerge/>
            <w:shd w:val="clear" w:color="auto" w:fill="FFFFFF" w:themeFill="background1"/>
            <w:vAlign w:val="center"/>
          </w:tcPr>
          <w:p w:rsidR="00553CB9" w:rsidRPr="00F64788" w:rsidRDefault="00553CB9" w:rsidP="00453CBC">
            <w:pPr>
              <w:jc w:val="center"/>
              <w:rPr>
                <w:rFonts w:ascii="標楷體" w:hAnsi="標楷體" w:cs="新細明體"/>
                <w:kern w:val="0"/>
              </w:rPr>
            </w:pPr>
          </w:p>
        </w:tc>
        <w:tc>
          <w:tcPr>
            <w:tcW w:w="1532" w:type="dxa"/>
            <w:shd w:val="clear" w:color="auto" w:fill="FFFFFF" w:themeFill="background1"/>
            <w:vAlign w:val="center"/>
          </w:tcPr>
          <w:p w:rsidR="00553CB9" w:rsidRPr="00F64788" w:rsidRDefault="00553CB9" w:rsidP="00453CBC">
            <w:pPr>
              <w:jc w:val="center"/>
              <w:rPr>
                <w:rFonts w:ascii="標楷體" w:hAnsi="標楷體" w:cs="新細明體"/>
                <w:kern w:val="0"/>
              </w:rPr>
            </w:pPr>
          </w:p>
        </w:tc>
      </w:tr>
      <w:tr w:rsidR="00553CB9" w:rsidRPr="00F64788" w:rsidTr="00314F41">
        <w:trPr>
          <w:trHeight w:val="1424"/>
        </w:trPr>
        <w:tc>
          <w:tcPr>
            <w:tcW w:w="1418" w:type="dxa"/>
            <w:shd w:val="clear" w:color="auto" w:fill="FFFFFF" w:themeFill="background1"/>
            <w:noWrap/>
            <w:vAlign w:val="center"/>
          </w:tcPr>
          <w:p w:rsidR="00553CB9" w:rsidRPr="00F64788" w:rsidRDefault="00553CB9" w:rsidP="00453CBC">
            <w:pPr>
              <w:jc w:val="center"/>
              <w:rPr>
                <w:rFonts w:ascii="標楷體" w:hAnsi="標楷體"/>
                <w:sz w:val="28"/>
                <w:szCs w:val="28"/>
              </w:rPr>
            </w:pPr>
            <w:proofErr w:type="gramStart"/>
            <w:r w:rsidRPr="00F64788">
              <w:rPr>
                <w:rFonts w:ascii="標楷體" w:hAnsi="標楷體" w:hint="eastAsia"/>
                <w:sz w:val="28"/>
                <w:szCs w:val="28"/>
              </w:rPr>
              <w:t>蔡</w:t>
            </w:r>
            <w:proofErr w:type="gramEnd"/>
            <w:r w:rsidRPr="00F64788">
              <w:rPr>
                <w:rFonts w:ascii="標楷體" w:hAnsi="標楷體" w:cs="新細明體" w:hint="eastAsia"/>
                <w:kern w:val="0"/>
                <w:sz w:val="28"/>
                <w:szCs w:val="28"/>
              </w:rPr>
              <w:t>○貴</w:t>
            </w:r>
          </w:p>
        </w:tc>
        <w:tc>
          <w:tcPr>
            <w:tcW w:w="1701" w:type="dxa"/>
            <w:vMerge/>
            <w:shd w:val="clear" w:color="auto" w:fill="FFFFFF" w:themeFill="background1"/>
            <w:noWrap/>
            <w:vAlign w:val="center"/>
          </w:tcPr>
          <w:p w:rsidR="00553CB9" w:rsidRPr="00F64788" w:rsidRDefault="00553CB9" w:rsidP="00453CBC">
            <w:pPr>
              <w:rPr>
                <w:rFonts w:ascii="標楷體" w:hAnsi="標楷體" w:cs="新細明體"/>
              </w:rPr>
            </w:pPr>
          </w:p>
        </w:tc>
        <w:tc>
          <w:tcPr>
            <w:tcW w:w="1134" w:type="dxa"/>
            <w:vMerge/>
            <w:shd w:val="clear" w:color="auto" w:fill="FFFFFF" w:themeFill="background1"/>
            <w:vAlign w:val="center"/>
          </w:tcPr>
          <w:p w:rsidR="00553CB9" w:rsidRPr="00F64788" w:rsidRDefault="00553CB9" w:rsidP="00453CBC">
            <w:pPr>
              <w:jc w:val="center"/>
              <w:rPr>
                <w:rFonts w:ascii="標楷體" w:hAnsi="標楷體"/>
                <w:sz w:val="28"/>
                <w:szCs w:val="28"/>
              </w:rPr>
            </w:pPr>
          </w:p>
        </w:tc>
        <w:tc>
          <w:tcPr>
            <w:tcW w:w="1134" w:type="dxa"/>
            <w:shd w:val="clear" w:color="auto" w:fill="FFFFFF" w:themeFill="background1"/>
            <w:vAlign w:val="center"/>
          </w:tcPr>
          <w:p w:rsidR="00553CB9" w:rsidRPr="00F64788" w:rsidRDefault="00553CB9" w:rsidP="00453CBC">
            <w:pPr>
              <w:jc w:val="center"/>
              <w:rPr>
                <w:rFonts w:ascii="標楷體" w:hAnsi="標楷體" w:cs="新細明體"/>
                <w:sz w:val="28"/>
                <w:szCs w:val="28"/>
              </w:rPr>
            </w:pPr>
            <w:r w:rsidRPr="00F64788">
              <w:rPr>
                <w:rFonts w:ascii="標楷體" w:hAnsi="標楷體" w:cs="新細明體" w:hint="eastAsia"/>
                <w:sz w:val="28"/>
                <w:szCs w:val="28"/>
              </w:rPr>
              <w:t>0612</w:t>
            </w:r>
          </w:p>
        </w:tc>
        <w:tc>
          <w:tcPr>
            <w:tcW w:w="1276" w:type="dxa"/>
            <w:vMerge/>
            <w:shd w:val="clear" w:color="auto" w:fill="FFFFFF" w:themeFill="background1"/>
            <w:vAlign w:val="center"/>
          </w:tcPr>
          <w:p w:rsidR="00553CB9" w:rsidRPr="00F64788" w:rsidRDefault="00553CB9" w:rsidP="00453CBC">
            <w:pPr>
              <w:jc w:val="center"/>
              <w:rPr>
                <w:rFonts w:ascii="標楷體" w:hAnsi="標楷體" w:cs="新細明體"/>
              </w:rPr>
            </w:pPr>
          </w:p>
        </w:tc>
        <w:tc>
          <w:tcPr>
            <w:tcW w:w="1532" w:type="dxa"/>
            <w:shd w:val="clear" w:color="auto" w:fill="FFFFFF" w:themeFill="background1"/>
            <w:vAlign w:val="center"/>
          </w:tcPr>
          <w:p w:rsidR="00553CB9" w:rsidRPr="00F64788" w:rsidRDefault="00553CB9" w:rsidP="00453CBC">
            <w:pPr>
              <w:spacing w:line="260" w:lineRule="exact"/>
              <w:jc w:val="both"/>
              <w:rPr>
                <w:rFonts w:ascii="標楷體" w:hAnsi="標楷體" w:cs="新細明體"/>
                <w:kern w:val="0"/>
                <w:sz w:val="24"/>
                <w:szCs w:val="24"/>
              </w:rPr>
            </w:pPr>
            <w:r w:rsidRPr="00F64788">
              <w:rPr>
                <w:rFonts w:ascii="標楷體" w:hAnsi="標楷體" w:cs="新細明體"/>
                <w:kern w:val="0"/>
                <w:sz w:val="24"/>
                <w:szCs w:val="24"/>
              </w:rPr>
              <w:t>原通知</w:t>
            </w:r>
            <w:r w:rsidRPr="00F64788">
              <w:rPr>
                <w:rFonts w:ascii="標楷體" w:hAnsi="標楷體" w:cs="新細明體" w:hint="eastAsia"/>
                <w:kern w:val="0"/>
                <w:sz w:val="24"/>
                <w:szCs w:val="24"/>
              </w:rPr>
              <w:t>6月3日到案，</w:t>
            </w:r>
            <w:proofErr w:type="gramStart"/>
            <w:r w:rsidRPr="00F64788">
              <w:rPr>
                <w:rFonts w:ascii="標楷體" w:hAnsi="標楷體" w:cs="新細明體" w:hint="eastAsia"/>
                <w:kern w:val="0"/>
                <w:sz w:val="24"/>
                <w:szCs w:val="24"/>
              </w:rPr>
              <w:t>嗣</w:t>
            </w:r>
            <w:r w:rsidR="00314F41" w:rsidRPr="00F64788">
              <w:rPr>
                <w:rFonts w:ascii="標楷體" w:hAnsi="標楷體" w:cs="新細明體"/>
                <w:kern w:val="0"/>
                <w:sz w:val="24"/>
                <w:szCs w:val="24"/>
              </w:rPr>
              <w:t>蔡</w:t>
            </w:r>
            <w:proofErr w:type="gramEnd"/>
            <w:r w:rsidR="00314F41" w:rsidRPr="00F64788">
              <w:rPr>
                <w:rFonts w:ascii="標楷體" w:hAnsi="標楷體" w:cs="新細明體" w:hint="eastAsia"/>
                <w:kern w:val="0"/>
                <w:sz w:val="24"/>
                <w:szCs w:val="24"/>
              </w:rPr>
              <w:t>○</w:t>
            </w:r>
            <w:r w:rsidRPr="00F64788">
              <w:rPr>
                <w:rFonts w:ascii="標楷體" w:hAnsi="標楷體" w:cs="新細明體"/>
                <w:kern w:val="0"/>
                <w:sz w:val="24"/>
                <w:szCs w:val="24"/>
              </w:rPr>
              <w:t>貴出國</w:t>
            </w:r>
            <w:proofErr w:type="gramStart"/>
            <w:r w:rsidRPr="00F64788">
              <w:rPr>
                <w:rFonts w:ascii="標楷體" w:hAnsi="標楷體" w:cs="新細明體"/>
                <w:kern w:val="0"/>
                <w:sz w:val="24"/>
                <w:szCs w:val="24"/>
              </w:rPr>
              <w:t>迄</w:t>
            </w:r>
            <w:proofErr w:type="gramEnd"/>
            <w:r w:rsidRPr="00F64788">
              <w:rPr>
                <w:rFonts w:ascii="標楷體" w:hAnsi="標楷體" w:cs="新細明體" w:hint="eastAsia"/>
                <w:kern w:val="0"/>
                <w:sz w:val="24"/>
                <w:szCs w:val="24"/>
              </w:rPr>
              <w:t>6月9日返國，故協調到案期日變更為6月12日。</w:t>
            </w:r>
          </w:p>
        </w:tc>
      </w:tr>
    </w:tbl>
    <w:p w:rsidR="009679F7" w:rsidRPr="00F64788" w:rsidRDefault="00553CB9" w:rsidP="00553CB9">
      <w:pPr>
        <w:pStyle w:val="5"/>
        <w:numPr>
          <w:ilvl w:val="0"/>
          <w:numId w:val="0"/>
        </w:numPr>
        <w:ind w:left="2095" w:firstLineChars="200" w:firstLine="680"/>
        <w:rPr>
          <w:rFonts w:hAnsi="標楷體"/>
        </w:rPr>
      </w:pPr>
      <w:r w:rsidRPr="00F64788">
        <w:rPr>
          <w:rFonts w:hAnsi="標楷體" w:hint="eastAsia"/>
          <w:szCs w:val="32"/>
        </w:rPr>
        <w:t>由上表可知警方於5月23日始第一次通知當事人</w:t>
      </w:r>
      <w:proofErr w:type="gramStart"/>
      <w:r w:rsidR="00D508CD" w:rsidRPr="003A29F6">
        <w:rPr>
          <w:rFonts w:hAnsi="標楷體" w:cs="新細明體" w:hint="eastAsia"/>
          <w:kern w:val="0"/>
          <w:szCs w:val="32"/>
        </w:rPr>
        <w:t>蔡</w:t>
      </w:r>
      <w:proofErr w:type="gramEnd"/>
      <w:r w:rsidR="00D508CD" w:rsidRPr="003A29F6">
        <w:rPr>
          <w:rFonts w:hAnsi="標楷體" w:cs="新細明體" w:hint="eastAsia"/>
          <w:kern w:val="0"/>
          <w:szCs w:val="32"/>
        </w:rPr>
        <w:t>○岳等人</w:t>
      </w:r>
      <w:r w:rsidRPr="00F64788">
        <w:rPr>
          <w:rFonts w:hAnsi="標楷體" w:hint="eastAsia"/>
          <w:szCs w:val="32"/>
        </w:rPr>
        <w:t>到案說明，距離4月27日違法之日</w:t>
      </w:r>
      <w:r w:rsidR="00D508CD">
        <w:rPr>
          <w:rFonts w:hAnsi="標楷體" w:hint="eastAsia"/>
          <w:szCs w:val="32"/>
        </w:rPr>
        <w:t>，</w:t>
      </w:r>
      <w:r w:rsidRPr="00F64788">
        <w:rPr>
          <w:rFonts w:hAnsi="標楷體" w:hint="eastAsia"/>
          <w:szCs w:val="32"/>
        </w:rPr>
        <w:t>相距</w:t>
      </w:r>
      <w:r w:rsidR="00D508CD">
        <w:rPr>
          <w:rFonts w:hAnsi="標楷體" w:hint="eastAsia"/>
          <w:szCs w:val="32"/>
        </w:rPr>
        <w:t>達</w:t>
      </w:r>
      <w:r w:rsidRPr="00F64788">
        <w:rPr>
          <w:rFonts w:hAnsi="標楷體" w:hint="eastAsia"/>
          <w:szCs w:val="32"/>
        </w:rPr>
        <w:t>26日之久</w:t>
      </w:r>
      <w:r w:rsidR="0069477D" w:rsidRPr="00F64788">
        <w:rPr>
          <w:rFonts w:hAnsi="標楷體" w:hint="eastAsia"/>
          <w:szCs w:val="32"/>
        </w:rPr>
        <w:t>；</w:t>
      </w:r>
      <w:proofErr w:type="gramStart"/>
      <w:r w:rsidR="00D508CD">
        <w:rPr>
          <w:rFonts w:hAnsi="標楷體" w:hint="eastAsia"/>
          <w:szCs w:val="32"/>
        </w:rPr>
        <w:t>另</w:t>
      </w:r>
      <w:r w:rsidR="0069477D" w:rsidRPr="00F64788">
        <w:rPr>
          <w:rFonts w:hAnsi="標楷體" w:hint="eastAsia"/>
          <w:szCs w:val="32"/>
        </w:rPr>
        <w:t>相較</w:t>
      </w:r>
      <w:proofErr w:type="gramEnd"/>
      <w:r w:rsidR="0069477D" w:rsidRPr="00F64788">
        <w:rPr>
          <w:rFonts w:hAnsi="標楷體" w:hint="eastAsia"/>
          <w:szCs w:val="32"/>
        </w:rPr>
        <w:t>於4月28日涉嫌違法對象粘○偉等6人</w:t>
      </w:r>
      <w:r w:rsidR="00D508CD">
        <w:rPr>
          <w:rFonts w:hAnsi="標楷體" w:hint="eastAsia"/>
          <w:szCs w:val="32"/>
        </w:rPr>
        <w:t>已</w:t>
      </w:r>
      <w:r w:rsidR="0069477D" w:rsidRPr="00F64788">
        <w:rPr>
          <w:rFonts w:hAnsi="標楷體" w:hint="eastAsia"/>
          <w:szCs w:val="32"/>
        </w:rPr>
        <w:t>分別於5月13、14、16日即移送地檢署之情形，</w:t>
      </w:r>
      <w:r w:rsidRPr="00F64788">
        <w:rPr>
          <w:rFonts w:hAnsi="標楷體" w:hint="eastAsia"/>
          <w:szCs w:val="32"/>
        </w:rPr>
        <w:t>其偵辦進度顯然過於緩慢，而不盡與</w:t>
      </w:r>
      <w:r w:rsidR="0069477D" w:rsidRPr="00F64788">
        <w:rPr>
          <w:rFonts w:hAnsi="標楷體" w:hint="eastAsia"/>
          <w:szCs w:val="32"/>
        </w:rPr>
        <w:t>法治正義之精神相符，自</w:t>
      </w:r>
      <w:r w:rsidRPr="00F64788">
        <w:rPr>
          <w:rFonts w:hAnsi="標楷體" w:hint="eastAsia"/>
          <w:szCs w:val="32"/>
        </w:rPr>
        <w:t>有待檢討</w:t>
      </w:r>
      <w:r w:rsidR="0069477D" w:rsidRPr="00F64788">
        <w:rPr>
          <w:rFonts w:hAnsi="標楷體" w:hint="eastAsia"/>
          <w:szCs w:val="32"/>
        </w:rPr>
        <w:t>改進。</w:t>
      </w:r>
    </w:p>
    <w:p w:rsidR="009679F7" w:rsidRPr="00F64788" w:rsidRDefault="009679F7" w:rsidP="00314F41">
      <w:pPr>
        <w:pStyle w:val="4"/>
        <w:ind w:leftChars="300" w:left="1700" w:hangingChars="200" w:hanging="680"/>
        <w:rPr>
          <w:rFonts w:hAnsi="標楷體"/>
        </w:rPr>
      </w:pPr>
      <w:r w:rsidRPr="00F64788">
        <w:rPr>
          <w:rFonts w:hAnsi="標楷體" w:hint="eastAsia"/>
        </w:rPr>
        <w:t>警方</w:t>
      </w:r>
      <w:r w:rsidRPr="00F64788">
        <w:rPr>
          <w:rFonts w:hAnsi="標楷體" w:hint="eastAsia"/>
          <w:bCs/>
        </w:rPr>
        <w:t>偵辦</w:t>
      </w:r>
      <w:r w:rsidRPr="00F64788">
        <w:rPr>
          <w:rFonts w:hAnsi="標楷體" w:hint="eastAsia"/>
        </w:rPr>
        <w:t>類似群眾滋擾案件</w:t>
      </w:r>
      <w:r w:rsidR="006775D5" w:rsidRPr="00F64788">
        <w:rPr>
          <w:rFonts w:hAnsi="標楷體" w:hint="eastAsia"/>
        </w:rPr>
        <w:t>，將犯罪嫌疑人移送地檢署後</w:t>
      </w:r>
      <w:r w:rsidRPr="00F64788">
        <w:rPr>
          <w:rFonts w:hAnsi="標楷體" w:hint="eastAsia"/>
        </w:rPr>
        <w:t>起訴率偏低</w:t>
      </w:r>
      <w:r w:rsidR="0069477D" w:rsidRPr="00F64788">
        <w:rPr>
          <w:rFonts w:hAnsi="標楷體" w:hint="eastAsia"/>
        </w:rPr>
        <w:t>，</w:t>
      </w:r>
      <w:r w:rsidR="00D508CD">
        <w:rPr>
          <w:rFonts w:hAnsi="標楷體" w:hint="eastAsia"/>
        </w:rPr>
        <w:t>有</w:t>
      </w:r>
      <w:r w:rsidR="0069477D" w:rsidRPr="00F64788">
        <w:rPr>
          <w:rFonts w:hAnsi="標楷體" w:hint="eastAsia"/>
        </w:rPr>
        <w:t>浪費警</w:t>
      </w:r>
      <w:r w:rsidR="007F1913">
        <w:rPr>
          <w:rFonts w:hAnsi="標楷體" w:hint="eastAsia"/>
        </w:rPr>
        <w:t>察</w:t>
      </w:r>
      <w:r w:rsidR="0069477D" w:rsidRPr="00F64788">
        <w:rPr>
          <w:rFonts w:hAnsi="標楷體" w:hint="eastAsia"/>
        </w:rPr>
        <w:t>資源</w:t>
      </w:r>
      <w:r w:rsidR="00D508CD">
        <w:rPr>
          <w:rFonts w:hAnsi="標楷體" w:hint="eastAsia"/>
        </w:rPr>
        <w:t>之失</w:t>
      </w:r>
      <w:r w:rsidRPr="00F64788">
        <w:rPr>
          <w:rFonts w:hAnsi="標楷體" w:hint="eastAsia"/>
        </w:rPr>
        <w:t>：</w:t>
      </w:r>
    </w:p>
    <w:p w:rsidR="005A6CDA" w:rsidRDefault="005A6CDA" w:rsidP="00314F41">
      <w:pPr>
        <w:pStyle w:val="5"/>
        <w:rPr>
          <w:rFonts w:hAnsi="標楷體"/>
        </w:rPr>
      </w:pPr>
      <w:r w:rsidRPr="00F64788">
        <w:rPr>
          <w:rFonts w:hAnsi="標楷體" w:hint="eastAsia"/>
        </w:rPr>
        <w:t>案據警政署就103年4月25日至29日</w:t>
      </w:r>
      <w:proofErr w:type="gramStart"/>
      <w:r w:rsidRPr="00F64788">
        <w:rPr>
          <w:rFonts w:hAnsi="標楷體" w:hint="eastAsia"/>
        </w:rPr>
        <w:t>參與陳抗活動</w:t>
      </w:r>
      <w:proofErr w:type="gramEnd"/>
      <w:r w:rsidRPr="00F64788">
        <w:rPr>
          <w:rFonts w:hAnsi="標楷體" w:hint="eastAsia"/>
        </w:rPr>
        <w:t>主要涉案人刑案紀錄調查（參閱附表二）予以分析統計，如下</w:t>
      </w:r>
      <w:r w:rsidR="0052177B">
        <w:rPr>
          <w:rFonts w:hAnsi="標楷體" w:hint="eastAsia"/>
        </w:rPr>
        <w:t>表</w:t>
      </w:r>
      <w:r w:rsidRPr="00F64788">
        <w:rPr>
          <w:rFonts w:hAnsi="標楷體" w:hint="eastAsia"/>
        </w:rPr>
        <w:t>：</w:t>
      </w:r>
    </w:p>
    <w:tbl>
      <w:tblPr>
        <w:tblW w:w="826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709"/>
        <w:gridCol w:w="1134"/>
        <w:gridCol w:w="1276"/>
        <w:gridCol w:w="1276"/>
        <w:gridCol w:w="1134"/>
        <w:gridCol w:w="850"/>
      </w:tblGrid>
      <w:tr w:rsidR="0052177B" w:rsidRPr="004E213C" w:rsidTr="0052177B">
        <w:trPr>
          <w:trHeight w:val="762"/>
        </w:trPr>
        <w:tc>
          <w:tcPr>
            <w:tcW w:w="8269" w:type="dxa"/>
            <w:gridSpan w:val="7"/>
            <w:vAlign w:val="center"/>
          </w:tcPr>
          <w:p w:rsidR="0052177B" w:rsidRPr="004E213C" w:rsidRDefault="0052177B" w:rsidP="0052177B">
            <w:pPr>
              <w:spacing w:line="380" w:lineRule="exact"/>
              <w:jc w:val="center"/>
              <w:rPr>
                <w:rFonts w:ascii="標楷體" w:hAnsi="標楷體"/>
                <w:sz w:val="28"/>
                <w:szCs w:val="28"/>
              </w:rPr>
            </w:pPr>
            <w:r w:rsidRPr="004E213C">
              <w:rPr>
                <w:rFonts w:ascii="標楷體" w:hAnsi="標楷體" w:hint="eastAsia"/>
                <w:sz w:val="28"/>
                <w:szCs w:val="28"/>
              </w:rPr>
              <w:t>0425-0429</w:t>
            </w:r>
            <w:proofErr w:type="gramStart"/>
            <w:r w:rsidRPr="004E213C">
              <w:rPr>
                <w:rFonts w:ascii="標楷體" w:hAnsi="標楷體" w:hint="eastAsia"/>
                <w:sz w:val="28"/>
                <w:szCs w:val="28"/>
              </w:rPr>
              <w:t>參與陳抗活動</w:t>
            </w:r>
            <w:proofErr w:type="gramEnd"/>
            <w:r w:rsidRPr="004E213C">
              <w:rPr>
                <w:rFonts w:ascii="標楷體" w:hAnsi="標楷體" w:hint="eastAsia"/>
                <w:sz w:val="28"/>
                <w:szCs w:val="28"/>
              </w:rPr>
              <w:t>犯嫌刑案記錄調查統計表</w:t>
            </w:r>
          </w:p>
        </w:tc>
      </w:tr>
      <w:tr w:rsidR="0052177B" w:rsidRPr="004E213C" w:rsidTr="0052177B">
        <w:trPr>
          <w:trHeight w:val="547"/>
        </w:trPr>
        <w:tc>
          <w:tcPr>
            <w:tcW w:w="1890" w:type="dxa"/>
            <w:vMerge w:val="restart"/>
            <w:vAlign w:val="center"/>
          </w:tcPr>
          <w:p w:rsidR="0052177B" w:rsidRPr="004E213C" w:rsidRDefault="0052177B" w:rsidP="0052177B">
            <w:pPr>
              <w:spacing w:line="380" w:lineRule="exact"/>
              <w:jc w:val="center"/>
              <w:rPr>
                <w:rFonts w:ascii="標楷體" w:hAnsi="標楷體"/>
                <w:sz w:val="28"/>
                <w:szCs w:val="28"/>
              </w:rPr>
            </w:pPr>
            <w:r w:rsidRPr="004E213C">
              <w:rPr>
                <w:rFonts w:ascii="標楷體" w:hAnsi="標楷體" w:hint="eastAsia"/>
                <w:sz w:val="28"/>
                <w:szCs w:val="28"/>
              </w:rPr>
              <w:t>已移送人數</w:t>
            </w:r>
          </w:p>
        </w:tc>
        <w:tc>
          <w:tcPr>
            <w:tcW w:w="1843" w:type="dxa"/>
            <w:gridSpan w:val="2"/>
            <w:vMerge w:val="restart"/>
            <w:vAlign w:val="center"/>
          </w:tcPr>
          <w:p w:rsidR="0052177B" w:rsidRPr="004E213C" w:rsidRDefault="0052177B" w:rsidP="0052177B">
            <w:pPr>
              <w:spacing w:line="380" w:lineRule="exact"/>
              <w:jc w:val="center"/>
              <w:rPr>
                <w:rFonts w:ascii="標楷體" w:hAnsi="標楷體"/>
                <w:sz w:val="28"/>
                <w:szCs w:val="28"/>
              </w:rPr>
            </w:pPr>
            <w:r w:rsidRPr="004E213C">
              <w:rPr>
                <w:rFonts w:ascii="標楷體" w:hAnsi="標楷體" w:hint="eastAsia"/>
                <w:sz w:val="28"/>
                <w:szCs w:val="28"/>
              </w:rPr>
              <w:t>刑案紀錄</w:t>
            </w:r>
          </w:p>
        </w:tc>
        <w:tc>
          <w:tcPr>
            <w:tcW w:w="3686" w:type="dxa"/>
            <w:gridSpan w:val="3"/>
            <w:vAlign w:val="center"/>
          </w:tcPr>
          <w:p w:rsidR="0052177B" w:rsidRPr="004E213C" w:rsidRDefault="0052177B" w:rsidP="0052177B">
            <w:pPr>
              <w:spacing w:line="380" w:lineRule="exact"/>
              <w:jc w:val="center"/>
              <w:rPr>
                <w:rFonts w:ascii="標楷體" w:hAnsi="標楷體"/>
                <w:sz w:val="28"/>
                <w:szCs w:val="28"/>
              </w:rPr>
            </w:pPr>
            <w:proofErr w:type="gramStart"/>
            <w:r w:rsidRPr="004E213C">
              <w:rPr>
                <w:rFonts w:ascii="標楷體" w:hAnsi="標楷體" w:hint="eastAsia"/>
                <w:sz w:val="28"/>
                <w:szCs w:val="28"/>
              </w:rPr>
              <w:t>偵</w:t>
            </w:r>
            <w:proofErr w:type="gramEnd"/>
            <w:r w:rsidRPr="004E213C">
              <w:rPr>
                <w:rFonts w:ascii="標楷體" w:hAnsi="標楷體" w:hint="eastAsia"/>
                <w:sz w:val="28"/>
                <w:szCs w:val="28"/>
              </w:rPr>
              <w:t>審情形</w:t>
            </w:r>
          </w:p>
        </w:tc>
        <w:tc>
          <w:tcPr>
            <w:tcW w:w="850" w:type="dxa"/>
            <w:vAlign w:val="center"/>
          </w:tcPr>
          <w:p w:rsidR="0052177B" w:rsidRPr="004E213C" w:rsidRDefault="0052177B" w:rsidP="0052177B">
            <w:pPr>
              <w:spacing w:line="380" w:lineRule="exact"/>
              <w:jc w:val="center"/>
              <w:rPr>
                <w:rFonts w:ascii="標楷體" w:hAnsi="標楷體"/>
                <w:sz w:val="28"/>
                <w:szCs w:val="28"/>
              </w:rPr>
            </w:pPr>
            <w:r w:rsidRPr="004E213C">
              <w:rPr>
                <w:rFonts w:ascii="標楷體" w:hAnsi="標楷體" w:hint="eastAsia"/>
                <w:sz w:val="28"/>
                <w:szCs w:val="28"/>
              </w:rPr>
              <w:t>備考</w:t>
            </w:r>
          </w:p>
        </w:tc>
      </w:tr>
      <w:tr w:rsidR="0052177B" w:rsidRPr="004E213C" w:rsidTr="0052177B">
        <w:trPr>
          <w:trHeight w:val="527"/>
        </w:trPr>
        <w:tc>
          <w:tcPr>
            <w:tcW w:w="1890" w:type="dxa"/>
            <w:vMerge/>
          </w:tcPr>
          <w:p w:rsidR="0052177B" w:rsidRPr="004E213C" w:rsidRDefault="0052177B" w:rsidP="0052177B">
            <w:pPr>
              <w:spacing w:line="380" w:lineRule="exact"/>
              <w:rPr>
                <w:rFonts w:ascii="標楷體" w:hAnsi="標楷體"/>
                <w:sz w:val="28"/>
                <w:szCs w:val="28"/>
              </w:rPr>
            </w:pPr>
          </w:p>
        </w:tc>
        <w:tc>
          <w:tcPr>
            <w:tcW w:w="1843" w:type="dxa"/>
            <w:gridSpan w:val="2"/>
            <w:vMerge/>
            <w:vAlign w:val="center"/>
          </w:tcPr>
          <w:p w:rsidR="0052177B" w:rsidRPr="004E213C" w:rsidRDefault="0052177B" w:rsidP="0052177B">
            <w:pPr>
              <w:spacing w:line="380" w:lineRule="exact"/>
              <w:jc w:val="center"/>
              <w:rPr>
                <w:rFonts w:ascii="標楷體" w:hAnsi="標楷體"/>
                <w:sz w:val="28"/>
                <w:szCs w:val="28"/>
              </w:rPr>
            </w:pPr>
          </w:p>
        </w:tc>
        <w:tc>
          <w:tcPr>
            <w:tcW w:w="1276" w:type="dxa"/>
            <w:vAlign w:val="center"/>
          </w:tcPr>
          <w:p w:rsidR="0052177B" w:rsidRPr="004E213C" w:rsidRDefault="0052177B" w:rsidP="0052177B">
            <w:pPr>
              <w:spacing w:line="380" w:lineRule="exact"/>
              <w:jc w:val="center"/>
              <w:rPr>
                <w:rFonts w:ascii="標楷體" w:hAnsi="標楷體"/>
                <w:sz w:val="28"/>
                <w:szCs w:val="28"/>
              </w:rPr>
            </w:pPr>
            <w:r w:rsidRPr="004E213C">
              <w:rPr>
                <w:rFonts w:ascii="標楷體" w:hAnsi="標楷體" w:hint="eastAsia"/>
                <w:sz w:val="28"/>
                <w:szCs w:val="28"/>
              </w:rPr>
              <w:t>不起訴</w:t>
            </w:r>
          </w:p>
        </w:tc>
        <w:tc>
          <w:tcPr>
            <w:tcW w:w="1276" w:type="dxa"/>
            <w:vAlign w:val="center"/>
          </w:tcPr>
          <w:p w:rsidR="0052177B" w:rsidRPr="004E213C" w:rsidRDefault="0052177B" w:rsidP="0052177B">
            <w:pPr>
              <w:spacing w:line="380" w:lineRule="exact"/>
              <w:jc w:val="center"/>
              <w:rPr>
                <w:rFonts w:ascii="標楷體" w:hAnsi="標楷體"/>
                <w:sz w:val="28"/>
                <w:szCs w:val="28"/>
              </w:rPr>
            </w:pPr>
            <w:r w:rsidRPr="004E213C">
              <w:rPr>
                <w:rFonts w:ascii="標楷體" w:hAnsi="標楷體" w:hint="eastAsia"/>
                <w:sz w:val="28"/>
                <w:szCs w:val="28"/>
              </w:rPr>
              <w:t>起訴</w:t>
            </w:r>
          </w:p>
        </w:tc>
        <w:tc>
          <w:tcPr>
            <w:tcW w:w="1134" w:type="dxa"/>
            <w:vAlign w:val="center"/>
          </w:tcPr>
          <w:p w:rsidR="0052177B" w:rsidRPr="004E213C" w:rsidRDefault="0052177B" w:rsidP="0052177B">
            <w:pPr>
              <w:spacing w:line="380" w:lineRule="exact"/>
              <w:jc w:val="center"/>
              <w:rPr>
                <w:rFonts w:ascii="標楷體" w:hAnsi="標楷體"/>
                <w:sz w:val="28"/>
                <w:szCs w:val="28"/>
              </w:rPr>
            </w:pPr>
            <w:r w:rsidRPr="004E213C">
              <w:rPr>
                <w:rFonts w:ascii="標楷體" w:hAnsi="標楷體" w:hint="eastAsia"/>
                <w:sz w:val="28"/>
                <w:szCs w:val="28"/>
              </w:rPr>
              <w:t>判決</w:t>
            </w:r>
          </w:p>
        </w:tc>
        <w:tc>
          <w:tcPr>
            <w:tcW w:w="850" w:type="dxa"/>
            <w:vAlign w:val="center"/>
          </w:tcPr>
          <w:p w:rsidR="0052177B" w:rsidRPr="004E213C" w:rsidRDefault="0052177B" w:rsidP="0052177B">
            <w:pPr>
              <w:spacing w:line="380" w:lineRule="exact"/>
              <w:jc w:val="center"/>
              <w:rPr>
                <w:rFonts w:ascii="標楷體" w:hAnsi="標楷體"/>
                <w:sz w:val="28"/>
                <w:szCs w:val="28"/>
              </w:rPr>
            </w:pPr>
          </w:p>
        </w:tc>
      </w:tr>
      <w:tr w:rsidR="0052177B" w:rsidRPr="004E213C" w:rsidTr="0052177B">
        <w:trPr>
          <w:trHeight w:val="580"/>
        </w:trPr>
        <w:tc>
          <w:tcPr>
            <w:tcW w:w="1890" w:type="dxa"/>
            <w:vAlign w:val="center"/>
          </w:tcPr>
          <w:p w:rsidR="0052177B" w:rsidRPr="004E213C" w:rsidRDefault="0052177B" w:rsidP="0052177B">
            <w:pPr>
              <w:spacing w:line="380" w:lineRule="exact"/>
              <w:jc w:val="center"/>
              <w:rPr>
                <w:rFonts w:ascii="標楷體" w:hAnsi="標楷體"/>
                <w:sz w:val="28"/>
                <w:szCs w:val="28"/>
              </w:rPr>
            </w:pPr>
            <w:r w:rsidRPr="004E213C">
              <w:rPr>
                <w:rFonts w:ascii="標楷體" w:hAnsi="標楷體" w:hint="eastAsia"/>
                <w:sz w:val="28"/>
                <w:szCs w:val="28"/>
              </w:rPr>
              <w:t>33人</w:t>
            </w:r>
          </w:p>
        </w:tc>
        <w:tc>
          <w:tcPr>
            <w:tcW w:w="709" w:type="dxa"/>
            <w:vAlign w:val="center"/>
          </w:tcPr>
          <w:p w:rsidR="0052177B" w:rsidRPr="004E213C" w:rsidRDefault="0052177B" w:rsidP="0052177B">
            <w:pPr>
              <w:spacing w:line="380" w:lineRule="exact"/>
              <w:jc w:val="center"/>
              <w:rPr>
                <w:rFonts w:ascii="標楷體" w:hAnsi="標楷體"/>
                <w:sz w:val="28"/>
                <w:szCs w:val="28"/>
              </w:rPr>
            </w:pPr>
            <w:r w:rsidRPr="004E213C">
              <w:rPr>
                <w:rFonts w:ascii="標楷體" w:hAnsi="標楷體" w:hint="eastAsia"/>
                <w:sz w:val="28"/>
                <w:szCs w:val="28"/>
              </w:rPr>
              <w:t>8人</w:t>
            </w:r>
          </w:p>
        </w:tc>
        <w:tc>
          <w:tcPr>
            <w:tcW w:w="1134" w:type="dxa"/>
            <w:vAlign w:val="center"/>
          </w:tcPr>
          <w:p w:rsidR="0052177B" w:rsidRPr="004E213C" w:rsidRDefault="0052177B" w:rsidP="0052177B">
            <w:pPr>
              <w:spacing w:line="380" w:lineRule="exact"/>
              <w:jc w:val="center"/>
              <w:rPr>
                <w:rFonts w:ascii="標楷體" w:hAnsi="標楷體"/>
                <w:sz w:val="28"/>
                <w:szCs w:val="28"/>
              </w:rPr>
            </w:pPr>
            <w:r w:rsidRPr="004E213C">
              <w:rPr>
                <w:rFonts w:ascii="標楷體" w:hAnsi="標楷體" w:hint="eastAsia"/>
                <w:sz w:val="28"/>
                <w:szCs w:val="28"/>
              </w:rPr>
              <w:t>49案</w:t>
            </w:r>
          </w:p>
        </w:tc>
        <w:tc>
          <w:tcPr>
            <w:tcW w:w="1276" w:type="dxa"/>
            <w:vAlign w:val="center"/>
          </w:tcPr>
          <w:p w:rsidR="0052177B" w:rsidRPr="004E213C" w:rsidRDefault="0052177B" w:rsidP="0052177B">
            <w:pPr>
              <w:spacing w:line="380" w:lineRule="exact"/>
              <w:ind w:left="135" w:hangingChars="45" w:hanging="135"/>
              <w:jc w:val="center"/>
              <w:rPr>
                <w:rFonts w:ascii="標楷體" w:hAnsi="標楷體"/>
                <w:sz w:val="28"/>
                <w:szCs w:val="28"/>
              </w:rPr>
            </w:pPr>
            <w:r w:rsidRPr="004E213C">
              <w:rPr>
                <w:rFonts w:ascii="標楷體" w:hAnsi="標楷體" w:hint="eastAsia"/>
                <w:sz w:val="28"/>
                <w:szCs w:val="28"/>
              </w:rPr>
              <w:t>20案</w:t>
            </w:r>
          </w:p>
        </w:tc>
        <w:tc>
          <w:tcPr>
            <w:tcW w:w="1276" w:type="dxa"/>
            <w:vAlign w:val="center"/>
          </w:tcPr>
          <w:p w:rsidR="0052177B" w:rsidRPr="004E213C" w:rsidRDefault="0052177B" w:rsidP="0052177B">
            <w:pPr>
              <w:spacing w:line="380" w:lineRule="exact"/>
              <w:jc w:val="center"/>
              <w:rPr>
                <w:rFonts w:ascii="標楷體" w:hAnsi="標楷體"/>
                <w:sz w:val="28"/>
                <w:szCs w:val="28"/>
              </w:rPr>
            </w:pPr>
            <w:r w:rsidRPr="004E213C">
              <w:rPr>
                <w:rFonts w:ascii="標楷體" w:hAnsi="標楷體" w:hint="eastAsia"/>
                <w:sz w:val="28"/>
                <w:szCs w:val="28"/>
              </w:rPr>
              <w:t>4案</w:t>
            </w:r>
          </w:p>
        </w:tc>
        <w:tc>
          <w:tcPr>
            <w:tcW w:w="1134" w:type="dxa"/>
            <w:vAlign w:val="center"/>
          </w:tcPr>
          <w:p w:rsidR="0052177B" w:rsidRPr="004E213C" w:rsidRDefault="0052177B" w:rsidP="0052177B">
            <w:pPr>
              <w:spacing w:line="380" w:lineRule="exact"/>
              <w:jc w:val="center"/>
              <w:rPr>
                <w:rFonts w:ascii="標楷體" w:hAnsi="標楷體"/>
                <w:sz w:val="28"/>
                <w:szCs w:val="28"/>
              </w:rPr>
            </w:pPr>
            <w:r w:rsidRPr="004E213C">
              <w:rPr>
                <w:rFonts w:ascii="標楷體" w:hAnsi="標楷體" w:hint="eastAsia"/>
                <w:sz w:val="28"/>
                <w:szCs w:val="28"/>
              </w:rPr>
              <w:t>4案</w:t>
            </w:r>
          </w:p>
        </w:tc>
        <w:tc>
          <w:tcPr>
            <w:tcW w:w="850" w:type="dxa"/>
            <w:vAlign w:val="center"/>
          </w:tcPr>
          <w:p w:rsidR="0052177B" w:rsidRPr="004E213C" w:rsidRDefault="0052177B" w:rsidP="0052177B">
            <w:pPr>
              <w:spacing w:line="380" w:lineRule="exact"/>
              <w:ind w:left="189" w:hangingChars="63" w:hanging="189"/>
              <w:jc w:val="center"/>
              <w:rPr>
                <w:rFonts w:ascii="標楷體" w:hAnsi="標楷體"/>
                <w:sz w:val="28"/>
                <w:szCs w:val="28"/>
              </w:rPr>
            </w:pPr>
          </w:p>
        </w:tc>
      </w:tr>
    </w:tbl>
    <w:p w:rsidR="0052177B" w:rsidRDefault="0052177B" w:rsidP="0052177B">
      <w:pPr>
        <w:pStyle w:val="5"/>
        <w:numPr>
          <w:ilvl w:val="0"/>
          <w:numId w:val="0"/>
        </w:numPr>
        <w:ind w:firstLineChars="250" w:firstLine="750"/>
        <w:rPr>
          <w:rFonts w:hAnsi="標楷體"/>
          <w:sz w:val="28"/>
          <w:szCs w:val="28"/>
        </w:rPr>
      </w:pPr>
      <w:r w:rsidRPr="00FD1984">
        <w:rPr>
          <w:rFonts w:hAnsi="標楷體" w:hint="eastAsia"/>
          <w:sz w:val="28"/>
          <w:szCs w:val="28"/>
        </w:rPr>
        <w:t>資料來源</w:t>
      </w:r>
      <w:r>
        <w:rPr>
          <w:rFonts w:hAnsi="標楷體" w:hint="eastAsia"/>
          <w:sz w:val="28"/>
          <w:szCs w:val="28"/>
        </w:rPr>
        <w:t>:內政部警政署刑案資訊系統(103.06.10)</w:t>
      </w:r>
    </w:p>
    <w:p w:rsidR="0052177B" w:rsidRDefault="0052177B" w:rsidP="0052177B">
      <w:pPr>
        <w:pStyle w:val="5"/>
        <w:numPr>
          <w:ilvl w:val="0"/>
          <w:numId w:val="0"/>
        </w:numPr>
        <w:ind w:firstLineChars="250" w:firstLine="750"/>
        <w:rPr>
          <w:rFonts w:hAnsi="標楷體"/>
          <w:sz w:val="28"/>
          <w:szCs w:val="28"/>
        </w:rPr>
      </w:pPr>
    </w:p>
    <w:p w:rsidR="0052177B" w:rsidRPr="0052177B" w:rsidRDefault="0052177B" w:rsidP="00F66467">
      <w:pPr>
        <w:spacing w:line="360" w:lineRule="exact"/>
        <w:ind w:firstLineChars="450" w:firstLine="1351"/>
        <w:rPr>
          <w:rFonts w:ascii="標楷體" w:hAnsi="標楷體"/>
          <w:sz w:val="28"/>
          <w:szCs w:val="28"/>
        </w:rPr>
      </w:pPr>
      <w:r w:rsidRPr="0052177B">
        <w:rPr>
          <w:rFonts w:ascii="標楷體" w:hAnsi="標楷體" w:hint="eastAsia"/>
          <w:sz w:val="28"/>
          <w:szCs w:val="28"/>
        </w:rPr>
        <w:t>說明:</w:t>
      </w:r>
    </w:p>
    <w:p w:rsidR="0052177B" w:rsidRPr="0052177B" w:rsidRDefault="0052177B" w:rsidP="0052177B">
      <w:pPr>
        <w:spacing w:before="240" w:line="360" w:lineRule="exact"/>
        <w:ind w:leftChars="400" w:left="1811" w:hangingChars="150" w:hanging="450"/>
        <w:jc w:val="both"/>
        <w:rPr>
          <w:rFonts w:ascii="標楷體" w:hAnsi="標楷體"/>
          <w:sz w:val="28"/>
          <w:szCs w:val="28"/>
        </w:rPr>
      </w:pPr>
      <w:r w:rsidRPr="0052177B">
        <w:rPr>
          <w:rFonts w:ascii="標楷體" w:hAnsi="標楷體" w:hint="eastAsia"/>
          <w:sz w:val="28"/>
          <w:szCs w:val="28"/>
        </w:rPr>
        <w:t>一、0425-0429</w:t>
      </w:r>
      <w:proofErr w:type="gramStart"/>
      <w:r w:rsidRPr="0052177B">
        <w:rPr>
          <w:rFonts w:ascii="標楷體" w:hAnsi="標楷體" w:hint="eastAsia"/>
          <w:sz w:val="28"/>
          <w:szCs w:val="28"/>
        </w:rPr>
        <w:t>參與陳抗活動</w:t>
      </w:r>
      <w:proofErr w:type="gramEnd"/>
      <w:r w:rsidRPr="0052177B">
        <w:rPr>
          <w:rFonts w:ascii="標楷體" w:hAnsi="標楷體" w:hint="eastAsia"/>
          <w:sz w:val="28"/>
          <w:szCs w:val="28"/>
        </w:rPr>
        <w:t>已移送</w:t>
      </w:r>
      <w:proofErr w:type="gramStart"/>
      <w:r w:rsidRPr="0052177B">
        <w:rPr>
          <w:rFonts w:ascii="標楷體" w:hAnsi="標楷體" w:hint="eastAsia"/>
          <w:sz w:val="28"/>
          <w:szCs w:val="28"/>
        </w:rPr>
        <w:t>蔡</w:t>
      </w:r>
      <w:proofErr w:type="gramEnd"/>
      <w:r w:rsidRPr="0052177B">
        <w:rPr>
          <w:rFonts w:ascii="標楷體" w:hAnsi="標楷體" w:hint="eastAsia"/>
          <w:sz w:val="28"/>
          <w:szCs w:val="28"/>
        </w:rPr>
        <w:t>○貴等33人(其中</w:t>
      </w:r>
      <w:proofErr w:type="gramStart"/>
      <w:r w:rsidRPr="0052177B">
        <w:rPr>
          <w:rFonts w:ascii="標楷體" w:hAnsi="標楷體" w:hint="eastAsia"/>
          <w:sz w:val="28"/>
          <w:szCs w:val="28"/>
        </w:rPr>
        <w:t>蔡</w:t>
      </w:r>
      <w:proofErr w:type="gramEnd"/>
      <w:r w:rsidRPr="0052177B">
        <w:rPr>
          <w:rFonts w:ascii="標楷體" w:hAnsi="標楷體" w:hint="eastAsia"/>
          <w:sz w:val="28"/>
          <w:szCs w:val="28"/>
        </w:rPr>
        <w:t>○貴於0428、0429連續</w:t>
      </w:r>
      <w:proofErr w:type="gramStart"/>
      <w:r w:rsidRPr="0052177B">
        <w:rPr>
          <w:rFonts w:ascii="標楷體" w:hAnsi="標楷體" w:hint="eastAsia"/>
          <w:sz w:val="28"/>
          <w:szCs w:val="28"/>
        </w:rPr>
        <w:t>參與陳抗活動</w:t>
      </w:r>
      <w:proofErr w:type="gramEnd"/>
      <w:r w:rsidRPr="0052177B">
        <w:rPr>
          <w:rFonts w:ascii="標楷體" w:hAnsi="標楷體" w:hint="eastAsia"/>
          <w:sz w:val="28"/>
          <w:szCs w:val="28"/>
        </w:rPr>
        <w:t>；李○</w:t>
      </w:r>
      <w:proofErr w:type="gramStart"/>
      <w:r w:rsidRPr="0052177B">
        <w:rPr>
          <w:rFonts w:ascii="標楷體" w:hAnsi="標楷體" w:hint="eastAsia"/>
          <w:sz w:val="28"/>
          <w:szCs w:val="28"/>
        </w:rPr>
        <w:t>宇於0425、0429</w:t>
      </w:r>
      <w:proofErr w:type="gramEnd"/>
      <w:r w:rsidRPr="0052177B">
        <w:rPr>
          <w:rFonts w:ascii="標楷體" w:hAnsi="標楷體" w:hint="eastAsia"/>
          <w:sz w:val="28"/>
          <w:szCs w:val="28"/>
        </w:rPr>
        <w:t>連續</w:t>
      </w:r>
      <w:proofErr w:type="gramStart"/>
      <w:r w:rsidRPr="0052177B">
        <w:rPr>
          <w:rFonts w:ascii="標楷體" w:hAnsi="標楷體" w:hint="eastAsia"/>
          <w:sz w:val="28"/>
          <w:szCs w:val="28"/>
        </w:rPr>
        <w:t>參與陳抗活動</w:t>
      </w:r>
      <w:proofErr w:type="gramEnd"/>
      <w:r w:rsidRPr="0052177B">
        <w:rPr>
          <w:rFonts w:ascii="標楷體" w:hAnsi="標楷體" w:hint="eastAsia"/>
          <w:sz w:val="28"/>
          <w:szCs w:val="28"/>
        </w:rPr>
        <w:t>)。</w:t>
      </w:r>
    </w:p>
    <w:p w:rsidR="0052177B" w:rsidRPr="0052177B" w:rsidRDefault="0052177B" w:rsidP="0052177B">
      <w:pPr>
        <w:spacing w:line="360" w:lineRule="exact"/>
        <w:ind w:firstLineChars="450" w:firstLine="1351"/>
        <w:jc w:val="both"/>
        <w:rPr>
          <w:rFonts w:ascii="標楷體" w:hAnsi="標楷體"/>
          <w:sz w:val="28"/>
          <w:szCs w:val="28"/>
        </w:rPr>
      </w:pPr>
      <w:r w:rsidRPr="0052177B">
        <w:rPr>
          <w:rFonts w:ascii="標楷體" w:hAnsi="標楷體" w:hint="eastAsia"/>
          <w:sz w:val="28"/>
          <w:szCs w:val="28"/>
        </w:rPr>
        <w:t>二、曾具有刑案記錄者計蔡○貴等8人，分述如下:</w:t>
      </w:r>
    </w:p>
    <w:p w:rsidR="0052177B" w:rsidRPr="0052177B" w:rsidRDefault="0052177B" w:rsidP="0052177B">
      <w:pPr>
        <w:spacing w:line="360" w:lineRule="exact"/>
        <w:ind w:leftChars="468" w:left="2198" w:hangingChars="202" w:hanging="606"/>
        <w:jc w:val="both"/>
        <w:rPr>
          <w:rFonts w:ascii="標楷體" w:hAnsi="標楷體"/>
          <w:sz w:val="28"/>
          <w:szCs w:val="28"/>
        </w:rPr>
      </w:pPr>
      <w:r w:rsidRPr="0052177B">
        <w:rPr>
          <w:rFonts w:ascii="標楷體" w:hAnsi="標楷體" w:hint="eastAsia"/>
          <w:sz w:val="28"/>
          <w:szCs w:val="28"/>
        </w:rPr>
        <w:t>(</w:t>
      </w:r>
      <w:proofErr w:type="gramStart"/>
      <w:r w:rsidRPr="0052177B">
        <w:rPr>
          <w:rFonts w:ascii="標楷體" w:hAnsi="標楷體" w:hint="eastAsia"/>
          <w:sz w:val="28"/>
          <w:szCs w:val="28"/>
        </w:rPr>
        <w:t>一</w:t>
      </w:r>
      <w:proofErr w:type="gramEnd"/>
      <w:r w:rsidRPr="0052177B">
        <w:rPr>
          <w:rFonts w:ascii="標楷體" w:hAnsi="標楷體" w:hint="eastAsia"/>
          <w:sz w:val="28"/>
          <w:szCs w:val="28"/>
        </w:rPr>
        <w:t>)</w:t>
      </w:r>
      <w:proofErr w:type="gramStart"/>
      <w:r w:rsidRPr="0052177B">
        <w:rPr>
          <w:rFonts w:ascii="標楷體" w:hAnsi="標楷體" w:hint="eastAsia"/>
          <w:sz w:val="28"/>
          <w:szCs w:val="28"/>
        </w:rPr>
        <w:t>蔡</w:t>
      </w:r>
      <w:proofErr w:type="gramEnd"/>
      <w:r w:rsidRPr="0052177B">
        <w:rPr>
          <w:rFonts w:ascii="標楷體" w:hAnsi="標楷體" w:hint="eastAsia"/>
          <w:sz w:val="28"/>
          <w:szCs w:val="28"/>
        </w:rPr>
        <w:t>○貴刑案紀錄:移送25案，不起訴14案，起訴2案，判決2案。</w:t>
      </w:r>
    </w:p>
    <w:p w:rsidR="0052177B" w:rsidRPr="0052177B" w:rsidRDefault="0052177B" w:rsidP="0052177B">
      <w:pPr>
        <w:spacing w:line="360" w:lineRule="exact"/>
        <w:ind w:leftChars="468" w:left="2198" w:hangingChars="202" w:hanging="606"/>
        <w:jc w:val="both"/>
        <w:rPr>
          <w:rFonts w:ascii="標楷體" w:hAnsi="標楷體"/>
          <w:sz w:val="28"/>
          <w:szCs w:val="28"/>
        </w:rPr>
      </w:pPr>
      <w:r w:rsidRPr="0052177B">
        <w:rPr>
          <w:rFonts w:ascii="標楷體" w:hAnsi="標楷體" w:hint="eastAsia"/>
          <w:sz w:val="28"/>
          <w:szCs w:val="28"/>
        </w:rPr>
        <w:t>(二)賴○徵刑案紀錄:移送14案，不起訴5案，起訴1案，判決1案。</w:t>
      </w:r>
    </w:p>
    <w:p w:rsidR="0052177B" w:rsidRPr="0052177B" w:rsidRDefault="0052177B" w:rsidP="0052177B">
      <w:pPr>
        <w:spacing w:line="360" w:lineRule="exact"/>
        <w:ind w:leftChars="468" w:left="2198" w:hangingChars="202" w:hanging="606"/>
        <w:jc w:val="both"/>
        <w:rPr>
          <w:rFonts w:ascii="標楷體" w:hAnsi="標楷體"/>
          <w:sz w:val="28"/>
          <w:szCs w:val="28"/>
        </w:rPr>
      </w:pPr>
      <w:r w:rsidRPr="0052177B">
        <w:rPr>
          <w:rFonts w:ascii="標楷體" w:hAnsi="標楷體" w:hint="eastAsia"/>
          <w:sz w:val="28"/>
          <w:szCs w:val="28"/>
        </w:rPr>
        <w:t>(三)王○</w:t>
      </w:r>
      <w:proofErr w:type="gramStart"/>
      <w:r w:rsidRPr="0052177B">
        <w:rPr>
          <w:rFonts w:ascii="標楷體" w:hAnsi="標楷體" w:hint="eastAsia"/>
          <w:sz w:val="28"/>
          <w:szCs w:val="28"/>
        </w:rPr>
        <w:t>凱</w:t>
      </w:r>
      <w:proofErr w:type="gramEnd"/>
      <w:r w:rsidRPr="0052177B">
        <w:rPr>
          <w:rFonts w:ascii="標楷體" w:hAnsi="標楷體" w:hint="eastAsia"/>
          <w:sz w:val="28"/>
          <w:szCs w:val="28"/>
        </w:rPr>
        <w:t>刑案紀錄:移送3案。</w:t>
      </w:r>
    </w:p>
    <w:p w:rsidR="0052177B" w:rsidRPr="0052177B" w:rsidRDefault="0052177B" w:rsidP="0052177B">
      <w:pPr>
        <w:spacing w:line="360" w:lineRule="exact"/>
        <w:ind w:leftChars="468" w:left="2198" w:hangingChars="202" w:hanging="606"/>
        <w:jc w:val="both"/>
        <w:rPr>
          <w:rFonts w:ascii="標楷體" w:hAnsi="標楷體"/>
          <w:sz w:val="28"/>
          <w:szCs w:val="28"/>
        </w:rPr>
      </w:pPr>
      <w:r w:rsidRPr="0052177B">
        <w:rPr>
          <w:rFonts w:ascii="標楷體" w:hAnsi="標楷體" w:hint="eastAsia"/>
          <w:sz w:val="28"/>
          <w:szCs w:val="28"/>
        </w:rPr>
        <w:t>(四)李○涵刑案紀錄:移送3案，不起訴1案。</w:t>
      </w:r>
    </w:p>
    <w:p w:rsidR="0052177B" w:rsidRPr="0052177B" w:rsidRDefault="0052177B" w:rsidP="0052177B">
      <w:pPr>
        <w:spacing w:line="360" w:lineRule="exact"/>
        <w:ind w:leftChars="468" w:left="2198" w:hangingChars="202" w:hanging="606"/>
        <w:jc w:val="both"/>
        <w:rPr>
          <w:rFonts w:ascii="標楷體" w:hAnsi="標楷體"/>
          <w:sz w:val="28"/>
          <w:szCs w:val="28"/>
        </w:rPr>
      </w:pPr>
      <w:r w:rsidRPr="0052177B">
        <w:rPr>
          <w:rFonts w:ascii="標楷體" w:hAnsi="標楷體" w:hint="eastAsia"/>
          <w:sz w:val="28"/>
          <w:szCs w:val="28"/>
        </w:rPr>
        <w:t>(五)洪○</w:t>
      </w:r>
      <w:proofErr w:type="gramStart"/>
      <w:r w:rsidRPr="0052177B">
        <w:rPr>
          <w:rFonts w:ascii="標楷體" w:hAnsi="標楷體" w:hint="eastAsia"/>
          <w:sz w:val="28"/>
          <w:szCs w:val="28"/>
        </w:rPr>
        <w:t>晏</w:t>
      </w:r>
      <w:proofErr w:type="gramEnd"/>
      <w:r w:rsidRPr="0052177B">
        <w:rPr>
          <w:rFonts w:ascii="標楷體" w:hAnsi="標楷體" w:hint="eastAsia"/>
          <w:sz w:val="28"/>
          <w:szCs w:val="28"/>
        </w:rPr>
        <w:t>刑案紀錄:移送1案。</w:t>
      </w:r>
    </w:p>
    <w:p w:rsidR="0052177B" w:rsidRPr="0052177B" w:rsidRDefault="0052177B" w:rsidP="0052177B">
      <w:pPr>
        <w:spacing w:line="360" w:lineRule="exact"/>
        <w:ind w:leftChars="468" w:left="2198" w:hangingChars="202" w:hanging="606"/>
        <w:jc w:val="both"/>
        <w:rPr>
          <w:rFonts w:ascii="標楷體" w:hAnsi="標楷體"/>
          <w:sz w:val="28"/>
          <w:szCs w:val="28"/>
        </w:rPr>
      </w:pPr>
      <w:r w:rsidRPr="0052177B">
        <w:rPr>
          <w:rFonts w:ascii="標楷體" w:hAnsi="標楷體" w:hint="eastAsia"/>
          <w:sz w:val="28"/>
          <w:szCs w:val="28"/>
        </w:rPr>
        <w:t>(六)賴○榮刑案紀錄:移送1案。</w:t>
      </w:r>
    </w:p>
    <w:p w:rsidR="0052177B" w:rsidRPr="0052177B" w:rsidRDefault="0052177B" w:rsidP="0052177B">
      <w:pPr>
        <w:spacing w:line="360" w:lineRule="exact"/>
        <w:ind w:leftChars="468" w:left="2198" w:hangingChars="202" w:hanging="606"/>
        <w:jc w:val="both"/>
        <w:rPr>
          <w:rFonts w:ascii="標楷體" w:hAnsi="標楷體"/>
          <w:sz w:val="28"/>
          <w:szCs w:val="28"/>
        </w:rPr>
      </w:pPr>
      <w:r w:rsidRPr="0052177B">
        <w:rPr>
          <w:rFonts w:ascii="標楷體" w:hAnsi="標楷體" w:hint="eastAsia"/>
          <w:sz w:val="28"/>
          <w:szCs w:val="28"/>
        </w:rPr>
        <w:t>(七)粘○偉刑案紀錄:移送1案。</w:t>
      </w:r>
    </w:p>
    <w:p w:rsidR="0052177B" w:rsidRPr="0052177B" w:rsidRDefault="0052177B" w:rsidP="0052177B">
      <w:pPr>
        <w:spacing w:line="360" w:lineRule="exact"/>
        <w:ind w:leftChars="468" w:left="2198" w:hangingChars="202" w:hanging="606"/>
        <w:jc w:val="both"/>
        <w:rPr>
          <w:rFonts w:ascii="標楷體" w:hAnsi="標楷體"/>
          <w:sz w:val="28"/>
          <w:szCs w:val="28"/>
        </w:rPr>
      </w:pPr>
      <w:r w:rsidRPr="0052177B">
        <w:rPr>
          <w:rFonts w:ascii="標楷體" w:hAnsi="標楷體" w:hint="eastAsia"/>
          <w:sz w:val="28"/>
          <w:szCs w:val="28"/>
        </w:rPr>
        <w:t>(八)格○刑案紀錄:移送1案，起訴1案，判決1案。</w:t>
      </w:r>
    </w:p>
    <w:p w:rsidR="0052177B" w:rsidRDefault="0052177B" w:rsidP="0052177B">
      <w:pPr>
        <w:spacing w:line="360" w:lineRule="exact"/>
        <w:ind w:leftChars="600" w:left="2041"/>
        <w:jc w:val="both"/>
        <w:rPr>
          <w:rFonts w:ascii="標楷體" w:hAnsi="標楷體"/>
          <w:sz w:val="28"/>
          <w:szCs w:val="28"/>
        </w:rPr>
      </w:pPr>
      <w:r w:rsidRPr="0052177B">
        <w:rPr>
          <w:rFonts w:ascii="標楷體" w:hAnsi="標楷體" w:hint="eastAsia"/>
          <w:sz w:val="28"/>
          <w:szCs w:val="28"/>
        </w:rPr>
        <w:t>合計刑案紀錄:移送49案，不起訴20案，起訴4案，判決4案。</w:t>
      </w:r>
    </w:p>
    <w:p w:rsidR="0041611F" w:rsidRPr="0052177B" w:rsidRDefault="0041611F" w:rsidP="0052177B">
      <w:pPr>
        <w:spacing w:line="360" w:lineRule="exact"/>
        <w:ind w:leftChars="600" w:left="2041"/>
        <w:jc w:val="both"/>
        <w:rPr>
          <w:rFonts w:ascii="標楷體" w:hAnsi="標楷體"/>
          <w:szCs w:val="32"/>
        </w:rPr>
      </w:pPr>
    </w:p>
    <w:p w:rsidR="00314F41" w:rsidRPr="00F64788" w:rsidRDefault="00314F41" w:rsidP="00314F41">
      <w:pPr>
        <w:pStyle w:val="5"/>
        <w:rPr>
          <w:rFonts w:hAnsi="標楷體"/>
        </w:rPr>
      </w:pPr>
      <w:r w:rsidRPr="00F64788">
        <w:rPr>
          <w:rFonts w:hAnsi="標楷體" w:hint="eastAsia"/>
        </w:rPr>
        <w:t>由上表可</w:t>
      </w:r>
      <w:r w:rsidR="003A29F6">
        <w:rPr>
          <w:rFonts w:hAnsi="標楷體" w:hint="eastAsia"/>
        </w:rPr>
        <w:t>見</w:t>
      </w:r>
      <w:r w:rsidRPr="00F64788">
        <w:rPr>
          <w:rFonts w:hAnsi="標楷體" w:hint="eastAsia"/>
        </w:rPr>
        <w:t>，</w:t>
      </w:r>
      <w:r w:rsidR="003A0404" w:rsidRPr="00F64788">
        <w:rPr>
          <w:rFonts w:hAnsi="標楷體" w:hint="eastAsia"/>
        </w:rPr>
        <w:t>上開</w:t>
      </w:r>
      <w:proofErr w:type="gramStart"/>
      <w:r w:rsidR="00D508CD">
        <w:rPr>
          <w:rFonts w:hAnsi="標楷體" w:hint="eastAsia"/>
        </w:rPr>
        <w:t>群眾</w:t>
      </w:r>
      <w:r w:rsidR="003A0404" w:rsidRPr="00F64788">
        <w:rPr>
          <w:rFonts w:hAnsi="標楷體" w:hint="eastAsia"/>
        </w:rPr>
        <w:t>陳抗</w:t>
      </w:r>
      <w:r w:rsidR="00D508CD">
        <w:rPr>
          <w:rFonts w:hAnsi="標楷體" w:hint="eastAsia"/>
        </w:rPr>
        <w:t>事件</w:t>
      </w:r>
      <w:proofErr w:type="gramEnd"/>
      <w:r w:rsidR="003A0404" w:rsidRPr="00F64788">
        <w:rPr>
          <w:rFonts w:hAnsi="標楷體" w:hint="eastAsia"/>
        </w:rPr>
        <w:t>主要</w:t>
      </w:r>
      <w:r w:rsidR="00D508CD">
        <w:rPr>
          <w:rFonts w:hAnsi="標楷體" w:hint="eastAsia"/>
        </w:rPr>
        <w:t>負責</w:t>
      </w:r>
      <w:r w:rsidR="003A0404" w:rsidRPr="00F64788">
        <w:rPr>
          <w:rFonts w:hAnsi="標楷體" w:hint="eastAsia"/>
        </w:rPr>
        <w:t>人因</w:t>
      </w:r>
      <w:r w:rsidR="00D508CD">
        <w:rPr>
          <w:rFonts w:hAnsi="標楷體" w:hint="eastAsia"/>
        </w:rPr>
        <w:t>參與</w:t>
      </w:r>
      <w:r w:rsidR="003A0404" w:rsidRPr="00F64788">
        <w:rPr>
          <w:rFonts w:hAnsi="標楷體" w:hint="eastAsia"/>
        </w:rPr>
        <w:t>類似</w:t>
      </w:r>
      <w:r w:rsidR="00D508CD">
        <w:rPr>
          <w:rFonts w:hAnsi="標楷體" w:hint="eastAsia"/>
        </w:rPr>
        <w:t>群眾運動</w:t>
      </w:r>
      <w:r w:rsidR="003A0404" w:rsidRPr="00F64788">
        <w:rPr>
          <w:rFonts w:hAnsi="標楷體" w:hint="eastAsia"/>
        </w:rPr>
        <w:t>涉及不法</w:t>
      </w:r>
      <w:r w:rsidR="00D508CD">
        <w:rPr>
          <w:rFonts w:hAnsi="標楷體" w:hint="eastAsia"/>
        </w:rPr>
        <w:t>，遭</w:t>
      </w:r>
      <w:r w:rsidR="003A0404" w:rsidRPr="00F64788">
        <w:rPr>
          <w:rFonts w:hAnsi="標楷體" w:hint="eastAsia"/>
        </w:rPr>
        <w:t>警方移送檢察署</w:t>
      </w:r>
      <w:r w:rsidR="00D508CD">
        <w:rPr>
          <w:rFonts w:hAnsi="標楷體" w:hint="eastAsia"/>
        </w:rPr>
        <w:t>偵辦者</w:t>
      </w:r>
      <w:r w:rsidR="003A0404" w:rsidRPr="00F64788">
        <w:rPr>
          <w:rFonts w:hAnsi="標楷體" w:hint="eastAsia"/>
        </w:rPr>
        <w:t>合計49案，目前檢審機關</w:t>
      </w:r>
      <w:r w:rsidR="00D508CD">
        <w:rPr>
          <w:rFonts w:hAnsi="標楷體" w:hint="eastAsia"/>
        </w:rPr>
        <w:t>已</w:t>
      </w:r>
      <w:proofErr w:type="gramStart"/>
      <w:r w:rsidR="003A0404" w:rsidRPr="00F64788">
        <w:rPr>
          <w:rFonts w:hAnsi="標楷體" w:hint="eastAsia"/>
        </w:rPr>
        <w:t>偵</w:t>
      </w:r>
      <w:proofErr w:type="gramEnd"/>
      <w:r w:rsidR="003A0404" w:rsidRPr="00F64788">
        <w:rPr>
          <w:rFonts w:hAnsi="標楷體" w:hint="eastAsia"/>
        </w:rPr>
        <w:t>審28案，惟</w:t>
      </w:r>
      <w:r w:rsidR="007F1913">
        <w:rPr>
          <w:rFonts w:hAnsi="標楷體" w:hint="eastAsia"/>
        </w:rPr>
        <w:t>檢察官</w:t>
      </w:r>
      <w:r w:rsidR="003A0404" w:rsidRPr="00F64788">
        <w:rPr>
          <w:rFonts w:hAnsi="標楷體" w:hint="eastAsia"/>
        </w:rPr>
        <w:t>不起訴</w:t>
      </w:r>
      <w:r w:rsidR="007F1913">
        <w:rPr>
          <w:rFonts w:hAnsi="標楷體" w:hint="eastAsia"/>
        </w:rPr>
        <w:t>者</w:t>
      </w:r>
      <w:r w:rsidR="003A0404" w:rsidRPr="00F64788">
        <w:rPr>
          <w:rFonts w:hAnsi="標楷體" w:hint="eastAsia"/>
        </w:rPr>
        <w:t>竟多達20案</w:t>
      </w:r>
      <w:r w:rsidR="007F1913">
        <w:rPr>
          <w:rFonts w:hAnsi="標楷體" w:hint="eastAsia"/>
        </w:rPr>
        <w:t>，比例顯然偏高，警察資源顯有虛擲浪費之失</w:t>
      </w:r>
      <w:r w:rsidR="003A0404" w:rsidRPr="00F64788">
        <w:rPr>
          <w:rFonts w:hAnsi="標楷體" w:hint="eastAsia"/>
        </w:rPr>
        <w:t>，亟待檢討正視。</w:t>
      </w:r>
    </w:p>
    <w:p w:rsidR="00BF2CD3" w:rsidRPr="00F64788" w:rsidRDefault="00BF2CD3" w:rsidP="003A0404">
      <w:pPr>
        <w:pStyle w:val="3"/>
        <w:rPr>
          <w:rFonts w:hAnsi="標楷體"/>
          <w:szCs w:val="32"/>
        </w:rPr>
      </w:pPr>
      <w:r w:rsidRPr="00F64788">
        <w:rPr>
          <w:rFonts w:hAnsi="標楷體" w:hint="eastAsia"/>
          <w:szCs w:val="32"/>
        </w:rPr>
        <w:t>檢察與警</w:t>
      </w:r>
      <w:r w:rsidR="00B77966">
        <w:rPr>
          <w:rFonts w:hAnsi="標楷體" w:hint="eastAsia"/>
          <w:szCs w:val="32"/>
        </w:rPr>
        <w:t>察機關應落實</w:t>
      </w:r>
      <w:r w:rsidRPr="00F64788">
        <w:rPr>
          <w:rFonts w:hAnsi="標楷體" w:hint="eastAsia"/>
          <w:szCs w:val="32"/>
        </w:rPr>
        <w:t>聯繫協調機制，</w:t>
      </w:r>
      <w:r w:rsidR="00A011E2" w:rsidRPr="00F64788">
        <w:rPr>
          <w:rFonts w:hAnsi="標楷體" w:hint="eastAsia"/>
          <w:szCs w:val="32"/>
        </w:rPr>
        <w:t>藉以</w:t>
      </w:r>
      <w:r w:rsidRPr="00F64788">
        <w:rPr>
          <w:rFonts w:hAnsi="標楷體" w:hint="eastAsia"/>
          <w:szCs w:val="32"/>
        </w:rPr>
        <w:t>強化第一線員警執法判斷，</w:t>
      </w:r>
      <w:r w:rsidR="00A011E2" w:rsidRPr="00F64788">
        <w:rPr>
          <w:rFonts w:hAnsi="標楷體" w:hint="eastAsia"/>
          <w:szCs w:val="32"/>
        </w:rPr>
        <w:t>並</w:t>
      </w:r>
      <w:r w:rsidRPr="00F64788">
        <w:rPr>
          <w:rFonts w:hAnsi="標楷體" w:hint="eastAsia"/>
          <w:szCs w:val="32"/>
        </w:rPr>
        <w:t>提升檢察官</w:t>
      </w:r>
      <w:r w:rsidR="00B77966">
        <w:rPr>
          <w:rFonts w:hAnsi="標楷體" w:hint="eastAsia"/>
          <w:szCs w:val="32"/>
        </w:rPr>
        <w:t>之</w:t>
      </w:r>
      <w:r w:rsidRPr="00F64788">
        <w:rPr>
          <w:rFonts w:hAnsi="標楷體" w:hint="eastAsia"/>
          <w:szCs w:val="32"/>
        </w:rPr>
        <w:t>起訴率：</w:t>
      </w:r>
    </w:p>
    <w:p w:rsidR="00496364" w:rsidRPr="00F64788" w:rsidRDefault="00DF4355" w:rsidP="00A011E2">
      <w:pPr>
        <w:pStyle w:val="4"/>
        <w:ind w:leftChars="300" w:left="1700" w:hangingChars="200" w:hanging="680"/>
        <w:rPr>
          <w:rFonts w:hAnsi="標楷體"/>
        </w:rPr>
      </w:pPr>
      <w:r w:rsidRPr="00F64788">
        <w:rPr>
          <w:rFonts w:hAnsi="標楷體" w:hint="eastAsia"/>
          <w:szCs w:val="32"/>
        </w:rPr>
        <w:t>據「檢察官與司法警察機關執行職務聯繫辦法」第2條規定，檢察</w:t>
      </w:r>
      <w:r w:rsidR="00E35F83">
        <w:rPr>
          <w:rFonts w:hAnsi="標楷體" w:hint="eastAsia"/>
          <w:szCs w:val="32"/>
        </w:rPr>
        <w:t>官</w:t>
      </w:r>
      <w:r w:rsidRPr="00F64788">
        <w:rPr>
          <w:rFonts w:hAnsi="標楷體" w:hint="eastAsia"/>
          <w:szCs w:val="32"/>
        </w:rPr>
        <w:t>與司法警察機關辦理刑事案件，應隨時交換意見，並指定人員切實聯繫，為加強聯繫，應定期舉行「檢警聯席會議」。</w:t>
      </w:r>
      <w:r w:rsidR="00496364" w:rsidRPr="00F64788">
        <w:rPr>
          <w:rFonts w:hAnsi="標楷體" w:hint="eastAsia"/>
        </w:rPr>
        <w:t>關於</w:t>
      </w:r>
      <w:r w:rsidRPr="00F64788">
        <w:rPr>
          <w:rFonts w:hAnsi="標楷體" w:hint="eastAsia"/>
        </w:rPr>
        <w:t>處理</w:t>
      </w:r>
      <w:proofErr w:type="gramStart"/>
      <w:r w:rsidRPr="00F64788">
        <w:rPr>
          <w:rFonts w:hAnsi="標楷體" w:hint="eastAsia"/>
        </w:rPr>
        <w:t>群眾</w:t>
      </w:r>
      <w:r w:rsidR="00E35F83">
        <w:rPr>
          <w:rFonts w:hAnsi="標楷體" w:hint="eastAsia"/>
        </w:rPr>
        <w:t>陳抗活動</w:t>
      </w:r>
      <w:proofErr w:type="gramEnd"/>
      <w:r w:rsidRPr="00F64788">
        <w:rPr>
          <w:rFonts w:hAnsi="標楷體" w:hint="eastAsia"/>
        </w:rPr>
        <w:t>之</w:t>
      </w:r>
      <w:r w:rsidR="00496364" w:rsidRPr="00F64788">
        <w:rPr>
          <w:rFonts w:hAnsi="標楷體" w:hint="eastAsia"/>
        </w:rPr>
        <w:t>檢警聯繫機制</w:t>
      </w:r>
      <w:r w:rsidR="00E35F83">
        <w:rPr>
          <w:rFonts w:hAnsi="標楷體" w:hint="eastAsia"/>
        </w:rPr>
        <w:t>方面</w:t>
      </w:r>
      <w:r w:rsidR="00496364" w:rsidRPr="00F64788">
        <w:rPr>
          <w:rFonts w:hAnsi="標楷體" w:hint="eastAsia"/>
        </w:rPr>
        <w:t>，最高法院檢察署</w:t>
      </w:r>
      <w:r w:rsidR="00E35F83">
        <w:rPr>
          <w:rFonts w:hAnsi="標楷體" w:hint="eastAsia"/>
        </w:rPr>
        <w:t>表示</w:t>
      </w:r>
      <w:r w:rsidR="00496364" w:rsidRPr="00F64788">
        <w:rPr>
          <w:rFonts w:hAnsi="標楷體" w:hint="eastAsia"/>
        </w:rPr>
        <w:t>：</w:t>
      </w:r>
      <w:proofErr w:type="gramStart"/>
      <w:r w:rsidR="00496364" w:rsidRPr="00F64788">
        <w:rPr>
          <w:rFonts w:hAnsi="標楷體" w:hint="eastAsia"/>
        </w:rPr>
        <w:t>臺</w:t>
      </w:r>
      <w:proofErr w:type="gramEnd"/>
      <w:r w:rsidR="00496364" w:rsidRPr="00F64788">
        <w:rPr>
          <w:rFonts w:hAnsi="標楷體" w:hint="eastAsia"/>
        </w:rPr>
        <w:t>北地檢署長期以來即依法務部頒</w:t>
      </w:r>
      <w:r w:rsidR="00496364" w:rsidRPr="00F64788">
        <w:rPr>
          <w:rFonts w:hAnsi="標楷體" w:hint="eastAsia"/>
        </w:rPr>
        <w:lastRenderedPageBreak/>
        <w:t>「檢察機關處理群眾突發事件注意要點」之規定，由襄閱主任檢察官、</w:t>
      </w:r>
      <w:r w:rsidR="00496364" w:rsidRPr="00F64788">
        <w:rPr>
          <w:rFonts w:hAnsi="標楷體"/>
        </w:rPr>
        <w:t>2</w:t>
      </w:r>
      <w:r w:rsidR="00496364" w:rsidRPr="00F64788">
        <w:rPr>
          <w:rFonts w:hAnsi="標楷體" w:hint="eastAsia"/>
        </w:rPr>
        <w:t>名主任檢察官及</w:t>
      </w:r>
      <w:r w:rsidR="00496364" w:rsidRPr="00F64788">
        <w:rPr>
          <w:rFonts w:hAnsi="標楷體"/>
        </w:rPr>
        <w:t>8</w:t>
      </w:r>
      <w:r w:rsidR="00496364" w:rsidRPr="00F64788">
        <w:rPr>
          <w:rFonts w:hAnsi="標楷體" w:hint="eastAsia"/>
        </w:rPr>
        <w:t>名檢察官（忠、愛</w:t>
      </w:r>
      <w:r w:rsidR="00496364" w:rsidRPr="00F64788">
        <w:rPr>
          <w:rFonts w:hAnsi="標楷體"/>
        </w:rPr>
        <w:t>2</w:t>
      </w:r>
      <w:r w:rsidR="00496364" w:rsidRPr="00F64788">
        <w:rPr>
          <w:rFonts w:hAnsi="標楷體" w:hint="eastAsia"/>
        </w:rPr>
        <w:t>組主任檢察官及黑金專組檢察官為主要成員，並視具體狀況，隨時增加成員人數）等</w:t>
      </w:r>
      <w:r w:rsidR="00496364" w:rsidRPr="00F64788">
        <w:rPr>
          <w:rFonts w:hAnsi="標楷體"/>
        </w:rPr>
        <w:t>11</w:t>
      </w:r>
      <w:r w:rsidR="00496364" w:rsidRPr="00F64788">
        <w:rPr>
          <w:rFonts w:hAnsi="標楷體" w:hint="eastAsia"/>
        </w:rPr>
        <w:t>名檢察官組成「群眾突發事件處理小組」，專責處理關於集會遊行所肇致；抑或是突發狀況所引發之群眾事件。並視事件之需要，隨時由檢察長召開專案會議，以</w:t>
      </w:r>
      <w:proofErr w:type="gramStart"/>
      <w:r w:rsidR="00496364" w:rsidRPr="00F64788">
        <w:rPr>
          <w:rFonts w:hAnsi="標楷體" w:hint="eastAsia"/>
        </w:rPr>
        <w:t>研</w:t>
      </w:r>
      <w:proofErr w:type="gramEnd"/>
      <w:r w:rsidR="00496364" w:rsidRPr="00F64788">
        <w:rPr>
          <w:rFonts w:hAnsi="標楷體" w:hint="eastAsia"/>
        </w:rPr>
        <w:t>商所可能發生之突發狀況及因應方式，以期有一致的處理標準。該小組成員</w:t>
      </w:r>
      <w:proofErr w:type="gramStart"/>
      <w:r w:rsidR="00496364" w:rsidRPr="00F64788">
        <w:rPr>
          <w:rFonts w:hAnsi="標楷體" w:hint="eastAsia"/>
        </w:rPr>
        <w:t>除均由該</w:t>
      </w:r>
      <w:proofErr w:type="gramEnd"/>
      <w:r w:rsidR="00496364" w:rsidRPr="00F64788">
        <w:rPr>
          <w:rFonts w:hAnsi="標楷體" w:hint="eastAsia"/>
        </w:rPr>
        <w:t>署資深且幹練並深具經驗之檢察官所組成外，且小組之主任檢察官均按月將成員之次月各</w:t>
      </w:r>
      <w:proofErr w:type="gramStart"/>
      <w:r w:rsidR="00496364" w:rsidRPr="00F64788">
        <w:rPr>
          <w:rFonts w:hAnsi="標楷體" w:hint="eastAsia"/>
        </w:rPr>
        <w:t>週輪值表簽請</w:t>
      </w:r>
      <w:proofErr w:type="gramEnd"/>
      <w:r w:rsidR="00496364" w:rsidRPr="00F64788">
        <w:rPr>
          <w:rFonts w:hAnsi="標楷體" w:hint="eastAsia"/>
        </w:rPr>
        <w:t>檢察長核</w:t>
      </w:r>
      <w:proofErr w:type="gramStart"/>
      <w:r w:rsidR="00496364" w:rsidRPr="00F64788">
        <w:rPr>
          <w:rFonts w:hAnsi="標楷體" w:hint="eastAsia"/>
        </w:rPr>
        <w:t>閱</w:t>
      </w:r>
      <w:proofErr w:type="gramEnd"/>
      <w:r w:rsidR="00496364" w:rsidRPr="00F64788">
        <w:rPr>
          <w:rFonts w:hAnsi="標楷體" w:hint="eastAsia"/>
        </w:rPr>
        <w:t>，再將相關輪值表傳真予該署與警察機關之聯絡窗口，以便事先聯繫。自</w:t>
      </w:r>
      <w:proofErr w:type="gramStart"/>
      <w:r w:rsidR="00496364" w:rsidRPr="00F64788">
        <w:rPr>
          <w:rFonts w:hAnsi="標楷體"/>
        </w:rPr>
        <w:t>103</w:t>
      </w:r>
      <w:r w:rsidR="00496364" w:rsidRPr="00F64788">
        <w:rPr>
          <w:rFonts w:hAnsi="標楷體" w:hint="eastAsia"/>
        </w:rPr>
        <w:t>年</w:t>
      </w:r>
      <w:r w:rsidR="00496364" w:rsidRPr="00F64788">
        <w:rPr>
          <w:rFonts w:hAnsi="標楷體"/>
        </w:rPr>
        <w:t>3</w:t>
      </w:r>
      <w:r w:rsidR="00496364" w:rsidRPr="00F64788">
        <w:rPr>
          <w:rFonts w:hAnsi="標楷體" w:hint="eastAsia"/>
        </w:rPr>
        <w:t>月間起發生</w:t>
      </w:r>
      <w:proofErr w:type="gramEnd"/>
      <w:r w:rsidR="00496364" w:rsidRPr="00F64788">
        <w:rPr>
          <w:rFonts w:hAnsi="標楷體" w:hint="eastAsia"/>
        </w:rPr>
        <w:t>首件群眾事件迄今，</w:t>
      </w:r>
      <w:r w:rsidR="00A011E2" w:rsidRPr="00F64788">
        <w:rPr>
          <w:rFonts w:hAnsi="標楷體" w:hint="eastAsia"/>
        </w:rPr>
        <w:t>該</w:t>
      </w:r>
      <w:proofErr w:type="gramStart"/>
      <w:r w:rsidR="00A011E2" w:rsidRPr="00F64788">
        <w:rPr>
          <w:rFonts w:hAnsi="標楷體" w:hint="eastAsia"/>
        </w:rPr>
        <w:t>署</w:t>
      </w:r>
      <w:r w:rsidR="00496364" w:rsidRPr="00F64788">
        <w:rPr>
          <w:rFonts w:hAnsi="標楷體" w:hint="eastAsia"/>
        </w:rPr>
        <w:t>均依循</w:t>
      </w:r>
      <w:proofErr w:type="gramEnd"/>
      <w:r w:rsidR="00496364" w:rsidRPr="00F64788">
        <w:rPr>
          <w:rFonts w:hAnsi="標楷體" w:hint="eastAsia"/>
        </w:rPr>
        <w:t>上開模式</w:t>
      </w:r>
      <w:r w:rsidRPr="00F64788">
        <w:rPr>
          <w:rFonts w:hAnsi="標楷體" w:hint="eastAsia"/>
        </w:rPr>
        <w:t>有效運作。</w:t>
      </w:r>
    </w:p>
    <w:p w:rsidR="00DF4355" w:rsidRPr="00F64788" w:rsidRDefault="00DF4355" w:rsidP="00DF4355">
      <w:pPr>
        <w:pStyle w:val="4"/>
        <w:ind w:leftChars="300" w:left="1700" w:hangingChars="200" w:hanging="680"/>
        <w:rPr>
          <w:rFonts w:hAnsi="標楷體"/>
          <w:szCs w:val="32"/>
        </w:rPr>
      </w:pPr>
      <w:r w:rsidRPr="00F64788">
        <w:rPr>
          <w:rFonts w:hAnsi="標楷體" w:hint="eastAsia"/>
          <w:szCs w:val="32"/>
        </w:rPr>
        <w:t>按依刑事訴訟法第228條至第231條之規定，檢察官為犯罪偵查之主體，司法警察(官)於調查犯罪嫌疑時，即得依法將調查之情形，隨時報告檢察官，並依其指示辦理。</w:t>
      </w:r>
      <w:r w:rsidR="00A011E2" w:rsidRPr="00F64788">
        <w:rPr>
          <w:rFonts w:hAnsi="標楷體" w:hint="eastAsia"/>
          <w:szCs w:val="32"/>
        </w:rPr>
        <w:t>有鑒於</w:t>
      </w:r>
      <w:r w:rsidRPr="00F64788">
        <w:rPr>
          <w:rFonts w:hAnsi="標楷體" w:hint="eastAsia"/>
          <w:szCs w:val="32"/>
        </w:rPr>
        <w:t>近來群眾事件激化，且其抗爭</w:t>
      </w:r>
      <w:proofErr w:type="gramStart"/>
      <w:r w:rsidRPr="00F64788">
        <w:rPr>
          <w:rFonts w:hAnsi="標楷體" w:hint="eastAsia"/>
          <w:szCs w:val="32"/>
        </w:rPr>
        <w:t>手段與態樣</w:t>
      </w:r>
      <w:proofErr w:type="gramEnd"/>
      <w:r w:rsidRPr="00F64788">
        <w:rPr>
          <w:rFonts w:hAnsi="標楷體" w:hint="eastAsia"/>
          <w:szCs w:val="32"/>
        </w:rPr>
        <w:t>，為以往所未見，面對當前艱鉅的挑戰，</w:t>
      </w:r>
      <w:proofErr w:type="gramStart"/>
      <w:r w:rsidRPr="00F64788">
        <w:rPr>
          <w:rFonts w:hAnsi="標楷體" w:hint="eastAsia"/>
          <w:szCs w:val="32"/>
        </w:rPr>
        <w:t>民眾陳抗事件</w:t>
      </w:r>
      <w:proofErr w:type="gramEnd"/>
      <w:r w:rsidRPr="00F64788">
        <w:rPr>
          <w:rFonts w:hAnsi="標楷體" w:hint="eastAsia"/>
          <w:szCs w:val="32"/>
        </w:rPr>
        <w:t>集中之</w:t>
      </w:r>
      <w:proofErr w:type="gramStart"/>
      <w:r w:rsidRPr="00F64788">
        <w:rPr>
          <w:rFonts w:hAnsi="標楷體" w:hint="eastAsia"/>
          <w:szCs w:val="32"/>
        </w:rPr>
        <w:t>臺</w:t>
      </w:r>
      <w:proofErr w:type="gramEnd"/>
      <w:r w:rsidRPr="00F64788">
        <w:rPr>
          <w:rFonts w:hAnsi="標楷體" w:hint="eastAsia"/>
          <w:szCs w:val="32"/>
        </w:rPr>
        <w:t>北地檢署</w:t>
      </w:r>
      <w:r w:rsidRPr="00F64788">
        <w:rPr>
          <w:rFonts w:hAnsi="標楷體" w:hint="eastAsia"/>
        </w:rPr>
        <w:t>檢察長得應警察機關之請求，或於必要時得指派主任檢察官、檢察官到警方前進指揮所瞭解狀況，並提供必要之協助。另由該署襄閱主任檢察官或所指定之主任檢察官與臺北市警局之聯繫窗口刑警大隊長為聯繫平台，並與發生群眾事件所轄分局之偵查隊隊長，不分地點、不限時間，隨時保持暢通聯繫，以便能隨時瞭解事件之狀況，採取因應措施及提供法律諮詢，以為第一線員警執法之判斷。</w:t>
      </w:r>
      <w:r w:rsidR="00956AB6" w:rsidRPr="00F64788">
        <w:rPr>
          <w:rFonts w:hAnsi="標楷體" w:hint="eastAsia"/>
        </w:rPr>
        <w:t>若遇有突發之情況，仍應落實回報</w:t>
      </w:r>
      <w:r w:rsidR="00956AB6" w:rsidRPr="00F64788">
        <w:rPr>
          <w:rFonts w:hAnsi="標楷體" w:hint="eastAsia"/>
        </w:rPr>
        <w:lastRenderedPageBreak/>
        <w:t>機制，立即回報該署，由該署召集處理小組成員共同</w:t>
      </w:r>
      <w:proofErr w:type="gramStart"/>
      <w:r w:rsidR="00956AB6" w:rsidRPr="00F64788">
        <w:rPr>
          <w:rFonts w:hAnsi="標楷體" w:hint="eastAsia"/>
        </w:rPr>
        <w:t>研</w:t>
      </w:r>
      <w:proofErr w:type="gramEnd"/>
      <w:r w:rsidR="00956AB6" w:rsidRPr="00F64788">
        <w:rPr>
          <w:rFonts w:hAnsi="標楷體" w:hint="eastAsia"/>
        </w:rPr>
        <w:t>商後始對外有所作為，以避免有</w:t>
      </w:r>
      <w:proofErr w:type="gramStart"/>
      <w:r w:rsidR="00956AB6" w:rsidRPr="00F64788">
        <w:rPr>
          <w:rFonts w:hAnsi="標楷體" w:hint="eastAsia"/>
        </w:rPr>
        <w:t>思慮未周之</w:t>
      </w:r>
      <w:proofErr w:type="gramEnd"/>
      <w:r w:rsidR="00956AB6" w:rsidRPr="00F64788">
        <w:rPr>
          <w:rFonts w:hAnsi="標楷體" w:hint="eastAsia"/>
        </w:rPr>
        <w:t>作為，造成更嚴重之群眾抗爭事件。</w:t>
      </w:r>
    </w:p>
    <w:p w:rsidR="00956AB6" w:rsidRPr="00F64788" w:rsidRDefault="00956AB6" w:rsidP="00DF4355">
      <w:pPr>
        <w:pStyle w:val="4"/>
        <w:ind w:leftChars="300" w:left="1700" w:hangingChars="200" w:hanging="680"/>
        <w:rPr>
          <w:rFonts w:hAnsi="標楷體"/>
          <w:szCs w:val="32"/>
        </w:rPr>
      </w:pPr>
      <w:r w:rsidRPr="00F64788">
        <w:rPr>
          <w:rFonts w:hAnsi="標楷體" w:hint="eastAsia"/>
          <w:szCs w:val="32"/>
        </w:rPr>
        <w:t>檢察官處理群眾突發事件除應秉持超然及公正執法之立場，不問黨派、不分顏色，並本於保障合法，取締非法之原則，嚴守法律、縝密</w:t>
      </w:r>
      <w:proofErr w:type="gramStart"/>
      <w:r w:rsidRPr="00F64788">
        <w:rPr>
          <w:rFonts w:hAnsi="標楷體" w:hint="eastAsia"/>
          <w:szCs w:val="32"/>
        </w:rPr>
        <w:t>蒐</w:t>
      </w:r>
      <w:proofErr w:type="gramEnd"/>
      <w:r w:rsidRPr="00F64788">
        <w:rPr>
          <w:rFonts w:hAnsi="標楷體" w:hint="eastAsia"/>
          <w:szCs w:val="32"/>
        </w:rPr>
        <w:t>證，對於違法滋擾及暴力事件者，展現從嚴、從速追訴之決心，期能及早</w:t>
      </w:r>
      <w:proofErr w:type="gramStart"/>
      <w:r w:rsidRPr="00F64788">
        <w:rPr>
          <w:rFonts w:hAnsi="標楷體" w:hint="eastAsia"/>
          <w:szCs w:val="32"/>
        </w:rPr>
        <w:t>偵</w:t>
      </w:r>
      <w:proofErr w:type="gramEnd"/>
      <w:r w:rsidRPr="00F64788">
        <w:rPr>
          <w:rFonts w:hAnsi="標楷體" w:hint="eastAsia"/>
          <w:szCs w:val="32"/>
        </w:rPr>
        <w:t>結，以釋眾</w:t>
      </w:r>
      <w:proofErr w:type="gramStart"/>
      <w:r w:rsidRPr="00F64788">
        <w:rPr>
          <w:rFonts w:hAnsi="標楷體" w:hint="eastAsia"/>
          <w:szCs w:val="32"/>
        </w:rPr>
        <w:t>疑</w:t>
      </w:r>
      <w:proofErr w:type="gramEnd"/>
      <w:r w:rsidRPr="00F64788">
        <w:rPr>
          <w:rFonts w:hAnsi="標楷體" w:hint="eastAsia"/>
          <w:szCs w:val="32"/>
        </w:rPr>
        <w:t>；以正視聽。另警察對群眾運動事件之</w:t>
      </w:r>
      <w:proofErr w:type="gramStart"/>
      <w:r w:rsidRPr="00F64788">
        <w:rPr>
          <w:rFonts w:hAnsi="標楷體" w:hint="eastAsia"/>
          <w:szCs w:val="32"/>
        </w:rPr>
        <w:t>蒐</w:t>
      </w:r>
      <w:proofErr w:type="gramEnd"/>
      <w:r w:rsidRPr="00F64788">
        <w:rPr>
          <w:rFonts w:hAnsi="標楷體" w:hint="eastAsia"/>
          <w:szCs w:val="32"/>
        </w:rPr>
        <w:t>證，</w:t>
      </w:r>
      <w:proofErr w:type="gramStart"/>
      <w:r w:rsidRPr="00F64788">
        <w:rPr>
          <w:rFonts w:hAnsi="標楷體" w:hint="eastAsia"/>
          <w:szCs w:val="32"/>
        </w:rPr>
        <w:t>務</w:t>
      </w:r>
      <w:proofErr w:type="gramEnd"/>
      <w:r w:rsidR="004E3842">
        <w:rPr>
          <w:rFonts w:hAnsi="標楷體" w:hint="eastAsia"/>
          <w:szCs w:val="32"/>
        </w:rPr>
        <w:t>宜</w:t>
      </w:r>
      <w:r w:rsidRPr="00F64788">
        <w:rPr>
          <w:rFonts w:hAnsi="標楷體" w:hint="eastAsia"/>
          <w:szCs w:val="32"/>
        </w:rPr>
        <w:t>嚴謹、完整及確實，</w:t>
      </w:r>
      <w:r w:rsidR="00E15EC9">
        <w:rPr>
          <w:rFonts w:hAnsi="標楷體" w:hint="eastAsia"/>
          <w:szCs w:val="32"/>
        </w:rPr>
        <w:t>並應持續</w:t>
      </w:r>
      <w:r w:rsidRPr="00F64788">
        <w:rPr>
          <w:rFonts w:hAnsi="標楷體" w:hint="eastAsia"/>
          <w:szCs w:val="32"/>
        </w:rPr>
        <w:t>提昇相關</w:t>
      </w:r>
      <w:proofErr w:type="gramStart"/>
      <w:r w:rsidRPr="00F64788">
        <w:rPr>
          <w:rFonts w:hAnsi="標楷體" w:hint="eastAsia"/>
          <w:szCs w:val="32"/>
        </w:rPr>
        <w:t>蒐</w:t>
      </w:r>
      <w:proofErr w:type="gramEnd"/>
      <w:r w:rsidRPr="00F64788">
        <w:rPr>
          <w:rFonts w:hAnsi="標楷體" w:hint="eastAsia"/>
          <w:szCs w:val="32"/>
        </w:rPr>
        <w:t>證技能，使</w:t>
      </w:r>
      <w:proofErr w:type="gramStart"/>
      <w:r w:rsidRPr="00F64788">
        <w:rPr>
          <w:rFonts w:hAnsi="標楷體" w:hint="eastAsia"/>
          <w:szCs w:val="32"/>
        </w:rPr>
        <w:t>蒐</w:t>
      </w:r>
      <w:proofErr w:type="gramEnd"/>
      <w:r w:rsidRPr="00F64788">
        <w:rPr>
          <w:rFonts w:hAnsi="標楷體" w:hint="eastAsia"/>
          <w:szCs w:val="32"/>
        </w:rPr>
        <w:t>得之</w:t>
      </w:r>
      <w:proofErr w:type="gramStart"/>
      <w:r w:rsidRPr="00F64788">
        <w:rPr>
          <w:rFonts w:hAnsi="標楷體" w:hint="eastAsia"/>
          <w:szCs w:val="32"/>
        </w:rPr>
        <w:t>證據均能明確</w:t>
      </w:r>
      <w:proofErr w:type="gramEnd"/>
      <w:r w:rsidRPr="00F64788">
        <w:rPr>
          <w:rFonts w:hAnsi="標楷體" w:hint="eastAsia"/>
          <w:szCs w:val="32"/>
        </w:rPr>
        <w:t>反映相關之犯罪構成要件之事實，有利檢方訴追犯罪。</w:t>
      </w:r>
    </w:p>
    <w:p w:rsidR="00E15EC9" w:rsidRDefault="00956AB6" w:rsidP="001D6FBF">
      <w:pPr>
        <w:pStyle w:val="3"/>
        <w:rPr>
          <w:rFonts w:hAnsi="標楷體"/>
        </w:rPr>
      </w:pPr>
      <w:r w:rsidRPr="00F64788">
        <w:rPr>
          <w:rFonts w:hAnsi="標楷體" w:hint="eastAsia"/>
        </w:rPr>
        <w:t>綜上所述，對於本案立法委員</w:t>
      </w:r>
      <w:r w:rsidR="00803A8B" w:rsidRPr="00F64788">
        <w:rPr>
          <w:rFonts w:hAnsi="標楷體" w:hint="eastAsia"/>
        </w:rPr>
        <w:t>與</w:t>
      </w:r>
      <w:r w:rsidRPr="00F64788">
        <w:rPr>
          <w:rFonts w:hAnsi="標楷體" w:hint="eastAsia"/>
        </w:rPr>
        <w:t>行政官員人身自由遭遇威脅</w:t>
      </w:r>
      <w:r w:rsidR="00803A8B" w:rsidRPr="00F64788">
        <w:rPr>
          <w:rFonts w:hAnsi="標楷體" w:hint="eastAsia"/>
        </w:rPr>
        <w:t>，</w:t>
      </w:r>
      <w:r w:rsidRPr="00F64788">
        <w:rPr>
          <w:rFonts w:hAnsi="標楷體" w:hint="eastAsia"/>
        </w:rPr>
        <w:t>以及民眾惡意</w:t>
      </w:r>
      <w:r w:rsidR="004F6619">
        <w:rPr>
          <w:rFonts w:hAnsi="標楷體" w:hint="eastAsia"/>
        </w:rPr>
        <w:t>占領</w:t>
      </w:r>
      <w:r w:rsidRPr="00F64788">
        <w:rPr>
          <w:rFonts w:hAnsi="標楷體" w:hint="eastAsia"/>
        </w:rPr>
        <w:t>重要道路</w:t>
      </w:r>
      <w:r w:rsidR="00803A8B" w:rsidRPr="00F64788">
        <w:rPr>
          <w:rFonts w:hAnsi="標楷體" w:hint="eastAsia"/>
        </w:rPr>
        <w:t>，意圖癱瘓交通</w:t>
      </w:r>
      <w:r w:rsidRPr="00F64788">
        <w:rPr>
          <w:rFonts w:hAnsi="標楷體" w:hint="eastAsia"/>
        </w:rPr>
        <w:t>等</w:t>
      </w:r>
      <w:r w:rsidR="00803A8B" w:rsidRPr="00F64788">
        <w:rPr>
          <w:rFonts w:hAnsi="標楷體" w:hint="eastAsia"/>
        </w:rPr>
        <w:t>不法</w:t>
      </w:r>
      <w:r w:rsidRPr="00F64788">
        <w:rPr>
          <w:rFonts w:hAnsi="標楷體" w:hint="eastAsia"/>
        </w:rPr>
        <w:t>情事，</w:t>
      </w:r>
      <w:r w:rsidR="00BF5D55">
        <w:rPr>
          <w:rFonts w:hAnsi="標楷體" w:hint="eastAsia"/>
        </w:rPr>
        <w:t>警察機關應精進偵辦能力與效率，並落實檢察官與警察機關之</w:t>
      </w:r>
      <w:r w:rsidR="00BF5D55" w:rsidRPr="00F64788">
        <w:rPr>
          <w:rFonts w:hAnsi="標楷體" w:hint="eastAsia"/>
        </w:rPr>
        <w:t>聯繫協調機制，使</w:t>
      </w:r>
      <w:r w:rsidR="008B60BF">
        <w:rPr>
          <w:rFonts w:hAnsi="標楷體" w:hint="eastAsia"/>
        </w:rPr>
        <w:t>第一線員</w:t>
      </w:r>
      <w:r w:rsidR="00BF5D55" w:rsidRPr="00F64788">
        <w:rPr>
          <w:rFonts w:hAnsi="標楷體" w:hint="eastAsia"/>
        </w:rPr>
        <w:t>警能勇於嚴正執法，從速將涉案犯嫌移送</w:t>
      </w:r>
      <w:r w:rsidR="008B60BF">
        <w:rPr>
          <w:rFonts w:hAnsi="標楷體" w:hint="eastAsia"/>
        </w:rPr>
        <w:t>檢</w:t>
      </w:r>
      <w:r w:rsidR="004E3842">
        <w:rPr>
          <w:rFonts w:hAnsi="標楷體" w:hint="eastAsia"/>
        </w:rPr>
        <w:t>察</w:t>
      </w:r>
      <w:r w:rsidR="008B60BF">
        <w:rPr>
          <w:rFonts w:hAnsi="標楷體" w:hint="eastAsia"/>
        </w:rPr>
        <w:t>署偵</w:t>
      </w:r>
      <w:r w:rsidR="00BF5D55" w:rsidRPr="00F64788">
        <w:rPr>
          <w:rFonts w:hAnsi="標楷體" w:hint="eastAsia"/>
        </w:rPr>
        <w:t>辦，提升檢察官起訴率，</w:t>
      </w:r>
      <w:r w:rsidR="00BF5D55">
        <w:rPr>
          <w:rFonts w:hAnsi="標楷體" w:hint="eastAsia"/>
          <w:szCs w:val="32"/>
        </w:rPr>
        <w:t>彰顯檢肅犯罪</w:t>
      </w:r>
      <w:r w:rsidR="00BF5D55" w:rsidRPr="00EF437B">
        <w:rPr>
          <w:rFonts w:hAnsi="標楷體" w:hint="eastAsia"/>
        </w:rPr>
        <w:t>之執法效</w:t>
      </w:r>
      <w:r w:rsidR="00BF5D55">
        <w:rPr>
          <w:rFonts w:hAnsi="標楷體" w:hint="eastAsia"/>
        </w:rPr>
        <w:t>能，以</w:t>
      </w:r>
      <w:r w:rsidR="00BF5D55" w:rsidRPr="00F64788">
        <w:rPr>
          <w:rFonts w:hAnsi="標楷體" w:hint="eastAsia"/>
        </w:rPr>
        <w:t>贏得人民對政府之信賴。</w:t>
      </w:r>
    </w:p>
    <w:p w:rsidR="00DD378E" w:rsidRPr="00F64788" w:rsidRDefault="00DD378E" w:rsidP="00DD378E">
      <w:pPr>
        <w:pStyle w:val="2"/>
        <w:ind w:left="1020" w:hanging="680"/>
        <w:rPr>
          <w:rFonts w:hAnsi="標楷體"/>
          <w:bCs w:val="0"/>
        </w:rPr>
      </w:pPr>
      <w:r w:rsidRPr="00F64788">
        <w:rPr>
          <w:rFonts w:hAnsi="標楷體" w:hint="eastAsia"/>
          <w:b/>
        </w:rPr>
        <w:t>針對</w:t>
      </w:r>
      <w:r w:rsidRPr="00EC0573">
        <w:rPr>
          <w:rFonts w:hAnsi="標楷體" w:hint="eastAsia"/>
          <w:b/>
        </w:rPr>
        <w:t>集會</w:t>
      </w:r>
      <w:r w:rsidR="00A4368D" w:rsidRPr="00EC0573">
        <w:rPr>
          <w:rFonts w:hAnsi="標楷體" w:hint="eastAsia"/>
          <w:b/>
        </w:rPr>
        <w:t>遊行</w:t>
      </w:r>
      <w:r w:rsidRPr="00EC0573">
        <w:rPr>
          <w:rFonts w:hAnsi="標楷體" w:hint="eastAsia"/>
          <w:b/>
        </w:rPr>
        <w:t>申請團體，違</w:t>
      </w:r>
      <w:r w:rsidR="008365AB" w:rsidRPr="00EC0573">
        <w:rPr>
          <w:rFonts w:hAnsi="標楷體" w:hint="eastAsia"/>
          <w:b/>
        </w:rPr>
        <w:t>背</w:t>
      </w:r>
      <w:r w:rsidRPr="00EC0573">
        <w:rPr>
          <w:rFonts w:hAnsi="標楷體" w:hint="eastAsia"/>
          <w:b/>
        </w:rPr>
        <w:t>原</w:t>
      </w:r>
      <w:r w:rsidR="00256ECE" w:rsidRPr="00EC0573">
        <w:rPr>
          <w:rFonts w:hAnsi="標楷體" w:hint="eastAsia"/>
          <w:b/>
        </w:rPr>
        <w:t>申請</w:t>
      </w:r>
      <w:r w:rsidRPr="00EC0573">
        <w:rPr>
          <w:rFonts w:hAnsi="標楷體" w:hint="eastAsia"/>
          <w:b/>
        </w:rPr>
        <w:t>路線規劃，</w:t>
      </w:r>
      <w:r w:rsidR="00705C2D" w:rsidRPr="00EC0573">
        <w:rPr>
          <w:rFonts w:hAnsi="標楷體" w:hint="eastAsia"/>
          <w:b/>
        </w:rPr>
        <w:t>危</w:t>
      </w:r>
      <w:r w:rsidRPr="00EC0573">
        <w:rPr>
          <w:rFonts w:hAnsi="標楷體" w:hint="eastAsia"/>
          <w:b/>
        </w:rPr>
        <w:t>害社會</w:t>
      </w:r>
      <w:r w:rsidR="008365AB" w:rsidRPr="00EC0573">
        <w:rPr>
          <w:rFonts w:hAnsi="標楷體" w:hint="eastAsia"/>
          <w:b/>
        </w:rPr>
        <w:t>治安</w:t>
      </w:r>
      <w:r w:rsidRPr="00EC0573">
        <w:rPr>
          <w:rFonts w:hAnsi="標楷體" w:hint="eastAsia"/>
          <w:b/>
        </w:rPr>
        <w:t>，妨礙民</w:t>
      </w:r>
      <w:r w:rsidR="00453CBC" w:rsidRPr="00EC0573">
        <w:rPr>
          <w:rFonts w:hAnsi="標楷體" w:hint="eastAsia"/>
          <w:b/>
        </w:rPr>
        <w:t>眾</w:t>
      </w:r>
      <w:r w:rsidRPr="00EC0573">
        <w:rPr>
          <w:rFonts w:hAnsi="標楷體" w:hint="eastAsia"/>
          <w:b/>
        </w:rPr>
        <w:t>人身安全</w:t>
      </w:r>
      <w:r w:rsidR="008365AB" w:rsidRPr="00EC0573">
        <w:rPr>
          <w:rFonts w:hAnsi="標楷體" w:hint="eastAsia"/>
          <w:b/>
        </w:rPr>
        <w:t>及交通秩序</w:t>
      </w:r>
      <w:r w:rsidRPr="00EC0573">
        <w:rPr>
          <w:rFonts w:hAnsi="標楷體" w:hint="eastAsia"/>
          <w:b/>
        </w:rPr>
        <w:t>，警方應</w:t>
      </w:r>
      <w:proofErr w:type="gramStart"/>
      <w:r w:rsidR="00453CBC" w:rsidRPr="00EC0573">
        <w:rPr>
          <w:rFonts w:hAnsi="標楷體" w:hint="eastAsia"/>
          <w:b/>
        </w:rPr>
        <w:t>依法</w:t>
      </w:r>
      <w:r w:rsidR="00EC0573" w:rsidRPr="00EC0573">
        <w:rPr>
          <w:rFonts w:hAnsi="標楷體" w:hint="eastAsia"/>
          <w:b/>
          <w:color w:val="FF0000"/>
        </w:rPr>
        <w:t>妥處</w:t>
      </w:r>
      <w:proofErr w:type="gramEnd"/>
      <w:r w:rsidR="00453CBC" w:rsidRPr="00EC0573">
        <w:rPr>
          <w:rFonts w:hAnsi="標楷體" w:hint="eastAsia"/>
          <w:b/>
        </w:rPr>
        <w:t>；另</w:t>
      </w:r>
      <w:r w:rsidRPr="00EC0573">
        <w:rPr>
          <w:rFonts w:hAnsi="標楷體" w:hint="eastAsia"/>
          <w:b/>
        </w:rPr>
        <w:t>對於群眾運動</w:t>
      </w:r>
      <w:r w:rsidR="00453CBC" w:rsidRPr="00EC0573">
        <w:rPr>
          <w:rFonts w:hAnsi="標楷體" w:hint="eastAsia"/>
          <w:b/>
        </w:rPr>
        <w:t>違法脫序行為</w:t>
      </w:r>
      <w:r w:rsidRPr="00EC0573">
        <w:rPr>
          <w:rFonts w:hAnsi="標楷體" w:hint="eastAsia"/>
          <w:b/>
        </w:rPr>
        <w:t>之新型態發展，</w:t>
      </w:r>
      <w:r w:rsidR="00453CBC" w:rsidRPr="00EC0573">
        <w:rPr>
          <w:rFonts w:hAnsi="標楷體" w:hint="eastAsia"/>
          <w:b/>
        </w:rPr>
        <w:t>警察機關亦</w:t>
      </w:r>
      <w:r w:rsidRPr="00EC0573">
        <w:rPr>
          <w:rFonts w:hAnsi="標楷體" w:hint="eastAsia"/>
          <w:b/>
        </w:rPr>
        <w:t>應積極瞭解，</w:t>
      </w:r>
      <w:r w:rsidR="008365AB" w:rsidRPr="00EC0573">
        <w:rPr>
          <w:rFonts w:hAnsi="標楷體" w:hint="eastAsia"/>
          <w:b/>
        </w:rPr>
        <w:t>妥</w:t>
      </w:r>
      <w:r w:rsidRPr="00EC0573">
        <w:rPr>
          <w:rFonts w:hAnsi="標楷體" w:hint="eastAsia"/>
          <w:b/>
        </w:rPr>
        <w:t>為應對</w:t>
      </w:r>
      <w:r w:rsidR="00BF5A5B" w:rsidRPr="00F64788">
        <w:rPr>
          <w:rFonts w:hAnsi="標楷體" w:hint="eastAsia"/>
          <w:b/>
        </w:rPr>
        <w:t>：</w:t>
      </w:r>
    </w:p>
    <w:p w:rsidR="00B22C06" w:rsidRPr="00F64788" w:rsidRDefault="008237AE" w:rsidP="00B22C06">
      <w:pPr>
        <w:pStyle w:val="3"/>
        <w:rPr>
          <w:rFonts w:hAnsi="標楷體"/>
        </w:rPr>
      </w:pPr>
      <w:r w:rsidRPr="00F64788">
        <w:rPr>
          <w:rFonts w:hAnsi="標楷體" w:hint="eastAsia"/>
        </w:rPr>
        <w:t>憲法第14條規定：「人民有集會及結社之自由。」政府為保障人民集會遊行之自由，維持社會秩序，特制定集會遊行法，對於合法舉行之集會、遊行，不得以強暴、脅迫或其他非法方法予以妨害；室外之集會、遊行，除依法令規定舉行者、學術、藝文、旅遊、體育競賽或其他性質相類之活動、宗教、民俗、婚、喪、喜、慶活動者外，應向主管機關申</w:t>
      </w:r>
      <w:r w:rsidRPr="00F64788">
        <w:rPr>
          <w:rFonts w:hAnsi="標楷體" w:hint="eastAsia"/>
        </w:rPr>
        <w:lastRenderedPageBreak/>
        <w:t>請許可。又該法所稱主管機關，係指集會、遊行所在地之警察分局，集會遊行法第1條第1項、</w:t>
      </w:r>
      <w:r w:rsidR="00B22C06" w:rsidRPr="00F64788">
        <w:rPr>
          <w:rFonts w:hAnsi="標楷體" w:hint="eastAsia"/>
        </w:rPr>
        <w:t>第3條第1項、第5條第8條分別定有明文。</w:t>
      </w:r>
      <w:r w:rsidR="00F66467">
        <w:rPr>
          <w:rFonts w:hAnsi="標楷體" w:hint="eastAsia"/>
        </w:rPr>
        <w:t>上開條文固然表徵</w:t>
      </w:r>
      <w:r w:rsidR="00B22C06" w:rsidRPr="00F64788">
        <w:rPr>
          <w:rFonts w:hAnsi="標楷體" w:hint="eastAsia"/>
        </w:rPr>
        <w:t>集會遊行為人民在憲法及法律所保障之基本權利，惟主管機關經認定有明顯事實足認為有危害國家安全、社會秩序或公共利益者；或有明顯事實足認為有危害生命、身體、自由或對財物造成重大損壞者，亦得例外不予許可</w:t>
      </w:r>
      <w:r w:rsidR="00F66467">
        <w:rPr>
          <w:rFonts w:hAnsi="標楷體" w:hint="eastAsia"/>
        </w:rPr>
        <w:t>人民集會遊行之申請</w:t>
      </w:r>
      <w:r w:rsidR="00B942D5" w:rsidRPr="00F64788">
        <w:rPr>
          <w:rFonts w:hAnsi="標楷體" w:hint="eastAsia"/>
        </w:rPr>
        <w:t>，此</w:t>
      </w:r>
      <w:r w:rsidR="00F66467">
        <w:rPr>
          <w:rFonts w:hAnsi="標楷體" w:hint="eastAsia"/>
        </w:rPr>
        <w:t>可</w:t>
      </w:r>
      <w:r w:rsidR="00B942D5" w:rsidRPr="00F64788">
        <w:rPr>
          <w:rFonts w:hAnsi="標楷體" w:hint="eastAsia"/>
        </w:rPr>
        <w:t>參照</w:t>
      </w:r>
      <w:r w:rsidR="00B22C06" w:rsidRPr="00F64788">
        <w:rPr>
          <w:rFonts w:hAnsi="標楷體" w:hint="eastAsia"/>
        </w:rPr>
        <w:t>集會遊行法第11條第2、3款</w:t>
      </w:r>
      <w:r w:rsidR="00F66467">
        <w:rPr>
          <w:rFonts w:hAnsi="標楷體" w:hint="eastAsia"/>
        </w:rPr>
        <w:t>之規定</w:t>
      </w:r>
      <w:r w:rsidR="003A2FFD" w:rsidRPr="00F64788">
        <w:rPr>
          <w:rFonts w:hAnsi="標楷體" w:hint="eastAsia"/>
        </w:rPr>
        <w:t>自明</w:t>
      </w:r>
      <w:r w:rsidR="00B22C06" w:rsidRPr="00F64788">
        <w:rPr>
          <w:rFonts w:hAnsi="標楷體" w:hint="eastAsia"/>
        </w:rPr>
        <w:t>。</w:t>
      </w:r>
    </w:p>
    <w:p w:rsidR="0041611F" w:rsidRPr="0041611F" w:rsidRDefault="00F66467" w:rsidP="00453CBC">
      <w:pPr>
        <w:pStyle w:val="3"/>
        <w:rPr>
          <w:rFonts w:hAnsi="標楷體"/>
        </w:rPr>
      </w:pPr>
      <w:r>
        <w:rPr>
          <w:rFonts w:hAnsi="標楷體" w:hint="eastAsia"/>
        </w:rPr>
        <w:t>本案經查</w:t>
      </w:r>
      <w:r w:rsidR="00B942D5" w:rsidRPr="00F64788">
        <w:rPr>
          <w:rFonts w:hAnsi="標楷體" w:hint="eastAsia"/>
        </w:rPr>
        <w:t>103年</w:t>
      </w:r>
      <w:r w:rsidR="00B942D5" w:rsidRPr="00F64788">
        <w:rPr>
          <w:rFonts w:hAnsi="標楷體" w:hint="eastAsia"/>
          <w:szCs w:val="32"/>
        </w:rPr>
        <w:t>4月25日至29日之集會遊行，雖然「公投護臺灣聯盟」召集人</w:t>
      </w:r>
      <w:proofErr w:type="gramStart"/>
      <w:r w:rsidR="00B942D5" w:rsidRPr="00F64788">
        <w:rPr>
          <w:rFonts w:hAnsi="標楷體" w:hint="eastAsia"/>
          <w:szCs w:val="32"/>
        </w:rPr>
        <w:t>蔡</w:t>
      </w:r>
      <w:proofErr w:type="gramEnd"/>
      <w:r w:rsidR="00B942D5" w:rsidRPr="00F64788">
        <w:rPr>
          <w:rFonts w:hAnsi="標楷體" w:hint="eastAsia"/>
          <w:szCs w:val="32"/>
        </w:rPr>
        <w:t>○貴及「地球公民基金會」花東辦公室主任</w:t>
      </w:r>
      <w:proofErr w:type="gramStart"/>
      <w:r w:rsidR="00B942D5" w:rsidRPr="00F64788">
        <w:rPr>
          <w:rFonts w:hAnsi="標楷體" w:hint="eastAsia"/>
          <w:szCs w:val="32"/>
        </w:rPr>
        <w:t>蔡</w:t>
      </w:r>
      <w:proofErr w:type="gramEnd"/>
      <w:r w:rsidR="00B942D5" w:rsidRPr="00F64788">
        <w:rPr>
          <w:rFonts w:hAnsi="標楷體" w:hint="eastAsia"/>
          <w:szCs w:val="32"/>
        </w:rPr>
        <w:t>○岳</w:t>
      </w:r>
      <w:r w:rsidR="00DB35BC" w:rsidRPr="00F64788">
        <w:rPr>
          <w:rFonts w:hAnsi="標楷體" w:hint="eastAsia"/>
          <w:szCs w:val="32"/>
        </w:rPr>
        <w:t>等人，</w:t>
      </w:r>
      <w:proofErr w:type="gramStart"/>
      <w:r w:rsidR="00DB35BC" w:rsidRPr="00F64788">
        <w:rPr>
          <w:rFonts w:hAnsi="標楷體" w:hint="eastAsia"/>
          <w:szCs w:val="32"/>
        </w:rPr>
        <w:t>均</w:t>
      </w:r>
      <w:r w:rsidR="003F48FB" w:rsidRPr="00F64788">
        <w:rPr>
          <w:rFonts w:hAnsi="標楷體" w:hint="eastAsia"/>
          <w:szCs w:val="32"/>
        </w:rPr>
        <w:t>有</w:t>
      </w:r>
      <w:r w:rsidR="00DB35BC" w:rsidRPr="00F64788">
        <w:rPr>
          <w:rFonts w:hAnsi="標楷體" w:hint="eastAsia"/>
          <w:szCs w:val="32"/>
        </w:rPr>
        <w:t>依</w:t>
      </w:r>
      <w:proofErr w:type="gramEnd"/>
      <w:r w:rsidR="00DB35BC" w:rsidRPr="00F64788">
        <w:rPr>
          <w:rFonts w:hAnsi="標楷體" w:hint="eastAsia"/>
          <w:szCs w:val="32"/>
        </w:rPr>
        <w:t>集會遊行法第8條、第9條及第13條規定，提出室外集會、遊行之申請，並獲得主管機關</w:t>
      </w:r>
      <w:r w:rsidR="003F48FB" w:rsidRPr="00F64788">
        <w:rPr>
          <w:rFonts w:hAnsi="標楷體" w:hint="eastAsia"/>
          <w:szCs w:val="32"/>
        </w:rPr>
        <w:t>（臺北市警局中正第一分局）</w:t>
      </w:r>
      <w:r w:rsidR="00DB35BC" w:rsidRPr="00F64788">
        <w:rPr>
          <w:rFonts w:hAnsi="標楷體" w:hint="eastAsia"/>
          <w:szCs w:val="32"/>
        </w:rPr>
        <w:t>許可。惟上揭三次集會</w:t>
      </w:r>
      <w:proofErr w:type="gramStart"/>
      <w:r w:rsidR="00DB35BC" w:rsidRPr="00F64788">
        <w:rPr>
          <w:rFonts w:hAnsi="標楷體" w:hint="eastAsia"/>
          <w:szCs w:val="32"/>
        </w:rPr>
        <w:t>遊行均因負責人</w:t>
      </w:r>
      <w:proofErr w:type="gramEnd"/>
      <w:r w:rsidR="00DB35BC" w:rsidRPr="00F64788">
        <w:rPr>
          <w:rFonts w:hAnsi="標楷體" w:hint="eastAsia"/>
          <w:szCs w:val="32"/>
        </w:rPr>
        <w:t>之</w:t>
      </w:r>
      <w:r>
        <w:rPr>
          <w:rFonts w:hAnsi="標楷體" w:hint="eastAsia"/>
          <w:szCs w:val="32"/>
        </w:rPr>
        <w:t>鼓動</w:t>
      </w:r>
      <w:r w:rsidR="00DB35BC" w:rsidRPr="00F64788">
        <w:rPr>
          <w:rFonts w:hAnsi="標楷體" w:hint="eastAsia"/>
          <w:szCs w:val="32"/>
        </w:rPr>
        <w:t>號召，竟</w:t>
      </w:r>
      <w:r>
        <w:rPr>
          <w:rFonts w:hAnsi="標楷體" w:hint="eastAsia"/>
          <w:szCs w:val="32"/>
        </w:rPr>
        <w:t>分別</w:t>
      </w:r>
      <w:r w:rsidR="00DB35BC" w:rsidRPr="00F64788">
        <w:rPr>
          <w:rFonts w:hAnsi="標楷體" w:hint="eastAsia"/>
          <w:szCs w:val="32"/>
        </w:rPr>
        <w:t>演變成</w:t>
      </w:r>
      <w:r>
        <w:rPr>
          <w:rFonts w:hAnsi="標楷體" w:hint="eastAsia"/>
          <w:szCs w:val="32"/>
        </w:rPr>
        <w:t>25日</w:t>
      </w:r>
      <w:r w:rsidR="00DB35BC" w:rsidRPr="00F64788">
        <w:rPr>
          <w:rFonts w:hAnsi="標楷體" w:hint="eastAsia"/>
          <w:szCs w:val="32"/>
        </w:rPr>
        <w:t>民眾包圍立法院出口，阻撓立法委員與官員離開，</w:t>
      </w:r>
      <w:proofErr w:type="gramStart"/>
      <w:r w:rsidR="00DB35BC" w:rsidRPr="00F64788">
        <w:rPr>
          <w:rFonts w:hAnsi="標楷體" w:hint="eastAsia"/>
          <w:szCs w:val="32"/>
        </w:rPr>
        <w:t>甚至撲趴在</w:t>
      </w:r>
      <w:proofErr w:type="gramEnd"/>
      <w:r w:rsidR="00DB35BC" w:rsidRPr="00F64788">
        <w:rPr>
          <w:rFonts w:hAnsi="標楷體" w:hint="eastAsia"/>
          <w:szCs w:val="32"/>
        </w:rPr>
        <w:t>委員汽車引擎蓋上，欲阻擋座車離去</w:t>
      </w:r>
      <w:r w:rsidR="003F48FB" w:rsidRPr="00F64788">
        <w:rPr>
          <w:rFonts w:hAnsi="標楷體" w:hint="eastAsia"/>
          <w:szCs w:val="32"/>
        </w:rPr>
        <w:t>，</w:t>
      </w:r>
      <w:r>
        <w:rPr>
          <w:rFonts w:hAnsi="標楷體" w:hint="eastAsia"/>
          <w:szCs w:val="32"/>
        </w:rPr>
        <w:t>更</w:t>
      </w:r>
      <w:r w:rsidR="00DB35BC" w:rsidRPr="00F64788">
        <w:rPr>
          <w:rFonts w:hAnsi="標楷體" w:hint="eastAsia"/>
          <w:szCs w:val="32"/>
        </w:rPr>
        <w:t>有路人駕駛自用車亦欲阻止委員座車離去，並一路尾隨跟蹤；</w:t>
      </w:r>
      <w:r>
        <w:rPr>
          <w:rFonts w:hAnsi="標楷體" w:hint="eastAsia"/>
          <w:szCs w:val="32"/>
        </w:rPr>
        <w:t>27、28日</w:t>
      </w:r>
      <w:r w:rsidR="00DB35BC" w:rsidRPr="00F64788">
        <w:rPr>
          <w:rFonts w:hAnsi="標楷體" w:hint="eastAsia"/>
          <w:szCs w:val="32"/>
        </w:rPr>
        <w:t>抗議群眾</w:t>
      </w:r>
      <w:r w:rsidR="004F6619">
        <w:rPr>
          <w:rFonts w:hAnsi="標楷體" w:hint="eastAsia"/>
          <w:szCs w:val="32"/>
        </w:rPr>
        <w:t>占領</w:t>
      </w:r>
      <w:r w:rsidR="00DB35BC" w:rsidRPr="00F64788">
        <w:rPr>
          <w:rFonts w:hAnsi="標楷體" w:hint="eastAsia"/>
          <w:szCs w:val="32"/>
        </w:rPr>
        <w:t>忠孝西路，癱瘓交通要衝，</w:t>
      </w:r>
      <w:r w:rsidR="003F48FB" w:rsidRPr="00F64788">
        <w:rPr>
          <w:rFonts w:hAnsi="標楷體" w:hint="eastAsia"/>
          <w:szCs w:val="32"/>
        </w:rPr>
        <w:t>極可能招致</w:t>
      </w:r>
      <w:r w:rsidR="00DB35BC" w:rsidRPr="00F64788">
        <w:rPr>
          <w:rFonts w:hAnsi="標楷體" w:hint="eastAsia"/>
          <w:szCs w:val="32"/>
        </w:rPr>
        <w:t>重大</w:t>
      </w:r>
      <w:r w:rsidR="00B60DE3">
        <w:rPr>
          <w:rFonts w:hAnsi="標楷體" w:hint="eastAsia"/>
          <w:szCs w:val="32"/>
        </w:rPr>
        <w:t>公</w:t>
      </w:r>
      <w:r w:rsidR="00DB35BC" w:rsidRPr="00F64788">
        <w:rPr>
          <w:rFonts w:hAnsi="標楷體" w:hint="eastAsia"/>
          <w:szCs w:val="32"/>
        </w:rPr>
        <w:t>安事故；</w:t>
      </w:r>
      <w:r w:rsidR="00DB35BC" w:rsidRPr="00F64788">
        <w:rPr>
          <w:rFonts w:hAnsi="標楷體"/>
          <w:szCs w:val="32"/>
        </w:rPr>
        <w:t>29</w:t>
      </w:r>
      <w:r w:rsidR="00DB35BC" w:rsidRPr="00F64788">
        <w:rPr>
          <w:rFonts w:hAnsi="標楷體" w:hint="eastAsia"/>
          <w:szCs w:val="32"/>
        </w:rPr>
        <w:t>日又發生群眾對立委盤查身分、跟蹤隨行、言語辱罵、阻攔座車、打破車窗等</w:t>
      </w:r>
      <w:r>
        <w:rPr>
          <w:rFonts w:hAnsi="標楷體" w:hint="eastAsia"/>
          <w:szCs w:val="32"/>
        </w:rPr>
        <w:t>暴力</w:t>
      </w:r>
      <w:r w:rsidR="00DB35BC" w:rsidRPr="00F64788">
        <w:rPr>
          <w:rFonts w:hAnsi="標楷體" w:hint="eastAsia"/>
          <w:szCs w:val="32"/>
        </w:rPr>
        <w:t>行為，甚至盤據忠孝東路與林森南路口，嚴重阻礙</w:t>
      </w:r>
      <w:r w:rsidR="00B60DE3">
        <w:rPr>
          <w:rFonts w:hAnsi="標楷體" w:hint="eastAsia"/>
          <w:szCs w:val="32"/>
        </w:rPr>
        <w:t>車輛行人往來</w:t>
      </w:r>
      <w:r w:rsidR="006C425E" w:rsidRPr="00F64788">
        <w:rPr>
          <w:rFonts w:hAnsi="標楷體" w:hint="eastAsia"/>
          <w:szCs w:val="32"/>
        </w:rPr>
        <w:t>，</w:t>
      </w:r>
      <w:r w:rsidR="00ED1593" w:rsidRPr="00F64788">
        <w:rPr>
          <w:rFonts w:hAnsi="標楷體" w:hint="eastAsia"/>
          <w:szCs w:val="32"/>
        </w:rPr>
        <w:t>以上</w:t>
      </w:r>
      <w:r w:rsidR="00B60DE3">
        <w:rPr>
          <w:rFonts w:hAnsi="標楷體" w:hint="eastAsia"/>
          <w:szCs w:val="32"/>
        </w:rPr>
        <w:t>短短4日即</w:t>
      </w:r>
      <w:r w:rsidR="003F48FB" w:rsidRPr="00F64788">
        <w:rPr>
          <w:rFonts w:hAnsi="標楷體" w:hint="eastAsia"/>
          <w:szCs w:val="32"/>
        </w:rPr>
        <w:t>共</w:t>
      </w:r>
      <w:r w:rsidR="006C425E" w:rsidRPr="00F64788">
        <w:rPr>
          <w:rFonts w:hAnsi="標楷體" w:hint="eastAsia"/>
          <w:szCs w:val="32"/>
        </w:rPr>
        <w:t>造成98名員警受傷之重大群眾事件</w:t>
      </w:r>
      <w:r w:rsidR="00DB35BC" w:rsidRPr="00F64788">
        <w:rPr>
          <w:rFonts w:hAnsi="標楷體" w:hint="eastAsia"/>
          <w:szCs w:val="32"/>
        </w:rPr>
        <w:t>。</w:t>
      </w:r>
    </w:p>
    <w:p w:rsidR="00B942D5" w:rsidRPr="00F64788" w:rsidRDefault="006C425E" w:rsidP="0041611F">
      <w:pPr>
        <w:pStyle w:val="3"/>
        <w:numPr>
          <w:ilvl w:val="0"/>
          <w:numId w:val="0"/>
        </w:numPr>
        <w:ind w:left="1393" w:firstLineChars="200" w:firstLine="680"/>
        <w:rPr>
          <w:rFonts w:hAnsi="標楷體"/>
        </w:rPr>
      </w:pPr>
      <w:r w:rsidRPr="00F64788">
        <w:rPr>
          <w:rFonts w:hAnsi="標楷體" w:hint="eastAsia"/>
          <w:szCs w:val="32"/>
        </w:rPr>
        <w:t>經</w:t>
      </w:r>
      <w:r w:rsidR="00ED1593" w:rsidRPr="00F64788">
        <w:rPr>
          <w:rFonts w:hAnsi="標楷體" w:hint="eastAsia"/>
          <w:szCs w:val="32"/>
        </w:rPr>
        <w:t>深入觀察，上開</w:t>
      </w:r>
      <w:r w:rsidRPr="00F64788">
        <w:rPr>
          <w:rFonts w:hAnsi="標楷體" w:hint="eastAsia"/>
          <w:szCs w:val="32"/>
        </w:rPr>
        <w:t>群眾暴力</w:t>
      </w:r>
      <w:r w:rsidR="00B60DE3">
        <w:rPr>
          <w:rFonts w:hAnsi="標楷體" w:hint="eastAsia"/>
          <w:szCs w:val="32"/>
        </w:rPr>
        <w:t>之肇生</w:t>
      </w:r>
      <w:r w:rsidRPr="00F64788">
        <w:rPr>
          <w:rFonts w:hAnsi="標楷體" w:hint="eastAsia"/>
          <w:szCs w:val="32"/>
        </w:rPr>
        <w:t>，</w:t>
      </w:r>
      <w:r w:rsidR="003F48FB" w:rsidRPr="00F64788">
        <w:rPr>
          <w:rFonts w:hAnsi="標楷體" w:hint="eastAsia"/>
          <w:szCs w:val="32"/>
        </w:rPr>
        <w:t>並</w:t>
      </w:r>
      <w:r w:rsidRPr="00F64788">
        <w:rPr>
          <w:rFonts w:hAnsi="標楷體" w:hint="eastAsia"/>
          <w:szCs w:val="32"/>
        </w:rPr>
        <w:t>非不可預知</w:t>
      </w:r>
      <w:r w:rsidR="00B60DE3">
        <w:rPr>
          <w:rFonts w:hAnsi="標楷體" w:hint="eastAsia"/>
          <w:szCs w:val="32"/>
        </w:rPr>
        <w:t>，亦非不可避免</w:t>
      </w:r>
      <w:r w:rsidRPr="00F64788">
        <w:rPr>
          <w:rFonts w:hAnsi="標楷體" w:hint="eastAsia"/>
          <w:szCs w:val="32"/>
        </w:rPr>
        <w:t>之突發事故，</w:t>
      </w:r>
      <w:proofErr w:type="gramStart"/>
      <w:r w:rsidR="00B97926">
        <w:rPr>
          <w:rFonts w:hAnsi="標楷體" w:hint="eastAsia"/>
          <w:szCs w:val="32"/>
        </w:rPr>
        <w:t>允</w:t>
      </w:r>
      <w:r w:rsidR="00ED1593" w:rsidRPr="00F64788">
        <w:rPr>
          <w:rFonts w:hAnsi="標楷體" w:hint="eastAsia"/>
          <w:szCs w:val="32"/>
        </w:rPr>
        <w:t>係</w:t>
      </w:r>
      <w:r w:rsidRPr="00F64788">
        <w:rPr>
          <w:rFonts w:hAnsi="標楷體" w:hint="eastAsia"/>
          <w:szCs w:val="32"/>
        </w:rPr>
        <w:t>召集</w:t>
      </w:r>
      <w:proofErr w:type="gramEnd"/>
      <w:r w:rsidRPr="00F64788">
        <w:rPr>
          <w:rFonts w:hAnsi="標楷體" w:hint="eastAsia"/>
          <w:szCs w:val="32"/>
        </w:rPr>
        <w:t>者</w:t>
      </w:r>
      <w:r w:rsidR="00ED1593" w:rsidRPr="00F64788">
        <w:rPr>
          <w:rFonts w:hAnsi="標楷體" w:hint="eastAsia"/>
          <w:szCs w:val="32"/>
        </w:rPr>
        <w:t>預</w:t>
      </w:r>
      <w:r w:rsidRPr="00F64788">
        <w:rPr>
          <w:rFonts w:hAnsi="標楷體" w:hint="eastAsia"/>
          <w:szCs w:val="32"/>
        </w:rPr>
        <w:t>先精心</w:t>
      </w:r>
      <w:r w:rsidR="00B60DE3">
        <w:rPr>
          <w:rFonts w:hAnsi="標楷體" w:hint="eastAsia"/>
          <w:szCs w:val="32"/>
        </w:rPr>
        <w:t>之</w:t>
      </w:r>
      <w:r w:rsidRPr="00F64788">
        <w:rPr>
          <w:rFonts w:hAnsi="標楷體" w:hint="eastAsia"/>
          <w:szCs w:val="32"/>
        </w:rPr>
        <w:t>籌劃，</w:t>
      </w:r>
      <w:r w:rsidR="00B60DE3">
        <w:rPr>
          <w:rFonts w:hAnsi="標楷體" w:hint="eastAsia"/>
          <w:szCs w:val="32"/>
        </w:rPr>
        <w:t>因之召集者可以預見群眾暴力情事之發生，而且發生並不違背其本意。</w:t>
      </w:r>
      <w:r w:rsidRPr="00F64788">
        <w:rPr>
          <w:rFonts w:hAnsi="標楷體" w:hint="eastAsia"/>
          <w:szCs w:val="32"/>
        </w:rPr>
        <w:t>尤其</w:t>
      </w:r>
      <w:r w:rsidR="00ED1593" w:rsidRPr="00F64788">
        <w:rPr>
          <w:rFonts w:hAnsi="標楷體" w:hint="eastAsia"/>
          <w:szCs w:val="32"/>
        </w:rPr>
        <w:t>4月27日</w:t>
      </w:r>
      <w:r w:rsidR="00ED1593" w:rsidRPr="00F64788">
        <w:rPr>
          <w:rFonts w:hAnsi="標楷體" w:hint="eastAsia"/>
          <w:szCs w:val="32"/>
        </w:rPr>
        <w:lastRenderedPageBreak/>
        <w:t>之遊行，警方</w:t>
      </w:r>
      <w:proofErr w:type="gramStart"/>
      <w:r w:rsidR="00ED1593" w:rsidRPr="00F64788">
        <w:rPr>
          <w:rFonts w:hAnsi="標楷體" w:hint="eastAsia"/>
          <w:szCs w:val="32"/>
        </w:rPr>
        <w:t>據情資顯示</w:t>
      </w:r>
      <w:proofErr w:type="gramEnd"/>
      <w:r w:rsidR="00ED1593" w:rsidRPr="00F64788">
        <w:rPr>
          <w:rFonts w:hAnsi="標楷體" w:hint="eastAsia"/>
          <w:szCs w:val="32"/>
        </w:rPr>
        <w:t>，為首者將率眾故意違法占據臺北市忠孝西路重要交通要道，其行為顯係非和平、理性之計畫性作為</w:t>
      </w:r>
      <w:r w:rsidR="00A4368D" w:rsidRPr="00F64788">
        <w:rPr>
          <w:rFonts w:hAnsi="標楷體" w:hint="eastAsia"/>
          <w:szCs w:val="32"/>
        </w:rPr>
        <w:t>，</w:t>
      </w:r>
      <w:r w:rsidR="00B60DE3">
        <w:rPr>
          <w:rFonts w:hAnsi="標楷體" w:hint="eastAsia"/>
          <w:szCs w:val="32"/>
        </w:rPr>
        <w:t>顯</w:t>
      </w:r>
      <w:r w:rsidR="00256ECE" w:rsidRPr="00F64788">
        <w:rPr>
          <w:rFonts w:hAnsi="標楷體" w:hint="eastAsia"/>
        </w:rPr>
        <w:t>有事實足認</w:t>
      </w:r>
      <w:r w:rsidR="00A4368D" w:rsidRPr="00F64788">
        <w:rPr>
          <w:rFonts w:hAnsi="標楷體" w:hint="eastAsia"/>
        </w:rPr>
        <w:t>有危害社會秩序或公共利益，</w:t>
      </w:r>
      <w:r w:rsidR="006416D0" w:rsidRPr="00F64788">
        <w:rPr>
          <w:rFonts w:hAnsi="標楷體" w:hint="eastAsia"/>
        </w:rPr>
        <w:t>並</w:t>
      </w:r>
      <w:r w:rsidR="00A4368D" w:rsidRPr="00F64788">
        <w:rPr>
          <w:rFonts w:hAnsi="標楷體" w:hint="eastAsia"/>
        </w:rPr>
        <w:t>有危害生命、身體、自由或對財物造成重大損壞</w:t>
      </w:r>
      <w:r w:rsidR="006416D0" w:rsidRPr="00F64788">
        <w:rPr>
          <w:rFonts w:hAnsi="標楷體" w:hint="eastAsia"/>
        </w:rPr>
        <w:t>之虞。</w:t>
      </w:r>
      <w:proofErr w:type="gramStart"/>
      <w:r w:rsidR="00C1361E" w:rsidRPr="00F64788">
        <w:rPr>
          <w:rFonts w:hAnsi="標楷體" w:hint="eastAsia"/>
        </w:rPr>
        <w:t>再者，</w:t>
      </w:r>
      <w:proofErr w:type="gramEnd"/>
      <w:r w:rsidR="00C1361E" w:rsidRPr="00F64788">
        <w:rPr>
          <w:rFonts w:hAnsi="標楷體" w:hint="eastAsia"/>
        </w:rPr>
        <w:t>上述集會遊行之負責人</w:t>
      </w:r>
      <w:proofErr w:type="gramStart"/>
      <w:r w:rsidR="00C1361E" w:rsidRPr="00F64788">
        <w:rPr>
          <w:rFonts w:hAnsi="標楷體" w:hint="eastAsia"/>
        </w:rPr>
        <w:t>蔡</w:t>
      </w:r>
      <w:proofErr w:type="gramEnd"/>
      <w:r w:rsidR="00C1361E" w:rsidRPr="00F64788">
        <w:rPr>
          <w:rFonts w:hAnsi="標楷體" w:hint="eastAsia"/>
          <w:szCs w:val="32"/>
        </w:rPr>
        <w:t>○</w:t>
      </w:r>
      <w:proofErr w:type="gramStart"/>
      <w:r w:rsidR="00C1361E" w:rsidRPr="00F64788">
        <w:rPr>
          <w:rFonts w:hAnsi="標楷體" w:hint="eastAsia"/>
        </w:rPr>
        <w:t>貴據警方</w:t>
      </w:r>
      <w:proofErr w:type="gramEnd"/>
      <w:r w:rsidR="00C1361E" w:rsidRPr="00F64788">
        <w:rPr>
          <w:rFonts w:hAnsi="標楷體" w:hint="eastAsia"/>
        </w:rPr>
        <w:t>統計</w:t>
      </w:r>
      <w:r w:rsidR="00B60DE3">
        <w:rPr>
          <w:rFonts w:hAnsi="標楷體" w:hint="eastAsia"/>
        </w:rPr>
        <w:t>，渠</w:t>
      </w:r>
      <w:r w:rsidR="00C1361E" w:rsidRPr="00F64788">
        <w:rPr>
          <w:rFonts w:hAnsi="標楷體" w:hint="eastAsia"/>
        </w:rPr>
        <w:t>曾</w:t>
      </w:r>
      <w:r w:rsidR="00B60DE3">
        <w:rPr>
          <w:rFonts w:hAnsi="標楷體" w:hint="eastAsia"/>
        </w:rPr>
        <w:t>因涉及類似群眾暴力</w:t>
      </w:r>
      <w:r w:rsidR="00B60DE3" w:rsidRPr="00F64788">
        <w:rPr>
          <w:rFonts w:hAnsi="標楷體" w:hint="eastAsia"/>
        </w:rPr>
        <w:t>案件</w:t>
      </w:r>
      <w:r w:rsidR="00C1361E" w:rsidRPr="00F64788">
        <w:rPr>
          <w:rFonts w:hAnsi="標楷體" w:hint="eastAsia"/>
        </w:rPr>
        <w:t>遭警方移送高達24案</w:t>
      </w:r>
      <w:r w:rsidR="00E553FD" w:rsidRPr="00F64788">
        <w:rPr>
          <w:rFonts w:hAnsi="標楷體" w:hint="eastAsia"/>
        </w:rPr>
        <w:t>，</w:t>
      </w:r>
      <w:r w:rsidR="00B60DE3">
        <w:rPr>
          <w:rFonts w:hAnsi="標楷體" w:hint="eastAsia"/>
        </w:rPr>
        <w:t>且其「公投護臺灣聯盟」</w:t>
      </w:r>
      <w:r w:rsidR="006416D0" w:rsidRPr="00F64788">
        <w:rPr>
          <w:rFonts w:hAnsi="標楷體" w:hint="eastAsia"/>
        </w:rPr>
        <w:t>經常刻意更換申請人</w:t>
      </w:r>
      <w:r w:rsidR="00E553FD" w:rsidRPr="00F64788">
        <w:rPr>
          <w:rFonts w:hAnsi="標楷體" w:hint="eastAsia"/>
        </w:rPr>
        <w:t>與</w:t>
      </w:r>
      <w:r w:rsidR="006416D0" w:rsidRPr="00F64788">
        <w:rPr>
          <w:rFonts w:hAnsi="標楷體" w:hint="eastAsia"/>
        </w:rPr>
        <w:t>集會地點，</w:t>
      </w:r>
      <w:r w:rsidR="00B60DE3">
        <w:rPr>
          <w:rFonts w:hAnsi="標楷體" w:hint="eastAsia"/>
        </w:rPr>
        <w:t>意在</w:t>
      </w:r>
      <w:r w:rsidR="006416D0" w:rsidRPr="00F64788">
        <w:rPr>
          <w:rFonts w:hAnsi="標楷體" w:hint="eastAsia"/>
        </w:rPr>
        <w:t>規避</w:t>
      </w:r>
      <w:r w:rsidR="00B60DE3">
        <w:rPr>
          <w:rFonts w:hAnsi="標楷體" w:hint="eastAsia"/>
        </w:rPr>
        <w:t>主管機關</w:t>
      </w:r>
      <w:r w:rsidR="006416D0" w:rsidRPr="00F64788">
        <w:rPr>
          <w:rFonts w:hAnsi="標楷體" w:hint="eastAsia"/>
        </w:rPr>
        <w:t>之審查，</w:t>
      </w:r>
      <w:r w:rsidR="00B60DE3">
        <w:rPr>
          <w:rFonts w:hAnsi="標楷體" w:hint="eastAsia"/>
        </w:rPr>
        <w:t>渠等主要成員</w:t>
      </w:r>
      <w:r w:rsidR="00C1361E" w:rsidRPr="00F64788">
        <w:rPr>
          <w:rFonts w:hAnsi="標楷體" w:hint="eastAsia"/>
        </w:rPr>
        <w:t>並</w:t>
      </w:r>
      <w:r w:rsidR="00E553FD" w:rsidRPr="00F64788">
        <w:rPr>
          <w:rFonts w:hAnsi="標楷體" w:hint="eastAsia"/>
        </w:rPr>
        <w:t>積極</w:t>
      </w:r>
      <w:r w:rsidR="00C1361E" w:rsidRPr="00F64788">
        <w:rPr>
          <w:rFonts w:hAnsi="標楷體" w:hint="eastAsia"/>
        </w:rPr>
        <w:t>參與其他</w:t>
      </w:r>
      <w:r w:rsidR="00B60DE3">
        <w:rPr>
          <w:rFonts w:hAnsi="標楷體" w:hint="eastAsia"/>
        </w:rPr>
        <w:t>公民</w:t>
      </w:r>
      <w:r w:rsidR="00C1361E" w:rsidRPr="00F64788">
        <w:rPr>
          <w:rFonts w:hAnsi="標楷體" w:hint="eastAsia"/>
        </w:rPr>
        <w:t>團體之集會遊行，</w:t>
      </w:r>
      <w:proofErr w:type="gramStart"/>
      <w:r w:rsidR="00E553FD" w:rsidRPr="00F64788">
        <w:rPr>
          <w:rFonts w:hAnsi="標楷體" w:hint="eastAsia"/>
        </w:rPr>
        <w:t>除</w:t>
      </w:r>
      <w:r w:rsidR="00C1361E" w:rsidRPr="00F64788">
        <w:rPr>
          <w:rFonts w:hAnsi="標楷體" w:hint="eastAsia"/>
        </w:rPr>
        <w:t>互為</w:t>
      </w:r>
      <w:proofErr w:type="gramEnd"/>
      <w:r w:rsidR="00C1361E" w:rsidRPr="00F64788">
        <w:rPr>
          <w:rFonts w:hAnsi="標楷體" w:hint="eastAsia"/>
        </w:rPr>
        <w:t>呼應</w:t>
      </w:r>
      <w:r w:rsidR="009A42EF" w:rsidRPr="00F64788">
        <w:rPr>
          <w:rFonts w:hAnsi="標楷體" w:hint="eastAsia"/>
        </w:rPr>
        <w:t>壯大聲勢外，</w:t>
      </w:r>
      <w:r w:rsidR="009A42EF">
        <w:rPr>
          <w:rFonts w:hAnsi="標楷體" w:hint="eastAsia"/>
        </w:rPr>
        <w:t>其激烈</w:t>
      </w:r>
      <w:proofErr w:type="gramStart"/>
      <w:r w:rsidR="009A42EF">
        <w:rPr>
          <w:rFonts w:hAnsi="標楷體" w:hint="eastAsia"/>
        </w:rPr>
        <w:t>多變之陳抗</w:t>
      </w:r>
      <w:proofErr w:type="gramEnd"/>
      <w:r w:rsidR="009A42EF">
        <w:rPr>
          <w:rFonts w:hAnsi="標楷體" w:hint="eastAsia"/>
        </w:rPr>
        <w:t>手段，常令</w:t>
      </w:r>
      <w:r w:rsidR="00C1361E" w:rsidRPr="00F64788">
        <w:rPr>
          <w:rFonts w:hAnsi="標楷體" w:hint="eastAsia"/>
        </w:rPr>
        <w:t>現場</w:t>
      </w:r>
      <w:r w:rsidR="00B97926">
        <w:rPr>
          <w:rFonts w:hAnsi="標楷體" w:hint="eastAsia"/>
        </w:rPr>
        <w:t>維安</w:t>
      </w:r>
      <w:r w:rsidR="00C1361E" w:rsidRPr="00F64788">
        <w:rPr>
          <w:rFonts w:hAnsi="標楷體" w:hint="eastAsia"/>
        </w:rPr>
        <w:t>員警疲於奔命</w:t>
      </w:r>
      <w:r w:rsidR="009A42EF">
        <w:rPr>
          <w:rFonts w:hAnsi="標楷體" w:hint="eastAsia"/>
        </w:rPr>
        <w:t>，嚴重</w:t>
      </w:r>
      <w:proofErr w:type="gramStart"/>
      <w:r w:rsidR="00990ADE">
        <w:rPr>
          <w:rFonts w:hAnsi="標楷體" w:hint="eastAsia"/>
        </w:rPr>
        <w:t>斲</w:t>
      </w:r>
      <w:proofErr w:type="gramEnd"/>
      <w:r w:rsidR="00990ADE">
        <w:rPr>
          <w:rFonts w:hAnsi="標楷體" w:hint="eastAsia"/>
        </w:rPr>
        <w:t>傷政府執法公信</w:t>
      </w:r>
      <w:r w:rsidR="00E553FD" w:rsidRPr="00F64788">
        <w:rPr>
          <w:rFonts w:hAnsi="標楷體" w:hint="eastAsia"/>
          <w:szCs w:val="32"/>
        </w:rPr>
        <w:t>。</w:t>
      </w:r>
      <w:proofErr w:type="gramStart"/>
      <w:r w:rsidR="009F3E45" w:rsidRPr="00F64788">
        <w:rPr>
          <w:rFonts w:hAnsi="標楷體" w:hint="eastAsia"/>
          <w:szCs w:val="32"/>
        </w:rPr>
        <w:t>爰</w:t>
      </w:r>
      <w:proofErr w:type="gramEnd"/>
      <w:r w:rsidR="009A42EF">
        <w:rPr>
          <w:rFonts w:hAnsi="標楷體" w:hint="eastAsia"/>
          <w:szCs w:val="32"/>
        </w:rPr>
        <w:t>此</w:t>
      </w:r>
      <w:r w:rsidR="009F3E45" w:rsidRPr="00F64788">
        <w:rPr>
          <w:rFonts w:hAnsi="標楷體" w:hint="eastAsia"/>
          <w:szCs w:val="32"/>
        </w:rPr>
        <w:t>，</w:t>
      </w:r>
      <w:r w:rsidR="009A42EF">
        <w:rPr>
          <w:rFonts w:hAnsi="標楷體" w:hint="eastAsia"/>
        </w:rPr>
        <w:t>主管</w:t>
      </w:r>
      <w:r w:rsidR="00E553FD" w:rsidRPr="00F64788">
        <w:rPr>
          <w:rFonts w:hAnsi="標楷體" w:hint="eastAsia"/>
        </w:rPr>
        <w:t>機關</w:t>
      </w:r>
      <w:r w:rsidR="009F3E45" w:rsidRPr="00F64788">
        <w:rPr>
          <w:rFonts w:hAnsi="標楷體" w:hint="eastAsia"/>
        </w:rPr>
        <w:t>允</w:t>
      </w:r>
      <w:r w:rsidR="00990ADE">
        <w:rPr>
          <w:rFonts w:hAnsi="標楷體" w:hint="eastAsia"/>
        </w:rPr>
        <w:t>宜</w:t>
      </w:r>
      <w:r w:rsidR="009A42EF">
        <w:rPr>
          <w:rFonts w:hAnsi="標楷體" w:hint="eastAsia"/>
        </w:rPr>
        <w:t>權衡人民集會遊行之權益以及公共秩序之維護，對於一再遊走法</w:t>
      </w:r>
      <w:r w:rsidR="00990ADE">
        <w:rPr>
          <w:rFonts w:hAnsi="標楷體" w:hint="eastAsia"/>
        </w:rPr>
        <w:t>律</w:t>
      </w:r>
      <w:r w:rsidR="009A42EF">
        <w:rPr>
          <w:rFonts w:hAnsi="標楷體" w:hint="eastAsia"/>
        </w:rPr>
        <w:t>邊緣</w:t>
      </w:r>
      <w:r w:rsidR="00990ADE">
        <w:rPr>
          <w:rFonts w:hAnsi="標楷體" w:hint="eastAsia"/>
        </w:rPr>
        <w:t>、</w:t>
      </w:r>
      <w:r w:rsidR="009A42EF">
        <w:rPr>
          <w:rFonts w:hAnsi="標楷體" w:hint="eastAsia"/>
        </w:rPr>
        <w:t>執意製造</w:t>
      </w:r>
      <w:r w:rsidR="00990ADE">
        <w:rPr>
          <w:rFonts w:hAnsi="標楷體" w:hint="eastAsia"/>
        </w:rPr>
        <w:t>社會</w:t>
      </w:r>
      <w:r w:rsidR="009A42EF">
        <w:rPr>
          <w:rFonts w:hAnsi="標楷體" w:hint="eastAsia"/>
        </w:rPr>
        <w:t>紛亂</w:t>
      </w:r>
      <w:r w:rsidR="00990ADE">
        <w:rPr>
          <w:rFonts w:hAnsi="標楷體" w:hint="eastAsia"/>
        </w:rPr>
        <w:t>、危害公共安全，經查有實據之團體的集會遊行申請，應依法</w:t>
      </w:r>
      <w:proofErr w:type="gramStart"/>
      <w:r w:rsidR="00990ADE">
        <w:rPr>
          <w:rFonts w:hAnsi="標楷體" w:hint="eastAsia"/>
        </w:rPr>
        <w:t>予以</w:t>
      </w:r>
      <w:r w:rsidR="00EF661E">
        <w:rPr>
          <w:rFonts w:hAnsi="標楷體" w:hint="eastAsia"/>
          <w:color w:val="FF0000"/>
        </w:rPr>
        <w:t>妥處</w:t>
      </w:r>
      <w:proofErr w:type="gramEnd"/>
      <w:r w:rsidR="00E553FD" w:rsidRPr="00F64788">
        <w:rPr>
          <w:rFonts w:hAnsi="標楷體" w:hint="eastAsia"/>
        </w:rPr>
        <w:t>，</w:t>
      </w:r>
      <w:r w:rsidR="009F3E45" w:rsidRPr="00F64788">
        <w:rPr>
          <w:rFonts w:hAnsi="標楷體" w:hint="eastAsia"/>
        </w:rPr>
        <w:t>以</w:t>
      </w:r>
      <w:r w:rsidR="00990ADE">
        <w:rPr>
          <w:rFonts w:hAnsi="標楷體" w:hint="eastAsia"/>
        </w:rPr>
        <w:t>資</w:t>
      </w:r>
      <w:r w:rsidR="00B97926">
        <w:rPr>
          <w:rFonts w:hAnsi="標楷體" w:hint="eastAsia"/>
        </w:rPr>
        <w:t>捍衛</w:t>
      </w:r>
      <w:r w:rsidR="00E553FD" w:rsidRPr="00F64788">
        <w:rPr>
          <w:rFonts w:hAnsi="標楷體" w:hint="eastAsia"/>
        </w:rPr>
        <w:t>人民合法集會遊行</w:t>
      </w:r>
      <w:r w:rsidR="00990ADE">
        <w:rPr>
          <w:rFonts w:hAnsi="標楷體" w:hint="eastAsia"/>
        </w:rPr>
        <w:t>之</w:t>
      </w:r>
      <w:r w:rsidR="00E553FD" w:rsidRPr="00F64788">
        <w:rPr>
          <w:rFonts w:hAnsi="標楷體" w:hint="eastAsia"/>
        </w:rPr>
        <w:t>權利。</w:t>
      </w:r>
    </w:p>
    <w:p w:rsidR="004D6248" w:rsidRPr="00FF1A66" w:rsidRDefault="00990ADE" w:rsidP="00F1782C">
      <w:pPr>
        <w:pStyle w:val="3"/>
        <w:rPr>
          <w:rFonts w:hAnsi="標楷體"/>
        </w:rPr>
      </w:pPr>
      <w:r w:rsidRPr="00FF1A66">
        <w:rPr>
          <w:rFonts w:hAnsi="標楷體" w:hint="eastAsia"/>
          <w:szCs w:val="32"/>
        </w:rPr>
        <w:t>復查，</w:t>
      </w:r>
      <w:r w:rsidR="003A2FFD" w:rsidRPr="00FF1A66">
        <w:rPr>
          <w:rFonts w:hAnsi="標楷體" w:hint="eastAsia"/>
          <w:szCs w:val="32"/>
        </w:rPr>
        <w:t>爾來</w:t>
      </w:r>
      <w:r w:rsidR="004D6248" w:rsidRPr="00FF1A66">
        <w:rPr>
          <w:rFonts w:hAnsi="標楷體" w:hint="eastAsia"/>
          <w:szCs w:val="32"/>
        </w:rPr>
        <w:t>群眾事件</w:t>
      </w:r>
      <w:r w:rsidRPr="00FF1A66">
        <w:rPr>
          <w:rFonts w:hAnsi="標楷體" w:hint="eastAsia"/>
          <w:szCs w:val="32"/>
        </w:rPr>
        <w:t>逐漸</w:t>
      </w:r>
      <w:r w:rsidR="004D6248" w:rsidRPr="00FF1A66">
        <w:rPr>
          <w:rFonts w:hAnsi="標楷體" w:hint="eastAsia"/>
          <w:szCs w:val="32"/>
        </w:rPr>
        <w:t>激化，且其</w:t>
      </w:r>
      <w:r w:rsidR="00FF1A66" w:rsidRPr="00FF1A66">
        <w:rPr>
          <w:rFonts w:hAnsi="標楷體" w:hint="eastAsia"/>
          <w:szCs w:val="32"/>
        </w:rPr>
        <w:t>集結方式有別於以</w:t>
      </w:r>
      <w:r w:rsidR="004D6248" w:rsidRPr="00FF1A66">
        <w:rPr>
          <w:rFonts w:hAnsi="標楷體" w:hint="eastAsia"/>
          <w:szCs w:val="32"/>
        </w:rPr>
        <w:t>往</w:t>
      </w:r>
      <w:r w:rsidR="00FF1A66" w:rsidRPr="00FF1A66">
        <w:rPr>
          <w:rFonts w:hAnsi="標楷體" w:hint="eastAsia"/>
          <w:szCs w:val="32"/>
        </w:rPr>
        <w:t>由政黨、社團負責動員，現多</w:t>
      </w:r>
      <w:proofErr w:type="gramStart"/>
      <w:r w:rsidR="00FF1A66" w:rsidRPr="00FF1A66">
        <w:rPr>
          <w:rFonts w:hAnsi="標楷體" w:hint="eastAsia"/>
          <w:szCs w:val="32"/>
        </w:rPr>
        <w:t>利用臉書</w:t>
      </w:r>
      <w:proofErr w:type="gramEnd"/>
      <w:r w:rsidR="00FF1A66" w:rsidRPr="00FF1A66">
        <w:rPr>
          <w:rFonts w:hAnsi="標楷體" w:hint="eastAsia"/>
          <w:szCs w:val="32"/>
        </w:rPr>
        <w:t>、BBS站發動、集結，亦有</w:t>
      </w:r>
      <w:r w:rsidR="00B97926">
        <w:rPr>
          <w:rFonts w:hAnsi="標楷體" w:hint="eastAsia"/>
          <w:szCs w:val="32"/>
        </w:rPr>
        <w:t>中、</w:t>
      </w:r>
      <w:r w:rsidR="00FF1A66" w:rsidRPr="00FF1A66">
        <w:rPr>
          <w:rFonts w:hAnsi="標楷體" w:hint="eastAsia"/>
          <w:szCs w:val="32"/>
        </w:rPr>
        <w:t>南部網友於網路相約包車北上，</w:t>
      </w:r>
      <w:proofErr w:type="gramStart"/>
      <w:r w:rsidR="00FF1A66" w:rsidRPr="00FF1A66">
        <w:rPr>
          <w:rFonts w:hAnsi="標楷體" w:hint="eastAsia"/>
          <w:szCs w:val="32"/>
        </w:rPr>
        <w:t>故極易</w:t>
      </w:r>
      <w:proofErr w:type="gramEnd"/>
      <w:r w:rsidR="00FF1A66" w:rsidRPr="00FF1A66">
        <w:rPr>
          <w:rFonts w:hAnsi="標楷體" w:hint="eastAsia"/>
          <w:szCs w:val="32"/>
        </w:rPr>
        <w:t>在短時間內號召大批民眾集結，實際到場人數警方難以估計，該活動方</w:t>
      </w:r>
      <w:r w:rsidR="00B97926">
        <w:rPr>
          <w:rFonts w:hAnsi="標楷體" w:hint="eastAsia"/>
          <w:szCs w:val="32"/>
        </w:rPr>
        <w:t>式</w:t>
      </w:r>
      <w:r w:rsidR="00FF1A66" w:rsidRPr="00FF1A66">
        <w:rPr>
          <w:rFonts w:hAnsi="標楷體" w:hint="eastAsia"/>
          <w:szCs w:val="32"/>
        </w:rPr>
        <w:t>亦將成為未來趨勢。</w:t>
      </w:r>
      <w:r w:rsidR="004D6248" w:rsidRPr="00FF1A66">
        <w:rPr>
          <w:rFonts w:hAnsi="標楷體" w:hint="eastAsia"/>
          <w:szCs w:val="32"/>
        </w:rPr>
        <w:t>面對當前艱鉅的挑戰，警察機關</w:t>
      </w:r>
      <w:r w:rsidR="0033686E" w:rsidRPr="00FF1A66">
        <w:rPr>
          <w:rFonts w:hAnsi="標楷體" w:hint="eastAsia"/>
          <w:szCs w:val="32"/>
        </w:rPr>
        <w:t>亟</w:t>
      </w:r>
      <w:r w:rsidR="004D6248" w:rsidRPr="00FF1A66">
        <w:rPr>
          <w:rFonts w:hAnsi="標楷體" w:hint="eastAsia"/>
          <w:szCs w:val="32"/>
        </w:rPr>
        <w:t>應加強預警情資</w:t>
      </w:r>
      <w:proofErr w:type="gramStart"/>
      <w:r w:rsidR="004D6248" w:rsidRPr="00FF1A66">
        <w:rPr>
          <w:rFonts w:hAnsi="標楷體" w:hint="eastAsia"/>
          <w:szCs w:val="32"/>
        </w:rPr>
        <w:t>蒐</w:t>
      </w:r>
      <w:proofErr w:type="gramEnd"/>
      <w:r w:rsidR="004D6248" w:rsidRPr="00FF1A66">
        <w:rPr>
          <w:rFonts w:hAnsi="標楷體" w:hint="eastAsia"/>
          <w:szCs w:val="32"/>
        </w:rPr>
        <w:t>報，不</w:t>
      </w:r>
      <w:r w:rsidR="00B97926">
        <w:rPr>
          <w:rFonts w:hAnsi="標楷體" w:hint="eastAsia"/>
          <w:szCs w:val="32"/>
        </w:rPr>
        <w:t>可</w:t>
      </w:r>
      <w:r w:rsidR="004D6248" w:rsidRPr="00FF1A66">
        <w:rPr>
          <w:rFonts w:hAnsi="標楷體" w:hint="eastAsia"/>
          <w:szCs w:val="32"/>
        </w:rPr>
        <w:t>侷限於傳統諮詢之提供，</w:t>
      </w:r>
      <w:r w:rsidR="00FF1A66">
        <w:rPr>
          <w:rFonts w:hAnsi="標楷體" w:hint="eastAsia"/>
          <w:szCs w:val="32"/>
        </w:rPr>
        <w:t>須</w:t>
      </w:r>
      <w:r w:rsidR="00B649F5">
        <w:rPr>
          <w:rFonts w:hAnsi="標楷體" w:hint="eastAsia"/>
          <w:szCs w:val="32"/>
        </w:rPr>
        <w:t>針對敏感性時事議題</w:t>
      </w:r>
      <w:r w:rsidR="004D6248" w:rsidRPr="00FF1A66">
        <w:rPr>
          <w:rFonts w:hAnsi="標楷體" w:hint="eastAsia"/>
          <w:szCs w:val="32"/>
        </w:rPr>
        <w:t>加強網路</w:t>
      </w:r>
      <w:proofErr w:type="gramStart"/>
      <w:r w:rsidR="004D6248" w:rsidRPr="00FF1A66">
        <w:rPr>
          <w:rFonts w:hAnsi="標楷體" w:hint="eastAsia"/>
          <w:szCs w:val="32"/>
        </w:rPr>
        <w:t>蒐</w:t>
      </w:r>
      <w:proofErr w:type="gramEnd"/>
      <w:r w:rsidR="004D6248" w:rsidRPr="00FF1A66">
        <w:rPr>
          <w:rFonts w:hAnsi="標楷體" w:hint="eastAsia"/>
          <w:szCs w:val="32"/>
        </w:rPr>
        <w:t>報，建立互聯、通報</w:t>
      </w:r>
      <w:r w:rsidR="00B649F5">
        <w:rPr>
          <w:rFonts w:hAnsi="標楷體" w:hint="eastAsia"/>
          <w:szCs w:val="32"/>
        </w:rPr>
        <w:t>及</w:t>
      </w:r>
      <w:r w:rsidR="004D6248" w:rsidRPr="00FF1A66">
        <w:rPr>
          <w:rFonts w:hAnsi="標楷體" w:hint="eastAsia"/>
          <w:szCs w:val="32"/>
        </w:rPr>
        <w:t>支援機制，強化情</w:t>
      </w:r>
      <w:proofErr w:type="gramStart"/>
      <w:r w:rsidR="004D6248" w:rsidRPr="00FF1A66">
        <w:rPr>
          <w:rFonts w:hAnsi="標楷體" w:hint="eastAsia"/>
          <w:szCs w:val="32"/>
        </w:rPr>
        <w:t>蒐</w:t>
      </w:r>
      <w:proofErr w:type="gramEnd"/>
      <w:r w:rsidR="004D6248" w:rsidRPr="00FF1A66">
        <w:rPr>
          <w:rFonts w:hAnsi="標楷體" w:hint="eastAsia"/>
          <w:szCs w:val="32"/>
        </w:rPr>
        <w:t>能量</w:t>
      </w:r>
      <w:r w:rsidR="00B649F5">
        <w:rPr>
          <w:rFonts w:hAnsi="標楷體" w:hint="eastAsia"/>
          <w:szCs w:val="32"/>
        </w:rPr>
        <w:t>與</w:t>
      </w:r>
      <w:r w:rsidR="004D6248" w:rsidRPr="00FF1A66">
        <w:rPr>
          <w:rFonts w:hAnsi="標楷體" w:hint="eastAsia"/>
          <w:szCs w:val="32"/>
        </w:rPr>
        <w:t>動態之靈活掌握。</w:t>
      </w:r>
      <w:r w:rsidR="0033686E" w:rsidRPr="00FF1A66">
        <w:rPr>
          <w:rFonts w:hAnsi="標楷體" w:hint="eastAsia"/>
          <w:szCs w:val="32"/>
        </w:rPr>
        <w:t>警政主管機關應責成所屬，在不違反個資法及相關法令前提下，針對網路公開資訊(</w:t>
      </w:r>
      <w:proofErr w:type="gramStart"/>
      <w:r w:rsidR="0033686E" w:rsidRPr="00FF1A66">
        <w:rPr>
          <w:rFonts w:hAnsi="標楷體" w:hint="eastAsia"/>
          <w:szCs w:val="32"/>
        </w:rPr>
        <w:t>如臉書</w:t>
      </w:r>
      <w:proofErr w:type="gramEnd"/>
      <w:r w:rsidR="0033686E" w:rsidRPr="00FF1A66">
        <w:rPr>
          <w:rFonts w:hAnsi="標楷體" w:hint="eastAsia"/>
          <w:szCs w:val="32"/>
        </w:rPr>
        <w:t>、BBS站、PTT、部落格及其他社群媒體等)加強相關治安預警訊息之瀏覽，並逐步充實輿情雲端資料庫，善用網路雲端，將警政署公關室（平面、網路、媒體輿情）、</w:t>
      </w:r>
      <w:r w:rsidR="0033686E" w:rsidRPr="00FF1A66">
        <w:rPr>
          <w:rFonts w:hAnsi="標楷體" w:hint="eastAsia"/>
          <w:szCs w:val="32"/>
        </w:rPr>
        <w:lastRenderedPageBreak/>
        <w:t>勤指中心（電子媒體輿情）、資訊室（網路社群媒體輿情）所</w:t>
      </w:r>
      <w:proofErr w:type="gramStart"/>
      <w:r w:rsidR="0033686E" w:rsidRPr="00FF1A66">
        <w:rPr>
          <w:rFonts w:hAnsi="標楷體" w:hint="eastAsia"/>
          <w:szCs w:val="32"/>
        </w:rPr>
        <w:t>蒐</w:t>
      </w:r>
      <w:proofErr w:type="gramEnd"/>
      <w:r w:rsidR="0033686E" w:rsidRPr="00FF1A66">
        <w:rPr>
          <w:rFonts w:hAnsi="標楷體" w:hint="eastAsia"/>
          <w:szCs w:val="32"/>
        </w:rPr>
        <w:t>獲資訊置入網路雲端，</w:t>
      </w:r>
      <w:r w:rsidR="00B649F5">
        <w:rPr>
          <w:rFonts w:hAnsi="標楷體" w:hint="eastAsia"/>
          <w:szCs w:val="32"/>
        </w:rPr>
        <w:t>及時提</w:t>
      </w:r>
      <w:r w:rsidR="0033686E" w:rsidRPr="00FF1A66">
        <w:rPr>
          <w:rFonts w:hAnsi="標楷體" w:hint="eastAsia"/>
          <w:szCs w:val="32"/>
        </w:rPr>
        <w:t>供</w:t>
      </w:r>
      <w:r w:rsidR="00B649F5">
        <w:rPr>
          <w:rFonts w:hAnsi="標楷體" w:hint="eastAsia"/>
          <w:szCs w:val="32"/>
        </w:rPr>
        <w:t>員警</w:t>
      </w:r>
      <w:r w:rsidR="0033686E" w:rsidRPr="00FF1A66">
        <w:rPr>
          <w:rFonts w:hAnsi="標楷體" w:hint="eastAsia"/>
          <w:szCs w:val="32"/>
        </w:rPr>
        <w:t>參考，發揮整體橫向連</w:t>
      </w:r>
      <w:proofErr w:type="gramStart"/>
      <w:r w:rsidR="0033686E" w:rsidRPr="00FF1A66">
        <w:rPr>
          <w:rFonts w:hAnsi="標楷體" w:hint="eastAsia"/>
          <w:szCs w:val="32"/>
        </w:rPr>
        <w:t>繫</w:t>
      </w:r>
      <w:proofErr w:type="gramEnd"/>
      <w:r w:rsidR="0033686E" w:rsidRPr="00FF1A66">
        <w:rPr>
          <w:rFonts w:hAnsi="標楷體" w:hint="eastAsia"/>
          <w:szCs w:val="32"/>
        </w:rPr>
        <w:t>功能。</w:t>
      </w:r>
      <w:r w:rsidR="004D6248" w:rsidRPr="00FF1A66">
        <w:rPr>
          <w:rFonts w:hAnsi="標楷體" w:hint="eastAsia"/>
          <w:szCs w:val="32"/>
        </w:rPr>
        <w:t>另從陳</w:t>
      </w:r>
      <w:proofErr w:type="gramStart"/>
      <w:r w:rsidR="004D6248" w:rsidRPr="00FF1A66">
        <w:rPr>
          <w:rFonts w:hAnsi="標楷體" w:hint="eastAsia"/>
          <w:szCs w:val="32"/>
        </w:rPr>
        <w:t>抗議題延燒</w:t>
      </w:r>
      <w:proofErr w:type="gramEnd"/>
      <w:r w:rsidR="004D6248" w:rsidRPr="00FF1A66">
        <w:rPr>
          <w:rFonts w:hAnsi="標楷體" w:hint="eastAsia"/>
          <w:szCs w:val="32"/>
        </w:rPr>
        <w:t>程度、</w:t>
      </w:r>
      <w:proofErr w:type="gramStart"/>
      <w:r w:rsidR="004D6248" w:rsidRPr="00FF1A66">
        <w:rPr>
          <w:rFonts w:hAnsi="標楷體" w:hint="eastAsia"/>
          <w:szCs w:val="32"/>
        </w:rPr>
        <w:t>陳抗團體</w:t>
      </w:r>
      <w:proofErr w:type="gramEnd"/>
      <w:r w:rsidR="004D6248" w:rsidRPr="00FF1A66">
        <w:rPr>
          <w:rFonts w:hAnsi="標楷體" w:hint="eastAsia"/>
          <w:szCs w:val="32"/>
        </w:rPr>
        <w:t>政治</w:t>
      </w:r>
      <w:r w:rsidR="00EF661E">
        <w:rPr>
          <w:rFonts w:hAnsi="標楷體" w:hint="eastAsia"/>
          <w:color w:val="FF0000"/>
          <w:szCs w:val="32"/>
        </w:rPr>
        <w:t>主張</w:t>
      </w:r>
      <w:r w:rsidR="004D6248" w:rsidRPr="00FF1A66">
        <w:rPr>
          <w:rFonts w:hAnsi="標楷體" w:hint="eastAsia"/>
          <w:szCs w:val="32"/>
        </w:rPr>
        <w:t>及後續發酵</w:t>
      </w:r>
      <w:r w:rsidR="00B649F5">
        <w:rPr>
          <w:rFonts w:hAnsi="標楷體" w:hint="eastAsia"/>
          <w:szCs w:val="32"/>
        </w:rPr>
        <w:t>衍變，正確</w:t>
      </w:r>
      <w:r w:rsidR="004D6248" w:rsidRPr="00FF1A66">
        <w:rPr>
          <w:rFonts w:hAnsi="標楷體" w:hint="eastAsia"/>
          <w:szCs w:val="32"/>
        </w:rPr>
        <w:t>判斷活動危安狀況，先期預判、掌握可能演變為影響社會</w:t>
      </w:r>
      <w:r w:rsidR="00B649F5">
        <w:rPr>
          <w:rFonts w:hAnsi="標楷體" w:hint="eastAsia"/>
          <w:szCs w:val="32"/>
        </w:rPr>
        <w:t>公安</w:t>
      </w:r>
      <w:r w:rsidR="004D6248" w:rsidRPr="00FF1A66">
        <w:rPr>
          <w:rFonts w:hAnsi="標楷體" w:hint="eastAsia"/>
          <w:szCs w:val="32"/>
        </w:rPr>
        <w:t>之個</w:t>
      </w:r>
      <w:r w:rsidR="00B649F5">
        <w:rPr>
          <w:rFonts w:hAnsi="標楷體" w:hint="eastAsia"/>
          <w:szCs w:val="32"/>
        </w:rPr>
        <w:t>別</w:t>
      </w:r>
      <w:r w:rsidR="004D6248" w:rsidRPr="00FF1A66">
        <w:rPr>
          <w:rFonts w:hAnsi="標楷體" w:hint="eastAsia"/>
          <w:szCs w:val="32"/>
        </w:rPr>
        <w:t>事件，持續與經常</w:t>
      </w:r>
      <w:proofErr w:type="gramStart"/>
      <w:r w:rsidR="004D6248" w:rsidRPr="00FF1A66">
        <w:rPr>
          <w:rFonts w:hAnsi="標楷體" w:hint="eastAsia"/>
          <w:szCs w:val="32"/>
        </w:rPr>
        <w:t>舉辦陳抗活動</w:t>
      </w:r>
      <w:proofErr w:type="gramEnd"/>
      <w:r w:rsidR="004D6248" w:rsidRPr="00FF1A66">
        <w:rPr>
          <w:rFonts w:hAnsi="標楷體" w:hint="eastAsia"/>
          <w:szCs w:val="32"/>
        </w:rPr>
        <w:t>之團體幹部聯繫，</w:t>
      </w:r>
      <w:r w:rsidR="00B649F5">
        <w:rPr>
          <w:rFonts w:hAnsi="標楷體" w:hint="eastAsia"/>
          <w:szCs w:val="32"/>
        </w:rPr>
        <w:t>尤</w:t>
      </w:r>
      <w:r w:rsidR="00B97926">
        <w:rPr>
          <w:rFonts w:hAnsi="標楷體" w:hint="eastAsia"/>
          <w:szCs w:val="32"/>
        </w:rPr>
        <w:t>需</w:t>
      </w:r>
      <w:r w:rsidR="004D6248" w:rsidRPr="00FF1A66">
        <w:rPr>
          <w:rFonts w:hAnsi="標楷體" w:hint="eastAsia"/>
          <w:szCs w:val="32"/>
        </w:rPr>
        <w:t>強化網路</w:t>
      </w:r>
      <w:proofErr w:type="gramStart"/>
      <w:r w:rsidR="004D6248" w:rsidRPr="00FF1A66">
        <w:rPr>
          <w:rFonts w:hAnsi="標楷體" w:hint="eastAsia"/>
          <w:szCs w:val="32"/>
        </w:rPr>
        <w:t>蒐</w:t>
      </w:r>
      <w:proofErr w:type="gramEnd"/>
      <w:r w:rsidR="004D6248" w:rsidRPr="00FF1A66">
        <w:rPr>
          <w:rFonts w:hAnsi="標楷體" w:hint="eastAsia"/>
          <w:szCs w:val="32"/>
        </w:rPr>
        <w:t>尋能力，儘速掌握</w:t>
      </w:r>
      <w:proofErr w:type="gramStart"/>
      <w:r w:rsidR="004D6248" w:rsidRPr="00FF1A66">
        <w:rPr>
          <w:rFonts w:hAnsi="標楷體" w:hint="eastAsia"/>
          <w:szCs w:val="32"/>
        </w:rPr>
        <w:t>參與陳抗活動</w:t>
      </w:r>
      <w:proofErr w:type="gramEnd"/>
      <w:r w:rsidR="004D6248" w:rsidRPr="00FF1A66">
        <w:rPr>
          <w:rFonts w:hAnsi="標楷體" w:hint="eastAsia"/>
          <w:szCs w:val="32"/>
        </w:rPr>
        <w:t>之確切人數及活動流程，事先規劃相關防處作為，</w:t>
      </w:r>
      <w:proofErr w:type="gramStart"/>
      <w:r w:rsidR="004D6248" w:rsidRPr="00FF1A66">
        <w:rPr>
          <w:rFonts w:hAnsi="標楷體" w:hint="eastAsia"/>
          <w:szCs w:val="32"/>
        </w:rPr>
        <w:t>俾</w:t>
      </w:r>
      <w:proofErr w:type="gramEnd"/>
      <w:r w:rsidR="004D6248" w:rsidRPr="00FF1A66">
        <w:rPr>
          <w:rFonts w:hAnsi="標楷體" w:hint="eastAsia"/>
          <w:szCs w:val="32"/>
        </w:rPr>
        <w:t>利維安勤務之遂行。</w:t>
      </w:r>
      <w:r w:rsidR="00B649F5">
        <w:rPr>
          <w:rFonts w:hAnsi="標楷體" w:hint="eastAsia"/>
          <w:szCs w:val="32"/>
        </w:rPr>
        <w:t>另</w:t>
      </w:r>
      <w:r w:rsidR="00F1782C" w:rsidRPr="00FF1A66">
        <w:rPr>
          <w:rFonts w:hAnsi="標楷體" w:hint="eastAsia"/>
          <w:szCs w:val="32"/>
        </w:rPr>
        <w:t>最高法院檢察署</w:t>
      </w:r>
      <w:r w:rsidR="00B649F5">
        <w:rPr>
          <w:rFonts w:hAnsi="標楷體" w:hint="eastAsia"/>
          <w:szCs w:val="32"/>
        </w:rPr>
        <w:t>亦</w:t>
      </w:r>
      <w:r w:rsidR="00F1782C" w:rsidRPr="00FF1A66">
        <w:rPr>
          <w:rFonts w:hAnsi="標楷體" w:hint="eastAsia"/>
          <w:szCs w:val="32"/>
        </w:rPr>
        <w:t>建議警察機關：「</w:t>
      </w:r>
      <w:r w:rsidR="00B649F5">
        <w:rPr>
          <w:rFonts w:hAnsi="標楷體" w:hint="eastAsia"/>
          <w:szCs w:val="32"/>
        </w:rPr>
        <w:t>宜</w:t>
      </w:r>
      <w:r w:rsidR="00F1782C" w:rsidRPr="00FF1A66">
        <w:rPr>
          <w:rFonts w:hAnsi="標楷體" w:hint="eastAsia"/>
          <w:szCs w:val="32"/>
        </w:rPr>
        <w:t>就有參與群眾運動習性之團體或個人，運用現有資料將其相關之組織架構、背景資料、聚集處所、行為模式、相互間傳遞訊息之方式等資訊分類處理，供作再次群眾運動時之參考，</w:t>
      </w:r>
      <w:proofErr w:type="gramStart"/>
      <w:r w:rsidR="00F1782C" w:rsidRPr="00FF1A66">
        <w:rPr>
          <w:rFonts w:hAnsi="標楷體" w:hint="eastAsia"/>
          <w:szCs w:val="32"/>
        </w:rPr>
        <w:t>俾便預</w:t>
      </w:r>
      <w:proofErr w:type="gramEnd"/>
      <w:r w:rsidR="00F1782C" w:rsidRPr="00FF1A66">
        <w:rPr>
          <w:rFonts w:hAnsi="標楷體" w:hint="eastAsia"/>
          <w:szCs w:val="32"/>
        </w:rPr>
        <w:t>判各種突發狀之產生。對群眾運動事件之</w:t>
      </w:r>
      <w:proofErr w:type="gramStart"/>
      <w:r w:rsidR="00F1782C" w:rsidRPr="00FF1A66">
        <w:rPr>
          <w:rFonts w:hAnsi="標楷體" w:hint="eastAsia"/>
          <w:szCs w:val="32"/>
        </w:rPr>
        <w:t>蒐</w:t>
      </w:r>
      <w:proofErr w:type="gramEnd"/>
      <w:r w:rsidR="00F1782C" w:rsidRPr="00FF1A66">
        <w:rPr>
          <w:rFonts w:hAnsi="標楷體" w:hint="eastAsia"/>
          <w:szCs w:val="32"/>
        </w:rPr>
        <w:t>證務必嚴謹、完整及確實，尤其是涉嫌刑事犯罪之際，更應提昇相關</w:t>
      </w:r>
      <w:proofErr w:type="gramStart"/>
      <w:r w:rsidR="00F1782C" w:rsidRPr="00FF1A66">
        <w:rPr>
          <w:rFonts w:hAnsi="標楷體" w:hint="eastAsia"/>
          <w:szCs w:val="32"/>
        </w:rPr>
        <w:t>蒐</w:t>
      </w:r>
      <w:proofErr w:type="gramEnd"/>
      <w:r w:rsidR="00F1782C" w:rsidRPr="00FF1A66">
        <w:rPr>
          <w:rFonts w:hAnsi="標楷體" w:hint="eastAsia"/>
          <w:szCs w:val="32"/>
        </w:rPr>
        <w:t>證之技能，兼具廣度與深度，使</w:t>
      </w:r>
      <w:proofErr w:type="gramStart"/>
      <w:r w:rsidR="00F1782C" w:rsidRPr="00FF1A66">
        <w:rPr>
          <w:rFonts w:hAnsi="標楷體" w:hint="eastAsia"/>
          <w:szCs w:val="32"/>
        </w:rPr>
        <w:t>蒐</w:t>
      </w:r>
      <w:proofErr w:type="gramEnd"/>
      <w:r w:rsidR="00F1782C" w:rsidRPr="00FF1A66">
        <w:rPr>
          <w:rFonts w:hAnsi="標楷體" w:hint="eastAsia"/>
          <w:szCs w:val="32"/>
        </w:rPr>
        <w:t>得之</w:t>
      </w:r>
      <w:proofErr w:type="gramStart"/>
      <w:r w:rsidR="00F1782C" w:rsidRPr="00FF1A66">
        <w:rPr>
          <w:rFonts w:hAnsi="標楷體" w:hint="eastAsia"/>
          <w:szCs w:val="32"/>
        </w:rPr>
        <w:t>證據均能明確</w:t>
      </w:r>
      <w:proofErr w:type="gramEnd"/>
      <w:r w:rsidR="00F1782C" w:rsidRPr="00FF1A66">
        <w:rPr>
          <w:rFonts w:hAnsi="標楷體" w:hint="eastAsia"/>
          <w:szCs w:val="32"/>
        </w:rPr>
        <w:t>反映相關之犯罪構成要件之事實，有利檢方訴追犯罪，迅速</w:t>
      </w:r>
      <w:proofErr w:type="gramStart"/>
      <w:r w:rsidR="00F1782C" w:rsidRPr="00FF1A66">
        <w:rPr>
          <w:rFonts w:hAnsi="標楷體" w:hint="eastAsia"/>
          <w:szCs w:val="32"/>
        </w:rPr>
        <w:t>偵</w:t>
      </w:r>
      <w:proofErr w:type="gramEnd"/>
      <w:r w:rsidR="00F1782C" w:rsidRPr="00FF1A66">
        <w:rPr>
          <w:rFonts w:hAnsi="標楷體" w:hint="eastAsia"/>
          <w:szCs w:val="32"/>
        </w:rPr>
        <w:t>結，復助益於刑事訴訟程序之檢驗，方能及早審結定</w:t>
      </w:r>
      <w:proofErr w:type="gramStart"/>
      <w:r w:rsidR="00F1782C" w:rsidRPr="00FF1A66">
        <w:rPr>
          <w:rFonts w:hAnsi="標楷體" w:hint="eastAsia"/>
          <w:szCs w:val="32"/>
        </w:rPr>
        <w:t>讞</w:t>
      </w:r>
      <w:proofErr w:type="gramEnd"/>
      <w:r w:rsidR="00F1782C" w:rsidRPr="00FF1A66">
        <w:rPr>
          <w:rFonts w:hAnsi="標楷體" w:hint="eastAsia"/>
          <w:szCs w:val="32"/>
        </w:rPr>
        <w:t>，展現強力執法之決心。」</w:t>
      </w:r>
      <w:proofErr w:type="gramStart"/>
      <w:r w:rsidR="003B7FA2" w:rsidRPr="00FF1A66">
        <w:rPr>
          <w:rFonts w:hAnsi="標楷體" w:hint="eastAsia"/>
          <w:szCs w:val="32"/>
        </w:rPr>
        <w:t>此外，</w:t>
      </w:r>
      <w:r w:rsidR="0033686E" w:rsidRPr="00FF1A66">
        <w:rPr>
          <w:rFonts w:hAnsi="標楷體" w:hint="eastAsia"/>
          <w:szCs w:val="32"/>
        </w:rPr>
        <w:t>警政署</w:t>
      </w:r>
      <w:r w:rsidR="00B649F5">
        <w:rPr>
          <w:rFonts w:hAnsi="標楷體" w:hint="eastAsia"/>
          <w:szCs w:val="32"/>
        </w:rPr>
        <w:t>尚</w:t>
      </w:r>
      <w:proofErr w:type="gramEnd"/>
      <w:r w:rsidR="00B97926">
        <w:rPr>
          <w:rFonts w:hAnsi="標楷體" w:hint="eastAsia"/>
          <w:szCs w:val="32"/>
        </w:rPr>
        <w:t>須</w:t>
      </w:r>
      <w:r w:rsidR="0033686E" w:rsidRPr="00FF1A66">
        <w:rPr>
          <w:rFonts w:hAnsi="標楷體" w:hint="eastAsia"/>
          <w:szCs w:val="32"/>
        </w:rPr>
        <w:t>協調國家安全局、法務部調查局、國防部憲兵司令部等情治機關</w:t>
      </w:r>
      <w:r w:rsidR="00B97926">
        <w:rPr>
          <w:rFonts w:hAnsi="標楷體" w:hint="eastAsia"/>
          <w:szCs w:val="32"/>
        </w:rPr>
        <w:t>，積極</w:t>
      </w:r>
      <w:proofErr w:type="gramStart"/>
      <w:r w:rsidR="00B97926">
        <w:rPr>
          <w:rFonts w:hAnsi="標楷體" w:hint="eastAsia"/>
          <w:szCs w:val="32"/>
        </w:rPr>
        <w:t>完善</w:t>
      </w:r>
      <w:r w:rsidR="003A2FFD" w:rsidRPr="00FF1A66">
        <w:rPr>
          <w:rFonts w:hAnsi="標楷體" w:hint="eastAsia"/>
          <w:szCs w:val="32"/>
        </w:rPr>
        <w:t>情資</w:t>
      </w:r>
      <w:r w:rsidR="0033686E" w:rsidRPr="00FF1A66">
        <w:rPr>
          <w:rFonts w:hAnsi="標楷體" w:hint="eastAsia"/>
          <w:szCs w:val="32"/>
        </w:rPr>
        <w:t>通報</w:t>
      </w:r>
      <w:proofErr w:type="gramEnd"/>
      <w:r w:rsidR="00B649F5">
        <w:rPr>
          <w:rFonts w:hAnsi="標楷體" w:hint="eastAsia"/>
          <w:szCs w:val="32"/>
        </w:rPr>
        <w:t>聯繫</w:t>
      </w:r>
      <w:r w:rsidR="0033686E" w:rsidRPr="00FF1A66">
        <w:rPr>
          <w:rFonts w:hAnsi="標楷體" w:hint="eastAsia"/>
          <w:szCs w:val="32"/>
        </w:rPr>
        <w:t>機制，</w:t>
      </w:r>
      <w:proofErr w:type="gramStart"/>
      <w:r w:rsidR="003A2FFD" w:rsidRPr="00FF1A66">
        <w:rPr>
          <w:rFonts w:hAnsi="標楷體" w:hint="eastAsia"/>
          <w:szCs w:val="32"/>
        </w:rPr>
        <w:t>發揮</w:t>
      </w:r>
      <w:r w:rsidR="0033686E" w:rsidRPr="00FF1A66">
        <w:rPr>
          <w:rFonts w:hAnsi="標楷體" w:hint="eastAsia"/>
          <w:szCs w:val="32"/>
        </w:rPr>
        <w:t>情資共享</w:t>
      </w:r>
      <w:proofErr w:type="gramEnd"/>
      <w:r w:rsidR="00B649F5">
        <w:rPr>
          <w:rFonts w:hAnsi="標楷體" w:hint="eastAsia"/>
          <w:szCs w:val="32"/>
        </w:rPr>
        <w:t>與</w:t>
      </w:r>
      <w:r w:rsidR="00814B0B" w:rsidRPr="00FF1A66">
        <w:rPr>
          <w:rFonts w:hAnsi="標楷體" w:hint="eastAsia"/>
          <w:szCs w:val="32"/>
        </w:rPr>
        <w:t>及時</w:t>
      </w:r>
      <w:r w:rsidR="003A2FFD" w:rsidRPr="00FF1A66">
        <w:rPr>
          <w:rFonts w:hAnsi="標楷體" w:hint="eastAsia"/>
          <w:szCs w:val="32"/>
        </w:rPr>
        <w:t>防處之功能</w:t>
      </w:r>
      <w:r w:rsidR="00814B0B" w:rsidRPr="00FF1A66">
        <w:rPr>
          <w:rFonts w:hAnsi="標楷體" w:hint="eastAsia"/>
          <w:szCs w:val="32"/>
        </w:rPr>
        <w:t>，共同</w:t>
      </w:r>
      <w:r w:rsidR="00F71865">
        <w:rPr>
          <w:rFonts w:hAnsi="標楷體" w:hint="eastAsia"/>
          <w:szCs w:val="32"/>
        </w:rPr>
        <w:t>戮力</w:t>
      </w:r>
      <w:r w:rsidR="00814B0B" w:rsidRPr="00FF1A66">
        <w:rPr>
          <w:rFonts w:hAnsi="標楷體" w:hint="eastAsia"/>
          <w:szCs w:val="32"/>
        </w:rPr>
        <w:t>國家安定與社會福祉</w:t>
      </w:r>
      <w:r w:rsidR="00F71865">
        <w:rPr>
          <w:rFonts w:hAnsi="標楷體" w:hint="eastAsia"/>
          <w:szCs w:val="32"/>
        </w:rPr>
        <w:t>之維護</w:t>
      </w:r>
      <w:r w:rsidR="00814B0B" w:rsidRPr="00FF1A66">
        <w:rPr>
          <w:rFonts w:hAnsi="標楷體" w:hint="eastAsia"/>
          <w:szCs w:val="32"/>
        </w:rPr>
        <w:t>。</w:t>
      </w:r>
    </w:p>
    <w:p w:rsidR="009F3E45" w:rsidRPr="00F64788" w:rsidRDefault="003A2FFD" w:rsidP="005E063B">
      <w:pPr>
        <w:pStyle w:val="3"/>
        <w:rPr>
          <w:rFonts w:hAnsi="標楷體"/>
        </w:rPr>
      </w:pPr>
      <w:r w:rsidRPr="00F64788">
        <w:rPr>
          <w:rFonts w:hAnsi="標楷體" w:hint="eastAsia"/>
          <w:szCs w:val="32"/>
        </w:rPr>
        <w:t>又近期臺北市政治核心地區，民眾</w:t>
      </w:r>
      <w:r w:rsidR="00F71865">
        <w:rPr>
          <w:rFonts w:hAnsi="標楷體" w:hint="eastAsia"/>
          <w:szCs w:val="32"/>
        </w:rPr>
        <w:t>集會遊行</w:t>
      </w:r>
      <w:r w:rsidRPr="00F64788">
        <w:rPr>
          <w:rFonts w:hAnsi="標楷體" w:hint="eastAsia"/>
          <w:szCs w:val="32"/>
        </w:rPr>
        <w:t>活動頻繁，</w:t>
      </w:r>
      <w:r w:rsidR="00F71865">
        <w:rPr>
          <w:rFonts w:hAnsi="標楷體" w:hint="eastAsia"/>
          <w:szCs w:val="32"/>
        </w:rPr>
        <w:t>集會遊行</w:t>
      </w:r>
      <w:r w:rsidRPr="00F64788">
        <w:rPr>
          <w:rFonts w:hAnsi="標楷體" w:hint="eastAsia"/>
          <w:szCs w:val="32"/>
        </w:rPr>
        <w:t>地點及動員人數難以預料，</w:t>
      </w:r>
      <w:proofErr w:type="gramStart"/>
      <w:r w:rsidRPr="00F64788">
        <w:rPr>
          <w:rFonts w:hAnsi="標楷體" w:hint="eastAsia"/>
          <w:szCs w:val="32"/>
        </w:rPr>
        <w:t>陳抗現場</w:t>
      </w:r>
      <w:proofErr w:type="gramEnd"/>
      <w:r w:rsidRPr="00F64788">
        <w:rPr>
          <w:rFonts w:hAnsi="標楷體" w:hint="eastAsia"/>
          <w:szCs w:val="32"/>
        </w:rPr>
        <w:t>形成速度快、人數多，造成警力調度不及窘境。</w:t>
      </w:r>
      <w:proofErr w:type="gramStart"/>
      <w:r w:rsidRPr="00F64788">
        <w:rPr>
          <w:rFonts w:hAnsi="標楷體" w:hint="eastAsia"/>
          <w:szCs w:val="32"/>
        </w:rPr>
        <w:t>為</w:t>
      </w:r>
      <w:r w:rsidR="00B97926">
        <w:rPr>
          <w:rFonts w:hAnsi="標楷體" w:hint="eastAsia"/>
          <w:szCs w:val="32"/>
        </w:rPr>
        <w:t>客</w:t>
      </w:r>
      <w:r w:rsidRPr="00F64788">
        <w:rPr>
          <w:rFonts w:hAnsi="標楷體" w:hint="eastAsia"/>
          <w:szCs w:val="32"/>
        </w:rPr>
        <w:t>妥適</w:t>
      </w:r>
      <w:proofErr w:type="gramEnd"/>
      <w:r w:rsidRPr="00F64788">
        <w:rPr>
          <w:rFonts w:hAnsi="標楷體" w:hint="eastAsia"/>
          <w:szCs w:val="32"/>
        </w:rPr>
        <w:t>因應，</w:t>
      </w:r>
      <w:r w:rsidR="009A7D42" w:rsidRPr="00F64788">
        <w:rPr>
          <w:rFonts w:hAnsi="標楷體" w:hint="eastAsia"/>
          <w:szCs w:val="32"/>
        </w:rPr>
        <w:t>據警政</w:t>
      </w:r>
      <w:proofErr w:type="gramStart"/>
      <w:r w:rsidR="009A7D42" w:rsidRPr="00F64788">
        <w:rPr>
          <w:rFonts w:hAnsi="標楷體" w:hint="eastAsia"/>
          <w:szCs w:val="32"/>
        </w:rPr>
        <w:t>署</w:t>
      </w:r>
      <w:r w:rsidR="00F71865">
        <w:rPr>
          <w:rFonts w:hAnsi="標楷體" w:hint="eastAsia"/>
          <w:szCs w:val="32"/>
        </w:rPr>
        <w:t>稱</w:t>
      </w:r>
      <w:proofErr w:type="gramEnd"/>
      <w:r w:rsidR="009A7D42" w:rsidRPr="00F64788">
        <w:rPr>
          <w:rFonts w:hAnsi="標楷體" w:hint="eastAsia"/>
          <w:szCs w:val="32"/>
        </w:rPr>
        <w:t>，</w:t>
      </w:r>
      <w:r w:rsidRPr="00F64788">
        <w:rPr>
          <w:rFonts w:hAnsi="標楷體" w:hint="eastAsia"/>
          <w:szCs w:val="32"/>
        </w:rPr>
        <w:t>臺北市</w:t>
      </w:r>
      <w:proofErr w:type="gramStart"/>
      <w:r w:rsidRPr="00F64788">
        <w:rPr>
          <w:rFonts w:hAnsi="標楷體" w:hint="eastAsia"/>
          <w:szCs w:val="32"/>
        </w:rPr>
        <w:t>警局</w:t>
      </w:r>
      <w:r w:rsidR="00B97926">
        <w:rPr>
          <w:rFonts w:hAnsi="標楷體" w:hint="eastAsia"/>
          <w:szCs w:val="32"/>
        </w:rPr>
        <w:t>應</w:t>
      </w:r>
      <w:r w:rsidRPr="00F64788">
        <w:rPr>
          <w:rFonts w:hAnsi="標楷體" w:hint="eastAsia"/>
          <w:szCs w:val="32"/>
        </w:rPr>
        <w:t>律定</w:t>
      </w:r>
      <w:proofErr w:type="gramEnd"/>
      <w:r w:rsidRPr="00F64788">
        <w:rPr>
          <w:rFonts w:hAnsi="標楷體" w:hint="eastAsia"/>
          <w:szCs w:val="32"/>
        </w:rPr>
        <w:t>警力支援梯次及到達時間，有效管制</w:t>
      </w:r>
      <w:r w:rsidR="009A7D42" w:rsidRPr="00F64788">
        <w:rPr>
          <w:rFonts w:hAnsi="標楷體" w:hint="eastAsia"/>
          <w:szCs w:val="32"/>
        </w:rPr>
        <w:t>；</w:t>
      </w:r>
      <w:r w:rsidR="00F71865">
        <w:rPr>
          <w:rFonts w:hAnsi="標楷體" w:hint="eastAsia"/>
          <w:szCs w:val="32"/>
        </w:rPr>
        <w:t>如</w:t>
      </w:r>
      <w:r w:rsidRPr="00F64788">
        <w:rPr>
          <w:rFonts w:hAnsi="標楷體" w:hint="eastAsia"/>
          <w:szCs w:val="32"/>
        </w:rPr>
        <w:t>狀況升高即由局長</w:t>
      </w:r>
      <w:r w:rsidR="009A7D42" w:rsidRPr="00F64788">
        <w:rPr>
          <w:rFonts w:hAnsi="標楷體" w:hint="eastAsia"/>
          <w:szCs w:val="32"/>
        </w:rPr>
        <w:t>（</w:t>
      </w:r>
      <w:r w:rsidRPr="00F64788">
        <w:rPr>
          <w:rFonts w:hAnsi="標楷體" w:hint="eastAsia"/>
          <w:szCs w:val="32"/>
        </w:rPr>
        <w:t>副局長</w:t>
      </w:r>
      <w:r w:rsidR="009A7D42" w:rsidRPr="00F64788">
        <w:rPr>
          <w:rFonts w:hAnsi="標楷體" w:hint="eastAsia"/>
          <w:szCs w:val="32"/>
        </w:rPr>
        <w:t>）親赴</w:t>
      </w:r>
      <w:r w:rsidRPr="00F64788">
        <w:rPr>
          <w:rFonts w:hAnsi="標楷體" w:hint="eastAsia"/>
          <w:szCs w:val="32"/>
        </w:rPr>
        <w:t>現場適當地點開設前進指揮所</w:t>
      </w:r>
      <w:r w:rsidRPr="00F64788">
        <w:rPr>
          <w:rFonts w:hAnsi="標楷體" w:hint="eastAsia"/>
          <w:szCs w:val="32"/>
        </w:rPr>
        <w:lastRenderedPageBreak/>
        <w:t>，統籌指揮調度，並緊急抽調各分局、大隊（隊）警力，</w:t>
      </w:r>
      <w:proofErr w:type="gramStart"/>
      <w:r w:rsidR="009A7D42" w:rsidRPr="00F64788">
        <w:rPr>
          <w:rFonts w:hAnsi="標楷體" w:hint="eastAsia"/>
          <w:szCs w:val="32"/>
        </w:rPr>
        <w:t>命</w:t>
      </w:r>
      <w:r w:rsidRPr="00F64788">
        <w:rPr>
          <w:rFonts w:hAnsi="標楷體" w:hint="eastAsia"/>
          <w:szCs w:val="32"/>
        </w:rPr>
        <w:t>分局長</w:t>
      </w:r>
      <w:proofErr w:type="gramEnd"/>
      <w:r w:rsidRPr="00F64788">
        <w:rPr>
          <w:rFonts w:hAnsi="標楷體" w:hint="eastAsia"/>
          <w:szCs w:val="32"/>
        </w:rPr>
        <w:t>、大隊（隊）長率幕僚群及建制警力馳援，</w:t>
      </w:r>
      <w:r w:rsidR="009A7D42" w:rsidRPr="00F64788">
        <w:rPr>
          <w:rFonts w:hAnsi="標楷體" w:hint="eastAsia"/>
          <w:szCs w:val="32"/>
        </w:rPr>
        <w:t>以期</w:t>
      </w:r>
      <w:r w:rsidRPr="00F64788">
        <w:rPr>
          <w:rFonts w:hAnsi="標楷體" w:hint="eastAsia"/>
          <w:szCs w:val="32"/>
        </w:rPr>
        <w:t>發揮整體戰力。</w:t>
      </w:r>
      <w:r w:rsidR="00B97926">
        <w:rPr>
          <w:rFonts w:hAnsi="標楷體" w:hint="eastAsia"/>
          <w:szCs w:val="32"/>
        </w:rPr>
        <w:t>另</w:t>
      </w:r>
      <w:r w:rsidRPr="00F64788">
        <w:rPr>
          <w:rFonts w:hAnsi="標楷體" w:hint="eastAsia"/>
          <w:szCs w:val="32"/>
        </w:rPr>
        <w:t>為有效防範突發性</w:t>
      </w:r>
      <w:proofErr w:type="gramStart"/>
      <w:r w:rsidRPr="00F64788">
        <w:rPr>
          <w:rFonts w:hAnsi="標楷體" w:hint="eastAsia"/>
          <w:szCs w:val="32"/>
        </w:rPr>
        <w:t>之陳抗狀況</w:t>
      </w:r>
      <w:proofErr w:type="gramEnd"/>
      <w:r w:rsidRPr="00F64788">
        <w:rPr>
          <w:rFonts w:hAnsi="標楷體" w:hint="eastAsia"/>
          <w:szCs w:val="32"/>
        </w:rPr>
        <w:t>，該局</w:t>
      </w:r>
      <w:proofErr w:type="gramStart"/>
      <w:r w:rsidRPr="00F64788">
        <w:rPr>
          <w:rFonts w:hAnsi="標楷體" w:hint="eastAsia"/>
          <w:szCs w:val="32"/>
        </w:rPr>
        <w:t>研</w:t>
      </w:r>
      <w:proofErr w:type="gramEnd"/>
      <w:r w:rsidRPr="00F64788">
        <w:rPr>
          <w:rFonts w:hAnsi="標楷體" w:hint="eastAsia"/>
          <w:szCs w:val="32"/>
        </w:rPr>
        <w:t>議將相關阻絕器材預置於經常</w:t>
      </w:r>
      <w:proofErr w:type="gramStart"/>
      <w:r w:rsidRPr="00F64788">
        <w:rPr>
          <w:rFonts w:hAnsi="標楷體" w:hint="eastAsia"/>
          <w:szCs w:val="32"/>
        </w:rPr>
        <w:t>性陳抗處所</w:t>
      </w:r>
      <w:proofErr w:type="gramEnd"/>
      <w:r w:rsidRPr="00F64788">
        <w:rPr>
          <w:rFonts w:hAnsi="標楷體" w:hint="eastAsia"/>
          <w:szCs w:val="32"/>
        </w:rPr>
        <w:t>周邊，以利即時架設防處</w:t>
      </w:r>
      <w:r w:rsidR="009A7D42" w:rsidRPr="00F64788">
        <w:rPr>
          <w:rFonts w:hAnsi="標楷體" w:hint="eastAsia"/>
          <w:szCs w:val="32"/>
        </w:rPr>
        <w:t>。</w:t>
      </w:r>
      <w:r w:rsidR="00B97926">
        <w:rPr>
          <w:rFonts w:hAnsi="標楷體" w:hint="eastAsia"/>
          <w:szCs w:val="32"/>
        </w:rPr>
        <w:t>又</w:t>
      </w:r>
      <w:r w:rsidRPr="00F64788">
        <w:rPr>
          <w:rFonts w:hAnsi="標楷體" w:hint="eastAsia"/>
          <w:szCs w:val="32"/>
        </w:rPr>
        <w:t>接獲相關</w:t>
      </w:r>
      <w:proofErr w:type="gramStart"/>
      <w:r w:rsidRPr="00F64788">
        <w:rPr>
          <w:rFonts w:hAnsi="標楷體" w:hint="eastAsia"/>
          <w:szCs w:val="32"/>
        </w:rPr>
        <w:t>陳抗情資</w:t>
      </w:r>
      <w:proofErr w:type="gramEnd"/>
      <w:r w:rsidRPr="00F64788">
        <w:rPr>
          <w:rFonts w:hAnsi="標楷體" w:hint="eastAsia"/>
          <w:szCs w:val="32"/>
        </w:rPr>
        <w:t>時，除向警政署申請機動保安警力支援外，</w:t>
      </w:r>
      <w:r w:rsidR="00F71865">
        <w:rPr>
          <w:rFonts w:hAnsi="標楷體" w:hint="eastAsia"/>
          <w:szCs w:val="32"/>
        </w:rPr>
        <w:t>應</w:t>
      </w:r>
      <w:r w:rsidRPr="00F64788">
        <w:rPr>
          <w:rFonts w:hAnsi="標楷體" w:hint="eastAsia"/>
          <w:szCs w:val="32"/>
        </w:rPr>
        <w:t>通報各鄰近分局整備</w:t>
      </w:r>
      <w:proofErr w:type="gramStart"/>
      <w:r w:rsidRPr="00F64788">
        <w:rPr>
          <w:rFonts w:hAnsi="標楷體" w:hint="eastAsia"/>
          <w:szCs w:val="32"/>
        </w:rPr>
        <w:t>警力線上待命</w:t>
      </w:r>
      <w:proofErr w:type="gramEnd"/>
      <w:r w:rsidRPr="00F64788">
        <w:rPr>
          <w:rFonts w:hAnsi="標楷體" w:hint="eastAsia"/>
          <w:szCs w:val="32"/>
        </w:rPr>
        <w:t>，遇有狀況即時出勤支援，</w:t>
      </w:r>
      <w:r w:rsidR="009A7D42" w:rsidRPr="00F64788">
        <w:rPr>
          <w:rFonts w:hAnsi="標楷體" w:hint="eastAsia"/>
          <w:szCs w:val="32"/>
        </w:rPr>
        <w:t>以</w:t>
      </w:r>
      <w:r w:rsidRPr="00F64788">
        <w:rPr>
          <w:rFonts w:hAnsi="標楷體" w:hint="eastAsia"/>
          <w:szCs w:val="32"/>
        </w:rPr>
        <w:t>爭取時效</w:t>
      </w:r>
      <w:r w:rsidR="009A7D42" w:rsidRPr="00F64788">
        <w:rPr>
          <w:rFonts w:hAnsi="標楷體" w:hint="eastAsia"/>
          <w:szCs w:val="32"/>
        </w:rPr>
        <w:t>緊急應變</w:t>
      </w:r>
      <w:r w:rsidRPr="00F64788">
        <w:rPr>
          <w:rFonts w:hAnsi="標楷體" w:hint="eastAsia"/>
          <w:szCs w:val="32"/>
        </w:rPr>
        <w:t>。</w:t>
      </w:r>
      <w:proofErr w:type="gramStart"/>
      <w:r w:rsidR="00A4323F" w:rsidRPr="00F64788">
        <w:rPr>
          <w:rFonts w:hAnsi="標楷體" w:hint="eastAsia"/>
          <w:szCs w:val="32"/>
        </w:rPr>
        <w:t>再者，</w:t>
      </w:r>
      <w:proofErr w:type="gramEnd"/>
      <w:r w:rsidR="00A4323F" w:rsidRPr="00F64788">
        <w:rPr>
          <w:rFonts w:hAnsi="標楷體" w:hint="eastAsia"/>
          <w:szCs w:val="32"/>
        </w:rPr>
        <w:t>上揭三次</w:t>
      </w:r>
      <w:proofErr w:type="gramStart"/>
      <w:r w:rsidR="00A4323F" w:rsidRPr="00F64788">
        <w:rPr>
          <w:rFonts w:hAnsi="標楷體" w:hint="eastAsia"/>
          <w:szCs w:val="32"/>
        </w:rPr>
        <w:t>群眾陳抗</w:t>
      </w:r>
      <w:r w:rsidR="00F71865">
        <w:rPr>
          <w:rFonts w:hAnsi="標楷體" w:hint="eastAsia"/>
          <w:szCs w:val="32"/>
        </w:rPr>
        <w:t>活動</w:t>
      </w:r>
      <w:proofErr w:type="gramEnd"/>
      <w:r w:rsidR="00A4323F" w:rsidRPr="00F64788">
        <w:rPr>
          <w:rFonts w:hAnsi="標楷體" w:hint="eastAsia"/>
          <w:szCs w:val="32"/>
        </w:rPr>
        <w:t>，</w:t>
      </w:r>
      <w:proofErr w:type="gramStart"/>
      <w:r w:rsidR="00A4323F" w:rsidRPr="00F64788">
        <w:rPr>
          <w:rFonts w:hAnsi="標楷體" w:hint="eastAsia"/>
          <w:szCs w:val="32"/>
        </w:rPr>
        <w:t>經查尚無</w:t>
      </w:r>
      <w:proofErr w:type="gramEnd"/>
      <w:r w:rsidR="00A4323F" w:rsidRPr="00F64788">
        <w:rPr>
          <w:rFonts w:hAnsi="標楷體" w:hint="eastAsia"/>
          <w:szCs w:val="32"/>
        </w:rPr>
        <w:t>員警涉</w:t>
      </w:r>
      <w:r w:rsidR="00F71865">
        <w:rPr>
          <w:rFonts w:hAnsi="標楷體" w:hint="eastAsia"/>
          <w:szCs w:val="32"/>
        </w:rPr>
        <w:t>有</w:t>
      </w:r>
      <w:r w:rsidR="00A4323F" w:rsidRPr="00F64788">
        <w:rPr>
          <w:rFonts w:hAnsi="標楷體" w:hint="eastAsia"/>
          <w:szCs w:val="32"/>
        </w:rPr>
        <w:t>執法過當或未依規定使用警械等情事，惟警方仍應</w:t>
      </w:r>
      <w:r w:rsidR="00DB7133" w:rsidRPr="00F64788">
        <w:rPr>
          <w:rFonts w:hAnsi="標楷體" w:hint="eastAsia"/>
          <w:szCs w:val="32"/>
        </w:rPr>
        <w:t>依警政署頒行「警察人員教育訓練實施計畫」</w:t>
      </w:r>
      <w:r w:rsidR="00F71865">
        <w:rPr>
          <w:rFonts w:hAnsi="標楷體" w:hint="eastAsia"/>
          <w:szCs w:val="32"/>
        </w:rPr>
        <w:t>之規定</w:t>
      </w:r>
      <w:r w:rsidR="00DB7133" w:rsidRPr="00F64788">
        <w:rPr>
          <w:rFonts w:hAnsi="標楷體" w:hint="eastAsia"/>
          <w:szCs w:val="32"/>
        </w:rPr>
        <w:t>，落實員警常年、專業訓練</w:t>
      </w:r>
      <w:r w:rsidR="00F71865">
        <w:rPr>
          <w:rFonts w:hAnsi="標楷體" w:hint="eastAsia"/>
          <w:szCs w:val="32"/>
        </w:rPr>
        <w:t>與</w:t>
      </w:r>
      <w:r w:rsidR="00DB7133" w:rsidRPr="00F64788">
        <w:rPr>
          <w:rFonts w:hAnsi="標楷體" w:hint="eastAsia"/>
          <w:szCs w:val="32"/>
        </w:rPr>
        <w:t>勤前教育，</w:t>
      </w:r>
      <w:r w:rsidR="005E063B" w:rsidRPr="00F64788">
        <w:rPr>
          <w:rFonts w:hAnsi="標楷體" w:hint="eastAsia"/>
        </w:rPr>
        <w:t>提升員警人權意識與執法技巧</w:t>
      </w:r>
      <w:r w:rsidR="00DB7133" w:rsidRPr="00F64788">
        <w:rPr>
          <w:rFonts w:hAnsi="標楷體" w:hint="eastAsia"/>
          <w:szCs w:val="32"/>
        </w:rPr>
        <w:t>，</w:t>
      </w:r>
      <w:r w:rsidR="00F71865">
        <w:rPr>
          <w:rFonts w:hAnsi="標楷體" w:hint="eastAsia"/>
          <w:szCs w:val="32"/>
        </w:rPr>
        <w:t>並</w:t>
      </w:r>
      <w:r w:rsidR="00DB7133" w:rsidRPr="00F64788">
        <w:rPr>
          <w:rFonts w:hAnsi="標楷體" w:hint="eastAsia"/>
          <w:szCs w:val="32"/>
        </w:rPr>
        <w:t>注意比例原則，</w:t>
      </w:r>
      <w:r w:rsidR="005E063B" w:rsidRPr="00F64788">
        <w:rPr>
          <w:rFonts w:hAnsi="標楷體" w:hint="eastAsia"/>
        </w:rPr>
        <w:t>避免因執法過當引發民怨。</w:t>
      </w:r>
    </w:p>
    <w:p w:rsidR="009F3E45" w:rsidRPr="00EC0573" w:rsidRDefault="00DB7133" w:rsidP="00453CBC">
      <w:pPr>
        <w:pStyle w:val="3"/>
        <w:rPr>
          <w:rFonts w:hAnsi="標楷體"/>
        </w:rPr>
      </w:pPr>
      <w:r w:rsidRPr="00EC0573">
        <w:rPr>
          <w:rFonts w:hAnsi="標楷體" w:hint="eastAsia"/>
        </w:rPr>
        <w:t>據上以論</w:t>
      </w:r>
      <w:r w:rsidR="009F3E45" w:rsidRPr="00EC0573">
        <w:rPr>
          <w:rFonts w:hAnsi="標楷體" w:hint="eastAsia"/>
        </w:rPr>
        <w:t>，警察主管機關針對集會遊行申請團體，違</w:t>
      </w:r>
      <w:r w:rsidR="00E36F41" w:rsidRPr="00EC0573">
        <w:rPr>
          <w:rFonts w:hAnsi="標楷體" w:hint="eastAsia"/>
        </w:rPr>
        <w:t>背</w:t>
      </w:r>
      <w:r w:rsidR="009F3E45" w:rsidRPr="00EC0573">
        <w:rPr>
          <w:rFonts w:hAnsi="標楷體" w:hint="eastAsia"/>
        </w:rPr>
        <w:t>原申請路線規劃，違害社會秩序，妨礙民眾人身安全</w:t>
      </w:r>
      <w:r w:rsidR="00E36F41" w:rsidRPr="00EC0573">
        <w:rPr>
          <w:rFonts w:hAnsi="標楷體" w:hint="eastAsia"/>
        </w:rPr>
        <w:t>及交通秩序</w:t>
      </w:r>
      <w:r w:rsidR="009F3E45" w:rsidRPr="00EC0573">
        <w:rPr>
          <w:rFonts w:hAnsi="標楷體" w:hint="eastAsia"/>
        </w:rPr>
        <w:t>，</w:t>
      </w:r>
      <w:r w:rsidR="005E063B" w:rsidRPr="00EC0573">
        <w:rPr>
          <w:rFonts w:hAnsi="標楷體" w:hint="eastAsia"/>
        </w:rPr>
        <w:t>應</w:t>
      </w:r>
      <w:proofErr w:type="gramStart"/>
      <w:r w:rsidR="005E063B" w:rsidRPr="00EC0573">
        <w:rPr>
          <w:rFonts w:hAnsi="標楷體" w:hint="eastAsia"/>
        </w:rPr>
        <w:t>依法</w:t>
      </w:r>
      <w:r w:rsidR="00EC0573">
        <w:rPr>
          <w:rFonts w:hAnsi="標楷體" w:hint="eastAsia"/>
          <w:color w:val="FF0000"/>
        </w:rPr>
        <w:t>妥處</w:t>
      </w:r>
      <w:proofErr w:type="gramEnd"/>
      <w:r w:rsidR="005E063B" w:rsidRPr="00EC0573">
        <w:rPr>
          <w:rFonts w:hAnsi="標楷體" w:hint="eastAsia"/>
        </w:rPr>
        <w:t>；</w:t>
      </w:r>
      <w:r w:rsidR="009F3E45" w:rsidRPr="00EC0573">
        <w:rPr>
          <w:rFonts w:hAnsi="標楷體" w:hint="eastAsia"/>
        </w:rPr>
        <w:t>對於群眾運動違法脫序行為之新型態發展，亦應積極瞭解，</w:t>
      </w:r>
      <w:r w:rsidR="005E063B" w:rsidRPr="00EC0573">
        <w:rPr>
          <w:rFonts w:hAnsi="標楷體" w:hint="eastAsia"/>
        </w:rPr>
        <w:t>強化網路預警</w:t>
      </w:r>
      <w:proofErr w:type="gramStart"/>
      <w:r w:rsidR="005E063B" w:rsidRPr="00EC0573">
        <w:rPr>
          <w:rFonts w:hAnsi="標楷體" w:hint="eastAsia"/>
        </w:rPr>
        <w:t>情資之蒐</w:t>
      </w:r>
      <w:proofErr w:type="gramEnd"/>
      <w:r w:rsidR="005E063B" w:rsidRPr="00EC0573">
        <w:rPr>
          <w:rFonts w:hAnsi="標楷體" w:hint="eastAsia"/>
        </w:rPr>
        <w:t>報，增進警力快速反應部署能力，</w:t>
      </w:r>
      <w:r w:rsidR="00E36F41" w:rsidRPr="00EC0573">
        <w:rPr>
          <w:rFonts w:hAnsi="標楷體" w:hint="eastAsia"/>
        </w:rPr>
        <w:t>妥</w:t>
      </w:r>
      <w:r w:rsidR="009F3E45" w:rsidRPr="00EC0573">
        <w:rPr>
          <w:rFonts w:hAnsi="標楷體" w:hint="eastAsia"/>
        </w:rPr>
        <w:t>為應對</w:t>
      </w:r>
      <w:r w:rsidR="001C7DE1" w:rsidRPr="00EC0573">
        <w:rPr>
          <w:rFonts w:hAnsi="標楷體" w:hint="eastAsia"/>
        </w:rPr>
        <w:t>。</w:t>
      </w:r>
    </w:p>
    <w:p w:rsidR="00C82776" w:rsidRPr="00EC0573" w:rsidRDefault="00C82776" w:rsidP="00DD378E">
      <w:pPr>
        <w:pStyle w:val="2"/>
        <w:ind w:left="1020" w:hanging="680"/>
        <w:rPr>
          <w:rFonts w:hAnsi="標楷體"/>
          <w:b/>
          <w:bCs w:val="0"/>
        </w:rPr>
      </w:pPr>
      <w:r w:rsidRPr="00EC0573">
        <w:rPr>
          <w:rFonts w:hAnsi="標楷體" w:hint="eastAsia"/>
          <w:b/>
          <w:bCs w:val="0"/>
          <w:szCs w:val="32"/>
        </w:rPr>
        <w:t>通傳會對於電子媒體透過立即轉播之</w:t>
      </w:r>
      <w:r w:rsidR="00E36F41" w:rsidRPr="00EC0573">
        <w:rPr>
          <w:rFonts w:hAnsi="標楷體" w:hint="eastAsia"/>
          <w:b/>
          <w:bCs w:val="0"/>
          <w:szCs w:val="32"/>
        </w:rPr>
        <w:t>途徑</w:t>
      </w:r>
      <w:r w:rsidRPr="00EC0573">
        <w:rPr>
          <w:rFonts w:hAnsi="標楷體" w:hint="eastAsia"/>
          <w:b/>
          <w:bCs w:val="0"/>
          <w:szCs w:val="32"/>
        </w:rPr>
        <w:t>，報導民眾追</w:t>
      </w:r>
      <w:r w:rsidR="00A01042" w:rsidRPr="00EC0573">
        <w:rPr>
          <w:rFonts w:hAnsi="標楷體" w:hint="eastAsia"/>
          <w:b/>
          <w:bCs w:val="0"/>
          <w:szCs w:val="32"/>
        </w:rPr>
        <w:t>索民眾、追打</w:t>
      </w:r>
      <w:r w:rsidRPr="00EC0573">
        <w:rPr>
          <w:rFonts w:hAnsi="標楷體" w:hint="eastAsia"/>
          <w:b/>
          <w:bCs w:val="0"/>
          <w:szCs w:val="32"/>
        </w:rPr>
        <w:t>警察</w:t>
      </w:r>
      <w:r w:rsidR="00E36F41" w:rsidRPr="00EC0573">
        <w:rPr>
          <w:rFonts w:hAnsi="標楷體" w:hint="eastAsia"/>
          <w:b/>
          <w:bCs w:val="0"/>
          <w:szCs w:val="32"/>
        </w:rPr>
        <w:t>等</w:t>
      </w:r>
      <w:r w:rsidRPr="00EC0573">
        <w:rPr>
          <w:rFonts w:hAnsi="標楷體" w:hint="eastAsia"/>
          <w:b/>
          <w:bCs w:val="0"/>
          <w:szCs w:val="32"/>
        </w:rPr>
        <w:t>不法</w:t>
      </w:r>
      <w:r w:rsidR="00E36F41" w:rsidRPr="00EC0573">
        <w:rPr>
          <w:rFonts w:hAnsi="標楷體" w:hint="eastAsia"/>
          <w:b/>
          <w:bCs w:val="0"/>
          <w:szCs w:val="32"/>
        </w:rPr>
        <w:t>暴</w:t>
      </w:r>
      <w:r w:rsidRPr="00EC0573">
        <w:rPr>
          <w:rFonts w:hAnsi="標楷體" w:hint="eastAsia"/>
          <w:b/>
          <w:bCs w:val="0"/>
          <w:szCs w:val="32"/>
        </w:rPr>
        <w:t>行，甚至公開播放員警職務代號</w:t>
      </w:r>
      <w:r w:rsidR="00E36F41" w:rsidRPr="00EC0573">
        <w:rPr>
          <w:rFonts w:hAnsi="標楷體" w:hint="eastAsia"/>
          <w:b/>
          <w:bCs w:val="0"/>
          <w:szCs w:val="32"/>
        </w:rPr>
        <w:t>，間接鼓勵違法行徑</w:t>
      </w:r>
      <w:r w:rsidRPr="00EC0573">
        <w:rPr>
          <w:rFonts w:hAnsi="標楷體" w:hint="eastAsia"/>
          <w:b/>
          <w:bCs w:val="0"/>
          <w:szCs w:val="32"/>
        </w:rPr>
        <w:t>，類此脫</w:t>
      </w:r>
      <w:proofErr w:type="gramStart"/>
      <w:r w:rsidRPr="00EC0573">
        <w:rPr>
          <w:rFonts w:hAnsi="標楷體" w:hint="eastAsia"/>
          <w:b/>
          <w:bCs w:val="0"/>
          <w:szCs w:val="32"/>
        </w:rPr>
        <w:t>法或遊走</w:t>
      </w:r>
      <w:proofErr w:type="gramEnd"/>
      <w:r w:rsidRPr="00EC0573">
        <w:rPr>
          <w:rFonts w:hAnsi="標楷體" w:hint="eastAsia"/>
          <w:b/>
          <w:bCs w:val="0"/>
          <w:szCs w:val="32"/>
        </w:rPr>
        <w:t>法律邊緣之</w:t>
      </w:r>
      <w:r w:rsidR="00B97926">
        <w:rPr>
          <w:rFonts w:hAnsi="標楷體" w:hint="eastAsia"/>
          <w:b/>
          <w:bCs w:val="0"/>
          <w:szCs w:val="32"/>
        </w:rPr>
        <w:t>行</w:t>
      </w:r>
      <w:r w:rsidR="00E36F41" w:rsidRPr="00EC0573">
        <w:rPr>
          <w:rFonts w:hAnsi="標楷體" w:hint="eastAsia"/>
          <w:b/>
          <w:bCs w:val="0"/>
          <w:szCs w:val="32"/>
        </w:rPr>
        <w:t>為</w:t>
      </w:r>
      <w:r w:rsidRPr="00EC0573">
        <w:rPr>
          <w:rFonts w:hAnsi="標楷體" w:hint="eastAsia"/>
          <w:b/>
          <w:bCs w:val="0"/>
          <w:szCs w:val="32"/>
        </w:rPr>
        <w:t>，宜透過</w:t>
      </w:r>
      <w:r w:rsidR="00A01042" w:rsidRPr="00EC0573">
        <w:rPr>
          <w:rFonts w:hAnsi="標楷體" w:hint="eastAsia"/>
          <w:b/>
          <w:bCs w:val="0"/>
          <w:szCs w:val="32"/>
        </w:rPr>
        <w:t>該會</w:t>
      </w:r>
      <w:r w:rsidRPr="00EC0573">
        <w:rPr>
          <w:rFonts w:hAnsi="標楷體" w:hint="eastAsia"/>
          <w:b/>
          <w:bCs w:val="0"/>
          <w:szCs w:val="32"/>
        </w:rPr>
        <w:t>內部嚴格之審查程序</w:t>
      </w:r>
      <w:r w:rsidR="00E83430" w:rsidRPr="00EC0573">
        <w:rPr>
          <w:rFonts w:hAnsi="標楷體" w:hint="eastAsia"/>
          <w:b/>
          <w:bCs w:val="0"/>
          <w:szCs w:val="32"/>
        </w:rPr>
        <w:t>採取適法之懲處</w:t>
      </w:r>
      <w:r w:rsidRPr="00EC0573">
        <w:rPr>
          <w:rFonts w:hAnsi="標楷體" w:hint="eastAsia"/>
          <w:b/>
          <w:bCs w:val="0"/>
          <w:szCs w:val="32"/>
        </w:rPr>
        <w:t>，以維媒體公共秩序，若有</w:t>
      </w:r>
      <w:r w:rsidR="00E83430" w:rsidRPr="00EC0573">
        <w:rPr>
          <w:rFonts w:hAnsi="標楷體" w:hint="eastAsia"/>
          <w:b/>
          <w:bCs w:val="0"/>
          <w:szCs w:val="32"/>
        </w:rPr>
        <w:t>具體</w:t>
      </w:r>
      <w:r w:rsidRPr="00EC0573">
        <w:rPr>
          <w:rFonts w:hAnsi="標楷體" w:hint="eastAsia"/>
          <w:b/>
          <w:bCs w:val="0"/>
          <w:szCs w:val="32"/>
        </w:rPr>
        <w:t>觸法或違法</w:t>
      </w:r>
      <w:r w:rsidR="00E83430" w:rsidRPr="00EC0573">
        <w:rPr>
          <w:rFonts w:hAnsi="標楷體" w:hint="eastAsia"/>
          <w:b/>
          <w:bCs w:val="0"/>
          <w:szCs w:val="32"/>
        </w:rPr>
        <w:t>犯行</w:t>
      </w:r>
      <w:r w:rsidRPr="00EC0573">
        <w:rPr>
          <w:rFonts w:hAnsi="標楷體" w:hint="eastAsia"/>
          <w:b/>
          <w:bCs w:val="0"/>
          <w:szCs w:val="32"/>
        </w:rPr>
        <w:t>，或</w:t>
      </w:r>
      <w:r w:rsidR="009F4ADF" w:rsidRPr="00EC0573">
        <w:rPr>
          <w:rFonts w:hAnsi="標楷體" w:hint="eastAsia"/>
          <w:b/>
          <w:bCs w:val="0"/>
          <w:szCs w:val="32"/>
        </w:rPr>
        <w:t>「</w:t>
      </w:r>
      <w:r w:rsidRPr="00EC0573">
        <w:rPr>
          <w:rFonts w:hAnsi="標楷體" w:hint="eastAsia"/>
          <w:b/>
          <w:bCs w:val="0"/>
          <w:szCs w:val="32"/>
        </w:rPr>
        <w:t>明顯而立即之危險</w:t>
      </w:r>
      <w:r w:rsidR="009F4ADF" w:rsidRPr="00EC0573">
        <w:rPr>
          <w:rFonts w:hAnsi="標楷體" w:hint="eastAsia"/>
          <w:b/>
          <w:bCs w:val="0"/>
          <w:szCs w:val="32"/>
        </w:rPr>
        <w:t>」（</w:t>
      </w:r>
      <w:r w:rsidR="009F4ADF" w:rsidRPr="00EC0573">
        <w:rPr>
          <w:rFonts w:hAnsi="標楷體"/>
          <w:b/>
          <w:bCs w:val="0"/>
          <w:szCs w:val="32"/>
        </w:rPr>
        <w:t>Clear and present danger</w:t>
      </w:r>
      <w:r w:rsidR="009F4ADF" w:rsidRPr="00EC0573">
        <w:rPr>
          <w:rFonts w:hAnsi="標楷體" w:hint="eastAsia"/>
          <w:b/>
          <w:bCs w:val="0"/>
          <w:szCs w:val="32"/>
        </w:rPr>
        <w:t>）</w:t>
      </w:r>
      <w:r w:rsidRPr="00EC0573">
        <w:rPr>
          <w:rFonts w:hAnsi="標楷體" w:hint="eastAsia"/>
          <w:b/>
          <w:bCs w:val="0"/>
          <w:szCs w:val="32"/>
        </w:rPr>
        <w:t>之情事發生時，則應主動將相關證據報請檢</w:t>
      </w:r>
      <w:r w:rsidR="00E83430" w:rsidRPr="00EC0573">
        <w:rPr>
          <w:rFonts w:hAnsi="標楷體" w:hint="eastAsia"/>
          <w:b/>
          <w:bCs w:val="0"/>
          <w:szCs w:val="32"/>
        </w:rPr>
        <w:t>察</w:t>
      </w:r>
      <w:r w:rsidR="0076577F" w:rsidRPr="00EC0573">
        <w:rPr>
          <w:rFonts w:hAnsi="標楷體" w:hint="eastAsia"/>
          <w:b/>
          <w:bCs w:val="0"/>
          <w:szCs w:val="32"/>
        </w:rPr>
        <w:t>機關</w:t>
      </w:r>
      <w:r w:rsidRPr="00EC0573">
        <w:rPr>
          <w:rFonts w:hAnsi="標楷體" w:hint="eastAsia"/>
          <w:b/>
          <w:bCs w:val="0"/>
          <w:szCs w:val="32"/>
        </w:rPr>
        <w:t>為適當之處理：</w:t>
      </w:r>
    </w:p>
    <w:p w:rsidR="0041611F" w:rsidRPr="0041611F" w:rsidRDefault="00D62EE4" w:rsidP="00D054BF">
      <w:pPr>
        <w:pStyle w:val="3"/>
        <w:rPr>
          <w:rFonts w:hAnsi="標楷體"/>
          <w:kern w:val="2"/>
        </w:rPr>
      </w:pPr>
      <w:r w:rsidRPr="00F64788">
        <w:rPr>
          <w:rFonts w:hAnsi="標楷體" w:hint="eastAsia"/>
        </w:rPr>
        <w:t>「落實憲法保障之言論自由，謹守黨政軍退出媒體，促進通訊傳播健全發展，維護媒體專業自主</w:t>
      </w:r>
      <w:r w:rsidR="005C02FE" w:rsidRPr="00F64788">
        <w:rPr>
          <w:rFonts w:hAnsi="標楷體" w:hint="eastAsia"/>
        </w:rPr>
        <w:t>…</w:t>
      </w:r>
      <w:r w:rsidRPr="00F64788">
        <w:rPr>
          <w:rFonts w:hAnsi="標楷體" w:hint="eastAsia"/>
        </w:rPr>
        <w:t>」</w:t>
      </w:r>
      <w:r w:rsidRPr="00F64788">
        <w:rPr>
          <w:rFonts w:hAnsi="標楷體" w:hint="eastAsia"/>
        </w:rPr>
        <w:lastRenderedPageBreak/>
        <w:t>為通傳會設立宗旨，該會依通訊傳播基本法第3條第1項及該會組織法第8條第1項規定獨立行使職權，並依廣播電視法及衛星廣播電視法相關規定管理節目內容（含新聞報導及政論節目）。</w:t>
      </w:r>
      <w:r w:rsidR="009F4ADF">
        <w:rPr>
          <w:rFonts w:hAnsi="標楷體" w:hint="eastAsia"/>
        </w:rPr>
        <w:t>又</w:t>
      </w:r>
      <w:r w:rsidRPr="00F64788">
        <w:rPr>
          <w:rFonts w:hAnsi="標楷體" w:hint="eastAsia"/>
        </w:rPr>
        <w:t>該會組織法第9條第1項第9款規定，該會所掌理事務，除經委員會議決議授權內部單位分層負責者外，應由委員會議決議行之</w:t>
      </w:r>
      <w:r w:rsidR="009F4ADF">
        <w:rPr>
          <w:rFonts w:hAnsi="標楷體" w:hint="eastAsia"/>
        </w:rPr>
        <w:t>。另</w:t>
      </w:r>
      <w:r w:rsidR="00D054BF" w:rsidRPr="00F64788">
        <w:rPr>
          <w:rFonts w:hAnsi="標楷體" w:hint="eastAsia"/>
        </w:rPr>
        <w:t>依照</w:t>
      </w:r>
      <w:r w:rsidR="005C02FE" w:rsidRPr="00F64788">
        <w:rPr>
          <w:rFonts w:hAnsi="標楷體" w:hint="eastAsia"/>
        </w:rPr>
        <w:t>現行法規</w:t>
      </w:r>
      <w:r w:rsidR="005C02FE" w:rsidRPr="00F64788">
        <w:rPr>
          <w:rFonts w:hAnsi="標楷體" w:hint="eastAsia"/>
          <w:kern w:val="2"/>
          <w:szCs w:val="32"/>
        </w:rPr>
        <w:t>，</w:t>
      </w:r>
      <w:proofErr w:type="gramStart"/>
      <w:r w:rsidR="005C02FE" w:rsidRPr="00F64788">
        <w:rPr>
          <w:rFonts w:hAnsi="標楷體" w:hint="eastAsia"/>
        </w:rPr>
        <w:t>各廣電</w:t>
      </w:r>
      <w:proofErr w:type="gramEnd"/>
      <w:r w:rsidR="005C02FE" w:rsidRPr="00F64788">
        <w:rPr>
          <w:rFonts w:hAnsi="標楷體" w:hint="eastAsia"/>
        </w:rPr>
        <w:t>事業有一定期間內提供主管機關相關資料之義務，如廣播電視法施行細則第29條規定：「電台對未經指定事先審查之節目，應自行負責審查後播送。播送後之錄音帶、錄影帶、影片、節目文稿或其他有關資料，應保存十五日，以備查考。」衛星廣播電視法第26條規定：「主管機關認有必要時，得於節目或廣告播送後二十日內向衛星廣播電視事業、境外衛星廣播電視事業之分公司或代理商索取該節目、廣告及其他相關資料。」</w:t>
      </w:r>
    </w:p>
    <w:p w:rsidR="005C02FE" w:rsidRPr="00F64788" w:rsidRDefault="005C02FE" w:rsidP="0041611F">
      <w:pPr>
        <w:pStyle w:val="3"/>
        <w:numPr>
          <w:ilvl w:val="0"/>
          <w:numId w:val="0"/>
        </w:numPr>
        <w:ind w:left="1393" w:firstLineChars="200" w:firstLine="680"/>
        <w:rPr>
          <w:rFonts w:hAnsi="標楷體"/>
          <w:kern w:val="2"/>
        </w:rPr>
      </w:pPr>
      <w:r w:rsidRPr="00F64788">
        <w:rPr>
          <w:rFonts w:hAnsi="標楷體" w:cs="新細明體" w:hint="eastAsia"/>
          <w:szCs w:val="32"/>
        </w:rPr>
        <w:t>鑒於目前國內無線廣播業者計有171家，另無線電視頻道及境內、外衛星電視頻道達200餘個，為順利辦理傳播內容之監督管理、裁處、訴願及訴訟相關證物光碟蒐集之需，通傳會除自行購置側錄設備，辦理無線廣播內容監測工作外，另以採購方式委託廠商提供側錄電視頻道內容服務，</w:t>
      </w:r>
      <w:proofErr w:type="gramStart"/>
      <w:r w:rsidRPr="00F64788">
        <w:rPr>
          <w:rFonts w:hAnsi="標楷體" w:cs="新細明體" w:hint="eastAsia"/>
          <w:szCs w:val="32"/>
        </w:rPr>
        <w:t>俾</w:t>
      </w:r>
      <w:proofErr w:type="gramEnd"/>
      <w:r w:rsidRPr="00F64788">
        <w:rPr>
          <w:rFonts w:hAnsi="標楷體" w:cs="新細明體" w:hint="eastAsia"/>
          <w:szCs w:val="32"/>
        </w:rPr>
        <w:t>使該會可抽調節目、廣告側錄帶。</w:t>
      </w:r>
      <w:r w:rsidR="009F4ADF">
        <w:rPr>
          <w:rFonts w:hAnsi="標楷體" w:hint="eastAsia"/>
        </w:rPr>
        <w:t>如</w:t>
      </w:r>
      <w:r w:rsidR="00DA47A0" w:rsidRPr="00F64788">
        <w:rPr>
          <w:rFonts w:hAnsi="標楷體" w:hint="eastAsia"/>
        </w:rPr>
        <w:t>廣電節目涉有違反廣播電視法第21條第2款、第3款、第5款規定：「廣播、電視節目內容，不得有左列情形之</w:t>
      </w:r>
      <w:proofErr w:type="gramStart"/>
      <w:r w:rsidR="00DA47A0" w:rsidRPr="00F64788">
        <w:rPr>
          <w:rFonts w:hAnsi="標楷體" w:hint="eastAsia"/>
        </w:rPr>
        <w:t>一</w:t>
      </w:r>
      <w:proofErr w:type="gramEnd"/>
      <w:r w:rsidR="00DA47A0" w:rsidRPr="00F64788">
        <w:rPr>
          <w:rFonts w:hAnsi="標楷體" w:hint="eastAsia"/>
        </w:rPr>
        <w:t>：違背…政府法令。三、煽惑他人犯罪或違背法令。五、妨害公共秩序或善良風俗。」衛星廣播電視法第17條第1款、第3款規定：「衛星廣播電視事業及境外衛星廣播電視事業播送之節目內容，不得有下列情形之</w:t>
      </w:r>
      <w:proofErr w:type="gramStart"/>
      <w:r w:rsidR="00DA47A0" w:rsidRPr="00F64788">
        <w:rPr>
          <w:rFonts w:hAnsi="標楷體" w:hint="eastAsia"/>
        </w:rPr>
        <w:t>一︰</w:t>
      </w:r>
      <w:proofErr w:type="gramEnd"/>
      <w:r w:rsidR="00DA47A0" w:rsidRPr="00F64788">
        <w:rPr>
          <w:rFonts w:hAnsi="標楷體" w:hint="eastAsia"/>
        </w:rPr>
        <w:t>違反法律強制或禁止規定。三、妨害</w:t>
      </w:r>
      <w:r w:rsidR="00DA47A0" w:rsidRPr="00F64788">
        <w:rPr>
          <w:rFonts w:hAnsi="標楷體" w:hint="eastAsia"/>
        </w:rPr>
        <w:lastRenderedPageBreak/>
        <w:t>公共秩序或善良風俗。」等情事，通傳會得依</w:t>
      </w:r>
      <w:r w:rsidR="00DA47A0" w:rsidRPr="00F64788">
        <w:rPr>
          <w:rFonts w:hAnsi="標楷體" w:cs="新細明體" w:hint="eastAsia"/>
          <w:szCs w:val="32"/>
        </w:rPr>
        <w:t>廣電三法相關規定，視情節輕重</w:t>
      </w:r>
      <w:r w:rsidR="00DA47A0" w:rsidRPr="00F64788">
        <w:rPr>
          <w:rFonts w:hAnsi="標楷體" w:hint="eastAsia"/>
        </w:rPr>
        <w:t>予以下列處分：一、警告。二、罰鍰。三、停播。四、吊銷執照。</w:t>
      </w:r>
    </w:p>
    <w:p w:rsidR="0041611F" w:rsidRPr="0041611F" w:rsidRDefault="005C02FE" w:rsidP="00D054BF">
      <w:pPr>
        <w:pStyle w:val="3"/>
        <w:rPr>
          <w:rFonts w:hAnsi="標楷體"/>
        </w:rPr>
      </w:pPr>
      <w:r w:rsidRPr="00F64788">
        <w:rPr>
          <w:rFonts w:hAnsi="標楷體" w:cs="新細明體" w:hint="eastAsia"/>
          <w:szCs w:val="32"/>
        </w:rPr>
        <w:t>依據國家通訊傳播委員會組織法第2條規定，通訊傳播相關法規為電信法、廣播電視法、有線廣播電視法及衛星廣播電視法，</w:t>
      </w:r>
      <w:r w:rsidRPr="00F64788">
        <w:rPr>
          <w:rFonts w:hAnsi="標楷體" w:hint="eastAsia"/>
        </w:rPr>
        <w:t>前述</w:t>
      </w:r>
      <w:r w:rsidRPr="00F64788">
        <w:rPr>
          <w:rFonts w:hAnsi="標楷體" w:cs="新細明體" w:hint="eastAsia"/>
          <w:szCs w:val="32"/>
        </w:rPr>
        <w:t>法令規範通傳會所監理之通訊傳播事業為電信事業（網際網路接取服務提供者）及廣播、電視事業；</w:t>
      </w:r>
      <w:proofErr w:type="gramStart"/>
      <w:r w:rsidRPr="00F64788">
        <w:rPr>
          <w:rFonts w:hAnsi="標楷體" w:cs="新細明體" w:hint="eastAsia"/>
          <w:szCs w:val="32"/>
        </w:rPr>
        <w:t>惟</w:t>
      </w:r>
      <w:proofErr w:type="gramEnd"/>
      <w:r w:rsidRPr="00F64788">
        <w:rPr>
          <w:rFonts w:hAnsi="標楷體" w:cs="新細明體" w:hint="eastAsia"/>
          <w:szCs w:val="32"/>
        </w:rPr>
        <w:t>網際網路平</w:t>
      </w:r>
      <w:proofErr w:type="gramStart"/>
      <w:r w:rsidRPr="00F64788">
        <w:rPr>
          <w:rFonts w:hAnsi="標楷體" w:cs="新細明體" w:hint="eastAsia"/>
          <w:szCs w:val="32"/>
        </w:rPr>
        <w:t>臺</w:t>
      </w:r>
      <w:proofErr w:type="gramEnd"/>
      <w:r w:rsidRPr="00F64788">
        <w:rPr>
          <w:rFonts w:hAnsi="標楷體" w:cs="新細明體" w:hint="eastAsia"/>
          <w:szCs w:val="32"/>
        </w:rPr>
        <w:t>提供者、網際網路內容提供者及應用服務提供者（如入口網站、電子報網站及APP Store等）並非電信及廣播、電視事業，非屬</w:t>
      </w:r>
      <w:r w:rsidR="00D054BF" w:rsidRPr="00F64788">
        <w:rPr>
          <w:rFonts w:hAnsi="標楷體" w:cs="新細明體" w:hint="eastAsia"/>
          <w:szCs w:val="32"/>
        </w:rPr>
        <w:t>該</w:t>
      </w:r>
      <w:r w:rsidRPr="00F64788">
        <w:rPr>
          <w:rFonts w:hAnsi="標楷體" w:cs="新細明體" w:hint="eastAsia"/>
          <w:szCs w:val="32"/>
        </w:rPr>
        <w:t>會法定職掌之監理範疇。依101年11月22日行政院國家資通安全會報第23次委員會議決議通過及102年10月24日行政院國家資通安全會報網路內容安全分組第10次會議第1次修正之「網際網路內容管理基本規範及分工原則」，已確認我國對於網際網路內容之管理與實體社會的管理方式相同，係由各法令規定之主管機關依權責處理。</w:t>
      </w:r>
    </w:p>
    <w:p w:rsidR="005C02FE" w:rsidRPr="00F64788" w:rsidRDefault="005C02FE" w:rsidP="0041611F">
      <w:pPr>
        <w:pStyle w:val="3"/>
        <w:numPr>
          <w:ilvl w:val="0"/>
          <w:numId w:val="0"/>
        </w:numPr>
        <w:ind w:left="1393" w:firstLineChars="200" w:firstLine="680"/>
        <w:rPr>
          <w:rFonts w:hAnsi="標楷體"/>
        </w:rPr>
      </w:pPr>
      <w:r w:rsidRPr="00F64788">
        <w:rPr>
          <w:rFonts w:hAnsi="標楷體" w:cs="新細明體" w:hint="eastAsia"/>
          <w:szCs w:val="32"/>
        </w:rPr>
        <w:t>有關網際網路違法案件之查處，目前實務運作上，係該案件所涉違法行為於實體社會之權責機關，即為網際網路（虛擬社會）之權責機關；並由該權責機關查處網際網路違法案件及通知相關業者移除不法內容，如民眾於網際網路上發起串聯抗爭之煽動言論，涉違反集會遊行法、刑法（妨害秩序罪）及社會秩序維護法（妨害安寧秩序）相關規定，實體社會為內政部及地方警政單位權責，虛擬社會亦相同。</w:t>
      </w:r>
      <w:r w:rsidR="00BF7D9D" w:rsidRPr="00F36866">
        <w:rPr>
          <w:rFonts w:hAnsi="標楷體" w:cs="新細明體" w:hint="eastAsia"/>
          <w:szCs w:val="32"/>
        </w:rPr>
        <w:t>鑒於網際網路內容並無</w:t>
      </w:r>
      <w:r w:rsidR="00BF7D9D" w:rsidRPr="00B31988">
        <w:rPr>
          <w:rFonts w:hAnsi="標楷體" w:cs="新細明體" w:hint="eastAsia"/>
          <w:szCs w:val="32"/>
        </w:rPr>
        <w:t>單一主管機關，為解決民眾申訴無門問題，</w:t>
      </w:r>
      <w:r w:rsidR="00BF7D9D">
        <w:rPr>
          <w:rFonts w:hAnsi="標楷體" w:cs="新細明體" w:hint="eastAsia"/>
          <w:szCs w:val="32"/>
        </w:rPr>
        <w:t>通傳</w:t>
      </w:r>
      <w:r w:rsidR="00BF7D9D" w:rsidRPr="00B31988">
        <w:rPr>
          <w:rFonts w:hAnsi="標楷體" w:cs="新細明體" w:hint="eastAsia"/>
          <w:szCs w:val="32"/>
        </w:rPr>
        <w:t>會依行政院社會福利推動委員會第14次委員會議、行政院國家資通安全會報第17及18次委員會議決議，與內政部、</w:t>
      </w:r>
      <w:r w:rsidR="00BF7D9D" w:rsidRPr="00B31988">
        <w:rPr>
          <w:rFonts w:hAnsi="標楷體" w:cs="新細明體" w:hint="eastAsia"/>
          <w:szCs w:val="32"/>
        </w:rPr>
        <w:lastRenderedPageBreak/>
        <w:t>教育部及經濟部於99年8月2日成立「WIN網路單e窗口」，受理民眾申訴及通報網路內容問題，將民眾意見轉請權責機關或網路平台服務提供者處理，確保民眾網路內容安全問題能快速獲得</w:t>
      </w:r>
      <w:r w:rsidR="00BF7D9D">
        <w:rPr>
          <w:rFonts w:hAnsi="標楷體" w:cs="新細明體" w:hint="eastAsia"/>
          <w:szCs w:val="32"/>
        </w:rPr>
        <w:t>處理</w:t>
      </w:r>
      <w:r w:rsidR="00BF7D9D" w:rsidRPr="00B31988">
        <w:rPr>
          <w:rFonts w:hAnsi="標楷體" w:cs="新細明體" w:hint="eastAsia"/>
          <w:szCs w:val="32"/>
        </w:rPr>
        <w:t>。「WIN網路單e窗口」並無相關法令授權認定民眾反映相關網際網路內容是否屬違反集會遊行法、刑法及社會秩序維護法相關規定之違法內容，或違反內政部及地方警政單位主管法令規定；因此，該機構所受理民眾申訴案件中，如涉違反上揭法令相關規定者，依其作業流程，將立即</w:t>
      </w:r>
      <w:proofErr w:type="gramStart"/>
      <w:r w:rsidR="00BF7D9D" w:rsidRPr="00B31988">
        <w:rPr>
          <w:rFonts w:hAnsi="標楷體" w:cs="新細明體" w:hint="eastAsia"/>
          <w:szCs w:val="32"/>
        </w:rPr>
        <w:t>函轉前揭</w:t>
      </w:r>
      <w:proofErr w:type="gramEnd"/>
      <w:r w:rsidR="00BF7D9D" w:rsidRPr="00B31988">
        <w:rPr>
          <w:rFonts w:hAnsi="標楷體" w:cs="新細明體" w:hint="eastAsia"/>
          <w:szCs w:val="32"/>
        </w:rPr>
        <w:t>機關處理。</w:t>
      </w:r>
    </w:p>
    <w:p w:rsidR="0070609B" w:rsidRPr="00F64788" w:rsidRDefault="0070609B" w:rsidP="00C82776">
      <w:pPr>
        <w:pStyle w:val="3"/>
        <w:rPr>
          <w:rFonts w:hAnsi="標楷體"/>
        </w:rPr>
      </w:pPr>
      <w:r w:rsidRPr="00F64788">
        <w:rPr>
          <w:rFonts w:hAnsi="標楷體" w:hint="eastAsia"/>
        </w:rPr>
        <w:t>本</w:t>
      </w:r>
      <w:proofErr w:type="gramStart"/>
      <w:r w:rsidRPr="00F64788">
        <w:rPr>
          <w:rFonts w:hAnsi="標楷體" w:hint="eastAsia"/>
        </w:rPr>
        <w:t>案據通傳</w:t>
      </w:r>
      <w:proofErr w:type="gramEnd"/>
      <w:r w:rsidRPr="00F64788">
        <w:rPr>
          <w:rFonts w:hAnsi="標楷體" w:hint="eastAsia"/>
        </w:rPr>
        <w:t>會查復稱：</w:t>
      </w:r>
      <w:r w:rsidRPr="00F64788">
        <w:rPr>
          <w:rFonts w:hAnsi="標楷體" w:cs="新細明體" w:hint="eastAsia"/>
          <w:szCs w:val="32"/>
        </w:rPr>
        <w:t>97年間</w:t>
      </w:r>
      <w:r w:rsidRPr="00F64788">
        <w:rPr>
          <w:rFonts w:hAnsi="標楷體" w:hint="eastAsia"/>
          <w:szCs w:val="32"/>
        </w:rPr>
        <w:t>南都廣播電台等11家廣播電臺，於當年10月21日播出之「台灣人俱樂部」及「我愛台灣」等節目，因主持人及受邀來賓透過節目發表「動員群眾」之言論，包括使用「快集結」、「圍起來」、「出動」、「快帶人過去」、「機動組隨時出發」、「</w:t>
      </w:r>
      <w:proofErr w:type="gramStart"/>
      <w:r w:rsidRPr="00F64788">
        <w:rPr>
          <w:rFonts w:hAnsi="標楷體" w:hint="eastAsia"/>
          <w:szCs w:val="32"/>
        </w:rPr>
        <w:t>撂人</w:t>
      </w:r>
      <w:proofErr w:type="gramEnd"/>
      <w:r w:rsidRPr="00F64788">
        <w:rPr>
          <w:rFonts w:hAnsi="標楷體" w:hint="eastAsia"/>
          <w:szCs w:val="32"/>
        </w:rPr>
        <w:t>」等語言鼓吹聽眾前往特定地點聚集，係有藉廣播公然號召不特定群眾，有施脅迫、暗示暴力之虞，其妨害公共秩序、善良風俗之情形，違反廣播電視法第21條第5款規定，該會於98年2月25日第287次委員會議中，參酌97年第6次「廣播電視節目廣告諮詢會議」之建議，決議對前揭電台播出違法廣播節目，分別處以新臺幣1萬3千5百元及新臺幣2萬4千元不等之罰款。另該會亦同時協助臺灣</w:t>
      </w:r>
      <w:proofErr w:type="gramStart"/>
      <w:r w:rsidRPr="00F64788">
        <w:rPr>
          <w:rFonts w:hAnsi="標楷體" w:hint="eastAsia"/>
          <w:szCs w:val="32"/>
        </w:rPr>
        <w:t>臺</w:t>
      </w:r>
      <w:proofErr w:type="gramEnd"/>
      <w:r w:rsidRPr="00F64788">
        <w:rPr>
          <w:rFonts w:hAnsi="標楷體" w:hint="eastAsia"/>
          <w:szCs w:val="32"/>
        </w:rPr>
        <w:t>南地方法院檢察署提供相關電台側錄節目資料。至於</w:t>
      </w:r>
      <w:r w:rsidRPr="00F64788">
        <w:rPr>
          <w:rFonts w:hAnsi="標楷體" w:cs="新細明體" w:hint="eastAsia"/>
          <w:szCs w:val="32"/>
        </w:rPr>
        <w:t>99年度至103年5月26日該會無相關裁罰案例；亦未有移送檢警機關偵辦案例。</w:t>
      </w:r>
    </w:p>
    <w:p w:rsidR="0067134D" w:rsidRPr="00A17BBE" w:rsidRDefault="009F4ADF" w:rsidP="00C82776">
      <w:pPr>
        <w:pStyle w:val="3"/>
        <w:rPr>
          <w:rFonts w:hAnsi="標楷體"/>
        </w:rPr>
      </w:pPr>
      <w:r>
        <w:rPr>
          <w:rFonts w:hAnsi="標楷體" w:cs="新細明體" w:hint="eastAsia"/>
          <w:szCs w:val="32"/>
        </w:rPr>
        <w:t>承</w:t>
      </w:r>
      <w:r w:rsidR="0070609B" w:rsidRPr="00F64788">
        <w:rPr>
          <w:rFonts w:hAnsi="標楷體" w:cs="新細明體" w:hint="eastAsia"/>
          <w:szCs w:val="32"/>
        </w:rPr>
        <w:t>上可知，通傳會關於廣電媒體節目如經認定有妨害公共秩序或善良風俗之情形，違反廣播電視法及</w:t>
      </w:r>
      <w:r w:rsidR="0070609B" w:rsidRPr="00F64788">
        <w:rPr>
          <w:rFonts w:hAnsi="標楷體" w:cs="新細明體" w:hint="eastAsia"/>
          <w:szCs w:val="32"/>
        </w:rPr>
        <w:lastRenderedPageBreak/>
        <w:t>衛星廣播電視法相關規定，該會僅依廣電三法相關規定</w:t>
      </w:r>
      <w:r w:rsidR="00BF7D9D">
        <w:rPr>
          <w:rFonts w:hAnsi="標楷體" w:cs="新細明體" w:hint="eastAsia"/>
          <w:szCs w:val="32"/>
        </w:rPr>
        <w:t>予以裁處</w:t>
      </w:r>
      <w:r w:rsidR="0070609B" w:rsidRPr="00F64788">
        <w:rPr>
          <w:rFonts w:hAnsi="標楷體" w:cs="新細明體" w:hint="eastAsia"/>
          <w:szCs w:val="32"/>
        </w:rPr>
        <w:t>；</w:t>
      </w:r>
      <w:r w:rsidR="0041611F">
        <w:rPr>
          <w:rFonts w:hAnsi="標楷體" w:cs="新細明體" w:hint="eastAsia"/>
          <w:szCs w:val="32"/>
        </w:rPr>
        <w:t>如</w:t>
      </w:r>
      <w:r w:rsidR="0070609B" w:rsidRPr="00F64788">
        <w:rPr>
          <w:rFonts w:hAnsi="標楷體" w:cs="新細明體" w:hint="eastAsia"/>
          <w:szCs w:val="32"/>
        </w:rPr>
        <w:t>警察、檢察機關</w:t>
      </w:r>
      <w:r w:rsidR="00BF7D9D">
        <w:rPr>
          <w:rFonts w:hAnsi="標楷體" w:cs="新細明體" w:hint="eastAsia"/>
          <w:szCs w:val="32"/>
        </w:rPr>
        <w:t>偵查</w:t>
      </w:r>
      <w:r w:rsidR="0070609B" w:rsidRPr="00F64788">
        <w:rPr>
          <w:rFonts w:hAnsi="標楷體" w:cs="新細明體" w:hint="eastAsia"/>
          <w:szCs w:val="32"/>
        </w:rPr>
        <w:t>犯罪</w:t>
      </w:r>
      <w:r w:rsidR="0041611F">
        <w:rPr>
          <w:rFonts w:hAnsi="標楷體" w:cs="新細明體" w:hint="eastAsia"/>
          <w:szCs w:val="32"/>
        </w:rPr>
        <w:t>確有</w:t>
      </w:r>
      <w:proofErr w:type="gramStart"/>
      <w:r w:rsidR="00BF7D9D">
        <w:rPr>
          <w:rFonts w:hAnsi="標楷體" w:cs="新細明體" w:hint="eastAsia"/>
          <w:szCs w:val="32"/>
        </w:rPr>
        <w:t>蒐</w:t>
      </w:r>
      <w:proofErr w:type="gramEnd"/>
      <w:r w:rsidR="00BF7D9D">
        <w:rPr>
          <w:rFonts w:hAnsi="標楷體" w:cs="新細明體" w:hint="eastAsia"/>
          <w:szCs w:val="32"/>
        </w:rPr>
        <w:t>證之</w:t>
      </w:r>
      <w:r w:rsidR="0070609B" w:rsidRPr="00F64788">
        <w:rPr>
          <w:rFonts w:hAnsi="標楷體" w:cs="新細明體" w:hint="eastAsia"/>
          <w:szCs w:val="32"/>
        </w:rPr>
        <w:t>需要，該會方被動配合提供側錄影帶</w:t>
      </w:r>
      <w:r w:rsidR="00BF7D9D">
        <w:rPr>
          <w:rFonts w:hAnsi="標楷體" w:cs="新細明體" w:hint="eastAsia"/>
          <w:szCs w:val="32"/>
        </w:rPr>
        <w:t>；</w:t>
      </w:r>
      <w:r w:rsidR="0070609B" w:rsidRPr="00F64788">
        <w:rPr>
          <w:rFonts w:hAnsi="標楷體" w:cs="新細明體" w:hint="eastAsia"/>
          <w:szCs w:val="32"/>
        </w:rPr>
        <w:t>至於網路新聞部分，「WIN網路單e窗口」</w:t>
      </w:r>
      <w:r w:rsidR="00A01042" w:rsidRPr="00F64788">
        <w:rPr>
          <w:rFonts w:hAnsi="標楷體" w:cs="新細明體" w:hint="eastAsia"/>
          <w:szCs w:val="32"/>
        </w:rPr>
        <w:t>如</w:t>
      </w:r>
      <w:r w:rsidR="0070609B" w:rsidRPr="00F64788">
        <w:rPr>
          <w:rFonts w:hAnsi="標楷體" w:cs="新細明體" w:hint="eastAsia"/>
          <w:szCs w:val="32"/>
        </w:rPr>
        <w:t>受理民眾申訴及通報網路內容問題，</w:t>
      </w:r>
      <w:r w:rsidR="00A01042" w:rsidRPr="00F64788">
        <w:rPr>
          <w:rFonts w:hAnsi="標楷體" w:cs="新細明體" w:hint="eastAsia"/>
          <w:szCs w:val="32"/>
        </w:rPr>
        <w:t>才會</w:t>
      </w:r>
      <w:r w:rsidR="0070609B" w:rsidRPr="00F64788">
        <w:rPr>
          <w:rFonts w:hAnsi="標楷體" w:cs="新細明體" w:hint="eastAsia"/>
          <w:szCs w:val="32"/>
        </w:rPr>
        <w:t>將民眾意見轉請權責機關或網路平台服務提供者處理</w:t>
      </w:r>
      <w:r w:rsidR="00A01042" w:rsidRPr="00F64788">
        <w:rPr>
          <w:rFonts w:hAnsi="標楷體" w:cs="新細明體" w:hint="eastAsia"/>
          <w:szCs w:val="32"/>
        </w:rPr>
        <w:t>，均顯然失之被動消極</w:t>
      </w:r>
      <w:r w:rsidR="0070609B" w:rsidRPr="00F64788">
        <w:rPr>
          <w:rFonts w:hAnsi="標楷體" w:cs="新細明體" w:hint="eastAsia"/>
          <w:szCs w:val="32"/>
        </w:rPr>
        <w:t>。</w:t>
      </w:r>
      <w:r w:rsidR="00A01042" w:rsidRPr="00F64788">
        <w:rPr>
          <w:rFonts w:hAnsi="標楷體" w:hint="eastAsia"/>
        </w:rPr>
        <w:t>據本院約</w:t>
      </w:r>
      <w:proofErr w:type="gramStart"/>
      <w:r w:rsidR="00A01042" w:rsidRPr="00F64788">
        <w:rPr>
          <w:rFonts w:hAnsi="標楷體" w:hint="eastAsia"/>
        </w:rPr>
        <w:t>詢</w:t>
      </w:r>
      <w:proofErr w:type="gramEnd"/>
      <w:r w:rsidR="00A01042" w:rsidRPr="00F64788">
        <w:rPr>
          <w:rFonts w:hAnsi="標楷體" w:hint="eastAsia"/>
        </w:rPr>
        <w:t>檢察總長顏大和，渠表示媒體應報導事實而不應涉及價值判斷，且應嚴守媒體自律原則；另有多位警政主管向本院表示，</w:t>
      </w:r>
      <w:r w:rsidR="00BF7D9D">
        <w:rPr>
          <w:rFonts w:hAnsi="標楷體" w:hint="eastAsia"/>
        </w:rPr>
        <w:t>警方</w:t>
      </w:r>
      <w:r w:rsidR="00A01042" w:rsidRPr="00F64788">
        <w:rPr>
          <w:rFonts w:hAnsi="標楷體" w:hint="eastAsia"/>
        </w:rPr>
        <w:t>為</w:t>
      </w:r>
      <w:proofErr w:type="gramStart"/>
      <w:r w:rsidR="00A01042" w:rsidRPr="00F64788">
        <w:rPr>
          <w:rFonts w:hAnsi="標楷體" w:hint="eastAsia"/>
        </w:rPr>
        <w:t>蒐</w:t>
      </w:r>
      <w:proofErr w:type="gramEnd"/>
      <w:r w:rsidR="00A01042" w:rsidRPr="00F64788">
        <w:rPr>
          <w:rFonts w:hAnsi="標楷體" w:hint="eastAsia"/>
        </w:rPr>
        <w:t>證</w:t>
      </w:r>
      <w:proofErr w:type="gramStart"/>
      <w:r w:rsidR="00BF7D9D">
        <w:rPr>
          <w:rFonts w:hAnsi="標楷體" w:hint="eastAsia"/>
        </w:rPr>
        <w:t>群眾常抗活動</w:t>
      </w:r>
      <w:proofErr w:type="gramEnd"/>
      <w:r w:rsidR="00A01042" w:rsidRPr="00F64788">
        <w:rPr>
          <w:rFonts w:hAnsi="標楷體" w:hint="eastAsia"/>
        </w:rPr>
        <w:t>現場</w:t>
      </w:r>
      <w:r w:rsidR="00BF7D9D">
        <w:rPr>
          <w:rFonts w:hAnsi="標楷體" w:hint="eastAsia"/>
        </w:rPr>
        <w:t>之</w:t>
      </w:r>
      <w:r w:rsidR="00A01042" w:rsidRPr="00F64788">
        <w:rPr>
          <w:rFonts w:hAnsi="標楷體" w:hint="eastAsia"/>
        </w:rPr>
        <w:t>犯罪嫌疑人，曾多次向電視業者調取</w:t>
      </w:r>
      <w:r w:rsidR="001F5149" w:rsidRPr="00F64788">
        <w:rPr>
          <w:rFonts w:hAnsi="標楷體" w:hint="eastAsia"/>
        </w:rPr>
        <w:t>相關節目影片，</w:t>
      </w:r>
      <w:proofErr w:type="gramStart"/>
      <w:r w:rsidR="00BF7D9D">
        <w:rPr>
          <w:rFonts w:hAnsi="標楷體" w:hint="eastAsia"/>
        </w:rPr>
        <w:t>以為</w:t>
      </w:r>
      <w:r w:rsidR="0041611F">
        <w:rPr>
          <w:rFonts w:hAnsi="標楷體" w:hint="eastAsia"/>
        </w:rPr>
        <w:t>參</w:t>
      </w:r>
      <w:r w:rsidR="00BF7D9D">
        <w:rPr>
          <w:rFonts w:hAnsi="標楷體" w:hint="eastAsia"/>
        </w:rPr>
        <w:t>佐</w:t>
      </w:r>
      <w:r w:rsidR="0041611F">
        <w:rPr>
          <w:rFonts w:hAnsi="標楷體" w:hint="eastAsia"/>
        </w:rPr>
        <w:t>之</w:t>
      </w:r>
      <w:proofErr w:type="gramEnd"/>
      <w:r w:rsidR="00BF7D9D">
        <w:rPr>
          <w:rFonts w:hAnsi="標楷體" w:hint="eastAsia"/>
        </w:rPr>
        <w:t>證</w:t>
      </w:r>
      <w:r w:rsidR="0041611F">
        <w:rPr>
          <w:rFonts w:hAnsi="標楷體" w:hint="eastAsia"/>
        </w:rPr>
        <w:t>據</w:t>
      </w:r>
      <w:r w:rsidR="00BF7D9D">
        <w:rPr>
          <w:rFonts w:hAnsi="標楷體" w:hint="eastAsia"/>
        </w:rPr>
        <w:t>資料，然</w:t>
      </w:r>
      <w:r w:rsidR="001F5149" w:rsidRPr="00F64788">
        <w:rPr>
          <w:rFonts w:hAnsi="標楷體" w:hint="eastAsia"/>
        </w:rPr>
        <w:t>業者顧忌爾後可能需出庭作證，故均予以拒絕</w:t>
      </w:r>
      <w:r w:rsidR="00BF7D9D">
        <w:rPr>
          <w:rFonts w:hAnsi="標楷體" w:hint="eastAsia"/>
        </w:rPr>
        <w:t>，導致案件偵辦進度受</w:t>
      </w:r>
      <w:proofErr w:type="gramStart"/>
      <w:r w:rsidR="00BF7D9D">
        <w:rPr>
          <w:rFonts w:hAnsi="標楷體" w:hint="eastAsia"/>
        </w:rPr>
        <w:t>阻</w:t>
      </w:r>
      <w:r w:rsidR="001F5149" w:rsidRPr="00F64788">
        <w:rPr>
          <w:rFonts w:hAnsi="標楷體" w:hint="eastAsia"/>
        </w:rPr>
        <w:t>等情</w:t>
      </w:r>
      <w:proofErr w:type="gramEnd"/>
      <w:r w:rsidR="00A01042" w:rsidRPr="00F64788">
        <w:rPr>
          <w:rFonts w:hAnsi="標楷體" w:hint="eastAsia"/>
        </w:rPr>
        <w:t>。</w:t>
      </w:r>
      <w:proofErr w:type="gramStart"/>
      <w:r w:rsidR="00A01042" w:rsidRPr="00F64788">
        <w:rPr>
          <w:rFonts w:hAnsi="標楷體" w:cs="新細明體" w:hint="eastAsia"/>
          <w:szCs w:val="32"/>
        </w:rPr>
        <w:t>按</w:t>
      </w:r>
      <w:r w:rsidR="00627C63" w:rsidRPr="00F64788">
        <w:rPr>
          <w:rFonts w:hAnsi="標楷體" w:hint="eastAsia"/>
        </w:rPr>
        <w:t>通傳</w:t>
      </w:r>
      <w:proofErr w:type="gramEnd"/>
      <w:r w:rsidR="00627C63" w:rsidRPr="00F64788">
        <w:rPr>
          <w:rFonts w:hAnsi="標楷體" w:hint="eastAsia"/>
        </w:rPr>
        <w:t>會係主管電子媒體及媒體秩序之主管機關，基於言論自由之原則，對於電子媒體基於政治信仰而表</w:t>
      </w:r>
      <w:r w:rsidR="00627C63" w:rsidRPr="00A17BBE">
        <w:rPr>
          <w:rFonts w:hAnsi="標楷體" w:hint="eastAsia"/>
        </w:rPr>
        <w:t>達之不同意見，</w:t>
      </w:r>
      <w:proofErr w:type="gramStart"/>
      <w:r w:rsidR="00A01042" w:rsidRPr="00A17BBE">
        <w:rPr>
          <w:rFonts w:hAnsi="標楷體" w:hint="eastAsia"/>
        </w:rPr>
        <w:t>固</w:t>
      </w:r>
      <w:r w:rsidR="00627C63" w:rsidRPr="00A17BBE">
        <w:rPr>
          <w:rFonts w:hAnsi="標楷體" w:hint="eastAsia"/>
        </w:rPr>
        <w:t>宜予</w:t>
      </w:r>
      <w:proofErr w:type="gramEnd"/>
      <w:r w:rsidR="00627C63" w:rsidRPr="00A17BBE">
        <w:rPr>
          <w:rFonts w:hAnsi="標楷體" w:hint="eastAsia"/>
        </w:rPr>
        <w:t>尊重</w:t>
      </w:r>
      <w:r w:rsidR="00767D3C" w:rsidRPr="00A17BBE">
        <w:rPr>
          <w:rFonts w:hAnsi="標楷體" w:hint="eastAsia"/>
        </w:rPr>
        <w:t>，</w:t>
      </w:r>
      <w:r w:rsidR="00A01042" w:rsidRPr="00A17BBE">
        <w:rPr>
          <w:rFonts w:hAnsi="標楷體" w:hint="eastAsia"/>
        </w:rPr>
        <w:t>然</w:t>
      </w:r>
      <w:r w:rsidR="00627C63" w:rsidRPr="00A17BBE">
        <w:rPr>
          <w:rFonts w:hAnsi="標楷體" w:hint="eastAsia"/>
        </w:rPr>
        <w:t>對於群眾暴力及違害社會治安之不法行徑，則不應鼓勵</w:t>
      </w:r>
      <w:proofErr w:type="gramStart"/>
      <w:r w:rsidR="00627C63" w:rsidRPr="00A17BBE">
        <w:rPr>
          <w:rFonts w:hAnsi="標楷體" w:hint="eastAsia"/>
        </w:rPr>
        <w:t>或曲容</w:t>
      </w:r>
      <w:proofErr w:type="gramEnd"/>
      <w:r w:rsidR="00627C63" w:rsidRPr="00A17BBE">
        <w:rPr>
          <w:rFonts w:hAnsi="標楷體" w:hint="eastAsia"/>
        </w:rPr>
        <w:t>。在</w:t>
      </w:r>
      <w:r w:rsidR="00A01042" w:rsidRPr="00A17BBE">
        <w:rPr>
          <w:rFonts w:hAnsi="標楷體" w:hint="eastAsia"/>
        </w:rPr>
        <w:t>上揭3件</w:t>
      </w:r>
      <w:proofErr w:type="gramStart"/>
      <w:r w:rsidR="00A01042" w:rsidRPr="00A17BBE">
        <w:rPr>
          <w:rFonts w:hAnsi="標楷體" w:hint="eastAsia"/>
        </w:rPr>
        <w:t>群眾</w:t>
      </w:r>
      <w:r w:rsidR="003E046F" w:rsidRPr="00A17BBE">
        <w:rPr>
          <w:rFonts w:hAnsi="標楷體" w:hint="eastAsia"/>
        </w:rPr>
        <w:t>陳抗活動</w:t>
      </w:r>
      <w:r w:rsidR="00627C63" w:rsidRPr="00A17BBE">
        <w:rPr>
          <w:rFonts w:hAnsi="標楷體" w:hint="eastAsia"/>
        </w:rPr>
        <w:t>期間</w:t>
      </w:r>
      <w:proofErr w:type="gramEnd"/>
      <w:r w:rsidR="00A01042" w:rsidRPr="00A17BBE">
        <w:rPr>
          <w:rFonts w:hAnsi="標楷體" w:hint="eastAsia"/>
        </w:rPr>
        <w:t>，</w:t>
      </w:r>
      <w:r w:rsidR="00627C63" w:rsidRPr="00A17BBE">
        <w:rPr>
          <w:rFonts w:hAnsi="標楷體" w:hint="eastAsia"/>
        </w:rPr>
        <w:t>有若干電子媒體透過立即轉播之</w:t>
      </w:r>
      <w:r w:rsidR="00E83430" w:rsidRPr="00A17BBE">
        <w:rPr>
          <w:rFonts w:hAnsi="標楷體" w:hint="eastAsia"/>
        </w:rPr>
        <w:t>途徑</w:t>
      </w:r>
      <w:r w:rsidR="00627C63" w:rsidRPr="00A17BBE">
        <w:rPr>
          <w:rFonts w:hAnsi="標楷體" w:hint="eastAsia"/>
        </w:rPr>
        <w:t>，追索民眾</w:t>
      </w:r>
      <w:r w:rsidR="00A01042" w:rsidRPr="00A17BBE">
        <w:rPr>
          <w:rFonts w:hAnsi="標楷體" w:hint="eastAsia"/>
        </w:rPr>
        <w:t>、</w:t>
      </w:r>
      <w:r w:rsidR="00627C63" w:rsidRPr="00A17BBE">
        <w:rPr>
          <w:rFonts w:hAnsi="標楷體" w:hint="eastAsia"/>
        </w:rPr>
        <w:t>追打警察</w:t>
      </w:r>
      <w:r w:rsidR="00E83430" w:rsidRPr="00A17BBE">
        <w:rPr>
          <w:rFonts w:hAnsi="標楷體" w:hint="eastAsia"/>
          <w:bCs w:val="0"/>
          <w:szCs w:val="32"/>
        </w:rPr>
        <w:t>等不法暴行</w:t>
      </w:r>
      <w:r w:rsidR="00627C63" w:rsidRPr="00A17BBE">
        <w:rPr>
          <w:rFonts w:hAnsi="標楷體" w:hint="eastAsia"/>
        </w:rPr>
        <w:t>，甚至公開員警之職務代號</w:t>
      </w:r>
      <w:r w:rsidR="00E83430" w:rsidRPr="00A17BBE">
        <w:rPr>
          <w:rFonts w:hAnsi="標楷體" w:hint="eastAsia"/>
        </w:rPr>
        <w:t>，</w:t>
      </w:r>
      <w:r w:rsidR="00E83430" w:rsidRPr="00A17BBE">
        <w:rPr>
          <w:rFonts w:hAnsi="標楷體" w:hint="eastAsia"/>
          <w:bCs w:val="0"/>
          <w:szCs w:val="32"/>
        </w:rPr>
        <w:t>間接鼓勵違法行徑</w:t>
      </w:r>
      <w:r w:rsidR="00627C63" w:rsidRPr="00A17BBE">
        <w:rPr>
          <w:rFonts w:hAnsi="標楷體" w:hint="eastAsia"/>
        </w:rPr>
        <w:t>；另有若干節目主持人呼籲觀眾即時加入群眾抗議行動，類此脫</w:t>
      </w:r>
      <w:proofErr w:type="gramStart"/>
      <w:r w:rsidR="00627C63" w:rsidRPr="00A17BBE">
        <w:rPr>
          <w:rFonts w:hAnsi="標楷體" w:hint="eastAsia"/>
        </w:rPr>
        <w:t>法或遊走</w:t>
      </w:r>
      <w:proofErr w:type="gramEnd"/>
      <w:r w:rsidR="00627C63" w:rsidRPr="00A17BBE">
        <w:rPr>
          <w:rFonts w:hAnsi="標楷體" w:hint="eastAsia"/>
        </w:rPr>
        <w:t>法律邊緣之</w:t>
      </w:r>
      <w:r w:rsidR="00E83430" w:rsidRPr="00A17BBE">
        <w:rPr>
          <w:rFonts w:hAnsi="標楷體" w:hint="eastAsia"/>
        </w:rPr>
        <w:t>作為</w:t>
      </w:r>
      <w:r w:rsidR="00627C63" w:rsidRPr="00A17BBE">
        <w:rPr>
          <w:rFonts w:hAnsi="標楷體" w:hint="eastAsia"/>
        </w:rPr>
        <w:t>，通傳會宜透過內部嚴格之審查程序</w:t>
      </w:r>
      <w:r w:rsidR="00E83430" w:rsidRPr="00A17BBE">
        <w:rPr>
          <w:rFonts w:hAnsi="標楷體" w:hint="eastAsia"/>
          <w:bCs w:val="0"/>
          <w:szCs w:val="32"/>
        </w:rPr>
        <w:t>採取適法之懲處</w:t>
      </w:r>
      <w:r w:rsidR="00627C63" w:rsidRPr="00A17BBE">
        <w:rPr>
          <w:rFonts w:hAnsi="標楷體" w:hint="eastAsia"/>
        </w:rPr>
        <w:t>，以維媒體公共秩序，若有</w:t>
      </w:r>
      <w:r w:rsidR="007408FA" w:rsidRPr="00A17BBE">
        <w:rPr>
          <w:rFonts w:hAnsi="標楷體" w:hint="eastAsia"/>
        </w:rPr>
        <w:t>具體</w:t>
      </w:r>
      <w:r w:rsidR="00627C63" w:rsidRPr="00A17BBE">
        <w:rPr>
          <w:rFonts w:hAnsi="標楷體" w:hint="eastAsia"/>
        </w:rPr>
        <w:t>觸法或違法</w:t>
      </w:r>
      <w:r w:rsidR="007408FA" w:rsidRPr="00A17BBE">
        <w:rPr>
          <w:rFonts w:hAnsi="標楷體" w:hint="eastAsia"/>
        </w:rPr>
        <w:t>犯行</w:t>
      </w:r>
      <w:r w:rsidR="00627C63" w:rsidRPr="00A17BBE">
        <w:rPr>
          <w:rFonts w:hAnsi="標楷體" w:hint="eastAsia"/>
        </w:rPr>
        <w:t>，或</w:t>
      </w:r>
      <w:r w:rsidRPr="00A17BBE">
        <w:rPr>
          <w:rFonts w:hAnsi="標楷體" w:hint="eastAsia"/>
        </w:rPr>
        <w:t>「</w:t>
      </w:r>
      <w:r w:rsidR="00627C63" w:rsidRPr="00A17BBE">
        <w:rPr>
          <w:rFonts w:hAnsi="標楷體" w:hint="eastAsia"/>
        </w:rPr>
        <w:t>明顯而立即之危險</w:t>
      </w:r>
      <w:r w:rsidRPr="00A17BBE">
        <w:rPr>
          <w:rFonts w:hAnsi="標楷體" w:hint="eastAsia"/>
        </w:rPr>
        <w:t>」</w:t>
      </w:r>
      <w:r w:rsidR="00627C63" w:rsidRPr="00A17BBE">
        <w:rPr>
          <w:rFonts w:hAnsi="標楷體" w:hint="eastAsia"/>
        </w:rPr>
        <w:t>之情事發生時，則應主動將相關證據報請檢察</w:t>
      </w:r>
      <w:r w:rsidR="00A01042" w:rsidRPr="00A17BBE">
        <w:rPr>
          <w:rFonts w:hAnsi="標楷體" w:hint="eastAsia"/>
        </w:rPr>
        <w:t>機關為適當之處理。</w:t>
      </w:r>
    </w:p>
    <w:p w:rsidR="00BF4DC0" w:rsidRPr="00A17BBE" w:rsidRDefault="00BF4DC0" w:rsidP="00DD378E">
      <w:pPr>
        <w:pStyle w:val="2"/>
        <w:ind w:left="1020" w:hanging="680"/>
        <w:rPr>
          <w:rFonts w:hAnsi="標楷體"/>
          <w:b/>
          <w:bCs w:val="0"/>
        </w:rPr>
      </w:pPr>
      <w:r w:rsidRPr="00A17BBE">
        <w:rPr>
          <w:rFonts w:hAnsi="標楷體" w:hint="eastAsia"/>
          <w:b/>
          <w:bCs w:val="0"/>
        </w:rPr>
        <w:t>對於民眾</w:t>
      </w:r>
      <w:r w:rsidRPr="00A17BBE">
        <w:rPr>
          <w:rFonts w:hAnsi="標楷體" w:hint="eastAsia"/>
          <w:b/>
        </w:rPr>
        <w:t>和平陳情</w:t>
      </w:r>
      <w:r w:rsidR="00CA5AB4" w:rsidRPr="00A17BBE">
        <w:rPr>
          <w:rFonts w:hAnsi="標楷體" w:hint="eastAsia"/>
          <w:b/>
        </w:rPr>
        <w:t>活</w:t>
      </w:r>
      <w:r w:rsidRPr="00A17BBE">
        <w:rPr>
          <w:rFonts w:hAnsi="標楷體" w:hint="eastAsia"/>
          <w:b/>
        </w:rPr>
        <w:t>動</w:t>
      </w:r>
      <w:r w:rsidR="00D25795" w:rsidRPr="00A17BBE">
        <w:rPr>
          <w:rFonts w:hAnsi="標楷體" w:hint="eastAsia"/>
          <w:b/>
        </w:rPr>
        <w:t>與</w:t>
      </w:r>
      <w:r w:rsidRPr="00A17BBE">
        <w:rPr>
          <w:rFonts w:hAnsi="標楷體" w:hint="eastAsia"/>
          <w:b/>
        </w:rPr>
        <w:t>合法之民主訴求，</w:t>
      </w:r>
      <w:r w:rsidR="00B72A4F" w:rsidRPr="00A17BBE">
        <w:rPr>
          <w:rFonts w:hAnsi="標楷體" w:hint="eastAsia"/>
          <w:b/>
          <w:bCs w:val="0"/>
        </w:rPr>
        <w:t>行政院宜</w:t>
      </w:r>
      <w:r w:rsidR="007408FA" w:rsidRPr="00A17BBE">
        <w:rPr>
          <w:rFonts w:hAnsi="標楷體" w:hint="eastAsia"/>
          <w:b/>
        </w:rPr>
        <w:t>積極</w:t>
      </w:r>
      <w:r w:rsidR="00D25795" w:rsidRPr="00A17BBE">
        <w:rPr>
          <w:rFonts w:hAnsi="標楷體" w:hint="eastAsia"/>
          <w:b/>
        </w:rPr>
        <w:t>應對，採取相關行政措施，</w:t>
      </w:r>
      <w:r w:rsidR="007408FA" w:rsidRPr="00A17BBE">
        <w:rPr>
          <w:rFonts w:hAnsi="標楷體" w:hint="eastAsia"/>
          <w:b/>
        </w:rPr>
        <w:t>以</w:t>
      </w:r>
      <w:r w:rsidR="00D25795" w:rsidRPr="00A17BBE">
        <w:rPr>
          <w:rFonts w:hAnsi="標楷體" w:hint="eastAsia"/>
          <w:b/>
        </w:rPr>
        <w:t>及時化解民怨；並</w:t>
      </w:r>
      <w:r w:rsidR="007408FA" w:rsidRPr="00A17BBE">
        <w:rPr>
          <w:rFonts w:hAnsi="標楷體" w:hint="eastAsia"/>
          <w:b/>
        </w:rPr>
        <w:t>應</w:t>
      </w:r>
      <w:r w:rsidR="00D25795" w:rsidRPr="00A17BBE">
        <w:rPr>
          <w:rFonts w:hAnsi="標楷體" w:hint="eastAsia"/>
          <w:b/>
        </w:rPr>
        <w:t>透過立法及預算程序，適時回應</w:t>
      </w:r>
      <w:r w:rsidR="007408FA" w:rsidRPr="00A17BBE">
        <w:rPr>
          <w:rFonts w:hAnsi="標楷體" w:hint="eastAsia"/>
          <w:b/>
        </w:rPr>
        <w:t>合法之</w:t>
      </w:r>
      <w:r w:rsidR="00D25795" w:rsidRPr="00A17BBE">
        <w:rPr>
          <w:rFonts w:hAnsi="標楷體" w:hint="eastAsia"/>
          <w:b/>
        </w:rPr>
        <w:t>民意需求，以維護憲政民主秩序與法治權威：</w:t>
      </w:r>
    </w:p>
    <w:p w:rsidR="00B72A4F" w:rsidRPr="00F64788" w:rsidRDefault="00CA5AB4" w:rsidP="00336F4D">
      <w:pPr>
        <w:pStyle w:val="3"/>
        <w:rPr>
          <w:rFonts w:hAnsi="標楷體"/>
        </w:rPr>
      </w:pPr>
      <w:r>
        <w:rPr>
          <w:rFonts w:hAnsi="標楷體" w:hint="eastAsia"/>
        </w:rPr>
        <w:lastRenderedPageBreak/>
        <w:t>近期從</w:t>
      </w:r>
      <w:r w:rsidR="00314B78" w:rsidRPr="00F64788">
        <w:rPr>
          <w:rFonts w:hAnsi="標楷體" w:hint="eastAsia"/>
        </w:rPr>
        <w:t>「</w:t>
      </w:r>
      <w:r>
        <w:rPr>
          <w:rFonts w:hAnsi="標楷體" w:hint="eastAsia"/>
        </w:rPr>
        <w:t>318</w:t>
      </w:r>
      <w:proofErr w:type="gramStart"/>
      <w:r w:rsidR="00513F0B" w:rsidRPr="00F64788">
        <w:rPr>
          <w:rFonts w:hAnsi="標楷體"/>
        </w:rPr>
        <w:t>反服貿</w:t>
      </w:r>
      <w:proofErr w:type="gramEnd"/>
      <w:r w:rsidR="00C9481F">
        <w:rPr>
          <w:rFonts w:hAnsi="標楷體" w:hint="eastAsia"/>
        </w:rPr>
        <w:t>」</w:t>
      </w:r>
      <w:r w:rsidR="00513F0B" w:rsidRPr="00F64788">
        <w:rPr>
          <w:rFonts w:hAnsi="標楷體"/>
        </w:rPr>
        <w:t>學生占領立法院，</w:t>
      </w:r>
      <w:r>
        <w:rPr>
          <w:rFonts w:hAnsi="標楷體" w:hint="eastAsia"/>
        </w:rPr>
        <w:t>以迄</w:t>
      </w:r>
      <w:r w:rsidR="00C61839" w:rsidRPr="00F64788">
        <w:rPr>
          <w:rFonts w:hAnsi="標楷體" w:hint="eastAsia"/>
        </w:rPr>
        <w:t>4</w:t>
      </w:r>
      <w:r w:rsidR="00513F0B" w:rsidRPr="00F64788">
        <w:rPr>
          <w:rFonts w:hAnsi="標楷體" w:hint="eastAsia"/>
        </w:rPr>
        <w:t>月25日至29日</w:t>
      </w:r>
      <w:r w:rsidR="00513F0B" w:rsidRPr="00F64788">
        <w:rPr>
          <w:rFonts w:hAnsi="標楷體"/>
        </w:rPr>
        <w:t>反核四民眾</w:t>
      </w:r>
      <w:proofErr w:type="gramStart"/>
      <w:r w:rsidR="00513F0B" w:rsidRPr="00F64788">
        <w:rPr>
          <w:rFonts w:hAnsi="標楷體"/>
        </w:rPr>
        <w:t>游擊式的街頭</w:t>
      </w:r>
      <w:proofErr w:type="gramEnd"/>
      <w:r w:rsidR="00513F0B" w:rsidRPr="00F64788">
        <w:rPr>
          <w:rFonts w:hAnsi="標楷體"/>
        </w:rPr>
        <w:t>運動，</w:t>
      </w:r>
      <w:r>
        <w:rPr>
          <w:rFonts w:hAnsi="標楷體" w:hint="eastAsia"/>
        </w:rPr>
        <w:t>引致</w:t>
      </w:r>
      <w:r w:rsidR="00513F0B" w:rsidRPr="00F64788">
        <w:rPr>
          <w:rFonts w:hAnsi="標楷體"/>
        </w:rPr>
        <w:t>政治與社會衝突</w:t>
      </w:r>
      <w:r w:rsidR="00391952" w:rsidRPr="003A29F6">
        <w:rPr>
          <w:rFonts w:hAnsi="標楷體" w:hint="eastAsia"/>
        </w:rPr>
        <w:t>愈趨激烈</w:t>
      </w:r>
      <w:r w:rsidR="00513F0B" w:rsidRPr="00F64788">
        <w:rPr>
          <w:rFonts w:hAnsi="標楷體" w:hint="eastAsia"/>
        </w:rPr>
        <w:t>。</w:t>
      </w:r>
      <w:r w:rsidR="00314B78" w:rsidRPr="00F64788">
        <w:rPr>
          <w:rFonts w:hAnsi="標楷體" w:hint="eastAsia"/>
        </w:rPr>
        <w:t>然</w:t>
      </w:r>
      <w:r w:rsidR="00513F0B" w:rsidRPr="00F64788">
        <w:rPr>
          <w:rFonts w:hAnsi="標楷體" w:hint="eastAsia"/>
        </w:rPr>
        <w:t>兩者</w:t>
      </w:r>
      <w:r w:rsidR="00513F0B" w:rsidRPr="00F64788">
        <w:rPr>
          <w:rFonts w:hAnsi="標楷體"/>
        </w:rPr>
        <w:t>最明顯的對照，</w:t>
      </w:r>
      <w:r w:rsidR="003A29F6">
        <w:rPr>
          <w:rFonts w:hAnsi="標楷體" w:hint="eastAsia"/>
        </w:rPr>
        <w:t>要</w:t>
      </w:r>
      <w:r w:rsidR="00513F0B" w:rsidRPr="003A29F6">
        <w:rPr>
          <w:rFonts w:hAnsi="標楷體" w:hint="eastAsia"/>
        </w:rPr>
        <w:t>以</w:t>
      </w:r>
      <w:r w:rsidR="00513F0B" w:rsidRPr="00F64788">
        <w:rPr>
          <w:rFonts w:hAnsi="標楷體"/>
        </w:rPr>
        <w:t>太陽</w:t>
      </w:r>
      <w:proofErr w:type="gramStart"/>
      <w:r w:rsidR="00513F0B" w:rsidRPr="00F64788">
        <w:rPr>
          <w:rFonts w:hAnsi="標楷體"/>
        </w:rPr>
        <w:t>花學運訴</w:t>
      </w:r>
      <w:proofErr w:type="gramEnd"/>
      <w:r w:rsidR="00513F0B" w:rsidRPr="00F64788">
        <w:rPr>
          <w:rFonts w:hAnsi="標楷體"/>
        </w:rPr>
        <w:t>求「</w:t>
      </w:r>
      <w:proofErr w:type="gramStart"/>
      <w:r w:rsidR="00513F0B" w:rsidRPr="00F64788">
        <w:rPr>
          <w:rFonts w:hAnsi="標楷體"/>
        </w:rPr>
        <w:t>反服貿</w:t>
      </w:r>
      <w:proofErr w:type="gramEnd"/>
      <w:r w:rsidR="00513F0B" w:rsidRPr="00F64788">
        <w:rPr>
          <w:rFonts w:hAnsi="標楷體"/>
        </w:rPr>
        <w:t>」，卻以占領立法院為手段，目的是「不讓你開會」，長達</w:t>
      </w:r>
      <w:r w:rsidR="00513F0B" w:rsidRPr="00F64788">
        <w:rPr>
          <w:rFonts w:hAnsi="標楷體" w:hint="eastAsia"/>
        </w:rPr>
        <w:t>24日</w:t>
      </w:r>
      <w:r w:rsidR="00513F0B" w:rsidRPr="00F64788">
        <w:rPr>
          <w:rFonts w:hAnsi="標楷體"/>
        </w:rPr>
        <w:t>。而</w:t>
      </w:r>
      <w:r w:rsidR="00513F0B" w:rsidRPr="00F64788">
        <w:rPr>
          <w:rFonts w:hAnsi="標楷體" w:hint="eastAsia"/>
        </w:rPr>
        <w:t>此</w:t>
      </w:r>
      <w:r w:rsidR="00513F0B" w:rsidRPr="00F64788">
        <w:rPr>
          <w:rFonts w:hAnsi="標楷體"/>
        </w:rPr>
        <w:t>波以「公投</w:t>
      </w:r>
      <w:r w:rsidR="00C9481F">
        <w:rPr>
          <w:rFonts w:hAnsi="標楷體" w:hint="eastAsia"/>
        </w:rPr>
        <w:t>護臺灣聯</w:t>
      </w:r>
      <w:r w:rsidR="00513F0B" w:rsidRPr="00F64788">
        <w:rPr>
          <w:rFonts w:hAnsi="標楷體"/>
        </w:rPr>
        <w:t>盟」成員為主的反核行動，其運用的手段卻是包圍立法院，限制立法委員</w:t>
      </w:r>
      <w:r w:rsidR="00513F0B" w:rsidRPr="00F64788">
        <w:rPr>
          <w:rFonts w:hAnsi="標楷體" w:hint="eastAsia"/>
        </w:rPr>
        <w:t>與</w:t>
      </w:r>
      <w:r w:rsidR="00513F0B" w:rsidRPr="00F64788">
        <w:rPr>
          <w:rFonts w:hAnsi="標楷體"/>
        </w:rPr>
        <w:t>行政官員進出，</w:t>
      </w:r>
      <w:r w:rsidR="00513F0B" w:rsidRPr="00F64788">
        <w:rPr>
          <w:rFonts w:hAnsi="標楷體" w:hint="eastAsia"/>
        </w:rPr>
        <w:t>欲將渠等</w:t>
      </w:r>
      <w:r w:rsidR="00513F0B" w:rsidRPr="00F64788">
        <w:rPr>
          <w:rFonts w:hAnsi="標楷體"/>
        </w:rPr>
        <w:t>關在立法院內「強迫你開會」，希望達成廢核目標</w:t>
      </w:r>
      <w:r w:rsidR="00513F0B" w:rsidRPr="00F64788">
        <w:rPr>
          <w:rFonts w:hAnsi="標楷體" w:hint="eastAsia"/>
        </w:rPr>
        <w:t>。</w:t>
      </w:r>
      <w:r w:rsidR="00C61839" w:rsidRPr="00F64788">
        <w:rPr>
          <w:rFonts w:hAnsi="標楷體"/>
        </w:rPr>
        <w:t>「不讓你開會」，是透過占領手段強迫國會停止運作；「強迫你開會」，是對立委進行威嚇及人身強制，要對方依自己的要求通過法案</w:t>
      </w:r>
      <w:r w:rsidR="00C61839" w:rsidRPr="00F64788">
        <w:rPr>
          <w:rFonts w:hAnsi="標楷體" w:hint="eastAsia"/>
        </w:rPr>
        <w:t>。</w:t>
      </w:r>
      <w:r w:rsidR="00C61839" w:rsidRPr="00C9481F">
        <w:rPr>
          <w:vertAlign w:val="superscript"/>
        </w:rPr>
        <w:footnoteReference w:id="1"/>
      </w:r>
      <w:r w:rsidR="00C61839" w:rsidRPr="00F64788">
        <w:rPr>
          <w:rFonts w:hAnsi="標楷體"/>
        </w:rPr>
        <w:t>採取占據國會或對國會議員進行包圍威脅的方式，以達成自己的訴求，</w:t>
      </w:r>
      <w:r w:rsidR="00C61839" w:rsidRPr="00F64788">
        <w:rPr>
          <w:rFonts w:hAnsi="標楷體" w:hint="eastAsia"/>
        </w:rPr>
        <w:t>顯係</w:t>
      </w:r>
      <w:r w:rsidR="00C61839" w:rsidRPr="00F64788">
        <w:rPr>
          <w:rFonts w:hAnsi="標楷體"/>
        </w:rPr>
        <w:t>「反民主」</w:t>
      </w:r>
      <w:r w:rsidR="00C9481F">
        <w:rPr>
          <w:rFonts w:hAnsi="標楷體" w:hint="eastAsia"/>
        </w:rPr>
        <w:t>類同</w:t>
      </w:r>
      <w:r w:rsidR="00C9481F" w:rsidRPr="00EF661E">
        <w:rPr>
          <w:rFonts w:hAnsi="標楷體" w:hint="eastAsia"/>
          <w:color w:val="FF0000"/>
        </w:rPr>
        <w:t>叛亂</w:t>
      </w:r>
      <w:r w:rsidR="00EF661E" w:rsidRPr="00EF661E">
        <w:rPr>
          <w:rFonts w:hAnsi="標楷體" w:hint="eastAsia"/>
          <w:color w:val="FF0000"/>
        </w:rPr>
        <w:t>民兵</w:t>
      </w:r>
      <w:r w:rsidR="00C61839" w:rsidRPr="00F64788">
        <w:rPr>
          <w:rFonts w:hAnsi="標楷體"/>
        </w:rPr>
        <w:t>行</w:t>
      </w:r>
      <w:r w:rsidR="00C9481F">
        <w:rPr>
          <w:rFonts w:hAnsi="標楷體" w:hint="eastAsia"/>
        </w:rPr>
        <w:t>徑</w:t>
      </w:r>
      <w:r w:rsidR="00EF661E" w:rsidRPr="00EF661E">
        <w:rPr>
          <w:rFonts w:hAnsi="標楷體" w:hint="eastAsia"/>
          <w:color w:val="FF0000"/>
        </w:rPr>
        <w:t>，</w:t>
      </w:r>
      <w:r w:rsidR="00C61839" w:rsidRPr="00F64788">
        <w:rPr>
          <w:rFonts w:hAnsi="標楷體"/>
        </w:rPr>
        <w:t>對持不同意見的人毫無尊重，也踐踏了</w:t>
      </w:r>
      <w:r w:rsidR="00C61839" w:rsidRPr="00F64788">
        <w:rPr>
          <w:rFonts w:hAnsi="標楷體" w:hint="eastAsia"/>
        </w:rPr>
        <w:t>臺</w:t>
      </w:r>
      <w:r w:rsidR="00C61839" w:rsidRPr="00F64788">
        <w:rPr>
          <w:rFonts w:hAnsi="標楷體"/>
        </w:rPr>
        <w:t>灣民主體制已經建立的</w:t>
      </w:r>
      <w:r w:rsidR="00EF661E">
        <w:rPr>
          <w:rFonts w:hAnsi="標楷體" w:hint="eastAsia"/>
          <w:color w:val="FF0000"/>
        </w:rPr>
        <w:t>憲政法制</w:t>
      </w:r>
      <w:r w:rsidR="00C61839" w:rsidRPr="00F64788">
        <w:rPr>
          <w:rFonts w:hAnsi="標楷體"/>
        </w:rPr>
        <w:t>、代議政治和公投程序。</w:t>
      </w:r>
      <w:r w:rsidR="00C61839" w:rsidRPr="00F64788">
        <w:rPr>
          <w:rFonts w:hAnsi="標楷體" w:hint="eastAsia"/>
        </w:rPr>
        <w:t>此種情形尤其</w:t>
      </w:r>
      <w:r w:rsidR="00C61839" w:rsidRPr="00F64788">
        <w:rPr>
          <w:rFonts w:hAnsi="標楷體"/>
        </w:rPr>
        <w:t>令人感到憂心</w:t>
      </w:r>
      <w:r w:rsidR="00C9481F">
        <w:rPr>
          <w:rFonts w:hAnsi="標楷體" w:hint="eastAsia"/>
        </w:rPr>
        <w:t>：</w:t>
      </w:r>
      <w:r w:rsidR="00C61839" w:rsidRPr="00F64788">
        <w:rPr>
          <w:rFonts w:hAnsi="標楷體"/>
        </w:rPr>
        <w:t>第一，「游擊式」的抗議與襲擊，容易引爆衝突，危及不特定民眾的安全。第二，在情緒交互感染下，示威者容易自以為是正義化身，進而在街頭「獵</w:t>
      </w:r>
      <w:proofErr w:type="gramStart"/>
      <w:r w:rsidR="00C61839" w:rsidRPr="00F64788">
        <w:rPr>
          <w:rFonts w:hAnsi="標楷體"/>
        </w:rPr>
        <w:t>巫</w:t>
      </w:r>
      <w:proofErr w:type="gramEnd"/>
      <w:r w:rsidR="00C61839" w:rsidRPr="00F64788">
        <w:rPr>
          <w:rFonts w:hAnsi="標楷體"/>
        </w:rPr>
        <w:t>」，對不同立場的人表達敵意。第三，街頭群眾一面倒的情緒</w:t>
      </w:r>
      <w:r w:rsidR="00EF661E">
        <w:rPr>
          <w:rFonts w:hAnsi="標楷體" w:hint="eastAsia"/>
          <w:color w:val="FF0000"/>
        </w:rPr>
        <w:t>發洩</w:t>
      </w:r>
      <w:r w:rsidR="00C61839" w:rsidRPr="00F64788">
        <w:rPr>
          <w:rFonts w:hAnsi="標楷體"/>
        </w:rPr>
        <w:t>，容易被過度放大，更不利於社會的理性對話。第四，政府若一直無法回應或處理街頭的躁動，不僅國家政務無法推動，也讓沉默的大眾為社會失序感到惴惴不安，甚至覺得進入了無政府狀態。</w:t>
      </w:r>
      <w:r w:rsidR="00C9481F">
        <w:rPr>
          <w:rStyle w:val="af5"/>
          <w:rFonts w:hAnsi="標楷體"/>
        </w:rPr>
        <w:footnoteReference w:id="2"/>
      </w:r>
    </w:p>
    <w:p w:rsidR="00814F1B" w:rsidRPr="00F64788" w:rsidRDefault="00314B78" w:rsidP="00336F4D">
      <w:pPr>
        <w:pStyle w:val="3"/>
      </w:pPr>
      <w:r w:rsidRPr="00F64788">
        <w:rPr>
          <w:rFonts w:hAnsi="標楷體" w:hint="eastAsia"/>
        </w:rPr>
        <w:t>民主政治制度下的自由與法治，是一體兩面。只有自由而無法治，將會淪為混亂的暴民社會；只有法治而無自由，則會成為獨裁專制</w:t>
      </w:r>
      <w:r w:rsidR="000D1F74" w:rsidRPr="000D1F74">
        <w:rPr>
          <w:rFonts w:hAnsi="標楷體" w:hint="eastAsia"/>
          <w:color w:val="FF0000"/>
        </w:rPr>
        <w:t>國家</w:t>
      </w:r>
      <w:r w:rsidRPr="00F64788">
        <w:rPr>
          <w:rFonts w:hAnsi="標楷體" w:hint="eastAsia"/>
        </w:rPr>
        <w:t>。</w:t>
      </w:r>
      <w:r w:rsidR="00FE7228" w:rsidRPr="00F64788">
        <w:rPr>
          <w:rFonts w:hAnsi="標楷體" w:hint="eastAsia"/>
        </w:rPr>
        <w:t>反</w:t>
      </w:r>
      <w:r w:rsidR="00EC686F" w:rsidRPr="00F64788">
        <w:rPr>
          <w:rFonts w:hAnsi="標楷體"/>
        </w:rPr>
        <w:t>核四</w:t>
      </w:r>
      <w:r w:rsidR="00FE7228" w:rsidRPr="00F64788">
        <w:rPr>
          <w:rFonts w:hAnsi="標楷體" w:hint="eastAsia"/>
        </w:rPr>
        <w:t>主張</w:t>
      </w:r>
      <w:r w:rsidR="00EC686F" w:rsidRPr="00F64788">
        <w:rPr>
          <w:rFonts w:hAnsi="標楷體"/>
        </w:rPr>
        <w:lastRenderedPageBreak/>
        <w:t>是民主社會應該公開討論、且允許有不同意見的公共議題</w:t>
      </w:r>
      <w:r w:rsidR="00F44E1B" w:rsidRPr="00F64788">
        <w:rPr>
          <w:rFonts w:hAnsi="標楷體" w:hint="eastAsia"/>
        </w:rPr>
        <w:t>，</w:t>
      </w:r>
      <w:r w:rsidR="00EC686F" w:rsidRPr="00F64788">
        <w:rPr>
          <w:rFonts w:hAnsi="標楷體"/>
        </w:rPr>
        <w:t>遇上歧見嚴重時要如何折衷，</w:t>
      </w:r>
      <w:r w:rsidR="00F44E1B" w:rsidRPr="00F64788">
        <w:rPr>
          <w:rFonts w:hAnsi="標楷體" w:hint="eastAsia"/>
        </w:rPr>
        <w:t>應</w:t>
      </w:r>
      <w:r w:rsidR="00EC686F" w:rsidRPr="00F64788">
        <w:rPr>
          <w:rFonts w:hAnsi="標楷體"/>
        </w:rPr>
        <w:t>經由國會代議的辯論、角力、表決等方式解決，或者透過更直接的公民投票決定。但</w:t>
      </w:r>
      <w:r w:rsidR="00FE7228" w:rsidRPr="00F64788">
        <w:rPr>
          <w:rFonts w:hAnsi="標楷體" w:hint="eastAsia"/>
        </w:rPr>
        <w:t>上揭三次</w:t>
      </w:r>
      <w:r w:rsidR="00EC686F" w:rsidRPr="00F64788">
        <w:rPr>
          <w:rFonts w:hAnsi="標楷體"/>
        </w:rPr>
        <w:t>街頭的抗爭者，卻企圖剝奪這些議題的討論空間，用群眾上街的方式</w:t>
      </w:r>
      <w:proofErr w:type="gramStart"/>
      <w:r w:rsidR="00EC686F" w:rsidRPr="00F64788">
        <w:rPr>
          <w:rFonts w:hAnsi="標楷體"/>
        </w:rPr>
        <w:t>來凌壓</w:t>
      </w:r>
      <w:proofErr w:type="gramEnd"/>
      <w:r w:rsidR="00EC686F" w:rsidRPr="00F64788">
        <w:rPr>
          <w:rFonts w:hAnsi="標楷體"/>
        </w:rPr>
        <w:t>反對者的意見，甚至要求他人必須表態選邊，</w:t>
      </w:r>
      <w:r w:rsidR="00F44E1B" w:rsidRPr="00F64788">
        <w:rPr>
          <w:rFonts w:hAnsi="標楷體" w:hint="eastAsia"/>
        </w:rPr>
        <w:t>使得他</w:t>
      </w:r>
      <w:r w:rsidR="00EC686F" w:rsidRPr="00F64788">
        <w:rPr>
          <w:rFonts w:hAnsi="標楷體"/>
        </w:rPr>
        <w:t>人「不表達意見」的自由都</w:t>
      </w:r>
      <w:r w:rsidR="00FE7228" w:rsidRPr="00F64788">
        <w:rPr>
          <w:rFonts w:hAnsi="標楷體" w:hint="eastAsia"/>
        </w:rPr>
        <w:t>已然</w:t>
      </w:r>
      <w:r w:rsidR="00EC686F" w:rsidRPr="00F64788">
        <w:rPr>
          <w:rFonts w:hAnsi="標楷體"/>
        </w:rPr>
        <w:t>失去。</w:t>
      </w:r>
      <w:r w:rsidRPr="00F64788">
        <w:rPr>
          <w:rFonts w:hAnsi="標楷體" w:hint="eastAsia"/>
        </w:rPr>
        <w:t>近期國內的群眾運動，印證了「破窗理論」所產生的負面效應不容小覷。自「</w:t>
      </w:r>
      <w:r w:rsidR="00A246DC">
        <w:rPr>
          <w:rFonts w:hAnsi="標楷體" w:hint="eastAsia"/>
        </w:rPr>
        <w:t>318</w:t>
      </w:r>
      <w:r w:rsidR="00A246DC" w:rsidRPr="00F64788">
        <w:rPr>
          <w:rFonts w:hAnsi="標楷體" w:hint="eastAsia"/>
        </w:rPr>
        <w:t>學運</w:t>
      </w:r>
      <w:r w:rsidRPr="00F64788">
        <w:rPr>
          <w:rFonts w:hAnsi="標楷體" w:hint="eastAsia"/>
        </w:rPr>
        <w:t>」部分大學生</w:t>
      </w:r>
      <w:r w:rsidR="00A246DC">
        <w:rPr>
          <w:rFonts w:hAnsi="標楷體" w:hint="eastAsia"/>
        </w:rPr>
        <w:t>高舉</w:t>
      </w:r>
      <w:r w:rsidRPr="00F64788">
        <w:rPr>
          <w:rFonts w:hAnsi="標楷體" w:hint="eastAsia"/>
        </w:rPr>
        <w:t>「捍衛民主」</w:t>
      </w:r>
      <w:r w:rsidR="00A246DC">
        <w:rPr>
          <w:rFonts w:hAnsi="標楷體" w:hint="eastAsia"/>
        </w:rPr>
        <w:t>口號</w:t>
      </w:r>
      <w:r w:rsidR="0017656B">
        <w:rPr>
          <w:rFonts w:hAnsi="標楷體" w:hint="eastAsia"/>
        </w:rPr>
        <w:t>強占</w:t>
      </w:r>
      <w:r w:rsidRPr="00F64788">
        <w:rPr>
          <w:rFonts w:hAnsi="標楷體" w:hint="eastAsia"/>
        </w:rPr>
        <w:t>立法院後；接著有群眾「路過」包圍中正</w:t>
      </w:r>
      <w:r w:rsidR="004F6619">
        <w:rPr>
          <w:rFonts w:hAnsi="標楷體" w:hint="eastAsia"/>
        </w:rPr>
        <w:t>第</w:t>
      </w:r>
      <w:r w:rsidRPr="00F64788">
        <w:rPr>
          <w:rFonts w:hAnsi="標楷體" w:hint="eastAsia"/>
        </w:rPr>
        <w:t>一分局</w:t>
      </w:r>
      <w:r w:rsidR="00814F1B" w:rsidRPr="00F64788">
        <w:rPr>
          <w:rFonts w:hAnsi="標楷體" w:hint="eastAsia"/>
        </w:rPr>
        <w:t>；</w:t>
      </w:r>
      <w:r w:rsidR="00A246DC">
        <w:rPr>
          <w:rFonts w:hAnsi="標楷體" w:hint="eastAsia"/>
        </w:rPr>
        <w:t>此後</w:t>
      </w:r>
      <w:r w:rsidR="000D1F74">
        <w:rPr>
          <w:rFonts w:hAnsi="標楷體" w:hint="eastAsia"/>
        </w:rPr>
        <w:t>，</w:t>
      </w:r>
      <w:r w:rsidR="00A246DC">
        <w:rPr>
          <w:rFonts w:hAnsi="標楷體" w:hint="eastAsia"/>
        </w:rPr>
        <w:t>繼之</w:t>
      </w:r>
      <w:r w:rsidR="000D1F74">
        <w:rPr>
          <w:rFonts w:hAnsi="標楷體" w:hint="eastAsia"/>
        </w:rPr>
        <w:t>而</w:t>
      </w:r>
      <w:r w:rsidR="00A246DC">
        <w:rPr>
          <w:rFonts w:hAnsi="標楷體" w:hint="eastAsia"/>
        </w:rPr>
        <w:t>來</w:t>
      </w:r>
      <w:r w:rsidR="0017656B">
        <w:rPr>
          <w:rFonts w:hAnsi="標楷體" w:hint="eastAsia"/>
        </w:rPr>
        <w:t>是反核群眾包圍國會、霸占</w:t>
      </w:r>
      <w:r w:rsidRPr="00F64788">
        <w:rPr>
          <w:rFonts w:hAnsi="標楷體" w:hint="eastAsia"/>
        </w:rPr>
        <w:t>臺北市重要街道；甚至</w:t>
      </w:r>
      <w:r w:rsidR="00A246DC">
        <w:rPr>
          <w:rFonts w:hAnsi="標楷體" w:hint="eastAsia"/>
        </w:rPr>
        <w:t>有民眾</w:t>
      </w:r>
      <w:proofErr w:type="gramStart"/>
      <w:r w:rsidRPr="00F64788">
        <w:rPr>
          <w:rFonts w:hAnsi="標楷體" w:hint="eastAsia"/>
        </w:rPr>
        <w:t>利用臉書號召</w:t>
      </w:r>
      <w:proofErr w:type="gramEnd"/>
      <w:r w:rsidRPr="00F64788">
        <w:rPr>
          <w:rFonts w:hAnsi="標楷體" w:hint="eastAsia"/>
        </w:rPr>
        <w:t>網友，意圖串聯癱瘓臺北市捷運，侵害更多民眾行的權利，造成社會的動</w:t>
      </w:r>
      <w:proofErr w:type="gramStart"/>
      <w:r w:rsidRPr="00F64788">
        <w:rPr>
          <w:rFonts w:hAnsi="標楷體" w:hint="eastAsia"/>
        </w:rPr>
        <w:t>盪</w:t>
      </w:r>
      <w:proofErr w:type="gramEnd"/>
      <w:r w:rsidRPr="00F64788">
        <w:rPr>
          <w:rFonts w:hAnsi="標楷體" w:hint="eastAsia"/>
        </w:rPr>
        <w:t>不安。「破窗理論」強調面對不法者，多數民眾不能抱持事不關己的消極態度；唯有積極支持政府伸張公權力，社會才不至於長期陷入「民主逆流」，使多數人的權利反被少數人所綁架。</w:t>
      </w:r>
      <w:r w:rsidR="00336F4D" w:rsidRPr="00F64788">
        <w:rPr>
          <w:rFonts w:hAnsi="標楷體" w:hint="eastAsia"/>
        </w:rPr>
        <w:t>然因群眾運動發展樣態日趨複雜，且因</w:t>
      </w:r>
      <w:r w:rsidR="00A246DC">
        <w:rPr>
          <w:rFonts w:hAnsi="標楷體" w:hint="eastAsia"/>
        </w:rPr>
        <w:t>權責機關</w:t>
      </w:r>
      <w:r w:rsidR="00336F4D" w:rsidRPr="00F64788">
        <w:rPr>
          <w:rFonts w:hAnsi="標楷體" w:hint="eastAsia"/>
        </w:rPr>
        <w:t>無法適時制止</w:t>
      </w:r>
      <w:r w:rsidR="00A246DC">
        <w:rPr>
          <w:rFonts w:hAnsi="標楷體" w:hint="eastAsia"/>
        </w:rPr>
        <w:t>不法</w:t>
      </w:r>
      <w:r w:rsidR="00336F4D" w:rsidRPr="00F64788">
        <w:rPr>
          <w:rFonts w:hAnsi="標楷體" w:hint="eastAsia"/>
        </w:rPr>
        <w:t>脫序行為，立即繩之以法，導致</w:t>
      </w:r>
      <w:proofErr w:type="gramStart"/>
      <w:r w:rsidR="00336F4D" w:rsidRPr="00F64788">
        <w:rPr>
          <w:rFonts w:hAnsi="標楷體" w:hint="eastAsia"/>
        </w:rPr>
        <w:t>若干</w:t>
      </w:r>
      <w:r w:rsidR="00A246DC">
        <w:rPr>
          <w:rFonts w:hAnsi="標楷體" w:hint="eastAsia"/>
        </w:rPr>
        <w:t>陳抗</w:t>
      </w:r>
      <w:r w:rsidR="00336F4D" w:rsidRPr="00F64788">
        <w:rPr>
          <w:rFonts w:hAnsi="標楷體" w:hint="eastAsia"/>
        </w:rPr>
        <w:t>群眾</w:t>
      </w:r>
      <w:proofErr w:type="gramEnd"/>
      <w:r w:rsidR="00A246DC">
        <w:rPr>
          <w:rFonts w:hAnsi="標楷體" w:hint="eastAsia"/>
        </w:rPr>
        <w:t>氣焰日益猖獗，</w:t>
      </w:r>
      <w:r w:rsidR="00336F4D" w:rsidRPr="00F64788">
        <w:rPr>
          <w:rFonts w:hAnsi="標楷體" w:hint="eastAsia"/>
        </w:rPr>
        <w:t>甚至出現少數心存僥倖者「免費搭車」（free  rider）之違法行為。</w:t>
      </w:r>
      <w:r w:rsidR="00336F4D" w:rsidRPr="00F64788">
        <w:rPr>
          <w:rFonts w:hint="eastAsia"/>
        </w:rPr>
        <w:t>行政院</w:t>
      </w:r>
      <w:r w:rsidR="00814F1B" w:rsidRPr="00F64788">
        <w:rPr>
          <w:rFonts w:hint="eastAsia"/>
        </w:rPr>
        <w:t>除</w:t>
      </w:r>
      <w:r w:rsidR="00336F4D" w:rsidRPr="00F64788">
        <w:rPr>
          <w:rFonts w:hint="eastAsia"/>
        </w:rPr>
        <w:t>應結合檢察、警政、通傳、教育等相關機關，</w:t>
      </w:r>
      <w:r w:rsidR="00A246DC">
        <w:rPr>
          <w:rFonts w:hint="eastAsia"/>
        </w:rPr>
        <w:t>就</w:t>
      </w:r>
      <w:r w:rsidR="00336F4D" w:rsidRPr="00F64788">
        <w:rPr>
          <w:rFonts w:hint="eastAsia"/>
        </w:rPr>
        <w:t>群眾運動中「明顯而立即的危險」行動的相關處理措施，訂定標準作業處理程序。</w:t>
      </w:r>
      <w:r w:rsidR="00814F1B" w:rsidRPr="00F64788">
        <w:rPr>
          <w:rFonts w:hint="eastAsia"/>
        </w:rPr>
        <w:t>另行政院宜督導所屬參酌美國及西歐等國家處理類似群眾事件之先例，提出專案研究，以期消弭暴力衝突之危機於無形。</w:t>
      </w:r>
    </w:p>
    <w:p w:rsidR="00DD378E" w:rsidRPr="00F64788" w:rsidRDefault="00814F1B" w:rsidP="00336F4D">
      <w:pPr>
        <w:pStyle w:val="3"/>
      </w:pPr>
      <w:r w:rsidRPr="00F64788">
        <w:t>長期以來，一般民眾或許習慣</w:t>
      </w:r>
      <w:r w:rsidR="00A246DC">
        <w:rPr>
          <w:rFonts w:hint="eastAsia"/>
        </w:rPr>
        <w:t>於</w:t>
      </w:r>
      <w:r w:rsidRPr="00F64788">
        <w:t>政黨的吵鬧</w:t>
      </w:r>
      <w:r w:rsidRPr="00F64788">
        <w:rPr>
          <w:rFonts w:hint="eastAsia"/>
        </w:rPr>
        <w:t>爭執</w:t>
      </w:r>
      <w:r w:rsidRPr="00F64788">
        <w:t>；然而，當</w:t>
      </w:r>
      <w:r w:rsidR="00A246DC">
        <w:rPr>
          <w:rFonts w:hint="eastAsia"/>
        </w:rPr>
        <w:t>社會</w:t>
      </w:r>
      <w:r w:rsidRPr="00F64788">
        <w:t>年復一年</w:t>
      </w:r>
      <w:r w:rsidR="00EC727C">
        <w:rPr>
          <w:rFonts w:hint="eastAsia"/>
        </w:rPr>
        <w:t>沈淪在相</w:t>
      </w:r>
      <w:r w:rsidRPr="00F64788">
        <w:t>同議題</w:t>
      </w:r>
      <w:r w:rsidRPr="00F64788">
        <w:rPr>
          <w:rFonts w:hint="eastAsia"/>
        </w:rPr>
        <w:t>紛擾不休</w:t>
      </w:r>
      <w:r w:rsidR="00EC727C">
        <w:rPr>
          <w:rFonts w:hint="eastAsia"/>
        </w:rPr>
        <w:t>，</w:t>
      </w:r>
      <w:r w:rsidRPr="00F64788">
        <w:t>卻始終</w:t>
      </w:r>
      <w:r w:rsidR="00EC727C">
        <w:rPr>
          <w:rFonts w:hint="eastAsia"/>
        </w:rPr>
        <w:t>無法</w:t>
      </w:r>
      <w:r w:rsidRPr="00F64788">
        <w:t>找出解決途徑，</w:t>
      </w:r>
      <w:r w:rsidR="00EC727C">
        <w:rPr>
          <w:rFonts w:hint="eastAsia"/>
        </w:rPr>
        <w:t>終將使得</w:t>
      </w:r>
      <w:proofErr w:type="gramStart"/>
      <w:r w:rsidRPr="00F64788">
        <w:rPr>
          <w:rFonts w:hint="eastAsia"/>
        </w:rPr>
        <w:t>群眾陳抗運動</w:t>
      </w:r>
      <w:proofErr w:type="gramEnd"/>
      <w:r w:rsidRPr="00F64788">
        <w:lastRenderedPageBreak/>
        <w:t>四起，</w:t>
      </w:r>
      <w:r w:rsidR="00EC727C">
        <w:rPr>
          <w:rFonts w:hint="eastAsia"/>
        </w:rPr>
        <w:t>此可歸因</w:t>
      </w:r>
      <w:r w:rsidRPr="00F64788">
        <w:t>於</w:t>
      </w:r>
      <w:r w:rsidR="00CA0BFB">
        <w:rPr>
          <w:rFonts w:hint="eastAsia"/>
          <w:color w:val="FF0000"/>
        </w:rPr>
        <w:t>制衡機制</w:t>
      </w:r>
      <w:r w:rsidRPr="00F64788">
        <w:t>內機構遲遲無法解決國家的政策</w:t>
      </w:r>
      <w:r w:rsidR="00CA0BFB">
        <w:rPr>
          <w:rFonts w:hint="eastAsia"/>
          <w:color w:val="FF0000"/>
        </w:rPr>
        <w:t>紛爭</w:t>
      </w:r>
      <w:r w:rsidRPr="00F64788">
        <w:t>，民眾感到不耐</w:t>
      </w:r>
      <w:r w:rsidRPr="00F64788">
        <w:rPr>
          <w:rFonts w:hint="eastAsia"/>
        </w:rPr>
        <w:t>方</w:t>
      </w:r>
      <w:r w:rsidRPr="00F64788">
        <w:t>才走向街頭。</w:t>
      </w:r>
      <w:r w:rsidR="003A29F6">
        <w:rPr>
          <w:rFonts w:hint="eastAsia"/>
        </w:rPr>
        <w:t>此</w:t>
      </w:r>
      <w:r w:rsidRPr="00F64788">
        <w:t>包括行政部門的</w:t>
      </w:r>
      <w:proofErr w:type="gramStart"/>
      <w:r w:rsidRPr="00F64788">
        <w:t>荏</w:t>
      </w:r>
      <w:proofErr w:type="gramEnd"/>
      <w:r w:rsidRPr="00F64788">
        <w:t>弱消極、立法部門的僵峙癱瘓、</w:t>
      </w:r>
      <w:r w:rsidRPr="00F64788">
        <w:rPr>
          <w:rFonts w:hint="eastAsia"/>
        </w:rPr>
        <w:t>政黨間無</w:t>
      </w:r>
      <w:r w:rsidRPr="00CA0BFB">
        <w:rPr>
          <w:rFonts w:hint="eastAsia"/>
        </w:rPr>
        <w:t>止境的惡鬥</w:t>
      </w:r>
      <w:r w:rsidRPr="00CA0BFB">
        <w:t>，在</w:t>
      </w:r>
      <w:proofErr w:type="gramStart"/>
      <w:r w:rsidRPr="00CA0BFB">
        <w:t>在</w:t>
      </w:r>
      <w:proofErr w:type="gramEnd"/>
      <w:r w:rsidRPr="00CA0BFB">
        <w:t>顯示政府失能</w:t>
      </w:r>
      <w:r w:rsidR="00CA0BFB">
        <w:rPr>
          <w:rFonts w:hint="eastAsia"/>
          <w:color w:val="FF0000"/>
        </w:rPr>
        <w:t>的困境</w:t>
      </w:r>
      <w:r w:rsidRPr="00CA0BFB">
        <w:t>。</w:t>
      </w:r>
      <w:r w:rsidR="00314B78" w:rsidRPr="00CA0BFB">
        <w:rPr>
          <w:rFonts w:hint="eastAsia"/>
        </w:rPr>
        <w:t>根本之途，</w:t>
      </w:r>
      <w:r w:rsidR="00DD378E" w:rsidRPr="00CA0BFB">
        <w:rPr>
          <w:rFonts w:hint="eastAsia"/>
        </w:rPr>
        <w:t>對於民眾</w:t>
      </w:r>
      <w:r w:rsidR="00D44D1E" w:rsidRPr="00CA0BFB">
        <w:rPr>
          <w:rFonts w:hint="eastAsia"/>
        </w:rPr>
        <w:t>和平參與行動及合法之</w:t>
      </w:r>
      <w:r w:rsidR="00DD378E" w:rsidRPr="00CA0BFB">
        <w:rPr>
          <w:rFonts w:hint="eastAsia"/>
        </w:rPr>
        <w:t>民主訴求，行政院</w:t>
      </w:r>
      <w:r w:rsidR="00B72A4F" w:rsidRPr="00CA0BFB">
        <w:rPr>
          <w:rFonts w:hint="eastAsia"/>
        </w:rPr>
        <w:t>宜</w:t>
      </w:r>
      <w:r w:rsidR="007408FA" w:rsidRPr="00CA0BFB">
        <w:rPr>
          <w:rFonts w:hint="eastAsia"/>
        </w:rPr>
        <w:t>積極</w:t>
      </w:r>
      <w:r w:rsidR="00DD378E" w:rsidRPr="00CA0BFB">
        <w:rPr>
          <w:rFonts w:hint="eastAsia"/>
        </w:rPr>
        <w:t>應對，</w:t>
      </w:r>
      <w:r w:rsidR="00CA0BFB">
        <w:rPr>
          <w:rFonts w:hint="eastAsia"/>
          <w:color w:val="FF0000"/>
        </w:rPr>
        <w:t>儘速</w:t>
      </w:r>
      <w:r w:rsidR="00DD378E" w:rsidRPr="00CA0BFB">
        <w:rPr>
          <w:rFonts w:hint="eastAsia"/>
        </w:rPr>
        <w:t>採取相關行政措施，</w:t>
      </w:r>
      <w:r w:rsidR="007408FA" w:rsidRPr="00CA0BFB">
        <w:rPr>
          <w:rFonts w:hint="eastAsia"/>
        </w:rPr>
        <w:t>以</w:t>
      </w:r>
      <w:r w:rsidR="00D44D1E" w:rsidRPr="00CA0BFB">
        <w:rPr>
          <w:rFonts w:hint="eastAsia"/>
        </w:rPr>
        <w:t>及時</w:t>
      </w:r>
      <w:r w:rsidR="00DD378E" w:rsidRPr="00CA0BFB">
        <w:rPr>
          <w:rFonts w:hint="eastAsia"/>
        </w:rPr>
        <w:t>化解民怨；並</w:t>
      </w:r>
      <w:r w:rsidR="007408FA" w:rsidRPr="00CA0BFB">
        <w:rPr>
          <w:rFonts w:hint="eastAsia"/>
        </w:rPr>
        <w:t>應</w:t>
      </w:r>
      <w:r w:rsidR="00DD378E" w:rsidRPr="00CA0BFB">
        <w:rPr>
          <w:rFonts w:hint="eastAsia"/>
        </w:rPr>
        <w:t>透過立法及預算程序，適時</w:t>
      </w:r>
      <w:r w:rsidR="007408FA" w:rsidRPr="00CA0BFB">
        <w:rPr>
          <w:rFonts w:hAnsi="標楷體" w:hint="eastAsia"/>
        </w:rPr>
        <w:t>回應合法之</w:t>
      </w:r>
      <w:r w:rsidR="00DD378E" w:rsidRPr="00CA0BFB">
        <w:rPr>
          <w:rFonts w:hint="eastAsia"/>
        </w:rPr>
        <w:t>民意需求，以維護憲政民主</w:t>
      </w:r>
      <w:r w:rsidR="00D44D1E" w:rsidRPr="00CA0BFB">
        <w:rPr>
          <w:rFonts w:hint="eastAsia"/>
        </w:rPr>
        <w:t>秩序與法治</w:t>
      </w:r>
      <w:r w:rsidR="00DD378E" w:rsidRPr="00CA0BFB">
        <w:rPr>
          <w:rFonts w:hint="eastAsia"/>
        </w:rPr>
        <w:t>權威，此係解決民怨、化解群眾運動激進化發展根本之途，若僅憑藉警力維持公共秩序，終</w:t>
      </w:r>
      <w:r w:rsidR="00EC727C" w:rsidRPr="00CA0BFB">
        <w:rPr>
          <w:rFonts w:hint="eastAsia"/>
        </w:rPr>
        <w:t>必</w:t>
      </w:r>
      <w:r w:rsidR="00DD378E" w:rsidRPr="00CA0BFB">
        <w:rPr>
          <w:rFonts w:hint="eastAsia"/>
        </w:rPr>
        <w:t>備多力分，</w:t>
      </w:r>
      <w:r w:rsidR="00665D81" w:rsidRPr="00F64788">
        <w:rPr>
          <w:rFonts w:hint="eastAsia"/>
        </w:rPr>
        <w:t>勢將</w:t>
      </w:r>
      <w:r w:rsidR="00DD378E" w:rsidRPr="00F64788">
        <w:rPr>
          <w:rFonts w:hint="eastAsia"/>
        </w:rPr>
        <w:t>導致警力嚴重耗竭，且不利自由民主秩序之維持</w:t>
      </w:r>
      <w:r w:rsidR="00336F4D" w:rsidRPr="00F64788">
        <w:rPr>
          <w:rFonts w:hint="eastAsia"/>
        </w:rPr>
        <w:t>。</w:t>
      </w:r>
    </w:p>
    <w:bookmarkEnd w:id="22"/>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rsidR="00255E08" w:rsidRPr="00F64788" w:rsidRDefault="00A6287E" w:rsidP="00A6287E">
      <w:pPr>
        <w:pStyle w:val="1"/>
        <w:numPr>
          <w:ilvl w:val="0"/>
          <w:numId w:val="0"/>
        </w:numPr>
        <w:rPr>
          <w:rFonts w:hAnsi="標楷體"/>
          <w:bCs w:val="0"/>
        </w:rPr>
      </w:pPr>
      <w:r w:rsidRPr="00F64788">
        <w:rPr>
          <w:rFonts w:hAnsi="標楷體"/>
          <w:bCs w:val="0"/>
        </w:rPr>
        <w:t xml:space="preserve"> </w:t>
      </w:r>
    </w:p>
    <w:sectPr w:rsidR="00255E08" w:rsidRPr="00F64788" w:rsidSect="00553CB9">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186" w:rsidRDefault="00860186" w:rsidP="00255E08">
      <w:r>
        <w:separator/>
      </w:r>
    </w:p>
  </w:endnote>
  <w:endnote w:type="continuationSeparator" w:id="0">
    <w:p w:rsidR="00860186" w:rsidRDefault="00860186" w:rsidP="00255E0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56B" w:rsidRDefault="00FB1593">
    <w:pPr>
      <w:pStyle w:val="ae"/>
      <w:framePr w:wrap="around" w:vAnchor="text" w:hAnchor="margin" w:xAlign="center" w:y="1"/>
      <w:rPr>
        <w:rStyle w:val="a7"/>
        <w:sz w:val="24"/>
      </w:rPr>
    </w:pPr>
    <w:r>
      <w:rPr>
        <w:rStyle w:val="a7"/>
        <w:sz w:val="24"/>
      </w:rPr>
      <w:fldChar w:fldCharType="begin"/>
    </w:r>
    <w:r w:rsidR="0017656B">
      <w:rPr>
        <w:rStyle w:val="a7"/>
        <w:sz w:val="24"/>
      </w:rPr>
      <w:instrText xml:space="preserve">PAGE  </w:instrText>
    </w:r>
    <w:r>
      <w:rPr>
        <w:rStyle w:val="a7"/>
        <w:sz w:val="24"/>
      </w:rPr>
      <w:fldChar w:fldCharType="separate"/>
    </w:r>
    <w:r w:rsidR="00893D79">
      <w:rPr>
        <w:rStyle w:val="a7"/>
        <w:noProof/>
        <w:sz w:val="24"/>
      </w:rPr>
      <w:t>25</w:t>
    </w:r>
    <w:r>
      <w:rPr>
        <w:rStyle w:val="a7"/>
        <w:sz w:val="24"/>
      </w:rPr>
      <w:fldChar w:fldCharType="end"/>
    </w:r>
  </w:p>
  <w:p w:rsidR="0017656B" w:rsidRDefault="0017656B">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186" w:rsidRDefault="00860186" w:rsidP="00255E08">
      <w:r>
        <w:separator/>
      </w:r>
    </w:p>
  </w:footnote>
  <w:footnote w:type="continuationSeparator" w:id="0">
    <w:p w:rsidR="00860186" w:rsidRDefault="00860186" w:rsidP="00255E08">
      <w:r>
        <w:continuationSeparator/>
      </w:r>
    </w:p>
  </w:footnote>
  <w:footnote w:id="1">
    <w:p w:rsidR="0017656B" w:rsidRDefault="0017656B">
      <w:pPr>
        <w:pStyle w:val="af3"/>
      </w:pPr>
      <w:r>
        <w:rPr>
          <w:rStyle w:val="af5"/>
        </w:rPr>
        <w:footnoteRef/>
      </w:r>
      <w:r>
        <w:t xml:space="preserve"> </w:t>
      </w:r>
      <w:r>
        <w:rPr>
          <w:rFonts w:hint="eastAsia"/>
        </w:rPr>
        <w:t>聯合報社論，＜從「不讓你開會」到「強迫你開會」＞，</w:t>
      </w:r>
      <w:r>
        <w:rPr>
          <w:rFonts w:hint="eastAsia"/>
        </w:rPr>
        <w:t>103</w:t>
      </w:r>
      <w:r>
        <w:rPr>
          <w:rFonts w:hint="eastAsia"/>
        </w:rPr>
        <w:t>年</w:t>
      </w:r>
      <w:r>
        <w:rPr>
          <w:rFonts w:hint="eastAsia"/>
        </w:rPr>
        <w:t>5</w:t>
      </w:r>
      <w:r>
        <w:rPr>
          <w:rFonts w:hint="eastAsia"/>
        </w:rPr>
        <w:t>月</w:t>
      </w:r>
      <w:r>
        <w:rPr>
          <w:rFonts w:hint="eastAsia"/>
        </w:rPr>
        <w:t>1</w:t>
      </w:r>
      <w:r>
        <w:rPr>
          <w:rFonts w:hint="eastAsia"/>
        </w:rPr>
        <w:t>日。</w:t>
      </w:r>
    </w:p>
  </w:footnote>
  <w:footnote w:id="2">
    <w:p w:rsidR="0017656B" w:rsidRDefault="0017656B">
      <w:pPr>
        <w:pStyle w:val="af3"/>
      </w:pPr>
      <w:r>
        <w:rPr>
          <w:rStyle w:val="af5"/>
        </w:rPr>
        <w:footnoteRef/>
      </w:r>
      <w:r>
        <w:t xml:space="preserve"> </w:t>
      </w:r>
      <w:r>
        <w:rPr>
          <w:rFonts w:hint="eastAsia"/>
        </w:rPr>
        <w:t>聯合報社論，＜臺灣能淪落到聽命街頭群眾指揮？＞，</w:t>
      </w:r>
      <w:r>
        <w:rPr>
          <w:rFonts w:hint="eastAsia"/>
        </w:rPr>
        <w:t>103</w:t>
      </w:r>
      <w:r>
        <w:rPr>
          <w:rFonts w:hint="eastAsia"/>
        </w:rPr>
        <w:t>年</w:t>
      </w:r>
      <w:r>
        <w:rPr>
          <w:rFonts w:hint="eastAsia"/>
        </w:rPr>
        <w:t>4</w:t>
      </w:r>
      <w:r>
        <w:rPr>
          <w:rFonts w:hint="eastAsia"/>
        </w:rPr>
        <w:t>月</w:t>
      </w:r>
      <w:r>
        <w:rPr>
          <w:rFonts w:hint="eastAsia"/>
        </w:rPr>
        <w:t>29</w:t>
      </w:r>
      <w:r>
        <w:rPr>
          <w:rFonts w:hint="eastAsia"/>
        </w:rPr>
        <w:t>日，</w:t>
      </w:r>
      <w:r>
        <w:t>A</w:t>
      </w:r>
      <w:r>
        <w:rPr>
          <w:rFonts w:hint="eastAsia"/>
        </w:rPr>
        <w:t>2</w:t>
      </w:r>
      <w:r>
        <w:rPr>
          <w:rFonts w:hint="eastAsia"/>
        </w:rPr>
        <w:t>版。</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3BB1938"/>
    <w:multiLevelType w:val="hybridMultilevel"/>
    <w:tmpl w:val="FB6634D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0E010C"/>
    <w:multiLevelType w:val="multilevel"/>
    <w:tmpl w:val="591846F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4809"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124" w:hanging="698"/>
      </w:pPr>
      <w:rPr>
        <w:rFonts w:ascii="標楷體" w:eastAsia="標楷體" w:hAnsi="Arial" w:cs="Times New Roman"/>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3258A994"/>
    <w:lvl w:ilvl="0" w:tplc="1EA89A50">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0"/>
  </w:num>
  <w:num w:numId="4">
    <w:abstractNumId w:val="1"/>
  </w:num>
  <w:num w:numId="5">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89090" style="mso-position-vertical-relative:line;mso-width-relative:margin;mso-height-relative:margin" fillcolor="white" strokecolor="none [3213]">
      <v:fill color="white"/>
      <v:stroke color="none [3213]"/>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5B4BB6"/>
    <w:rsid w:val="00001314"/>
    <w:rsid w:val="000142E4"/>
    <w:rsid w:val="00020835"/>
    <w:rsid w:val="00051F9A"/>
    <w:rsid w:val="00066B45"/>
    <w:rsid w:val="00085E72"/>
    <w:rsid w:val="00094582"/>
    <w:rsid w:val="000A2B5B"/>
    <w:rsid w:val="000B5AF3"/>
    <w:rsid w:val="000D1F74"/>
    <w:rsid w:val="000D4F42"/>
    <w:rsid w:val="000E4C9C"/>
    <w:rsid w:val="000F3857"/>
    <w:rsid w:val="001002E2"/>
    <w:rsid w:val="00102A0C"/>
    <w:rsid w:val="00115508"/>
    <w:rsid w:val="00122F03"/>
    <w:rsid w:val="00131A01"/>
    <w:rsid w:val="00131F07"/>
    <w:rsid w:val="00140911"/>
    <w:rsid w:val="00143F67"/>
    <w:rsid w:val="001447F9"/>
    <w:rsid w:val="0014512C"/>
    <w:rsid w:val="001609EC"/>
    <w:rsid w:val="00160A82"/>
    <w:rsid w:val="001610E5"/>
    <w:rsid w:val="00167B78"/>
    <w:rsid w:val="0017656B"/>
    <w:rsid w:val="00176F3E"/>
    <w:rsid w:val="00195603"/>
    <w:rsid w:val="001A63AA"/>
    <w:rsid w:val="001C7DE1"/>
    <w:rsid w:val="001D542F"/>
    <w:rsid w:val="001D6FBF"/>
    <w:rsid w:val="001E3640"/>
    <w:rsid w:val="001F5149"/>
    <w:rsid w:val="00201B2D"/>
    <w:rsid w:val="00201E30"/>
    <w:rsid w:val="00205CE9"/>
    <w:rsid w:val="0020728C"/>
    <w:rsid w:val="00213240"/>
    <w:rsid w:val="0021792D"/>
    <w:rsid w:val="00217DE4"/>
    <w:rsid w:val="00224399"/>
    <w:rsid w:val="00233CB3"/>
    <w:rsid w:val="00235153"/>
    <w:rsid w:val="00236F52"/>
    <w:rsid w:val="00255E08"/>
    <w:rsid w:val="00256ECE"/>
    <w:rsid w:val="00291139"/>
    <w:rsid w:val="002B3DE8"/>
    <w:rsid w:val="002B3ED9"/>
    <w:rsid w:val="002C3613"/>
    <w:rsid w:val="002C433F"/>
    <w:rsid w:val="002D29A3"/>
    <w:rsid w:val="002F5233"/>
    <w:rsid w:val="0030021B"/>
    <w:rsid w:val="00305921"/>
    <w:rsid w:val="00314B78"/>
    <w:rsid w:val="00314F41"/>
    <w:rsid w:val="00315AB6"/>
    <w:rsid w:val="00320036"/>
    <w:rsid w:val="0032027A"/>
    <w:rsid w:val="0033686E"/>
    <w:rsid w:val="00336F4D"/>
    <w:rsid w:val="00342167"/>
    <w:rsid w:val="0034418A"/>
    <w:rsid w:val="00351766"/>
    <w:rsid w:val="00391952"/>
    <w:rsid w:val="003A0404"/>
    <w:rsid w:val="003A29F6"/>
    <w:rsid w:val="003A2FFD"/>
    <w:rsid w:val="003A6508"/>
    <w:rsid w:val="003B5382"/>
    <w:rsid w:val="003B7FA2"/>
    <w:rsid w:val="003D4106"/>
    <w:rsid w:val="003E046F"/>
    <w:rsid w:val="003F48FB"/>
    <w:rsid w:val="003F4D15"/>
    <w:rsid w:val="003F6F6E"/>
    <w:rsid w:val="00404445"/>
    <w:rsid w:val="00406AB4"/>
    <w:rsid w:val="0041189D"/>
    <w:rsid w:val="004159DF"/>
    <w:rsid w:val="0041611F"/>
    <w:rsid w:val="0042003A"/>
    <w:rsid w:val="00432D62"/>
    <w:rsid w:val="00434288"/>
    <w:rsid w:val="00437480"/>
    <w:rsid w:val="0044015B"/>
    <w:rsid w:val="004433E1"/>
    <w:rsid w:val="00453CBC"/>
    <w:rsid w:val="00476EBD"/>
    <w:rsid w:val="00496364"/>
    <w:rsid w:val="004D1266"/>
    <w:rsid w:val="004D4669"/>
    <w:rsid w:val="004D6248"/>
    <w:rsid w:val="004E3842"/>
    <w:rsid w:val="004F6619"/>
    <w:rsid w:val="00503C45"/>
    <w:rsid w:val="00505668"/>
    <w:rsid w:val="00512E25"/>
    <w:rsid w:val="00513F0B"/>
    <w:rsid w:val="00517BC0"/>
    <w:rsid w:val="0052177B"/>
    <w:rsid w:val="00527F2F"/>
    <w:rsid w:val="00536482"/>
    <w:rsid w:val="005401C7"/>
    <w:rsid w:val="00540DDA"/>
    <w:rsid w:val="00542EA6"/>
    <w:rsid w:val="00546DE6"/>
    <w:rsid w:val="0055088A"/>
    <w:rsid w:val="0055226D"/>
    <w:rsid w:val="00553CB9"/>
    <w:rsid w:val="00557193"/>
    <w:rsid w:val="00573A0C"/>
    <w:rsid w:val="00574A94"/>
    <w:rsid w:val="0058145A"/>
    <w:rsid w:val="00592BBF"/>
    <w:rsid w:val="005A592F"/>
    <w:rsid w:val="005A6CDA"/>
    <w:rsid w:val="005A7ACA"/>
    <w:rsid w:val="005B19D8"/>
    <w:rsid w:val="005B4BB6"/>
    <w:rsid w:val="005C02FE"/>
    <w:rsid w:val="005C105B"/>
    <w:rsid w:val="005D6049"/>
    <w:rsid w:val="005E063B"/>
    <w:rsid w:val="005E4628"/>
    <w:rsid w:val="005E535A"/>
    <w:rsid w:val="005E7DA3"/>
    <w:rsid w:val="00620B45"/>
    <w:rsid w:val="00621B8C"/>
    <w:rsid w:val="00624BC3"/>
    <w:rsid w:val="00626C4A"/>
    <w:rsid w:val="0062723E"/>
    <w:rsid w:val="00627C63"/>
    <w:rsid w:val="006416D0"/>
    <w:rsid w:val="00663F1B"/>
    <w:rsid w:val="00665D81"/>
    <w:rsid w:val="00667172"/>
    <w:rsid w:val="0066780F"/>
    <w:rsid w:val="00670075"/>
    <w:rsid w:val="0067134D"/>
    <w:rsid w:val="006775D5"/>
    <w:rsid w:val="0068652A"/>
    <w:rsid w:val="0069477D"/>
    <w:rsid w:val="006A0A74"/>
    <w:rsid w:val="006A3D77"/>
    <w:rsid w:val="006B6470"/>
    <w:rsid w:val="006C425E"/>
    <w:rsid w:val="006C6E02"/>
    <w:rsid w:val="006C742E"/>
    <w:rsid w:val="006D08A3"/>
    <w:rsid w:val="006D1525"/>
    <w:rsid w:val="006E3B46"/>
    <w:rsid w:val="006E7D8D"/>
    <w:rsid w:val="00705C2D"/>
    <w:rsid w:val="0070609B"/>
    <w:rsid w:val="00720E7F"/>
    <w:rsid w:val="007216E4"/>
    <w:rsid w:val="0072706D"/>
    <w:rsid w:val="00731BE3"/>
    <w:rsid w:val="007348CA"/>
    <w:rsid w:val="007408FA"/>
    <w:rsid w:val="00747B4F"/>
    <w:rsid w:val="00750F39"/>
    <w:rsid w:val="00751155"/>
    <w:rsid w:val="00754E14"/>
    <w:rsid w:val="00760404"/>
    <w:rsid w:val="00765062"/>
    <w:rsid w:val="0076577F"/>
    <w:rsid w:val="00767D3C"/>
    <w:rsid w:val="00774124"/>
    <w:rsid w:val="0077603D"/>
    <w:rsid w:val="00782D55"/>
    <w:rsid w:val="007938AF"/>
    <w:rsid w:val="007B39DE"/>
    <w:rsid w:val="007B45DB"/>
    <w:rsid w:val="007C50DC"/>
    <w:rsid w:val="007E4BDB"/>
    <w:rsid w:val="007F1913"/>
    <w:rsid w:val="0080350A"/>
    <w:rsid w:val="00803A8B"/>
    <w:rsid w:val="00807582"/>
    <w:rsid w:val="00811FAA"/>
    <w:rsid w:val="00814B0B"/>
    <w:rsid w:val="00814F1B"/>
    <w:rsid w:val="00815D0C"/>
    <w:rsid w:val="0082252A"/>
    <w:rsid w:val="008237AE"/>
    <w:rsid w:val="008365AB"/>
    <w:rsid w:val="0085106F"/>
    <w:rsid w:val="00860186"/>
    <w:rsid w:val="008605A7"/>
    <w:rsid w:val="00865FB3"/>
    <w:rsid w:val="008666A0"/>
    <w:rsid w:val="00877CE7"/>
    <w:rsid w:val="00885875"/>
    <w:rsid w:val="0088671F"/>
    <w:rsid w:val="00893D79"/>
    <w:rsid w:val="008B60BF"/>
    <w:rsid w:val="008D0487"/>
    <w:rsid w:val="008F157D"/>
    <w:rsid w:val="008F387B"/>
    <w:rsid w:val="008F4A39"/>
    <w:rsid w:val="00900D06"/>
    <w:rsid w:val="009060B6"/>
    <w:rsid w:val="0092105A"/>
    <w:rsid w:val="0092125B"/>
    <w:rsid w:val="00925B68"/>
    <w:rsid w:val="00931E3B"/>
    <w:rsid w:val="00935880"/>
    <w:rsid w:val="00935CCA"/>
    <w:rsid w:val="0093767A"/>
    <w:rsid w:val="009525CA"/>
    <w:rsid w:val="00953F73"/>
    <w:rsid w:val="00956AB6"/>
    <w:rsid w:val="00957C45"/>
    <w:rsid w:val="009679F7"/>
    <w:rsid w:val="00970C74"/>
    <w:rsid w:val="009846EA"/>
    <w:rsid w:val="00990ADE"/>
    <w:rsid w:val="009A1A6F"/>
    <w:rsid w:val="009A42EF"/>
    <w:rsid w:val="009A7D42"/>
    <w:rsid w:val="009D37C9"/>
    <w:rsid w:val="009D60E3"/>
    <w:rsid w:val="009F02A9"/>
    <w:rsid w:val="009F3E45"/>
    <w:rsid w:val="009F4ADF"/>
    <w:rsid w:val="00A01042"/>
    <w:rsid w:val="00A011E2"/>
    <w:rsid w:val="00A06E5C"/>
    <w:rsid w:val="00A17BBE"/>
    <w:rsid w:val="00A17F15"/>
    <w:rsid w:val="00A2160E"/>
    <w:rsid w:val="00A22BBC"/>
    <w:rsid w:val="00A246DC"/>
    <w:rsid w:val="00A333C3"/>
    <w:rsid w:val="00A42E61"/>
    <w:rsid w:val="00A4323F"/>
    <w:rsid w:val="00A4368D"/>
    <w:rsid w:val="00A60227"/>
    <w:rsid w:val="00A6129B"/>
    <w:rsid w:val="00A6159F"/>
    <w:rsid w:val="00A6287E"/>
    <w:rsid w:val="00A62B62"/>
    <w:rsid w:val="00A91418"/>
    <w:rsid w:val="00A91800"/>
    <w:rsid w:val="00AA24FE"/>
    <w:rsid w:val="00AA3214"/>
    <w:rsid w:val="00AB59D5"/>
    <w:rsid w:val="00AD2578"/>
    <w:rsid w:val="00AD7BF8"/>
    <w:rsid w:val="00AE56C6"/>
    <w:rsid w:val="00B00C72"/>
    <w:rsid w:val="00B05C67"/>
    <w:rsid w:val="00B22C06"/>
    <w:rsid w:val="00B2321D"/>
    <w:rsid w:val="00B23C52"/>
    <w:rsid w:val="00B47D01"/>
    <w:rsid w:val="00B601D9"/>
    <w:rsid w:val="00B60DE3"/>
    <w:rsid w:val="00B649F5"/>
    <w:rsid w:val="00B72A4F"/>
    <w:rsid w:val="00B77966"/>
    <w:rsid w:val="00B9155C"/>
    <w:rsid w:val="00B942D5"/>
    <w:rsid w:val="00B9504A"/>
    <w:rsid w:val="00B97926"/>
    <w:rsid w:val="00BA17EB"/>
    <w:rsid w:val="00BB18F1"/>
    <w:rsid w:val="00BC2A80"/>
    <w:rsid w:val="00BC5D35"/>
    <w:rsid w:val="00BD4609"/>
    <w:rsid w:val="00BE0393"/>
    <w:rsid w:val="00BE4171"/>
    <w:rsid w:val="00BF2CD3"/>
    <w:rsid w:val="00BF4DC0"/>
    <w:rsid w:val="00BF5A5B"/>
    <w:rsid w:val="00BF5D55"/>
    <w:rsid w:val="00BF7D94"/>
    <w:rsid w:val="00BF7D9D"/>
    <w:rsid w:val="00C05FE9"/>
    <w:rsid w:val="00C1361E"/>
    <w:rsid w:val="00C1727C"/>
    <w:rsid w:val="00C2462B"/>
    <w:rsid w:val="00C36974"/>
    <w:rsid w:val="00C53F2F"/>
    <w:rsid w:val="00C61839"/>
    <w:rsid w:val="00C650CB"/>
    <w:rsid w:val="00C723FE"/>
    <w:rsid w:val="00C82776"/>
    <w:rsid w:val="00C9481F"/>
    <w:rsid w:val="00CA0BFB"/>
    <w:rsid w:val="00CA15F6"/>
    <w:rsid w:val="00CA27AD"/>
    <w:rsid w:val="00CA36B1"/>
    <w:rsid w:val="00CA5AB4"/>
    <w:rsid w:val="00CA667C"/>
    <w:rsid w:val="00CE293B"/>
    <w:rsid w:val="00D054BF"/>
    <w:rsid w:val="00D07617"/>
    <w:rsid w:val="00D12DCF"/>
    <w:rsid w:val="00D23F1A"/>
    <w:rsid w:val="00D25795"/>
    <w:rsid w:val="00D44D1E"/>
    <w:rsid w:val="00D508CD"/>
    <w:rsid w:val="00D54B90"/>
    <w:rsid w:val="00D62675"/>
    <w:rsid w:val="00D62EE4"/>
    <w:rsid w:val="00D66DB6"/>
    <w:rsid w:val="00D71904"/>
    <w:rsid w:val="00D8373B"/>
    <w:rsid w:val="00D8561A"/>
    <w:rsid w:val="00D94165"/>
    <w:rsid w:val="00DA47A0"/>
    <w:rsid w:val="00DB1BDC"/>
    <w:rsid w:val="00DB35BC"/>
    <w:rsid w:val="00DB7133"/>
    <w:rsid w:val="00DC0B34"/>
    <w:rsid w:val="00DC29D2"/>
    <w:rsid w:val="00DC4C0D"/>
    <w:rsid w:val="00DC52A3"/>
    <w:rsid w:val="00DD378E"/>
    <w:rsid w:val="00DE03EF"/>
    <w:rsid w:val="00DE5314"/>
    <w:rsid w:val="00DF25CA"/>
    <w:rsid w:val="00DF4355"/>
    <w:rsid w:val="00E054CC"/>
    <w:rsid w:val="00E15EC9"/>
    <w:rsid w:val="00E27E68"/>
    <w:rsid w:val="00E35F83"/>
    <w:rsid w:val="00E36F41"/>
    <w:rsid w:val="00E44F30"/>
    <w:rsid w:val="00E553FD"/>
    <w:rsid w:val="00E61C76"/>
    <w:rsid w:val="00E75C6A"/>
    <w:rsid w:val="00E80885"/>
    <w:rsid w:val="00E83430"/>
    <w:rsid w:val="00E92A0E"/>
    <w:rsid w:val="00EA4A90"/>
    <w:rsid w:val="00EB0531"/>
    <w:rsid w:val="00EB42BD"/>
    <w:rsid w:val="00EC0573"/>
    <w:rsid w:val="00EC686F"/>
    <w:rsid w:val="00EC727C"/>
    <w:rsid w:val="00ED1593"/>
    <w:rsid w:val="00ED1BFD"/>
    <w:rsid w:val="00EE746F"/>
    <w:rsid w:val="00EF437B"/>
    <w:rsid w:val="00EF661E"/>
    <w:rsid w:val="00F00B0C"/>
    <w:rsid w:val="00F02FD7"/>
    <w:rsid w:val="00F069E9"/>
    <w:rsid w:val="00F14E6B"/>
    <w:rsid w:val="00F171DF"/>
    <w:rsid w:val="00F1782C"/>
    <w:rsid w:val="00F253A9"/>
    <w:rsid w:val="00F27755"/>
    <w:rsid w:val="00F3292B"/>
    <w:rsid w:val="00F44E1B"/>
    <w:rsid w:val="00F52E09"/>
    <w:rsid w:val="00F64788"/>
    <w:rsid w:val="00F66467"/>
    <w:rsid w:val="00F71865"/>
    <w:rsid w:val="00F93B80"/>
    <w:rsid w:val="00FA1F2E"/>
    <w:rsid w:val="00FB1593"/>
    <w:rsid w:val="00FE7228"/>
    <w:rsid w:val="00FF1A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90" style="mso-position-vertical-relative:line;mso-width-relative:margin;mso-height-relative:margin" fillcolor="white" strokecolor="none [3213]">
      <v:fill color="white"/>
      <v:stroke 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53F73"/>
    <w:pPr>
      <w:widowControl w:val="0"/>
    </w:pPr>
    <w:rPr>
      <w:rFonts w:eastAsia="標楷體"/>
      <w:kern w:val="2"/>
      <w:sz w:val="32"/>
    </w:rPr>
  </w:style>
  <w:style w:type="paragraph" w:styleId="1">
    <w:name w:val="heading 1"/>
    <w:basedOn w:val="a1"/>
    <w:qFormat/>
    <w:rsid w:val="00953F73"/>
    <w:pPr>
      <w:numPr>
        <w:numId w:val="1"/>
      </w:numPr>
      <w:kinsoku w:val="0"/>
      <w:jc w:val="both"/>
      <w:outlineLvl w:val="0"/>
    </w:pPr>
    <w:rPr>
      <w:rFonts w:ascii="標楷體" w:hAnsi="Arial"/>
      <w:bCs/>
      <w:kern w:val="0"/>
      <w:szCs w:val="52"/>
    </w:rPr>
  </w:style>
  <w:style w:type="paragraph" w:styleId="2">
    <w:name w:val="heading 2"/>
    <w:basedOn w:val="a1"/>
    <w:qFormat/>
    <w:rsid w:val="00953F73"/>
    <w:pPr>
      <w:numPr>
        <w:ilvl w:val="1"/>
        <w:numId w:val="1"/>
      </w:numPr>
      <w:kinsoku w:val="0"/>
      <w:ind w:left="1832"/>
      <w:jc w:val="both"/>
      <w:outlineLvl w:val="1"/>
    </w:pPr>
    <w:rPr>
      <w:rFonts w:ascii="標楷體" w:hAnsi="Arial"/>
      <w:bCs/>
      <w:kern w:val="0"/>
      <w:szCs w:val="48"/>
    </w:rPr>
  </w:style>
  <w:style w:type="paragraph" w:styleId="3">
    <w:name w:val="heading 3"/>
    <w:basedOn w:val="a1"/>
    <w:qFormat/>
    <w:rsid w:val="00953F73"/>
    <w:pPr>
      <w:numPr>
        <w:ilvl w:val="2"/>
        <w:numId w:val="1"/>
      </w:numPr>
      <w:kinsoku w:val="0"/>
      <w:jc w:val="both"/>
      <w:outlineLvl w:val="2"/>
    </w:pPr>
    <w:rPr>
      <w:rFonts w:ascii="標楷體" w:hAnsi="Arial"/>
      <w:bCs/>
      <w:kern w:val="0"/>
      <w:szCs w:val="36"/>
    </w:rPr>
  </w:style>
  <w:style w:type="paragraph" w:styleId="4">
    <w:name w:val="heading 4"/>
    <w:basedOn w:val="a1"/>
    <w:qFormat/>
    <w:rsid w:val="00953F73"/>
    <w:pPr>
      <w:numPr>
        <w:ilvl w:val="3"/>
        <w:numId w:val="1"/>
      </w:numPr>
      <w:jc w:val="both"/>
      <w:outlineLvl w:val="3"/>
    </w:pPr>
    <w:rPr>
      <w:rFonts w:ascii="標楷體" w:hAnsi="Arial"/>
      <w:szCs w:val="36"/>
    </w:rPr>
  </w:style>
  <w:style w:type="paragraph" w:styleId="5">
    <w:name w:val="heading 5"/>
    <w:basedOn w:val="a1"/>
    <w:qFormat/>
    <w:rsid w:val="00953F73"/>
    <w:pPr>
      <w:numPr>
        <w:ilvl w:val="4"/>
        <w:numId w:val="1"/>
      </w:numPr>
      <w:kinsoku w:val="0"/>
      <w:jc w:val="both"/>
      <w:outlineLvl w:val="4"/>
    </w:pPr>
    <w:rPr>
      <w:rFonts w:ascii="標楷體" w:hAnsi="Arial"/>
      <w:bCs/>
      <w:szCs w:val="36"/>
    </w:rPr>
  </w:style>
  <w:style w:type="paragraph" w:styleId="6">
    <w:name w:val="heading 6"/>
    <w:basedOn w:val="a1"/>
    <w:qFormat/>
    <w:rsid w:val="00953F73"/>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953F73"/>
    <w:pPr>
      <w:numPr>
        <w:ilvl w:val="6"/>
        <w:numId w:val="1"/>
      </w:numPr>
      <w:kinsoku w:val="0"/>
      <w:jc w:val="both"/>
      <w:outlineLvl w:val="6"/>
    </w:pPr>
    <w:rPr>
      <w:rFonts w:ascii="標楷體" w:hAnsi="Arial"/>
      <w:bCs/>
      <w:szCs w:val="36"/>
    </w:rPr>
  </w:style>
  <w:style w:type="paragraph" w:styleId="8">
    <w:name w:val="heading 8"/>
    <w:basedOn w:val="a1"/>
    <w:qFormat/>
    <w:rsid w:val="00953F73"/>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953F73"/>
    <w:pPr>
      <w:spacing w:before="720" w:after="720"/>
      <w:ind w:left="7371"/>
    </w:pPr>
    <w:rPr>
      <w:rFonts w:ascii="標楷體"/>
      <w:b/>
      <w:snapToGrid w:val="0"/>
      <w:spacing w:val="10"/>
      <w:sz w:val="36"/>
    </w:rPr>
  </w:style>
  <w:style w:type="paragraph" w:styleId="a6">
    <w:name w:val="endnote text"/>
    <w:basedOn w:val="a1"/>
    <w:semiHidden/>
    <w:rsid w:val="00953F73"/>
    <w:pPr>
      <w:spacing w:before="240"/>
      <w:ind w:left="1021" w:hanging="1021"/>
      <w:jc w:val="both"/>
    </w:pPr>
    <w:rPr>
      <w:rFonts w:ascii="標楷體"/>
      <w:snapToGrid w:val="0"/>
      <w:spacing w:val="10"/>
    </w:rPr>
  </w:style>
  <w:style w:type="paragraph" w:styleId="50">
    <w:name w:val="toc 5"/>
    <w:basedOn w:val="a1"/>
    <w:next w:val="a1"/>
    <w:autoRedefine/>
    <w:semiHidden/>
    <w:rsid w:val="00953F73"/>
    <w:pPr>
      <w:ind w:leftChars="400" w:left="600" w:rightChars="200" w:right="200" w:hangingChars="200" w:hanging="200"/>
    </w:pPr>
    <w:rPr>
      <w:rFonts w:ascii="標楷體"/>
    </w:rPr>
  </w:style>
  <w:style w:type="character" w:styleId="a7">
    <w:name w:val="page number"/>
    <w:basedOn w:val="a2"/>
    <w:semiHidden/>
    <w:rsid w:val="00953F73"/>
    <w:rPr>
      <w:rFonts w:ascii="標楷體" w:eastAsia="標楷體"/>
      <w:sz w:val="20"/>
    </w:rPr>
  </w:style>
  <w:style w:type="paragraph" w:styleId="60">
    <w:name w:val="toc 6"/>
    <w:basedOn w:val="a1"/>
    <w:next w:val="a1"/>
    <w:autoRedefine/>
    <w:semiHidden/>
    <w:rsid w:val="00953F73"/>
    <w:pPr>
      <w:ind w:leftChars="500" w:left="500"/>
    </w:pPr>
    <w:rPr>
      <w:rFonts w:ascii="標楷體"/>
    </w:rPr>
  </w:style>
  <w:style w:type="paragraph" w:customStyle="1" w:styleId="10">
    <w:name w:val="段落樣式1"/>
    <w:basedOn w:val="a1"/>
    <w:rsid w:val="00953F73"/>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953F73"/>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953F73"/>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953F73"/>
    <w:pPr>
      <w:kinsoku w:val="0"/>
      <w:ind w:leftChars="100" w:left="300" w:rightChars="200" w:right="200" w:hangingChars="200" w:hanging="200"/>
    </w:pPr>
    <w:rPr>
      <w:rFonts w:ascii="標楷體"/>
      <w:noProof/>
    </w:rPr>
  </w:style>
  <w:style w:type="paragraph" w:styleId="30">
    <w:name w:val="toc 3"/>
    <w:basedOn w:val="a1"/>
    <w:next w:val="a1"/>
    <w:autoRedefine/>
    <w:semiHidden/>
    <w:rsid w:val="00953F73"/>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953F73"/>
    <w:pPr>
      <w:kinsoku w:val="0"/>
      <w:ind w:leftChars="300" w:left="500" w:rightChars="200" w:right="200" w:hangingChars="200" w:hanging="200"/>
      <w:jc w:val="both"/>
    </w:pPr>
    <w:rPr>
      <w:rFonts w:ascii="標楷體"/>
    </w:rPr>
  </w:style>
  <w:style w:type="paragraph" w:styleId="70">
    <w:name w:val="toc 7"/>
    <w:basedOn w:val="a1"/>
    <w:next w:val="a1"/>
    <w:autoRedefine/>
    <w:semiHidden/>
    <w:rsid w:val="00953F73"/>
    <w:pPr>
      <w:ind w:leftChars="600" w:left="800" w:hangingChars="200" w:hanging="200"/>
    </w:pPr>
    <w:rPr>
      <w:rFonts w:ascii="標楷體"/>
    </w:rPr>
  </w:style>
  <w:style w:type="paragraph" w:styleId="80">
    <w:name w:val="toc 8"/>
    <w:basedOn w:val="a1"/>
    <w:next w:val="a1"/>
    <w:autoRedefine/>
    <w:semiHidden/>
    <w:rsid w:val="00953F73"/>
    <w:pPr>
      <w:ind w:leftChars="700" w:left="900" w:hangingChars="200" w:hanging="200"/>
    </w:pPr>
    <w:rPr>
      <w:rFonts w:ascii="標楷體"/>
    </w:rPr>
  </w:style>
  <w:style w:type="paragraph" w:styleId="9">
    <w:name w:val="toc 9"/>
    <w:basedOn w:val="a1"/>
    <w:next w:val="a1"/>
    <w:autoRedefine/>
    <w:semiHidden/>
    <w:rsid w:val="00953F73"/>
    <w:pPr>
      <w:ind w:leftChars="1600" w:left="3840"/>
    </w:pPr>
  </w:style>
  <w:style w:type="paragraph" w:styleId="a8">
    <w:name w:val="header"/>
    <w:basedOn w:val="a1"/>
    <w:semiHidden/>
    <w:rsid w:val="00953F73"/>
    <w:pPr>
      <w:tabs>
        <w:tab w:val="center" w:pos="4153"/>
        <w:tab w:val="right" w:pos="8306"/>
      </w:tabs>
      <w:snapToGrid w:val="0"/>
    </w:pPr>
    <w:rPr>
      <w:sz w:val="20"/>
    </w:rPr>
  </w:style>
  <w:style w:type="paragraph" w:customStyle="1" w:styleId="31">
    <w:name w:val="段落樣式3"/>
    <w:basedOn w:val="20"/>
    <w:rsid w:val="00953F73"/>
    <w:pPr>
      <w:ind w:leftChars="400" w:left="400"/>
    </w:pPr>
  </w:style>
  <w:style w:type="character" w:styleId="a9">
    <w:name w:val="Hyperlink"/>
    <w:basedOn w:val="a2"/>
    <w:semiHidden/>
    <w:rsid w:val="00953F73"/>
    <w:rPr>
      <w:color w:val="0000FF"/>
      <w:u w:val="single"/>
    </w:rPr>
  </w:style>
  <w:style w:type="paragraph" w:customStyle="1" w:styleId="aa">
    <w:name w:val="簽名日期"/>
    <w:basedOn w:val="a1"/>
    <w:rsid w:val="00953F73"/>
    <w:pPr>
      <w:kinsoku w:val="0"/>
      <w:jc w:val="distribute"/>
    </w:pPr>
    <w:rPr>
      <w:kern w:val="0"/>
    </w:rPr>
  </w:style>
  <w:style w:type="paragraph" w:customStyle="1" w:styleId="0">
    <w:name w:val="段落樣式0"/>
    <w:basedOn w:val="20"/>
    <w:rsid w:val="00953F73"/>
    <w:pPr>
      <w:ind w:leftChars="200" w:left="200" w:firstLineChars="0" w:firstLine="0"/>
    </w:pPr>
  </w:style>
  <w:style w:type="paragraph" w:customStyle="1" w:styleId="ab">
    <w:name w:val="附件"/>
    <w:basedOn w:val="a6"/>
    <w:rsid w:val="00953F73"/>
    <w:pPr>
      <w:kinsoku w:val="0"/>
      <w:spacing w:before="0"/>
      <w:ind w:left="1047" w:hangingChars="300" w:hanging="1047"/>
    </w:pPr>
    <w:rPr>
      <w:snapToGrid/>
      <w:spacing w:val="0"/>
      <w:kern w:val="0"/>
    </w:rPr>
  </w:style>
  <w:style w:type="paragraph" w:customStyle="1" w:styleId="41">
    <w:name w:val="段落樣式4"/>
    <w:basedOn w:val="31"/>
    <w:rsid w:val="00953F73"/>
    <w:pPr>
      <w:ind w:leftChars="500" w:left="500"/>
    </w:pPr>
  </w:style>
  <w:style w:type="paragraph" w:customStyle="1" w:styleId="51">
    <w:name w:val="段落樣式5"/>
    <w:basedOn w:val="41"/>
    <w:rsid w:val="00953F73"/>
    <w:pPr>
      <w:ind w:leftChars="600" w:left="600"/>
    </w:pPr>
  </w:style>
  <w:style w:type="paragraph" w:customStyle="1" w:styleId="61">
    <w:name w:val="段落樣式6"/>
    <w:basedOn w:val="51"/>
    <w:rsid w:val="00953F73"/>
    <w:pPr>
      <w:ind w:leftChars="700" w:left="700"/>
    </w:pPr>
  </w:style>
  <w:style w:type="paragraph" w:customStyle="1" w:styleId="71">
    <w:name w:val="段落樣式7"/>
    <w:basedOn w:val="61"/>
    <w:rsid w:val="00953F73"/>
  </w:style>
  <w:style w:type="paragraph" w:customStyle="1" w:styleId="81">
    <w:name w:val="段落樣式8"/>
    <w:basedOn w:val="71"/>
    <w:rsid w:val="00953F73"/>
    <w:pPr>
      <w:ind w:leftChars="800" w:left="800"/>
    </w:pPr>
  </w:style>
  <w:style w:type="paragraph" w:customStyle="1" w:styleId="a0">
    <w:name w:val="表樣式"/>
    <w:basedOn w:val="a1"/>
    <w:next w:val="a1"/>
    <w:rsid w:val="00953F73"/>
    <w:pPr>
      <w:numPr>
        <w:numId w:val="2"/>
      </w:numPr>
      <w:jc w:val="both"/>
    </w:pPr>
    <w:rPr>
      <w:rFonts w:ascii="標楷體"/>
      <w:kern w:val="0"/>
    </w:rPr>
  </w:style>
  <w:style w:type="paragraph" w:styleId="ac">
    <w:name w:val="Body Text Indent"/>
    <w:basedOn w:val="a1"/>
    <w:semiHidden/>
    <w:rsid w:val="00953F73"/>
    <w:pPr>
      <w:ind w:left="698" w:hangingChars="200" w:hanging="698"/>
    </w:pPr>
  </w:style>
  <w:style w:type="paragraph" w:customStyle="1" w:styleId="ad">
    <w:name w:val="調查報告"/>
    <w:basedOn w:val="a6"/>
    <w:rsid w:val="00953F73"/>
    <w:pPr>
      <w:kinsoku w:val="0"/>
      <w:spacing w:before="0"/>
      <w:ind w:left="1701" w:firstLine="0"/>
    </w:pPr>
    <w:rPr>
      <w:b/>
      <w:snapToGrid/>
      <w:spacing w:val="200"/>
      <w:kern w:val="0"/>
      <w:sz w:val="36"/>
    </w:rPr>
  </w:style>
  <w:style w:type="paragraph" w:customStyle="1" w:styleId="a">
    <w:name w:val="圖樣式"/>
    <w:basedOn w:val="a1"/>
    <w:next w:val="a1"/>
    <w:rsid w:val="00953F73"/>
    <w:pPr>
      <w:numPr>
        <w:numId w:val="3"/>
      </w:numPr>
      <w:tabs>
        <w:tab w:val="clear" w:pos="1440"/>
      </w:tabs>
      <w:ind w:left="400" w:hangingChars="400" w:hanging="400"/>
      <w:jc w:val="both"/>
    </w:pPr>
    <w:rPr>
      <w:rFonts w:ascii="標楷體"/>
    </w:rPr>
  </w:style>
  <w:style w:type="paragraph" w:styleId="ae">
    <w:name w:val="footer"/>
    <w:basedOn w:val="a1"/>
    <w:semiHidden/>
    <w:rsid w:val="00953F73"/>
    <w:pPr>
      <w:tabs>
        <w:tab w:val="center" w:pos="4153"/>
        <w:tab w:val="right" w:pos="8306"/>
      </w:tabs>
      <w:snapToGrid w:val="0"/>
    </w:pPr>
    <w:rPr>
      <w:sz w:val="20"/>
    </w:rPr>
  </w:style>
  <w:style w:type="paragraph" w:styleId="af">
    <w:name w:val="table of figures"/>
    <w:basedOn w:val="a1"/>
    <w:next w:val="a1"/>
    <w:semiHidden/>
    <w:rsid w:val="00953F73"/>
    <w:pPr>
      <w:ind w:left="400" w:hangingChars="400" w:hanging="400"/>
    </w:pPr>
  </w:style>
  <w:style w:type="paragraph" w:styleId="af0">
    <w:name w:val="Balloon Text"/>
    <w:basedOn w:val="a1"/>
    <w:link w:val="af1"/>
    <w:uiPriority w:val="99"/>
    <w:semiHidden/>
    <w:unhideWhenUsed/>
    <w:rsid w:val="00A62B62"/>
    <w:rPr>
      <w:rFonts w:asciiTheme="majorHAnsi" w:eastAsiaTheme="majorEastAsia" w:hAnsiTheme="majorHAnsi" w:cstheme="majorBidi"/>
      <w:sz w:val="18"/>
      <w:szCs w:val="18"/>
    </w:rPr>
  </w:style>
  <w:style w:type="character" w:customStyle="1" w:styleId="af1">
    <w:name w:val="註解方塊文字 字元"/>
    <w:basedOn w:val="a2"/>
    <w:link w:val="af0"/>
    <w:uiPriority w:val="99"/>
    <w:semiHidden/>
    <w:rsid w:val="00A62B62"/>
    <w:rPr>
      <w:rFonts w:asciiTheme="majorHAnsi" w:eastAsiaTheme="majorEastAsia" w:hAnsiTheme="majorHAnsi" w:cstheme="majorBidi"/>
      <w:kern w:val="2"/>
      <w:sz w:val="18"/>
      <w:szCs w:val="18"/>
    </w:rPr>
  </w:style>
  <w:style w:type="paragraph" w:styleId="af2">
    <w:name w:val="List Paragraph"/>
    <w:basedOn w:val="a1"/>
    <w:uiPriority w:val="99"/>
    <w:qFormat/>
    <w:rsid w:val="00DB1BDC"/>
    <w:pPr>
      <w:ind w:leftChars="200" w:left="480"/>
    </w:pPr>
    <w:rPr>
      <w:rFonts w:ascii="Calibri" w:eastAsia="新細明體" w:hAnsi="Calibri"/>
      <w:sz w:val="24"/>
      <w:szCs w:val="22"/>
    </w:rPr>
  </w:style>
  <w:style w:type="paragraph" w:styleId="HTML">
    <w:name w:val="HTML Preformatted"/>
    <w:basedOn w:val="a1"/>
    <w:link w:val="HTML0"/>
    <w:uiPriority w:val="99"/>
    <w:unhideWhenUsed/>
    <w:rsid w:val="008237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character" w:customStyle="1" w:styleId="HTML0">
    <w:name w:val="HTML 預設格式 字元"/>
    <w:basedOn w:val="a2"/>
    <w:link w:val="HTML"/>
    <w:uiPriority w:val="99"/>
    <w:rsid w:val="008237AE"/>
    <w:rPr>
      <w:rFonts w:ascii="細明體" w:eastAsia="細明體" w:hAnsi="細明體" w:cs="細明體"/>
      <w:sz w:val="24"/>
      <w:szCs w:val="24"/>
    </w:rPr>
  </w:style>
  <w:style w:type="paragraph" w:styleId="af3">
    <w:name w:val="footnote text"/>
    <w:basedOn w:val="a1"/>
    <w:link w:val="af4"/>
    <w:uiPriority w:val="99"/>
    <w:semiHidden/>
    <w:unhideWhenUsed/>
    <w:rsid w:val="00C61839"/>
    <w:pPr>
      <w:snapToGrid w:val="0"/>
    </w:pPr>
    <w:rPr>
      <w:sz w:val="20"/>
    </w:rPr>
  </w:style>
  <w:style w:type="character" w:customStyle="1" w:styleId="af4">
    <w:name w:val="註腳文字 字元"/>
    <w:basedOn w:val="a2"/>
    <w:link w:val="af3"/>
    <w:uiPriority w:val="99"/>
    <w:semiHidden/>
    <w:rsid w:val="00C61839"/>
    <w:rPr>
      <w:rFonts w:eastAsia="標楷體"/>
      <w:kern w:val="2"/>
    </w:rPr>
  </w:style>
  <w:style w:type="character" w:styleId="af5">
    <w:name w:val="footnote reference"/>
    <w:basedOn w:val="a2"/>
    <w:uiPriority w:val="99"/>
    <w:semiHidden/>
    <w:unhideWhenUsed/>
    <w:rsid w:val="00C61839"/>
    <w:rPr>
      <w:vertAlign w:val="superscript"/>
    </w:rPr>
  </w:style>
  <w:style w:type="table" w:styleId="af6">
    <w:name w:val="Table Grid"/>
    <w:basedOn w:val="a3"/>
    <w:uiPriority w:val="59"/>
    <w:rsid w:val="006D152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tung\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22AB88-D2B8-4A95-8312-5D11370A6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25</Pages>
  <Words>2291</Words>
  <Characters>13059</Characters>
  <Application>Microsoft Office Word</Application>
  <DocSecurity>0</DocSecurity>
  <Lines>108</Lines>
  <Paragraphs>30</Paragraphs>
  <ScaleCrop>false</ScaleCrop>
  <Company>cy</Company>
  <LinksUpToDate>false</LinksUpToDate>
  <CharactersWithSpaces>15320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lctung</dc:creator>
  <cp:lastModifiedBy>Administrator</cp:lastModifiedBy>
  <cp:revision>3</cp:revision>
  <cp:lastPrinted>2014-07-16T03:03:00Z</cp:lastPrinted>
  <dcterms:created xsi:type="dcterms:W3CDTF">2014-07-17T02:19:00Z</dcterms:created>
  <dcterms:modified xsi:type="dcterms:W3CDTF">2014-07-17T02:39:00Z</dcterms:modified>
</cp:coreProperties>
</file>