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220" w:rsidRDefault="000E4220">
      <w:pPr>
        <w:pStyle w:val="a6"/>
        <w:kinsoku w:val="0"/>
        <w:spacing w:before="0"/>
        <w:ind w:leftChars="700" w:left="2381" w:firstLine="0"/>
        <w:rPr>
          <w:bCs/>
          <w:snapToGrid/>
          <w:spacing w:val="200"/>
          <w:kern w:val="0"/>
          <w:sz w:val="40"/>
        </w:rPr>
      </w:pPr>
      <w:r>
        <w:rPr>
          <w:rFonts w:hint="eastAsia"/>
          <w:bCs/>
          <w:snapToGrid/>
          <w:spacing w:val="200"/>
          <w:kern w:val="0"/>
          <w:sz w:val="40"/>
        </w:rPr>
        <w:t>調查</w:t>
      </w:r>
      <w:r w:rsidR="006909E2">
        <w:rPr>
          <w:rFonts w:hint="eastAsia"/>
          <w:bCs/>
          <w:snapToGrid/>
          <w:spacing w:val="200"/>
          <w:kern w:val="0"/>
          <w:sz w:val="40"/>
        </w:rPr>
        <w:t>意見</w:t>
      </w:r>
    </w:p>
    <w:p w:rsidR="000E4220" w:rsidRDefault="000E4220" w:rsidP="00E27909">
      <w:pPr>
        <w:pStyle w:val="1"/>
        <w:ind w:left="2381" w:hanging="238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Start w:id="23" w:name="_Hlk370915094"/>
      <w:bookmarkEnd w:id="0"/>
      <w:bookmarkEnd w:id="1"/>
      <w:bookmarkEnd w:id="2"/>
      <w:bookmarkEnd w:id="3"/>
      <w:bookmarkEnd w:id="4"/>
      <w:bookmarkEnd w:id="5"/>
      <w:bookmarkEnd w:id="6"/>
      <w:bookmarkEnd w:id="7"/>
      <w:bookmarkEnd w:id="8"/>
      <w:bookmarkEnd w:id="9"/>
      <w:r w:rsidR="004D07F6">
        <w:fldChar w:fldCharType="begin"/>
      </w:r>
      <w:r>
        <w:instrText xml:space="preserve"> MERGEFIELD </w:instrText>
      </w:r>
      <w:r>
        <w:rPr>
          <w:rFonts w:hint="eastAsia"/>
        </w:rPr>
        <w:instrText>案由</w:instrText>
      </w:r>
      <w:r>
        <w:instrText xml:space="preserve"> </w:instrText>
      </w:r>
      <w:r w:rsidR="004D07F6">
        <w:fldChar w:fldCharType="separate"/>
      </w:r>
      <w:r w:rsidR="00922B7D" w:rsidRPr="008550F8">
        <w:rPr>
          <w:rFonts w:hint="eastAsia"/>
          <w:noProof/>
        </w:rPr>
        <w:t>據訴，交通部擬訂「臺灣桃園機場園區綱要計畫」及內政部通過「桃園國際機場園區及附近地區特定區計畫案」，其內容涉有諸多違法或未盡合理之處。究上開計畫內容及用地需求是否符合公益性及必要性？有無過度侵害人民權利？審議程序是否合法？有無給予被影響居民陳述意見之機會並予以回應？似均有進一步深入瞭解之必要乙案。</w:t>
      </w:r>
      <w:r w:rsidR="004D07F6">
        <w:fldChar w:fldCharType="end"/>
      </w:r>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732220" w:rsidRDefault="00732220" w:rsidP="00756C58">
      <w:pPr>
        <w:pStyle w:val="1"/>
        <w:numPr>
          <w:ilvl w:val="0"/>
          <w:numId w:val="0"/>
        </w:numPr>
        <w:ind w:left="699" w:hanging="699"/>
      </w:pPr>
      <w:bookmarkStart w:id="24" w:name="_Toc524892372"/>
      <w:bookmarkStart w:id="25" w:name="_Toc525066144"/>
    </w:p>
    <w:p w:rsidR="0050091D" w:rsidRPr="00461974" w:rsidRDefault="007C7CEB" w:rsidP="00FE53CD">
      <w:pPr>
        <w:pStyle w:val="2"/>
        <w:ind w:left="1020" w:hanging="680"/>
        <w:rPr>
          <w:b/>
        </w:rPr>
      </w:pPr>
      <w:bookmarkStart w:id="26" w:name="_Toc524902730"/>
      <w:bookmarkEnd w:id="24"/>
      <w:bookmarkEnd w:id="25"/>
      <w:r w:rsidRPr="007C7CEB">
        <w:rPr>
          <w:rFonts w:hAnsi="標楷體" w:hint="eastAsia"/>
          <w:b/>
          <w:color w:val="000000"/>
        </w:rPr>
        <w:t>內政部擬定「</w:t>
      </w:r>
      <w:r w:rsidR="009468F3" w:rsidRPr="009468F3">
        <w:rPr>
          <w:rFonts w:hAnsi="標楷體" w:hint="eastAsia"/>
          <w:b/>
          <w:color w:val="000000"/>
        </w:rPr>
        <w:t>桃園國際機場園區及附近地區特定區計畫</w:t>
      </w:r>
      <w:r w:rsidRPr="007C7CEB">
        <w:rPr>
          <w:rFonts w:hAnsi="標楷體" w:hint="eastAsia"/>
          <w:b/>
          <w:color w:val="000000"/>
        </w:rPr>
        <w:t>」，業經該部區域計畫委員會審查通過，採新訂都市計畫辦理，其實質計畫內容，正依法進行審議中</w:t>
      </w:r>
      <w:r>
        <w:rPr>
          <w:rFonts w:hAnsi="標楷體" w:hint="eastAsia"/>
          <w:b/>
          <w:color w:val="000000"/>
        </w:rPr>
        <w:t>，</w:t>
      </w:r>
      <w:r w:rsidR="009468F3">
        <w:rPr>
          <w:rFonts w:hAnsi="標楷體" w:hint="eastAsia"/>
          <w:b/>
          <w:color w:val="000000"/>
        </w:rPr>
        <w:t>迄今</w:t>
      </w:r>
      <w:r>
        <w:rPr>
          <w:rFonts w:hAnsi="標楷體" w:hint="eastAsia"/>
          <w:b/>
          <w:color w:val="000000"/>
        </w:rPr>
        <w:t>辦理程序</w:t>
      </w:r>
      <w:r w:rsidR="00164CED">
        <w:rPr>
          <w:rFonts w:hAnsi="標楷體" w:hint="eastAsia"/>
          <w:b/>
          <w:color w:val="000000"/>
        </w:rPr>
        <w:t>與</w:t>
      </w:r>
      <w:r w:rsidR="008D215D">
        <w:rPr>
          <w:rFonts w:hAnsi="標楷體" w:hint="eastAsia"/>
          <w:b/>
          <w:color w:val="000000"/>
        </w:rPr>
        <w:t>相關法令規定</w:t>
      </w:r>
      <w:r w:rsidR="00423D22" w:rsidRPr="00423D22">
        <w:rPr>
          <w:rFonts w:hint="eastAsia"/>
          <w:b/>
          <w:bCs w:val="0"/>
        </w:rPr>
        <w:t>，</w:t>
      </w:r>
      <w:r w:rsidR="00D3441C">
        <w:rPr>
          <w:rFonts w:hint="eastAsia"/>
          <w:b/>
          <w:bCs w:val="0"/>
        </w:rPr>
        <w:t>雖</w:t>
      </w:r>
      <w:r w:rsidR="008D215D">
        <w:rPr>
          <w:rFonts w:hint="eastAsia"/>
          <w:b/>
          <w:bCs w:val="0"/>
        </w:rPr>
        <w:t>尚無不合</w:t>
      </w:r>
      <w:r w:rsidR="00D3441C">
        <w:rPr>
          <w:rFonts w:hint="eastAsia"/>
          <w:b/>
          <w:bCs w:val="0"/>
        </w:rPr>
        <w:t>，惟</w:t>
      </w:r>
      <w:r w:rsidR="005D1B8D">
        <w:rPr>
          <w:rFonts w:hint="eastAsia"/>
          <w:b/>
          <w:bCs w:val="0"/>
        </w:rPr>
        <w:t>本計畫</w:t>
      </w:r>
      <w:r w:rsidR="00CE58BC">
        <w:rPr>
          <w:rFonts w:hint="eastAsia"/>
          <w:b/>
          <w:bCs w:val="0"/>
        </w:rPr>
        <w:t>係我國</w:t>
      </w:r>
      <w:r w:rsidR="002A4A6C">
        <w:rPr>
          <w:rFonts w:hint="eastAsia"/>
          <w:b/>
          <w:bCs w:val="0"/>
        </w:rPr>
        <w:t>歷年</w:t>
      </w:r>
      <w:r w:rsidR="00A80BF3">
        <w:rPr>
          <w:rFonts w:hint="eastAsia"/>
          <w:b/>
          <w:bCs w:val="0"/>
        </w:rPr>
        <w:t>來</w:t>
      </w:r>
      <w:r w:rsidR="005D1B8D" w:rsidRPr="009468F3">
        <w:rPr>
          <w:rFonts w:hint="eastAsia"/>
          <w:b/>
          <w:bCs w:val="0"/>
        </w:rPr>
        <w:t>規模最大之</w:t>
      </w:r>
      <w:r w:rsidR="009468F3" w:rsidRPr="009468F3">
        <w:rPr>
          <w:rFonts w:hint="eastAsia"/>
          <w:b/>
          <w:bCs w:val="0"/>
        </w:rPr>
        <w:t>區段徵收</w:t>
      </w:r>
      <w:r w:rsidR="002A4A6C">
        <w:rPr>
          <w:rFonts w:hint="eastAsia"/>
          <w:b/>
          <w:bCs w:val="0"/>
        </w:rPr>
        <w:t>開發</w:t>
      </w:r>
      <w:r w:rsidR="009468F3" w:rsidRPr="009468F3">
        <w:rPr>
          <w:rFonts w:hint="eastAsia"/>
          <w:b/>
          <w:bCs w:val="0"/>
        </w:rPr>
        <w:t>案</w:t>
      </w:r>
      <w:r w:rsidR="004C6918">
        <w:rPr>
          <w:rFonts w:hint="eastAsia"/>
          <w:b/>
          <w:bCs w:val="0"/>
        </w:rPr>
        <w:t>，</w:t>
      </w:r>
      <w:r w:rsidR="00A80BF3">
        <w:rPr>
          <w:rFonts w:hint="eastAsia"/>
          <w:b/>
          <w:bCs w:val="0"/>
        </w:rPr>
        <w:t>徵收面積高達3,126公頃，幾佔已辦理區段徵收面積的一半，</w:t>
      </w:r>
      <w:r w:rsidR="002A4A6C">
        <w:rPr>
          <w:rFonts w:hint="eastAsia"/>
          <w:b/>
          <w:bCs w:val="0"/>
        </w:rPr>
        <w:t>政府部門</w:t>
      </w:r>
      <w:r w:rsidR="00D27EB3">
        <w:rPr>
          <w:rFonts w:hint="eastAsia"/>
          <w:b/>
          <w:bCs w:val="0"/>
        </w:rPr>
        <w:t>允</w:t>
      </w:r>
      <w:r w:rsidR="005D1B8D">
        <w:rPr>
          <w:rFonts w:hint="eastAsia"/>
          <w:b/>
          <w:bCs w:val="0"/>
        </w:rPr>
        <w:t>應妥慎務實規劃與執行</w:t>
      </w:r>
      <w:r w:rsidR="009468F3" w:rsidRPr="009468F3">
        <w:rPr>
          <w:rFonts w:hint="eastAsia"/>
          <w:b/>
          <w:bCs w:val="0"/>
        </w:rPr>
        <w:t>，</w:t>
      </w:r>
      <w:r w:rsidR="00A85958">
        <w:rPr>
          <w:rFonts w:hint="eastAsia"/>
          <w:b/>
          <w:bCs w:val="0"/>
        </w:rPr>
        <w:t>以</w:t>
      </w:r>
      <w:r w:rsidR="002A4A6C">
        <w:rPr>
          <w:rFonts w:hint="eastAsia"/>
          <w:b/>
          <w:bCs w:val="0"/>
        </w:rPr>
        <w:t>真正</w:t>
      </w:r>
      <w:r w:rsidR="00A85958">
        <w:rPr>
          <w:rFonts w:hint="eastAsia"/>
          <w:b/>
          <w:bCs w:val="0"/>
        </w:rPr>
        <w:t>達成計畫整體效益</w:t>
      </w:r>
      <w:r w:rsidR="00D27EB3">
        <w:rPr>
          <w:rFonts w:hint="eastAsia"/>
          <w:b/>
          <w:bCs w:val="0"/>
        </w:rPr>
        <w:t>，</w:t>
      </w:r>
      <w:r w:rsidR="00E2043F">
        <w:rPr>
          <w:rFonts w:hint="eastAsia"/>
          <w:b/>
          <w:bCs w:val="0"/>
        </w:rPr>
        <w:t>並</w:t>
      </w:r>
      <w:r w:rsidR="00385703">
        <w:rPr>
          <w:rFonts w:hint="eastAsia"/>
          <w:b/>
          <w:bCs w:val="0"/>
        </w:rPr>
        <w:t>確實</w:t>
      </w:r>
      <w:r w:rsidR="00E2043F">
        <w:rPr>
          <w:rFonts w:hint="eastAsia"/>
          <w:b/>
          <w:bCs w:val="0"/>
        </w:rPr>
        <w:t>維護憲法保障人民之基本權利</w:t>
      </w:r>
      <w:r w:rsidR="009468F3" w:rsidRPr="009468F3">
        <w:rPr>
          <w:rFonts w:hint="eastAsia"/>
          <w:b/>
          <w:bCs w:val="0"/>
        </w:rPr>
        <w:t>。</w:t>
      </w:r>
    </w:p>
    <w:p w:rsidR="00232566" w:rsidRPr="00232566" w:rsidRDefault="00232566" w:rsidP="00FE53CD">
      <w:pPr>
        <w:pStyle w:val="3"/>
        <w:ind w:left="1360" w:hanging="680"/>
      </w:pPr>
      <w:bookmarkStart w:id="27" w:name="_Toc525066147"/>
      <w:bookmarkStart w:id="28" w:name="_Toc525070838"/>
      <w:bookmarkStart w:id="29" w:name="_Toc525938378"/>
      <w:bookmarkStart w:id="30" w:name="_Toc525939226"/>
      <w:bookmarkStart w:id="31" w:name="_Toc525939731"/>
      <w:bookmarkStart w:id="32" w:name="_Toc529218271"/>
      <w:bookmarkStart w:id="33" w:name="_Toc529222688"/>
      <w:bookmarkStart w:id="34" w:name="_Toc529223110"/>
      <w:bookmarkStart w:id="35" w:name="_Toc529223861"/>
      <w:bookmarkStart w:id="36" w:name="_Toc529228264"/>
      <w:bookmarkStart w:id="37" w:name="_Toc2400394"/>
      <w:bookmarkStart w:id="38" w:name="_Toc4316188"/>
      <w:bookmarkStart w:id="39" w:name="_Toc4473329"/>
      <w:bookmarkStart w:id="40" w:name="_Toc69556896"/>
      <w:bookmarkStart w:id="41" w:name="_Toc69556945"/>
      <w:bookmarkStart w:id="42" w:name="_Toc69609819"/>
      <w:r w:rsidRPr="000D2270">
        <w:rPr>
          <w:rFonts w:hint="eastAsia"/>
          <w:bCs w:val="0"/>
        </w:rPr>
        <w:t>按土地徵收乃對人民受憲法保障之基本權利予以強制性之侵犯，依憲法第23條規定，國家必須有正當之理由，而且要有法律依據，方得為之。亦即，土地徵收之前提，是所擬興辦之公共事業或徵收之目的須存在足以剝奪私人財產權之公共利益。由於徵收行為，係以人民基本權利具體的損失為其代價，故其所應具備之公益性與必要性，必須經過一個具體的公益與私益衡量，始足當之。</w:t>
      </w:r>
      <w:r w:rsidRPr="000D2270">
        <w:rPr>
          <w:rFonts w:hAnsi="標楷體" w:hint="eastAsia"/>
        </w:rPr>
        <w:t>近年來因苗栗大埔地區區段徵收案，引發民眾強烈的反對與抗爭，該案徵收處分業經</w:t>
      </w:r>
      <w:proofErr w:type="gramStart"/>
      <w:r w:rsidRPr="000D2270">
        <w:rPr>
          <w:rFonts w:hAnsi="標楷體" w:hint="eastAsia"/>
        </w:rPr>
        <w:t>臺</w:t>
      </w:r>
      <w:proofErr w:type="gramEnd"/>
      <w:r w:rsidRPr="000D2270">
        <w:rPr>
          <w:rFonts w:hAnsi="標楷體" w:hint="eastAsia"/>
        </w:rPr>
        <w:t>中高等行政法院</w:t>
      </w:r>
      <w:proofErr w:type="gramStart"/>
      <w:r w:rsidRPr="000D2270">
        <w:rPr>
          <w:rFonts w:hAnsi="標楷體" w:hint="eastAsia"/>
        </w:rPr>
        <w:t>101</w:t>
      </w:r>
      <w:proofErr w:type="gramEnd"/>
      <w:r w:rsidRPr="000D2270">
        <w:rPr>
          <w:rFonts w:hAnsi="標楷體" w:hint="eastAsia"/>
        </w:rPr>
        <w:t>年度訴更一字第47號判決撤銷，對於徵收的公益性及其程序</w:t>
      </w:r>
      <w:r w:rsidRPr="000D2270">
        <w:rPr>
          <w:rFonts w:hAnsi="標楷體" w:hint="eastAsia"/>
        </w:rPr>
        <w:lastRenderedPageBreak/>
        <w:t>提出諸多質疑。</w:t>
      </w:r>
      <w:proofErr w:type="gramStart"/>
      <w:r>
        <w:rPr>
          <w:rFonts w:hAnsi="標楷體" w:hint="eastAsia"/>
        </w:rPr>
        <w:t>此外，</w:t>
      </w:r>
      <w:proofErr w:type="gramEnd"/>
      <w:r>
        <w:rPr>
          <w:rFonts w:hAnsi="標楷體" w:hint="eastAsia"/>
        </w:rPr>
        <w:t>依</w:t>
      </w:r>
      <w:r w:rsidRPr="000D2270">
        <w:rPr>
          <w:rFonts w:hint="eastAsia"/>
          <w:bCs w:val="0"/>
        </w:rPr>
        <w:t>內政部統計資料，</w:t>
      </w:r>
      <w:r w:rsidRPr="000D2270">
        <w:rPr>
          <w:rFonts w:hAnsi="標楷體" w:hint="eastAsia"/>
        </w:rPr>
        <w:t>截至103年3月底止，全國已</w:t>
      </w:r>
      <w:proofErr w:type="gramStart"/>
      <w:r w:rsidRPr="000D2270">
        <w:rPr>
          <w:rFonts w:hAnsi="標楷體" w:hint="eastAsia"/>
        </w:rPr>
        <w:t>辦竣及</w:t>
      </w:r>
      <w:proofErr w:type="gramEnd"/>
      <w:r w:rsidRPr="000D2270">
        <w:rPr>
          <w:rFonts w:hAnsi="標楷體" w:hint="eastAsia"/>
        </w:rPr>
        <w:t>辦理中之區段徵收區計有107處，開發面積達7,832.26公頃。另都市計畫規劃應辦理區段徵收，但尚未辦理地區，仍有3,597.11公頃，其中尚無預計辦理</w:t>
      </w:r>
      <w:proofErr w:type="gramStart"/>
      <w:r w:rsidRPr="000D2270">
        <w:rPr>
          <w:rFonts w:hAnsi="標楷體" w:hint="eastAsia"/>
        </w:rPr>
        <w:t>期程者竟</w:t>
      </w:r>
      <w:proofErr w:type="gramEnd"/>
      <w:r w:rsidRPr="000D2270">
        <w:rPr>
          <w:rFonts w:hAnsi="標楷體" w:hint="eastAsia"/>
        </w:rPr>
        <w:t>達2,838.81公頃。</w:t>
      </w:r>
      <w:proofErr w:type="gramStart"/>
      <w:r w:rsidR="00ED25C1">
        <w:rPr>
          <w:rFonts w:hAnsi="標楷體" w:hint="eastAsia"/>
        </w:rPr>
        <w:t>此外</w:t>
      </w:r>
      <w:r w:rsidRPr="000D2270">
        <w:rPr>
          <w:rFonts w:hAnsi="標楷體" w:hint="eastAsia"/>
        </w:rPr>
        <w:t>，</w:t>
      </w:r>
      <w:proofErr w:type="gramEnd"/>
      <w:r w:rsidRPr="000D2270">
        <w:rPr>
          <w:rFonts w:hAnsi="標楷體" w:hint="eastAsia"/>
        </w:rPr>
        <w:t>都市計畫發布實施日期最早有自68年6月，最新則為97年7月，區段徵收延宕開發，短則5年，長則已超過35年，究其尚未辦理之原因，無外乎財務評估不可行、尚未擬定細部計畫、地主反對、尚無開發需求、開發面積過小不符開發效益等，此皆未經審慎規劃即予以訂定，</w:t>
      </w:r>
      <w:r>
        <w:rPr>
          <w:rFonts w:hAnsi="標楷體" w:hint="eastAsia"/>
        </w:rPr>
        <w:t>或雖已訂定卻未依相關規定確實執行，</w:t>
      </w:r>
      <w:r w:rsidRPr="000D2270">
        <w:rPr>
          <w:rFonts w:hAnsi="標楷體" w:hint="eastAsia"/>
        </w:rPr>
        <w:t>終致最後無法</w:t>
      </w:r>
      <w:r>
        <w:rPr>
          <w:rFonts w:hAnsi="標楷體" w:hint="eastAsia"/>
        </w:rPr>
        <w:t>開發</w:t>
      </w:r>
      <w:r w:rsidRPr="000D2270">
        <w:rPr>
          <w:rFonts w:hAnsi="標楷體" w:hint="eastAsia"/>
        </w:rPr>
        <w:t>之</w:t>
      </w:r>
      <w:r>
        <w:rPr>
          <w:rFonts w:hAnsi="標楷體" w:hint="eastAsia"/>
        </w:rPr>
        <w:t>實</w:t>
      </w:r>
      <w:r w:rsidRPr="000D2270">
        <w:rPr>
          <w:rFonts w:hAnsi="標楷體" w:hint="eastAsia"/>
        </w:rPr>
        <w:t>例</w:t>
      </w:r>
      <w:r>
        <w:rPr>
          <w:rFonts w:hAnsi="標楷體" w:hint="eastAsia"/>
        </w:rPr>
        <w:t>，</w:t>
      </w:r>
      <w:proofErr w:type="gramStart"/>
      <w:r>
        <w:rPr>
          <w:rFonts w:hAnsi="標楷體" w:hint="eastAsia"/>
        </w:rPr>
        <w:t>合先敘</w:t>
      </w:r>
      <w:proofErr w:type="gramEnd"/>
      <w:r>
        <w:rPr>
          <w:rFonts w:hAnsi="標楷體" w:hint="eastAsia"/>
        </w:rPr>
        <w:t>明</w:t>
      </w:r>
      <w:r w:rsidRPr="000D2270">
        <w:rPr>
          <w:rFonts w:hAnsi="標楷體" w:hint="eastAsia"/>
        </w:rPr>
        <w:t>。</w:t>
      </w:r>
    </w:p>
    <w:p w:rsidR="009A7A81" w:rsidRDefault="00232566" w:rsidP="00FE53CD">
      <w:pPr>
        <w:pStyle w:val="3"/>
        <w:ind w:left="1360" w:hanging="680"/>
      </w:pPr>
      <w:proofErr w:type="gramStart"/>
      <w:r>
        <w:rPr>
          <w:rFonts w:hAnsi="標楷體" w:hint="eastAsia"/>
        </w:rPr>
        <w:t>復</w:t>
      </w:r>
      <w:r w:rsidR="00D774E4" w:rsidRPr="0036422B">
        <w:rPr>
          <w:rFonts w:hint="eastAsia"/>
        </w:rPr>
        <w:t>按</w:t>
      </w:r>
      <w:r w:rsidR="009010C6">
        <w:rPr>
          <w:rFonts w:hint="eastAsia"/>
        </w:rPr>
        <w:t>國際機場</w:t>
      </w:r>
      <w:proofErr w:type="gramEnd"/>
      <w:r w:rsidR="009010C6">
        <w:rPr>
          <w:rFonts w:hint="eastAsia"/>
        </w:rPr>
        <w:t>園區發展條例第1條規定：「為提升國家競爭力，並促進國際機場園區及航空城發展，進而帶動區域產業及經濟</w:t>
      </w:r>
      <w:proofErr w:type="gramStart"/>
      <w:r w:rsidR="009010C6">
        <w:rPr>
          <w:rFonts w:hint="eastAsia"/>
        </w:rPr>
        <w:t>繁榮，</w:t>
      </w:r>
      <w:proofErr w:type="gramEnd"/>
      <w:r w:rsidR="009010C6">
        <w:rPr>
          <w:rFonts w:hint="eastAsia"/>
        </w:rPr>
        <w:t>特制定本條例。」</w:t>
      </w:r>
      <w:r w:rsidR="00D707C2">
        <w:rPr>
          <w:rFonts w:hint="eastAsia"/>
        </w:rPr>
        <w:t>第2條規定：「</w:t>
      </w:r>
      <w:r w:rsidR="00D707C2" w:rsidRPr="00D707C2">
        <w:rPr>
          <w:rFonts w:hint="eastAsia"/>
        </w:rPr>
        <w:t>本條例之主管機關為交通部。</w:t>
      </w:r>
      <w:r w:rsidR="00D707C2">
        <w:rPr>
          <w:rFonts w:hint="eastAsia"/>
        </w:rPr>
        <w:t>」</w:t>
      </w:r>
      <w:r w:rsidR="009010C6">
        <w:rPr>
          <w:rFonts w:hint="eastAsia"/>
        </w:rPr>
        <w:t>第3條規定：「本條例用詞，定義如下：一、機場專用區：指主管機關劃定提供航空運輸服務所需之機場範圍。二、國際機場園區：指機場專用區及其區內或毗鄰之自由貿易港區（以下簡稱自由港區）。三、航空城：指國際機場園區周邊因機場活動所衍生發展之各類商業、加工製造、會議展覽、休閒娛樂及住宅等相關使用之區域。…」</w:t>
      </w:r>
      <w:r w:rsidR="0024434D">
        <w:rPr>
          <w:rFonts w:hint="eastAsia"/>
        </w:rPr>
        <w:t>第5條規定：「</w:t>
      </w:r>
      <w:r w:rsidR="0024434D" w:rsidRPr="0024434D">
        <w:rPr>
          <w:rFonts w:hint="eastAsia"/>
        </w:rPr>
        <w:t>主管機關應擬訂園區綱要計畫，報行政院核定；變更時，亦同。</w:t>
      </w:r>
      <w:r w:rsidR="0024434D">
        <w:rPr>
          <w:rFonts w:hint="eastAsia"/>
        </w:rPr>
        <w:t>…」</w:t>
      </w:r>
      <w:r w:rsidR="000D069E">
        <w:rPr>
          <w:rFonts w:hint="eastAsia"/>
        </w:rPr>
        <w:t>第9條規定：「主管機關得依第五條第一項園區綱要計畫，商請中央都市計畫主管機關擬訂園區特定區計畫。…」第11條規定：「主管機關核定園區實施計畫所需新增之土地，…其為私有者，由機場公司與所有權人協議價購或以其他</w:t>
      </w:r>
      <w:r w:rsidR="000D069E">
        <w:rPr>
          <w:rFonts w:hint="eastAsia"/>
        </w:rPr>
        <w:lastRenderedPageBreak/>
        <w:t>方式取得使用權利，協議價購或以其他方式取得使用權利已達計畫新增用地面積百分之五十，而其他新增計畫用地無法價購或取得使用權利時，得依法申請徵收。必要時，得由主管機關指定交通部民用航空局（以下簡稱民航局）依法辦理撥用、徵收或區段徵收。…」</w:t>
      </w:r>
    </w:p>
    <w:p w:rsidR="000D069E" w:rsidRPr="000D069E" w:rsidRDefault="000D069E" w:rsidP="00FE53CD">
      <w:pPr>
        <w:pStyle w:val="3"/>
        <w:ind w:left="1360" w:hanging="680"/>
        <w:rPr>
          <w:bCs w:val="0"/>
        </w:rPr>
      </w:pPr>
      <w:r>
        <w:rPr>
          <w:rFonts w:hint="eastAsia"/>
          <w:bCs w:val="0"/>
        </w:rPr>
        <w:t>另</w:t>
      </w:r>
      <w:r w:rsidRPr="00691609">
        <w:rPr>
          <w:rFonts w:hint="eastAsia"/>
          <w:bCs w:val="0"/>
        </w:rPr>
        <w:t>按都市計畫法第12條規定：「為發展工業或為保持優美風景或因其他目的而劃定之特定地區，應擬定特定區計畫。」第14條第1項規定：「特定區計畫，必要時，得由內政部訂定之。」</w:t>
      </w:r>
      <w:r w:rsidR="008528D2" w:rsidRPr="008528D2">
        <w:rPr>
          <w:rFonts w:hint="eastAsia"/>
          <w:bCs w:val="0"/>
        </w:rPr>
        <w:t>第</w:t>
      </w:r>
      <w:r w:rsidR="008528D2">
        <w:rPr>
          <w:rFonts w:hint="eastAsia"/>
          <w:bCs w:val="0"/>
        </w:rPr>
        <w:t>19</w:t>
      </w:r>
      <w:r w:rsidR="008528D2" w:rsidRPr="008528D2">
        <w:rPr>
          <w:rFonts w:hint="eastAsia"/>
          <w:bCs w:val="0"/>
        </w:rPr>
        <w:t>條</w:t>
      </w:r>
      <w:r w:rsidR="00E85D25">
        <w:rPr>
          <w:rFonts w:hint="eastAsia"/>
          <w:bCs w:val="0"/>
        </w:rPr>
        <w:t>第1項</w:t>
      </w:r>
      <w:r w:rsidR="008528D2">
        <w:rPr>
          <w:rFonts w:hint="eastAsia"/>
          <w:bCs w:val="0"/>
        </w:rPr>
        <w:t>規定：「</w:t>
      </w:r>
      <w:r w:rsidR="008528D2" w:rsidRPr="008528D2">
        <w:rPr>
          <w:rFonts w:hint="eastAsia"/>
          <w:bCs w:val="0"/>
        </w:rPr>
        <w:t>主要計畫擬定後，送該管政府都市計畫委員會審議前，應於各該直轄市、縣（市）（局）政府及鄉、鎮、縣轄市公所公開展覽三十天及舉行說明會，並應將公開展覽及說明會之日期及地點登報周知；任何公民或團體得於公開展覽期間內，以書面載明姓名或名稱及地址，向該管政府提出意見，由該管政府都市計畫委員會予以參考審議，連同審議結果及主要計畫一併報請內政部核定之。</w:t>
      </w:r>
      <w:r w:rsidR="008528D2">
        <w:rPr>
          <w:rFonts w:hint="eastAsia"/>
          <w:bCs w:val="0"/>
        </w:rPr>
        <w:t>」</w:t>
      </w:r>
      <w:r w:rsidRPr="00691609">
        <w:rPr>
          <w:rFonts w:hint="eastAsia"/>
          <w:bCs w:val="0"/>
        </w:rPr>
        <w:t>第20條規定：「主要計畫應依左列規定分別層報核定之：</w:t>
      </w:r>
      <w:r>
        <w:rPr>
          <w:rFonts w:hint="eastAsia"/>
        </w:rPr>
        <w:t>…</w:t>
      </w:r>
      <w:proofErr w:type="gramStart"/>
      <w:r>
        <w:rPr>
          <w:rFonts w:hint="eastAsia"/>
        </w:rPr>
        <w:t>…</w:t>
      </w:r>
      <w:proofErr w:type="gramEnd"/>
      <w:r w:rsidRPr="00691609">
        <w:rPr>
          <w:rFonts w:hint="eastAsia"/>
          <w:bCs w:val="0"/>
        </w:rPr>
        <w:t>五、特定區計畫由縣（市）（局）政府擬定者，由內政部核定；直轄市政府擬定者，由內政部核定，轉報行政院備案；內政部</w:t>
      </w:r>
      <w:proofErr w:type="gramStart"/>
      <w:r w:rsidRPr="00691609">
        <w:rPr>
          <w:rFonts w:hint="eastAsia"/>
          <w:bCs w:val="0"/>
        </w:rPr>
        <w:t>訂定者</w:t>
      </w:r>
      <w:proofErr w:type="gramEnd"/>
      <w:r w:rsidRPr="00691609">
        <w:rPr>
          <w:rFonts w:hint="eastAsia"/>
          <w:bCs w:val="0"/>
        </w:rPr>
        <w:t>，報行政院備案。主要計畫在區域計畫地區範圍內者，內政部在訂定或核定前，應先徵詢各該區域計畫機構之意見。</w:t>
      </w:r>
      <w:r>
        <w:rPr>
          <w:rFonts w:hint="eastAsia"/>
        </w:rPr>
        <w:t>…</w:t>
      </w:r>
      <w:r w:rsidRPr="00691609">
        <w:rPr>
          <w:rFonts w:hint="eastAsia"/>
          <w:bCs w:val="0"/>
        </w:rPr>
        <w:t>」</w:t>
      </w:r>
      <w:r w:rsidR="00BF5A9E">
        <w:rPr>
          <w:rFonts w:hint="eastAsia"/>
          <w:bCs w:val="0"/>
        </w:rPr>
        <w:t>故</w:t>
      </w:r>
      <w:r w:rsidRPr="00A04EC5">
        <w:rPr>
          <w:rFonts w:hAnsi="標楷體" w:hint="eastAsia"/>
          <w:bCs w:val="0"/>
          <w:color w:val="000000"/>
          <w:szCs w:val="32"/>
        </w:rPr>
        <w:t>都市計畫之擬定、變更、發布及實施，</w:t>
      </w:r>
      <w:r w:rsidR="00BF5A9E">
        <w:rPr>
          <w:rFonts w:hAnsi="標楷體" w:hint="eastAsia"/>
          <w:bCs w:val="0"/>
          <w:color w:val="000000"/>
          <w:szCs w:val="32"/>
        </w:rPr>
        <w:t>雖</w:t>
      </w:r>
      <w:r w:rsidRPr="00A04EC5">
        <w:rPr>
          <w:rFonts w:hAnsi="標楷體" w:hint="eastAsia"/>
          <w:bCs w:val="0"/>
          <w:color w:val="000000"/>
          <w:szCs w:val="32"/>
        </w:rPr>
        <w:t>按都市計畫法相關規定辦理，</w:t>
      </w:r>
      <w:r w:rsidR="00BF5A9E">
        <w:rPr>
          <w:rFonts w:hAnsi="標楷體" w:hint="eastAsia"/>
          <w:bCs w:val="0"/>
          <w:color w:val="000000"/>
          <w:szCs w:val="32"/>
        </w:rPr>
        <w:t>惟</w:t>
      </w:r>
      <w:proofErr w:type="gramStart"/>
      <w:r w:rsidRPr="00A04EC5">
        <w:rPr>
          <w:rFonts w:hAnsi="標楷體" w:hint="eastAsia"/>
          <w:bCs w:val="0"/>
          <w:color w:val="000000"/>
          <w:szCs w:val="32"/>
        </w:rPr>
        <w:t>鑑</w:t>
      </w:r>
      <w:proofErr w:type="gramEnd"/>
      <w:r w:rsidRPr="00A04EC5">
        <w:rPr>
          <w:rFonts w:hAnsi="標楷體" w:hint="eastAsia"/>
          <w:bCs w:val="0"/>
          <w:color w:val="000000"/>
          <w:szCs w:val="32"/>
        </w:rPr>
        <w:t>於都市發展用地有供過於求之情況，都市計畫應透過區域整體性觀點，審視其新訂或擴大之合理性，並避免重複投資浪費，內政部於84~86年間公告實施之臺灣</w:t>
      </w:r>
      <w:proofErr w:type="gramStart"/>
      <w:r w:rsidRPr="00A04EC5">
        <w:rPr>
          <w:rFonts w:hAnsi="標楷體" w:hint="eastAsia"/>
          <w:bCs w:val="0"/>
          <w:color w:val="000000"/>
          <w:szCs w:val="32"/>
        </w:rPr>
        <w:t>北部、中部、南部</w:t>
      </w:r>
      <w:proofErr w:type="gramEnd"/>
      <w:r w:rsidRPr="00A04EC5">
        <w:rPr>
          <w:rFonts w:hAnsi="標楷體" w:hint="eastAsia"/>
          <w:bCs w:val="0"/>
          <w:color w:val="000000"/>
          <w:szCs w:val="32"/>
        </w:rPr>
        <w:t>及東部區域計畫(第一次通盤檢討)案內，規定</w:t>
      </w:r>
      <w:r w:rsidRPr="00A04EC5">
        <w:rPr>
          <w:rFonts w:hAnsi="標楷體" w:hint="eastAsia"/>
          <w:bCs w:val="0"/>
          <w:color w:val="000000"/>
          <w:szCs w:val="32"/>
        </w:rPr>
        <w:lastRenderedPageBreak/>
        <w:t>「新訂或擴大都市計畫其區位、規模、機能應徵得區域計畫委員會之同意」，並於86年9月26日頒布「新訂或擴大都市計畫執行要點」</w:t>
      </w:r>
      <w:r>
        <w:rPr>
          <w:rStyle w:val="af3"/>
          <w:rFonts w:hAnsi="標楷體"/>
          <w:bCs w:val="0"/>
          <w:color w:val="000000"/>
          <w:szCs w:val="32"/>
        </w:rPr>
        <w:footnoteReference w:id="1"/>
      </w:r>
      <w:r w:rsidRPr="00A04EC5">
        <w:rPr>
          <w:rFonts w:hAnsi="標楷體" w:hint="eastAsia"/>
          <w:bCs w:val="0"/>
          <w:color w:val="000000"/>
          <w:szCs w:val="32"/>
        </w:rPr>
        <w:t>，規範新訂或擴大都市計畫申請案件，</w:t>
      </w:r>
      <w:proofErr w:type="gramStart"/>
      <w:r w:rsidRPr="00A04EC5">
        <w:rPr>
          <w:rFonts w:hAnsi="標楷體" w:hint="eastAsia"/>
          <w:bCs w:val="0"/>
          <w:color w:val="000000"/>
          <w:szCs w:val="32"/>
        </w:rPr>
        <w:t>經徵得</w:t>
      </w:r>
      <w:proofErr w:type="gramEnd"/>
      <w:r w:rsidRPr="00A04EC5">
        <w:rPr>
          <w:rFonts w:hAnsi="標楷體" w:hint="eastAsia"/>
          <w:bCs w:val="0"/>
          <w:color w:val="000000"/>
          <w:szCs w:val="32"/>
        </w:rPr>
        <w:t>區域計畫委員會同意之案件，屬可行性規劃階段，至於實質計畫內容、都市計畫圖、土地開發方式及時程等，仍須依都市計畫法規定，進行審議及核定。</w:t>
      </w:r>
      <w:r w:rsidR="00E1740F" w:rsidRPr="00573373">
        <w:rPr>
          <w:rFonts w:hAnsi="標楷體" w:hint="eastAsia"/>
        </w:rPr>
        <w:t>另配合土地徵收條例之修正，內政部都委會專案小組審議時，需用土地人應先向土地徵收審議小組報告公益性及必要性，並提供初步建議意見供都委會審議之參考</w:t>
      </w:r>
      <w:r w:rsidR="00E1740F" w:rsidRPr="00573373">
        <w:rPr>
          <w:rStyle w:val="af3"/>
          <w:rFonts w:hAnsi="標楷體"/>
        </w:rPr>
        <w:footnoteReference w:id="2"/>
      </w:r>
      <w:r w:rsidR="00E1740F" w:rsidRPr="00573373">
        <w:rPr>
          <w:rFonts w:hAnsi="標楷體" w:hint="eastAsia"/>
        </w:rPr>
        <w:t>，以提高都市計畫規劃之必要性外，並確保區段徵收執行之可行性。</w:t>
      </w:r>
    </w:p>
    <w:p w:rsidR="00365343" w:rsidRPr="00365343" w:rsidRDefault="00623587" w:rsidP="00784F3C">
      <w:pPr>
        <w:pStyle w:val="3"/>
        <w:ind w:left="1360" w:hanging="680"/>
        <w:rPr>
          <w:bCs w:val="0"/>
        </w:rPr>
      </w:pPr>
      <w:r w:rsidRPr="00784F3C">
        <w:rPr>
          <w:rFonts w:hint="eastAsia"/>
        </w:rPr>
        <w:t>本案緣於</w:t>
      </w:r>
      <w:r w:rsidR="009A7A81">
        <w:rPr>
          <w:rFonts w:hint="eastAsia"/>
        </w:rPr>
        <w:t>行政院</w:t>
      </w:r>
      <w:r w:rsidR="009A7A81">
        <w:t>98</w:t>
      </w:r>
      <w:r w:rsidR="009A7A81">
        <w:rPr>
          <w:rFonts w:hint="eastAsia"/>
        </w:rPr>
        <w:t>年</w:t>
      </w:r>
      <w:r w:rsidR="009A7A81">
        <w:t>12</w:t>
      </w:r>
      <w:r w:rsidR="009A7A81">
        <w:rPr>
          <w:rFonts w:hint="eastAsia"/>
        </w:rPr>
        <w:t>月</w:t>
      </w:r>
      <w:r w:rsidR="009A7A81">
        <w:t>2</w:t>
      </w:r>
      <w:r w:rsidR="009A7A81">
        <w:rPr>
          <w:rFonts w:hint="eastAsia"/>
        </w:rPr>
        <w:t>日核定通過「愛</w:t>
      </w:r>
      <w:proofErr w:type="gramStart"/>
      <w:r w:rsidR="009A7A81" w:rsidRPr="002E132A">
        <w:rPr>
          <w:rFonts w:hint="eastAsia"/>
        </w:rPr>
        <w:t>臺</w:t>
      </w:r>
      <w:proofErr w:type="gramEnd"/>
      <w:r w:rsidR="009A7A81">
        <w:rPr>
          <w:rFonts w:hint="eastAsia"/>
        </w:rPr>
        <w:t>12建設」總體計畫，以「活力經濟、永續</w:t>
      </w:r>
      <w:r w:rsidR="009A7A81" w:rsidRPr="002E132A">
        <w:rPr>
          <w:rFonts w:hint="eastAsia"/>
        </w:rPr>
        <w:t>臺</w:t>
      </w:r>
      <w:r w:rsidR="009A7A81">
        <w:rPr>
          <w:rFonts w:hint="eastAsia"/>
        </w:rPr>
        <w:t>灣」的</w:t>
      </w:r>
      <w:proofErr w:type="gramStart"/>
      <w:r w:rsidR="009A7A81">
        <w:rPr>
          <w:rFonts w:hint="eastAsia"/>
        </w:rPr>
        <w:t>願景再創</w:t>
      </w:r>
      <w:proofErr w:type="gramEnd"/>
      <w:r w:rsidR="009A7A81">
        <w:rPr>
          <w:rFonts w:hint="eastAsia"/>
        </w:rPr>
        <w:t>經濟新奇蹟，「桃園航空城」列為12項優先建設之</w:t>
      </w:r>
      <w:proofErr w:type="gramStart"/>
      <w:r w:rsidR="009A7A81">
        <w:rPr>
          <w:rFonts w:hint="eastAsia"/>
        </w:rPr>
        <w:t>一</w:t>
      </w:r>
      <w:proofErr w:type="gramEnd"/>
      <w:r w:rsidR="009A7A81">
        <w:rPr>
          <w:rFonts w:hint="eastAsia"/>
        </w:rPr>
        <w:t>。</w:t>
      </w:r>
      <w:proofErr w:type="gramStart"/>
      <w:r w:rsidR="007E2160">
        <w:rPr>
          <w:rFonts w:hint="eastAsia"/>
        </w:rPr>
        <w:t>嗣</w:t>
      </w:r>
      <w:proofErr w:type="gramEnd"/>
      <w:r w:rsidR="00365343" w:rsidRPr="00365343">
        <w:rPr>
          <w:rFonts w:hint="eastAsia"/>
        </w:rPr>
        <w:t>桃園航空城區域計畫於99年4月公告實施，屬綱要性之指導計畫，</w:t>
      </w:r>
      <w:r w:rsidR="007E2160">
        <w:rPr>
          <w:rFonts w:hint="eastAsia"/>
        </w:rPr>
        <w:t>須</w:t>
      </w:r>
      <w:r w:rsidR="00365343" w:rsidRPr="00365343">
        <w:rPr>
          <w:rFonts w:hint="eastAsia"/>
        </w:rPr>
        <w:t>依區域計畫法及非都市土地使用管制規則申請開發許可，惟因</w:t>
      </w:r>
      <w:r w:rsidR="007E2160">
        <w:rPr>
          <w:rFonts w:hint="eastAsia"/>
        </w:rPr>
        <w:t>某些</w:t>
      </w:r>
      <w:r w:rsidR="00365343" w:rsidRPr="00365343">
        <w:rPr>
          <w:rFonts w:hint="eastAsia"/>
        </w:rPr>
        <w:t>因素</w:t>
      </w:r>
      <w:r w:rsidR="00365343">
        <w:rPr>
          <w:rStyle w:val="af3"/>
        </w:rPr>
        <w:footnoteReference w:id="3"/>
      </w:r>
      <w:r w:rsidR="00365343" w:rsidRPr="00365343">
        <w:rPr>
          <w:rFonts w:hint="eastAsia"/>
        </w:rPr>
        <w:t>致使計畫內容難以施行。</w:t>
      </w:r>
      <w:r w:rsidR="00AD0345">
        <w:rPr>
          <w:rFonts w:hint="eastAsia"/>
        </w:rPr>
        <w:t>另</w:t>
      </w:r>
      <w:r w:rsidR="00AD0345" w:rsidRPr="002E132A">
        <w:rPr>
          <w:rFonts w:hint="eastAsia"/>
        </w:rPr>
        <w:t>交通部依據國際機場園區發展條例第5條規定</w:t>
      </w:r>
      <w:r w:rsidR="00AD0345">
        <w:rPr>
          <w:rFonts w:hint="eastAsia"/>
        </w:rPr>
        <w:t>，</w:t>
      </w:r>
      <w:r w:rsidR="00AD0345" w:rsidRPr="00A849A1">
        <w:rPr>
          <w:rFonts w:hint="eastAsia"/>
        </w:rPr>
        <w:t>擬定「臺灣桃園國際機場園區綱要計畫」（下稱桃園機場園區綱要計畫）</w:t>
      </w:r>
      <w:r w:rsidR="00AD0345">
        <w:rPr>
          <w:rFonts w:hint="eastAsia"/>
        </w:rPr>
        <w:t>報</w:t>
      </w:r>
      <w:r w:rsidR="00AD0345" w:rsidRPr="002E132A">
        <w:rPr>
          <w:rFonts w:hint="eastAsia"/>
        </w:rPr>
        <w:t>經行政院100年4月11日函示</w:t>
      </w:r>
      <w:r w:rsidR="00AD0345">
        <w:rPr>
          <w:rFonts w:hint="eastAsia"/>
        </w:rPr>
        <w:t>，</w:t>
      </w:r>
      <w:r w:rsidR="00AD0345" w:rsidRPr="002E132A">
        <w:rPr>
          <w:rFonts w:hint="eastAsia"/>
        </w:rPr>
        <w:t>本案係</w:t>
      </w:r>
      <w:r w:rsidR="00AD0345">
        <w:rPr>
          <w:rFonts w:hint="eastAsia"/>
        </w:rPr>
        <w:t>「愛</w:t>
      </w:r>
      <w:proofErr w:type="gramStart"/>
      <w:r w:rsidR="00AD0345" w:rsidRPr="002E132A">
        <w:rPr>
          <w:rFonts w:hint="eastAsia"/>
        </w:rPr>
        <w:t>臺</w:t>
      </w:r>
      <w:proofErr w:type="gramEnd"/>
      <w:r w:rsidR="00AD0345">
        <w:rPr>
          <w:rFonts w:hint="eastAsia"/>
        </w:rPr>
        <w:t>12建設」－</w:t>
      </w:r>
      <w:r w:rsidR="00AD0345" w:rsidRPr="002E132A">
        <w:rPr>
          <w:rFonts w:hint="eastAsia"/>
        </w:rPr>
        <w:t>桃園航空城之重要核心建設項目，原則同意。</w:t>
      </w:r>
      <w:r w:rsidR="009A7A81">
        <w:t>101</w:t>
      </w:r>
      <w:r w:rsidR="009A7A81">
        <w:rPr>
          <w:rFonts w:hint="eastAsia"/>
        </w:rPr>
        <w:t>年</w:t>
      </w:r>
      <w:r w:rsidR="009A7A81">
        <w:t>6</w:t>
      </w:r>
      <w:r w:rsidR="009A7A81">
        <w:rPr>
          <w:rFonts w:hint="eastAsia"/>
        </w:rPr>
        <w:t>月</w:t>
      </w:r>
      <w:r w:rsidR="009A7A81">
        <w:t>7</w:t>
      </w:r>
      <w:r w:rsidR="009A7A81">
        <w:rPr>
          <w:rFonts w:hint="eastAsia"/>
        </w:rPr>
        <w:t>日行政院第</w:t>
      </w:r>
      <w:r w:rsidR="009A7A81">
        <w:t>3301</w:t>
      </w:r>
      <w:r w:rsidR="009A7A81">
        <w:rPr>
          <w:rFonts w:hint="eastAsia"/>
        </w:rPr>
        <w:t>次會議通過「黃金十年國家願景」，「打造臺灣成為東亞海空樞紐」列為31項施政主軸之</w:t>
      </w:r>
      <w:proofErr w:type="gramStart"/>
      <w:r w:rsidR="009A7A81">
        <w:rPr>
          <w:rFonts w:hint="eastAsia"/>
        </w:rPr>
        <w:t>一</w:t>
      </w:r>
      <w:proofErr w:type="gramEnd"/>
      <w:r w:rsidR="009A7A81">
        <w:rPr>
          <w:rFonts w:hint="eastAsia"/>
        </w:rPr>
        <w:t>。以桃園國際機場為中</w:t>
      </w:r>
      <w:r w:rsidR="009A7A81">
        <w:rPr>
          <w:rFonts w:hint="eastAsia"/>
        </w:rPr>
        <w:lastRenderedPageBreak/>
        <w:t>心規劃的「桃園航空城」為建立海空樞紐施政主軸之首要旗艦計畫。</w:t>
      </w:r>
      <w:r w:rsidR="00365343" w:rsidRPr="00365343">
        <w:rPr>
          <w:rFonts w:hint="eastAsia"/>
        </w:rPr>
        <w:t>101年9月18日行政院宣布「桃園航空城核心計畫」正式啟動，於同年10月2日成立「行政院推動桃園航空城核心計畫專案小組」</w:t>
      </w:r>
      <w:r w:rsidR="00ED25C1">
        <w:rPr>
          <w:rFonts w:hint="eastAsia"/>
        </w:rPr>
        <w:t>，</w:t>
      </w:r>
      <w:r w:rsidR="00365343" w:rsidRPr="00365343">
        <w:rPr>
          <w:rFonts w:hint="eastAsia"/>
        </w:rPr>
        <w:t>統籌協調桃園航空城核心計畫之規劃、開發及招商等相關事宜，以整合跨部會資源，加速計畫推動，並於102年3月27日核定「桃園航空城機場園區建設計畫」及「桃園航空城附近地區建設計畫」為重大建設</w:t>
      </w:r>
      <w:r w:rsidR="00AC3F13">
        <w:rPr>
          <w:rStyle w:val="af3"/>
        </w:rPr>
        <w:footnoteReference w:id="4"/>
      </w:r>
      <w:r w:rsidR="00365343" w:rsidRPr="00365343">
        <w:rPr>
          <w:rFonts w:hint="eastAsia"/>
        </w:rPr>
        <w:t>。</w:t>
      </w:r>
    </w:p>
    <w:p w:rsidR="00E138A5" w:rsidRPr="00623587" w:rsidRDefault="00623587" w:rsidP="00FE53CD">
      <w:pPr>
        <w:pStyle w:val="3"/>
        <w:ind w:left="1360" w:hanging="680"/>
        <w:rPr>
          <w:bCs w:val="0"/>
        </w:rPr>
      </w:pPr>
      <w:proofErr w:type="gramStart"/>
      <w:r w:rsidRPr="00784F3C">
        <w:rPr>
          <w:rFonts w:hint="eastAsia"/>
          <w:bCs w:val="0"/>
        </w:rPr>
        <w:t>此外，</w:t>
      </w:r>
      <w:proofErr w:type="gramEnd"/>
      <w:r w:rsidR="008F1EC2" w:rsidRPr="00A44DC0">
        <w:rPr>
          <w:rFonts w:hint="eastAsia"/>
          <w:bCs w:val="0"/>
        </w:rPr>
        <w:t>交通部為落實</w:t>
      </w:r>
      <w:r w:rsidR="00AD0345" w:rsidRPr="00A849A1">
        <w:rPr>
          <w:rFonts w:hint="eastAsia"/>
        </w:rPr>
        <w:t>桃園機場園區綱要計畫</w:t>
      </w:r>
      <w:r w:rsidR="008F1EC2" w:rsidRPr="00A44DC0">
        <w:rPr>
          <w:rFonts w:hint="eastAsia"/>
          <w:bCs w:val="0"/>
        </w:rPr>
        <w:t>，依</w:t>
      </w:r>
      <w:r w:rsidR="00AD0345" w:rsidRPr="002E132A">
        <w:rPr>
          <w:rFonts w:hint="eastAsia"/>
        </w:rPr>
        <w:t>國際機場園區發展條例</w:t>
      </w:r>
      <w:r w:rsidR="008F1EC2" w:rsidRPr="00A44DC0">
        <w:rPr>
          <w:rFonts w:hint="eastAsia"/>
          <w:bCs w:val="0"/>
        </w:rPr>
        <w:t>第9條規定</w:t>
      </w:r>
      <w:r w:rsidR="00AD0345">
        <w:rPr>
          <w:rFonts w:hint="eastAsia"/>
          <w:bCs w:val="0"/>
        </w:rPr>
        <w:t>，</w:t>
      </w:r>
      <w:r w:rsidR="00AD0345" w:rsidRPr="00A44DC0">
        <w:rPr>
          <w:rFonts w:hint="eastAsia"/>
          <w:bCs w:val="0"/>
        </w:rPr>
        <w:t>於101年12月12日</w:t>
      </w:r>
      <w:r w:rsidR="002D21F5" w:rsidRPr="00A44DC0">
        <w:rPr>
          <w:rFonts w:hint="eastAsia"/>
          <w:bCs w:val="0"/>
        </w:rPr>
        <w:t>函</w:t>
      </w:r>
      <w:r w:rsidR="008F1EC2" w:rsidRPr="00A44DC0">
        <w:rPr>
          <w:rFonts w:hint="eastAsia"/>
          <w:bCs w:val="0"/>
        </w:rPr>
        <w:t>請內政部協助辦理特定區計畫擬定及審議事宜，內政部基於</w:t>
      </w:r>
      <w:r w:rsidR="002D21F5">
        <w:rPr>
          <w:rFonts w:hint="eastAsia"/>
        </w:rPr>
        <w:t>「桃園航空城」</w:t>
      </w:r>
      <w:r w:rsidR="008F1EC2" w:rsidRPr="00A44DC0">
        <w:rPr>
          <w:rFonts w:hint="eastAsia"/>
          <w:bCs w:val="0"/>
        </w:rPr>
        <w:t>係屬當前政府重要政策，經函請桃園縣政府同意後，依都市計畫法第12條規定，擬定</w:t>
      </w:r>
      <w:r w:rsidR="008F1EC2" w:rsidRPr="00A849A1">
        <w:rPr>
          <w:rFonts w:hint="eastAsia"/>
          <w:bCs w:val="0"/>
        </w:rPr>
        <w:t>「桃園國際機場園區及附近地區特定區計畫」</w:t>
      </w:r>
      <w:r w:rsidR="003D22A4" w:rsidRPr="00A849A1">
        <w:rPr>
          <w:rFonts w:hint="eastAsia"/>
          <w:bCs w:val="0"/>
        </w:rPr>
        <w:t>（下稱系爭計畫）</w:t>
      </w:r>
      <w:r w:rsidR="008F1EC2" w:rsidRPr="00A44DC0">
        <w:rPr>
          <w:rFonts w:hint="eastAsia"/>
          <w:bCs w:val="0"/>
        </w:rPr>
        <w:t>，</w:t>
      </w:r>
      <w:r w:rsidR="003D22A4" w:rsidRPr="00A44DC0">
        <w:rPr>
          <w:rFonts w:hint="eastAsia"/>
          <w:bCs w:val="0"/>
        </w:rPr>
        <w:t>並依同法第20條及「非都市土地申請新訂或擴大都市計畫作業要點」規定，</w:t>
      </w:r>
      <w:r w:rsidR="008F1EC2" w:rsidRPr="00A44DC0">
        <w:rPr>
          <w:rFonts w:hint="eastAsia"/>
          <w:bCs w:val="0"/>
        </w:rPr>
        <w:t>提請</w:t>
      </w:r>
      <w:r w:rsidR="003D22A4" w:rsidRPr="00A44DC0">
        <w:rPr>
          <w:rFonts w:hint="eastAsia"/>
          <w:bCs w:val="0"/>
        </w:rPr>
        <w:t>內政部區域計畫委員會</w:t>
      </w:r>
      <w:r w:rsidR="00366815" w:rsidRPr="00A44DC0">
        <w:rPr>
          <w:rFonts w:hint="eastAsia"/>
          <w:bCs w:val="0"/>
        </w:rPr>
        <w:t>（下稱區委會）</w:t>
      </w:r>
      <w:r w:rsidR="008F1EC2" w:rsidRPr="00A44DC0">
        <w:rPr>
          <w:rFonts w:hint="eastAsia"/>
          <w:bCs w:val="0"/>
        </w:rPr>
        <w:t>審議</w:t>
      </w:r>
      <w:r w:rsidR="003D22A4" w:rsidRPr="00A44DC0">
        <w:rPr>
          <w:rFonts w:hint="eastAsia"/>
          <w:bCs w:val="0"/>
        </w:rPr>
        <w:t>。</w:t>
      </w:r>
      <w:r w:rsidR="00366815" w:rsidRPr="00A44DC0">
        <w:rPr>
          <w:rFonts w:hint="eastAsia"/>
          <w:bCs w:val="0"/>
        </w:rPr>
        <w:t>區委</w:t>
      </w:r>
      <w:r w:rsidR="00EF1421" w:rsidRPr="00A44DC0">
        <w:rPr>
          <w:rFonts w:hint="eastAsia"/>
          <w:bCs w:val="0"/>
        </w:rPr>
        <w:t>會受理後即組成專案小，</w:t>
      </w:r>
      <w:r w:rsidR="002A7511" w:rsidRPr="00A44DC0">
        <w:rPr>
          <w:rFonts w:hint="eastAsia"/>
          <w:bCs w:val="0"/>
        </w:rPr>
        <w:t>於102年1月11日辦理現地會</w:t>
      </w:r>
      <w:proofErr w:type="gramStart"/>
      <w:r w:rsidR="002A7511" w:rsidRPr="00A44DC0">
        <w:rPr>
          <w:rFonts w:hint="eastAsia"/>
          <w:bCs w:val="0"/>
        </w:rPr>
        <w:t>勘</w:t>
      </w:r>
      <w:proofErr w:type="gramEnd"/>
      <w:r w:rsidR="002A7511" w:rsidRPr="00A44DC0">
        <w:rPr>
          <w:rFonts w:hint="eastAsia"/>
          <w:bCs w:val="0"/>
        </w:rPr>
        <w:t>，並召開3次專案小組會議，就</w:t>
      </w:r>
      <w:proofErr w:type="gramStart"/>
      <w:r w:rsidR="002A7511" w:rsidRPr="00A44DC0">
        <w:rPr>
          <w:rFonts w:hint="eastAsia"/>
          <w:bCs w:val="0"/>
        </w:rPr>
        <w:t>本案區位</w:t>
      </w:r>
      <w:proofErr w:type="gramEnd"/>
      <w:r w:rsidR="002A7511" w:rsidRPr="00A44DC0">
        <w:rPr>
          <w:rFonts w:hint="eastAsia"/>
          <w:bCs w:val="0"/>
        </w:rPr>
        <w:t>、機能、規模等相關項目進行討論後，</w:t>
      </w:r>
      <w:r w:rsidR="00EF1421" w:rsidRPr="00A44DC0">
        <w:rPr>
          <w:rFonts w:hint="eastAsia"/>
          <w:bCs w:val="0"/>
        </w:rPr>
        <w:t>提經102年4月25日</w:t>
      </w:r>
      <w:r w:rsidR="00E138A5" w:rsidRPr="00A44DC0">
        <w:rPr>
          <w:rFonts w:hint="eastAsia"/>
          <w:bCs w:val="0"/>
        </w:rPr>
        <w:t>區委會第323次</w:t>
      </w:r>
      <w:r w:rsidR="003D2022" w:rsidRPr="00A44DC0">
        <w:rPr>
          <w:rFonts w:hint="eastAsia"/>
          <w:bCs w:val="0"/>
        </w:rPr>
        <w:t>會議</w:t>
      </w:r>
      <w:r w:rsidR="00E138A5" w:rsidRPr="00A44DC0">
        <w:rPr>
          <w:rFonts w:hint="eastAsia"/>
          <w:bCs w:val="0"/>
        </w:rPr>
        <w:t>審查</w:t>
      </w:r>
      <w:r w:rsidR="00AD0345">
        <w:rPr>
          <w:rFonts w:hint="eastAsia"/>
          <w:bCs w:val="0"/>
        </w:rPr>
        <w:t>決議</w:t>
      </w:r>
      <w:r w:rsidR="00E138A5" w:rsidRPr="00A44DC0">
        <w:rPr>
          <w:rFonts w:hint="eastAsia"/>
          <w:bCs w:val="0"/>
        </w:rPr>
        <w:t>，</w:t>
      </w:r>
      <w:r w:rsidR="00AD0345" w:rsidRPr="00365343">
        <w:rPr>
          <w:rFonts w:hint="eastAsia"/>
        </w:rPr>
        <w:t>基於本計畫為行政院核定之國家重大建設計畫，為提升桃園機場服務機能，就區位、規模及機能等項目原則同意，辦理新訂都市計畫</w:t>
      </w:r>
      <w:r w:rsidR="007F7922">
        <w:rPr>
          <w:rStyle w:val="af3"/>
        </w:rPr>
        <w:footnoteReference w:id="5"/>
      </w:r>
      <w:r w:rsidR="00AD0345" w:rsidRPr="00365343">
        <w:rPr>
          <w:rFonts w:hint="eastAsia"/>
        </w:rPr>
        <w:t>。</w:t>
      </w:r>
    </w:p>
    <w:p w:rsidR="00623587" w:rsidRPr="00C175D2" w:rsidRDefault="00A52A1E" w:rsidP="00623587">
      <w:pPr>
        <w:pStyle w:val="3"/>
        <w:ind w:left="1360" w:hanging="680"/>
      </w:pPr>
      <w:r w:rsidRPr="00E84E08">
        <w:rPr>
          <w:rFonts w:hAnsi="標楷體" w:hint="eastAsia"/>
        </w:rPr>
        <w:t>因</w:t>
      </w:r>
      <w:r w:rsidR="00623587" w:rsidRPr="00E536F0">
        <w:rPr>
          <w:rFonts w:hAnsi="標楷體" w:hint="eastAsia"/>
        </w:rPr>
        <w:t>桃園航空城係以桃園國際機場所創造客貨運輸與運籌服務的便捷性與國際連結性，吸引相關產業在其周邊群聚發展，進而形成以機場為中心的多元機</w:t>
      </w:r>
      <w:r w:rsidR="00623587" w:rsidRPr="00E536F0">
        <w:rPr>
          <w:rFonts w:hAnsi="標楷體" w:hint="eastAsia"/>
        </w:rPr>
        <w:lastRenderedPageBreak/>
        <w:t>能都會區。桃園國際機場園區可視為蛋黃，周邊產業發展區可視為蛋白；以蛋黃外溢效益帶動周邊產業發展，而周邊產業發展又反過來產生良性循環，強化核心機場多元競爭力。蛋黃與蛋白相互回饋可產生乘數放大效應，進而帶動臺灣產業轉型，從單純進出口轉型為轉運加工再出口。</w:t>
      </w:r>
      <w:proofErr w:type="gramStart"/>
      <w:r w:rsidR="00623587">
        <w:rPr>
          <w:rFonts w:hAnsi="標楷體" w:hint="eastAsia"/>
        </w:rPr>
        <w:t>故</w:t>
      </w:r>
      <w:r w:rsidR="00623587" w:rsidRPr="00D07554">
        <w:rPr>
          <w:rFonts w:hAnsi="標楷體" w:hint="eastAsia"/>
        </w:rPr>
        <w:t>系爭</w:t>
      </w:r>
      <w:proofErr w:type="gramEnd"/>
      <w:r w:rsidR="00623587" w:rsidRPr="00D07554">
        <w:rPr>
          <w:rFonts w:hAnsi="標楷體" w:hint="eastAsia"/>
        </w:rPr>
        <w:t>計畫</w:t>
      </w:r>
      <w:r w:rsidR="00623587">
        <w:rPr>
          <w:rFonts w:hAnsi="標楷體" w:hint="eastAsia"/>
        </w:rPr>
        <w:t>包含行政院</w:t>
      </w:r>
      <w:r w:rsidR="00623587" w:rsidRPr="00365343">
        <w:rPr>
          <w:rFonts w:hint="eastAsia"/>
        </w:rPr>
        <w:t>102年3月27日核定</w:t>
      </w:r>
      <w:r w:rsidR="00623587">
        <w:rPr>
          <w:rFonts w:hint="eastAsia"/>
        </w:rPr>
        <w:t>之</w:t>
      </w:r>
      <w:r w:rsidR="00623587" w:rsidRPr="00C04022">
        <w:rPr>
          <w:rFonts w:hAnsi="標楷體" w:hint="eastAsia"/>
        </w:rPr>
        <w:t>「桃園航空城機場園區建設計畫」及「桃園航空城附近地區建設計畫」</w:t>
      </w:r>
      <w:r w:rsidR="00623587">
        <w:rPr>
          <w:rFonts w:hAnsi="標楷體" w:hint="eastAsia"/>
        </w:rPr>
        <w:t>2區域</w:t>
      </w:r>
      <w:r w:rsidR="00623587" w:rsidRPr="00C04022">
        <w:rPr>
          <w:rFonts w:hAnsi="標楷體" w:hint="eastAsia"/>
        </w:rPr>
        <w:t>（如附圖</w:t>
      </w:r>
      <w:r w:rsidR="00623587">
        <w:rPr>
          <w:rFonts w:hAnsi="標楷體" w:hint="eastAsia"/>
        </w:rPr>
        <w:t>1</w:t>
      </w:r>
      <w:r w:rsidR="00623587" w:rsidRPr="00C04022">
        <w:rPr>
          <w:rFonts w:hAnsi="標楷體" w:hint="eastAsia"/>
        </w:rPr>
        <w:t>），</w:t>
      </w:r>
      <w:r w:rsidR="00623587" w:rsidRPr="00D07554">
        <w:rPr>
          <w:rFonts w:hint="eastAsia"/>
          <w:bCs w:val="0"/>
        </w:rPr>
        <w:t>總</w:t>
      </w:r>
      <w:r w:rsidR="00623587" w:rsidRPr="00D07554">
        <w:rPr>
          <w:rFonts w:hAnsi="標楷體" w:hint="eastAsia"/>
        </w:rPr>
        <w:t>面積4,771.50公頃，前者</w:t>
      </w:r>
      <w:r w:rsidR="00623587">
        <w:rPr>
          <w:rFonts w:hAnsi="標楷體" w:hint="eastAsia"/>
        </w:rPr>
        <w:t>開發主體</w:t>
      </w:r>
      <w:r w:rsidR="00623587" w:rsidRPr="00D07554">
        <w:rPr>
          <w:rFonts w:hAnsi="標楷體" w:hint="eastAsia"/>
        </w:rPr>
        <w:t>為</w:t>
      </w:r>
      <w:r w:rsidR="00623587" w:rsidRPr="00D07554">
        <w:rPr>
          <w:rFonts w:hint="eastAsia"/>
          <w:bCs w:val="0"/>
        </w:rPr>
        <w:t>交通部，包括現有機場及自由貿易港專用區，及機場擴建區範圍(擴充第三跑道用地、機場擴充用地、自由貿易港專用區及周邊地區)釋出之海軍基地及周邊地區，</w:t>
      </w:r>
      <w:r w:rsidR="00623587">
        <w:rPr>
          <w:rFonts w:hint="eastAsia"/>
          <w:bCs w:val="0"/>
        </w:rPr>
        <w:t>需辦理區段徵收</w:t>
      </w:r>
      <w:r w:rsidR="00623587" w:rsidRPr="00D07554">
        <w:rPr>
          <w:rFonts w:hint="eastAsia"/>
          <w:bCs w:val="0"/>
        </w:rPr>
        <w:t>面積計約</w:t>
      </w:r>
      <w:r w:rsidR="00623587" w:rsidRPr="00A849A1">
        <w:rPr>
          <w:rFonts w:hint="eastAsia"/>
          <w:bCs w:val="0"/>
        </w:rPr>
        <w:t>1,435</w:t>
      </w:r>
      <w:r w:rsidR="00623587" w:rsidRPr="00D07554">
        <w:rPr>
          <w:rFonts w:hint="eastAsia"/>
          <w:bCs w:val="0"/>
        </w:rPr>
        <w:t>公頃</w:t>
      </w:r>
      <w:r w:rsidR="00623587">
        <w:rPr>
          <w:rStyle w:val="af3"/>
          <w:bCs w:val="0"/>
        </w:rPr>
        <w:footnoteReference w:id="6"/>
      </w:r>
      <w:r w:rsidR="00623587" w:rsidRPr="00D07554">
        <w:rPr>
          <w:rFonts w:hint="eastAsia"/>
          <w:bCs w:val="0"/>
        </w:rPr>
        <w:t>，開發總</w:t>
      </w:r>
      <w:proofErr w:type="gramStart"/>
      <w:r w:rsidR="00623587" w:rsidRPr="00D07554">
        <w:rPr>
          <w:rFonts w:hint="eastAsia"/>
          <w:bCs w:val="0"/>
        </w:rPr>
        <w:t>經費約</w:t>
      </w:r>
      <w:r w:rsidR="00623587" w:rsidRPr="00372330">
        <w:rPr>
          <w:rFonts w:hint="eastAsia"/>
        </w:rPr>
        <w:t>新</w:t>
      </w:r>
      <w:r w:rsidR="00623587">
        <w:rPr>
          <w:rFonts w:hint="eastAsia"/>
        </w:rPr>
        <w:t>臺</w:t>
      </w:r>
      <w:r w:rsidR="00623587" w:rsidRPr="00372330">
        <w:rPr>
          <w:rFonts w:hint="eastAsia"/>
        </w:rPr>
        <w:t>幣</w:t>
      </w:r>
      <w:proofErr w:type="gramEnd"/>
      <w:r w:rsidR="00623587">
        <w:rPr>
          <w:rFonts w:hint="eastAsia"/>
        </w:rPr>
        <w:t>（下同）</w:t>
      </w:r>
      <w:r w:rsidR="00623587" w:rsidRPr="00D07554">
        <w:rPr>
          <w:rFonts w:hint="eastAsia"/>
          <w:bCs w:val="0"/>
        </w:rPr>
        <w:t>1</w:t>
      </w:r>
      <w:r w:rsidR="00397B59">
        <w:rPr>
          <w:rFonts w:hint="eastAsia"/>
          <w:bCs w:val="0"/>
        </w:rPr>
        <w:t>,</w:t>
      </w:r>
      <w:r w:rsidR="00623587" w:rsidRPr="00D07554">
        <w:rPr>
          <w:rFonts w:hint="eastAsia"/>
          <w:bCs w:val="0"/>
        </w:rPr>
        <w:t>024億元；後者</w:t>
      </w:r>
      <w:r w:rsidR="00623587">
        <w:rPr>
          <w:rFonts w:hAnsi="標楷體" w:hint="eastAsia"/>
        </w:rPr>
        <w:t>開發主體</w:t>
      </w:r>
      <w:r w:rsidR="00623587" w:rsidRPr="00D07554">
        <w:rPr>
          <w:rFonts w:hint="eastAsia"/>
          <w:bCs w:val="0"/>
        </w:rPr>
        <w:t>為</w:t>
      </w:r>
      <w:r w:rsidR="00623587" w:rsidRPr="00D07554">
        <w:rPr>
          <w:rFonts w:hAnsi="標楷體" w:hint="eastAsia"/>
        </w:rPr>
        <w:t>桃園縣政府，包括航空噪音60分貝等噪音線以北之產業發展區，捷運車站周邊商業、住宅區(機場捷運A11、A15及A16車站及航空城捷運線G14車站周邊地區)，</w:t>
      </w:r>
      <w:r w:rsidR="00623587">
        <w:rPr>
          <w:rFonts w:hint="eastAsia"/>
          <w:bCs w:val="0"/>
        </w:rPr>
        <w:t>需辦理區段徵收</w:t>
      </w:r>
      <w:r w:rsidR="00623587" w:rsidRPr="00D07554">
        <w:rPr>
          <w:rFonts w:hint="eastAsia"/>
          <w:bCs w:val="0"/>
        </w:rPr>
        <w:t>面積計約</w:t>
      </w:r>
      <w:r w:rsidR="00623587" w:rsidRPr="00A849A1">
        <w:rPr>
          <w:rFonts w:hint="eastAsia"/>
          <w:bCs w:val="0"/>
        </w:rPr>
        <w:t>1,691</w:t>
      </w:r>
      <w:r w:rsidR="00623587" w:rsidRPr="00D07554">
        <w:rPr>
          <w:rFonts w:hint="eastAsia"/>
          <w:bCs w:val="0"/>
        </w:rPr>
        <w:t>公頃</w:t>
      </w:r>
      <w:r w:rsidR="00623587">
        <w:rPr>
          <w:rStyle w:val="af3"/>
          <w:bCs w:val="0"/>
        </w:rPr>
        <w:footnoteReference w:id="7"/>
      </w:r>
      <w:r w:rsidR="00623587" w:rsidRPr="00D07554">
        <w:rPr>
          <w:rFonts w:hint="eastAsia"/>
          <w:bCs w:val="0"/>
        </w:rPr>
        <w:t>，開發總經費約1,596億元，合計區段徵收面積達3,126公頃，總開發經費2,620億元</w:t>
      </w:r>
      <w:r w:rsidR="00623587">
        <w:rPr>
          <w:rStyle w:val="af3"/>
          <w:bCs w:val="0"/>
        </w:rPr>
        <w:footnoteReference w:id="8"/>
      </w:r>
      <w:r w:rsidR="00623587" w:rsidRPr="00D07554">
        <w:rPr>
          <w:rFonts w:hint="eastAsia"/>
          <w:bCs w:val="0"/>
        </w:rPr>
        <w:t>，為我國史上單一區段徵收規模最大之案件，幾</w:t>
      </w:r>
      <w:proofErr w:type="gramStart"/>
      <w:r w:rsidR="00623587" w:rsidRPr="00D07554">
        <w:rPr>
          <w:rFonts w:hint="eastAsia"/>
          <w:bCs w:val="0"/>
        </w:rPr>
        <w:t>佔</w:t>
      </w:r>
      <w:proofErr w:type="gramEnd"/>
      <w:r w:rsidR="00623587" w:rsidRPr="00D07554">
        <w:rPr>
          <w:rFonts w:hint="eastAsia"/>
          <w:bCs w:val="0"/>
        </w:rPr>
        <w:t>已辦理（含已辦竣及辦理中）區段徵收面積的一半。</w:t>
      </w:r>
    </w:p>
    <w:p w:rsidR="00C175D2" w:rsidRDefault="00C175D2" w:rsidP="00C175D2">
      <w:pPr>
        <w:pStyle w:val="3"/>
        <w:numPr>
          <w:ilvl w:val="0"/>
          <w:numId w:val="0"/>
        </w:numPr>
      </w:pPr>
      <w:r w:rsidRPr="00C175D2">
        <w:rPr>
          <w:noProof/>
        </w:rPr>
        <w:lastRenderedPageBreak/>
        <w:drawing>
          <wp:inline distT="0" distB="0" distL="0" distR="0">
            <wp:extent cx="3933825" cy="1504950"/>
            <wp:effectExtent l="0" t="0" r="0" b="0"/>
            <wp:docPr id="1" name="物件 3"/>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692650" cy="1785938"/>
                      <a:chOff x="695325" y="660400"/>
                      <a:chExt cx="4692650" cy="1785938"/>
                    </a:xfrm>
                  </a:grpSpPr>
                  <a:grpSp>
                    <a:nvGrpSpPr>
                      <a:cNvPr id="55301" name="Group 12"/>
                      <a:cNvGrpSpPr>
                        <a:grpSpLocks/>
                      </a:cNvGrpSpPr>
                    </a:nvGrpSpPr>
                    <a:grpSpPr bwMode="auto">
                      <a:xfrm>
                        <a:off x="695325" y="660400"/>
                        <a:ext cx="4692650" cy="1785938"/>
                        <a:chOff x="9454" y="2406"/>
                        <a:chExt cx="2956" cy="1125"/>
                      </a:xfrm>
                    </a:grpSpPr>
                    <a:sp>
                      <a:nvSpPr>
                        <a:cNvPr id="55302" name="Rectangle 13"/>
                        <a:cNvSpPr>
                          <a:spLocks noChangeAspect="1" noChangeArrowheads="1"/>
                        </a:cNvSpPr>
                      </a:nvSpPr>
                      <a:spPr bwMode="auto">
                        <a:xfrm>
                          <a:off x="9454" y="2406"/>
                          <a:ext cx="356" cy="202"/>
                        </a:xfrm>
                        <a:prstGeom prst="rect">
                          <a:avLst/>
                        </a:prstGeom>
                        <a:noFill/>
                        <a:ln w="9525">
                          <a:noFill/>
                          <a:miter lim="800000"/>
                          <a:headEnd/>
                          <a:tailEnd/>
                        </a:ln>
                      </a:spPr>
                      <a:txSp>
                        <a:txBody>
                          <a:bodyPr wrap="none">
                            <a:spAutoFit/>
                          </a:bodyPr>
                          <a:lstStyle>
                            <a:defPPr>
                              <a:defRPr lang="zh-TW"/>
                            </a:defPPr>
                            <a:lvl1pPr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1pPr>
                            <a:lvl2pPr marL="4572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2pPr>
                            <a:lvl3pPr marL="9144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3pPr>
                            <a:lvl4pPr marL="13716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4pPr>
                            <a:lvl5pPr marL="18288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5pPr>
                            <a:lvl6pPr marL="2286000" algn="l" defTabSz="914400" rtl="0" eaLnBrk="1" latinLnBrk="0" hangingPunct="1">
                              <a:defRPr kumimoji="1" sz="1100" b="1" u="sng" kern="1200">
                                <a:solidFill>
                                  <a:schemeClr val="tx1"/>
                                </a:solidFill>
                                <a:latin typeface="標楷體" pitchFamily="65" charset="-120"/>
                                <a:ea typeface="標楷體" pitchFamily="65" charset="-120"/>
                                <a:cs typeface="+mn-cs"/>
                              </a:defRPr>
                            </a:lvl6pPr>
                            <a:lvl7pPr marL="2743200" algn="l" defTabSz="914400" rtl="0" eaLnBrk="1" latinLnBrk="0" hangingPunct="1">
                              <a:defRPr kumimoji="1" sz="1100" b="1" u="sng" kern="1200">
                                <a:solidFill>
                                  <a:schemeClr val="tx1"/>
                                </a:solidFill>
                                <a:latin typeface="標楷體" pitchFamily="65" charset="-120"/>
                                <a:ea typeface="標楷體" pitchFamily="65" charset="-120"/>
                                <a:cs typeface="+mn-cs"/>
                              </a:defRPr>
                            </a:lvl7pPr>
                            <a:lvl8pPr marL="3200400" algn="l" defTabSz="914400" rtl="0" eaLnBrk="1" latinLnBrk="0" hangingPunct="1">
                              <a:defRPr kumimoji="1" sz="1100" b="1" u="sng" kern="1200">
                                <a:solidFill>
                                  <a:schemeClr val="tx1"/>
                                </a:solidFill>
                                <a:latin typeface="標楷體" pitchFamily="65" charset="-120"/>
                                <a:ea typeface="標楷體" pitchFamily="65" charset="-120"/>
                                <a:cs typeface="+mn-cs"/>
                              </a:defRPr>
                            </a:lvl8pPr>
                            <a:lvl9pPr marL="3657600" algn="l" defTabSz="914400" rtl="0" eaLnBrk="1" latinLnBrk="0" hangingPunct="1">
                              <a:defRPr kumimoji="1" sz="1100" b="1" u="sng" kern="1200">
                                <a:solidFill>
                                  <a:schemeClr val="tx1"/>
                                </a:solidFill>
                                <a:latin typeface="標楷體" pitchFamily="65" charset="-120"/>
                                <a:ea typeface="標楷體" pitchFamily="65" charset="-120"/>
                                <a:cs typeface="+mn-cs"/>
                              </a:defRPr>
                            </a:lvl9pPr>
                          </a:lstStyle>
                          <a:p>
                            <a:pPr algn="l" eaLnBrk="1" hangingPunct="1"/>
                            <a:r>
                              <a:rPr lang="zh-TW" altLang="en-US" sz="1500" u="none">
                                <a:latin typeface="Arial" charset="0"/>
                              </a:rPr>
                              <a:t>圖例</a:t>
                            </a:r>
                          </a:p>
                        </a:txBody>
                        <a:useSpRect/>
                      </a:txSp>
                    </a:sp>
                    <a:grpSp>
                      <a:nvGrpSpPr>
                        <a:cNvPr id="4" name="Group 14"/>
                        <a:cNvGrpSpPr>
                          <a:grpSpLocks/>
                        </a:cNvGrpSpPr>
                      </a:nvGrpSpPr>
                      <a:grpSpPr bwMode="auto">
                        <a:xfrm>
                          <a:off x="9541" y="2462"/>
                          <a:ext cx="2869" cy="1069"/>
                          <a:chOff x="6288" y="3420"/>
                          <a:chExt cx="2869" cy="1069"/>
                        </a:xfrm>
                      </a:grpSpPr>
                      <a:sp>
                        <a:nvSpPr>
                          <a:cNvPr id="55304" name="Rectangle 15"/>
                          <a:cNvSpPr>
                            <a:spLocks noChangeAspect="1" noChangeArrowheads="1"/>
                          </a:cNvSpPr>
                        </a:nvSpPr>
                        <a:spPr bwMode="auto">
                          <a:xfrm>
                            <a:off x="6563" y="3420"/>
                            <a:ext cx="2594" cy="1069"/>
                          </a:xfrm>
                          <a:prstGeom prst="rect">
                            <a:avLst/>
                          </a:prstGeom>
                          <a:noFill/>
                          <a:ln w="9525">
                            <a:noFill/>
                            <a:miter lim="800000"/>
                            <a:headEnd/>
                            <a:tailEnd/>
                          </a:ln>
                        </a:spPr>
                        <a:txSp>
                          <a:txBody>
                            <a:bodyPr wrap="none" anchor="ctr"/>
                            <a:lstStyle>
                              <a:defPPr>
                                <a:defRPr lang="zh-TW"/>
                              </a:defPPr>
                              <a:lvl1pPr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1pPr>
                              <a:lvl2pPr marL="4572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2pPr>
                              <a:lvl3pPr marL="9144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3pPr>
                              <a:lvl4pPr marL="13716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4pPr>
                              <a:lvl5pPr marL="18288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5pPr>
                              <a:lvl6pPr marL="2286000" algn="l" defTabSz="914400" rtl="0" eaLnBrk="1" latinLnBrk="0" hangingPunct="1">
                                <a:defRPr kumimoji="1" sz="1100" b="1" u="sng" kern="1200">
                                  <a:solidFill>
                                    <a:schemeClr val="tx1"/>
                                  </a:solidFill>
                                  <a:latin typeface="標楷體" pitchFamily="65" charset="-120"/>
                                  <a:ea typeface="標楷體" pitchFamily="65" charset="-120"/>
                                  <a:cs typeface="+mn-cs"/>
                                </a:defRPr>
                              </a:lvl6pPr>
                              <a:lvl7pPr marL="2743200" algn="l" defTabSz="914400" rtl="0" eaLnBrk="1" latinLnBrk="0" hangingPunct="1">
                                <a:defRPr kumimoji="1" sz="1100" b="1" u="sng" kern="1200">
                                  <a:solidFill>
                                    <a:schemeClr val="tx1"/>
                                  </a:solidFill>
                                  <a:latin typeface="標楷體" pitchFamily="65" charset="-120"/>
                                  <a:ea typeface="標楷體" pitchFamily="65" charset="-120"/>
                                  <a:cs typeface="+mn-cs"/>
                                </a:defRPr>
                              </a:lvl7pPr>
                              <a:lvl8pPr marL="3200400" algn="l" defTabSz="914400" rtl="0" eaLnBrk="1" latinLnBrk="0" hangingPunct="1">
                                <a:defRPr kumimoji="1" sz="1100" b="1" u="sng" kern="1200">
                                  <a:solidFill>
                                    <a:schemeClr val="tx1"/>
                                  </a:solidFill>
                                  <a:latin typeface="標楷體" pitchFamily="65" charset="-120"/>
                                  <a:ea typeface="標楷體" pitchFamily="65" charset="-120"/>
                                  <a:cs typeface="+mn-cs"/>
                                </a:defRPr>
                              </a:lvl8pPr>
                              <a:lvl9pPr marL="3657600" algn="l" defTabSz="914400" rtl="0" eaLnBrk="1" latinLnBrk="0" hangingPunct="1">
                                <a:defRPr kumimoji="1" sz="1100" b="1" u="sng" kern="1200">
                                  <a:solidFill>
                                    <a:schemeClr val="tx1"/>
                                  </a:solidFill>
                                  <a:latin typeface="標楷體" pitchFamily="65" charset="-120"/>
                                  <a:ea typeface="標楷體" pitchFamily="65" charset="-120"/>
                                  <a:cs typeface="+mn-cs"/>
                                </a:defRPr>
                              </a:lvl9pPr>
                            </a:lstStyle>
                            <a:p>
                              <a:endParaRPr lang="zh-TW" altLang="en-US"/>
                            </a:p>
                          </a:txBody>
                          <a:useSpRect/>
                        </a:txSp>
                      </a:sp>
                      <a:grpSp>
                        <a:nvGrpSpPr>
                          <a:cNvPr id="6" name="Group 16"/>
                          <a:cNvGrpSpPr>
                            <a:grpSpLocks/>
                          </a:cNvGrpSpPr>
                        </a:nvGrpSpPr>
                        <a:grpSpPr bwMode="auto">
                          <a:xfrm>
                            <a:off x="6288" y="3552"/>
                            <a:ext cx="2558" cy="894"/>
                            <a:chOff x="6568" y="3426"/>
                            <a:chExt cx="2558" cy="894"/>
                          </a:xfrm>
                        </a:grpSpPr>
                        <a:sp>
                          <a:nvSpPr>
                            <a:cNvPr id="55306" name="Text Box 95"/>
                            <a:cNvSpPr txBox="1">
                              <a:spLocks noChangeAspect="1" noChangeArrowheads="1"/>
                            </a:cNvSpPr>
                          </a:nvSpPr>
                          <a:spPr bwMode="auto">
                            <a:xfrm>
                              <a:off x="6763" y="3426"/>
                              <a:ext cx="2363" cy="894"/>
                            </a:xfrm>
                            <a:prstGeom prst="rect">
                              <a:avLst/>
                            </a:prstGeom>
                            <a:noFill/>
                            <a:ln w="9525">
                              <a:noFill/>
                              <a:miter lim="800000"/>
                              <a:headEnd/>
                              <a:tailEnd/>
                            </a:ln>
                          </a:spPr>
                          <a:txSp>
                            <a:txBody>
                              <a:bodyPr>
                                <a:spAutoFit/>
                              </a:bodyPr>
                              <a:lstStyle>
                                <a:defPPr>
                                  <a:defRPr lang="zh-TW"/>
                                </a:defPPr>
                                <a:lvl1pPr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1pPr>
                                <a:lvl2pPr marL="4572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2pPr>
                                <a:lvl3pPr marL="9144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3pPr>
                                <a:lvl4pPr marL="13716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4pPr>
                                <a:lvl5pPr marL="18288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5pPr>
                                <a:lvl6pPr marL="2286000" algn="l" defTabSz="914400" rtl="0" eaLnBrk="1" latinLnBrk="0" hangingPunct="1">
                                  <a:defRPr kumimoji="1" sz="1100" b="1" u="sng" kern="1200">
                                    <a:solidFill>
                                      <a:schemeClr val="tx1"/>
                                    </a:solidFill>
                                    <a:latin typeface="標楷體" pitchFamily="65" charset="-120"/>
                                    <a:ea typeface="標楷體" pitchFamily="65" charset="-120"/>
                                    <a:cs typeface="+mn-cs"/>
                                  </a:defRPr>
                                </a:lvl6pPr>
                                <a:lvl7pPr marL="2743200" algn="l" defTabSz="914400" rtl="0" eaLnBrk="1" latinLnBrk="0" hangingPunct="1">
                                  <a:defRPr kumimoji="1" sz="1100" b="1" u="sng" kern="1200">
                                    <a:solidFill>
                                      <a:schemeClr val="tx1"/>
                                    </a:solidFill>
                                    <a:latin typeface="標楷體" pitchFamily="65" charset="-120"/>
                                    <a:ea typeface="標楷體" pitchFamily="65" charset="-120"/>
                                    <a:cs typeface="+mn-cs"/>
                                  </a:defRPr>
                                </a:lvl7pPr>
                                <a:lvl8pPr marL="3200400" algn="l" defTabSz="914400" rtl="0" eaLnBrk="1" latinLnBrk="0" hangingPunct="1">
                                  <a:defRPr kumimoji="1" sz="1100" b="1" u="sng" kern="1200">
                                    <a:solidFill>
                                      <a:schemeClr val="tx1"/>
                                    </a:solidFill>
                                    <a:latin typeface="標楷體" pitchFamily="65" charset="-120"/>
                                    <a:ea typeface="標楷體" pitchFamily="65" charset="-120"/>
                                    <a:cs typeface="+mn-cs"/>
                                  </a:defRPr>
                                </a:lvl8pPr>
                                <a:lvl9pPr marL="3657600" algn="l" defTabSz="914400" rtl="0" eaLnBrk="1" latinLnBrk="0" hangingPunct="1">
                                  <a:defRPr kumimoji="1" sz="1100" b="1" u="sng" kern="1200">
                                    <a:solidFill>
                                      <a:schemeClr val="tx1"/>
                                    </a:solidFill>
                                    <a:latin typeface="標楷體" pitchFamily="65" charset="-120"/>
                                    <a:ea typeface="標楷體" pitchFamily="65" charset="-120"/>
                                    <a:cs typeface="+mn-cs"/>
                                  </a:defRPr>
                                </a:lvl9pPr>
                              </a:lstStyle>
                              <a:p>
                                <a:pPr algn="l" eaLnBrk="1" hangingPunct="1">
                                  <a:spcBef>
                                    <a:spcPct val="20000"/>
                                  </a:spcBef>
                                </a:pPr>
                                <a:r>
                                  <a:rPr kumimoji="0" lang="zh-TW" altLang="en-US" sz="1500" u="none" dirty="0"/>
                                  <a:t>計畫範圍</a:t>
                                </a:r>
                              </a:p>
                              <a:p>
                                <a:pPr algn="l" eaLnBrk="1" hangingPunct="1">
                                  <a:spcBef>
                                    <a:spcPct val="20000"/>
                                  </a:spcBef>
                                </a:pPr>
                                <a:r>
                                  <a:rPr kumimoji="0" lang="zh-TW" altLang="en-US" sz="1500" u="none" dirty="0"/>
                                  <a:t>桃園航空城機場園區建設計畫</a:t>
                                </a:r>
                                <a:r>
                                  <a:rPr kumimoji="0" lang="en-US" altLang="zh-TW" sz="1500" u="none" dirty="0"/>
                                  <a:t>(</a:t>
                                </a:r>
                                <a:r>
                                  <a:rPr kumimoji="0" lang="zh-TW" altLang="en-US" sz="1500" u="none" dirty="0"/>
                                  <a:t>交通部</a:t>
                                </a:r>
                                <a:r>
                                  <a:rPr kumimoji="0" lang="en-US" altLang="zh-TW" sz="1500" u="none" dirty="0"/>
                                  <a:t>)</a:t>
                                </a:r>
                              </a:p>
                              <a:p>
                                <a:pPr algn="l" eaLnBrk="1" hangingPunct="1">
                                  <a:spcBef>
                                    <a:spcPct val="20000"/>
                                  </a:spcBef>
                                </a:pPr>
                                <a:r>
                                  <a:rPr kumimoji="0" lang="zh-TW" altLang="en-US" sz="1500" u="none" dirty="0"/>
                                  <a:t>桃園航空城附近地區建設計畫</a:t>
                                </a:r>
                                <a:r>
                                  <a:rPr kumimoji="0" lang="en-US" altLang="zh-TW" sz="1500" u="none" dirty="0"/>
                                  <a:t>(</a:t>
                                </a:r>
                                <a:r>
                                  <a:rPr kumimoji="0" lang="zh-TW" altLang="en-US" sz="1500" u="none" dirty="0"/>
                                  <a:t>桃園縣政府</a:t>
                                </a:r>
                                <a:r>
                                  <a:rPr kumimoji="0" lang="en-US" altLang="zh-TW" sz="1500" u="none" dirty="0"/>
                                  <a:t>)</a:t>
                                </a:r>
                              </a:p>
                              <a:p>
                                <a:pPr algn="l" eaLnBrk="1" hangingPunct="1">
                                  <a:spcBef>
                                    <a:spcPct val="20000"/>
                                  </a:spcBef>
                                </a:pPr>
                                <a:r>
                                  <a:rPr kumimoji="0" lang="zh-TW" altLang="en-US" sz="1500" u="none" dirty="0"/>
                                  <a:t>剔除區段徵收地區</a:t>
                                </a:r>
                              </a:p>
                              <a:p>
                                <a:pPr algn="l" eaLnBrk="1" hangingPunct="1">
                                  <a:spcBef>
                                    <a:spcPct val="20000"/>
                                  </a:spcBef>
                                </a:pPr>
                                <a:r>
                                  <a:rPr kumimoji="0" lang="zh-TW" altLang="en-US" sz="1500" u="none" dirty="0"/>
                                  <a:t>都市更新地區</a:t>
                                </a:r>
                              </a:p>
                            </a:txBody>
                            <a:useSpRect/>
                          </a:txSp>
                        </a:sp>
                        <a:sp>
                          <a:nvSpPr>
                            <a:cNvPr id="55307" name="Rectangle 91"/>
                            <a:cNvSpPr>
                              <a:spLocks noChangeAspect="1" noChangeArrowheads="1"/>
                            </a:cNvSpPr>
                          </a:nvSpPr>
                          <a:spPr bwMode="auto">
                            <a:xfrm>
                              <a:off x="6568" y="3655"/>
                              <a:ext cx="207" cy="105"/>
                            </a:xfrm>
                            <a:prstGeom prst="rect">
                              <a:avLst/>
                            </a:prstGeom>
                            <a:solidFill>
                              <a:srgbClr val="99CC00">
                                <a:alpha val="50195"/>
                              </a:srgbClr>
                            </a:solidFill>
                            <a:ln w="12700" algn="ctr">
                              <a:solidFill>
                                <a:schemeClr val="tx1"/>
                              </a:solidFill>
                              <a:miter lim="800000"/>
                              <a:headEnd/>
                              <a:tailEnd/>
                            </a:ln>
                          </a:spPr>
                          <a:txSp>
                            <a:txBody>
                              <a:bodyPr/>
                              <a:lstStyle>
                                <a:defPPr>
                                  <a:defRPr lang="zh-TW"/>
                                </a:defPPr>
                                <a:lvl1pPr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1pPr>
                                <a:lvl2pPr marL="4572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2pPr>
                                <a:lvl3pPr marL="9144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3pPr>
                                <a:lvl4pPr marL="13716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4pPr>
                                <a:lvl5pPr marL="18288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5pPr>
                                <a:lvl6pPr marL="2286000" algn="l" defTabSz="914400" rtl="0" eaLnBrk="1" latinLnBrk="0" hangingPunct="1">
                                  <a:defRPr kumimoji="1" sz="1100" b="1" u="sng" kern="1200">
                                    <a:solidFill>
                                      <a:schemeClr val="tx1"/>
                                    </a:solidFill>
                                    <a:latin typeface="標楷體" pitchFamily="65" charset="-120"/>
                                    <a:ea typeface="標楷體" pitchFamily="65" charset="-120"/>
                                    <a:cs typeface="+mn-cs"/>
                                  </a:defRPr>
                                </a:lvl6pPr>
                                <a:lvl7pPr marL="2743200" algn="l" defTabSz="914400" rtl="0" eaLnBrk="1" latinLnBrk="0" hangingPunct="1">
                                  <a:defRPr kumimoji="1" sz="1100" b="1" u="sng" kern="1200">
                                    <a:solidFill>
                                      <a:schemeClr val="tx1"/>
                                    </a:solidFill>
                                    <a:latin typeface="標楷體" pitchFamily="65" charset="-120"/>
                                    <a:ea typeface="標楷體" pitchFamily="65" charset="-120"/>
                                    <a:cs typeface="+mn-cs"/>
                                  </a:defRPr>
                                </a:lvl7pPr>
                                <a:lvl8pPr marL="3200400" algn="l" defTabSz="914400" rtl="0" eaLnBrk="1" latinLnBrk="0" hangingPunct="1">
                                  <a:defRPr kumimoji="1" sz="1100" b="1" u="sng" kern="1200">
                                    <a:solidFill>
                                      <a:schemeClr val="tx1"/>
                                    </a:solidFill>
                                    <a:latin typeface="標楷體" pitchFamily="65" charset="-120"/>
                                    <a:ea typeface="標楷體" pitchFamily="65" charset="-120"/>
                                    <a:cs typeface="+mn-cs"/>
                                  </a:defRPr>
                                </a:lvl8pPr>
                                <a:lvl9pPr marL="3657600" algn="l" defTabSz="914400" rtl="0" eaLnBrk="1" latinLnBrk="0" hangingPunct="1">
                                  <a:defRPr kumimoji="1" sz="1100" b="1" u="sng" kern="1200">
                                    <a:solidFill>
                                      <a:schemeClr val="tx1"/>
                                    </a:solidFill>
                                    <a:latin typeface="標楷體" pitchFamily="65" charset="-120"/>
                                    <a:ea typeface="標楷體" pitchFamily="65" charset="-120"/>
                                    <a:cs typeface="+mn-cs"/>
                                  </a:defRPr>
                                </a:lvl9pPr>
                              </a:lstStyle>
                              <a:p>
                                <a:pPr algn="l" eaLnBrk="1" hangingPunct="1"/>
                                <a:endParaRPr kumimoji="0" lang="zh-TW" altLang="en-US" sz="1700" b="0" u="none">
                                  <a:latin typeface="Calibri" pitchFamily="34" charset="0"/>
                                  <a:ea typeface="新細明體" pitchFamily="18" charset="-120"/>
                                </a:endParaRPr>
                              </a:p>
                            </a:txBody>
                            <a:useSpRect/>
                          </a:txSp>
                        </a:sp>
                        <a:sp>
                          <a:nvSpPr>
                            <a:cNvPr id="55308" name="Rectangle 92"/>
                            <a:cNvSpPr>
                              <a:spLocks noChangeAspect="1" noChangeArrowheads="1"/>
                            </a:cNvSpPr>
                          </a:nvSpPr>
                          <a:spPr bwMode="auto">
                            <a:xfrm>
                              <a:off x="6568" y="3828"/>
                              <a:ext cx="207" cy="105"/>
                            </a:xfrm>
                            <a:prstGeom prst="rect">
                              <a:avLst/>
                            </a:prstGeom>
                            <a:solidFill>
                              <a:srgbClr val="FF66FF">
                                <a:alpha val="50195"/>
                              </a:srgbClr>
                            </a:solidFill>
                            <a:ln w="12700" algn="ctr">
                              <a:solidFill>
                                <a:schemeClr val="tx1"/>
                              </a:solidFill>
                              <a:miter lim="800000"/>
                              <a:headEnd/>
                              <a:tailEnd/>
                            </a:ln>
                          </a:spPr>
                          <a:txSp>
                            <a:txBody>
                              <a:bodyPr/>
                              <a:lstStyle>
                                <a:defPPr>
                                  <a:defRPr lang="zh-TW"/>
                                </a:defPPr>
                                <a:lvl1pPr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1pPr>
                                <a:lvl2pPr marL="4572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2pPr>
                                <a:lvl3pPr marL="9144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3pPr>
                                <a:lvl4pPr marL="13716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4pPr>
                                <a:lvl5pPr marL="18288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5pPr>
                                <a:lvl6pPr marL="2286000" algn="l" defTabSz="914400" rtl="0" eaLnBrk="1" latinLnBrk="0" hangingPunct="1">
                                  <a:defRPr kumimoji="1" sz="1100" b="1" u="sng" kern="1200">
                                    <a:solidFill>
                                      <a:schemeClr val="tx1"/>
                                    </a:solidFill>
                                    <a:latin typeface="標楷體" pitchFamily="65" charset="-120"/>
                                    <a:ea typeface="標楷體" pitchFamily="65" charset="-120"/>
                                    <a:cs typeface="+mn-cs"/>
                                  </a:defRPr>
                                </a:lvl6pPr>
                                <a:lvl7pPr marL="2743200" algn="l" defTabSz="914400" rtl="0" eaLnBrk="1" latinLnBrk="0" hangingPunct="1">
                                  <a:defRPr kumimoji="1" sz="1100" b="1" u="sng" kern="1200">
                                    <a:solidFill>
                                      <a:schemeClr val="tx1"/>
                                    </a:solidFill>
                                    <a:latin typeface="標楷體" pitchFamily="65" charset="-120"/>
                                    <a:ea typeface="標楷體" pitchFamily="65" charset="-120"/>
                                    <a:cs typeface="+mn-cs"/>
                                  </a:defRPr>
                                </a:lvl7pPr>
                                <a:lvl8pPr marL="3200400" algn="l" defTabSz="914400" rtl="0" eaLnBrk="1" latinLnBrk="0" hangingPunct="1">
                                  <a:defRPr kumimoji="1" sz="1100" b="1" u="sng" kern="1200">
                                    <a:solidFill>
                                      <a:schemeClr val="tx1"/>
                                    </a:solidFill>
                                    <a:latin typeface="標楷體" pitchFamily="65" charset="-120"/>
                                    <a:ea typeface="標楷體" pitchFamily="65" charset="-120"/>
                                    <a:cs typeface="+mn-cs"/>
                                  </a:defRPr>
                                </a:lvl8pPr>
                                <a:lvl9pPr marL="3657600" algn="l" defTabSz="914400" rtl="0" eaLnBrk="1" latinLnBrk="0" hangingPunct="1">
                                  <a:defRPr kumimoji="1" sz="1100" b="1" u="sng" kern="1200">
                                    <a:solidFill>
                                      <a:schemeClr val="tx1"/>
                                    </a:solidFill>
                                    <a:latin typeface="標楷體" pitchFamily="65" charset="-120"/>
                                    <a:ea typeface="標楷體" pitchFamily="65" charset="-120"/>
                                    <a:cs typeface="+mn-cs"/>
                                  </a:defRPr>
                                </a:lvl9pPr>
                              </a:lstStyle>
                              <a:p>
                                <a:pPr algn="l" eaLnBrk="1" hangingPunct="1"/>
                                <a:endParaRPr kumimoji="0" lang="zh-TW" altLang="en-US" sz="1500" b="0" u="none">
                                  <a:latin typeface="Calibri" pitchFamily="34" charset="0"/>
                                  <a:ea typeface="新細明體" pitchFamily="18" charset="-120"/>
                                </a:endParaRPr>
                              </a:p>
                            </a:txBody>
                            <a:useSpRect/>
                          </a:txSp>
                        </a:sp>
                        <a:sp>
                          <a:nvSpPr>
                            <a:cNvPr id="55309" name="Rectangle 132"/>
                            <a:cNvSpPr>
                              <a:spLocks noChangeAspect="1" noChangeArrowheads="1"/>
                            </a:cNvSpPr>
                          </a:nvSpPr>
                          <a:spPr bwMode="auto">
                            <a:xfrm>
                              <a:off x="6568" y="3487"/>
                              <a:ext cx="207" cy="105"/>
                            </a:xfrm>
                            <a:prstGeom prst="rect">
                              <a:avLst/>
                            </a:prstGeom>
                            <a:noFill/>
                            <a:ln w="28575" algn="ctr">
                              <a:solidFill>
                                <a:schemeClr val="tx1"/>
                              </a:solidFill>
                              <a:miter lim="800000"/>
                              <a:headEnd/>
                              <a:tailEnd/>
                            </a:ln>
                          </a:spPr>
                          <a:txSp>
                            <a:txBody>
                              <a:bodyPr/>
                              <a:lstStyle>
                                <a:defPPr>
                                  <a:defRPr lang="zh-TW"/>
                                </a:defPPr>
                                <a:lvl1pPr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1pPr>
                                <a:lvl2pPr marL="4572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2pPr>
                                <a:lvl3pPr marL="9144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3pPr>
                                <a:lvl4pPr marL="13716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4pPr>
                                <a:lvl5pPr marL="18288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5pPr>
                                <a:lvl6pPr marL="2286000" algn="l" defTabSz="914400" rtl="0" eaLnBrk="1" latinLnBrk="0" hangingPunct="1">
                                  <a:defRPr kumimoji="1" sz="1100" b="1" u="sng" kern="1200">
                                    <a:solidFill>
                                      <a:schemeClr val="tx1"/>
                                    </a:solidFill>
                                    <a:latin typeface="標楷體" pitchFamily="65" charset="-120"/>
                                    <a:ea typeface="標楷體" pitchFamily="65" charset="-120"/>
                                    <a:cs typeface="+mn-cs"/>
                                  </a:defRPr>
                                </a:lvl6pPr>
                                <a:lvl7pPr marL="2743200" algn="l" defTabSz="914400" rtl="0" eaLnBrk="1" latinLnBrk="0" hangingPunct="1">
                                  <a:defRPr kumimoji="1" sz="1100" b="1" u="sng" kern="1200">
                                    <a:solidFill>
                                      <a:schemeClr val="tx1"/>
                                    </a:solidFill>
                                    <a:latin typeface="標楷體" pitchFamily="65" charset="-120"/>
                                    <a:ea typeface="標楷體" pitchFamily="65" charset="-120"/>
                                    <a:cs typeface="+mn-cs"/>
                                  </a:defRPr>
                                </a:lvl7pPr>
                                <a:lvl8pPr marL="3200400" algn="l" defTabSz="914400" rtl="0" eaLnBrk="1" latinLnBrk="0" hangingPunct="1">
                                  <a:defRPr kumimoji="1" sz="1100" b="1" u="sng" kern="1200">
                                    <a:solidFill>
                                      <a:schemeClr val="tx1"/>
                                    </a:solidFill>
                                    <a:latin typeface="標楷體" pitchFamily="65" charset="-120"/>
                                    <a:ea typeface="標楷體" pitchFamily="65" charset="-120"/>
                                    <a:cs typeface="+mn-cs"/>
                                  </a:defRPr>
                                </a:lvl8pPr>
                                <a:lvl9pPr marL="3657600" algn="l" defTabSz="914400" rtl="0" eaLnBrk="1" latinLnBrk="0" hangingPunct="1">
                                  <a:defRPr kumimoji="1" sz="1100" b="1" u="sng" kern="1200">
                                    <a:solidFill>
                                      <a:schemeClr val="tx1"/>
                                    </a:solidFill>
                                    <a:latin typeface="標楷體" pitchFamily="65" charset="-120"/>
                                    <a:ea typeface="標楷體" pitchFamily="65" charset="-120"/>
                                    <a:cs typeface="+mn-cs"/>
                                  </a:defRPr>
                                </a:lvl9pPr>
                              </a:lstStyle>
                              <a:p>
                                <a:pPr algn="l" eaLnBrk="1" hangingPunct="1"/>
                                <a:endParaRPr kumimoji="0" lang="zh-TW" altLang="en-US" sz="1500" b="0" u="none">
                                  <a:latin typeface="Calibri" pitchFamily="34" charset="0"/>
                                  <a:ea typeface="新細明體" pitchFamily="18" charset="-120"/>
                                </a:endParaRPr>
                              </a:p>
                            </a:txBody>
                            <a:useSpRect/>
                          </a:txSp>
                        </a:sp>
                        <a:sp>
                          <a:nvSpPr>
                            <a:cNvPr id="55310" name="Rectangle 92"/>
                            <a:cNvSpPr>
                              <a:spLocks noChangeAspect="1" noChangeArrowheads="1"/>
                            </a:cNvSpPr>
                          </a:nvSpPr>
                          <a:spPr bwMode="auto">
                            <a:xfrm>
                              <a:off x="6571" y="4000"/>
                              <a:ext cx="207" cy="105"/>
                            </a:xfrm>
                            <a:prstGeom prst="rect">
                              <a:avLst/>
                            </a:prstGeom>
                            <a:solidFill>
                              <a:schemeClr val="bg2">
                                <a:alpha val="50195"/>
                              </a:schemeClr>
                            </a:solidFill>
                            <a:ln w="12700" algn="ctr">
                              <a:solidFill>
                                <a:schemeClr val="tx1"/>
                              </a:solidFill>
                              <a:miter lim="800000"/>
                              <a:headEnd/>
                              <a:tailEnd/>
                            </a:ln>
                          </a:spPr>
                          <a:txSp>
                            <a:txBody>
                              <a:bodyPr/>
                              <a:lstStyle>
                                <a:defPPr>
                                  <a:defRPr lang="zh-TW"/>
                                </a:defPPr>
                                <a:lvl1pPr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1pPr>
                                <a:lvl2pPr marL="4572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2pPr>
                                <a:lvl3pPr marL="9144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3pPr>
                                <a:lvl4pPr marL="13716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4pPr>
                                <a:lvl5pPr marL="18288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5pPr>
                                <a:lvl6pPr marL="2286000" algn="l" defTabSz="914400" rtl="0" eaLnBrk="1" latinLnBrk="0" hangingPunct="1">
                                  <a:defRPr kumimoji="1" sz="1100" b="1" u="sng" kern="1200">
                                    <a:solidFill>
                                      <a:schemeClr val="tx1"/>
                                    </a:solidFill>
                                    <a:latin typeface="標楷體" pitchFamily="65" charset="-120"/>
                                    <a:ea typeface="標楷體" pitchFamily="65" charset="-120"/>
                                    <a:cs typeface="+mn-cs"/>
                                  </a:defRPr>
                                </a:lvl6pPr>
                                <a:lvl7pPr marL="2743200" algn="l" defTabSz="914400" rtl="0" eaLnBrk="1" latinLnBrk="0" hangingPunct="1">
                                  <a:defRPr kumimoji="1" sz="1100" b="1" u="sng" kern="1200">
                                    <a:solidFill>
                                      <a:schemeClr val="tx1"/>
                                    </a:solidFill>
                                    <a:latin typeface="標楷體" pitchFamily="65" charset="-120"/>
                                    <a:ea typeface="標楷體" pitchFamily="65" charset="-120"/>
                                    <a:cs typeface="+mn-cs"/>
                                  </a:defRPr>
                                </a:lvl7pPr>
                                <a:lvl8pPr marL="3200400" algn="l" defTabSz="914400" rtl="0" eaLnBrk="1" latinLnBrk="0" hangingPunct="1">
                                  <a:defRPr kumimoji="1" sz="1100" b="1" u="sng" kern="1200">
                                    <a:solidFill>
                                      <a:schemeClr val="tx1"/>
                                    </a:solidFill>
                                    <a:latin typeface="標楷體" pitchFamily="65" charset="-120"/>
                                    <a:ea typeface="標楷體" pitchFamily="65" charset="-120"/>
                                    <a:cs typeface="+mn-cs"/>
                                  </a:defRPr>
                                </a:lvl8pPr>
                                <a:lvl9pPr marL="3657600" algn="l" defTabSz="914400" rtl="0" eaLnBrk="1" latinLnBrk="0" hangingPunct="1">
                                  <a:defRPr kumimoji="1" sz="1100" b="1" u="sng" kern="1200">
                                    <a:solidFill>
                                      <a:schemeClr val="tx1"/>
                                    </a:solidFill>
                                    <a:latin typeface="標楷體" pitchFamily="65" charset="-120"/>
                                    <a:ea typeface="標楷體" pitchFamily="65" charset="-120"/>
                                    <a:cs typeface="+mn-cs"/>
                                  </a:defRPr>
                                </a:lvl9pPr>
                              </a:lstStyle>
                              <a:p>
                                <a:pPr algn="l" eaLnBrk="1" hangingPunct="1"/>
                                <a:endParaRPr kumimoji="0" lang="zh-TW" altLang="en-US" sz="1500" b="0" u="none">
                                  <a:latin typeface="Calibri" pitchFamily="34" charset="0"/>
                                  <a:ea typeface="新細明體" pitchFamily="18" charset="-120"/>
                                </a:endParaRPr>
                              </a:p>
                            </a:txBody>
                            <a:useSpRect/>
                          </a:txSp>
                        </a:sp>
                        <a:sp>
                          <a:nvSpPr>
                            <a:cNvPr id="55311" name="Rectangle 92"/>
                            <a:cNvSpPr>
                              <a:spLocks noChangeAspect="1" noChangeArrowheads="1"/>
                            </a:cNvSpPr>
                          </a:nvSpPr>
                          <a:spPr bwMode="auto">
                            <a:xfrm>
                              <a:off x="6570" y="4175"/>
                              <a:ext cx="207" cy="105"/>
                            </a:xfrm>
                            <a:prstGeom prst="rect">
                              <a:avLst/>
                            </a:prstGeom>
                            <a:solidFill>
                              <a:srgbClr val="0000FF"/>
                            </a:solidFill>
                            <a:ln w="12700" algn="ctr">
                              <a:solidFill>
                                <a:schemeClr val="tx1"/>
                              </a:solidFill>
                              <a:miter lim="800000"/>
                              <a:headEnd/>
                              <a:tailEnd/>
                            </a:ln>
                          </a:spPr>
                          <a:txSp>
                            <a:txBody>
                              <a:bodyPr/>
                              <a:lstStyle>
                                <a:defPPr>
                                  <a:defRPr lang="zh-TW"/>
                                </a:defPPr>
                                <a:lvl1pPr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1pPr>
                                <a:lvl2pPr marL="4572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2pPr>
                                <a:lvl3pPr marL="9144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3pPr>
                                <a:lvl4pPr marL="13716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4pPr>
                                <a:lvl5pPr marL="18288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5pPr>
                                <a:lvl6pPr marL="2286000" algn="l" defTabSz="914400" rtl="0" eaLnBrk="1" latinLnBrk="0" hangingPunct="1">
                                  <a:defRPr kumimoji="1" sz="1100" b="1" u="sng" kern="1200">
                                    <a:solidFill>
                                      <a:schemeClr val="tx1"/>
                                    </a:solidFill>
                                    <a:latin typeface="標楷體" pitchFamily="65" charset="-120"/>
                                    <a:ea typeface="標楷體" pitchFamily="65" charset="-120"/>
                                    <a:cs typeface="+mn-cs"/>
                                  </a:defRPr>
                                </a:lvl6pPr>
                                <a:lvl7pPr marL="2743200" algn="l" defTabSz="914400" rtl="0" eaLnBrk="1" latinLnBrk="0" hangingPunct="1">
                                  <a:defRPr kumimoji="1" sz="1100" b="1" u="sng" kern="1200">
                                    <a:solidFill>
                                      <a:schemeClr val="tx1"/>
                                    </a:solidFill>
                                    <a:latin typeface="標楷體" pitchFamily="65" charset="-120"/>
                                    <a:ea typeface="標楷體" pitchFamily="65" charset="-120"/>
                                    <a:cs typeface="+mn-cs"/>
                                  </a:defRPr>
                                </a:lvl7pPr>
                                <a:lvl8pPr marL="3200400" algn="l" defTabSz="914400" rtl="0" eaLnBrk="1" latinLnBrk="0" hangingPunct="1">
                                  <a:defRPr kumimoji="1" sz="1100" b="1" u="sng" kern="1200">
                                    <a:solidFill>
                                      <a:schemeClr val="tx1"/>
                                    </a:solidFill>
                                    <a:latin typeface="標楷體" pitchFamily="65" charset="-120"/>
                                    <a:ea typeface="標楷體" pitchFamily="65" charset="-120"/>
                                    <a:cs typeface="+mn-cs"/>
                                  </a:defRPr>
                                </a:lvl8pPr>
                                <a:lvl9pPr marL="3657600" algn="l" defTabSz="914400" rtl="0" eaLnBrk="1" latinLnBrk="0" hangingPunct="1">
                                  <a:defRPr kumimoji="1" sz="1100" b="1" u="sng" kern="1200">
                                    <a:solidFill>
                                      <a:schemeClr val="tx1"/>
                                    </a:solidFill>
                                    <a:latin typeface="標楷體" pitchFamily="65" charset="-120"/>
                                    <a:ea typeface="標楷體" pitchFamily="65" charset="-120"/>
                                    <a:cs typeface="+mn-cs"/>
                                  </a:defRPr>
                                </a:lvl9pPr>
                              </a:lstStyle>
                              <a:p>
                                <a:pPr algn="l" eaLnBrk="1" hangingPunct="1"/>
                                <a:endParaRPr kumimoji="0" lang="zh-TW" altLang="en-US" sz="1500" b="0" u="none">
                                  <a:latin typeface="Calibri" pitchFamily="34" charset="0"/>
                                  <a:ea typeface="新細明體" pitchFamily="18" charset="-120"/>
                                </a:endParaRPr>
                              </a:p>
                            </a:txBody>
                            <a:useSpRect/>
                          </a:txSp>
                        </a:sp>
                        <a:grpSp>
                          <a:nvGrpSpPr>
                            <a:cNvPr id="13" name="Group 23"/>
                            <a:cNvGrpSpPr>
                              <a:grpSpLocks/>
                            </a:cNvGrpSpPr>
                          </a:nvGrpSpPr>
                          <a:grpSpPr bwMode="auto">
                            <a:xfrm>
                              <a:off x="6624" y="3522"/>
                              <a:ext cx="147" cy="45"/>
                              <a:chOff x="-3612" y="3895"/>
                              <a:chExt cx="158" cy="45"/>
                            </a:xfrm>
                          </a:grpSpPr>
                          <a:sp>
                            <a:nvSpPr>
                              <a:cNvPr id="55313" name="Line 24"/>
                              <a:cNvSpPr>
                                <a:spLocks noChangeShapeType="1"/>
                              </a:cNvSpPr>
                            </a:nvSpPr>
                            <a:spPr bwMode="auto">
                              <a:xfrm>
                                <a:off x="-3555" y="3918"/>
                                <a:ext cx="45" cy="0"/>
                              </a:xfrm>
                              <a:prstGeom prst="line">
                                <a:avLst/>
                              </a:prstGeom>
                              <a:noFill/>
                              <a:ln w="25400">
                                <a:solidFill>
                                  <a:schemeClr val="tx1"/>
                                </a:solidFill>
                                <a:round/>
                                <a:headEnd/>
                                <a:tailEnd/>
                              </a:ln>
                            </a:spPr>
                            <a:txSp>
                              <a:txBody>
                                <a:bodyPr/>
                                <a:lstStyle>
                                  <a:defPPr>
                                    <a:defRPr lang="zh-TW"/>
                                  </a:defPPr>
                                  <a:lvl1pPr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1pPr>
                                  <a:lvl2pPr marL="4572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2pPr>
                                  <a:lvl3pPr marL="9144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3pPr>
                                  <a:lvl4pPr marL="13716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4pPr>
                                  <a:lvl5pPr marL="18288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5pPr>
                                  <a:lvl6pPr marL="2286000" algn="l" defTabSz="914400" rtl="0" eaLnBrk="1" latinLnBrk="0" hangingPunct="1">
                                    <a:defRPr kumimoji="1" sz="1100" b="1" u="sng" kern="1200">
                                      <a:solidFill>
                                        <a:schemeClr val="tx1"/>
                                      </a:solidFill>
                                      <a:latin typeface="標楷體" pitchFamily="65" charset="-120"/>
                                      <a:ea typeface="標楷體" pitchFamily="65" charset="-120"/>
                                      <a:cs typeface="+mn-cs"/>
                                    </a:defRPr>
                                  </a:lvl6pPr>
                                  <a:lvl7pPr marL="2743200" algn="l" defTabSz="914400" rtl="0" eaLnBrk="1" latinLnBrk="0" hangingPunct="1">
                                    <a:defRPr kumimoji="1" sz="1100" b="1" u="sng" kern="1200">
                                      <a:solidFill>
                                        <a:schemeClr val="tx1"/>
                                      </a:solidFill>
                                      <a:latin typeface="標楷體" pitchFamily="65" charset="-120"/>
                                      <a:ea typeface="標楷體" pitchFamily="65" charset="-120"/>
                                      <a:cs typeface="+mn-cs"/>
                                    </a:defRPr>
                                  </a:lvl7pPr>
                                  <a:lvl8pPr marL="3200400" algn="l" defTabSz="914400" rtl="0" eaLnBrk="1" latinLnBrk="0" hangingPunct="1">
                                    <a:defRPr kumimoji="1" sz="1100" b="1" u="sng" kern="1200">
                                      <a:solidFill>
                                        <a:schemeClr val="tx1"/>
                                      </a:solidFill>
                                      <a:latin typeface="標楷體" pitchFamily="65" charset="-120"/>
                                      <a:ea typeface="標楷體" pitchFamily="65" charset="-120"/>
                                      <a:cs typeface="+mn-cs"/>
                                    </a:defRPr>
                                  </a:lvl8pPr>
                                  <a:lvl9pPr marL="3657600" algn="l" defTabSz="914400" rtl="0" eaLnBrk="1" latinLnBrk="0" hangingPunct="1">
                                    <a:defRPr kumimoji="1" sz="1100" b="1" u="sng" kern="1200">
                                      <a:solidFill>
                                        <a:schemeClr val="tx1"/>
                                      </a:solidFill>
                                      <a:latin typeface="標楷體" pitchFamily="65" charset="-120"/>
                                      <a:ea typeface="標楷體" pitchFamily="65" charset="-120"/>
                                      <a:cs typeface="+mn-cs"/>
                                    </a:defRPr>
                                  </a:lvl9pPr>
                                </a:lstStyle>
                                <a:p>
                                  <a:endParaRPr lang="zh-TW" altLang="en-US"/>
                                </a:p>
                              </a:txBody>
                              <a:useSpRect/>
                            </a:txSp>
                          </a:sp>
                          <a:sp>
                            <a:nvSpPr>
                              <a:cNvPr id="55314" name="Line 25"/>
                              <a:cNvSpPr>
                                <a:spLocks noChangeShapeType="1"/>
                              </a:cNvSpPr>
                            </a:nvSpPr>
                            <a:spPr bwMode="auto">
                              <a:xfrm>
                                <a:off x="-3612" y="3918"/>
                                <a:ext cx="45" cy="0"/>
                              </a:xfrm>
                              <a:prstGeom prst="line">
                                <a:avLst/>
                              </a:prstGeom>
                              <a:noFill/>
                              <a:ln w="25400">
                                <a:solidFill>
                                  <a:schemeClr val="tx1"/>
                                </a:solidFill>
                                <a:round/>
                                <a:headEnd/>
                                <a:tailEnd/>
                              </a:ln>
                            </a:spPr>
                            <a:txSp>
                              <a:txBody>
                                <a:bodyPr/>
                                <a:lstStyle>
                                  <a:defPPr>
                                    <a:defRPr lang="zh-TW"/>
                                  </a:defPPr>
                                  <a:lvl1pPr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1pPr>
                                  <a:lvl2pPr marL="4572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2pPr>
                                  <a:lvl3pPr marL="9144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3pPr>
                                  <a:lvl4pPr marL="13716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4pPr>
                                  <a:lvl5pPr marL="18288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5pPr>
                                  <a:lvl6pPr marL="2286000" algn="l" defTabSz="914400" rtl="0" eaLnBrk="1" latinLnBrk="0" hangingPunct="1">
                                    <a:defRPr kumimoji="1" sz="1100" b="1" u="sng" kern="1200">
                                      <a:solidFill>
                                        <a:schemeClr val="tx1"/>
                                      </a:solidFill>
                                      <a:latin typeface="標楷體" pitchFamily="65" charset="-120"/>
                                      <a:ea typeface="標楷體" pitchFamily="65" charset="-120"/>
                                      <a:cs typeface="+mn-cs"/>
                                    </a:defRPr>
                                  </a:lvl6pPr>
                                  <a:lvl7pPr marL="2743200" algn="l" defTabSz="914400" rtl="0" eaLnBrk="1" latinLnBrk="0" hangingPunct="1">
                                    <a:defRPr kumimoji="1" sz="1100" b="1" u="sng" kern="1200">
                                      <a:solidFill>
                                        <a:schemeClr val="tx1"/>
                                      </a:solidFill>
                                      <a:latin typeface="標楷體" pitchFamily="65" charset="-120"/>
                                      <a:ea typeface="標楷體" pitchFamily="65" charset="-120"/>
                                      <a:cs typeface="+mn-cs"/>
                                    </a:defRPr>
                                  </a:lvl7pPr>
                                  <a:lvl8pPr marL="3200400" algn="l" defTabSz="914400" rtl="0" eaLnBrk="1" latinLnBrk="0" hangingPunct="1">
                                    <a:defRPr kumimoji="1" sz="1100" b="1" u="sng" kern="1200">
                                      <a:solidFill>
                                        <a:schemeClr val="tx1"/>
                                      </a:solidFill>
                                      <a:latin typeface="標楷體" pitchFamily="65" charset="-120"/>
                                      <a:ea typeface="標楷體" pitchFamily="65" charset="-120"/>
                                      <a:cs typeface="+mn-cs"/>
                                    </a:defRPr>
                                  </a:lvl8pPr>
                                  <a:lvl9pPr marL="3657600" algn="l" defTabSz="914400" rtl="0" eaLnBrk="1" latinLnBrk="0" hangingPunct="1">
                                    <a:defRPr kumimoji="1" sz="1100" b="1" u="sng" kern="1200">
                                      <a:solidFill>
                                        <a:schemeClr val="tx1"/>
                                      </a:solidFill>
                                      <a:latin typeface="標楷體" pitchFamily="65" charset="-120"/>
                                      <a:ea typeface="標楷體" pitchFamily="65" charset="-120"/>
                                      <a:cs typeface="+mn-cs"/>
                                    </a:defRPr>
                                  </a:lvl9pPr>
                                </a:lstStyle>
                                <a:p>
                                  <a:endParaRPr lang="zh-TW" altLang="en-US"/>
                                </a:p>
                              </a:txBody>
                              <a:useSpRect/>
                            </a:txSp>
                          </a:sp>
                          <a:sp>
                            <a:nvSpPr>
                              <a:cNvPr id="55315" name="Line 26"/>
                              <a:cNvSpPr>
                                <a:spLocks noChangeShapeType="1"/>
                              </a:cNvSpPr>
                            </a:nvSpPr>
                            <a:spPr bwMode="auto">
                              <a:xfrm>
                                <a:off x="-3499" y="3918"/>
                                <a:ext cx="45" cy="0"/>
                              </a:xfrm>
                              <a:prstGeom prst="line">
                                <a:avLst/>
                              </a:prstGeom>
                              <a:noFill/>
                              <a:ln w="25400">
                                <a:solidFill>
                                  <a:schemeClr val="tx1"/>
                                </a:solidFill>
                                <a:round/>
                                <a:headEnd/>
                                <a:tailEnd/>
                              </a:ln>
                            </a:spPr>
                            <a:txSp>
                              <a:txBody>
                                <a:bodyPr/>
                                <a:lstStyle>
                                  <a:defPPr>
                                    <a:defRPr lang="zh-TW"/>
                                  </a:defPPr>
                                  <a:lvl1pPr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1pPr>
                                  <a:lvl2pPr marL="4572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2pPr>
                                  <a:lvl3pPr marL="9144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3pPr>
                                  <a:lvl4pPr marL="13716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4pPr>
                                  <a:lvl5pPr marL="18288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5pPr>
                                  <a:lvl6pPr marL="2286000" algn="l" defTabSz="914400" rtl="0" eaLnBrk="1" latinLnBrk="0" hangingPunct="1">
                                    <a:defRPr kumimoji="1" sz="1100" b="1" u="sng" kern="1200">
                                      <a:solidFill>
                                        <a:schemeClr val="tx1"/>
                                      </a:solidFill>
                                      <a:latin typeface="標楷體" pitchFamily="65" charset="-120"/>
                                      <a:ea typeface="標楷體" pitchFamily="65" charset="-120"/>
                                      <a:cs typeface="+mn-cs"/>
                                    </a:defRPr>
                                  </a:lvl6pPr>
                                  <a:lvl7pPr marL="2743200" algn="l" defTabSz="914400" rtl="0" eaLnBrk="1" latinLnBrk="0" hangingPunct="1">
                                    <a:defRPr kumimoji="1" sz="1100" b="1" u="sng" kern="1200">
                                      <a:solidFill>
                                        <a:schemeClr val="tx1"/>
                                      </a:solidFill>
                                      <a:latin typeface="標楷體" pitchFamily="65" charset="-120"/>
                                      <a:ea typeface="標楷體" pitchFamily="65" charset="-120"/>
                                      <a:cs typeface="+mn-cs"/>
                                    </a:defRPr>
                                  </a:lvl7pPr>
                                  <a:lvl8pPr marL="3200400" algn="l" defTabSz="914400" rtl="0" eaLnBrk="1" latinLnBrk="0" hangingPunct="1">
                                    <a:defRPr kumimoji="1" sz="1100" b="1" u="sng" kern="1200">
                                      <a:solidFill>
                                        <a:schemeClr val="tx1"/>
                                      </a:solidFill>
                                      <a:latin typeface="標楷體" pitchFamily="65" charset="-120"/>
                                      <a:ea typeface="標楷體" pitchFamily="65" charset="-120"/>
                                      <a:cs typeface="+mn-cs"/>
                                    </a:defRPr>
                                  </a:lvl8pPr>
                                  <a:lvl9pPr marL="3657600" algn="l" defTabSz="914400" rtl="0" eaLnBrk="1" latinLnBrk="0" hangingPunct="1">
                                    <a:defRPr kumimoji="1" sz="1100" b="1" u="sng" kern="1200">
                                      <a:solidFill>
                                        <a:schemeClr val="tx1"/>
                                      </a:solidFill>
                                      <a:latin typeface="標楷體" pitchFamily="65" charset="-120"/>
                                      <a:ea typeface="標楷體" pitchFamily="65" charset="-120"/>
                                      <a:cs typeface="+mn-cs"/>
                                    </a:defRPr>
                                  </a:lvl9pPr>
                                </a:lstStyle>
                                <a:p>
                                  <a:endParaRPr lang="zh-TW" altLang="en-US"/>
                                </a:p>
                              </a:txBody>
                              <a:useSpRect/>
                            </a:txSp>
                          </a:sp>
                          <a:sp>
                            <a:nvSpPr>
                              <a:cNvPr id="55316" name="Line 27"/>
                              <a:cNvSpPr>
                                <a:spLocks noChangeShapeType="1"/>
                              </a:cNvSpPr>
                            </a:nvSpPr>
                            <a:spPr bwMode="auto">
                              <a:xfrm rot="5400000">
                                <a:off x="-3556" y="3918"/>
                                <a:ext cx="45" cy="0"/>
                              </a:xfrm>
                              <a:prstGeom prst="line">
                                <a:avLst/>
                              </a:prstGeom>
                              <a:noFill/>
                              <a:ln w="25400">
                                <a:solidFill>
                                  <a:schemeClr val="tx1"/>
                                </a:solidFill>
                                <a:round/>
                                <a:headEnd/>
                                <a:tailEnd/>
                              </a:ln>
                            </a:spPr>
                            <a:txSp>
                              <a:txBody>
                                <a:bodyPr/>
                                <a:lstStyle>
                                  <a:defPPr>
                                    <a:defRPr lang="zh-TW"/>
                                  </a:defPPr>
                                  <a:lvl1pPr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1pPr>
                                  <a:lvl2pPr marL="4572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2pPr>
                                  <a:lvl3pPr marL="9144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3pPr>
                                  <a:lvl4pPr marL="13716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4pPr>
                                  <a:lvl5pPr marL="1828800" algn="ctr" rtl="0" eaLnBrk="0" fontAlgn="base" hangingPunct="0">
                                    <a:spcBef>
                                      <a:spcPct val="0"/>
                                    </a:spcBef>
                                    <a:spcAft>
                                      <a:spcPct val="0"/>
                                    </a:spcAft>
                                    <a:defRPr kumimoji="1" sz="1100" b="1" u="sng" kern="1200">
                                      <a:solidFill>
                                        <a:schemeClr val="tx1"/>
                                      </a:solidFill>
                                      <a:latin typeface="標楷體" pitchFamily="65" charset="-120"/>
                                      <a:ea typeface="標楷體" pitchFamily="65" charset="-120"/>
                                      <a:cs typeface="+mn-cs"/>
                                    </a:defRPr>
                                  </a:lvl5pPr>
                                  <a:lvl6pPr marL="2286000" algn="l" defTabSz="914400" rtl="0" eaLnBrk="1" latinLnBrk="0" hangingPunct="1">
                                    <a:defRPr kumimoji="1" sz="1100" b="1" u="sng" kern="1200">
                                      <a:solidFill>
                                        <a:schemeClr val="tx1"/>
                                      </a:solidFill>
                                      <a:latin typeface="標楷體" pitchFamily="65" charset="-120"/>
                                      <a:ea typeface="標楷體" pitchFamily="65" charset="-120"/>
                                      <a:cs typeface="+mn-cs"/>
                                    </a:defRPr>
                                  </a:lvl6pPr>
                                  <a:lvl7pPr marL="2743200" algn="l" defTabSz="914400" rtl="0" eaLnBrk="1" latinLnBrk="0" hangingPunct="1">
                                    <a:defRPr kumimoji="1" sz="1100" b="1" u="sng" kern="1200">
                                      <a:solidFill>
                                        <a:schemeClr val="tx1"/>
                                      </a:solidFill>
                                      <a:latin typeface="標楷體" pitchFamily="65" charset="-120"/>
                                      <a:ea typeface="標楷體" pitchFamily="65" charset="-120"/>
                                      <a:cs typeface="+mn-cs"/>
                                    </a:defRPr>
                                  </a:lvl7pPr>
                                  <a:lvl8pPr marL="3200400" algn="l" defTabSz="914400" rtl="0" eaLnBrk="1" latinLnBrk="0" hangingPunct="1">
                                    <a:defRPr kumimoji="1" sz="1100" b="1" u="sng" kern="1200">
                                      <a:solidFill>
                                        <a:schemeClr val="tx1"/>
                                      </a:solidFill>
                                      <a:latin typeface="標楷體" pitchFamily="65" charset="-120"/>
                                      <a:ea typeface="標楷體" pitchFamily="65" charset="-120"/>
                                      <a:cs typeface="+mn-cs"/>
                                    </a:defRPr>
                                  </a:lvl8pPr>
                                  <a:lvl9pPr marL="3657600" algn="l" defTabSz="914400" rtl="0" eaLnBrk="1" latinLnBrk="0" hangingPunct="1">
                                    <a:defRPr kumimoji="1" sz="1100" b="1" u="sng" kern="1200">
                                      <a:solidFill>
                                        <a:schemeClr val="tx1"/>
                                      </a:solidFill>
                                      <a:latin typeface="標楷體" pitchFamily="65" charset="-120"/>
                                      <a:ea typeface="標楷體" pitchFamily="65" charset="-120"/>
                                      <a:cs typeface="+mn-cs"/>
                                    </a:defRPr>
                                  </a:lvl9pPr>
                                </a:lstStyle>
                                <a:p>
                                  <a:endParaRPr lang="zh-TW" altLang="en-US"/>
                                </a:p>
                              </a:txBody>
                              <a:useSpRect/>
                            </a:txSp>
                          </a:sp>
                        </a:grpSp>
                      </a:grpSp>
                    </a:grpSp>
                  </a:grpSp>
                </lc:lockedCanvas>
              </a:graphicData>
            </a:graphic>
          </wp:inline>
        </w:drawing>
      </w:r>
    </w:p>
    <w:p w:rsidR="00C175D2" w:rsidRDefault="00C175D2" w:rsidP="00C175D2">
      <w:pPr>
        <w:pStyle w:val="3"/>
        <w:numPr>
          <w:ilvl w:val="0"/>
          <w:numId w:val="0"/>
        </w:numPr>
      </w:pPr>
      <w:r w:rsidRPr="00C175D2">
        <w:rPr>
          <w:rFonts w:hint="eastAsia"/>
          <w:noProof/>
        </w:rPr>
        <w:drawing>
          <wp:inline distT="0" distB="0" distL="0" distR="0">
            <wp:extent cx="5613400" cy="3810000"/>
            <wp:effectExtent l="19050" t="0" r="6350" b="0"/>
            <wp:docPr id="3"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srcRect/>
                    <a:stretch>
                      <a:fillRect/>
                    </a:stretch>
                  </pic:blipFill>
                  <pic:spPr bwMode="auto">
                    <a:xfrm>
                      <a:off x="0" y="0"/>
                      <a:ext cx="5613400" cy="3810000"/>
                    </a:xfrm>
                    <a:prstGeom prst="rect">
                      <a:avLst/>
                    </a:prstGeom>
                    <a:noFill/>
                    <a:ln w="9525">
                      <a:noFill/>
                      <a:miter lim="800000"/>
                      <a:headEnd/>
                      <a:tailEnd/>
                    </a:ln>
                  </pic:spPr>
                </pic:pic>
              </a:graphicData>
            </a:graphic>
          </wp:inline>
        </w:drawing>
      </w:r>
    </w:p>
    <w:p w:rsidR="00C175D2" w:rsidRPr="00E84E08" w:rsidRDefault="00C175D2" w:rsidP="00E84E08">
      <w:pPr>
        <w:pStyle w:val="ab"/>
        <w:ind w:left="900" w:hanging="900"/>
        <w:jc w:val="center"/>
        <w:rPr>
          <w:bCs/>
          <w:sz w:val="28"/>
          <w:szCs w:val="28"/>
        </w:rPr>
      </w:pPr>
      <w:r w:rsidRPr="00E84E08">
        <w:rPr>
          <w:rFonts w:hint="eastAsia"/>
          <w:bCs/>
          <w:sz w:val="28"/>
          <w:szCs w:val="28"/>
        </w:rPr>
        <w:t>圖1 系爭計畫範圍示意圖</w:t>
      </w:r>
    </w:p>
    <w:p w:rsidR="00C175D2" w:rsidRDefault="00C175D2" w:rsidP="00C175D2">
      <w:pPr>
        <w:pStyle w:val="3"/>
        <w:numPr>
          <w:ilvl w:val="0"/>
          <w:numId w:val="0"/>
        </w:numPr>
        <w:jc w:val="center"/>
      </w:pPr>
      <w:r w:rsidRPr="00C04022">
        <w:rPr>
          <w:rFonts w:hAnsi="標楷體" w:hint="eastAsia"/>
          <w:sz w:val="28"/>
          <w:szCs w:val="28"/>
        </w:rPr>
        <w:t>資料來源：本案履</w:t>
      </w:r>
      <w:proofErr w:type="gramStart"/>
      <w:r w:rsidRPr="00C04022">
        <w:rPr>
          <w:rFonts w:hAnsi="標楷體" w:hint="eastAsia"/>
          <w:sz w:val="28"/>
          <w:szCs w:val="28"/>
        </w:rPr>
        <w:t>勘</w:t>
      </w:r>
      <w:proofErr w:type="gramEnd"/>
      <w:r w:rsidRPr="00C04022">
        <w:rPr>
          <w:rFonts w:hAnsi="標楷體" w:hint="eastAsia"/>
          <w:sz w:val="28"/>
          <w:szCs w:val="28"/>
        </w:rPr>
        <w:t>時內政部提供之簡報資料。</w:t>
      </w:r>
    </w:p>
    <w:p w:rsidR="00C175D2" w:rsidRDefault="00C175D2" w:rsidP="00C175D2">
      <w:pPr>
        <w:pStyle w:val="3"/>
        <w:numPr>
          <w:ilvl w:val="0"/>
          <w:numId w:val="0"/>
        </w:numPr>
      </w:pPr>
    </w:p>
    <w:p w:rsidR="000E26A8" w:rsidRPr="00307C72" w:rsidRDefault="007F7922" w:rsidP="00FE53CD">
      <w:pPr>
        <w:pStyle w:val="3"/>
        <w:ind w:left="1360" w:hanging="680"/>
        <w:rPr>
          <w:bCs w:val="0"/>
        </w:rPr>
      </w:pPr>
      <w:proofErr w:type="gramStart"/>
      <w:r>
        <w:rPr>
          <w:rFonts w:hint="eastAsia"/>
          <w:bCs w:val="0"/>
        </w:rPr>
        <w:t>詢</w:t>
      </w:r>
      <w:proofErr w:type="gramEnd"/>
      <w:r>
        <w:rPr>
          <w:rFonts w:hint="eastAsia"/>
          <w:bCs w:val="0"/>
        </w:rPr>
        <w:t>據內政部表示，該</w:t>
      </w:r>
      <w:r w:rsidR="00A04EC5" w:rsidRPr="00307C72">
        <w:rPr>
          <w:rFonts w:hint="eastAsia"/>
          <w:bCs w:val="0"/>
        </w:rPr>
        <w:t>部</w:t>
      </w:r>
      <w:r w:rsidR="004D7893">
        <w:rPr>
          <w:rFonts w:hint="eastAsia"/>
          <w:bCs w:val="0"/>
        </w:rPr>
        <w:t>（</w:t>
      </w:r>
      <w:r w:rsidR="004D7893" w:rsidRPr="004D7893">
        <w:rPr>
          <w:rFonts w:hint="eastAsia"/>
          <w:bCs w:val="0"/>
        </w:rPr>
        <w:t>營建署城鄉發展分署</w:t>
      </w:r>
      <w:r w:rsidR="004D7893">
        <w:rPr>
          <w:rFonts w:hint="eastAsia"/>
          <w:bCs w:val="0"/>
        </w:rPr>
        <w:t>）</w:t>
      </w:r>
      <w:r w:rsidR="00A04EC5" w:rsidRPr="00307C72">
        <w:rPr>
          <w:rFonts w:hint="eastAsia"/>
          <w:bCs w:val="0"/>
        </w:rPr>
        <w:t>依</w:t>
      </w:r>
      <w:r w:rsidR="00A44DC0">
        <w:rPr>
          <w:rFonts w:hint="eastAsia"/>
          <w:bCs w:val="0"/>
        </w:rPr>
        <w:t>都市計畫</w:t>
      </w:r>
      <w:r w:rsidR="0097566D">
        <w:rPr>
          <w:rFonts w:hint="eastAsia"/>
          <w:bCs w:val="0"/>
        </w:rPr>
        <w:t>法</w:t>
      </w:r>
      <w:r w:rsidR="0097566D" w:rsidRPr="008528D2">
        <w:rPr>
          <w:rFonts w:hint="eastAsia"/>
          <w:bCs w:val="0"/>
        </w:rPr>
        <w:t>第</w:t>
      </w:r>
      <w:r w:rsidR="0097566D">
        <w:rPr>
          <w:rFonts w:hint="eastAsia"/>
          <w:bCs w:val="0"/>
        </w:rPr>
        <w:t>19</w:t>
      </w:r>
      <w:r w:rsidR="0097566D" w:rsidRPr="008528D2">
        <w:rPr>
          <w:rFonts w:hint="eastAsia"/>
          <w:bCs w:val="0"/>
        </w:rPr>
        <w:t>條</w:t>
      </w:r>
      <w:r w:rsidR="0097566D">
        <w:rPr>
          <w:rFonts w:hint="eastAsia"/>
          <w:bCs w:val="0"/>
        </w:rPr>
        <w:t>第1項規定</w:t>
      </w:r>
      <w:r w:rsidR="00A520CD" w:rsidRPr="00307C72">
        <w:rPr>
          <w:rFonts w:hint="eastAsia"/>
          <w:bCs w:val="0"/>
        </w:rPr>
        <w:t>於102年7月24日至102年8月22日</w:t>
      </w:r>
      <w:proofErr w:type="gramStart"/>
      <w:r w:rsidR="00A520CD" w:rsidRPr="00307C72">
        <w:rPr>
          <w:rFonts w:hint="eastAsia"/>
          <w:bCs w:val="0"/>
        </w:rPr>
        <w:t>止</w:t>
      </w:r>
      <w:proofErr w:type="gramEnd"/>
      <w:r w:rsidR="00A520CD" w:rsidRPr="00307C72">
        <w:rPr>
          <w:rFonts w:hint="eastAsia"/>
          <w:bCs w:val="0"/>
        </w:rPr>
        <w:t>辦理</w:t>
      </w:r>
      <w:r w:rsidR="00953ED7">
        <w:rPr>
          <w:rFonts w:hint="eastAsia"/>
          <w:bCs w:val="0"/>
        </w:rPr>
        <w:t>系爭計畫</w:t>
      </w:r>
      <w:r w:rsidR="00A520CD" w:rsidRPr="00307C72">
        <w:rPr>
          <w:rFonts w:hint="eastAsia"/>
          <w:bCs w:val="0"/>
        </w:rPr>
        <w:t>公開展覽，並分梯舉辦12場次公開說明會，102年7月24日至26日</w:t>
      </w:r>
      <w:r w:rsidR="00076EB0" w:rsidRPr="00307C72">
        <w:rPr>
          <w:rFonts w:hint="eastAsia"/>
          <w:bCs w:val="0"/>
        </w:rPr>
        <w:t>刊登</w:t>
      </w:r>
      <w:r w:rsidR="00A520CD" w:rsidRPr="00307C72">
        <w:rPr>
          <w:rFonts w:hint="eastAsia"/>
          <w:bCs w:val="0"/>
        </w:rPr>
        <w:t>聯合報公告，</w:t>
      </w:r>
      <w:r w:rsidR="004D7893" w:rsidRPr="004D7893">
        <w:rPr>
          <w:rFonts w:hint="eastAsia"/>
          <w:bCs w:val="0"/>
        </w:rPr>
        <w:t>102年9月4日</w:t>
      </w:r>
      <w:r w:rsidR="00A520CD" w:rsidRPr="00307C72">
        <w:rPr>
          <w:rFonts w:hint="eastAsia"/>
          <w:bCs w:val="0"/>
        </w:rPr>
        <w:t>檢送計畫書、圖及公民團體意見</w:t>
      </w:r>
      <w:r w:rsidR="00076EB0">
        <w:rPr>
          <w:rFonts w:hint="eastAsia"/>
          <w:bCs w:val="0"/>
        </w:rPr>
        <w:t>至內政</w:t>
      </w:r>
      <w:r w:rsidR="00A520CD" w:rsidRPr="00307C72">
        <w:rPr>
          <w:rFonts w:hint="eastAsia"/>
          <w:bCs w:val="0"/>
        </w:rPr>
        <w:t>部，</w:t>
      </w:r>
      <w:r w:rsidR="004D7893" w:rsidRPr="004D7893">
        <w:rPr>
          <w:rFonts w:hint="eastAsia"/>
          <w:bCs w:val="0"/>
        </w:rPr>
        <w:t>因案情複雜，由</w:t>
      </w:r>
      <w:r w:rsidR="00A520CD" w:rsidRPr="00307C72">
        <w:rPr>
          <w:rFonts w:hint="eastAsia"/>
          <w:bCs w:val="0"/>
        </w:rPr>
        <w:t>該部</w:t>
      </w:r>
      <w:r w:rsidR="00A04EC5" w:rsidRPr="00307C72">
        <w:rPr>
          <w:rFonts w:hint="eastAsia"/>
          <w:bCs w:val="0"/>
        </w:rPr>
        <w:t>都市計畫</w:t>
      </w:r>
      <w:r w:rsidR="00A520CD" w:rsidRPr="00307C72">
        <w:rPr>
          <w:rFonts w:hint="eastAsia"/>
          <w:bCs w:val="0"/>
        </w:rPr>
        <w:t>委員會</w:t>
      </w:r>
      <w:r w:rsidR="0097566D">
        <w:rPr>
          <w:rFonts w:hint="eastAsia"/>
          <w:bCs w:val="0"/>
        </w:rPr>
        <w:t>（下稱都委會）</w:t>
      </w:r>
      <w:r w:rsidR="00A520CD" w:rsidRPr="00307C72">
        <w:rPr>
          <w:rFonts w:hint="eastAsia"/>
          <w:bCs w:val="0"/>
        </w:rPr>
        <w:t>組成專案小組召開</w:t>
      </w:r>
      <w:r w:rsidR="00A520CD" w:rsidRPr="00307C72">
        <w:rPr>
          <w:rFonts w:hint="eastAsia"/>
          <w:bCs w:val="0"/>
        </w:rPr>
        <w:lastRenderedPageBreak/>
        <w:t>21次會議</w:t>
      </w:r>
      <w:r w:rsidR="004D7893">
        <w:rPr>
          <w:rFonts w:hint="eastAsia"/>
          <w:bCs w:val="0"/>
        </w:rPr>
        <w:t>，</w:t>
      </w:r>
      <w:r w:rsidR="004D7893" w:rsidRPr="004D7893">
        <w:rPr>
          <w:rFonts w:hint="eastAsia"/>
          <w:bCs w:val="0"/>
        </w:rPr>
        <w:t>並於102年10月14日赴現場勘查</w:t>
      </w:r>
      <w:r w:rsidR="004D7893">
        <w:rPr>
          <w:rFonts w:hint="eastAsia"/>
          <w:bCs w:val="0"/>
        </w:rPr>
        <w:t>；</w:t>
      </w:r>
      <w:r w:rsidR="004D7893" w:rsidRPr="004D7893">
        <w:rPr>
          <w:rFonts w:hint="eastAsia"/>
          <w:bCs w:val="0"/>
        </w:rPr>
        <w:t>另</w:t>
      </w:r>
      <w:r w:rsidR="00C75ACE">
        <w:rPr>
          <w:rFonts w:hint="eastAsia"/>
          <w:bCs w:val="0"/>
        </w:rPr>
        <w:t>該</w:t>
      </w:r>
      <w:r w:rsidR="004D7893" w:rsidRPr="004D7893">
        <w:rPr>
          <w:rFonts w:hint="eastAsia"/>
          <w:bCs w:val="0"/>
        </w:rPr>
        <w:t>部都委會專案小組與土地徵收審議小組專案小組</w:t>
      </w:r>
      <w:r w:rsidR="00C75ACE">
        <w:rPr>
          <w:rFonts w:hint="eastAsia"/>
          <w:bCs w:val="0"/>
        </w:rPr>
        <w:t>共同</w:t>
      </w:r>
      <w:r w:rsidR="00A520CD" w:rsidRPr="00307C72">
        <w:rPr>
          <w:rFonts w:hint="eastAsia"/>
          <w:bCs w:val="0"/>
        </w:rPr>
        <w:t>召開7次會議聯席審查</w:t>
      </w:r>
      <w:r w:rsidR="004F0287">
        <w:rPr>
          <w:rStyle w:val="af3"/>
          <w:bCs w:val="0"/>
        </w:rPr>
        <w:footnoteReference w:id="9"/>
      </w:r>
      <w:r w:rsidR="00A520CD" w:rsidRPr="00307C72">
        <w:rPr>
          <w:rFonts w:hint="eastAsia"/>
          <w:bCs w:val="0"/>
        </w:rPr>
        <w:t>，針對公益性、必要性與民眾權益部分審慎</w:t>
      </w:r>
      <w:r w:rsidR="00C24F92" w:rsidRPr="00307C72">
        <w:rPr>
          <w:rFonts w:hint="eastAsia"/>
          <w:bCs w:val="0"/>
        </w:rPr>
        <w:t>討論，</w:t>
      </w:r>
      <w:r w:rsidR="004D7893" w:rsidRPr="004D7893">
        <w:rPr>
          <w:rFonts w:hint="eastAsia"/>
          <w:bCs w:val="0"/>
        </w:rPr>
        <w:t>獲致具體初步建議意見</w:t>
      </w:r>
      <w:r w:rsidR="00B42692">
        <w:rPr>
          <w:rFonts w:hint="eastAsia"/>
          <w:bCs w:val="0"/>
        </w:rPr>
        <w:t>後，</w:t>
      </w:r>
      <w:r w:rsidR="004D7893" w:rsidRPr="004D7893">
        <w:rPr>
          <w:rFonts w:hint="eastAsia"/>
          <w:bCs w:val="0"/>
        </w:rPr>
        <w:t>提</w:t>
      </w:r>
      <w:r w:rsidR="00EA0034">
        <w:rPr>
          <w:rFonts w:hint="eastAsia"/>
          <w:bCs w:val="0"/>
        </w:rPr>
        <w:t>請</w:t>
      </w:r>
      <w:r w:rsidR="004D7893" w:rsidRPr="004D7893">
        <w:rPr>
          <w:rFonts w:hint="eastAsia"/>
          <w:bCs w:val="0"/>
        </w:rPr>
        <w:t>都委會102年12月24日第818次會議</w:t>
      </w:r>
      <w:r w:rsidR="00C15624">
        <w:rPr>
          <w:rFonts w:hint="eastAsia"/>
          <w:bCs w:val="0"/>
        </w:rPr>
        <w:t>審議</w:t>
      </w:r>
      <w:r w:rsidR="004D7893" w:rsidRPr="004D7893">
        <w:rPr>
          <w:rFonts w:hint="eastAsia"/>
          <w:bCs w:val="0"/>
        </w:rPr>
        <w:t>，因民眾陳情意見</w:t>
      </w:r>
      <w:proofErr w:type="gramStart"/>
      <w:r w:rsidR="004D7893" w:rsidRPr="004D7893">
        <w:rPr>
          <w:rFonts w:hint="eastAsia"/>
          <w:bCs w:val="0"/>
        </w:rPr>
        <w:t>眾多，</w:t>
      </w:r>
      <w:proofErr w:type="gramEnd"/>
      <w:r w:rsidR="004D7893" w:rsidRPr="004D7893">
        <w:rPr>
          <w:rFonts w:hint="eastAsia"/>
          <w:bCs w:val="0"/>
        </w:rPr>
        <w:t>無法凝聚共識，</w:t>
      </w:r>
      <w:r w:rsidR="00EA0034">
        <w:rPr>
          <w:rFonts w:hint="eastAsia"/>
          <w:bCs w:val="0"/>
        </w:rPr>
        <w:t>復</w:t>
      </w:r>
      <w:r w:rsidR="004D7893" w:rsidRPr="004D7893">
        <w:rPr>
          <w:rFonts w:hint="eastAsia"/>
          <w:bCs w:val="0"/>
        </w:rPr>
        <w:t>於</w:t>
      </w:r>
      <w:r w:rsidR="00EA0034">
        <w:rPr>
          <w:rFonts w:hint="eastAsia"/>
          <w:bCs w:val="0"/>
        </w:rPr>
        <w:t>同</w:t>
      </w:r>
      <w:r w:rsidR="004D7893" w:rsidRPr="004D7893">
        <w:rPr>
          <w:rFonts w:hint="eastAsia"/>
          <w:bCs w:val="0"/>
        </w:rPr>
        <w:t>年12月30日</w:t>
      </w:r>
      <w:r w:rsidR="00750CFB">
        <w:rPr>
          <w:rFonts w:hint="eastAsia"/>
          <w:bCs w:val="0"/>
        </w:rPr>
        <w:t>繼續</w:t>
      </w:r>
      <w:r w:rsidR="00C15624">
        <w:rPr>
          <w:rFonts w:hint="eastAsia"/>
          <w:bCs w:val="0"/>
        </w:rPr>
        <w:t>審議</w:t>
      </w:r>
      <w:r w:rsidR="004D7893" w:rsidRPr="004D7893">
        <w:rPr>
          <w:rFonts w:hint="eastAsia"/>
          <w:bCs w:val="0"/>
        </w:rPr>
        <w:t>，</w:t>
      </w:r>
      <w:r w:rsidR="00C15624">
        <w:rPr>
          <w:rFonts w:hint="eastAsia"/>
          <w:bCs w:val="0"/>
        </w:rPr>
        <w:t>做成</w:t>
      </w:r>
      <w:r w:rsidR="004D7893" w:rsidRPr="004D7893">
        <w:rPr>
          <w:rFonts w:hint="eastAsia"/>
          <w:bCs w:val="0"/>
        </w:rPr>
        <w:t>決議由內政部</w:t>
      </w:r>
      <w:r w:rsidR="004D7893">
        <w:rPr>
          <w:rFonts w:hint="eastAsia"/>
          <w:bCs w:val="0"/>
        </w:rPr>
        <w:t>（</w:t>
      </w:r>
      <w:r w:rsidR="004D7893" w:rsidRPr="004D7893">
        <w:rPr>
          <w:rFonts w:hint="eastAsia"/>
          <w:bCs w:val="0"/>
        </w:rPr>
        <w:t>營建署城鄉發展分署</w:t>
      </w:r>
      <w:r w:rsidR="004D7893">
        <w:rPr>
          <w:rFonts w:hint="eastAsia"/>
          <w:bCs w:val="0"/>
        </w:rPr>
        <w:t>）</w:t>
      </w:r>
      <w:r w:rsidR="004D7893" w:rsidRPr="004D7893">
        <w:rPr>
          <w:rFonts w:hint="eastAsia"/>
          <w:bCs w:val="0"/>
        </w:rPr>
        <w:t>依照修正計畫書、圖，</w:t>
      </w:r>
      <w:r w:rsidR="0072746F">
        <w:rPr>
          <w:rFonts w:hint="eastAsia"/>
          <w:bCs w:val="0"/>
        </w:rPr>
        <w:t>再依同</w:t>
      </w:r>
      <w:r w:rsidR="004D7893" w:rsidRPr="004D7893">
        <w:rPr>
          <w:rFonts w:hint="eastAsia"/>
          <w:bCs w:val="0"/>
        </w:rPr>
        <w:t>法第19條</w:t>
      </w:r>
      <w:r w:rsidR="0072746F">
        <w:rPr>
          <w:rFonts w:hint="eastAsia"/>
          <w:bCs w:val="0"/>
        </w:rPr>
        <w:t>第1項</w:t>
      </w:r>
      <w:r w:rsidR="004D7893" w:rsidRPr="004D7893">
        <w:rPr>
          <w:rFonts w:hint="eastAsia"/>
          <w:bCs w:val="0"/>
        </w:rPr>
        <w:t>規定辦理公開展覽及說明會</w:t>
      </w:r>
      <w:r w:rsidR="0072746F">
        <w:rPr>
          <w:rFonts w:hint="eastAsia"/>
          <w:bCs w:val="0"/>
        </w:rPr>
        <w:t>後</w:t>
      </w:r>
      <w:r w:rsidR="004D7893" w:rsidRPr="004D7893">
        <w:rPr>
          <w:rFonts w:hint="eastAsia"/>
          <w:bCs w:val="0"/>
        </w:rPr>
        <w:t>，</w:t>
      </w:r>
      <w:r w:rsidR="0072746F">
        <w:rPr>
          <w:rFonts w:hint="eastAsia"/>
          <w:bCs w:val="0"/>
        </w:rPr>
        <w:t>將</w:t>
      </w:r>
      <w:r w:rsidR="004D7893" w:rsidRPr="004D7893">
        <w:rPr>
          <w:rFonts w:hint="eastAsia"/>
          <w:bCs w:val="0"/>
        </w:rPr>
        <w:t>公民或團體提出陳情意見</w:t>
      </w:r>
      <w:r w:rsidR="0072746F">
        <w:rPr>
          <w:rFonts w:hint="eastAsia"/>
          <w:bCs w:val="0"/>
        </w:rPr>
        <w:t>送</w:t>
      </w:r>
      <w:r w:rsidR="004D7893" w:rsidRPr="004D7893">
        <w:rPr>
          <w:rFonts w:hint="eastAsia"/>
          <w:bCs w:val="0"/>
        </w:rPr>
        <w:t>交都委會專案小組繼續討論；另有關</w:t>
      </w:r>
      <w:r w:rsidR="00E13F3B">
        <w:rPr>
          <w:rFonts w:hint="eastAsia"/>
          <w:bCs w:val="0"/>
        </w:rPr>
        <w:t>系爭計畫</w:t>
      </w:r>
      <w:r w:rsidR="004D7893" w:rsidRPr="004D7893">
        <w:rPr>
          <w:rFonts w:hint="eastAsia"/>
          <w:bCs w:val="0"/>
        </w:rPr>
        <w:t>用地需求評估、區段徵收財務評估、分期分區計畫、開發期程、拆遷安置計畫、</w:t>
      </w:r>
      <w:proofErr w:type="gramStart"/>
      <w:r w:rsidR="004D7893" w:rsidRPr="004D7893">
        <w:rPr>
          <w:rFonts w:hint="eastAsia"/>
          <w:bCs w:val="0"/>
        </w:rPr>
        <w:t>埤</w:t>
      </w:r>
      <w:proofErr w:type="gramEnd"/>
      <w:r w:rsidR="004D7893" w:rsidRPr="004D7893">
        <w:rPr>
          <w:rFonts w:hint="eastAsia"/>
          <w:bCs w:val="0"/>
        </w:rPr>
        <w:t>塘專用區及河川區是否納入區段徵收範圍等議題，將繼續由都委會專案小組討論（必要時將與內政部土地徵收審議小組專案小組召開聯席會議）</w:t>
      </w:r>
      <w:r w:rsidR="000C4152">
        <w:rPr>
          <w:rFonts w:hint="eastAsia"/>
          <w:bCs w:val="0"/>
        </w:rPr>
        <w:t>。</w:t>
      </w:r>
      <w:r w:rsidR="00E536F0" w:rsidRPr="00E84E08">
        <w:rPr>
          <w:rFonts w:hint="eastAsia"/>
          <w:bCs w:val="0"/>
        </w:rPr>
        <w:t>系爭計畫</w:t>
      </w:r>
      <w:r w:rsidR="00E828C1" w:rsidRPr="00E84E08">
        <w:rPr>
          <w:rFonts w:hint="eastAsia"/>
          <w:bCs w:val="0"/>
        </w:rPr>
        <w:t>修正後</w:t>
      </w:r>
      <w:r w:rsidR="00E536F0" w:rsidRPr="00E84E08">
        <w:rPr>
          <w:rFonts w:hint="eastAsia"/>
          <w:bCs w:val="0"/>
        </w:rPr>
        <w:t>雖再</w:t>
      </w:r>
      <w:r w:rsidR="00E828C1" w:rsidRPr="00E84E08">
        <w:rPr>
          <w:rFonts w:hint="eastAsia"/>
          <w:bCs w:val="0"/>
        </w:rPr>
        <w:t>於103年2月辦理公開展覽，並</w:t>
      </w:r>
      <w:r w:rsidR="00E536F0" w:rsidRPr="00E84E08">
        <w:rPr>
          <w:rFonts w:hint="eastAsia"/>
          <w:bCs w:val="0"/>
        </w:rPr>
        <w:t>提</w:t>
      </w:r>
      <w:r w:rsidR="00E536F0" w:rsidRPr="00D07554">
        <w:rPr>
          <w:rFonts w:hint="eastAsia"/>
          <w:bCs w:val="0"/>
        </w:rPr>
        <w:t>103年6月24日都委會第830次會議審議，惟因與會委員對於部分計畫內容仍有意見，決議由內政部（營建署城鄉發展分署）修改後再送專案小組審查，</w:t>
      </w:r>
      <w:proofErr w:type="gramStart"/>
      <w:r w:rsidR="00E536F0" w:rsidRPr="00D07554">
        <w:rPr>
          <w:rFonts w:hint="eastAsia"/>
          <w:bCs w:val="0"/>
        </w:rPr>
        <w:t>故系爭</w:t>
      </w:r>
      <w:proofErr w:type="gramEnd"/>
      <w:r w:rsidR="00E536F0" w:rsidRPr="00D07554">
        <w:rPr>
          <w:rFonts w:hint="eastAsia"/>
          <w:bCs w:val="0"/>
        </w:rPr>
        <w:t>計畫案尚未審議通過，惟其計畫範圍與區段徵收之開發方式，</w:t>
      </w:r>
      <w:proofErr w:type="gramStart"/>
      <w:r w:rsidR="00E536F0" w:rsidRPr="00D07554">
        <w:rPr>
          <w:rFonts w:hint="eastAsia"/>
          <w:bCs w:val="0"/>
        </w:rPr>
        <w:t>均未改變</w:t>
      </w:r>
      <w:proofErr w:type="gramEnd"/>
      <w:r w:rsidR="00E536F0" w:rsidRPr="00D07554">
        <w:rPr>
          <w:rFonts w:hint="eastAsia"/>
          <w:bCs w:val="0"/>
        </w:rPr>
        <w:t>。</w:t>
      </w:r>
    </w:p>
    <w:p w:rsidR="00337E69" w:rsidRDefault="00B258C6" w:rsidP="00FE53CD">
      <w:pPr>
        <w:pStyle w:val="3"/>
        <w:ind w:left="1360" w:hanging="680"/>
      </w:pPr>
      <w:r w:rsidRPr="00EA762A">
        <w:rPr>
          <w:rFonts w:hint="eastAsia"/>
        </w:rPr>
        <w:t>綜上所述，</w:t>
      </w:r>
      <w:r w:rsidR="00337E69" w:rsidRPr="00EA762A">
        <w:rPr>
          <w:rFonts w:hint="eastAsia"/>
        </w:rPr>
        <w:t>內政部擬定</w:t>
      </w:r>
      <w:r w:rsidR="00893899">
        <w:rPr>
          <w:rFonts w:hint="eastAsia"/>
        </w:rPr>
        <w:t>系爭</w:t>
      </w:r>
      <w:r w:rsidR="00337E69" w:rsidRPr="00EA762A">
        <w:rPr>
          <w:rFonts w:hint="eastAsia"/>
        </w:rPr>
        <w:t>計畫，</w:t>
      </w:r>
      <w:r w:rsidR="00EA762A" w:rsidRPr="00EA762A">
        <w:rPr>
          <w:rFonts w:hint="eastAsia"/>
        </w:rPr>
        <w:t>業經</w:t>
      </w:r>
      <w:r w:rsidR="00337E69" w:rsidRPr="00EA762A">
        <w:rPr>
          <w:rFonts w:hint="eastAsia"/>
        </w:rPr>
        <w:t>該部區域計畫委員會審查通過，</w:t>
      </w:r>
      <w:r w:rsidR="001853B1" w:rsidRPr="001853B1">
        <w:rPr>
          <w:rFonts w:hint="eastAsia"/>
        </w:rPr>
        <w:t>同意其區位、規模、機能，並</w:t>
      </w:r>
      <w:proofErr w:type="gramStart"/>
      <w:r w:rsidR="001853B1" w:rsidRPr="001853B1">
        <w:rPr>
          <w:rFonts w:hint="eastAsia"/>
        </w:rPr>
        <w:t>採</w:t>
      </w:r>
      <w:proofErr w:type="gramEnd"/>
      <w:r w:rsidR="001853B1" w:rsidRPr="001853B1">
        <w:rPr>
          <w:rFonts w:hint="eastAsia"/>
        </w:rPr>
        <w:t>新訂都市計畫辦理，</w:t>
      </w:r>
      <w:r w:rsidR="0098466D">
        <w:rPr>
          <w:rFonts w:hint="eastAsia"/>
        </w:rPr>
        <w:t>區段徵收方式開發，</w:t>
      </w:r>
      <w:r w:rsidR="001853B1" w:rsidRPr="001853B1">
        <w:rPr>
          <w:rFonts w:hint="eastAsia"/>
        </w:rPr>
        <w:t>其實質計畫內容</w:t>
      </w:r>
      <w:r w:rsidR="00893899" w:rsidRPr="00893899">
        <w:rPr>
          <w:rFonts w:hint="eastAsia"/>
        </w:rPr>
        <w:t>，正依法進行審議中，迄今辦理程序與相</w:t>
      </w:r>
      <w:r w:rsidR="00893899" w:rsidRPr="00893899">
        <w:rPr>
          <w:rFonts w:hint="eastAsia"/>
        </w:rPr>
        <w:lastRenderedPageBreak/>
        <w:t>關法令規定，雖尚無不合，</w:t>
      </w:r>
      <w:proofErr w:type="gramStart"/>
      <w:r w:rsidR="00893899" w:rsidRPr="00893899">
        <w:rPr>
          <w:rFonts w:hint="eastAsia"/>
        </w:rPr>
        <w:t>惟</w:t>
      </w:r>
      <w:r w:rsidR="009E24C5">
        <w:rPr>
          <w:rFonts w:hint="eastAsia"/>
        </w:rPr>
        <w:t>系爭</w:t>
      </w:r>
      <w:proofErr w:type="gramEnd"/>
      <w:r w:rsidR="00893899" w:rsidRPr="00893899">
        <w:rPr>
          <w:rFonts w:hint="eastAsia"/>
        </w:rPr>
        <w:t>計畫</w:t>
      </w:r>
      <w:r w:rsidR="00E84E08">
        <w:rPr>
          <w:rFonts w:hint="eastAsia"/>
        </w:rPr>
        <w:t>係</w:t>
      </w:r>
      <w:r w:rsidR="00ED25C1" w:rsidRPr="00ED25C1">
        <w:rPr>
          <w:rFonts w:hint="eastAsia"/>
        </w:rPr>
        <w:t>我國歷年來規模最大之區段徵收開發案，徵收面積高達3,126公頃，幾</w:t>
      </w:r>
      <w:proofErr w:type="gramStart"/>
      <w:r w:rsidR="00ED25C1" w:rsidRPr="00ED25C1">
        <w:rPr>
          <w:rFonts w:hint="eastAsia"/>
        </w:rPr>
        <w:t>佔</w:t>
      </w:r>
      <w:proofErr w:type="gramEnd"/>
      <w:r w:rsidR="00ED25C1" w:rsidRPr="00ED25C1">
        <w:rPr>
          <w:rFonts w:hint="eastAsia"/>
        </w:rPr>
        <w:t>已辦理區段徵收面積的一半，政府部門允應</w:t>
      </w:r>
      <w:r w:rsidR="00893899" w:rsidRPr="00893899">
        <w:rPr>
          <w:rFonts w:hint="eastAsia"/>
        </w:rPr>
        <w:t>妥慎務實規劃與執行，</w:t>
      </w:r>
      <w:r w:rsidR="00A85958">
        <w:rPr>
          <w:rFonts w:hint="eastAsia"/>
        </w:rPr>
        <w:t>以</w:t>
      </w:r>
      <w:r w:rsidR="00385703">
        <w:rPr>
          <w:rFonts w:hint="eastAsia"/>
        </w:rPr>
        <w:t>真正</w:t>
      </w:r>
      <w:r w:rsidR="00A85958">
        <w:rPr>
          <w:rFonts w:hint="eastAsia"/>
        </w:rPr>
        <w:t>達成計畫</w:t>
      </w:r>
      <w:r w:rsidR="00893899" w:rsidRPr="00893899">
        <w:rPr>
          <w:rFonts w:hint="eastAsia"/>
        </w:rPr>
        <w:t>整體</w:t>
      </w:r>
      <w:r w:rsidR="00A85958">
        <w:rPr>
          <w:rFonts w:hint="eastAsia"/>
        </w:rPr>
        <w:t>效益，</w:t>
      </w:r>
      <w:r w:rsidR="00893899" w:rsidRPr="00893899">
        <w:rPr>
          <w:rFonts w:hint="eastAsia"/>
        </w:rPr>
        <w:t>並</w:t>
      </w:r>
      <w:r w:rsidR="00376CCB">
        <w:rPr>
          <w:rFonts w:hint="eastAsia"/>
        </w:rPr>
        <w:t>確實</w:t>
      </w:r>
      <w:r w:rsidR="00893899" w:rsidRPr="00893899">
        <w:rPr>
          <w:rFonts w:hint="eastAsia"/>
        </w:rPr>
        <w:t>維護憲法保障人民之基本權利。</w:t>
      </w:r>
    </w:p>
    <w:p w:rsidR="00625C07" w:rsidRPr="00625C07" w:rsidRDefault="00C55094" w:rsidP="00C83077">
      <w:pPr>
        <w:pStyle w:val="2"/>
        <w:ind w:left="1020" w:hanging="680"/>
        <w:rPr>
          <w:bCs w:val="0"/>
        </w:rPr>
      </w:pPr>
      <w:r w:rsidRPr="00C55094">
        <w:rPr>
          <w:rFonts w:hAnsi="標楷體" w:hint="eastAsia"/>
          <w:b/>
        </w:rPr>
        <w:t>「桃園航空城機場園區建設計畫」係依交通部所擬「桃園機場園區綱要計畫」劃設，</w:t>
      </w:r>
      <w:r w:rsidR="00800262">
        <w:rPr>
          <w:rFonts w:hAnsi="標楷體" w:hint="eastAsia"/>
          <w:b/>
        </w:rPr>
        <w:t>其</w:t>
      </w:r>
      <w:r w:rsidRPr="00C55094">
        <w:rPr>
          <w:rFonts w:hAnsi="標楷體" w:hint="eastAsia"/>
          <w:b/>
        </w:rPr>
        <w:t>「機場專用區」與「自由貿易港專用區」</w:t>
      </w:r>
      <w:proofErr w:type="gramStart"/>
      <w:r w:rsidRPr="00C55094">
        <w:rPr>
          <w:rFonts w:hAnsi="標楷體" w:hint="eastAsia"/>
          <w:b/>
        </w:rPr>
        <w:t>均</w:t>
      </w:r>
      <w:r w:rsidR="00AD1BE0">
        <w:rPr>
          <w:rFonts w:hAnsi="標楷體" w:hint="eastAsia"/>
          <w:b/>
        </w:rPr>
        <w:t>具</w:t>
      </w:r>
      <w:r w:rsidR="005F6D27" w:rsidRPr="00C55094">
        <w:rPr>
          <w:rFonts w:hAnsi="標楷體" w:hint="eastAsia"/>
          <w:b/>
        </w:rPr>
        <w:t>前</w:t>
      </w:r>
      <w:proofErr w:type="gramEnd"/>
      <w:r w:rsidR="005F6D27" w:rsidRPr="00C55094">
        <w:rPr>
          <w:rFonts w:hAnsi="標楷體" w:hint="eastAsia"/>
          <w:b/>
        </w:rPr>
        <w:t>瞻及整體性規劃</w:t>
      </w:r>
      <w:r w:rsidR="005F6D27">
        <w:rPr>
          <w:rFonts w:hAnsi="標楷體" w:hint="eastAsia"/>
          <w:b/>
        </w:rPr>
        <w:t>，</w:t>
      </w:r>
      <w:r w:rsidR="00AD1BE0">
        <w:rPr>
          <w:rFonts w:hAnsi="標楷體" w:hint="eastAsia"/>
          <w:b/>
        </w:rPr>
        <w:t>用</w:t>
      </w:r>
      <w:r w:rsidR="005D79E0">
        <w:rPr>
          <w:rFonts w:hAnsi="標楷體" w:hint="eastAsia"/>
          <w:b/>
        </w:rPr>
        <w:t>以</w:t>
      </w:r>
      <w:r w:rsidR="005D79E0" w:rsidRPr="005D79E0">
        <w:rPr>
          <w:rFonts w:hAnsi="標楷體" w:hint="eastAsia"/>
          <w:b/>
        </w:rPr>
        <w:t>增進</w:t>
      </w:r>
      <w:r w:rsidRPr="00C55094">
        <w:rPr>
          <w:rFonts w:hAnsi="標楷體" w:hint="eastAsia"/>
          <w:b/>
        </w:rPr>
        <w:t>機場設施與功能，</w:t>
      </w:r>
      <w:r w:rsidR="00AD1BE0">
        <w:rPr>
          <w:rFonts w:hAnsi="標楷體" w:hint="eastAsia"/>
          <w:b/>
        </w:rPr>
        <w:t>方向</w:t>
      </w:r>
      <w:proofErr w:type="gramStart"/>
      <w:r w:rsidR="00AD1BE0">
        <w:rPr>
          <w:rFonts w:hAnsi="標楷體" w:hint="eastAsia"/>
          <w:b/>
        </w:rPr>
        <w:t>允宜</w:t>
      </w:r>
      <w:r w:rsidRPr="00C55094">
        <w:rPr>
          <w:rFonts w:hAnsi="標楷體" w:hint="eastAsia"/>
          <w:b/>
        </w:rPr>
        <w:t>肯認</w:t>
      </w:r>
      <w:proofErr w:type="gramEnd"/>
      <w:r w:rsidRPr="00C55094">
        <w:rPr>
          <w:rFonts w:hAnsi="標楷體" w:hint="eastAsia"/>
          <w:b/>
        </w:rPr>
        <w:t>；</w:t>
      </w:r>
      <w:proofErr w:type="gramStart"/>
      <w:r w:rsidR="00AD1BE0">
        <w:rPr>
          <w:rFonts w:hAnsi="標楷體" w:hint="eastAsia"/>
          <w:b/>
        </w:rPr>
        <w:t>惟</w:t>
      </w:r>
      <w:proofErr w:type="gramEnd"/>
      <w:r w:rsidRPr="00C55094">
        <w:rPr>
          <w:rFonts w:hAnsi="標楷體" w:hint="eastAsia"/>
          <w:b/>
        </w:rPr>
        <w:t>有關第三跑道之配置方案與</w:t>
      </w:r>
      <w:r w:rsidR="005F6D27">
        <w:rPr>
          <w:rFonts w:hAnsi="標楷體" w:hint="eastAsia"/>
          <w:b/>
        </w:rPr>
        <w:t>專用區之</w:t>
      </w:r>
      <w:r w:rsidRPr="00C55094">
        <w:rPr>
          <w:rFonts w:hAnsi="標楷體" w:hint="eastAsia"/>
          <w:b/>
        </w:rPr>
        <w:t>規模，</w:t>
      </w:r>
      <w:r w:rsidR="00C325F5">
        <w:rPr>
          <w:rFonts w:hAnsi="標楷體" w:hint="eastAsia"/>
          <w:b/>
        </w:rPr>
        <w:t>仍應</w:t>
      </w:r>
      <w:r w:rsidR="00C325F5" w:rsidRPr="00E84E08">
        <w:rPr>
          <w:rFonts w:hAnsi="標楷體" w:hint="eastAsia"/>
          <w:b/>
        </w:rPr>
        <w:t>循</w:t>
      </w:r>
      <w:r w:rsidR="00C325F5">
        <w:rPr>
          <w:rFonts w:hAnsi="標楷體" w:hint="eastAsia"/>
          <w:b/>
        </w:rPr>
        <w:t>法定程序，</w:t>
      </w:r>
      <w:r w:rsidRPr="00C55094">
        <w:rPr>
          <w:rFonts w:hAnsi="標楷體" w:hint="eastAsia"/>
          <w:b/>
        </w:rPr>
        <w:t>於申請徵收時，由土地徵收審議小組依法審查。</w:t>
      </w:r>
    </w:p>
    <w:p w:rsidR="0027505F" w:rsidRPr="005A3D64" w:rsidRDefault="002079B9" w:rsidP="00E108E9">
      <w:pPr>
        <w:pStyle w:val="3"/>
        <w:ind w:left="1360" w:hanging="680"/>
        <w:rPr>
          <w:bCs w:val="0"/>
        </w:rPr>
      </w:pPr>
      <w:r>
        <w:rPr>
          <w:rFonts w:hint="eastAsia"/>
        </w:rPr>
        <w:t>按</w:t>
      </w:r>
      <w:r w:rsidR="00696987">
        <w:rPr>
          <w:rFonts w:hint="eastAsia"/>
        </w:rPr>
        <w:t>國際機場園區發展條例第5、6、9條規定，機場園區未來發展相關作業係分階段推動，機場園區綱要計畫相當於可行性研究階段之成果，其主要內容包含園區功能定位與發展策略、運量發展預測、未來用地範圍及使用配置、交通運輸規劃、開發方式與事業及財務計畫策略等</w:t>
      </w:r>
      <w:r w:rsidR="00137CEB">
        <w:rPr>
          <w:rFonts w:hint="eastAsia"/>
        </w:rPr>
        <w:t>，</w:t>
      </w:r>
      <w:r w:rsidR="007330B7">
        <w:rPr>
          <w:rFonts w:hint="eastAsia"/>
        </w:rPr>
        <w:t>綱</w:t>
      </w:r>
      <w:r w:rsidR="00E108E9">
        <w:rPr>
          <w:rFonts w:hint="eastAsia"/>
        </w:rPr>
        <w:t>要計畫需先核定後，後續特定區計畫、區段徵收計畫、實施計畫及重大建設計畫等才能據以推動。</w:t>
      </w:r>
      <w:r w:rsidR="00137CEB">
        <w:rPr>
          <w:rFonts w:hint="eastAsia"/>
        </w:rPr>
        <w:t>交通部所擬</w:t>
      </w:r>
      <w:r w:rsidR="007330B7">
        <w:rPr>
          <w:rFonts w:hint="eastAsia"/>
        </w:rPr>
        <w:t>「</w:t>
      </w:r>
      <w:r w:rsidR="007330B7" w:rsidRPr="00A849A1">
        <w:rPr>
          <w:rFonts w:hint="eastAsia"/>
        </w:rPr>
        <w:t>桃園機場園區綱要計畫</w:t>
      </w:r>
      <w:r w:rsidR="007330B7">
        <w:rPr>
          <w:rFonts w:hint="eastAsia"/>
        </w:rPr>
        <w:t>」</w:t>
      </w:r>
      <w:r w:rsidR="00DA1B80">
        <w:rPr>
          <w:rFonts w:hint="eastAsia"/>
        </w:rPr>
        <w:t>為</w:t>
      </w:r>
      <w:r w:rsidR="002E7741">
        <w:rPr>
          <w:rFonts w:hint="eastAsia"/>
        </w:rPr>
        <w:t>桃園國際機場躋身國際重要機場之重要指導計畫</w:t>
      </w:r>
      <w:r w:rsidR="00DA1B80">
        <w:rPr>
          <w:rFonts w:hint="eastAsia"/>
        </w:rPr>
        <w:t>，預估</w:t>
      </w:r>
      <w:r w:rsidR="00DA1B80" w:rsidRPr="00455A78">
        <w:rPr>
          <w:rFonts w:hint="eastAsia"/>
        </w:rPr>
        <w:t>除</w:t>
      </w:r>
      <w:r w:rsidR="00DA1B80">
        <w:rPr>
          <w:rFonts w:hint="eastAsia"/>
        </w:rPr>
        <w:t>可</w:t>
      </w:r>
      <w:r w:rsidR="00DA1B80" w:rsidRPr="00455A78">
        <w:rPr>
          <w:rFonts w:hint="eastAsia"/>
        </w:rPr>
        <w:t>帶動外圍航空城開發效益外，另機場</w:t>
      </w:r>
      <w:r w:rsidR="00DA1B80">
        <w:rPr>
          <w:rFonts w:hint="eastAsia"/>
        </w:rPr>
        <w:t>本身</w:t>
      </w:r>
      <w:r w:rsidR="00DA1B80" w:rsidRPr="00455A78">
        <w:rPr>
          <w:rFonts w:hint="eastAsia"/>
        </w:rPr>
        <w:t>園區發展及建設工程</w:t>
      </w:r>
      <w:r w:rsidR="00DA1B80">
        <w:rPr>
          <w:rFonts w:hint="eastAsia"/>
        </w:rPr>
        <w:t>，</w:t>
      </w:r>
      <w:r w:rsidR="00DA1B80" w:rsidRPr="00455A78">
        <w:rPr>
          <w:rFonts w:hint="eastAsia"/>
        </w:rPr>
        <w:t>至目標年2030年總計產生經濟效益</w:t>
      </w:r>
      <w:r w:rsidR="00DA1B80" w:rsidRPr="00455A78">
        <w:rPr>
          <w:rFonts w:hint="eastAsia"/>
        </w:rPr>
        <w:tab/>
        <w:t>約1兆6,400億元</w:t>
      </w:r>
      <w:r w:rsidR="00DA1B80">
        <w:rPr>
          <w:rFonts w:hint="eastAsia"/>
        </w:rPr>
        <w:t>，</w:t>
      </w:r>
      <w:r w:rsidR="00DA1B80" w:rsidRPr="00455A78">
        <w:rPr>
          <w:rFonts w:hint="eastAsia"/>
        </w:rPr>
        <w:t>增加中央稅收約820億元</w:t>
      </w:r>
      <w:r w:rsidR="00DA1B80">
        <w:rPr>
          <w:rFonts w:hint="eastAsia"/>
        </w:rPr>
        <w:t>，</w:t>
      </w:r>
      <w:r w:rsidR="00DA1B80" w:rsidRPr="00455A78">
        <w:rPr>
          <w:rFonts w:hint="eastAsia"/>
        </w:rPr>
        <w:t>增加就業機會約18萬個</w:t>
      </w:r>
      <w:r w:rsidR="00DA1B80">
        <w:rPr>
          <w:rFonts w:hint="eastAsia"/>
        </w:rPr>
        <w:t>。</w:t>
      </w:r>
      <w:r w:rsidR="00DA1B80" w:rsidRPr="00A849A1">
        <w:rPr>
          <w:rFonts w:hAnsi="標楷體" w:hint="eastAsia"/>
        </w:rPr>
        <w:t>系爭計畫中之「桃園航空城機場園區建設計畫」即依</w:t>
      </w:r>
      <w:r w:rsidR="00083584">
        <w:rPr>
          <w:rFonts w:hint="eastAsia"/>
        </w:rPr>
        <w:t>該計畫</w:t>
      </w:r>
      <w:r w:rsidR="00DA1B80">
        <w:rPr>
          <w:rFonts w:hint="eastAsia"/>
        </w:rPr>
        <w:t>之內容劃設</w:t>
      </w:r>
      <w:r w:rsidR="00A52752">
        <w:rPr>
          <w:rFonts w:hint="eastAsia"/>
        </w:rPr>
        <w:t>，主要包括</w:t>
      </w:r>
      <w:r w:rsidR="005A3D64">
        <w:rPr>
          <w:rFonts w:hint="eastAsia"/>
        </w:rPr>
        <w:t>「</w:t>
      </w:r>
      <w:r w:rsidR="005A3D64" w:rsidRPr="005A3D64">
        <w:rPr>
          <w:rFonts w:hint="eastAsia"/>
        </w:rPr>
        <w:t>機場專用區</w:t>
      </w:r>
      <w:r w:rsidR="005A3D64">
        <w:rPr>
          <w:rFonts w:hint="eastAsia"/>
        </w:rPr>
        <w:t>」</w:t>
      </w:r>
      <w:r w:rsidR="005A3D64" w:rsidRPr="0027505F">
        <w:rPr>
          <w:rFonts w:hint="eastAsia"/>
        </w:rPr>
        <w:t>面積約</w:t>
      </w:r>
      <w:r w:rsidR="005F6236" w:rsidRPr="0027505F">
        <w:rPr>
          <w:rFonts w:hint="eastAsia"/>
        </w:rPr>
        <w:t>1,732公頃</w:t>
      </w:r>
      <w:r w:rsidR="003E4F50">
        <w:rPr>
          <w:rStyle w:val="af3"/>
        </w:rPr>
        <w:footnoteReference w:id="10"/>
      </w:r>
      <w:r w:rsidR="005A3D64">
        <w:rPr>
          <w:rFonts w:hint="eastAsia"/>
        </w:rPr>
        <w:t>、「</w:t>
      </w:r>
      <w:r w:rsidR="005A3D64" w:rsidRPr="0027505F">
        <w:rPr>
          <w:rFonts w:hint="eastAsia"/>
        </w:rPr>
        <w:t>自由貿易港專用區</w:t>
      </w:r>
      <w:r w:rsidR="005A3D64">
        <w:rPr>
          <w:rFonts w:hint="eastAsia"/>
        </w:rPr>
        <w:t>」</w:t>
      </w:r>
      <w:r w:rsidR="005A3D64" w:rsidRPr="0027505F">
        <w:rPr>
          <w:rFonts w:hint="eastAsia"/>
        </w:rPr>
        <w:t>面積</w:t>
      </w:r>
      <w:r w:rsidR="005A3D64">
        <w:rPr>
          <w:rFonts w:hint="eastAsia"/>
        </w:rPr>
        <w:t>約161</w:t>
      </w:r>
      <w:r w:rsidR="005A3D64">
        <w:rPr>
          <w:rFonts w:hint="eastAsia"/>
        </w:rPr>
        <w:lastRenderedPageBreak/>
        <w:t>公頃</w:t>
      </w:r>
      <w:r w:rsidR="003E4F50">
        <w:rPr>
          <w:rStyle w:val="af3"/>
        </w:rPr>
        <w:footnoteReference w:id="11"/>
      </w:r>
      <w:r w:rsidR="003E4F50">
        <w:rPr>
          <w:rFonts w:hint="eastAsia"/>
        </w:rPr>
        <w:t>。</w:t>
      </w:r>
    </w:p>
    <w:p w:rsidR="00783D9B" w:rsidRDefault="009B1130" w:rsidP="00DD60F2">
      <w:pPr>
        <w:pStyle w:val="3"/>
        <w:ind w:left="1360" w:hanging="680"/>
      </w:pPr>
      <w:r>
        <w:rPr>
          <w:rFonts w:hint="eastAsia"/>
        </w:rPr>
        <w:t>依「</w:t>
      </w:r>
      <w:r w:rsidRPr="00A849A1">
        <w:rPr>
          <w:rFonts w:hint="eastAsia"/>
        </w:rPr>
        <w:t>桃園機場園區綱要計畫</w:t>
      </w:r>
      <w:r>
        <w:rPr>
          <w:rFonts w:hint="eastAsia"/>
        </w:rPr>
        <w:t>」所載，</w:t>
      </w:r>
      <w:r w:rsidR="003E4F50">
        <w:rPr>
          <w:rFonts w:hint="eastAsia"/>
        </w:rPr>
        <w:t>「</w:t>
      </w:r>
      <w:r w:rsidR="003E4F50" w:rsidRPr="005A3D64">
        <w:rPr>
          <w:rFonts w:hint="eastAsia"/>
        </w:rPr>
        <w:t>機場專用區</w:t>
      </w:r>
      <w:r w:rsidR="003E4F50">
        <w:rPr>
          <w:rFonts w:hint="eastAsia"/>
        </w:rPr>
        <w:t>」</w:t>
      </w:r>
      <w:r w:rsidR="00D31EF6" w:rsidRPr="0027505F">
        <w:rPr>
          <w:rFonts w:hint="eastAsia"/>
        </w:rPr>
        <w:t>擴建用地範圍</w:t>
      </w:r>
      <w:r w:rsidR="00D31EF6">
        <w:rPr>
          <w:rFonts w:hint="eastAsia"/>
        </w:rPr>
        <w:t>內之</w:t>
      </w:r>
      <w:r w:rsidR="00D31EF6" w:rsidRPr="0027505F">
        <w:rPr>
          <w:rFonts w:hint="eastAsia"/>
        </w:rPr>
        <w:t>第三跑道</w:t>
      </w:r>
      <w:r w:rsidR="00D31EF6">
        <w:rPr>
          <w:rFonts w:hint="eastAsia"/>
        </w:rPr>
        <w:t>，主要係因</w:t>
      </w:r>
      <w:r w:rsidR="00845532">
        <w:rPr>
          <w:rFonts w:hint="eastAsia"/>
        </w:rPr>
        <w:t>桃園機場</w:t>
      </w:r>
      <w:r w:rsidR="00283FF3">
        <w:rPr>
          <w:rFonts w:hint="eastAsia"/>
        </w:rPr>
        <w:t>現雖有</w:t>
      </w:r>
      <w:r w:rsidR="00845532">
        <w:rPr>
          <w:rFonts w:hint="eastAsia"/>
        </w:rPr>
        <w:t>兩條跑道，</w:t>
      </w:r>
      <w:r w:rsidR="00283FF3">
        <w:rPr>
          <w:rFonts w:hint="eastAsia"/>
        </w:rPr>
        <w:t>惟</w:t>
      </w:r>
      <w:r w:rsidR="00845532">
        <w:rPr>
          <w:rFonts w:hint="eastAsia"/>
        </w:rPr>
        <w:t>機場東北角貨運機坪進出需穿越現有跑道，並有快速滑行道配置不符現代機型操作特性等情形，加上目前民</w:t>
      </w:r>
      <w:proofErr w:type="gramStart"/>
      <w:r w:rsidR="00845532">
        <w:rPr>
          <w:rFonts w:hint="eastAsia"/>
        </w:rPr>
        <w:t>航空域受</w:t>
      </w:r>
      <w:proofErr w:type="gramEnd"/>
      <w:r w:rsidR="00845532">
        <w:rPr>
          <w:rFonts w:hint="eastAsia"/>
        </w:rPr>
        <w:t>軍方限航區及訓練空域壓縮而顯不足、松山機場離到場航路與桃園機場使用</w:t>
      </w:r>
      <w:proofErr w:type="gramStart"/>
      <w:r w:rsidR="00845532">
        <w:rPr>
          <w:rFonts w:hint="eastAsia"/>
        </w:rPr>
        <w:t>空域互有</w:t>
      </w:r>
      <w:proofErr w:type="gramEnd"/>
      <w:r w:rsidR="00845532">
        <w:rPr>
          <w:rFonts w:hint="eastAsia"/>
        </w:rPr>
        <w:t>關聯、西南側之新竹空軍基地航線，以及考量減低噪音而無法讓起飛航機提前轉彎等影響及限制，既有</w:t>
      </w:r>
      <w:r w:rsidR="00845532" w:rsidRPr="00F84FF2">
        <w:rPr>
          <w:rFonts w:hint="eastAsia"/>
        </w:rPr>
        <w:t>雙跑道容量為</w:t>
      </w:r>
      <w:r w:rsidR="00845532" w:rsidRPr="00F84FF2">
        <w:t>50</w:t>
      </w:r>
      <w:r w:rsidR="00845532" w:rsidRPr="00F84FF2">
        <w:rPr>
          <w:rFonts w:hint="eastAsia"/>
        </w:rPr>
        <w:t>架次</w:t>
      </w:r>
      <w:r w:rsidR="00845532" w:rsidRPr="00F84FF2">
        <w:t>/</w:t>
      </w:r>
      <w:r w:rsidR="00845532" w:rsidRPr="00F84FF2">
        <w:rPr>
          <w:rFonts w:hint="eastAsia"/>
        </w:rPr>
        <w:t>小時，以尖峰小時係數7</w:t>
      </w:r>
      <w:r w:rsidR="00845532">
        <w:rPr>
          <w:rFonts w:hint="eastAsia"/>
        </w:rPr>
        <w:t>％</w:t>
      </w:r>
      <w:r w:rsidR="00845532" w:rsidRPr="00F84FF2">
        <w:rPr>
          <w:rFonts w:hint="eastAsia"/>
        </w:rPr>
        <w:t>(全球主要樞紐機場之客機尖峰小時係數約為</w:t>
      </w:r>
      <w:r w:rsidR="00845532" w:rsidRPr="00F84FF2">
        <w:t>6</w:t>
      </w:r>
      <w:r w:rsidR="00845532">
        <w:t>％</w:t>
      </w:r>
      <w:r w:rsidR="00845532" w:rsidRPr="00F84FF2">
        <w:t>~8</w:t>
      </w:r>
      <w:r w:rsidR="00845532">
        <w:t>％</w:t>
      </w:r>
      <w:r w:rsidR="00845532" w:rsidRPr="00F84FF2">
        <w:t>)</w:t>
      </w:r>
      <w:r w:rsidR="00845532" w:rsidRPr="00F84FF2">
        <w:rPr>
          <w:rFonts w:hint="eastAsia"/>
        </w:rPr>
        <w:t>，推估其年容量為</w:t>
      </w:r>
      <w:r w:rsidR="00845532" w:rsidRPr="00F84FF2">
        <w:t>26</w:t>
      </w:r>
      <w:r w:rsidR="00845532" w:rsidRPr="00F84FF2">
        <w:rPr>
          <w:rFonts w:hint="eastAsia"/>
        </w:rPr>
        <w:t>萬架次</w:t>
      </w:r>
      <w:r w:rsidR="00845532" w:rsidRPr="00F84FF2">
        <w:t>/</w:t>
      </w:r>
      <w:r w:rsidR="00845532" w:rsidRPr="00F84FF2">
        <w:rPr>
          <w:rFonts w:hint="eastAsia"/>
        </w:rPr>
        <w:t>年。</w:t>
      </w:r>
      <w:r w:rsidR="00283FF3" w:rsidRPr="00F84FF2">
        <w:rPr>
          <w:rFonts w:hint="eastAsia"/>
        </w:rPr>
        <w:t>在既有雙跑道容量提升下</w:t>
      </w:r>
      <w:r w:rsidR="00283FF3">
        <w:rPr>
          <w:rFonts w:hint="eastAsia"/>
        </w:rPr>
        <w:t>（</w:t>
      </w:r>
      <w:r w:rsidR="00283FF3" w:rsidRPr="00F84FF2">
        <w:t>70</w:t>
      </w:r>
      <w:r w:rsidR="00283FF3" w:rsidRPr="00F84FF2">
        <w:rPr>
          <w:rFonts w:hint="eastAsia"/>
        </w:rPr>
        <w:t>架次</w:t>
      </w:r>
      <w:r w:rsidR="00283FF3" w:rsidRPr="00F84FF2">
        <w:t>/</w:t>
      </w:r>
      <w:r w:rsidR="00283FF3" w:rsidRPr="00F84FF2">
        <w:rPr>
          <w:rFonts w:hint="eastAsia"/>
        </w:rPr>
        <w:t>小時，以尖峰小時係數</w:t>
      </w:r>
      <w:r w:rsidR="00283FF3" w:rsidRPr="00F84FF2">
        <w:t>7</w:t>
      </w:r>
      <w:r w:rsidR="00283FF3">
        <w:t>％</w:t>
      </w:r>
      <w:r w:rsidR="00283FF3" w:rsidRPr="00F84FF2">
        <w:rPr>
          <w:rFonts w:hint="eastAsia"/>
        </w:rPr>
        <w:t>計算，則年起降架次可達</w:t>
      </w:r>
      <w:r w:rsidR="00283FF3" w:rsidRPr="00F84FF2">
        <w:t>37</w:t>
      </w:r>
      <w:r w:rsidR="00283FF3" w:rsidRPr="00F84FF2">
        <w:rPr>
          <w:rFonts w:hint="eastAsia"/>
        </w:rPr>
        <w:t>萬架次</w:t>
      </w:r>
      <w:r w:rsidR="00283FF3" w:rsidRPr="00F84FF2">
        <w:t>/</w:t>
      </w:r>
      <w:r w:rsidR="00283FF3" w:rsidRPr="00F84FF2">
        <w:rPr>
          <w:rFonts w:hint="eastAsia"/>
        </w:rPr>
        <w:t>年</w:t>
      </w:r>
      <w:r w:rsidR="00283FF3">
        <w:rPr>
          <w:rFonts w:hint="eastAsia"/>
        </w:rPr>
        <w:t>）</w:t>
      </w:r>
      <w:r w:rsidR="00283FF3" w:rsidRPr="00F84FF2">
        <w:rPr>
          <w:rFonts w:hint="eastAsia"/>
        </w:rPr>
        <w:t>，推估</w:t>
      </w:r>
      <w:r w:rsidR="00283FF3" w:rsidRPr="00F84FF2">
        <w:t>2030</w:t>
      </w:r>
      <w:r w:rsidR="00283FF3" w:rsidRPr="00F84FF2">
        <w:rPr>
          <w:rFonts w:hint="eastAsia"/>
        </w:rPr>
        <w:t>年需要第三跑道。若既有跑道容量無法提升，則可能將在</w:t>
      </w:r>
      <w:r w:rsidR="00283FF3" w:rsidRPr="00F84FF2">
        <w:t>2019</w:t>
      </w:r>
      <w:r w:rsidR="00283FF3" w:rsidRPr="00F84FF2">
        <w:rPr>
          <w:rFonts w:hint="eastAsia"/>
        </w:rPr>
        <w:t>年面臨尖峰時段容量飽和，無法對應前述運量需求，並可能產生較長的航機延滯時間，影響服務水準，故需要更早進行新跑道興建工程。</w:t>
      </w:r>
    </w:p>
    <w:p w:rsidR="00845532" w:rsidRDefault="00783D9B" w:rsidP="006E02CA">
      <w:pPr>
        <w:pStyle w:val="3"/>
        <w:ind w:left="1360" w:hanging="680"/>
      </w:pPr>
      <w:r w:rsidRPr="00F84FF2">
        <w:rPr>
          <w:rFonts w:hint="eastAsia"/>
        </w:rPr>
        <w:t>第三跑道</w:t>
      </w:r>
      <w:r>
        <w:rPr>
          <w:rFonts w:hint="eastAsia"/>
        </w:rPr>
        <w:t>如</w:t>
      </w:r>
      <w:proofErr w:type="gramStart"/>
      <w:r>
        <w:rPr>
          <w:rFonts w:hint="eastAsia"/>
        </w:rPr>
        <w:t>採</w:t>
      </w:r>
      <w:proofErr w:type="gramEnd"/>
      <w:r>
        <w:rPr>
          <w:rFonts w:hint="eastAsia"/>
        </w:rPr>
        <w:t>獨立平行跑道配置，於適當條件配合下，三條跑道航機</w:t>
      </w:r>
      <w:proofErr w:type="gramStart"/>
      <w:r>
        <w:rPr>
          <w:rFonts w:hint="eastAsia"/>
        </w:rPr>
        <w:t>起降可各自</w:t>
      </w:r>
      <w:proofErr w:type="gramEnd"/>
      <w:r>
        <w:rPr>
          <w:rFonts w:hint="eastAsia"/>
        </w:rPr>
        <w:t>運作互不影響，發揮</w:t>
      </w:r>
      <w:proofErr w:type="gramStart"/>
      <w:r>
        <w:rPr>
          <w:rFonts w:hint="eastAsia"/>
        </w:rPr>
        <w:t>最</w:t>
      </w:r>
      <w:proofErr w:type="gramEnd"/>
      <w:r>
        <w:rPr>
          <w:rFonts w:hint="eastAsia"/>
        </w:rPr>
        <w:t>適整體跑道容量，可服務年旅客量為7~9</w:t>
      </w:r>
      <w:proofErr w:type="gramStart"/>
      <w:r>
        <w:rPr>
          <w:rFonts w:hint="eastAsia"/>
        </w:rPr>
        <w:t>千萬</w:t>
      </w:r>
      <w:proofErr w:type="gramEnd"/>
      <w:r>
        <w:rPr>
          <w:rFonts w:hint="eastAsia"/>
        </w:rPr>
        <w:t>人，除能因應發展目標運量每年5.8</w:t>
      </w:r>
      <w:proofErr w:type="gramStart"/>
      <w:r>
        <w:rPr>
          <w:rFonts w:hint="eastAsia"/>
        </w:rPr>
        <w:t>千萬</w:t>
      </w:r>
      <w:proofErr w:type="gramEnd"/>
      <w:r>
        <w:rPr>
          <w:rFonts w:hint="eastAsia"/>
        </w:rPr>
        <w:t>人次之需求，尚保留相當餘</w:t>
      </w:r>
      <w:proofErr w:type="gramStart"/>
      <w:r>
        <w:rPr>
          <w:rFonts w:hint="eastAsia"/>
        </w:rPr>
        <w:t>裕</w:t>
      </w:r>
      <w:proofErr w:type="gramEnd"/>
      <w:r>
        <w:rPr>
          <w:rFonts w:hint="eastAsia"/>
        </w:rPr>
        <w:t>，確保未來計畫發展彈性。除了容量因素外，也要考量整體機場運作之均衡性、土地取得與各設施發展配合度等。</w:t>
      </w:r>
      <w:r w:rsidR="002613CE">
        <w:rPr>
          <w:rFonts w:hint="eastAsia"/>
        </w:rPr>
        <w:t>經</w:t>
      </w:r>
      <w:proofErr w:type="gramStart"/>
      <w:r w:rsidR="002613CE">
        <w:rPr>
          <w:rFonts w:hint="eastAsia"/>
        </w:rPr>
        <w:t>研</w:t>
      </w:r>
      <w:proofErr w:type="gramEnd"/>
      <w:r w:rsidR="002613CE">
        <w:rPr>
          <w:rFonts w:hint="eastAsia"/>
        </w:rPr>
        <w:t>擬</w:t>
      </w:r>
      <w:r>
        <w:rPr>
          <w:rFonts w:hint="eastAsia"/>
        </w:rPr>
        <w:t>A</w:t>
      </w:r>
      <w:r w:rsidR="002613CE">
        <w:rPr>
          <w:rFonts w:hint="eastAsia"/>
        </w:rPr>
        <w:t>、B、</w:t>
      </w:r>
      <w:r>
        <w:rPr>
          <w:rFonts w:hint="eastAsia"/>
        </w:rPr>
        <w:t>C</w:t>
      </w:r>
      <w:r w:rsidR="002613CE">
        <w:rPr>
          <w:rFonts w:hint="eastAsia"/>
        </w:rPr>
        <w:t>等3種跑道配置方案</w:t>
      </w:r>
      <w:r>
        <w:rPr>
          <w:rFonts w:hint="eastAsia"/>
        </w:rPr>
        <w:t>，</w:t>
      </w:r>
      <w:r w:rsidR="002613CE">
        <w:rPr>
          <w:rFonts w:hint="eastAsia"/>
        </w:rPr>
        <w:t>並</w:t>
      </w:r>
      <w:r w:rsidR="002613CE" w:rsidRPr="002613CE">
        <w:rPr>
          <w:rFonts w:hint="eastAsia"/>
        </w:rPr>
        <w:t>根據</w:t>
      </w:r>
      <w:r w:rsidR="002613CE">
        <w:rPr>
          <w:rFonts w:hint="eastAsia"/>
        </w:rPr>
        <w:t>「</w:t>
      </w:r>
      <w:r w:rsidR="002613CE" w:rsidRPr="002613CE">
        <w:rPr>
          <w:rFonts w:hint="eastAsia"/>
        </w:rPr>
        <w:t>發展目標運量、跑道容</w:t>
      </w:r>
      <w:r w:rsidR="002613CE" w:rsidRPr="002613CE">
        <w:rPr>
          <w:rFonts w:hint="eastAsia"/>
        </w:rPr>
        <w:lastRenderedPageBreak/>
        <w:t>量、用地徵收範圍、周邊環境衝擊、計畫發展彈性</w:t>
      </w:r>
      <w:r w:rsidR="002613CE">
        <w:rPr>
          <w:rFonts w:hint="eastAsia"/>
        </w:rPr>
        <w:t>」5</w:t>
      </w:r>
      <w:r w:rsidR="002613CE" w:rsidRPr="002613CE">
        <w:rPr>
          <w:rFonts w:hint="eastAsia"/>
        </w:rPr>
        <w:t>大項進行評估</w:t>
      </w:r>
      <w:r w:rsidR="002613CE">
        <w:rPr>
          <w:rFonts w:hint="eastAsia"/>
        </w:rPr>
        <w:t>，</w:t>
      </w:r>
      <w:r>
        <w:rPr>
          <w:rFonts w:hint="eastAsia"/>
        </w:rPr>
        <w:t>雖整體跑道系統容量皆能因應本計畫設定之發展目標運量需求，</w:t>
      </w:r>
      <w:r w:rsidR="007A46C1">
        <w:rPr>
          <w:rFonts w:hint="eastAsia"/>
        </w:rPr>
        <w:t>惟</w:t>
      </w:r>
      <w:r>
        <w:rPr>
          <w:rFonts w:hint="eastAsia"/>
        </w:rPr>
        <w:t>方</w:t>
      </w:r>
      <w:r w:rsidR="007A46C1">
        <w:rPr>
          <w:rFonts w:hint="eastAsia"/>
        </w:rPr>
        <w:t>案</w:t>
      </w:r>
      <w:r>
        <w:rPr>
          <w:rFonts w:hint="eastAsia"/>
        </w:rPr>
        <w:t>B、C在因應發展目標</w:t>
      </w:r>
      <w:r w:rsidR="007A46C1">
        <w:rPr>
          <w:rFonts w:hint="eastAsia"/>
        </w:rPr>
        <w:t>運</w:t>
      </w:r>
      <w:r>
        <w:rPr>
          <w:rFonts w:hint="eastAsia"/>
        </w:rPr>
        <w:t>量需求後已無餘</w:t>
      </w:r>
      <w:proofErr w:type="gramStart"/>
      <w:r>
        <w:rPr>
          <w:rFonts w:hint="eastAsia"/>
        </w:rPr>
        <w:t>裕</w:t>
      </w:r>
      <w:proofErr w:type="gramEnd"/>
      <w:r>
        <w:rPr>
          <w:rFonts w:hint="eastAsia"/>
        </w:rPr>
        <w:t>，未來</w:t>
      </w:r>
      <w:r w:rsidR="007A46C1">
        <w:rPr>
          <w:rFonts w:hint="eastAsia"/>
        </w:rPr>
        <w:t>桃</w:t>
      </w:r>
      <w:r>
        <w:rPr>
          <w:rFonts w:hint="eastAsia"/>
        </w:rPr>
        <w:t>園機場園</w:t>
      </w:r>
      <w:r w:rsidR="007A46C1">
        <w:rPr>
          <w:rFonts w:hint="eastAsia"/>
        </w:rPr>
        <w:t>區</w:t>
      </w:r>
      <w:r>
        <w:rPr>
          <w:rFonts w:hint="eastAsia"/>
        </w:rPr>
        <w:t>高度成長將須再另覓用地建設新的跑道。而方案A為確保整體跑道系統容量最大化，</w:t>
      </w:r>
      <w:r w:rsidR="007A46C1">
        <w:rPr>
          <w:rFonts w:hint="eastAsia"/>
        </w:rPr>
        <w:t>雖然</w:t>
      </w:r>
      <w:r>
        <w:rPr>
          <w:rFonts w:hint="eastAsia"/>
        </w:rPr>
        <w:t>新建</w:t>
      </w:r>
      <w:r w:rsidR="007A46C1">
        <w:rPr>
          <w:rFonts w:hint="eastAsia"/>
        </w:rPr>
        <w:t>之</w:t>
      </w:r>
      <w:r>
        <w:rPr>
          <w:rFonts w:hint="eastAsia"/>
        </w:rPr>
        <w:t>第三跑道與北跑道位置距離較遠，所需配合的用地徵收範</w:t>
      </w:r>
      <w:r w:rsidR="007A46C1">
        <w:rPr>
          <w:rFonts w:hint="eastAsia"/>
        </w:rPr>
        <w:t>圍</w:t>
      </w:r>
      <w:r>
        <w:rPr>
          <w:rFonts w:hint="eastAsia"/>
        </w:rPr>
        <w:t>最大、對周邊環境的衝擊也較其他方案大</w:t>
      </w:r>
      <w:r w:rsidR="007A46C1">
        <w:rPr>
          <w:rFonts w:hint="eastAsia"/>
        </w:rPr>
        <w:t>，但除</w:t>
      </w:r>
      <w:r>
        <w:rPr>
          <w:rFonts w:hint="eastAsia"/>
        </w:rPr>
        <w:t>能因應發展目標運量需求之外，在跑道容量上尚保留相當餘</w:t>
      </w:r>
      <w:proofErr w:type="gramStart"/>
      <w:r>
        <w:rPr>
          <w:rFonts w:hint="eastAsia"/>
        </w:rPr>
        <w:t>裕</w:t>
      </w:r>
      <w:proofErr w:type="gramEnd"/>
      <w:r>
        <w:rPr>
          <w:rFonts w:hint="eastAsia"/>
        </w:rPr>
        <w:t>，確保未來計畫發展彈性。因此，為確保可靠之機場容量並</w:t>
      </w:r>
      <w:r w:rsidR="007A46C1">
        <w:rPr>
          <w:rFonts w:hint="eastAsia"/>
        </w:rPr>
        <w:t>保</w:t>
      </w:r>
      <w:r>
        <w:rPr>
          <w:rFonts w:hint="eastAsia"/>
        </w:rPr>
        <w:t>留計畫發展彈性，跑道配置採用方</w:t>
      </w:r>
      <w:r w:rsidR="007A46C1">
        <w:rPr>
          <w:rFonts w:hint="eastAsia"/>
        </w:rPr>
        <w:t>案</w:t>
      </w:r>
      <w:r>
        <w:rPr>
          <w:rFonts w:hint="eastAsia"/>
        </w:rPr>
        <w:t>A</w:t>
      </w:r>
      <w:r w:rsidR="007A46C1">
        <w:rPr>
          <w:rFonts w:hint="eastAsia"/>
        </w:rPr>
        <w:t>，</w:t>
      </w:r>
      <w:r w:rsidR="008E2944">
        <w:rPr>
          <w:rFonts w:hint="eastAsia"/>
        </w:rPr>
        <w:t>於</w:t>
      </w:r>
      <w:r w:rsidR="008E2944" w:rsidRPr="00F84FF2">
        <w:rPr>
          <w:rFonts w:hint="eastAsia"/>
        </w:rPr>
        <w:t>現有兩條跑道維持不變</w:t>
      </w:r>
      <w:r w:rsidR="008E2944">
        <w:rPr>
          <w:rFonts w:hint="eastAsia"/>
        </w:rPr>
        <w:t>情況下</w:t>
      </w:r>
      <w:r w:rsidR="008E2944" w:rsidRPr="00F84FF2">
        <w:rPr>
          <w:rFonts w:hint="eastAsia"/>
        </w:rPr>
        <w:t>，另於</w:t>
      </w:r>
      <w:r w:rsidR="008E2944">
        <w:rPr>
          <w:rFonts w:hint="eastAsia"/>
        </w:rPr>
        <w:t>現有機場</w:t>
      </w:r>
      <w:r w:rsidR="008E2944" w:rsidRPr="00F84FF2">
        <w:rPr>
          <w:rFonts w:hint="eastAsia"/>
        </w:rPr>
        <w:t>北側新增第三跑道，以減少對桃園地區居民噪音及禁限建之影響，</w:t>
      </w:r>
      <w:r w:rsidR="008E2944">
        <w:rPr>
          <w:rFonts w:hint="eastAsia"/>
        </w:rPr>
        <w:t>並依循機場整體</w:t>
      </w:r>
      <w:proofErr w:type="gramStart"/>
      <w:r w:rsidR="008E2944">
        <w:rPr>
          <w:rFonts w:hint="eastAsia"/>
        </w:rPr>
        <w:t>西客東貨</w:t>
      </w:r>
      <w:proofErr w:type="gramEnd"/>
      <w:r w:rsidR="008E2944">
        <w:rPr>
          <w:rFonts w:hint="eastAsia"/>
        </w:rPr>
        <w:t>配置原則，於其西側規劃客機坪與</w:t>
      </w:r>
      <w:proofErr w:type="gramStart"/>
      <w:r w:rsidR="008E2944">
        <w:rPr>
          <w:rFonts w:hint="eastAsia"/>
        </w:rPr>
        <w:t>衛星廊廳</w:t>
      </w:r>
      <w:proofErr w:type="gramEnd"/>
      <w:r w:rsidR="008E2944">
        <w:rPr>
          <w:rFonts w:hint="eastAsia"/>
        </w:rPr>
        <w:t>，並透過地下PMS</w:t>
      </w:r>
      <w:r w:rsidR="00AB17D6">
        <w:rPr>
          <w:rStyle w:val="af3"/>
        </w:rPr>
        <w:footnoteReference w:id="12"/>
      </w:r>
      <w:r w:rsidR="008E2944">
        <w:rPr>
          <w:rFonts w:hint="eastAsia"/>
        </w:rPr>
        <w:t>與第三航廈進行串聯，東側則規劃貨機坪與</w:t>
      </w:r>
      <w:r w:rsidR="00102BF1">
        <w:rPr>
          <w:rFonts w:hint="eastAsia"/>
        </w:rPr>
        <w:t>新貨運站</w:t>
      </w:r>
      <w:r w:rsidR="008E2944">
        <w:rPr>
          <w:rFonts w:hint="eastAsia"/>
        </w:rPr>
        <w:t>；另因應今後國籍航空機隊擴充及外籍航空公司進駐可能帶動之維修需求，於機場西北側之擴建用地規劃新維修區。</w:t>
      </w:r>
    </w:p>
    <w:p w:rsidR="00083584" w:rsidRPr="006E02CA" w:rsidRDefault="00C50A53" w:rsidP="006E02CA">
      <w:pPr>
        <w:pStyle w:val="3"/>
        <w:ind w:left="1360" w:hanging="680"/>
      </w:pPr>
      <w:r>
        <w:rPr>
          <w:rFonts w:hint="eastAsia"/>
        </w:rPr>
        <w:t>另</w:t>
      </w:r>
      <w:r w:rsidR="003E4F50">
        <w:rPr>
          <w:rFonts w:hint="eastAsia"/>
        </w:rPr>
        <w:t>「</w:t>
      </w:r>
      <w:r w:rsidR="003E4F50" w:rsidRPr="0027505F">
        <w:rPr>
          <w:rFonts w:hint="eastAsia"/>
        </w:rPr>
        <w:t>自由貿易港專用區</w:t>
      </w:r>
      <w:r w:rsidR="003E4F50">
        <w:rPr>
          <w:rFonts w:hint="eastAsia"/>
        </w:rPr>
        <w:t>」，係</w:t>
      </w:r>
      <w:r>
        <w:rPr>
          <w:rFonts w:hint="eastAsia"/>
        </w:rPr>
        <w:t>因應兩岸直航及ECFA簽署後之產業布局與商機，規劃於既有機場園區之東側自由貿易港區</w:t>
      </w:r>
      <w:r w:rsidR="003E4F50">
        <w:rPr>
          <w:rFonts w:hint="eastAsia"/>
        </w:rPr>
        <w:t>擴建</w:t>
      </w:r>
      <w:r>
        <w:rPr>
          <w:rFonts w:hint="eastAsia"/>
        </w:rPr>
        <w:t>，除可與機場貨運設施高度聯結，亦期望藉其便捷與優惠措施，吸引更多國內外企業進駐而帶動貨運量成長，並可支援我國產業轉型、提高附加價值，以拓展海外市場。有關自由貿易港區機能部分，應引具備物流、製造與支援等三項機能。「物流機能」除招攬一般倉儲物流業者進駐外，亦須吸引高附加價值之物流服務業者進駐，</w:t>
      </w:r>
      <w:r>
        <w:rPr>
          <w:rFonts w:hint="eastAsia"/>
        </w:rPr>
        <w:lastRenderedPageBreak/>
        <w:t>並與製造機能結合。「製造機能」招攬對象係以仰賴空運為主之電子零組件製造業者（其主要業務在於進行研發試產或量產前試產之前端研發製造）為主。「支援機能」係指金融、法律、會計等專為自由貿易港區業者提供服務之機構。</w:t>
      </w:r>
      <w:proofErr w:type="gramStart"/>
      <w:r>
        <w:rPr>
          <w:rFonts w:hint="eastAsia"/>
        </w:rPr>
        <w:t>此外，</w:t>
      </w:r>
      <w:proofErr w:type="gramEnd"/>
      <w:r>
        <w:rPr>
          <w:rFonts w:hint="eastAsia"/>
        </w:rPr>
        <w:t>亦須如零售、餐飲等提供自由貿易港區內就業人口服務之業者進駐。</w:t>
      </w:r>
    </w:p>
    <w:p w:rsidR="00372330" w:rsidRPr="006E02CA" w:rsidRDefault="00792FD9" w:rsidP="006E02CA">
      <w:pPr>
        <w:pStyle w:val="3"/>
        <w:ind w:left="1360" w:hanging="680"/>
      </w:pPr>
      <w:r>
        <w:rPr>
          <w:rFonts w:hint="eastAsia"/>
        </w:rPr>
        <w:t>復</w:t>
      </w:r>
      <w:r w:rsidR="009E1BDE">
        <w:rPr>
          <w:rFonts w:hint="eastAsia"/>
        </w:rPr>
        <w:t>依「</w:t>
      </w:r>
      <w:r w:rsidR="009E1BDE" w:rsidRPr="00A849A1">
        <w:rPr>
          <w:rFonts w:hint="eastAsia"/>
        </w:rPr>
        <w:t>桃園機場園區綱要計畫</w:t>
      </w:r>
      <w:r w:rsidR="009E1BDE">
        <w:rPr>
          <w:rFonts w:hint="eastAsia"/>
        </w:rPr>
        <w:t>」所載</w:t>
      </w:r>
      <w:r w:rsidR="00372330" w:rsidRPr="006E02CA">
        <w:rPr>
          <w:rFonts w:hint="eastAsia"/>
        </w:rPr>
        <w:t>，</w:t>
      </w:r>
      <w:r>
        <w:rPr>
          <w:rFonts w:hint="eastAsia"/>
        </w:rPr>
        <w:t>機場園區</w:t>
      </w:r>
      <w:r w:rsidRPr="00372330">
        <w:rPr>
          <w:rFonts w:hint="eastAsia"/>
        </w:rPr>
        <w:t>至2030年以前之總投資金額達2,940億元</w:t>
      </w:r>
      <w:r>
        <w:rPr>
          <w:rFonts w:hint="eastAsia"/>
        </w:rPr>
        <w:t>，</w:t>
      </w:r>
      <w:r w:rsidR="009E1BDE" w:rsidRPr="00372330">
        <w:rPr>
          <w:rFonts w:hint="eastAsia"/>
        </w:rPr>
        <w:t>包含基礎建設(擴建用地取得與聯外道路建設)與航空、非航空建設，</w:t>
      </w:r>
      <w:r w:rsidR="00790E34">
        <w:rPr>
          <w:rFonts w:hint="eastAsia"/>
        </w:rPr>
        <w:t>其中</w:t>
      </w:r>
      <w:r w:rsidR="00790E34" w:rsidRPr="006E02CA">
        <w:rPr>
          <w:rFonts w:hint="eastAsia"/>
        </w:rPr>
        <w:t>預定辦理區段徵收開發成本(2011~16年)，由民航作業基金成立專案計畫辦理</w:t>
      </w:r>
      <w:r w:rsidR="00790E34">
        <w:rPr>
          <w:rFonts w:hint="eastAsia"/>
        </w:rPr>
        <w:t>；</w:t>
      </w:r>
      <w:r w:rsidR="00790E34" w:rsidRPr="00372330">
        <w:rPr>
          <w:rFonts w:hint="eastAsia"/>
        </w:rPr>
        <w:t>機場園區聯外道路除部分由區段徵收計畫辦理外，餘由國道基金辦理</w:t>
      </w:r>
      <w:r w:rsidR="00790E34">
        <w:rPr>
          <w:rFonts w:hint="eastAsia"/>
        </w:rPr>
        <w:t>；「</w:t>
      </w:r>
      <w:r w:rsidR="00790E34" w:rsidRPr="00455A78">
        <w:rPr>
          <w:rFonts w:hint="eastAsia"/>
        </w:rPr>
        <w:t>機場園區之航空與非航空建設</w:t>
      </w:r>
      <w:r w:rsidR="00790E34">
        <w:rPr>
          <w:rFonts w:hint="eastAsia"/>
        </w:rPr>
        <w:t>」</w:t>
      </w:r>
      <w:r>
        <w:rPr>
          <w:rFonts w:hint="eastAsia"/>
        </w:rPr>
        <w:t>部分由</w:t>
      </w:r>
      <w:r w:rsidR="00790E34">
        <w:rPr>
          <w:rFonts w:hint="eastAsia"/>
        </w:rPr>
        <w:t>民間參與開發、</w:t>
      </w:r>
      <w:r>
        <w:rPr>
          <w:rFonts w:hint="eastAsia"/>
        </w:rPr>
        <w:t>部分由</w:t>
      </w:r>
      <w:r w:rsidR="00790E34">
        <w:rPr>
          <w:rFonts w:hint="eastAsia"/>
        </w:rPr>
        <w:t>民航作業基金支應，其餘由國營機場公司籌措辦理</w:t>
      </w:r>
      <w:r w:rsidR="007E521D" w:rsidRPr="006E02CA">
        <w:rPr>
          <w:rFonts w:hint="eastAsia"/>
        </w:rPr>
        <w:t>。</w:t>
      </w:r>
      <w:r w:rsidR="00372330" w:rsidRPr="006E02CA">
        <w:rPr>
          <w:rFonts w:hint="eastAsia"/>
        </w:rPr>
        <w:t>預計於2011~2020年間</w:t>
      </w:r>
      <w:r>
        <w:rPr>
          <w:rFonts w:hint="eastAsia"/>
        </w:rPr>
        <w:t>辦理</w:t>
      </w:r>
      <w:r w:rsidR="00372330" w:rsidRPr="006E02CA">
        <w:rPr>
          <w:rFonts w:hint="eastAsia"/>
        </w:rPr>
        <w:t>既有用地</w:t>
      </w:r>
      <w:r>
        <w:rPr>
          <w:rFonts w:hint="eastAsia"/>
        </w:rPr>
        <w:t>之活用</w:t>
      </w:r>
      <w:r w:rsidR="00372330" w:rsidRPr="006E02CA">
        <w:rPr>
          <w:rFonts w:hint="eastAsia"/>
        </w:rPr>
        <w:t>與</w:t>
      </w:r>
      <w:r>
        <w:rPr>
          <w:rFonts w:hint="eastAsia"/>
        </w:rPr>
        <w:t>取得</w:t>
      </w:r>
      <w:r w:rsidR="00372330" w:rsidRPr="006E02CA">
        <w:rPr>
          <w:rFonts w:hint="eastAsia"/>
        </w:rPr>
        <w:t>擴建用地，2017~2030年間開發北側擴建用地，</w:t>
      </w:r>
      <w:r w:rsidR="00372330">
        <w:rPr>
          <w:rFonts w:hint="eastAsia"/>
        </w:rPr>
        <w:t>如於辦理區段徵收期間取得地主同意，亦可提早同步展開環評相關調查作業。將有助於將整體開發作業期程提前約4年(2024年)完成。</w:t>
      </w:r>
    </w:p>
    <w:p w:rsidR="00ED31A2" w:rsidRPr="007D5651" w:rsidRDefault="00ED31A2" w:rsidP="006E02CA">
      <w:pPr>
        <w:pStyle w:val="3"/>
        <w:ind w:left="1360" w:hanging="680"/>
        <w:rPr>
          <w:bCs w:val="0"/>
        </w:rPr>
      </w:pPr>
      <w:r>
        <w:rPr>
          <w:rFonts w:hint="eastAsia"/>
        </w:rPr>
        <w:t>綜上，</w:t>
      </w:r>
      <w:r w:rsidR="008671F2">
        <w:rPr>
          <w:rFonts w:hint="eastAsia"/>
        </w:rPr>
        <w:t>系爭計畫中之</w:t>
      </w:r>
      <w:r w:rsidR="00625C07" w:rsidRPr="00625C07">
        <w:rPr>
          <w:rFonts w:hint="eastAsia"/>
        </w:rPr>
        <w:t>「桃園航空城機場園區建設計畫」</w:t>
      </w:r>
      <w:r w:rsidR="008671F2">
        <w:rPr>
          <w:rFonts w:hint="eastAsia"/>
        </w:rPr>
        <w:t>係</w:t>
      </w:r>
      <w:r w:rsidR="00625C07" w:rsidRPr="00625C07">
        <w:rPr>
          <w:rFonts w:hint="eastAsia"/>
        </w:rPr>
        <w:t>依</w:t>
      </w:r>
      <w:r w:rsidR="008671F2" w:rsidRPr="008671F2">
        <w:rPr>
          <w:rFonts w:hint="eastAsia"/>
        </w:rPr>
        <w:t>交通部所擬「桃園機場園區綱要計畫」</w:t>
      </w:r>
      <w:r w:rsidR="008671F2">
        <w:rPr>
          <w:rFonts w:hint="eastAsia"/>
        </w:rPr>
        <w:t>而劃設</w:t>
      </w:r>
      <w:r w:rsidR="00625C07" w:rsidRPr="00625C07">
        <w:rPr>
          <w:rFonts w:hint="eastAsia"/>
        </w:rPr>
        <w:t>，</w:t>
      </w:r>
      <w:r w:rsidR="00FB6860">
        <w:rPr>
          <w:rFonts w:hint="eastAsia"/>
        </w:rPr>
        <w:t>且</w:t>
      </w:r>
      <w:r w:rsidR="008671F2">
        <w:rPr>
          <w:rFonts w:hint="eastAsia"/>
        </w:rPr>
        <w:t>「</w:t>
      </w:r>
      <w:r w:rsidR="008671F2" w:rsidRPr="005A3D64">
        <w:rPr>
          <w:rFonts w:hint="eastAsia"/>
        </w:rPr>
        <w:t>機場專用區</w:t>
      </w:r>
      <w:r w:rsidR="008671F2">
        <w:rPr>
          <w:rFonts w:hint="eastAsia"/>
        </w:rPr>
        <w:t>」與「</w:t>
      </w:r>
      <w:r w:rsidR="008671F2" w:rsidRPr="0027505F">
        <w:rPr>
          <w:rFonts w:hint="eastAsia"/>
        </w:rPr>
        <w:t>自由貿易港專用區</w:t>
      </w:r>
      <w:r w:rsidR="008671F2">
        <w:rPr>
          <w:rFonts w:hint="eastAsia"/>
        </w:rPr>
        <w:t>」</w:t>
      </w:r>
      <w:r w:rsidR="00F024F8" w:rsidRPr="00F024F8">
        <w:rPr>
          <w:rFonts w:hint="eastAsia"/>
        </w:rPr>
        <w:t>具前瞻及整體性規劃，用以增進機場設施與功能，方向</w:t>
      </w:r>
      <w:proofErr w:type="gramStart"/>
      <w:r w:rsidR="00F024F8" w:rsidRPr="00F024F8">
        <w:rPr>
          <w:rFonts w:hint="eastAsia"/>
        </w:rPr>
        <w:t>允宜肯認</w:t>
      </w:r>
      <w:proofErr w:type="gramEnd"/>
      <w:r w:rsidR="00F024F8" w:rsidRPr="00F024F8">
        <w:rPr>
          <w:rFonts w:hint="eastAsia"/>
        </w:rPr>
        <w:t>；</w:t>
      </w:r>
      <w:proofErr w:type="gramStart"/>
      <w:r w:rsidR="00F024F8" w:rsidRPr="00F024F8">
        <w:rPr>
          <w:rFonts w:hint="eastAsia"/>
        </w:rPr>
        <w:t>惟</w:t>
      </w:r>
      <w:proofErr w:type="gramEnd"/>
      <w:r w:rsidR="00F024F8" w:rsidRPr="00F024F8">
        <w:rPr>
          <w:rFonts w:hint="eastAsia"/>
        </w:rPr>
        <w:t>有關第三跑道之配置方案與專用區之規模，仍應循法定程序，於申請徵收時，由土地徵收審議小組依法審查。</w:t>
      </w:r>
    </w:p>
    <w:p w:rsidR="0029265A" w:rsidRPr="003958AA" w:rsidRDefault="009B3D29" w:rsidP="00675C5E">
      <w:pPr>
        <w:pStyle w:val="2"/>
        <w:ind w:left="1020" w:hanging="680"/>
        <w:rPr>
          <w:b/>
          <w:bCs w:val="0"/>
        </w:rPr>
      </w:pPr>
      <w:r w:rsidRPr="003958AA">
        <w:rPr>
          <w:rFonts w:hAnsi="標楷體" w:hint="eastAsia"/>
          <w:b/>
        </w:rPr>
        <w:t>「桃園航空城附近地區建設計畫」</w:t>
      </w:r>
      <w:r w:rsidR="003B4DC8" w:rsidRPr="00C55094">
        <w:rPr>
          <w:rFonts w:hAnsi="標楷體" w:hint="eastAsia"/>
          <w:b/>
        </w:rPr>
        <w:t>係</w:t>
      </w:r>
      <w:r w:rsidR="003B4DC8">
        <w:rPr>
          <w:rFonts w:hAnsi="標楷體" w:hint="eastAsia"/>
          <w:b/>
        </w:rPr>
        <w:t>由桃園縣政府負責開發，</w:t>
      </w:r>
      <w:r w:rsidR="003B4DC8" w:rsidRPr="00C55094">
        <w:rPr>
          <w:rFonts w:hAnsi="標楷體" w:hint="eastAsia"/>
          <w:b/>
        </w:rPr>
        <w:t>所</w:t>
      </w:r>
      <w:r>
        <w:rPr>
          <w:rFonts w:hAnsi="標楷體" w:hint="eastAsia"/>
          <w:b/>
        </w:rPr>
        <w:t>規劃住宅區、商業區容納人口數額，已超</w:t>
      </w:r>
      <w:r>
        <w:rPr>
          <w:rFonts w:hAnsi="標楷體" w:hint="eastAsia"/>
          <w:b/>
        </w:rPr>
        <w:lastRenderedPageBreak/>
        <w:t>過</w:t>
      </w:r>
      <w:r w:rsidRPr="005F347A">
        <w:rPr>
          <w:rFonts w:hAnsi="標楷體" w:hint="eastAsia"/>
          <w:b/>
        </w:rPr>
        <w:t>系爭計畫年期130年</w:t>
      </w:r>
      <w:r>
        <w:rPr>
          <w:rFonts w:hAnsi="標楷體" w:hint="eastAsia"/>
          <w:b/>
        </w:rPr>
        <w:t>之</w:t>
      </w:r>
      <w:r w:rsidRPr="005F347A">
        <w:rPr>
          <w:rFonts w:hAnsi="標楷體" w:hint="eastAsia"/>
          <w:b/>
        </w:rPr>
        <w:t>計畫人口20萬人</w:t>
      </w:r>
      <w:r>
        <w:rPr>
          <w:rFonts w:hAnsi="標楷體" w:hint="eastAsia"/>
          <w:b/>
        </w:rPr>
        <w:t>，且未考量鄰近都市計畫區住宅區、商業區可容納的人口數額，難謂允當</w:t>
      </w:r>
      <w:r w:rsidRPr="005F347A">
        <w:rPr>
          <w:rFonts w:hAnsi="標楷體" w:hint="eastAsia"/>
          <w:b/>
        </w:rPr>
        <w:t>。</w:t>
      </w:r>
    </w:p>
    <w:p w:rsidR="00613451" w:rsidRDefault="00810FA2" w:rsidP="00D04468">
      <w:pPr>
        <w:pStyle w:val="3"/>
        <w:ind w:left="1360" w:hanging="680"/>
      </w:pPr>
      <w:r w:rsidRPr="00571250">
        <w:rPr>
          <w:rFonts w:hint="eastAsia"/>
        </w:rPr>
        <w:t>按</w:t>
      </w:r>
      <w:r w:rsidR="00203F65" w:rsidRPr="00571250">
        <w:rPr>
          <w:rFonts w:hint="eastAsia"/>
        </w:rPr>
        <w:t>非都市土地申請新訂或擴大都市計畫作業要點第5點規定：「</w:t>
      </w:r>
      <w:r w:rsidR="00110FBF" w:rsidRPr="00571250">
        <w:rPr>
          <w:rFonts w:hint="eastAsia"/>
        </w:rPr>
        <w:t>（一）區位分析：1.都市發展趨勢之關聯影響：（1）新訂或擴大都市計畫，該申請範圍所在之鄉（鎮、市、區）既有都市計畫區都市發展用地或計畫人口應達百分之八十以上。…</w:t>
      </w:r>
      <w:proofErr w:type="gramStart"/>
      <w:r w:rsidR="00110FBF" w:rsidRPr="00571250">
        <w:rPr>
          <w:rFonts w:hint="eastAsia"/>
        </w:rPr>
        <w:t>…</w:t>
      </w:r>
      <w:proofErr w:type="gramEnd"/>
      <w:r w:rsidR="0098582D" w:rsidRPr="00571250">
        <w:rPr>
          <w:rFonts w:hint="eastAsia"/>
        </w:rPr>
        <w:t>（二）規模分析：全直轄市、縣（市）已發布實施或擬訂中之都市計畫（含本部區委會、各級都市計畫委員會審議中或審議通過，但尚未發布實施之新訂或擴大都市計畫，與都市計畫通盤檢討案件）其計畫人口、計畫年期、計畫範圍、計畫面積與區域計畫總量管制及成長管理之配合情形</w:t>
      </w:r>
      <w:r w:rsidR="003B15A7" w:rsidRPr="00571250">
        <w:rPr>
          <w:rFonts w:hint="eastAsia"/>
        </w:rPr>
        <w:t>…</w:t>
      </w:r>
      <w:r w:rsidR="0098582D" w:rsidRPr="00571250">
        <w:rPr>
          <w:rFonts w:hint="eastAsia"/>
        </w:rPr>
        <w:t>。2.應依據各該區域計畫對於目標年人口與用地需求總量管制及成長管理之指導，核實推估人口成長與分布，及實際用地需求。3.調查計畫範圍內之現況人口，並說明擬引進計畫人口（含居住人口或產業人口）之策略及優勢條件。各類型都市計畫之計畫人口規模推估方式如下：…（2）產業為主型：依據產業發展需要，核實推算就業人口，並應經中央工業或產業主管機關核可。…</w:t>
      </w:r>
      <w:r w:rsidR="00203F65" w:rsidRPr="00571250">
        <w:rPr>
          <w:rFonts w:hint="eastAsia"/>
        </w:rPr>
        <w:t>非都市土地以發展產業、保持優美風景、管制發展或其他特定目的，申請辦理新訂或擴大都市計畫者，得不受第一項第一款之限制。」</w:t>
      </w:r>
    </w:p>
    <w:p w:rsidR="00DA1107" w:rsidRPr="00571250" w:rsidRDefault="007941D0" w:rsidP="00613451">
      <w:pPr>
        <w:pStyle w:val="3"/>
        <w:ind w:left="1360" w:hanging="680"/>
      </w:pPr>
      <w:proofErr w:type="gramStart"/>
      <w:r w:rsidRPr="00571250">
        <w:rPr>
          <w:rFonts w:hint="eastAsia"/>
        </w:rPr>
        <w:t>揆</w:t>
      </w:r>
      <w:proofErr w:type="gramEnd"/>
      <w:r w:rsidRPr="00571250">
        <w:rPr>
          <w:rFonts w:hint="eastAsia"/>
        </w:rPr>
        <w:t>之</w:t>
      </w:r>
      <w:r w:rsidR="003B15A7" w:rsidRPr="00571250">
        <w:rPr>
          <w:rFonts w:hint="eastAsia"/>
        </w:rPr>
        <w:t>上開作業要點第5點規定</w:t>
      </w:r>
      <w:r w:rsidR="00ED31A2" w:rsidRPr="00571250">
        <w:rPr>
          <w:rFonts w:hint="eastAsia"/>
        </w:rPr>
        <w:t>內容</w:t>
      </w:r>
      <w:r w:rsidR="003B15A7" w:rsidRPr="00571250">
        <w:rPr>
          <w:rFonts w:hint="eastAsia"/>
        </w:rPr>
        <w:t>，</w:t>
      </w:r>
      <w:r w:rsidRPr="00571250">
        <w:rPr>
          <w:rFonts w:hint="eastAsia"/>
        </w:rPr>
        <w:t>有關區位分析之規定，係為避免既有都市計畫閒置，造成公共投資浪費，故要求申請範圍所在之鄉(鎮、市、區)都市發展用地或計畫人口應達80</w:t>
      </w:r>
      <w:r w:rsidR="005A0F1E" w:rsidRPr="00571250">
        <w:rPr>
          <w:rFonts w:hint="eastAsia"/>
        </w:rPr>
        <w:t>％</w:t>
      </w:r>
      <w:r w:rsidRPr="00571250">
        <w:rPr>
          <w:rFonts w:hint="eastAsia"/>
        </w:rPr>
        <w:t>以上，並應先行利用既有都市計畫整體開發地區、都市更新地區或農業區</w:t>
      </w:r>
      <w:r w:rsidR="00ED31A2" w:rsidRPr="00571250">
        <w:rPr>
          <w:rFonts w:hint="eastAsia"/>
        </w:rPr>
        <w:t>；</w:t>
      </w:r>
      <w:r w:rsidR="00DF0588" w:rsidRPr="00571250">
        <w:rPr>
          <w:rFonts w:hint="eastAsia"/>
        </w:rPr>
        <w:t>有關規模分析，</w:t>
      </w:r>
      <w:r w:rsidR="00ED31A2" w:rsidRPr="00571250">
        <w:rPr>
          <w:rFonts w:hint="eastAsia"/>
        </w:rPr>
        <w:t>則依據各該區域計畫對於目</w:t>
      </w:r>
      <w:r w:rsidR="00ED31A2" w:rsidRPr="00571250">
        <w:rPr>
          <w:rFonts w:hint="eastAsia"/>
        </w:rPr>
        <w:lastRenderedPageBreak/>
        <w:t>標年人口與用地需求總量管制及成長管理之指導，核實推估人口成長與分布，及實際用地需求。並調查計畫範圍內之現況人口，並說明擬引進計畫人口（含居住人口或產業人口）之策略及優勢條件。</w:t>
      </w:r>
      <w:proofErr w:type="gramStart"/>
      <w:r w:rsidR="00110FBF" w:rsidRPr="00571250">
        <w:rPr>
          <w:rFonts w:hint="eastAsia"/>
        </w:rPr>
        <w:t>詢</w:t>
      </w:r>
      <w:proofErr w:type="gramEnd"/>
      <w:r w:rsidR="00110FBF" w:rsidRPr="00571250">
        <w:rPr>
          <w:rFonts w:hint="eastAsia"/>
        </w:rPr>
        <w:t>據內政部表示，</w:t>
      </w:r>
      <w:r w:rsidR="00613451">
        <w:rPr>
          <w:rFonts w:hint="eastAsia"/>
        </w:rPr>
        <w:t>系爭</w:t>
      </w:r>
      <w:r w:rsidR="00110FBF" w:rsidRPr="00571250">
        <w:rPr>
          <w:rFonts w:hint="eastAsia"/>
        </w:rPr>
        <w:t>計畫</w:t>
      </w:r>
      <w:r w:rsidR="00203F65" w:rsidRPr="00571250">
        <w:rPr>
          <w:rFonts w:hint="eastAsia"/>
        </w:rPr>
        <w:t>案係以發展「產業」為</w:t>
      </w:r>
      <w:r w:rsidR="00613451">
        <w:rPr>
          <w:rFonts w:hint="eastAsia"/>
        </w:rPr>
        <w:t>主之</w:t>
      </w:r>
      <w:r w:rsidR="00203F65" w:rsidRPr="00571250">
        <w:rPr>
          <w:rFonts w:hint="eastAsia"/>
        </w:rPr>
        <w:t>新訂都市計畫</w:t>
      </w:r>
      <w:r w:rsidR="00613451">
        <w:rPr>
          <w:rStyle w:val="af3"/>
        </w:rPr>
        <w:footnoteReference w:id="13"/>
      </w:r>
      <w:r w:rsidR="00203F65" w:rsidRPr="00571250">
        <w:rPr>
          <w:rFonts w:hint="eastAsia"/>
        </w:rPr>
        <w:t>，</w:t>
      </w:r>
      <w:proofErr w:type="gramStart"/>
      <w:r w:rsidR="00203F65" w:rsidRPr="00571250">
        <w:rPr>
          <w:rFonts w:hint="eastAsia"/>
        </w:rPr>
        <w:t>故得不</w:t>
      </w:r>
      <w:proofErr w:type="gramEnd"/>
      <w:r w:rsidR="00203F65" w:rsidRPr="00571250">
        <w:rPr>
          <w:rFonts w:hint="eastAsia"/>
        </w:rPr>
        <w:t>受</w:t>
      </w:r>
      <w:r w:rsidR="00547B58" w:rsidRPr="00571250">
        <w:rPr>
          <w:rFonts w:hint="eastAsia"/>
        </w:rPr>
        <w:t>上開</w:t>
      </w:r>
      <w:r w:rsidR="00203F65" w:rsidRPr="00571250">
        <w:rPr>
          <w:rFonts w:hint="eastAsia"/>
        </w:rPr>
        <w:t>要點有關「區位分析」之限制，亦即本計畫案得免</w:t>
      </w:r>
      <w:proofErr w:type="gramStart"/>
      <w:r w:rsidR="00203F65" w:rsidRPr="00571250">
        <w:rPr>
          <w:rFonts w:hint="eastAsia"/>
        </w:rPr>
        <w:t>予考</w:t>
      </w:r>
      <w:proofErr w:type="gramEnd"/>
      <w:r w:rsidR="00203F65" w:rsidRPr="00571250">
        <w:rPr>
          <w:rFonts w:hint="eastAsia"/>
        </w:rPr>
        <w:t>量申請範圍所在之鄉(鎮、市、區)既有都市計畫區都市發展用地或計畫人口是否達80</w:t>
      </w:r>
      <w:r w:rsidR="005A0F1E" w:rsidRPr="00571250">
        <w:rPr>
          <w:rFonts w:hint="eastAsia"/>
        </w:rPr>
        <w:t>％</w:t>
      </w:r>
      <w:r w:rsidR="00203F65" w:rsidRPr="00571250">
        <w:rPr>
          <w:rFonts w:hint="eastAsia"/>
        </w:rPr>
        <w:t>以上</w:t>
      </w:r>
      <w:r w:rsidR="00A34CD0" w:rsidRPr="00571250">
        <w:rPr>
          <w:rFonts w:hint="eastAsia"/>
        </w:rPr>
        <w:t>之</w:t>
      </w:r>
      <w:r w:rsidR="00203F65" w:rsidRPr="00571250">
        <w:rPr>
          <w:rFonts w:hint="eastAsia"/>
        </w:rPr>
        <w:t>條件。</w:t>
      </w:r>
      <w:r w:rsidR="0069390B" w:rsidRPr="00571250">
        <w:rPr>
          <w:rFonts w:hint="eastAsia"/>
        </w:rPr>
        <w:t>惟該項「區位分析」規定，</w:t>
      </w:r>
      <w:r w:rsidR="00A34CD0" w:rsidRPr="00571250">
        <w:rPr>
          <w:rFonts w:hint="eastAsia"/>
        </w:rPr>
        <w:t>僅係「得」免</w:t>
      </w:r>
      <w:proofErr w:type="gramStart"/>
      <w:r w:rsidR="00A34CD0" w:rsidRPr="00571250">
        <w:rPr>
          <w:rFonts w:hint="eastAsia"/>
        </w:rPr>
        <w:t>予考</w:t>
      </w:r>
      <w:proofErr w:type="gramEnd"/>
      <w:r w:rsidR="00A34CD0" w:rsidRPr="00571250">
        <w:rPr>
          <w:rFonts w:hint="eastAsia"/>
        </w:rPr>
        <w:t>量，並非當然</w:t>
      </w:r>
      <w:r w:rsidR="0069390B" w:rsidRPr="00571250">
        <w:rPr>
          <w:rFonts w:hint="eastAsia"/>
        </w:rPr>
        <w:t>排除適用，</w:t>
      </w:r>
      <w:r w:rsidR="00A53AF4">
        <w:rPr>
          <w:rFonts w:hint="eastAsia"/>
        </w:rPr>
        <w:t>於</w:t>
      </w:r>
      <w:r w:rsidR="00A53AF4" w:rsidRPr="00571250">
        <w:rPr>
          <w:rFonts w:hint="eastAsia"/>
        </w:rPr>
        <w:t>規劃與審議過程中</w:t>
      </w:r>
      <w:r w:rsidR="00A53AF4">
        <w:rPr>
          <w:rFonts w:hint="eastAsia"/>
        </w:rPr>
        <w:t>，</w:t>
      </w:r>
      <w:r w:rsidR="0069390B" w:rsidRPr="00571250">
        <w:rPr>
          <w:rFonts w:hint="eastAsia"/>
        </w:rPr>
        <w:t>必要時仍應</w:t>
      </w:r>
      <w:r w:rsidR="00A53AF4">
        <w:rPr>
          <w:rFonts w:hint="eastAsia"/>
        </w:rPr>
        <w:t>酌予</w:t>
      </w:r>
      <w:r w:rsidR="0069390B" w:rsidRPr="00571250">
        <w:rPr>
          <w:rFonts w:hint="eastAsia"/>
        </w:rPr>
        <w:t>納入考量</w:t>
      </w:r>
      <w:r w:rsidR="000B2459">
        <w:rPr>
          <w:rFonts w:hint="eastAsia"/>
        </w:rPr>
        <w:t>，</w:t>
      </w:r>
      <w:proofErr w:type="gramStart"/>
      <w:r w:rsidR="000B2459">
        <w:rPr>
          <w:rFonts w:hint="eastAsia"/>
        </w:rPr>
        <w:t>先予敘明</w:t>
      </w:r>
      <w:proofErr w:type="gramEnd"/>
      <w:r w:rsidR="000B2459">
        <w:rPr>
          <w:rFonts w:hint="eastAsia"/>
        </w:rPr>
        <w:t>。</w:t>
      </w:r>
    </w:p>
    <w:p w:rsidR="00DD1B68" w:rsidRPr="00571250" w:rsidRDefault="00225E94" w:rsidP="006F0EC5">
      <w:pPr>
        <w:pStyle w:val="3"/>
        <w:ind w:left="1360" w:hanging="680"/>
      </w:pPr>
      <w:proofErr w:type="gramStart"/>
      <w:r w:rsidRPr="00571250">
        <w:rPr>
          <w:rFonts w:hint="eastAsia"/>
        </w:rPr>
        <w:t>復</w:t>
      </w:r>
      <w:r w:rsidR="001A11AB">
        <w:rPr>
          <w:rFonts w:hint="eastAsia"/>
        </w:rPr>
        <w:t>按</w:t>
      </w:r>
      <w:r w:rsidR="00A12EA7" w:rsidRPr="00571250">
        <w:rPr>
          <w:rFonts w:hint="eastAsia"/>
        </w:rPr>
        <w:t>原</w:t>
      </w:r>
      <w:proofErr w:type="gramEnd"/>
      <w:r w:rsidR="00A12EA7" w:rsidRPr="00571250">
        <w:rPr>
          <w:rFonts w:hint="eastAsia"/>
        </w:rPr>
        <w:t>行政院經濟建設委員（改制後為國家發展委員會）「</w:t>
      </w:r>
      <w:r w:rsidR="00A12EA7" w:rsidRPr="00571250">
        <w:t>2010</w:t>
      </w:r>
      <w:r w:rsidR="00A12EA7" w:rsidRPr="00571250">
        <w:rPr>
          <w:rFonts w:hint="eastAsia"/>
        </w:rPr>
        <w:t>年至</w:t>
      </w:r>
      <w:r w:rsidR="00A12EA7" w:rsidRPr="00571250">
        <w:t>2060</w:t>
      </w:r>
      <w:r w:rsidR="00A12EA7" w:rsidRPr="00571250">
        <w:rPr>
          <w:rFonts w:hint="eastAsia"/>
        </w:rPr>
        <w:t>年臺灣</w:t>
      </w:r>
      <w:proofErr w:type="gramStart"/>
      <w:r w:rsidR="00A12EA7" w:rsidRPr="00571250">
        <w:rPr>
          <w:rFonts w:hint="eastAsia"/>
        </w:rPr>
        <w:t>人口推計</w:t>
      </w:r>
      <w:proofErr w:type="gramEnd"/>
      <w:r w:rsidR="00A12EA7" w:rsidRPr="00571250">
        <w:rPr>
          <w:rFonts w:hint="eastAsia"/>
        </w:rPr>
        <w:t>」結果，</w:t>
      </w:r>
      <w:r w:rsidR="00FC3C2B" w:rsidRPr="00571250">
        <w:rPr>
          <w:rFonts w:hint="eastAsia"/>
        </w:rPr>
        <w:t>臺灣地區</w:t>
      </w:r>
      <w:r w:rsidR="00FC3C2B" w:rsidRPr="00571250">
        <w:t>100</w:t>
      </w:r>
      <w:r w:rsidR="00FC3C2B" w:rsidRPr="00571250">
        <w:rPr>
          <w:rFonts w:hint="eastAsia"/>
        </w:rPr>
        <w:t>年總人口約為</w:t>
      </w:r>
      <w:r w:rsidR="00FC3C2B" w:rsidRPr="00571250">
        <w:t>2,322</w:t>
      </w:r>
      <w:r w:rsidR="00FC3C2B" w:rsidRPr="00571250">
        <w:rPr>
          <w:rFonts w:hint="eastAsia"/>
        </w:rPr>
        <w:t>萬人，高、中、</w:t>
      </w:r>
      <w:proofErr w:type="gramStart"/>
      <w:r w:rsidR="00FC3C2B" w:rsidRPr="00571250">
        <w:rPr>
          <w:rFonts w:hint="eastAsia"/>
        </w:rPr>
        <w:t>低推計人口</w:t>
      </w:r>
      <w:proofErr w:type="gramEnd"/>
      <w:r w:rsidR="00FC3C2B" w:rsidRPr="00571250">
        <w:rPr>
          <w:rFonts w:hint="eastAsia"/>
        </w:rPr>
        <w:t>零成長分別出現在</w:t>
      </w:r>
      <w:r w:rsidR="00FC3C2B" w:rsidRPr="00571250">
        <w:t>2025</w:t>
      </w:r>
      <w:r w:rsidR="00FC3C2B" w:rsidRPr="00571250">
        <w:rPr>
          <w:rFonts w:hint="eastAsia"/>
        </w:rPr>
        <w:t>年、</w:t>
      </w:r>
      <w:r w:rsidR="00FC3C2B" w:rsidRPr="00571250">
        <w:t>2022</w:t>
      </w:r>
      <w:r w:rsidR="00FC3C2B" w:rsidRPr="00571250">
        <w:rPr>
          <w:rFonts w:hint="eastAsia"/>
        </w:rPr>
        <w:t>年及</w:t>
      </w:r>
      <w:r w:rsidR="00FC3C2B" w:rsidRPr="00571250">
        <w:t>2018</w:t>
      </w:r>
      <w:r w:rsidR="00FC3C2B" w:rsidRPr="00571250">
        <w:rPr>
          <w:rFonts w:hint="eastAsia"/>
        </w:rPr>
        <w:t>年，總人口高峰分別為</w:t>
      </w:r>
      <w:r w:rsidR="00FC3C2B" w:rsidRPr="00571250">
        <w:t>2,357</w:t>
      </w:r>
      <w:r w:rsidR="00FC3C2B" w:rsidRPr="00571250">
        <w:rPr>
          <w:rFonts w:hint="eastAsia"/>
        </w:rPr>
        <w:t>萬人、</w:t>
      </w:r>
      <w:r w:rsidR="00FC3C2B" w:rsidRPr="00571250">
        <w:t>2,345</w:t>
      </w:r>
      <w:r w:rsidR="00FC3C2B" w:rsidRPr="00571250">
        <w:rPr>
          <w:rFonts w:hint="eastAsia"/>
        </w:rPr>
        <w:t>萬人及</w:t>
      </w:r>
      <w:r w:rsidR="00FC3C2B" w:rsidRPr="00571250">
        <w:t>2,335</w:t>
      </w:r>
      <w:r w:rsidR="00FC3C2B" w:rsidRPr="00571250">
        <w:rPr>
          <w:rFonts w:hint="eastAsia"/>
        </w:rPr>
        <w:t>萬人，人口數差異甚微</w:t>
      </w:r>
      <w:r w:rsidR="00FC3C2B" w:rsidRPr="00571250">
        <w:t>(</w:t>
      </w:r>
      <w:r w:rsidR="00FC3C2B" w:rsidRPr="00571250">
        <w:rPr>
          <w:rFonts w:hint="eastAsia"/>
        </w:rPr>
        <w:t>各約</w:t>
      </w:r>
      <w:r w:rsidR="00FC3C2B" w:rsidRPr="00571250">
        <w:t>35</w:t>
      </w:r>
      <w:r w:rsidR="00FC3C2B" w:rsidRPr="00571250">
        <w:rPr>
          <w:rFonts w:hint="eastAsia"/>
        </w:rPr>
        <w:t>萬人、</w:t>
      </w:r>
      <w:r w:rsidR="00FC3C2B" w:rsidRPr="00571250">
        <w:t>23</w:t>
      </w:r>
      <w:r w:rsidR="00FC3C2B" w:rsidRPr="00571250">
        <w:rPr>
          <w:rFonts w:hint="eastAsia"/>
        </w:rPr>
        <w:t>萬人及</w:t>
      </w:r>
      <w:r w:rsidR="00FC3C2B" w:rsidRPr="00571250">
        <w:t>13</w:t>
      </w:r>
      <w:r w:rsidR="00FC3C2B" w:rsidRPr="00571250">
        <w:rPr>
          <w:rFonts w:hint="eastAsia"/>
        </w:rPr>
        <w:t>萬人</w:t>
      </w:r>
      <w:r w:rsidR="00FC3C2B" w:rsidRPr="00571250">
        <w:t>)</w:t>
      </w:r>
      <w:r w:rsidR="00FC3C2B" w:rsidRPr="00571250">
        <w:rPr>
          <w:rFonts w:hint="eastAsia"/>
        </w:rPr>
        <w:t>。以總人口數觀察，國內人口數發展呈現零成長趨勢。又因育齡婦女人數持續減少，未來縱使生育率能再回升，國內總人口數轉為負成長，已無法避免</w:t>
      </w:r>
      <w:r w:rsidR="0018071F" w:rsidRPr="00571250">
        <w:rPr>
          <w:rFonts w:hint="eastAsia"/>
        </w:rPr>
        <w:t>。</w:t>
      </w:r>
      <w:r w:rsidR="00755757">
        <w:rPr>
          <w:rFonts w:hint="eastAsia"/>
        </w:rPr>
        <w:t>另</w:t>
      </w:r>
      <w:r w:rsidR="00350DAF" w:rsidRPr="00571250">
        <w:rPr>
          <w:rFonts w:hint="eastAsia"/>
        </w:rPr>
        <w:t xml:space="preserve">全國區域計畫(102年10月17日公告實施) </w:t>
      </w:r>
      <w:r w:rsidR="006F0EC5">
        <w:rPr>
          <w:rFonts w:hint="eastAsia"/>
        </w:rPr>
        <w:t>將</w:t>
      </w:r>
      <w:r w:rsidR="00350DAF" w:rsidRPr="00571250">
        <w:rPr>
          <w:rFonts w:hint="eastAsia"/>
        </w:rPr>
        <w:t>115年桃園縣人口發展總量</w:t>
      </w:r>
      <w:r w:rsidR="006F0EC5">
        <w:rPr>
          <w:rFonts w:hint="eastAsia"/>
        </w:rPr>
        <w:t>訂</w:t>
      </w:r>
      <w:r w:rsidR="00350DAF" w:rsidRPr="00571250">
        <w:rPr>
          <w:rFonts w:hint="eastAsia"/>
        </w:rPr>
        <w:t>為221萬人，而</w:t>
      </w:r>
      <w:r w:rsidR="003D030D" w:rsidRPr="00571250">
        <w:rPr>
          <w:rFonts w:hint="eastAsia"/>
        </w:rPr>
        <w:t>桃園縣</w:t>
      </w:r>
      <w:r w:rsidR="0005559A" w:rsidRPr="00571250">
        <w:rPr>
          <w:rFonts w:hint="eastAsia"/>
        </w:rPr>
        <w:t>統計資料，</w:t>
      </w:r>
      <w:r w:rsidR="00411EEC" w:rsidRPr="00571250">
        <w:rPr>
          <w:rFonts w:hint="eastAsia"/>
        </w:rPr>
        <w:t>該縣目前人口總數203萬人，近</w:t>
      </w:r>
      <w:r w:rsidR="003E7116" w:rsidRPr="00571250">
        <w:rPr>
          <w:rFonts w:hint="eastAsia"/>
        </w:rPr>
        <w:t>10</w:t>
      </w:r>
      <w:r w:rsidR="00411EEC" w:rsidRPr="00571250">
        <w:rPr>
          <w:rFonts w:hint="eastAsia"/>
        </w:rPr>
        <w:t>年之平均成長率雖為1.25</w:t>
      </w:r>
      <w:r w:rsidR="005A0F1E" w:rsidRPr="00571250">
        <w:rPr>
          <w:rFonts w:hint="eastAsia"/>
        </w:rPr>
        <w:t>％</w:t>
      </w:r>
      <w:r w:rsidR="00411EEC" w:rsidRPr="00571250">
        <w:rPr>
          <w:rFonts w:hint="eastAsia"/>
        </w:rPr>
        <w:t>，惟成長率已由92年1.64％依逐漸遞減至101年之0.84％</w:t>
      </w:r>
      <w:r w:rsidR="00755757">
        <w:rPr>
          <w:rStyle w:val="af3"/>
        </w:rPr>
        <w:footnoteReference w:id="14"/>
      </w:r>
      <w:r w:rsidR="00411EEC" w:rsidRPr="00571250">
        <w:rPr>
          <w:rFonts w:hint="eastAsia"/>
        </w:rPr>
        <w:t>。</w:t>
      </w:r>
      <w:r w:rsidR="003D030D" w:rsidRPr="00571250">
        <w:rPr>
          <w:rFonts w:hint="eastAsia"/>
        </w:rPr>
        <w:t>該</w:t>
      </w:r>
      <w:r w:rsidR="005A5CFC" w:rsidRPr="00571250">
        <w:rPr>
          <w:rFonts w:hint="eastAsia"/>
        </w:rPr>
        <w:t>縣</w:t>
      </w:r>
      <w:r w:rsidR="003D030D" w:rsidRPr="00571250">
        <w:rPr>
          <w:rFonts w:hint="eastAsia"/>
        </w:rPr>
        <w:t>所擬定之</w:t>
      </w:r>
      <w:r w:rsidR="005A5CFC" w:rsidRPr="00571250">
        <w:rPr>
          <w:rFonts w:hint="eastAsia"/>
        </w:rPr>
        <w:t>區域計畫（草案），</w:t>
      </w:r>
      <w:r w:rsidR="00BC28DB" w:rsidRPr="00571250">
        <w:rPr>
          <w:rFonts w:hint="eastAsia"/>
        </w:rPr>
        <w:t>將</w:t>
      </w:r>
      <w:r w:rsidR="005A5CFC" w:rsidRPr="00571250">
        <w:t>130</w:t>
      </w:r>
      <w:r w:rsidR="005A5CFC" w:rsidRPr="00571250">
        <w:rPr>
          <w:rFonts w:hint="eastAsia"/>
        </w:rPr>
        <w:t>年</w:t>
      </w:r>
      <w:r w:rsidR="0005559A" w:rsidRPr="00571250">
        <w:rPr>
          <w:rFonts w:hint="eastAsia"/>
        </w:rPr>
        <w:lastRenderedPageBreak/>
        <w:t>預計</w:t>
      </w:r>
      <w:r w:rsidR="005A5CFC" w:rsidRPr="00571250">
        <w:rPr>
          <w:rFonts w:hint="eastAsia"/>
        </w:rPr>
        <w:t>總人口</w:t>
      </w:r>
      <w:r w:rsidR="00AA1A7E" w:rsidRPr="00571250">
        <w:rPr>
          <w:rFonts w:hint="eastAsia"/>
        </w:rPr>
        <w:t>（人口發展總量）</w:t>
      </w:r>
      <w:r w:rsidR="00902D22" w:rsidRPr="00571250">
        <w:rPr>
          <w:rFonts w:hint="eastAsia"/>
        </w:rPr>
        <w:t>上限</w:t>
      </w:r>
      <w:r w:rsidR="00411EEC" w:rsidRPr="00571250">
        <w:rPr>
          <w:rFonts w:hint="eastAsia"/>
        </w:rPr>
        <w:t>訂</w:t>
      </w:r>
      <w:r w:rsidR="0005559A" w:rsidRPr="00571250">
        <w:rPr>
          <w:rFonts w:hint="eastAsia"/>
        </w:rPr>
        <w:t>為</w:t>
      </w:r>
      <w:r w:rsidR="005A5CFC" w:rsidRPr="00571250">
        <w:t xml:space="preserve">250 </w:t>
      </w:r>
      <w:r w:rsidR="005A5CFC" w:rsidRPr="00571250">
        <w:rPr>
          <w:rFonts w:hint="eastAsia"/>
        </w:rPr>
        <w:t>萬人</w:t>
      </w:r>
      <w:r w:rsidR="0005559A" w:rsidRPr="00571250">
        <w:rPr>
          <w:rFonts w:hint="eastAsia"/>
        </w:rPr>
        <w:t>，</w:t>
      </w:r>
      <w:r w:rsidR="00902D22" w:rsidRPr="00571250">
        <w:rPr>
          <w:rFonts w:hint="eastAsia"/>
        </w:rPr>
        <w:t>全縣尚可容納</w:t>
      </w:r>
      <w:r w:rsidR="0005559A" w:rsidRPr="00571250">
        <w:rPr>
          <w:rFonts w:hint="eastAsia"/>
        </w:rPr>
        <w:t>約4</w:t>
      </w:r>
      <w:r w:rsidR="00411EEC" w:rsidRPr="00571250">
        <w:rPr>
          <w:rFonts w:hint="eastAsia"/>
        </w:rPr>
        <w:t>7</w:t>
      </w:r>
      <w:r w:rsidR="0005559A" w:rsidRPr="00571250">
        <w:rPr>
          <w:rFonts w:hint="eastAsia"/>
        </w:rPr>
        <w:t>萬人</w:t>
      </w:r>
      <w:r w:rsidR="00902D22" w:rsidRPr="00571250">
        <w:rPr>
          <w:rFonts w:hint="eastAsia"/>
        </w:rPr>
        <w:t>，</w:t>
      </w:r>
      <w:r w:rsidR="00221AC7" w:rsidRPr="00571250">
        <w:rPr>
          <w:rFonts w:hint="eastAsia"/>
        </w:rPr>
        <w:t>在全國總人口數</w:t>
      </w:r>
      <w:r w:rsidR="00411EEC" w:rsidRPr="00571250">
        <w:rPr>
          <w:rFonts w:hint="eastAsia"/>
        </w:rPr>
        <w:t>以及該縣人口成長率</w:t>
      </w:r>
      <w:r w:rsidR="00221AC7" w:rsidRPr="00571250">
        <w:rPr>
          <w:rFonts w:hint="eastAsia"/>
        </w:rPr>
        <w:t>不斷遞減的趨勢下，</w:t>
      </w:r>
      <w:r w:rsidR="00C274AF" w:rsidRPr="00571250">
        <w:rPr>
          <w:rFonts w:hint="eastAsia"/>
        </w:rPr>
        <w:t>如何逆勢增加如此多的人口，</w:t>
      </w:r>
      <w:r w:rsidR="00EE13E8" w:rsidRPr="00571250">
        <w:rPr>
          <w:rFonts w:hint="eastAsia"/>
        </w:rPr>
        <w:t>非無</w:t>
      </w:r>
      <w:r w:rsidR="00C274AF" w:rsidRPr="00571250">
        <w:rPr>
          <w:rFonts w:hint="eastAsia"/>
        </w:rPr>
        <w:t>疑義；</w:t>
      </w:r>
      <w:proofErr w:type="gramStart"/>
      <w:r w:rsidR="003E7116" w:rsidRPr="00571250">
        <w:rPr>
          <w:rFonts w:hint="eastAsia"/>
        </w:rPr>
        <w:t>且</w:t>
      </w:r>
      <w:r w:rsidR="00C274AF" w:rsidRPr="00571250">
        <w:rPr>
          <w:rFonts w:hint="eastAsia"/>
        </w:rPr>
        <w:t>按系爭</w:t>
      </w:r>
      <w:proofErr w:type="gramEnd"/>
      <w:r w:rsidR="00C274AF" w:rsidRPr="00571250">
        <w:rPr>
          <w:rFonts w:hint="eastAsia"/>
        </w:rPr>
        <w:t>計畫</w:t>
      </w:r>
      <w:r w:rsidR="0005559A" w:rsidRPr="00571250">
        <w:rPr>
          <w:rFonts w:hint="eastAsia"/>
        </w:rPr>
        <w:t>區所在各村土地納入範圍</w:t>
      </w:r>
      <w:r w:rsidR="00C274AF" w:rsidRPr="00571250">
        <w:rPr>
          <w:rFonts w:hint="eastAsia"/>
        </w:rPr>
        <w:t>內</w:t>
      </w:r>
      <w:r w:rsidR="0005559A" w:rsidRPr="00571250">
        <w:rPr>
          <w:rFonts w:hint="eastAsia"/>
        </w:rPr>
        <w:t>之比例及各村於102 年現居人口予以推估，</w:t>
      </w:r>
      <w:r w:rsidR="007757D4" w:rsidRPr="00571250">
        <w:rPr>
          <w:rFonts w:hint="eastAsia"/>
        </w:rPr>
        <w:t>系爭計畫區</w:t>
      </w:r>
      <w:r w:rsidR="0005559A" w:rsidRPr="00571250">
        <w:rPr>
          <w:rFonts w:hint="eastAsia"/>
        </w:rPr>
        <w:t>現居人口</w:t>
      </w:r>
      <w:r w:rsidR="007757D4" w:rsidRPr="00571250">
        <w:rPr>
          <w:rFonts w:hint="eastAsia"/>
        </w:rPr>
        <w:t>僅</w:t>
      </w:r>
      <w:r w:rsidR="0005559A" w:rsidRPr="00571250">
        <w:rPr>
          <w:rFonts w:hint="eastAsia"/>
        </w:rPr>
        <w:t>約3萬</w:t>
      </w:r>
      <w:r w:rsidR="00902D22" w:rsidRPr="00571250">
        <w:rPr>
          <w:rFonts w:hint="eastAsia"/>
        </w:rPr>
        <w:t>餘</w:t>
      </w:r>
      <w:r w:rsidR="0005559A" w:rsidRPr="00571250">
        <w:rPr>
          <w:rFonts w:hint="eastAsia"/>
        </w:rPr>
        <w:t>人。</w:t>
      </w:r>
      <w:proofErr w:type="gramStart"/>
      <w:r w:rsidR="007757D4" w:rsidRPr="00571250">
        <w:rPr>
          <w:rFonts w:hint="eastAsia"/>
        </w:rPr>
        <w:t>惟系爭</w:t>
      </w:r>
      <w:proofErr w:type="gramEnd"/>
      <w:r w:rsidR="007757D4" w:rsidRPr="00571250">
        <w:rPr>
          <w:rFonts w:hint="eastAsia"/>
        </w:rPr>
        <w:t>計畫</w:t>
      </w:r>
      <w:r w:rsidR="00EA7A85" w:rsidRPr="00571250">
        <w:rPr>
          <w:rFonts w:hint="eastAsia"/>
        </w:rPr>
        <w:t>年期訂為130年，計畫人口</w:t>
      </w:r>
      <w:r w:rsidR="00BC28DB" w:rsidRPr="00571250">
        <w:rPr>
          <w:rFonts w:hint="eastAsia"/>
        </w:rPr>
        <w:t>20</w:t>
      </w:r>
      <w:r w:rsidR="00EA7A85" w:rsidRPr="00571250">
        <w:rPr>
          <w:rFonts w:hint="eastAsia"/>
        </w:rPr>
        <w:t>萬人</w:t>
      </w:r>
      <w:r w:rsidR="00116032">
        <w:rPr>
          <w:rStyle w:val="af3"/>
        </w:rPr>
        <w:footnoteReference w:id="15"/>
      </w:r>
      <w:r w:rsidR="00EA7A85" w:rsidRPr="00571250">
        <w:rPr>
          <w:rFonts w:hint="eastAsia"/>
        </w:rPr>
        <w:t>，</w:t>
      </w:r>
      <w:proofErr w:type="gramStart"/>
      <w:r w:rsidR="00AD1E15" w:rsidRPr="00571250">
        <w:rPr>
          <w:rFonts w:hint="eastAsia"/>
        </w:rPr>
        <w:t>佔</w:t>
      </w:r>
      <w:proofErr w:type="gramEnd"/>
      <w:r w:rsidR="007757D4" w:rsidRPr="00571250">
        <w:rPr>
          <w:rFonts w:hint="eastAsia"/>
        </w:rPr>
        <w:t>全縣預計增加人口（4</w:t>
      </w:r>
      <w:r w:rsidR="00AD1E15" w:rsidRPr="00571250">
        <w:rPr>
          <w:rFonts w:hint="eastAsia"/>
        </w:rPr>
        <w:t>7</w:t>
      </w:r>
      <w:r w:rsidR="007757D4" w:rsidRPr="00571250">
        <w:rPr>
          <w:rFonts w:hint="eastAsia"/>
        </w:rPr>
        <w:t>萬）的</w:t>
      </w:r>
      <w:r w:rsidR="00CB0B23" w:rsidRPr="00571250">
        <w:rPr>
          <w:rFonts w:hint="eastAsia"/>
        </w:rPr>
        <w:t>4</w:t>
      </w:r>
      <w:r w:rsidR="00AD1E15" w:rsidRPr="00571250">
        <w:rPr>
          <w:rFonts w:hint="eastAsia"/>
        </w:rPr>
        <w:t>2</w:t>
      </w:r>
      <w:r w:rsidR="00CB0B23" w:rsidRPr="00571250">
        <w:rPr>
          <w:rFonts w:hint="eastAsia"/>
        </w:rPr>
        <w:t>.</w:t>
      </w:r>
      <w:r w:rsidR="00AD1E15" w:rsidRPr="00571250">
        <w:rPr>
          <w:rFonts w:hint="eastAsia"/>
        </w:rPr>
        <w:t>55</w:t>
      </w:r>
      <w:r w:rsidR="00CB0B23" w:rsidRPr="00571250">
        <w:rPr>
          <w:rFonts w:hint="eastAsia"/>
        </w:rPr>
        <w:t>％</w:t>
      </w:r>
      <w:r w:rsidR="007757D4" w:rsidRPr="00571250">
        <w:rPr>
          <w:rFonts w:hint="eastAsia"/>
        </w:rPr>
        <w:t>，</w:t>
      </w:r>
      <w:r w:rsidR="00CB0B23" w:rsidRPr="00571250">
        <w:rPr>
          <w:rFonts w:hint="eastAsia"/>
        </w:rPr>
        <w:t>就增加</w:t>
      </w:r>
      <w:r w:rsidR="000E5BAF" w:rsidRPr="00571250">
        <w:rPr>
          <w:rFonts w:hint="eastAsia"/>
        </w:rPr>
        <w:t>人口</w:t>
      </w:r>
      <w:r w:rsidR="00CB0B23" w:rsidRPr="00571250">
        <w:rPr>
          <w:rFonts w:hint="eastAsia"/>
        </w:rPr>
        <w:t>分布</w:t>
      </w:r>
      <w:r w:rsidR="000E5BAF" w:rsidRPr="00571250">
        <w:rPr>
          <w:rFonts w:hint="eastAsia"/>
        </w:rPr>
        <w:t>之</w:t>
      </w:r>
      <w:r w:rsidR="00CB0B23" w:rsidRPr="00571250">
        <w:rPr>
          <w:rFonts w:hint="eastAsia"/>
        </w:rPr>
        <w:t>預測</w:t>
      </w:r>
      <w:r w:rsidR="003D030D" w:rsidRPr="00571250">
        <w:rPr>
          <w:rFonts w:hint="eastAsia"/>
        </w:rPr>
        <w:t>是否有所偏差，</w:t>
      </w:r>
      <w:r w:rsidR="003E7116" w:rsidRPr="00571250">
        <w:rPr>
          <w:rFonts w:hint="eastAsia"/>
        </w:rPr>
        <w:t>值得</w:t>
      </w:r>
      <w:r w:rsidR="003D030D" w:rsidRPr="00571250">
        <w:rPr>
          <w:rFonts w:hint="eastAsia"/>
        </w:rPr>
        <w:t>商榷</w:t>
      </w:r>
      <w:r w:rsidR="00DD1B68" w:rsidRPr="00571250">
        <w:rPr>
          <w:rFonts w:hint="eastAsia"/>
        </w:rPr>
        <w:t>。</w:t>
      </w:r>
    </w:p>
    <w:p w:rsidR="00E13186" w:rsidRPr="00571250" w:rsidRDefault="00DD1B68" w:rsidP="00116032">
      <w:pPr>
        <w:pStyle w:val="3"/>
        <w:ind w:left="1360" w:hanging="680"/>
      </w:pPr>
      <w:proofErr w:type="gramStart"/>
      <w:r w:rsidRPr="00571250">
        <w:rPr>
          <w:rFonts w:hint="eastAsia"/>
        </w:rPr>
        <w:t>此外，依系</w:t>
      </w:r>
      <w:proofErr w:type="gramEnd"/>
      <w:r w:rsidRPr="00571250">
        <w:rPr>
          <w:rFonts w:hint="eastAsia"/>
        </w:rPr>
        <w:t>爭</w:t>
      </w:r>
      <w:r w:rsidR="00CB0B23" w:rsidRPr="00571250">
        <w:rPr>
          <w:rFonts w:hint="eastAsia"/>
        </w:rPr>
        <w:t>計畫</w:t>
      </w:r>
      <w:r w:rsidR="00EA23C2" w:rsidRPr="00571250">
        <w:rPr>
          <w:rFonts w:hint="eastAsia"/>
        </w:rPr>
        <w:t>書所載，計畫</w:t>
      </w:r>
      <w:r w:rsidR="00CB0B23" w:rsidRPr="00571250">
        <w:rPr>
          <w:rFonts w:hint="eastAsia"/>
        </w:rPr>
        <w:t>人口</w:t>
      </w:r>
      <w:r w:rsidR="00EA23C2" w:rsidRPr="00571250">
        <w:rPr>
          <w:rFonts w:hint="eastAsia"/>
        </w:rPr>
        <w:t>以</w:t>
      </w:r>
      <w:r w:rsidR="00CB0B23" w:rsidRPr="00571250">
        <w:rPr>
          <w:rFonts w:hint="eastAsia"/>
        </w:rPr>
        <w:t>20萬人推估</w:t>
      </w:r>
      <w:r w:rsidRPr="00571250">
        <w:rPr>
          <w:rFonts w:hint="eastAsia"/>
        </w:rPr>
        <w:t>，</w:t>
      </w:r>
      <w:r w:rsidR="00CB0B23" w:rsidRPr="00571250">
        <w:rPr>
          <w:rFonts w:hint="eastAsia"/>
        </w:rPr>
        <w:t>戶數</w:t>
      </w:r>
      <w:r w:rsidRPr="00571250">
        <w:rPr>
          <w:rFonts w:hint="eastAsia"/>
        </w:rPr>
        <w:t>將約有</w:t>
      </w:r>
      <w:r w:rsidR="00CB0B23" w:rsidRPr="00571250">
        <w:rPr>
          <w:rFonts w:hint="eastAsia"/>
        </w:rPr>
        <w:t>8.47萬戶</w:t>
      </w:r>
      <w:r w:rsidR="00116032">
        <w:rPr>
          <w:rStyle w:val="af3"/>
        </w:rPr>
        <w:footnoteReference w:id="16"/>
      </w:r>
      <w:r w:rsidR="00CB0B23" w:rsidRPr="00571250">
        <w:rPr>
          <w:rFonts w:hint="eastAsia"/>
        </w:rPr>
        <w:t>，依桃園縣平均每戶建坪50坪(165</w:t>
      </w:r>
      <w:proofErr w:type="gramStart"/>
      <w:r w:rsidR="00CB0B23" w:rsidRPr="00571250">
        <w:rPr>
          <w:rFonts w:hint="eastAsia"/>
        </w:rPr>
        <w:t>㎡</w:t>
      </w:r>
      <w:proofErr w:type="gramEnd"/>
      <w:r w:rsidR="00CB0B23" w:rsidRPr="00571250">
        <w:rPr>
          <w:rFonts w:hint="eastAsia"/>
        </w:rPr>
        <w:t>)</w:t>
      </w:r>
      <w:r w:rsidR="00116032">
        <w:rPr>
          <w:rStyle w:val="af3"/>
        </w:rPr>
        <w:footnoteReference w:id="17"/>
      </w:r>
      <w:r w:rsidR="004D278D" w:rsidRPr="00571250">
        <w:rPr>
          <w:rFonts w:hint="eastAsia"/>
        </w:rPr>
        <w:t>計算</w:t>
      </w:r>
      <w:r w:rsidR="00CB0B23" w:rsidRPr="00571250">
        <w:rPr>
          <w:rFonts w:hint="eastAsia"/>
        </w:rPr>
        <w:t>，總樓地板面積約1,398</w:t>
      </w:r>
      <w:r w:rsidR="00A4732E" w:rsidRPr="00571250">
        <w:rPr>
          <w:rFonts w:hint="eastAsia"/>
        </w:rPr>
        <w:t>公頃，以住宅區容積率</w:t>
      </w:r>
      <w:r w:rsidR="00A4732E" w:rsidRPr="00571250">
        <w:t>200</w:t>
      </w:r>
      <w:r w:rsidR="005A0F1E" w:rsidRPr="00571250">
        <w:t>％</w:t>
      </w:r>
      <w:r w:rsidR="00A4732E" w:rsidRPr="00571250">
        <w:rPr>
          <w:rFonts w:hint="eastAsia"/>
        </w:rPr>
        <w:t>推估住宅用地需求約</w:t>
      </w:r>
      <w:r w:rsidR="00A4732E" w:rsidRPr="00571250">
        <w:t>700</w:t>
      </w:r>
      <w:r w:rsidR="00A4732E" w:rsidRPr="00571250">
        <w:rPr>
          <w:rFonts w:hint="eastAsia"/>
        </w:rPr>
        <w:t>公頃。</w:t>
      </w:r>
      <w:proofErr w:type="gramStart"/>
      <w:r w:rsidR="004D278D" w:rsidRPr="00571250">
        <w:rPr>
          <w:rFonts w:hint="eastAsia"/>
        </w:rPr>
        <w:t>惟依系爭</w:t>
      </w:r>
      <w:proofErr w:type="gramEnd"/>
      <w:r w:rsidR="004D278D" w:rsidRPr="00571250">
        <w:rPr>
          <w:rFonts w:hint="eastAsia"/>
        </w:rPr>
        <w:t>計畫所載之土地使用計畫面積表，</w:t>
      </w:r>
      <w:r w:rsidR="000A6A8C" w:rsidRPr="000A6A8C">
        <w:rPr>
          <w:rFonts w:hint="eastAsia"/>
        </w:rPr>
        <w:t>「桃園航空城附近地區建設計畫」</w:t>
      </w:r>
      <w:r w:rsidR="000A6A8C">
        <w:rPr>
          <w:rFonts w:hint="eastAsia"/>
        </w:rPr>
        <w:t>區</w:t>
      </w:r>
      <w:r w:rsidR="004D278D" w:rsidRPr="00571250">
        <w:rPr>
          <w:rFonts w:hint="eastAsia"/>
        </w:rPr>
        <w:t>內除規劃住宅區665.77公頃外</w:t>
      </w:r>
      <w:r w:rsidR="00116032">
        <w:rPr>
          <w:rStyle w:val="af3"/>
        </w:rPr>
        <w:footnoteReference w:id="18"/>
      </w:r>
      <w:r w:rsidR="004D278D" w:rsidRPr="00571250">
        <w:rPr>
          <w:rFonts w:hint="eastAsia"/>
        </w:rPr>
        <w:t>，</w:t>
      </w:r>
      <w:r w:rsidR="00A275C0" w:rsidRPr="00571250">
        <w:rPr>
          <w:rFonts w:hint="eastAsia"/>
        </w:rPr>
        <w:t>尚</w:t>
      </w:r>
      <w:r w:rsidR="004D278D" w:rsidRPr="00571250">
        <w:rPr>
          <w:rFonts w:hint="eastAsia"/>
        </w:rPr>
        <w:t>有商業區345.15公頃，</w:t>
      </w:r>
      <w:proofErr w:type="gramStart"/>
      <w:r w:rsidR="000C13FB" w:rsidRPr="00571250">
        <w:rPr>
          <w:rFonts w:hint="eastAsia"/>
        </w:rPr>
        <w:t>再依</w:t>
      </w:r>
      <w:r w:rsidR="00756C58" w:rsidRPr="00571250">
        <w:rPr>
          <w:rFonts w:hint="eastAsia"/>
        </w:rPr>
        <w:t>系爭</w:t>
      </w:r>
      <w:proofErr w:type="gramEnd"/>
      <w:r w:rsidR="00756C58" w:rsidRPr="00571250">
        <w:rPr>
          <w:rFonts w:hint="eastAsia"/>
        </w:rPr>
        <w:t>計畫</w:t>
      </w:r>
      <w:r w:rsidR="004D278D" w:rsidRPr="00571250">
        <w:rPr>
          <w:rFonts w:hint="eastAsia"/>
        </w:rPr>
        <w:t>土地使用分區管制</w:t>
      </w:r>
      <w:r w:rsidR="000C13FB" w:rsidRPr="00571250">
        <w:rPr>
          <w:rFonts w:hint="eastAsia"/>
        </w:rPr>
        <w:t>規定，</w:t>
      </w:r>
      <w:r w:rsidR="00A710A7" w:rsidRPr="00571250">
        <w:rPr>
          <w:rFonts w:hint="eastAsia"/>
        </w:rPr>
        <w:t>商</w:t>
      </w:r>
      <w:r w:rsidR="000C13FB" w:rsidRPr="00571250">
        <w:rPr>
          <w:rFonts w:hint="eastAsia"/>
        </w:rPr>
        <w:t>業區仍可作為住宅使用</w:t>
      </w:r>
      <w:r w:rsidR="003110C9">
        <w:rPr>
          <w:rStyle w:val="af3"/>
        </w:rPr>
        <w:footnoteReference w:id="19"/>
      </w:r>
      <w:r w:rsidR="00A225AA" w:rsidRPr="00571250">
        <w:rPr>
          <w:rFonts w:hint="eastAsia"/>
        </w:rPr>
        <w:t>，</w:t>
      </w:r>
      <w:r w:rsidR="00756C58" w:rsidRPr="00571250">
        <w:rPr>
          <w:rFonts w:hint="eastAsia"/>
        </w:rPr>
        <w:t>如此推估可容納人口數約為25.4萬人</w:t>
      </w:r>
      <w:r w:rsidR="00D31E74" w:rsidRPr="00571250">
        <w:rPr>
          <w:rFonts w:hint="eastAsia"/>
        </w:rPr>
        <w:t>（如附表</w:t>
      </w:r>
      <w:r w:rsidR="004B33E7" w:rsidRPr="00571250">
        <w:rPr>
          <w:rFonts w:hint="eastAsia"/>
        </w:rPr>
        <w:t>3</w:t>
      </w:r>
      <w:r w:rsidR="00D31E74" w:rsidRPr="00571250">
        <w:rPr>
          <w:rFonts w:hint="eastAsia"/>
        </w:rPr>
        <w:t>）</w:t>
      </w:r>
      <w:r w:rsidR="00756C58" w:rsidRPr="00571250">
        <w:rPr>
          <w:rFonts w:hint="eastAsia"/>
        </w:rPr>
        <w:t>，</w:t>
      </w:r>
      <w:r w:rsidR="003153F2" w:rsidRPr="00571250">
        <w:rPr>
          <w:rFonts w:hint="eastAsia"/>
        </w:rPr>
        <w:t>已</w:t>
      </w:r>
      <w:r w:rsidR="00756C58" w:rsidRPr="00571250">
        <w:rPr>
          <w:rFonts w:hint="eastAsia"/>
        </w:rPr>
        <w:t>超</w:t>
      </w:r>
      <w:r w:rsidR="003153F2" w:rsidRPr="00571250">
        <w:rPr>
          <w:rFonts w:hint="eastAsia"/>
        </w:rPr>
        <w:t>過計畫人口，如</w:t>
      </w:r>
      <w:r w:rsidR="00756C58" w:rsidRPr="00571250">
        <w:rPr>
          <w:rFonts w:hint="eastAsia"/>
        </w:rPr>
        <w:t>依每人50</w:t>
      </w:r>
      <w:proofErr w:type="gramStart"/>
      <w:r w:rsidR="00756C58" w:rsidRPr="00571250">
        <w:rPr>
          <w:rFonts w:hint="eastAsia"/>
        </w:rPr>
        <w:t>㎡</w:t>
      </w:r>
      <w:proofErr w:type="gramEnd"/>
      <w:r w:rsidR="003153F2" w:rsidRPr="00571250">
        <w:rPr>
          <w:rFonts w:hint="eastAsia"/>
        </w:rPr>
        <w:t>為標準</w:t>
      </w:r>
      <w:r w:rsidR="00B20F55" w:rsidRPr="00571250">
        <w:rPr>
          <w:rFonts w:hint="eastAsia"/>
        </w:rPr>
        <w:t>計算</w:t>
      </w:r>
      <w:r w:rsidR="0000697D">
        <w:rPr>
          <w:rStyle w:val="af3"/>
        </w:rPr>
        <w:footnoteReference w:id="20"/>
      </w:r>
      <w:r w:rsidR="00756C58" w:rsidRPr="00571250">
        <w:rPr>
          <w:rFonts w:hint="eastAsia"/>
        </w:rPr>
        <w:t>，推估可</w:t>
      </w:r>
      <w:r w:rsidR="003153F2" w:rsidRPr="00571250">
        <w:rPr>
          <w:rFonts w:hint="eastAsia"/>
        </w:rPr>
        <w:t>容納人口數高達</w:t>
      </w:r>
      <w:r w:rsidR="00756C58" w:rsidRPr="00571250">
        <w:rPr>
          <w:rFonts w:hint="eastAsia"/>
        </w:rPr>
        <w:t>35.54萬人，</w:t>
      </w:r>
      <w:r w:rsidR="00A225AA" w:rsidRPr="00571250">
        <w:rPr>
          <w:rFonts w:hint="eastAsia"/>
        </w:rPr>
        <w:t>遠</w:t>
      </w:r>
      <w:r w:rsidR="00A225AA" w:rsidRPr="00571250">
        <w:rPr>
          <w:rFonts w:hint="eastAsia"/>
        </w:rPr>
        <w:lastRenderedPageBreak/>
        <w:t>超過計畫人口，</w:t>
      </w:r>
      <w:r w:rsidR="003153F2" w:rsidRPr="00571250">
        <w:rPr>
          <w:rFonts w:hint="eastAsia"/>
        </w:rPr>
        <w:t>上述之計算結果，</w:t>
      </w:r>
      <w:r w:rsidR="00A225AA" w:rsidRPr="00571250">
        <w:rPr>
          <w:rFonts w:hint="eastAsia"/>
        </w:rPr>
        <w:t>尚</w:t>
      </w:r>
      <w:proofErr w:type="gramStart"/>
      <w:r w:rsidR="00A275C0" w:rsidRPr="00571250">
        <w:rPr>
          <w:rFonts w:hint="eastAsia"/>
        </w:rPr>
        <w:t>不含</w:t>
      </w:r>
      <w:r w:rsidR="003153F2" w:rsidRPr="00571250">
        <w:rPr>
          <w:rFonts w:hint="eastAsia"/>
        </w:rPr>
        <w:t>系爭</w:t>
      </w:r>
      <w:proofErr w:type="gramEnd"/>
      <w:r w:rsidR="003153F2" w:rsidRPr="00571250">
        <w:rPr>
          <w:rFonts w:hint="eastAsia"/>
        </w:rPr>
        <w:t>計畫規定之</w:t>
      </w:r>
      <w:r w:rsidR="00A275C0" w:rsidRPr="00571250">
        <w:rPr>
          <w:rFonts w:hint="eastAsia"/>
        </w:rPr>
        <w:t>獎勵</w:t>
      </w:r>
      <w:r w:rsidR="003153F2" w:rsidRPr="00571250">
        <w:rPr>
          <w:rFonts w:hint="eastAsia"/>
        </w:rPr>
        <w:t>容積</w:t>
      </w:r>
      <w:r w:rsidR="00CD46EA" w:rsidRPr="00571250">
        <w:rPr>
          <w:rFonts w:hint="eastAsia"/>
        </w:rPr>
        <w:t>20％</w:t>
      </w:r>
      <w:r w:rsidR="0000697D">
        <w:rPr>
          <w:rStyle w:val="af3"/>
        </w:rPr>
        <w:footnoteReference w:id="21"/>
      </w:r>
      <w:r w:rsidR="00886E9F" w:rsidRPr="00571250">
        <w:rPr>
          <w:rFonts w:hint="eastAsia"/>
        </w:rPr>
        <w:t>以及附近</w:t>
      </w:r>
      <w:r w:rsidR="00666A16" w:rsidRPr="00571250">
        <w:rPr>
          <w:rFonts w:hint="eastAsia"/>
        </w:rPr>
        <w:t>計畫人口未達80％以上之</w:t>
      </w:r>
      <w:r w:rsidR="00940A0D" w:rsidRPr="00571250">
        <w:rPr>
          <w:rFonts w:hint="eastAsia"/>
        </w:rPr>
        <w:t>「大園」、「大園</w:t>
      </w:r>
      <w:proofErr w:type="gramStart"/>
      <w:r w:rsidR="002A24FE" w:rsidRPr="00571250">
        <w:rPr>
          <w:rFonts w:hint="eastAsia"/>
        </w:rPr>
        <w:t>（</w:t>
      </w:r>
      <w:proofErr w:type="gramEnd"/>
      <w:r w:rsidR="002A24FE" w:rsidRPr="00571250">
        <w:rPr>
          <w:rFonts w:hint="eastAsia"/>
        </w:rPr>
        <w:t>菓林地區）</w:t>
      </w:r>
      <w:r w:rsidR="00940A0D" w:rsidRPr="00571250">
        <w:rPr>
          <w:rFonts w:hint="eastAsia"/>
        </w:rPr>
        <w:t>」</w:t>
      </w:r>
      <w:r w:rsidR="000C1E87" w:rsidRPr="00571250">
        <w:rPr>
          <w:rFonts w:hint="eastAsia"/>
        </w:rPr>
        <w:t>、「航空貨運園區(大園南港地區)特定區計畫」</w:t>
      </w:r>
      <w:r w:rsidR="009525AB" w:rsidRPr="00571250">
        <w:rPr>
          <w:rFonts w:hint="eastAsia"/>
        </w:rPr>
        <w:t>、「高速鐵路桃園車站特定區」、「蘆竹（大竹地區）」</w:t>
      </w:r>
      <w:r w:rsidR="00CD46EA" w:rsidRPr="00571250">
        <w:rPr>
          <w:rFonts w:hint="eastAsia"/>
        </w:rPr>
        <w:t>等</w:t>
      </w:r>
      <w:r w:rsidR="00940A0D" w:rsidRPr="00571250">
        <w:rPr>
          <w:rFonts w:hint="eastAsia"/>
        </w:rPr>
        <w:t>都市計畫</w:t>
      </w:r>
      <w:r w:rsidR="008F7588" w:rsidRPr="00571250">
        <w:rPr>
          <w:rFonts w:hint="eastAsia"/>
        </w:rPr>
        <w:t>住宅區</w:t>
      </w:r>
      <w:r w:rsidR="009525AB" w:rsidRPr="00571250">
        <w:t>434.88</w:t>
      </w:r>
      <w:r w:rsidR="00940A0D" w:rsidRPr="00571250">
        <w:rPr>
          <w:rFonts w:hint="eastAsia"/>
        </w:rPr>
        <w:t>公頃</w:t>
      </w:r>
      <w:r w:rsidR="008F7588" w:rsidRPr="00571250">
        <w:rPr>
          <w:rFonts w:hint="eastAsia"/>
        </w:rPr>
        <w:t>、商業區</w:t>
      </w:r>
      <w:r w:rsidR="009525AB" w:rsidRPr="00571250">
        <w:t>75.22</w:t>
      </w:r>
      <w:r w:rsidR="00940A0D" w:rsidRPr="00571250">
        <w:rPr>
          <w:rFonts w:hint="eastAsia"/>
        </w:rPr>
        <w:t>公頃</w:t>
      </w:r>
      <w:r w:rsidR="008F7588" w:rsidRPr="00571250">
        <w:rPr>
          <w:rFonts w:hint="eastAsia"/>
        </w:rPr>
        <w:t>可提供之</w:t>
      </w:r>
      <w:r w:rsidR="00940A0D" w:rsidRPr="00571250">
        <w:rPr>
          <w:rFonts w:hint="eastAsia"/>
        </w:rPr>
        <w:t>居住人口</w:t>
      </w:r>
      <w:r w:rsidR="00A225AA" w:rsidRPr="00571250">
        <w:rPr>
          <w:rFonts w:hint="eastAsia"/>
        </w:rPr>
        <w:t>在內</w:t>
      </w:r>
      <w:r w:rsidR="007527D0" w:rsidRPr="00571250">
        <w:rPr>
          <w:rFonts w:hint="eastAsia"/>
        </w:rPr>
        <w:t>（如附表</w:t>
      </w:r>
      <w:r w:rsidR="00621E1C">
        <w:rPr>
          <w:rFonts w:hint="eastAsia"/>
        </w:rPr>
        <w:t>4</w:t>
      </w:r>
      <w:r w:rsidR="007527D0" w:rsidRPr="00571250">
        <w:rPr>
          <w:rFonts w:hint="eastAsia"/>
        </w:rPr>
        <w:t>）</w:t>
      </w:r>
      <w:r w:rsidR="007D055C" w:rsidRPr="00571250">
        <w:rPr>
          <w:rFonts w:hint="eastAsia"/>
        </w:rPr>
        <w:t>。</w:t>
      </w:r>
      <w:r w:rsidR="00863E7D" w:rsidRPr="00571250">
        <w:rPr>
          <w:rFonts w:hint="eastAsia"/>
        </w:rPr>
        <w:t>復據本</w:t>
      </w:r>
      <w:r w:rsidR="00886E9F" w:rsidRPr="00571250">
        <w:rPr>
          <w:rFonts w:hint="eastAsia"/>
        </w:rPr>
        <w:t>院</w:t>
      </w:r>
      <w:r w:rsidR="00863E7D" w:rsidRPr="00571250">
        <w:rPr>
          <w:rFonts w:hint="eastAsia"/>
        </w:rPr>
        <w:t>諮詢專學者所提供資料，</w:t>
      </w:r>
      <w:r w:rsidR="002937BC" w:rsidRPr="00571250">
        <w:rPr>
          <w:rFonts w:hint="eastAsia"/>
        </w:rPr>
        <w:t>依69-89年及99年人口及住宅普查初步統計結果，桃園縣99年住宅普查空閒住宅</w:t>
      </w:r>
      <w:r w:rsidR="00863E7D" w:rsidRPr="00571250">
        <w:rPr>
          <w:rFonts w:hint="eastAsia"/>
        </w:rPr>
        <w:t>尚</w:t>
      </w:r>
      <w:r w:rsidR="002937BC" w:rsidRPr="00571250">
        <w:rPr>
          <w:rFonts w:hint="eastAsia"/>
        </w:rPr>
        <w:t>有153,722宅，</w:t>
      </w:r>
      <w:proofErr w:type="gramStart"/>
      <w:r w:rsidR="002937BC" w:rsidRPr="00571250">
        <w:rPr>
          <w:rFonts w:hint="eastAsia"/>
        </w:rPr>
        <w:t>佔</w:t>
      </w:r>
      <w:proofErr w:type="gramEnd"/>
      <w:r w:rsidR="008F7588" w:rsidRPr="00571250">
        <w:rPr>
          <w:rFonts w:hint="eastAsia"/>
        </w:rPr>
        <w:t>該縣住宅總量之</w:t>
      </w:r>
      <w:r w:rsidR="002937BC" w:rsidRPr="00571250">
        <w:rPr>
          <w:rFonts w:hint="eastAsia"/>
        </w:rPr>
        <w:t>21％，</w:t>
      </w:r>
      <w:r w:rsidR="0006333A" w:rsidRPr="00571250">
        <w:rPr>
          <w:rFonts w:hint="eastAsia"/>
        </w:rPr>
        <w:t>如何去化仍是一大問題</w:t>
      </w:r>
      <w:r w:rsidR="00A225AA" w:rsidRPr="00571250">
        <w:rPr>
          <w:rFonts w:hint="eastAsia"/>
        </w:rPr>
        <w:t>。</w:t>
      </w:r>
    </w:p>
    <w:p w:rsidR="00025D17" w:rsidRPr="003C30FF" w:rsidRDefault="00507901" w:rsidP="00507901">
      <w:pPr>
        <w:pStyle w:val="3"/>
        <w:ind w:left="1360" w:hanging="680"/>
        <w:rPr>
          <w:rFonts w:hAnsi="標楷體"/>
          <w:bCs w:val="0"/>
          <w:color w:val="FF0000"/>
          <w:szCs w:val="32"/>
        </w:rPr>
      </w:pPr>
      <w:r>
        <w:rPr>
          <w:rFonts w:hint="eastAsia"/>
        </w:rPr>
        <w:t>綜上，</w:t>
      </w:r>
      <w:r w:rsidR="005A58C0" w:rsidRPr="005A58C0">
        <w:rPr>
          <w:rFonts w:hint="eastAsia"/>
        </w:rPr>
        <w:t>「桃園航空城附近地區建設計畫」規劃住宅區、商業區容納人口數額，已超過系爭計畫年期130年之計畫人口20萬人，且未考量鄰近都市計畫區住宅區、商業區可容納的人口數額，難謂允當。</w:t>
      </w:r>
    </w:p>
    <w:p w:rsidR="00A14A47" w:rsidRPr="00094EDA" w:rsidRDefault="003C1EBB" w:rsidP="000A6A8C">
      <w:pPr>
        <w:pStyle w:val="2"/>
        <w:ind w:left="1020" w:hanging="680"/>
        <w:rPr>
          <w:b/>
        </w:rPr>
      </w:pPr>
      <w:r w:rsidRPr="00094EDA">
        <w:rPr>
          <w:rFonts w:hint="eastAsia"/>
          <w:b/>
        </w:rPr>
        <w:t>「桃園航空城附近地區建設計畫」</w:t>
      </w:r>
      <w:r w:rsidRPr="000C70D3">
        <w:rPr>
          <w:rFonts w:hint="eastAsia"/>
          <w:b/>
        </w:rPr>
        <w:t>開發總費用</w:t>
      </w:r>
      <w:r>
        <w:rPr>
          <w:rFonts w:hint="eastAsia"/>
          <w:b/>
        </w:rPr>
        <w:t>高達</w:t>
      </w:r>
      <w:r w:rsidRPr="000C70D3">
        <w:rPr>
          <w:rFonts w:hint="eastAsia"/>
          <w:b/>
        </w:rPr>
        <w:t>1,596億元</w:t>
      </w:r>
      <w:r>
        <w:rPr>
          <w:rFonts w:hint="eastAsia"/>
          <w:b/>
        </w:rPr>
        <w:t>，</w:t>
      </w:r>
      <w:r w:rsidR="00346825">
        <w:rPr>
          <w:rFonts w:hint="eastAsia"/>
          <w:b/>
        </w:rPr>
        <w:t>而</w:t>
      </w:r>
      <w:r w:rsidR="000C70D3">
        <w:rPr>
          <w:rFonts w:hint="eastAsia"/>
          <w:b/>
        </w:rPr>
        <w:t>桃園縣目前尚有</w:t>
      </w:r>
      <w:r w:rsidR="000C70D3" w:rsidRPr="000C70D3">
        <w:rPr>
          <w:rFonts w:hint="eastAsia"/>
          <w:b/>
        </w:rPr>
        <w:t>6</w:t>
      </w:r>
      <w:r w:rsidR="000C70D3">
        <w:rPr>
          <w:rFonts w:hint="eastAsia"/>
          <w:b/>
        </w:rPr>
        <w:t>個</w:t>
      </w:r>
      <w:r w:rsidR="000C70D3" w:rsidRPr="000C70D3">
        <w:rPr>
          <w:rFonts w:hint="eastAsia"/>
          <w:b/>
        </w:rPr>
        <w:t>區段徵收開發</w:t>
      </w:r>
      <w:r w:rsidR="00346825">
        <w:rPr>
          <w:rFonts w:hint="eastAsia"/>
          <w:b/>
        </w:rPr>
        <w:t>案</w:t>
      </w:r>
      <w:r w:rsidR="000C70D3">
        <w:rPr>
          <w:rFonts w:hint="eastAsia"/>
          <w:b/>
        </w:rPr>
        <w:t>進行</w:t>
      </w:r>
      <w:r w:rsidR="000C70D3" w:rsidRPr="000C70D3">
        <w:rPr>
          <w:rFonts w:hint="eastAsia"/>
          <w:b/>
        </w:rPr>
        <w:t>，開發總費用約368億元</w:t>
      </w:r>
      <w:r w:rsidR="000C70D3">
        <w:rPr>
          <w:rFonts w:hint="eastAsia"/>
          <w:b/>
        </w:rPr>
        <w:t>，</w:t>
      </w:r>
      <w:r>
        <w:rPr>
          <w:rFonts w:hint="eastAsia"/>
          <w:b/>
        </w:rPr>
        <w:t>其</w:t>
      </w:r>
      <w:r w:rsidR="000C70D3" w:rsidRPr="000C70D3">
        <w:rPr>
          <w:rFonts w:hint="eastAsia"/>
          <w:b/>
        </w:rPr>
        <w:t>財務可行性實有深入評估之必要</w:t>
      </w:r>
      <w:r w:rsidR="002B3A4D">
        <w:rPr>
          <w:rFonts w:hint="eastAsia"/>
          <w:b/>
        </w:rPr>
        <w:t>；</w:t>
      </w:r>
      <w:r w:rsidR="00496516">
        <w:rPr>
          <w:rFonts w:hint="eastAsia"/>
          <w:b/>
        </w:rPr>
        <w:t>該計畫</w:t>
      </w:r>
      <w:r w:rsidR="000C70D3" w:rsidRPr="000C70D3">
        <w:rPr>
          <w:rFonts w:hint="eastAsia"/>
          <w:b/>
        </w:rPr>
        <w:t>之發展與機場建設密不可分，必須配合機場建設之期程進行，如</w:t>
      </w:r>
      <w:r w:rsidR="00400AEE">
        <w:rPr>
          <w:rFonts w:hint="eastAsia"/>
          <w:b/>
        </w:rPr>
        <w:t>遇開發</w:t>
      </w:r>
      <w:r w:rsidR="000C70D3" w:rsidRPr="000C70D3">
        <w:rPr>
          <w:rFonts w:hint="eastAsia"/>
          <w:b/>
        </w:rPr>
        <w:t>延宕或外溢效</w:t>
      </w:r>
      <w:r w:rsidR="00400AEE">
        <w:rPr>
          <w:rFonts w:hint="eastAsia"/>
          <w:b/>
        </w:rPr>
        <w:t>果</w:t>
      </w:r>
      <w:r w:rsidR="000C70D3" w:rsidRPr="000C70D3">
        <w:rPr>
          <w:rFonts w:hint="eastAsia"/>
          <w:b/>
        </w:rPr>
        <w:t>未顯著時，</w:t>
      </w:r>
      <w:r w:rsidR="002B3A4D">
        <w:rPr>
          <w:rFonts w:hint="eastAsia"/>
          <w:b/>
        </w:rPr>
        <w:t>勢</w:t>
      </w:r>
      <w:r w:rsidR="000C70D3" w:rsidRPr="000C70D3">
        <w:rPr>
          <w:rFonts w:hint="eastAsia"/>
          <w:b/>
        </w:rPr>
        <w:t>將影響整體發展之時程與規模</w:t>
      </w:r>
      <w:r w:rsidR="00790F26">
        <w:rPr>
          <w:rFonts w:hint="eastAsia"/>
          <w:b/>
        </w:rPr>
        <w:t>，</w:t>
      </w:r>
      <w:r w:rsidR="00A54B14" w:rsidRPr="00A54B14">
        <w:rPr>
          <w:rFonts w:hint="eastAsia"/>
          <w:b/>
        </w:rPr>
        <w:t>該計畫之開發，允宜考量採分期分區方式進行</w:t>
      </w:r>
      <w:r w:rsidR="0074607B" w:rsidRPr="00094EDA">
        <w:rPr>
          <w:rFonts w:hint="eastAsia"/>
          <w:b/>
        </w:rPr>
        <w:t>。</w:t>
      </w:r>
    </w:p>
    <w:p w:rsidR="0094602B" w:rsidRPr="00BB6FFA" w:rsidRDefault="0094602B" w:rsidP="00562AEE">
      <w:pPr>
        <w:pStyle w:val="3"/>
        <w:ind w:left="1360" w:hanging="680"/>
        <w:rPr>
          <w:bCs w:val="0"/>
        </w:rPr>
      </w:pPr>
      <w:r w:rsidRPr="00BB6FFA">
        <w:rPr>
          <w:rFonts w:hint="eastAsia"/>
          <w:bCs w:val="0"/>
        </w:rPr>
        <w:t>按都市計畫法第15條第1項規定：「市鎮計畫應先擬定主要計畫書，並視其實際情形，</w:t>
      </w:r>
      <w:proofErr w:type="gramStart"/>
      <w:r w:rsidRPr="00BB6FFA">
        <w:rPr>
          <w:rFonts w:hint="eastAsia"/>
          <w:bCs w:val="0"/>
        </w:rPr>
        <w:t>就左列</w:t>
      </w:r>
      <w:proofErr w:type="gramEnd"/>
      <w:r w:rsidRPr="00BB6FFA">
        <w:rPr>
          <w:rFonts w:hint="eastAsia"/>
          <w:bCs w:val="0"/>
        </w:rPr>
        <w:t>事項分別表明之：…</w:t>
      </w:r>
      <w:proofErr w:type="gramStart"/>
      <w:r w:rsidRPr="00BB6FFA">
        <w:rPr>
          <w:rFonts w:hint="eastAsia"/>
          <w:bCs w:val="0"/>
        </w:rPr>
        <w:t>…</w:t>
      </w:r>
      <w:proofErr w:type="gramEnd"/>
      <w:r w:rsidRPr="00BB6FFA">
        <w:rPr>
          <w:rFonts w:hint="eastAsia"/>
          <w:bCs w:val="0"/>
        </w:rPr>
        <w:t>九、實施進度及經費。」、</w:t>
      </w:r>
      <w:r w:rsidR="009C1513" w:rsidRPr="00BB6FFA">
        <w:rPr>
          <w:rFonts w:hint="eastAsia"/>
          <w:bCs w:val="0"/>
        </w:rPr>
        <w:t>第16條規定：「鄉街計畫及特定區計畫之主要計畫所應</w:t>
      </w:r>
      <w:r w:rsidR="009C1513" w:rsidRPr="00BB6FFA">
        <w:rPr>
          <w:rFonts w:hint="eastAsia"/>
          <w:bCs w:val="0"/>
        </w:rPr>
        <w:lastRenderedPageBreak/>
        <w:t>表明事項，得視實際需要，參照前條第一項規定事項全部或一部予以簡化，並得與細部計畫合併擬定之。」、</w:t>
      </w:r>
      <w:r w:rsidRPr="00BB6FFA">
        <w:rPr>
          <w:rFonts w:hint="eastAsia"/>
          <w:bCs w:val="0"/>
        </w:rPr>
        <w:t>第17條第1項規定：「第15條第1項第9款所定之實施進度，應就其計畫地區範圍預計之發展趨勢及地方財力，訂定分區發展優先次序。第一期發展地區應於主要計畫發布實施後，最多二年完成細部計畫；並於細部計畫發布後，最多五年完成公共設施。其他地區應於第一期發展地區開始進行後，次第訂定細部計畫建設之。」</w:t>
      </w:r>
      <w:r w:rsidR="00BB6FFA" w:rsidRPr="00BB6FFA">
        <w:rPr>
          <w:rFonts w:hint="eastAsia"/>
          <w:bCs w:val="0"/>
        </w:rPr>
        <w:t>又按全國區域計畫對於非都市土地行政作業指導原則，有關檢討非都市土地辦理新訂或擴大都市計畫部分，應考量區域整體發展，依循</w:t>
      </w:r>
      <w:r w:rsidR="00562AEE">
        <w:rPr>
          <w:rFonts w:hint="eastAsia"/>
          <w:bCs w:val="0"/>
        </w:rPr>
        <w:t>該</w:t>
      </w:r>
      <w:r w:rsidR="00BB6FFA" w:rsidRPr="00BB6FFA">
        <w:rPr>
          <w:rFonts w:hint="eastAsia"/>
          <w:bCs w:val="0"/>
        </w:rPr>
        <w:t>計畫有關人口總量、住宅需求總量、新訂或擴大都市計畫規劃原則等之指導，並視其都市發展程度、人口成長、環境資源供給情形及財務能力，於各該直轄市、縣</w:t>
      </w:r>
      <w:r w:rsidR="00BB6FFA" w:rsidRPr="00BB6FFA">
        <w:rPr>
          <w:bCs w:val="0"/>
        </w:rPr>
        <w:t>(</w:t>
      </w:r>
      <w:r w:rsidR="00BB6FFA" w:rsidRPr="00BB6FFA">
        <w:rPr>
          <w:rFonts w:hint="eastAsia"/>
          <w:bCs w:val="0"/>
        </w:rPr>
        <w:t>市</w:t>
      </w:r>
      <w:r w:rsidR="00BB6FFA" w:rsidRPr="00BB6FFA">
        <w:rPr>
          <w:bCs w:val="0"/>
        </w:rPr>
        <w:t>)</w:t>
      </w:r>
      <w:r w:rsidR="00BB6FFA" w:rsidRPr="00BB6FFA">
        <w:rPr>
          <w:rFonts w:hint="eastAsia"/>
          <w:bCs w:val="0"/>
        </w:rPr>
        <w:t>區域計畫內</w:t>
      </w:r>
      <w:proofErr w:type="gramStart"/>
      <w:r w:rsidR="00BB6FFA" w:rsidRPr="00BB6FFA">
        <w:rPr>
          <w:rFonts w:hint="eastAsia"/>
          <w:bCs w:val="0"/>
        </w:rPr>
        <w:t>研</w:t>
      </w:r>
      <w:proofErr w:type="gramEnd"/>
      <w:r w:rsidR="00BB6FFA" w:rsidRPr="00BB6FFA">
        <w:rPr>
          <w:rFonts w:hint="eastAsia"/>
          <w:bCs w:val="0"/>
        </w:rPr>
        <w:t>擬整體都市發展政策，並表明新訂或擴大都市計畫之區位、規模、機能及成長管理措施等事項，以引導空間有秩序發展</w:t>
      </w:r>
      <w:r w:rsidR="00BB6FFA">
        <w:rPr>
          <w:rStyle w:val="af3"/>
          <w:bCs w:val="0"/>
        </w:rPr>
        <w:footnoteReference w:id="22"/>
      </w:r>
      <w:r w:rsidR="00BB6FFA" w:rsidRPr="00BB6FFA">
        <w:rPr>
          <w:rFonts w:hint="eastAsia"/>
          <w:bCs w:val="0"/>
        </w:rPr>
        <w:t>。</w:t>
      </w:r>
      <w:r w:rsidR="009C1513" w:rsidRPr="00BB6FFA">
        <w:rPr>
          <w:rFonts w:hint="eastAsia"/>
          <w:bCs w:val="0"/>
        </w:rPr>
        <w:t>系爭計畫係屬</w:t>
      </w:r>
      <w:r w:rsidR="00562AEE">
        <w:rPr>
          <w:rFonts w:hint="eastAsia"/>
          <w:bCs w:val="0"/>
        </w:rPr>
        <w:t>都市計畫法</w:t>
      </w:r>
      <w:r w:rsidR="009C1513" w:rsidRPr="00BB6FFA">
        <w:rPr>
          <w:rFonts w:hint="eastAsia"/>
          <w:bCs w:val="0"/>
        </w:rPr>
        <w:t>第12條規定</w:t>
      </w:r>
      <w:r w:rsidR="00562AEE">
        <w:rPr>
          <w:rFonts w:hint="eastAsia"/>
          <w:bCs w:val="0"/>
        </w:rPr>
        <w:t>之</w:t>
      </w:r>
      <w:r w:rsidR="00562AEE" w:rsidRPr="00BB6FFA">
        <w:rPr>
          <w:rFonts w:hint="eastAsia"/>
          <w:bCs w:val="0"/>
        </w:rPr>
        <w:t>特定區</w:t>
      </w:r>
      <w:r w:rsidR="009C1513" w:rsidRPr="00BB6FFA">
        <w:rPr>
          <w:rFonts w:hint="eastAsia"/>
          <w:bCs w:val="0"/>
        </w:rPr>
        <w:t>計畫，依同法第16條規定，自應依第15條第1項及第17條第1項規定</w:t>
      </w:r>
      <w:r w:rsidR="00BB6FFA">
        <w:rPr>
          <w:rFonts w:hint="eastAsia"/>
          <w:bCs w:val="0"/>
        </w:rPr>
        <w:t>及</w:t>
      </w:r>
      <w:r w:rsidR="00BB6FFA" w:rsidRPr="00BB6FFA">
        <w:rPr>
          <w:rFonts w:hint="eastAsia"/>
          <w:bCs w:val="0"/>
        </w:rPr>
        <w:t>全國區域計畫對於非都市土地行政作業指導原則</w:t>
      </w:r>
      <w:r w:rsidR="009C1513" w:rsidRPr="00BB6FFA">
        <w:rPr>
          <w:rFonts w:hint="eastAsia"/>
          <w:bCs w:val="0"/>
        </w:rPr>
        <w:t>辦理，</w:t>
      </w:r>
      <w:proofErr w:type="gramStart"/>
      <w:r w:rsidR="009C1513" w:rsidRPr="00BB6FFA">
        <w:rPr>
          <w:rFonts w:hint="eastAsia"/>
          <w:bCs w:val="0"/>
        </w:rPr>
        <w:t>合先敘</w:t>
      </w:r>
      <w:proofErr w:type="gramEnd"/>
      <w:r w:rsidR="009C1513" w:rsidRPr="00BB6FFA">
        <w:rPr>
          <w:rFonts w:hint="eastAsia"/>
          <w:bCs w:val="0"/>
        </w:rPr>
        <w:t>明。</w:t>
      </w:r>
    </w:p>
    <w:p w:rsidR="00162605" w:rsidRDefault="006B7B5A" w:rsidP="00AD0B08">
      <w:pPr>
        <w:pStyle w:val="3"/>
        <w:ind w:left="1360" w:hanging="680"/>
        <w:rPr>
          <w:bCs w:val="0"/>
        </w:rPr>
      </w:pPr>
      <w:proofErr w:type="gramStart"/>
      <w:r w:rsidRPr="006B7B5A">
        <w:rPr>
          <w:rFonts w:hint="eastAsia"/>
          <w:bCs w:val="0"/>
        </w:rPr>
        <w:t>此外，</w:t>
      </w:r>
      <w:proofErr w:type="gramEnd"/>
      <w:r w:rsidRPr="006B7B5A">
        <w:rPr>
          <w:rFonts w:hint="eastAsia"/>
          <w:bCs w:val="0"/>
        </w:rPr>
        <w:t>我國目前有淡海、高雄、林口等3個新市鎮之土地開發建設，均</w:t>
      </w:r>
      <w:proofErr w:type="gramStart"/>
      <w:r w:rsidRPr="006B7B5A">
        <w:rPr>
          <w:rFonts w:hint="eastAsia"/>
          <w:bCs w:val="0"/>
        </w:rPr>
        <w:t>採</w:t>
      </w:r>
      <w:proofErr w:type="gramEnd"/>
      <w:r w:rsidRPr="006B7B5A">
        <w:rPr>
          <w:rFonts w:hint="eastAsia"/>
          <w:bCs w:val="0"/>
        </w:rPr>
        <w:t>分期分區開發，其中已辦理區段徵收開發者，包括82至100年間陸續公告徵收之淡海1期1區、淡海1期2區、高雄1期</w:t>
      </w:r>
      <w:r w:rsidR="008C1404">
        <w:rPr>
          <w:rFonts w:hint="eastAsia"/>
          <w:bCs w:val="0"/>
        </w:rPr>
        <w:t>發展</w:t>
      </w:r>
      <w:r w:rsidRPr="006B7B5A">
        <w:rPr>
          <w:rFonts w:hint="eastAsia"/>
          <w:bCs w:val="0"/>
        </w:rPr>
        <w:t>區、林口A7站區1期等4區，平均每1公頃開發成本費用介於0.47億元~1.85億元間，總平均約1.01億</w:t>
      </w:r>
      <w:r w:rsidRPr="006B7B5A">
        <w:rPr>
          <w:rFonts w:hint="eastAsia"/>
          <w:bCs w:val="0"/>
        </w:rPr>
        <w:lastRenderedPageBreak/>
        <w:t>元</w:t>
      </w:r>
      <w:r w:rsidR="008C1404">
        <w:rPr>
          <w:rFonts w:hint="eastAsia"/>
          <w:bCs w:val="0"/>
        </w:rPr>
        <w:t>（</w:t>
      </w:r>
      <w:r w:rsidR="008C1404" w:rsidRPr="006B7B5A">
        <w:rPr>
          <w:rFonts w:hint="eastAsia"/>
          <w:bCs w:val="0"/>
        </w:rPr>
        <w:t>詳表</w:t>
      </w:r>
      <w:r w:rsidR="008C1404">
        <w:rPr>
          <w:rFonts w:hint="eastAsia"/>
          <w:bCs w:val="0"/>
        </w:rPr>
        <w:t>5），</w:t>
      </w:r>
      <w:r w:rsidRPr="006B7B5A">
        <w:rPr>
          <w:rFonts w:hint="eastAsia"/>
          <w:bCs w:val="0"/>
        </w:rPr>
        <w:t>其中平均每1公頃開發成本費用最高者為淡海1期2區，達1.85億元，主要係該區</w:t>
      </w:r>
      <w:r w:rsidR="008C1404">
        <w:rPr>
          <w:rFonts w:hint="eastAsia"/>
          <w:bCs w:val="0"/>
        </w:rPr>
        <w:t>：</w:t>
      </w:r>
      <w:r w:rsidRPr="006B7B5A">
        <w:rPr>
          <w:rFonts w:hint="eastAsia"/>
          <w:bCs w:val="0"/>
        </w:rPr>
        <w:t>(1)於辦理區段徵收作業時，</w:t>
      </w:r>
      <w:proofErr w:type="gramStart"/>
      <w:r w:rsidRPr="006B7B5A">
        <w:rPr>
          <w:rFonts w:hint="eastAsia"/>
          <w:bCs w:val="0"/>
        </w:rPr>
        <w:t>申領抵價</w:t>
      </w:r>
      <w:proofErr w:type="gramEnd"/>
      <w:r w:rsidRPr="006B7B5A">
        <w:rPr>
          <w:rFonts w:hint="eastAsia"/>
          <w:bCs w:val="0"/>
        </w:rPr>
        <w:t>地者少，領取現金補償費者較多；(2)為改善聯外交通與區外供水設施，相關補助費較高（如淡海輕軌運輸系統、淡江大橋、區外供水設施等）；(3)貸款</w:t>
      </w:r>
      <w:proofErr w:type="gramStart"/>
      <w:r w:rsidRPr="006B7B5A">
        <w:rPr>
          <w:rFonts w:hint="eastAsia"/>
          <w:bCs w:val="0"/>
        </w:rPr>
        <w:t>期間，</w:t>
      </w:r>
      <w:proofErr w:type="gramEnd"/>
      <w:r w:rsidRPr="006B7B5A">
        <w:rPr>
          <w:rFonts w:hint="eastAsia"/>
          <w:bCs w:val="0"/>
        </w:rPr>
        <w:t>利率較高、貸款金額較多，致利息負擔較多等因素，提高平均單位開發成本。</w:t>
      </w:r>
    </w:p>
    <w:p w:rsidR="00993942" w:rsidRPr="00F9091A" w:rsidRDefault="002138BD" w:rsidP="00BE7292">
      <w:pPr>
        <w:pStyle w:val="3"/>
        <w:ind w:left="1360" w:hanging="680"/>
        <w:rPr>
          <w:bCs w:val="0"/>
        </w:rPr>
      </w:pPr>
      <w:proofErr w:type="gramStart"/>
      <w:r w:rsidRPr="00F9091A">
        <w:rPr>
          <w:rFonts w:hint="eastAsia"/>
          <w:bCs w:val="0"/>
        </w:rPr>
        <w:t>依</w:t>
      </w:r>
      <w:r w:rsidR="00BE7292" w:rsidRPr="00F9091A">
        <w:rPr>
          <w:rFonts w:hint="eastAsia"/>
          <w:bCs w:val="0"/>
        </w:rPr>
        <w:t>系爭</w:t>
      </w:r>
      <w:proofErr w:type="gramEnd"/>
      <w:r w:rsidR="00BE7292" w:rsidRPr="00F9091A">
        <w:rPr>
          <w:rFonts w:hint="eastAsia"/>
          <w:bCs w:val="0"/>
        </w:rPr>
        <w:t>計畫書</w:t>
      </w:r>
      <w:r w:rsidR="00BE7292">
        <w:rPr>
          <w:rFonts w:hint="eastAsia"/>
          <w:bCs w:val="0"/>
        </w:rPr>
        <w:t>所載</w:t>
      </w:r>
      <w:r w:rsidRPr="00F9091A">
        <w:rPr>
          <w:rFonts w:hint="eastAsia"/>
          <w:bCs w:val="0"/>
        </w:rPr>
        <w:t>，</w:t>
      </w:r>
      <w:r w:rsidR="00BE7292" w:rsidRPr="00BE7292">
        <w:rPr>
          <w:rFonts w:hint="eastAsia"/>
        </w:rPr>
        <w:t>「桃園航空城附近地區建設計畫」</w:t>
      </w:r>
      <w:r w:rsidR="001D186F" w:rsidRPr="00F9091A">
        <w:rPr>
          <w:rFonts w:hint="eastAsia"/>
          <w:bCs w:val="0"/>
        </w:rPr>
        <w:t>財務可行性評估僅載明：「區段徵收開發費用由桃園縣實施平均地權基金下編列預算，並向銀行聯合借貸後，將剩餘可建築用地處分之收入，償還開發成本，原則可行」</w:t>
      </w:r>
      <w:r w:rsidR="00BC3324">
        <w:rPr>
          <w:rStyle w:val="af3"/>
          <w:bCs w:val="0"/>
        </w:rPr>
        <w:footnoteReference w:id="23"/>
      </w:r>
      <w:proofErr w:type="gramStart"/>
      <w:r w:rsidR="00993942" w:rsidRPr="00F9091A">
        <w:rPr>
          <w:rFonts w:hint="eastAsia"/>
          <w:bCs w:val="0"/>
        </w:rPr>
        <w:t>詢</w:t>
      </w:r>
      <w:proofErr w:type="gramEnd"/>
      <w:r w:rsidR="00993942" w:rsidRPr="00F9091A">
        <w:rPr>
          <w:rFonts w:hint="eastAsia"/>
          <w:bCs w:val="0"/>
        </w:rPr>
        <w:t>據桃園縣政府表示，</w:t>
      </w:r>
      <w:r w:rsidRPr="00F9091A">
        <w:rPr>
          <w:rFonts w:hint="eastAsia"/>
          <w:bCs w:val="0"/>
        </w:rPr>
        <w:t>區段徵收為財務自償之計畫，開發費用由</w:t>
      </w:r>
      <w:proofErr w:type="gramStart"/>
      <w:r w:rsidRPr="00F9091A">
        <w:rPr>
          <w:rFonts w:hint="eastAsia"/>
          <w:bCs w:val="0"/>
        </w:rPr>
        <w:t>民眾配餘之</w:t>
      </w:r>
      <w:proofErr w:type="gramEnd"/>
      <w:r w:rsidRPr="00F9091A">
        <w:rPr>
          <w:rFonts w:hint="eastAsia"/>
          <w:bCs w:val="0"/>
        </w:rPr>
        <w:t>建地處分回收，開發期間所需之經費，除於前置作業階段暫以平均地權基金支應外，餘將全數借貸。</w:t>
      </w:r>
      <w:r w:rsidR="00D7334D" w:rsidRPr="00F9091A">
        <w:rPr>
          <w:rFonts w:hint="eastAsia"/>
          <w:bCs w:val="0"/>
        </w:rPr>
        <w:t>系爭計畫審議通過後，將接續辦理區段徵收相關作業，於區段徵收工程完竣後，分12年處分(第1~12年每年平均處分1/12，至第12年全部處分)。預計於113年開始進行配餘地處分，</w:t>
      </w:r>
      <w:proofErr w:type="gramStart"/>
      <w:r w:rsidR="00D7334D" w:rsidRPr="00F9091A">
        <w:rPr>
          <w:rFonts w:hint="eastAsia"/>
          <w:bCs w:val="0"/>
        </w:rPr>
        <w:t>採</w:t>
      </w:r>
      <w:proofErr w:type="gramEnd"/>
      <w:r w:rsidR="00D7334D" w:rsidRPr="00F9091A">
        <w:rPr>
          <w:rFonts w:hint="eastAsia"/>
          <w:bCs w:val="0"/>
        </w:rPr>
        <w:t>公開標售方式，124年處分完竣。</w:t>
      </w:r>
      <w:r w:rsidR="00BC3324">
        <w:rPr>
          <w:rFonts w:hint="eastAsia"/>
          <w:bCs w:val="0"/>
        </w:rPr>
        <w:t>惟</w:t>
      </w:r>
      <w:r w:rsidR="00BC3324" w:rsidRPr="00BE7292">
        <w:rPr>
          <w:rFonts w:hint="eastAsia"/>
        </w:rPr>
        <w:t>「桃園航空城附近地區建設計畫」</w:t>
      </w:r>
      <w:r w:rsidRPr="00F9091A">
        <w:rPr>
          <w:rFonts w:hint="eastAsia"/>
          <w:bCs w:val="0"/>
        </w:rPr>
        <w:t>開發總費用初估約1,596億元(包括貸款利息)，以年利率3%估算，初步估計利息約為420億元至450億元間。惟該縣</w:t>
      </w:r>
      <w:r w:rsidR="00BC3324" w:rsidRPr="00F9091A">
        <w:rPr>
          <w:rFonts w:hint="eastAsia"/>
          <w:bCs w:val="0"/>
        </w:rPr>
        <w:t>實施平均地權基金</w:t>
      </w:r>
      <w:r w:rsidRPr="00F9091A">
        <w:rPr>
          <w:rFonts w:hint="eastAsia"/>
          <w:bCs w:val="0"/>
        </w:rPr>
        <w:t>（截至103年4月23日）僅4億9,754萬2,276元。</w:t>
      </w:r>
      <w:r w:rsidR="008052E6" w:rsidRPr="00F9091A">
        <w:rPr>
          <w:rFonts w:hint="eastAsia"/>
          <w:bCs w:val="0"/>
        </w:rPr>
        <w:t>且</w:t>
      </w:r>
      <w:r w:rsidRPr="00F9091A">
        <w:rPr>
          <w:rFonts w:hint="eastAsia"/>
          <w:bCs w:val="0"/>
        </w:rPr>
        <w:t>目前正研議進行之區段徵收案件</w:t>
      </w:r>
      <w:r w:rsidR="00AD4031" w:rsidRPr="00F9091A">
        <w:rPr>
          <w:rFonts w:hint="eastAsia"/>
          <w:bCs w:val="0"/>
        </w:rPr>
        <w:t>尚有</w:t>
      </w:r>
      <w:r w:rsidRPr="00F9091A">
        <w:rPr>
          <w:rFonts w:hint="eastAsia"/>
          <w:bCs w:val="0"/>
        </w:rPr>
        <w:t>機場捷運A10站區區段徵收開發案、機場捷運A20站區區段徵收開發案、機場捷運A21站區區段徵收開發案、機場捷運A22站</w:t>
      </w:r>
      <w:r w:rsidRPr="00F9091A">
        <w:rPr>
          <w:rFonts w:hint="eastAsia"/>
          <w:bCs w:val="0"/>
        </w:rPr>
        <w:lastRenderedPageBreak/>
        <w:t>區區段徵收開發案、中壢運動公園區段徵收開發案、南崁文高區段徵收開發案計6案</w:t>
      </w:r>
      <w:r w:rsidR="00AD4031" w:rsidRPr="00F9091A">
        <w:rPr>
          <w:rFonts w:hint="eastAsia"/>
          <w:bCs w:val="0"/>
        </w:rPr>
        <w:t>，開發總費用初估約368億元(包括貸款利息)</w:t>
      </w:r>
      <w:r w:rsidR="00F9091A" w:rsidRPr="00F9091A">
        <w:rPr>
          <w:rFonts w:hint="eastAsia"/>
          <w:bCs w:val="0"/>
        </w:rPr>
        <w:t>，桃園縣政府是否</w:t>
      </w:r>
      <w:r w:rsidR="00F9091A">
        <w:rPr>
          <w:rFonts w:hint="eastAsia"/>
          <w:bCs w:val="0"/>
        </w:rPr>
        <w:t>有</w:t>
      </w:r>
      <w:r w:rsidR="00F9091A" w:rsidRPr="00F9091A">
        <w:rPr>
          <w:rFonts w:hint="eastAsia"/>
          <w:bCs w:val="0"/>
        </w:rPr>
        <w:t>能</w:t>
      </w:r>
      <w:r w:rsidR="00F9091A">
        <w:rPr>
          <w:rFonts w:hint="eastAsia"/>
          <w:bCs w:val="0"/>
        </w:rPr>
        <w:t>力</w:t>
      </w:r>
      <w:r w:rsidR="00F9091A" w:rsidRPr="00F9091A">
        <w:rPr>
          <w:rFonts w:hint="eastAsia"/>
          <w:bCs w:val="0"/>
        </w:rPr>
        <w:t>在未來的十</w:t>
      </w:r>
      <w:r w:rsidR="00F07138">
        <w:rPr>
          <w:rFonts w:hint="eastAsia"/>
          <w:bCs w:val="0"/>
        </w:rPr>
        <w:t>幾</w:t>
      </w:r>
      <w:r w:rsidR="00F9091A" w:rsidRPr="00F9091A">
        <w:rPr>
          <w:rFonts w:hint="eastAsia"/>
          <w:bCs w:val="0"/>
        </w:rPr>
        <w:t>年內負擔如此龐大債務而仍然維持正常運作，</w:t>
      </w:r>
      <w:r w:rsidR="00F9091A">
        <w:rPr>
          <w:rFonts w:hint="eastAsia"/>
          <w:bCs w:val="0"/>
        </w:rPr>
        <w:t>實有</w:t>
      </w:r>
      <w:r w:rsidR="00F9091A" w:rsidRPr="00F9091A">
        <w:rPr>
          <w:rFonts w:hint="eastAsia"/>
          <w:bCs w:val="0"/>
        </w:rPr>
        <w:t>進一步</w:t>
      </w:r>
      <w:r w:rsidR="00F9091A">
        <w:rPr>
          <w:rFonts w:hint="eastAsia"/>
          <w:bCs w:val="0"/>
        </w:rPr>
        <w:t>深入評估之必要</w:t>
      </w:r>
      <w:r w:rsidRPr="00F9091A">
        <w:rPr>
          <w:rFonts w:hint="eastAsia"/>
          <w:bCs w:val="0"/>
        </w:rPr>
        <w:t>。</w:t>
      </w:r>
    </w:p>
    <w:p w:rsidR="00517298" w:rsidRDefault="00DC4A2E" w:rsidP="00BC3324">
      <w:pPr>
        <w:pStyle w:val="3"/>
        <w:ind w:left="1360" w:hanging="680"/>
        <w:rPr>
          <w:bCs w:val="0"/>
        </w:rPr>
      </w:pPr>
      <w:proofErr w:type="gramStart"/>
      <w:r w:rsidRPr="00571250">
        <w:rPr>
          <w:rFonts w:hint="eastAsia"/>
          <w:bCs w:val="0"/>
        </w:rPr>
        <w:t>此外，</w:t>
      </w:r>
      <w:proofErr w:type="gramEnd"/>
      <w:r w:rsidRPr="00571250">
        <w:rPr>
          <w:rFonts w:hint="eastAsia"/>
          <w:bCs w:val="0"/>
        </w:rPr>
        <w:t>該</w:t>
      </w:r>
      <w:r w:rsidR="00993942" w:rsidRPr="00571250">
        <w:rPr>
          <w:rFonts w:hint="eastAsia"/>
          <w:bCs w:val="0"/>
        </w:rPr>
        <w:t>府</w:t>
      </w:r>
      <w:r w:rsidRPr="00571250">
        <w:rPr>
          <w:rFonts w:hint="eastAsia"/>
          <w:bCs w:val="0"/>
        </w:rPr>
        <w:t>表示未來</w:t>
      </w:r>
      <w:r w:rsidR="00BC3324" w:rsidRPr="00BE7292">
        <w:rPr>
          <w:rFonts w:hint="eastAsia"/>
        </w:rPr>
        <w:t>「桃園航空城附近地區建設計畫」</w:t>
      </w:r>
      <w:r w:rsidRPr="00571250">
        <w:rPr>
          <w:rFonts w:hint="eastAsia"/>
          <w:bCs w:val="0"/>
        </w:rPr>
        <w:t>區段徵收</w:t>
      </w:r>
      <w:r w:rsidR="00F9091A" w:rsidRPr="00571250">
        <w:rPr>
          <w:rFonts w:hint="eastAsia"/>
          <w:bCs w:val="0"/>
        </w:rPr>
        <w:t>完成後，</w:t>
      </w:r>
      <w:r w:rsidRPr="00571250">
        <w:rPr>
          <w:rFonts w:hint="eastAsia"/>
          <w:bCs w:val="0"/>
        </w:rPr>
        <w:t>發還民眾之抵價地多為住商用地，剩餘可供建築土地大多為產業專用區</w:t>
      </w:r>
      <w:r w:rsidR="00781E95" w:rsidRPr="00571250">
        <w:rPr>
          <w:rFonts w:hint="eastAsia"/>
          <w:bCs w:val="0"/>
        </w:rPr>
        <w:t>，</w:t>
      </w:r>
      <w:r w:rsidR="00F9091A" w:rsidRPr="00571250">
        <w:rPr>
          <w:rFonts w:hint="eastAsia"/>
          <w:bCs w:val="0"/>
        </w:rPr>
        <w:t>故該府須仰賴出售</w:t>
      </w:r>
      <w:r w:rsidR="004135B3" w:rsidRPr="00571250">
        <w:rPr>
          <w:rFonts w:hint="eastAsia"/>
          <w:bCs w:val="0"/>
        </w:rPr>
        <w:t>（出租或設定地上權）</w:t>
      </w:r>
      <w:r w:rsidR="00F9091A" w:rsidRPr="00571250">
        <w:rPr>
          <w:rFonts w:hint="eastAsia"/>
          <w:bCs w:val="0"/>
        </w:rPr>
        <w:t>產業專用區</w:t>
      </w:r>
      <w:r w:rsidR="004135B3" w:rsidRPr="00571250">
        <w:rPr>
          <w:rFonts w:hint="eastAsia"/>
          <w:bCs w:val="0"/>
        </w:rPr>
        <w:t>之土地以償還上述債務，目前已透過各種管道</w:t>
      </w:r>
      <w:proofErr w:type="gramStart"/>
      <w:r w:rsidR="004135B3" w:rsidRPr="00571250">
        <w:rPr>
          <w:rFonts w:hint="eastAsia"/>
          <w:bCs w:val="0"/>
        </w:rPr>
        <w:t>（</w:t>
      </w:r>
      <w:proofErr w:type="gramEnd"/>
      <w:r w:rsidR="00FA7B2E" w:rsidRPr="00571250">
        <w:rPr>
          <w:rFonts w:hint="eastAsia"/>
          <w:bCs w:val="0"/>
        </w:rPr>
        <w:t>例如：國內外招商活動、專家學者座談會、地方座談會等</w:t>
      </w:r>
      <w:proofErr w:type="gramStart"/>
      <w:r w:rsidR="004135B3" w:rsidRPr="00571250">
        <w:rPr>
          <w:rFonts w:hint="eastAsia"/>
          <w:bCs w:val="0"/>
        </w:rPr>
        <w:t>）</w:t>
      </w:r>
      <w:proofErr w:type="gramEnd"/>
      <w:r w:rsidR="004135B3" w:rsidRPr="00571250">
        <w:rPr>
          <w:rFonts w:hint="eastAsia"/>
          <w:bCs w:val="0"/>
        </w:rPr>
        <w:t>向外界宣傳桃園航空城發展相關訊息，讓各界了解桃園航空城的發展</w:t>
      </w:r>
      <w:r w:rsidR="00BC3324">
        <w:rPr>
          <w:rFonts w:hint="eastAsia"/>
          <w:bCs w:val="0"/>
        </w:rPr>
        <w:t>，</w:t>
      </w:r>
      <w:r w:rsidR="00FA7B2E" w:rsidRPr="00571250">
        <w:rPr>
          <w:rFonts w:hint="eastAsia"/>
          <w:bCs w:val="0"/>
        </w:rPr>
        <w:t>並於</w:t>
      </w:r>
      <w:r w:rsidR="004135B3" w:rsidRPr="00571250">
        <w:rPr>
          <w:rFonts w:hint="eastAsia"/>
          <w:bCs w:val="0"/>
        </w:rPr>
        <w:t>102年赴法國及港澳招商，舉辦招商說明會</w:t>
      </w:r>
      <w:r w:rsidR="00FA7B2E" w:rsidRPr="00571250">
        <w:rPr>
          <w:rFonts w:hint="eastAsia"/>
          <w:bCs w:val="0"/>
        </w:rPr>
        <w:t>、</w:t>
      </w:r>
      <w:r w:rsidR="004135B3" w:rsidRPr="00571250">
        <w:rPr>
          <w:rFonts w:hint="eastAsia"/>
          <w:bCs w:val="0"/>
        </w:rPr>
        <w:t>103年赴日本東京舉辦招商說明會</w:t>
      </w:r>
      <w:r w:rsidR="00FA7B2E" w:rsidRPr="00571250">
        <w:rPr>
          <w:rFonts w:hint="eastAsia"/>
          <w:bCs w:val="0"/>
        </w:rPr>
        <w:t>，</w:t>
      </w:r>
      <w:r w:rsidR="004135B3" w:rsidRPr="00571250">
        <w:rPr>
          <w:rFonts w:hint="eastAsia"/>
          <w:bCs w:val="0"/>
        </w:rPr>
        <w:t>另由中華電信及桃園縣航空城公司成立之智慧航空城聯盟，協助桃園航空城之落實，並透過本聯盟之交流平台，帶動航空城產業聚落發展。</w:t>
      </w:r>
      <w:proofErr w:type="gramStart"/>
      <w:r w:rsidR="00922BE1" w:rsidRPr="00571250">
        <w:rPr>
          <w:rFonts w:hint="eastAsia"/>
          <w:bCs w:val="0"/>
        </w:rPr>
        <w:t>惟</w:t>
      </w:r>
      <w:r w:rsidR="00FE2468" w:rsidRPr="00571250">
        <w:rPr>
          <w:rFonts w:hint="eastAsia"/>
          <w:bCs w:val="0"/>
        </w:rPr>
        <w:t>依系爭</w:t>
      </w:r>
      <w:proofErr w:type="gramEnd"/>
      <w:r w:rsidR="00FE2468" w:rsidRPr="00571250">
        <w:rPr>
          <w:rFonts w:hint="eastAsia"/>
          <w:bCs w:val="0"/>
        </w:rPr>
        <w:t>計畫之規劃</w:t>
      </w:r>
      <w:r w:rsidR="00FE2468">
        <w:rPr>
          <w:rFonts w:hint="eastAsia"/>
          <w:bCs w:val="0"/>
        </w:rPr>
        <w:t>，</w:t>
      </w:r>
      <w:r w:rsidR="00162102" w:rsidRPr="00571250">
        <w:rPr>
          <w:rFonts w:hint="eastAsia"/>
          <w:bCs w:val="0"/>
        </w:rPr>
        <w:t>吸引</w:t>
      </w:r>
      <w:r w:rsidR="00B2566B" w:rsidRPr="00571250">
        <w:rPr>
          <w:rFonts w:hint="eastAsia"/>
          <w:bCs w:val="0"/>
        </w:rPr>
        <w:t>周邊群聚發展與</w:t>
      </w:r>
      <w:r w:rsidR="00162102" w:rsidRPr="00571250">
        <w:rPr>
          <w:rFonts w:hint="eastAsia"/>
          <w:bCs w:val="0"/>
        </w:rPr>
        <w:t>相關產業進</w:t>
      </w:r>
      <w:r w:rsidR="00B2566B" w:rsidRPr="00571250">
        <w:rPr>
          <w:rFonts w:hint="eastAsia"/>
          <w:bCs w:val="0"/>
        </w:rPr>
        <w:t>駐</w:t>
      </w:r>
      <w:r w:rsidR="00922BE1" w:rsidRPr="00571250">
        <w:rPr>
          <w:rFonts w:hint="eastAsia"/>
          <w:bCs w:val="0"/>
        </w:rPr>
        <w:t>產業專用區</w:t>
      </w:r>
      <w:r w:rsidR="00162102" w:rsidRPr="00571250">
        <w:rPr>
          <w:rFonts w:hint="eastAsia"/>
          <w:bCs w:val="0"/>
        </w:rPr>
        <w:t>之誘因</w:t>
      </w:r>
      <w:r w:rsidR="00922BE1" w:rsidRPr="00571250">
        <w:rPr>
          <w:rFonts w:hint="eastAsia"/>
          <w:bCs w:val="0"/>
        </w:rPr>
        <w:t>，除本身</w:t>
      </w:r>
      <w:r w:rsidR="00FA7B2E" w:rsidRPr="00571250">
        <w:rPr>
          <w:rFonts w:hint="eastAsia"/>
          <w:bCs w:val="0"/>
        </w:rPr>
        <w:t>需</w:t>
      </w:r>
      <w:r w:rsidR="00922BE1" w:rsidRPr="00571250">
        <w:rPr>
          <w:rFonts w:hint="eastAsia"/>
          <w:bCs w:val="0"/>
        </w:rPr>
        <w:t>先興建完善之基礎設施外，尚需</w:t>
      </w:r>
      <w:r w:rsidR="00080443" w:rsidRPr="00571250">
        <w:rPr>
          <w:rFonts w:hint="eastAsia"/>
          <w:bCs w:val="0"/>
        </w:rPr>
        <w:t>仰</w:t>
      </w:r>
      <w:r w:rsidR="00922BE1" w:rsidRPr="00571250">
        <w:rPr>
          <w:rFonts w:hint="eastAsia"/>
          <w:bCs w:val="0"/>
        </w:rPr>
        <w:t>賴</w:t>
      </w:r>
      <w:r w:rsidR="00080443" w:rsidRPr="00571250">
        <w:rPr>
          <w:rFonts w:hint="eastAsia"/>
          <w:bCs w:val="0"/>
        </w:rPr>
        <w:t>整體商業條件之成熟，</w:t>
      </w:r>
      <w:r w:rsidR="00B2566B" w:rsidRPr="00571250">
        <w:rPr>
          <w:rFonts w:hint="eastAsia"/>
          <w:bCs w:val="0"/>
        </w:rPr>
        <w:t>最主要來自於桃</w:t>
      </w:r>
      <w:r w:rsidR="00922BE1" w:rsidRPr="00571250">
        <w:rPr>
          <w:rFonts w:hint="eastAsia"/>
          <w:bCs w:val="0"/>
        </w:rPr>
        <w:t>園國際機場所創造客貨運輸與運籌服務的便捷性與國際連結性</w:t>
      </w:r>
      <w:r w:rsidR="00B2566B" w:rsidRPr="00571250">
        <w:rPr>
          <w:rFonts w:hint="eastAsia"/>
          <w:bCs w:val="0"/>
        </w:rPr>
        <w:t>，</w:t>
      </w:r>
      <w:proofErr w:type="gramStart"/>
      <w:r w:rsidR="00B2566B" w:rsidRPr="00571250">
        <w:rPr>
          <w:rFonts w:hint="eastAsia"/>
          <w:bCs w:val="0"/>
        </w:rPr>
        <w:t>該項</w:t>
      </w:r>
      <w:r w:rsidR="00922BE1" w:rsidRPr="00571250">
        <w:rPr>
          <w:rFonts w:hint="eastAsia"/>
          <w:bCs w:val="0"/>
        </w:rPr>
        <w:t>外溢</w:t>
      </w:r>
      <w:proofErr w:type="gramEnd"/>
      <w:r w:rsidR="00922BE1" w:rsidRPr="00571250">
        <w:rPr>
          <w:rFonts w:hint="eastAsia"/>
          <w:bCs w:val="0"/>
        </w:rPr>
        <w:t>效益</w:t>
      </w:r>
      <w:r w:rsidR="00B2566B" w:rsidRPr="00571250">
        <w:rPr>
          <w:rFonts w:hint="eastAsia"/>
          <w:bCs w:val="0"/>
        </w:rPr>
        <w:t>必須</w:t>
      </w:r>
      <w:r w:rsidR="00B2566B" w:rsidRPr="00E84C08">
        <w:rPr>
          <w:rFonts w:hint="eastAsia"/>
          <w:bCs w:val="0"/>
        </w:rPr>
        <w:t>在</w:t>
      </w:r>
      <w:r w:rsidR="00E84C08" w:rsidRPr="00E84C08">
        <w:rPr>
          <w:rFonts w:hAnsi="標楷體" w:hint="eastAsia"/>
        </w:rPr>
        <w:t>「桃園航空城機場園區建設計畫」</w:t>
      </w:r>
      <w:r w:rsidR="00B2566B" w:rsidRPr="00571250">
        <w:rPr>
          <w:rFonts w:hint="eastAsia"/>
          <w:bCs w:val="0"/>
        </w:rPr>
        <w:t>各重大建設陸續完成後</w:t>
      </w:r>
      <w:r w:rsidR="00FE2468">
        <w:rPr>
          <w:rFonts w:hint="eastAsia"/>
          <w:bCs w:val="0"/>
        </w:rPr>
        <w:t>，</w:t>
      </w:r>
      <w:r w:rsidR="007A19B9" w:rsidRPr="00571250">
        <w:rPr>
          <w:rFonts w:hint="eastAsia"/>
          <w:bCs w:val="0"/>
        </w:rPr>
        <w:t>或是完成後營運一段時間</w:t>
      </w:r>
      <w:r w:rsidR="00FE2468">
        <w:rPr>
          <w:rFonts w:hint="eastAsia"/>
          <w:bCs w:val="0"/>
        </w:rPr>
        <w:t>始</w:t>
      </w:r>
      <w:r w:rsidR="007A19B9" w:rsidRPr="00571250">
        <w:rPr>
          <w:rFonts w:hint="eastAsia"/>
          <w:bCs w:val="0"/>
        </w:rPr>
        <w:t>能</w:t>
      </w:r>
      <w:r w:rsidR="00FE2468">
        <w:rPr>
          <w:rFonts w:hint="eastAsia"/>
          <w:bCs w:val="0"/>
        </w:rPr>
        <w:t>逐</w:t>
      </w:r>
      <w:r w:rsidR="00121AB7" w:rsidRPr="00571250">
        <w:rPr>
          <w:rFonts w:hint="eastAsia"/>
          <w:bCs w:val="0"/>
        </w:rPr>
        <w:t>漸產生</w:t>
      </w:r>
      <w:r w:rsidR="00922BE1" w:rsidRPr="00571250">
        <w:rPr>
          <w:rFonts w:hint="eastAsia"/>
          <w:bCs w:val="0"/>
        </w:rPr>
        <w:t>，</w:t>
      </w:r>
      <w:r w:rsidR="00121AB7" w:rsidRPr="00571250">
        <w:rPr>
          <w:rFonts w:hint="eastAsia"/>
          <w:bCs w:val="0"/>
        </w:rPr>
        <w:t>尤</w:t>
      </w:r>
      <w:r w:rsidR="00FE2468">
        <w:rPr>
          <w:rFonts w:hint="eastAsia"/>
          <w:bCs w:val="0"/>
        </w:rPr>
        <w:t>以</w:t>
      </w:r>
      <w:r w:rsidR="00121AB7" w:rsidRPr="00571250">
        <w:rPr>
          <w:rFonts w:hint="eastAsia"/>
          <w:bCs w:val="0"/>
        </w:rPr>
        <w:t>第三跑道 (2022~30年)與自由貿易港區（2013~25年）所增加之</w:t>
      </w:r>
      <w:r w:rsidR="00FE1594">
        <w:rPr>
          <w:rFonts w:hint="eastAsia"/>
          <w:bCs w:val="0"/>
        </w:rPr>
        <w:t>整體</w:t>
      </w:r>
      <w:r w:rsidR="00121AB7" w:rsidRPr="00571250">
        <w:rPr>
          <w:rFonts w:hint="eastAsia"/>
          <w:bCs w:val="0"/>
        </w:rPr>
        <w:t>效益</w:t>
      </w:r>
      <w:r w:rsidR="00922BE1" w:rsidRPr="00571250">
        <w:rPr>
          <w:rFonts w:hint="eastAsia"/>
          <w:bCs w:val="0"/>
        </w:rPr>
        <w:t>，故</w:t>
      </w:r>
      <w:r w:rsidR="00FE2468" w:rsidRPr="00BE7292">
        <w:rPr>
          <w:rFonts w:hint="eastAsia"/>
        </w:rPr>
        <w:t>「桃園航空城附近地區建設計畫」</w:t>
      </w:r>
      <w:r w:rsidR="00922BE1" w:rsidRPr="00571250">
        <w:rPr>
          <w:rFonts w:hint="eastAsia"/>
          <w:bCs w:val="0"/>
        </w:rPr>
        <w:t>產業</w:t>
      </w:r>
      <w:r w:rsidR="007A19B9" w:rsidRPr="00571250">
        <w:rPr>
          <w:rFonts w:hint="eastAsia"/>
          <w:bCs w:val="0"/>
        </w:rPr>
        <w:t>專用區之發展與機場</w:t>
      </w:r>
      <w:r w:rsidR="00E84C08">
        <w:rPr>
          <w:rFonts w:hint="eastAsia"/>
          <w:bCs w:val="0"/>
        </w:rPr>
        <w:t>園區</w:t>
      </w:r>
      <w:r w:rsidR="007A19B9" w:rsidRPr="00571250">
        <w:rPr>
          <w:rFonts w:hint="eastAsia"/>
          <w:bCs w:val="0"/>
        </w:rPr>
        <w:t>建設密不可分</w:t>
      </w:r>
      <w:r w:rsidR="00922BE1" w:rsidRPr="00571250">
        <w:rPr>
          <w:rFonts w:hint="eastAsia"/>
          <w:bCs w:val="0"/>
        </w:rPr>
        <w:t>，</w:t>
      </w:r>
      <w:r w:rsidR="007A19B9" w:rsidRPr="00571250">
        <w:rPr>
          <w:rFonts w:hint="eastAsia"/>
          <w:bCs w:val="0"/>
        </w:rPr>
        <w:t>必須配合</w:t>
      </w:r>
      <w:r w:rsidR="00E84C08">
        <w:rPr>
          <w:rFonts w:hint="eastAsia"/>
          <w:bCs w:val="0"/>
        </w:rPr>
        <w:t>其</w:t>
      </w:r>
      <w:r w:rsidR="00146C9F" w:rsidRPr="00571250">
        <w:rPr>
          <w:rFonts w:hint="eastAsia"/>
          <w:bCs w:val="0"/>
        </w:rPr>
        <w:t>期程進行</w:t>
      </w:r>
      <w:r w:rsidR="00331D20" w:rsidRPr="00571250">
        <w:rPr>
          <w:rFonts w:hint="eastAsia"/>
          <w:bCs w:val="0"/>
        </w:rPr>
        <w:t>，</w:t>
      </w:r>
      <w:r w:rsidR="00331D20" w:rsidRPr="0094602B">
        <w:rPr>
          <w:rFonts w:hint="eastAsia"/>
          <w:bCs w:val="0"/>
        </w:rPr>
        <w:t>如開發時程延宕</w:t>
      </w:r>
      <w:r w:rsidR="00F33369">
        <w:rPr>
          <w:rFonts w:hint="eastAsia"/>
          <w:bCs w:val="0"/>
        </w:rPr>
        <w:t>或開發後外溢效益未顯著</w:t>
      </w:r>
      <w:r w:rsidR="00A06B8C">
        <w:rPr>
          <w:rFonts w:hint="eastAsia"/>
          <w:bCs w:val="0"/>
        </w:rPr>
        <w:t>時</w:t>
      </w:r>
      <w:r w:rsidR="00331D20" w:rsidRPr="00A4732E">
        <w:rPr>
          <w:rFonts w:hint="eastAsia"/>
          <w:bCs w:val="0"/>
        </w:rPr>
        <w:t>，</w:t>
      </w:r>
      <w:r w:rsidR="00331D20">
        <w:rPr>
          <w:rFonts w:hint="eastAsia"/>
          <w:bCs w:val="0"/>
        </w:rPr>
        <w:t>亦將影響產業</w:t>
      </w:r>
      <w:proofErr w:type="gramStart"/>
      <w:r w:rsidR="00331D20">
        <w:rPr>
          <w:rFonts w:hint="eastAsia"/>
          <w:bCs w:val="0"/>
        </w:rPr>
        <w:t>專用區</w:t>
      </w:r>
      <w:r w:rsidR="00A06B8C">
        <w:rPr>
          <w:rFonts w:hint="eastAsia"/>
          <w:bCs w:val="0"/>
        </w:rPr>
        <w:t>其附近</w:t>
      </w:r>
      <w:proofErr w:type="gramEnd"/>
      <w:r w:rsidR="00A06B8C">
        <w:rPr>
          <w:rFonts w:hint="eastAsia"/>
          <w:bCs w:val="0"/>
        </w:rPr>
        <w:t>地區整體</w:t>
      </w:r>
      <w:r w:rsidR="00331D20">
        <w:rPr>
          <w:rFonts w:hint="eastAsia"/>
          <w:bCs w:val="0"/>
        </w:rPr>
        <w:t>發</w:t>
      </w:r>
      <w:r w:rsidR="00A06B8C">
        <w:rPr>
          <w:rFonts w:hint="eastAsia"/>
          <w:bCs w:val="0"/>
        </w:rPr>
        <w:t>展</w:t>
      </w:r>
      <w:r w:rsidR="0028301D">
        <w:rPr>
          <w:rFonts w:hint="eastAsia"/>
          <w:bCs w:val="0"/>
        </w:rPr>
        <w:t>之時程與規模</w:t>
      </w:r>
      <w:r w:rsidR="00A06B8C">
        <w:rPr>
          <w:rFonts w:hint="eastAsia"/>
          <w:bCs w:val="0"/>
        </w:rPr>
        <w:t>。</w:t>
      </w:r>
    </w:p>
    <w:p w:rsidR="00790F26" w:rsidRPr="00C83077" w:rsidRDefault="00400AEE" w:rsidP="00E84C08">
      <w:pPr>
        <w:pStyle w:val="3"/>
        <w:ind w:left="1360" w:hanging="680"/>
      </w:pPr>
      <w:r w:rsidRPr="00400AEE">
        <w:rPr>
          <w:rFonts w:hint="eastAsia"/>
          <w:bCs w:val="0"/>
        </w:rPr>
        <w:lastRenderedPageBreak/>
        <w:t>綜上，</w:t>
      </w:r>
      <w:r w:rsidR="00760002" w:rsidRPr="00400AEE">
        <w:rPr>
          <w:rFonts w:hint="eastAsia"/>
          <w:bCs w:val="0"/>
        </w:rPr>
        <w:t>「桃園航空城附近地區建設計畫」開發總費用高達</w:t>
      </w:r>
      <w:r w:rsidR="00760002" w:rsidRPr="00400AEE">
        <w:rPr>
          <w:bCs w:val="0"/>
        </w:rPr>
        <w:t>1,596</w:t>
      </w:r>
      <w:r w:rsidR="00760002" w:rsidRPr="00400AEE">
        <w:rPr>
          <w:rFonts w:hint="eastAsia"/>
          <w:bCs w:val="0"/>
        </w:rPr>
        <w:t>億元</w:t>
      </w:r>
      <w:r w:rsidR="00760002">
        <w:rPr>
          <w:rFonts w:hint="eastAsia"/>
          <w:bCs w:val="0"/>
        </w:rPr>
        <w:t>，</w:t>
      </w:r>
      <w:r w:rsidR="00760002" w:rsidRPr="00400AEE">
        <w:rPr>
          <w:rFonts w:hint="eastAsia"/>
          <w:bCs w:val="0"/>
        </w:rPr>
        <w:t>而</w:t>
      </w:r>
      <w:r w:rsidRPr="00400AEE">
        <w:rPr>
          <w:rFonts w:hint="eastAsia"/>
          <w:bCs w:val="0"/>
        </w:rPr>
        <w:t>桃園縣目前尚有</w:t>
      </w:r>
      <w:r w:rsidRPr="00400AEE">
        <w:rPr>
          <w:bCs w:val="0"/>
        </w:rPr>
        <w:t>6</w:t>
      </w:r>
      <w:r w:rsidRPr="00400AEE">
        <w:rPr>
          <w:rFonts w:hint="eastAsia"/>
          <w:bCs w:val="0"/>
        </w:rPr>
        <w:t>個區段徵收開發</w:t>
      </w:r>
      <w:r w:rsidR="00760002">
        <w:rPr>
          <w:rFonts w:hint="eastAsia"/>
          <w:bCs w:val="0"/>
        </w:rPr>
        <w:t>案</w:t>
      </w:r>
      <w:r w:rsidRPr="00400AEE">
        <w:rPr>
          <w:rFonts w:hint="eastAsia"/>
          <w:bCs w:val="0"/>
        </w:rPr>
        <w:t>進行，開發總費用約</w:t>
      </w:r>
      <w:r w:rsidRPr="00400AEE">
        <w:rPr>
          <w:bCs w:val="0"/>
        </w:rPr>
        <w:t>368</w:t>
      </w:r>
      <w:r w:rsidRPr="00400AEE">
        <w:rPr>
          <w:rFonts w:hint="eastAsia"/>
          <w:bCs w:val="0"/>
        </w:rPr>
        <w:t>億元，其財務可行性實有深入評估之必要；</w:t>
      </w:r>
      <w:r>
        <w:rPr>
          <w:rFonts w:hint="eastAsia"/>
          <w:bCs w:val="0"/>
        </w:rPr>
        <w:t>該計畫</w:t>
      </w:r>
      <w:r w:rsidRPr="00400AEE">
        <w:rPr>
          <w:rFonts w:hint="eastAsia"/>
          <w:bCs w:val="0"/>
        </w:rPr>
        <w:t>之發展與機場建設密不可分，必須配合</w:t>
      </w:r>
      <w:r>
        <w:rPr>
          <w:rFonts w:hint="eastAsia"/>
          <w:bCs w:val="0"/>
        </w:rPr>
        <w:t>其</w:t>
      </w:r>
      <w:r w:rsidRPr="00400AEE">
        <w:rPr>
          <w:rFonts w:hint="eastAsia"/>
          <w:bCs w:val="0"/>
        </w:rPr>
        <w:t>期程進行，</w:t>
      </w:r>
      <w:r w:rsidR="00496516" w:rsidRPr="00496516">
        <w:rPr>
          <w:rFonts w:hint="eastAsia"/>
          <w:bCs w:val="0"/>
        </w:rPr>
        <w:t>如遇開發延宕或外溢效果未顯著時，勢將影響整體發展之時程與規模，該計畫</w:t>
      </w:r>
      <w:r w:rsidR="00A54B14">
        <w:rPr>
          <w:rFonts w:hint="eastAsia"/>
          <w:bCs w:val="0"/>
        </w:rPr>
        <w:t>之</w:t>
      </w:r>
      <w:r w:rsidR="00496516" w:rsidRPr="00496516">
        <w:rPr>
          <w:rFonts w:hint="eastAsia"/>
          <w:bCs w:val="0"/>
        </w:rPr>
        <w:t>開發，</w:t>
      </w:r>
      <w:r w:rsidR="001B4327" w:rsidRPr="001B4327">
        <w:rPr>
          <w:rFonts w:hint="eastAsia"/>
          <w:bCs w:val="0"/>
        </w:rPr>
        <w:t>允宜</w:t>
      </w:r>
      <w:r w:rsidR="00A54B14">
        <w:rPr>
          <w:rFonts w:hint="eastAsia"/>
          <w:bCs w:val="0"/>
        </w:rPr>
        <w:t>考量</w:t>
      </w:r>
      <w:proofErr w:type="gramStart"/>
      <w:r w:rsidR="00A54B14" w:rsidRPr="00496516">
        <w:rPr>
          <w:rFonts w:hint="eastAsia"/>
          <w:bCs w:val="0"/>
        </w:rPr>
        <w:t>採</w:t>
      </w:r>
      <w:proofErr w:type="gramEnd"/>
      <w:r w:rsidR="00A54B14" w:rsidRPr="00496516">
        <w:rPr>
          <w:rFonts w:hint="eastAsia"/>
          <w:bCs w:val="0"/>
        </w:rPr>
        <w:t>分期分區方式</w:t>
      </w:r>
      <w:r w:rsidR="00A54B14">
        <w:rPr>
          <w:rFonts w:hint="eastAsia"/>
          <w:bCs w:val="0"/>
        </w:rPr>
        <w:t>進行</w:t>
      </w:r>
      <w:r w:rsidR="001B4327" w:rsidRPr="001B4327">
        <w:rPr>
          <w:rFonts w:hint="eastAsia"/>
          <w:bCs w:val="0"/>
        </w:rPr>
        <w:t>。</w:t>
      </w:r>
    </w:p>
    <w:p w:rsidR="00496516" w:rsidRDefault="001137B5" w:rsidP="00C83077">
      <w:pPr>
        <w:pStyle w:val="2"/>
        <w:ind w:left="1020" w:hanging="680"/>
      </w:pPr>
      <w:r w:rsidRPr="001137B5">
        <w:rPr>
          <w:rFonts w:hint="eastAsia"/>
          <w:b/>
        </w:rPr>
        <w:t>系爭計畫</w:t>
      </w:r>
      <w:r w:rsidR="007311B9">
        <w:rPr>
          <w:rFonts w:hint="eastAsia"/>
          <w:b/>
        </w:rPr>
        <w:t>相關機關</w:t>
      </w:r>
      <w:proofErr w:type="gramStart"/>
      <w:r w:rsidRPr="001137B5">
        <w:rPr>
          <w:rFonts w:hint="eastAsia"/>
          <w:b/>
        </w:rPr>
        <w:t>允</w:t>
      </w:r>
      <w:proofErr w:type="gramEnd"/>
      <w:r w:rsidRPr="001137B5">
        <w:rPr>
          <w:rFonts w:hint="eastAsia"/>
          <w:b/>
        </w:rPr>
        <w:t>宜於</w:t>
      </w:r>
      <w:r w:rsidR="00C5733E">
        <w:rPr>
          <w:rFonts w:hint="eastAsia"/>
          <w:b/>
        </w:rPr>
        <w:t>計畫</w:t>
      </w:r>
      <w:r w:rsidRPr="001137B5">
        <w:rPr>
          <w:rFonts w:hint="eastAsia"/>
          <w:b/>
        </w:rPr>
        <w:t>推動過程中，不斷主動與民眾溝通協調，瞭解潛在問題，及時</w:t>
      </w:r>
      <w:proofErr w:type="gramStart"/>
      <w:r w:rsidRPr="001137B5">
        <w:rPr>
          <w:rFonts w:hint="eastAsia"/>
          <w:b/>
        </w:rPr>
        <w:t>研</w:t>
      </w:r>
      <w:proofErr w:type="gramEnd"/>
      <w:r w:rsidRPr="001137B5">
        <w:rPr>
          <w:rFonts w:hint="eastAsia"/>
          <w:b/>
        </w:rPr>
        <w:t>謀有效對策及配套措施，以減少各界抗爭情事</w:t>
      </w:r>
      <w:r w:rsidRPr="00387EED">
        <w:rPr>
          <w:rFonts w:hint="eastAsia"/>
          <w:b/>
        </w:rPr>
        <w:t>；</w:t>
      </w:r>
      <w:r w:rsidR="00387EED" w:rsidRPr="00387EED">
        <w:rPr>
          <w:rFonts w:hint="eastAsia"/>
          <w:b/>
        </w:rPr>
        <w:t>同時，有鑒於最近一些開發</w:t>
      </w:r>
      <w:r w:rsidR="00731954">
        <w:rPr>
          <w:rFonts w:hint="eastAsia"/>
          <w:b/>
        </w:rPr>
        <w:t>弊</w:t>
      </w:r>
      <w:r w:rsidR="00387EED" w:rsidRPr="00387EED">
        <w:rPr>
          <w:rFonts w:hint="eastAsia"/>
          <w:b/>
        </w:rPr>
        <w:t>案的揭露與教訓，</w:t>
      </w:r>
      <w:r w:rsidRPr="001137B5">
        <w:rPr>
          <w:rFonts w:hint="eastAsia"/>
          <w:b/>
        </w:rPr>
        <w:t>政府相關部門允應思考，</w:t>
      </w:r>
      <w:r>
        <w:rPr>
          <w:rFonts w:hint="eastAsia"/>
          <w:b/>
        </w:rPr>
        <w:t>藉</w:t>
      </w:r>
      <w:r w:rsidRPr="001137B5">
        <w:rPr>
          <w:rFonts w:hint="eastAsia"/>
          <w:b/>
        </w:rPr>
        <w:t>由系爭開發案之開發過程，建立一套完整而嚴密</w:t>
      </w:r>
      <w:proofErr w:type="gramStart"/>
      <w:r w:rsidRPr="001137B5">
        <w:rPr>
          <w:rFonts w:hint="eastAsia"/>
          <w:b/>
        </w:rPr>
        <w:t>之內控</w:t>
      </w:r>
      <w:proofErr w:type="gramEnd"/>
      <w:r w:rsidRPr="001137B5">
        <w:rPr>
          <w:rFonts w:hint="eastAsia"/>
          <w:b/>
        </w:rPr>
        <w:t>機制，或於招標案中導入防弊措施，以避免任何弊端發生。</w:t>
      </w:r>
    </w:p>
    <w:p w:rsidR="00C83077" w:rsidRDefault="00C83077" w:rsidP="00496516">
      <w:pPr>
        <w:pStyle w:val="3"/>
        <w:ind w:left="1360" w:hanging="680"/>
      </w:pPr>
      <w:r w:rsidRPr="004B2115">
        <w:rPr>
          <w:rFonts w:hint="eastAsia"/>
        </w:rPr>
        <w:t>近年來重大開發計畫</w:t>
      </w:r>
      <w:r w:rsidR="00496516">
        <w:rPr>
          <w:rFonts w:hint="eastAsia"/>
        </w:rPr>
        <w:t>政府</w:t>
      </w:r>
      <w:r w:rsidRPr="004B2115">
        <w:rPr>
          <w:rFonts w:hint="eastAsia"/>
        </w:rPr>
        <w:t>辦理區段徵收作業，屢因缺乏良善溝通並妥善處理民眾權益而引發抗爭等情事，</w:t>
      </w:r>
      <w:r w:rsidR="00496516">
        <w:rPr>
          <w:rFonts w:hint="eastAsia"/>
        </w:rPr>
        <w:t>系爭</w:t>
      </w:r>
      <w:r w:rsidRPr="004B2115">
        <w:rPr>
          <w:rFonts w:hint="eastAsia"/>
        </w:rPr>
        <w:t>計畫須辦理區段徵收之土地達3,1</w:t>
      </w:r>
      <w:r w:rsidR="00496516">
        <w:rPr>
          <w:rFonts w:hint="eastAsia"/>
        </w:rPr>
        <w:t>2</w:t>
      </w:r>
      <w:r w:rsidRPr="004B2115">
        <w:rPr>
          <w:rFonts w:hint="eastAsia"/>
        </w:rPr>
        <w:t>6公頃，須</w:t>
      </w:r>
      <w:proofErr w:type="gramStart"/>
      <w:r w:rsidRPr="004B2115">
        <w:rPr>
          <w:rFonts w:hint="eastAsia"/>
        </w:rPr>
        <w:t>拆遷之戶數</w:t>
      </w:r>
      <w:proofErr w:type="gramEnd"/>
      <w:r w:rsidRPr="004B2115">
        <w:rPr>
          <w:rFonts w:hint="eastAsia"/>
        </w:rPr>
        <w:t>計1萬</w:t>
      </w:r>
      <w:r w:rsidR="0074208C">
        <w:rPr>
          <w:rFonts w:hint="eastAsia"/>
        </w:rPr>
        <w:t>1</w:t>
      </w:r>
      <w:r w:rsidRPr="004B2115">
        <w:rPr>
          <w:rFonts w:hint="eastAsia"/>
        </w:rPr>
        <w:t>千餘戶，受影響之民眾達</w:t>
      </w:r>
      <w:r w:rsidR="0074208C">
        <w:rPr>
          <w:rFonts w:hint="eastAsia"/>
        </w:rPr>
        <w:t>3</w:t>
      </w:r>
      <w:r w:rsidRPr="004B2115">
        <w:rPr>
          <w:rFonts w:hint="eastAsia"/>
        </w:rPr>
        <w:t>萬</w:t>
      </w:r>
      <w:r w:rsidR="0074208C">
        <w:rPr>
          <w:rFonts w:hint="eastAsia"/>
        </w:rPr>
        <w:t>5</w:t>
      </w:r>
      <w:r w:rsidRPr="004B2115">
        <w:rPr>
          <w:rFonts w:hint="eastAsia"/>
        </w:rPr>
        <w:t>千餘人</w:t>
      </w:r>
      <w:r w:rsidR="0074208C">
        <w:rPr>
          <w:rStyle w:val="af3"/>
        </w:rPr>
        <w:footnoteReference w:id="24"/>
      </w:r>
      <w:r w:rsidRPr="004B2115">
        <w:rPr>
          <w:rFonts w:hint="eastAsia"/>
        </w:rPr>
        <w:t>，其所牽涉之民眾權益、文化資產保存及環保訴求等議題，更甚於以往之開發案，若未能及早妥謀因應，恐將延誤用地之取得，而延宕計畫建設期程，行政院</w:t>
      </w:r>
      <w:r w:rsidR="00E47288">
        <w:rPr>
          <w:rFonts w:hint="eastAsia"/>
        </w:rPr>
        <w:t>於</w:t>
      </w:r>
      <w:proofErr w:type="gramStart"/>
      <w:r w:rsidR="00E47288" w:rsidRPr="00E47288">
        <w:rPr>
          <w:rFonts w:hint="eastAsia"/>
        </w:rPr>
        <w:t>101年9月</w:t>
      </w:r>
      <w:r w:rsidR="00E47288">
        <w:rPr>
          <w:rFonts w:hint="eastAsia"/>
        </w:rPr>
        <w:t>間業依</w:t>
      </w:r>
      <w:proofErr w:type="gramEnd"/>
      <w:r w:rsidR="00E47288" w:rsidRPr="00E47288">
        <w:rPr>
          <w:rFonts w:hint="eastAsia"/>
        </w:rPr>
        <w:t>院長</w:t>
      </w:r>
      <w:proofErr w:type="gramStart"/>
      <w:r w:rsidR="00E47288" w:rsidRPr="00E47288">
        <w:rPr>
          <w:rFonts w:hint="eastAsia"/>
        </w:rPr>
        <w:t>裁示成立院</w:t>
      </w:r>
      <w:proofErr w:type="gramEnd"/>
      <w:r w:rsidR="00E47288" w:rsidRPr="00E47288">
        <w:rPr>
          <w:rFonts w:hint="eastAsia"/>
        </w:rPr>
        <w:t>級的跨部會專案小組</w:t>
      </w:r>
      <w:r w:rsidR="00E47288">
        <w:rPr>
          <w:rFonts w:hint="eastAsia"/>
        </w:rPr>
        <w:t>，</w:t>
      </w:r>
      <w:r w:rsidRPr="004B2115">
        <w:rPr>
          <w:rFonts w:hint="eastAsia"/>
        </w:rPr>
        <w:t>允宜於</w:t>
      </w:r>
      <w:r w:rsidR="00E47288">
        <w:rPr>
          <w:rFonts w:hint="eastAsia"/>
        </w:rPr>
        <w:t>推動</w:t>
      </w:r>
      <w:r w:rsidRPr="004B2115">
        <w:rPr>
          <w:rFonts w:hint="eastAsia"/>
        </w:rPr>
        <w:t>過程中，</w:t>
      </w:r>
      <w:r w:rsidR="00B83D2A">
        <w:rPr>
          <w:rFonts w:hint="eastAsia"/>
        </w:rPr>
        <w:t>不斷</w:t>
      </w:r>
      <w:r w:rsidRPr="004B2115">
        <w:rPr>
          <w:rFonts w:hint="eastAsia"/>
        </w:rPr>
        <w:t>主動與民眾溝通協調，瞭解潛在問題，及時</w:t>
      </w:r>
      <w:proofErr w:type="gramStart"/>
      <w:r w:rsidRPr="004B2115">
        <w:rPr>
          <w:rFonts w:hint="eastAsia"/>
        </w:rPr>
        <w:t>研</w:t>
      </w:r>
      <w:proofErr w:type="gramEnd"/>
      <w:r w:rsidRPr="004B2115">
        <w:rPr>
          <w:rFonts w:hint="eastAsia"/>
        </w:rPr>
        <w:t>謀有效對策及配套措施，以減少各界抗爭情事。</w:t>
      </w:r>
    </w:p>
    <w:p w:rsidR="00B83D2A" w:rsidRPr="00FA7B2E" w:rsidRDefault="00EC3B83" w:rsidP="00496516">
      <w:pPr>
        <w:pStyle w:val="3"/>
        <w:ind w:left="1360" w:hanging="680"/>
      </w:pPr>
      <w:proofErr w:type="gramStart"/>
      <w:r>
        <w:rPr>
          <w:rFonts w:hint="eastAsia"/>
        </w:rPr>
        <w:t>此外，</w:t>
      </w:r>
      <w:proofErr w:type="gramEnd"/>
      <w:r>
        <w:rPr>
          <w:rFonts w:hint="eastAsia"/>
        </w:rPr>
        <w:t>近日爆發桃園縣八德合宜住宅、林口A7合宜住宅等</w:t>
      </w:r>
      <w:r w:rsidR="006D1A2D">
        <w:rPr>
          <w:rFonts w:hint="eastAsia"/>
        </w:rPr>
        <w:t>開發案</w:t>
      </w:r>
      <w:r>
        <w:rPr>
          <w:rFonts w:hint="eastAsia"/>
        </w:rPr>
        <w:t>行賄弊案，</w:t>
      </w:r>
      <w:proofErr w:type="gramStart"/>
      <w:r w:rsidR="006D1A2D">
        <w:rPr>
          <w:rFonts w:hint="eastAsia"/>
        </w:rPr>
        <w:t>而</w:t>
      </w:r>
      <w:r>
        <w:rPr>
          <w:rFonts w:hint="eastAsia"/>
        </w:rPr>
        <w:t>系爭</w:t>
      </w:r>
      <w:proofErr w:type="gramEnd"/>
      <w:r>
        <w:rPr>
          <w:rFonts w:hint="eastAsia"/>
        </w:rPr>
        <w:t>計畫</w:t>
      </w:r>
      <w:r w:rsidRPr="00D07554">
        <w:rPr>
          <w:rFonts w:hint="eastAsia"/>
          <w:bCs w:val="0"/>
        </w:rPr>
        <w:t>總開發費</w:t>
      </w:r>
      <w:r>
        <w:rPr>
          <w:rFonts w:hint="eastAsia"/>
          <w:bCs w:val="0"/>
        </w:rPr>
        <w:t>用加</w:t>
      </w:r>
      <w:r>
        <w:rPr>
          <w:rFonts w:hint="eastAsia"/>
          <w:bCs w:val="0"/>
        </w:rPr>
        <w:lastRenderedPageBreak/>
        <w:t>上機場園區建設經費逾3</w:t>
      </w:r>
      <w:r w:rsidRPr="00D07554">
        <w:rPr>
          <w:rFonts w:hint="eastAsia"/>
          <w:bCs w:val="0"/>
        </w:rPr>
        <w:t>,</w:t>
      </w:r>
      <w:r>
        <w:rPr>
          <w:rFonts w:hint="eastAsia"/>
          <w:bCs w:val="0"/>
        </w:rPr>
        <w:t>00</w:t>
      </w:r>
      <w:r w:rsidRPr="00D07554">
        <w:rPr>
          <w:rFonts w:hint="eastAsia"/>
          <w:bCs w:val="0"/>
        </w:rPr>
        <w:t>0億元</w:t>
      </w:r>
      <w:r w:rsidR="009B721D">
        <w:rPr>
          <w:rFonts w:hint="eastAsia"/>
          <w:bCs w:val="0"/>
        </w:rPr>
        <w:t>，</w:t>
      </w:r>
      <w:r w:rsidR="006D1A2D">
        <w:rPr>
          <w:rFonts w:hint="eastAsia"/>
          <w:bCs w:val="0"/>
        </w:rPr>
        <w:t>遠超過</w:t>
      </w:r>
      <w:r w:rsidR="009B721D">
        <w:rPr>
          <w:rFonts w:hint="eastAsia"/>
          <w:bCs w:val="0"/>
        </w:rPr>
        <w:t>先前</w:t>
      </w:r>
      <w:r w:rsidR="00731954">
        <w:rPr>
          <w:rFonts w:hint="eastAsia"/>
          <w:bCs w:val="0"/>
        </w:rPr>
        <w:t>任何</w:t>
      </w:r>
      <w:r w:rsidR="006D1A2D">
        <w:rPr>
          <w:rFonts w:hint="eastAsia"/>
          <w:bCs w:val="0"/>
        </w:rPr>
        <w:t>開發</w:t>
      </w:r>
      <w:r w:rsidR="00731954">
        <w:rPr>
          <w:rFonts w:hint="eastAsia"/>
          <w:bCs w:val="0"/>
        </w:rPr>
        <w:t>案之</w:t>
      </w:r>
      <w:r w:rsidR="006D1A2D">
        <w:rPr>
          <w:rFonts w:hint="eastAsia"/>
          <w:bCs w:val="0"/>
        </w:rPr>
        <w:t>規模與金額</w:t>
      </w:r>
      <w:r>
        <w:rPr>
          <w:rFonts w:hint="eastAsia"/>
          <w:bCs w:val="0"/>
        </w:rPr>
        <w:t>，</w:t>
      </w:r>
      <w:r w:rsidR="006D1A2D">
        <w:rPr>
          <w:rFonts w:hint="eastAsia"/>
          <w:bCs w:val="0"/>
        </w:rPr>
        <w:t>政府相關部門</w:t>
      </w:r>
      <w:r w:rsidR="006D1A2D">
        <w:rPr>
          <w:rFonts w:hint="eastAsia"/>
        </w:rPr>
        <w:t>允應思考，</w:t>
      </w:r>
      <w:r w:rsidR="001137B5">
        <w:rPr>
          <w:rFonts w:hint="eastAsia"/>
        </w:rPr>
        <w:t>藉</w:t>
      </w:r>
      <w:r w:rsidR="006D1A2D">
        <w:rPr>
          <w:rFonts w:hint="eastAsia"/>
        </w:rPr>
        <w:t>由系爭</w:t>
      </w:r>
      <w:r w:rsidR="006D1A2D">
        <w:rPr>
          <w:rFonts w:hint="eastAsia"/>
          <w:bCs w:val="0"/>
        </w:rPr>
        <w:t>開發案之開發過程，建立一套完整而嚴密</w:t>
      </w:r>
      <w:proofErr w:type="gramStart"/>
      <w:r w:rsidR="006D1A2D">
        <w:rPr>
          <w:rFonts w:hint="eastAsia"/>
          <w:bCs w:val="0"/>
        </w:rPr>
        <w:t>之內控</w:t>
      </w:r>
      <w:proofErr w:type="gramEnd"/>
      <w:r w:rsidR="006D1A2D">
        <w:rPr>
          <w:rFonts w:hint="eastAsia"/>
          <w:bCs w:val="0"/>
        </w:rPr>
        <w:t>機制，或於招標</w:t>
      </w:r>
      <w:r w:rsidR="001137B5">
        <w:rPr>
          <w:rFonts w:hint="eastAsia"/>
          <w:bCs w:val="0"/>
        </w:rPr>
        <w:t>案</w:t>
      </w:r>
      <w:r w:rsidR="006D1A2D">
        <w:rPr>
          <w:rFonts w:hint="eastAsia"/>
          <w:bCs w:val="0"/>
        </w:rPr>
        <w:t>中導入防弊</w:t>
      </w:r>
      <w:r w:rsidR="001137B5">
        <w:rPr>
          <w:rFonts w:hint="eastAsia"/>
          <w:bCs w:val="0"/>
        </w:rPr>
        <w:t>措施</w:t>
      </w:r>
      <w:r w:rsidR="006D1A2D">
        <w:rPr>
          <w:rFonts w:hint="eastAsia"/>
          <w:bCs w:val="0"/>
        </w:rPr>
        <w:t>，以避免任何弊端發生，</w:t>
      </w:r>
      <w:proofErr w:type="gramStart"/>
      <w:r w:rsidR="001137B5">
        <w:rPr>
          <w:rFonts w:hint="eastAsia"/>
          <w:bCs w:val="0"/>
        </w:rPr>
        <w:t>併</w:t>
      </w:r>
      <w:proofErr w:type="gramEnd"/>
      <w:r w:rsidR="001137B5">
        <w:rPr>
          <w:rFonts w:hint="eastAsia"/>
          <w:bCs w:val="0"/>
        </w:rPr>
        <w:t>予指明。</w:t>
      </w:r>
    </w:p>
    <w:p w:rsidR="000E4220" w:rsidRDefault="00BE5A3B" w:rsidP="006909E2">
      <w:pPr>
        <w:pStyle w:val="1"/>
        <w:numPr>
          <w:ilvl w:val="0"/>
          <w:numId w:val="0"/>
        </w:numPr>
        <w:ind w:left="699"/>
        <w:rPr>
          <w:b/>
          <w:bCs w:val="0"/>
          <w:spacing w:val="12"/>
          <w:sz w:val="40"/>
        </w:rPr>
      </w:pPr>
      <w:bookmarkStart w:id="43" w:name="_Toc524895648"/>
      <w:bookmarkStart w:id="44" w:name="_Toc524896194"/>
      <w:bookmarkStart w:id="45" w:name="_Toc524896224"/>
      <w:bookmarkStart w:id="46" w:name="_Toc524902734"/>
      <w:bookmarkStart w:id="47" w:name="_Toc525066148"/>
      <w:bookmarkStart w:id="48" w:name="_Toc525070839"/>
      <w:bookmarkStart w:id="49" w:name="_Toc525938379"/>
      <w:bookmarkStart w:id="50" w:name="_Toc525939227"/>
      <w:bookmarkStart w:id="51" w:name="_Toc525939732"/>
      <w:bookmarkStart w:id="52" w:name="_Toc529218272"/>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br w:type="page"/>
      </w:r>
      <w:bookmarkEnd w:id="43"/>
      <w:bookmarkEnd w:id="44"/>
      <w:bookmarkEnd w:id="45"/>
      <w:bookmarkEnd w:id="46"/>
      <w:bookmarkEnd w:id="47"/>
      <w:bookmarkEnd w:id="48"/>
      <w:bookmarkEnd w:id="49"/>
      <w:bookmarkEnd w:id="50"/>
      <w:bookmarkEnd w:id="51"/>
      <w:bookmarkEnd w:id="52"/>
      <w:r w:rsidR="000E4220">
        <w:rPr>
          <w:rFonts w:hint="eastAsia"/>
          <w:spacing w:val="12"/>
          <w:sz w:val="40"/>
        </w:rPr>
        <w:lastRenderedPageBreak/>
        <w:t>調查委員：</w:t>
      </w:r>
      <w:r w:rsidR="006909E2">
        <w:rPr>
          <w:rFonts w:hint="eastAsia"/>
          <w:spacing w:val="12"/>
          <w:sz w:val="40"/>
        </w:rPr>
        <w:t>黃委員</w:t>
      </w:r>
      <w:proofErr w:type="gramStart"/>
      <w:r w:rsidR="006909E2">
        <w:rPr>
          <w:rFonts w:hint="eastAsia"/>
          <w:spacing w:val="12"/>
          <w:sz w:val="40"/>
        </w:rPr>
        <w:t>煌</w:t>
      </w:r>
      <w:proofErr w:type="gramEnd"/>
      <w:r w:rsidR="006909E2">
        <w:rPr>
          <w:rFonts w:hint="eastAsia"/>
          <w:spacing w:val="12"/>
          <w:sz w:val="40"/>
        </w:rPr>
        <w:t>雄</w:t>
      </w:r>
    </w:p>
    <w:p w:rsidR="004471B0" w:rsidRDefault="004471B0">
      <w:pPr>
        <w:pStyle w:val="a5"/>
        <w:kinsoku w:val="0"/>
        <w:spacing w:before="0" w:after="0"/>
        <w:ind w:leftChars="1100" w:left="3742"/>
        <w:jc w:val="both"/>
        <w:rPr>
          <w:b w:val="0"/>
          <w:bCs/>
          <w:snapToGrid/>
          <w:spacing w:val="12"/>
          <w:kern w:val="0"/>
          <w:sz w:val="40"/>
        </w:rPr>
      </w:pPr>
    </w:p>
    <w:p w:rsidR="00E27DED" w:rsidRDefault="00E27DED" w:rsidP="002C709D">
      <w:pPr>
        <w:pStyle w:val="ab"/>
        <w:ind w:left="1020" w:hanging="1020"/>
        <w:rPr>
          <w:bCs/>
        </w:rPr>
      </w:pPr>
    </w:p>
    <w:p w:rsidR="00E27DED" w:rsidRDefault="00E27DED" w:rsidP="002C709D">
      <w:pPr>
        <w:pStyle w:val="ab"/>
        <w:ind w:left="1020" w:hanging="1020"/>
        <w:rPr>
          <w:bCs/>
        </w:rPr>
      </w:pPr>
    </w:p>
    <w:p w:rsidR="009B214F" w:rsidRDefault="009B214F" w:rsidP="002C709D">
      <w:pPr>
        <w:pStyle w:val="ab"/>
        <w:ind w:left="1020" w:hanging="1020"/>
        <w:rPr>
          <w:bCs/>
        </w:rPr>
      </w:pPr>
    </w:p>
    <w:p w:rsidR="009B214F" w:rsidRDefault="009B214F" w:rsidP="002C709D">
      <w:pPr>
        <w:pStyle w:val="ab"/>
        <w:ind w:left="1020" w:hanging="1020"/>
        <w:rPr>
          <w:bCs/>
        </w:rPr>
      </w:pPr>
    </w:p>
    <w:p w:rsidR="009B214F" w:rsidRDefault="009B214F" w:rsidP="002C709D">
      <w:pPr>
        <w:pStyle w:val="ab"/>
        <w:ind w:left="1020" w:hanging="1020"/>
        <w:rPr>
          <w:bCs/>
        </w:rPr>
      </w:pPr>
    </w:p>
    <w:p w:rsidR="009B214F" w:rsidRDefault="009B214F" w:rsidP="002C709D">
      <w:pPr>
        <w:pStyle w:val="ab"/>
        <w:ind w:left="1020" w:hanging="1020"/>
        <w:rPr>
          <w:bCs/>
        </w:rPr>
      </w:pPr>
    </w:p>
    <w:p w:rsidR="009B214F" w:rsidRDefault="009B214F" w:rsidP="002C709D">
      <w:pPr>
        <w:pStyle w:val="ab"/>
        <w:ind w:left="1020" w:hanging="1020"/>
        <w:rPr>
          <w:bCs/>
        </w:rPr>
      </w:pPr>
    </w:p>
    <w:p w:rsidR="009B214F" w:rsidRDefault="009B214F" w:rsidP="002C709D">
      <w:pPr>
        <w:pStyle w:val="ab"/>
        <w:ind w:left="1020" w:hanging="1020"/>
        <w:rPr>
          <w:bCs/>
        </w:rPr>
      </w:pPr>
    </w:p>
    <w:p w:rsidR="009B214F" w:rsidRDefault="009B214F" w:rsidP="002C709D">
      <w:pPr>
        <w:pStyle w:val="ab"/>
        <w:ind w:left="1020" w:hanging="1020"/>
        <w:rPr>
          <w:bCs/>
        </w:rPr>
      </w:pPr>
    </w:p>
    <w:p w:rsidR="009B214F" w:rsidRDefault="009B214F" w:rsidP="002C709D">
      <w:pPr>
        <w:pStyle w:val="ab"/>
        <w:ind w:left="1020" w:hanging="1020"/>
        <w:rPr>
          <w:bCs/>
        </w:rPr>
      </w:pPr>
    </w:p>
    <w:p w:rsidR="009B214F" w:rsidRDefault="009B214F" w:rsidP="002C709D">
      <w:pPr>
        <w:pStyle w:val="ab"/>
        <w:ind w:left="1020" w:hanging="1020"/>
        <w:rPr>
          <w:bCs/>
        </w:rPr>
      </w:pPr>
    </w:p>
    <w:p w:rsidR="009B214F" w:rsidRDefault="009B214F" w:rsidP="002C709D">
      <w:pPr>
        <w:pStyle w:val="ab"/>
        <w:ind w:left="1020" w:hanging="1020"/>
        <w:rPr>
          <w:bCs/>
        </w:rPr>
      </w:pPr>
    </w:p>
    <w:p w:rsidR="009B214F" w:rsidRDefault="009B214F" w:rsidP="002C709D">
      <w:pPr>
        <w:pStyle w:val="ab"/>
        <w:ind w:left="1020" w:hanging="1020"/>
        <w:rPr>
          <w:bCs/>
        </w:rPr>
      </w:pPr>
    </w:p>
    <w:p w:rsidR="009B214F" w:rsidRDefault="009B214F" w:rsidP="002C709D">
      <w:pPr>
        <w:pStyle w:val="ab"/>
        <w:ind w:left="1020" w:hanging="1020"/>
        <w:rPr>
          <w:bCs/>
        </w:rPr>
      </w:pPr>
    </w:p>
    <w:p w:rsidR="00E27DED" w:rsidRDefault="00E27DED" w:rsidP="002C709D">
      <w:pPr>
        <w:pStyle w:val="ab"/>
        <w:ind w:left="1020" w:hanging="1020"/>
        <w:rPr>
          <w:bCs/>
        </w:rPr>
      </w:pPr>
    </w:p>
    <w:p w:rsidR="00E27DED" w:rsidRDefault="00E27DED" w:rsidP="002C709D">
      <w:pPr>
        <w:pStyle w:val="ab"/>
        <w:ind w:left="1020" w:hanging="1020"/>
        <w:rPr>
          <w:bCs/>
        </w:rPr>
      </w:pPr>
    </w:p>
    <w:p w:rsidR="00C55DFA" w:rsidRPr="00F55550" w:rsidRDefault="00C55DFA" w:rsidP="003C1EBB">
      <w:pPr>
        <w:jc w:val="left"/>
        <w:rPr>
          <w:bCs/>
          <w:sz w:val="24"/>
          <w:szCs w:val="24"/>
        </w:rPr>
      </w:pPr>
    </w:p>
    <w:sectPr w:rsidR="00C55DFA" w:rsidRPr="00F55550" w:rsidSect="00997904">
      <w:footerReference w:type="default" r:id="rId9"/>
      <w:pgSz w:w="11907" w:h="16840" w:code="9"/>
      <w:pgMar w:top="1701" w:right="1417"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6915" w:rsidRDefault="00766915" w:rsidP="002C709D">
      <w:pPr>
        <w:ind w:left="1600"/>
      </w:pPr>
      <w:r>
        <w:separator/>
      </w:r>
    </w:p>
  </w:endnote>
  <w:endnote w:type="continuationSeparator" w:id="0">
    <w:p w:rsidR="00766915" w:rsidRDefault="00766915" w:rsidP="002C709D">
      <w:pPr>
        <w:ind w:left="1600"/>
      </w:pPr>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iddenHorzOCl">
    <w:altName w:val="Arial Unicode MS"/>
    <w:panose1 w:val="00000000000000000000"/>
    <w:charset w:val="88"/>
    <w:family w:val="swiss"/>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47F" w:rsidRDefault="004D07F6" w:rsidP="002C709D">
    <w:pPr>
      <w:pStyle w:val="af"/>
      <w:framePr w:wrap="around" w:vAnchor="text" w:hAnchor="margin" w:xAlign="center" w:y="1"/>
      <w:ind w:left="1600"/>
      <w:rPr>
        <w:rStyle w:val="a7"/>
        <w:sz w:val="24"/>
      </w:rPr>
    </w:pPr>
    <w:r>
      <w:rPr>
        <w:rStyle w:val="a7"/>
        <w:sz w:val="24"/>
      </w:rPr>
      <w:fldChar w:fldCharType="begin"/>
    </w:r>
    <w:r w:rsidR="00CC347F">
      <w:rPr>
        <w:rStyle w:val="a7"/>
        <w:sz w:val="24"/>
      </w:rPr>
      <w:instrText xml:space="preserve">PAGE  </w:instrText>
    </w:r>
    <w:r>
      <w:rPr>
        <w:rStyle w:val="a7"/>
        <w:sz w:val="24"/>
      </w:rPr>
      <w:fldChar w:fldCharType="separate"/>
    </w:r>
    <w:r w:rsidR="006909E2">
      <w:rPr>
        <w:rStyle w:val="a7"/>
        <w:noProof/>
        <w:sz w:val="24"/>
      </w:rPr>
      <w:t>21</w:t>
    </w:r>
    <w:r>
      <w:rPr>
        <w:rStyle w:val="a7"/>
        <w:sz w:val="24"/>
      </w:rPr>
      <w:fldChar w:fldCharType="end"/>
    </w:r>
  </w:p>
  <w:p w:rsidR="00CC347F" w:rsidRDefault="00CC347F" w:rsidP="002C709D">
    <w:pPr>
      <w:framePr w:wrap="auto" w:hAnchor="text" w:y="-955"/>
      <w:ind w:left="160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6915" w:rsidRDefault="00766915" w:rsidP="002C709D">
      <w:pPr>
        <w:ind w:left="1600"/>
      </w:pPr>
      <w:r>
        <w:separator/>
      </w:r>
    </w:p>
  </w:footnote>
  <w:footnote w:type="continuationSeparator" w:id="0">
    <w:p w:rsidR="00766915" w:rsidRDefault="00766915" w:rsidP="002C709D">
      <w:pPr>
        <w:ind w:left="1600"/>
      </w:pPr>
      <w:r>
        <w:continuationSeparator/>
      </w:r>
    </w:p>
  </w:footnote>
  <w:footnote w:id="1">
    <w:p w:rsidR="00CC347F" w:rsidRDefault="00CC347F" w:rsidP="000D069E">
      <w:pPr>
        <w:pStyle w:val="af1"/>
      </w:pPr>
      <w:r>
        <w:rPr>
          <w:rStyle w:val="af3"/>
        </w:rPr>
        <w:footnoteRef/>
      </w:r>
      <w:r>
        <w:t xml:space="preserve"> </w:t>
      </w:r>
      <w:r w:rsidRPr="00A04EC5">
        <w:rPr>
          <w:rFonts w:hAnsi="標楷體" w:hint="eastAsia"/>
          <w:bCs/>
          <w:color w:val="000000"/>
          <w:szCs w:val="32"/>
        </w:rPr>
        <w:t>93</w:t>
      </w:r>
      <w:r w:rsidRPr="00A04EC5">
        <w:rPr>
          <w:rFonts w:hAnsi="標楷體" w:hint="eastAsia"/>
          <w:bCs/>
          <w:color w:val="000000"/>
          <w:szCs w:val="32"/>
        </w:rPr>
        <w:t>年</w:t>
      </w:r>
      <w:r w:rsidRPr="00A04EC5">
        <w:rPr>
          <w:rFonts w:hAnsi="標楷體" w:hint="eastAsia"/>
          <w:bCs/>
          <w:color w:val="000000"/>
          <w:szCs w:val="32"/>
        </w:rPr>
        <w:t>4</w:t>
      </w:r>
      <w:r w:rsidRPr="00A04EC5">
        <w:rPr>
          <w:rFonts w:hAnsi="標楷體" w:hint="eastAsia"/>
          <w:bCs/>
          <w:color w:val="000000"/>
          <w:szCs w:val="32"/>
        </w:rPr>
        <w:t>月</w:t>
      </w:r>
      <w:r w:rsidRPr="00A04EC5">
        <w:rPr>
          <w:rFonts w:hAnsi="標楷體" w:hint="eastAsia"/>
          <w:bCs/>
          <w:color w:val="000000"/>
          <w:szCs w:val="32"/>
        </w:rPr>
        <w:t>30</w:t>
      </w:r>
      <w:r w:rsidRPr="00A04EC5">
        <w:rPr>
          <w:rFonts w:hAnsi="標楷體" w:hint="eastAsia"/>
          <w:bCs/>
          <w:color w:val="000000"/>
          <w:szCs w:val="32"/>
        </w:rPr>
        <w:t>日修正為「非都市土地申請新訂或擴大都市計畫作業要點」</w:t>
      </w:r>
    </w:p>
  </w:footnote>
  <w:footnote w:id="2">
    <w:p w:rsidR="00CC347F" w:rsidRPr="00573373" w:rsidRDefault="00CC347F" w:rsidP="00365343">
      <w:pPr>
        <w:pStyle w:val="af1"/>
        <w:ind w:left="170" w:hanging="170"/>
      </w:pPr>
      <w:r w:rsidRPr="00573373">
        <w:rPr>
          <w:rStyle w:val="af3"/>
        </w:rPr>
        <w:footnoteRef/>
      </w:r>
      <w:r w:rsidRPr="00573373">
        <w:t xml:space="preserve"> </w:t>
      </w:r>
      <w:r w:rsidRPr="00573373">
        <w:rPr>
          <w:rFonts w:hint="eastAsia"/>
        </w:rPr>
        <w:t>區段徵收實施辦法第</w:t>
      </w:r>
      <w:r w:rsidRPr="00573373">
        <w:t>4</w:t>
      </w:r>
      <w:r w:rsidRPr="00573373">
        <w:rPr>
          <w:rFonts w:hint="eastAsia"/>
        </w:rPr>
        <w:t>條第</w:t>
      </w:r>
      <w:r w:rsidRPr="00573373">
        <w:t>2</w:t>
      </w:r>
      <w:r w:rsidRPr="00573373">
        <w:rPr>
          <w:rFonts w:hint="eastAsia"/>
        </w:rPr>
        <w:t>項規定：「需用土地人應於內政部都委會或內政部都委會審議通過前，向內政部報告其公益性及必要性。」</w:t>
      </w:r>
    </w:p>
  </w:footnote>
  <w:footnote w:id="3">
    <w:p w:rsidR="00CC347F" w:rsidRPr="00365343" w:rsidRDefault="00CC347F" w:rsidP="00365343">
      <w:pPr>
        <w:pStyle w:val="af1"/>
        <w:ind w:left="170" w:hanging="170"/>
      </w:pPr>
      <w:r>
        <w:rPr>
          <w:rStyle w:val="af3"/>
        </w:rPr>
        <w:footnoteRef/>
      </w:r>
      <w:r>
        <w:rPr>
          <w:rFonts w:hint="eastAsia"/>
        </w:rPr>
        <w:t xml:space="preserve"> </w:t>
      </w:r>
      <w:r w:rsidRPr="00365343">
        <w:rPr>
          <w:rFonts w:hint="eastAsia"/>
        </w:rPr>
        <w:t>包括</w:t>
      </w:r>
      <w:r w:rsidRPr="00365343">
        <w:rPr>
          <w:rFonts w:hint="eastAsia"/>
        </w:rPr>
        <w:t>(1)</w:t>
      </w:r>
      <w:r w:rsidRPr="00365343">
        <w:rPr>
          <w:rFonts w:hint="eastAsia"/>
        </w:rPr>
        <w:t>各功能分區位置及範圍未</w:t>
      </w:r>
      <w:proofErr w:type="gramStart"/>
      <w:r w:rsidRPr="00365343">
        <w:rPr>
          <w:rFonts w:hint="eastAsia"/>
        </w:rPr>
        <w:t>臻</w:t>
      </w:r>
      <w:proofErr w:type="gramEnd"/>
      <w:r w:rsidRPr="00365343">
        <w:rPr>
          <w:rFonts w:hint="eastAsia"/>
        </w:rPr>
        <w:t>明確及其管制困難，</w:t>
      </w:r>
      <w:r w:rsidRPr="00365343">
        <w:rPr>
          <w:rFonts w:hint="eastAsia"/>
        </w:rPr>
        <w:t>(2)</w:t>
      </w:r>
      <w:r w:rsidRPr="00365343">
        <w:rPr>
          <w:rFonts w:hint="eastAsia"/>
        </w:rPr>
        <w:t>區域計畫範圍內土地以開發許可方式辦理，土地取得困難，</w:t>
      </w:r>
      <w:r w:rsidRPr="00365343">
        <w:rPr>
          <w:rFonts w:hint="eastAsia"/>
        </w:rPr>
        <w:t>(3)</w:t>
      </w:r>
      <w:r w:rsidRPr="00365343">
        <w:rPr>
          <w:rFonts w:hint="eastAsia"/>
        </w:rPr>
        <w:t>公共設施建設無法整體規劃、取得</w:t>
      </w:r>
      <w:proofErr w:type="gramStart"/>
      <w:r w:rsidRPr="00365343">
        <w:rPr>
          <w:rFonts w:hint="eastAsia"/>
        </w:rPr>
        <w:t>闢</w:t>
      </w:r>
      <w:proofErr w:type="gramEnd"/>
      <w:r w:rsidRPr="00365343">
        <w:rPr>
          <w:rFonts w:hint="eastAsia"/>
        </w:rPr>
        <w:t>建，滿足地方需求。</w:t>
      </w:r>
    </w:p>
  </w:footnote>
  <w:footnote w:id="4">
    <w:p w:rsidR="00CC347F" w:rsidRPr="00AC3F13" w:rsidRDefault="00CC347F">
      <w:pPr>
        <w:pStyle w:val="af1"/>
      </w:pPr>
      <w:r>
        <w:rPr>
          <w:rStyle w:val="af3"/>
        </w:rPr>
        <w:footnoteRef/>
      </w:r>
      <w:r>
        <w:rPr>
          <w:rFonts w:hint="eastAsia"/>
        </w:rPr>
        <w:t xml:space="preserve"> </w:t>
      </w:r>
      <w:r w:rsidRPr="00F33D7C">
        <w:rPr>
          <w:rFonts w:hint="eastAsia"/>
        </w:rPr>
        <w:t>擬定桃園國際機場園區及附近地區特定區計畫</w:t>
      </w:r>
      <w:r w:rsidRPr="00F33D7C">
        <w:rPr>
          <w:rFonts w:hint="eastAsia"/>
        </w:rPr>
        <w:t>(</w:t>
      </w:r>
      <w:proofErr w:type="gramStart"/>
      <w:r w:rsidRPr="00F33D7C">
        <w:rPr>
          <w:rFonts w:hint="eastAsia"/>
        </w:rPr>
        <w:t>再公展</w:t>
      </w:r>
      <w:proofErr w:type="gramEnd"/>
      <w:r w:rsidRPr="00F33D7C">
        <w:rPr>
          <w:rFonts w:hint="eastAsia"/>
        </w:rPr>
        <w:t>草案</w:t>
      </w:r>
      <w:r w:rsidRPr="00F33D7C">
        <w:rPr>
          <w:rFonts w:hint="eastAsia"/>
        </w:rPr>
        <w:t>)</w:t>
      </w:r>
      <w:r>
        <w:rPr>
          <w:rFonts w:hint="eastAsia"/>
        </w:rPr>
        <w:t>，頁</w:t>
      </w:r>
      <w:r>
        <w:rPr>
          <w:rFonts w:hint="eastAsia"/>
        </w:rPr>
        <w:t>1-3</w:t>
      </w:r>
      <w:r>
        <w:rPr>
          <w:rFonts w:hint="eastAsia"/>
        </w:rPr>
        <w:t>。</w:t>
      </w:r>
    </w:p>
  </w:footnote>
  <w:footnote w:id="5">
    <w:p w:rsidR="00CC347F" w:rsidRPr="007F7922" w:rsidRDefault="00CC347F">
      <w:pPr>
        <w:pStyle w:val="af1"/>
      </w:pPr>
      <w:r>
        <w:rPr>
          <w:rStyle w:val="af3"/>
        </w:rPr>
        <w:footnoteRef/>
      </w:r>
      <w:r>
        <w:t xml:space="preserve"> </w:t>
      </w:r>
      <w:r>
        <w:rPr>
          <w:rFonts w:hint="eastAsia"/>
        </w:rPr>
        <w:t>同前</w:t>
      </w:r>
      <w:proofErr w:type="gramStart"/>
      <w:r>
        <w:rPr>
          <w:rFonts w:hint="eastAsia"/>
        </w:rPr>
        <w:t>註</w:t>
      </w:r>
      <w:proofErr w:type="gramEnd"/>
      <w:r>
        <w:rPr>
          <w:rFonts w:hint="eastAsia"/>
        </w:rPr>
        <w:t>。</w:t>
      </w:r>
    </w:p>
  </w:footnote>
  <w:footnote w:id="6">
    <w:p w:rsidR="00CC347F" w:rsidRPr="00F33D7C" w:rsidRDefault="00CC347F" w:rsidP="00623587">
      <w:pPr>
        <w:pStyle w:val="af1"/>
      </w:pPr>
      <w:r>
        <w:rPr>
          <w:rStyle w:val="af3"/>
        </w:rPr>
        <w:footnoteRef/>
      </w:r>
      <w:r>
        <w:rPr>
          <w:rFonts w:hint="eastAsia"/>
        </w:rPr>
        <w:t xml:space="preserve"> </w:t>
      </w:r>
      <w:r w:rsidRPr="00F33D7C">
        <w:rPr>
          <w:rFonts w:hint="eastAsia"/>
        </w:rPr>
        <w:t>擬定桃園國際機場園區及附近地區特定區計畫</w:t>
      </w:r>
      <w:r w:rsidRPr="00F33D7C">
        <w:rPr>
          <w:rFonts w:hint="eastAsia"/>
        </w:rPr>
        <w:t>(</w:t>
      </w:r>
      <w:proofErr w:type="gramStart"/>
      <w:r w:rsidRPr="00F33D7C">
        <w:rPr>
          <w:rFonts w:hint="eastAsia"/>
        </w:rPr>
        <w:t>再公展</w:t>
      </w:r>
      <w:proofErr w:type="gramEnd"/>
      <w:r w:rsidRPr="00F33D7C">
        <w:rPr>
          <w:rFonts w:hint="eastAsia"/>
        </w:rPr>
        <w:t>草案</w:t>
      </w:r>
      <w:r w:rsidRPr="00F33D7C">
        <w:rPr>
          <w:rFonts w:hint="eastAsia"/>
        </w:rPr>
        <w:t>)</w:t>
      </w:r>
      <w:r>
        <w:rPr>
          <w:rFonts w:hint="eastAsia"/>
        </w:rPr>
        <w:t>，頁</w:t>
      </w:r>
      <w:r>
        <w:rPr>
          <w:rFonts w:hint="eastAsia"/>
        </w:rPr>
        <w:t>8-93</w:t>
      </w:r>
      <w:r>
        <w:rPr>
          <w:rFonts w:hint="eastAsia"/>
        </w:rPr>
        <w:t>～頁</w:t>
      </w:r>
      <w:r>
        <w:rPr>
          <w:rFonts w:hint="eastAsia"/>
        </w:rPr>
        <w:t>8-98</w:t>
      </w:r>
      <w:r>
        <w:rPr>
          <w:rFonts w:hint="eastAsia"/>
        </w:rPr>
        <w:t>。</w:t>
      </w:r>
    </w:p>
  </w:footnote>
  <w:footnote w:id="7">
    <w:p w:rsidR="00CC347F" w:rsidRPr="00A55506" w:rsidRDefault="00CC347F" w:rsidP="00623587">
      <w:pPr>
        <w:pStyle w:val="af1"/>
        <w:ind w:left="170" w:hanging="170"/>
      </w:pPr>
      <w:r>
        <w:rPr>
          <w:rStyle w:val="af3"/>
        </w:rPr>
        <w:footnoteRef/>
      </w:r>
      <w:r>
        <w:rPr>
          <w:rFonts w:hint="eastAsia"/>
        </w:rPr>
        <w:t xml:space="preserve"> </w:t>
      </w:r>
      <w:r>
        <w:rPr>
          <w:rFonts w:hint="eastAsia"/>
        </w:rPr>
        <w:t>資料來源：同前</w:t>
      </w:r>
      <w:proofErr w:type="gramStart"/>
      <w:r>
        <w:rPr>
          <w:rFonts w:hint="eastAsia"/>
        </w:rPr>
        <w:t>註</w:t>
      </w:r>
      <w:proofErr w:type="gramEnd"/>
      <w:r>
        <w:rPr>
          <w:rFonts w:hint="eastAsia"/>
        </w:rPr>
        <w:t>。</w:t>
      </w:r>
    </w:p>
  </w:footnote>
  <w:footnote w:id="8">
    <w:p w:rsidR="00CC347F" w:rsidRPr="00453EF5" w:rsidRDefault="00CC347F" w:rsidP="00623587">
      <w:pPr>
        <w:pStyle w:val="af1"/>
        <w:ind w:left="170" w:hanging="170"/>
      </w:pPr>
      <w:r>
        <w:rPr>
          <w:rStyle w:val="af3"/>
        </w:rPr>
        <w:footnoteRef/>
      </w:r>
      <w:r>
        <w:rPr>
          <w:rFonts w:hint="eastAsia"/>
        </w:rPr>
        <w:t xml:space="preserve"> </w:t>
      </w:r>
      <w:r w:rsidRPr="00453EF5">
        <w:rPr>
          <w:rFonts w:hint="eastAsia"/>
        </w:rPr>
        <w:t>各項開發成本包括現金補償地價、地上物補償及遷移費、土地整理費用、公共設施費用及貸款利息</w:t>
      </w:r>
      <w:r>
        <w:rPr>
          <w:rFonts w:hint="eastAsia"/>
        </w:rPr>
        <w:t>，資料來源：同前</w:t>
      </w:r>
      <w:proofErr w:type="gramStart"/>
      <w:r>
        <w:rPr>
          <w:rFonts w:hint="eastAsia"/>
        </w:rPr>
        <w:t>註</w:t>
      </w:r>
      <w:proofErr w:type="gramEnd"/>
      <w:r>
        <w:rPr>
          <w:rFonts w:hint="eastAsia"/>
        </w:rPr>
        <w:t>。</w:t>
      </w:r>
    </w:p>
  </w:footnote>
  <w:footnote w:id="9">
    <w:p w:rsidR="00CC347F" w:rsidRPr="00D62E16" w:rsidRDefault="00CC347F" w:rsidP="004F0287">
      <w:pPr>
        <w:pStyle w:val="af1"/>
        <w:ind w:left="170" w:hanging="170"/>
        <w:jc w:val="both"/>
      </w:pPr>
      <w:r>
        <w:rPr>
          <w:rStyle w:val="af3"/>
        </w:rPr>
        <w:footnoteRef/>
      </w:r>
      <w:r>
        <w:rPr>
          <w:rFonts w:hint="eastAsia"/>
        </w:rPr>
        <w:t xml:space="preserve"> </w:t>
      </w:r>
      <w:r w:rsidRPr="00D62E16">
        <w:rPr>
          <w:rFonts w:hint="eastAsia"/>
        </w:rPr>
        <w:t>區段徵收實施辦法第</w:t>
      </w:r>
      <w:r w:rsidRPr="00D62E16">
        <w:rPr>
          <w:rFonts w:hint="eastAsia"/>
        </w:rPr>
        <w:t>4</w:t>
      </w:r>
      <w:r w:rsidRPr="00D62E16">
        <w:rPr>
          <w:rFonts w:hint="eastAsia"/>
        </w:rPr>
        <w:t>條第</w:t>
      </w:r>
      <w:r w:rsidRPr="00D62E16">
        <w:rPr>
          <w:rFonts w:hint="eastAsia"/>
        </w:rPr>
        <w:t>2</w:t>
      </w:r>
      <w:r w:rsidRPr="00D62E16">
        <w:rPr>
          <w:rFonts w:hint="eastAsia"/>
        </w:rPr>
        <w:t>項規定，需用土地人應於內政部區域計畫委員會或都市計畫委員會審議通過前，向該部土地徵收審議小組報告其徵收之公益性及必要性。為此，該</w:t>
      </w:r>
      <w:proofErr w:type="gramStart"/>
      <w:r w:rsidRPr="00D62E16">
        <w:rPr>
          <w:rFonts w:hint="eastAsia"/>
        </w:rPr>
        <w:t>部土徵</w:t>
      </w:r>
      <w:proofErr w:type="gramEnd"/>
      <w:r w:rsidRPr="00D62E16">
        <w:rPr>
          <w:rFonts w:hint="eastAsia"/>
        </w:rPr>
        <w:t>小組為配合航空城開發計畫審議需要，</w:t>
      </w:r>
      <w:proofErr w:type="gramStart"/>
      <w:r w:rsidRPr="00D62E16">
        <w:rPr>
          <w:rFonts w:hint="eastAsia"/>
        </w:rPr>
        <w:t>於系爭</w:t>
      </w:r>
      <w:proofErr w:type="gramEnd"/>
      <w:r w:rsidRPr="00D62E16">
        <w:rPr>
          <w:rFonts w:hint="eastAsia"/>
        </w:rPr>
        <w:t>計畫審查申請准予新訂都市計畫提報該部區委會與都委會階段時，先行安排「桃園航空城機場園區建設計畫」及「桃園航空城附近地區建設計畫」兩區至該部土地徵收審議小組報告徵收公益性及必要性，並與都委會召開聯合小組會議</w:t>
      </w:r>
      <w:r>
        <w:rPr>
          <w:rFonts w:hint="eastAsia"/>
        </w:rPr>
        <w:t>。</w:t>
      </w:r>
    </w:p>
  </w:footnote>
  <w:footnote w:id="10">
    <w:p w:rsidR="00CC347F" w:rsidRPr="005A3D64" w:rsidRDefault="00CC347F" w:rsidP="004F0287">
      <w:pPr>
        <w:pStyle w:val="af1"/>
        <w:ind w:left="227" w:hanging="227"/>
        <w:jc w:val="both"/>
      </w:pPr>
      <w:r>
        <w:rPr>
          <w:rStyle w:val="af3"/>
        </w:rPr>
        <w:footnoteRef/>
      </w:r>
      <w:r>
        <w:rPr>
          <w:rFonts w:hint="eastAsia"/>
        </w:rPr>
        <w:t xml:space="preserve"> </w:t>
      </w:r>
      <w:r w:rsidRPr="005A3D64">
        <w:rPr>
          <w:rFonts w:hint="eastAsia"/>
        </w:rPr>
        <w:t>包括現有桃園國際機場用地</w:t>
      </w:r>
      <w:r w:rsidRPr="005A3D64">
        <w:rPr>
          <w:rFonts w:hint="eastAsia"/>
        </w:rPr>
        <w:t>(</w:t>
      </w:r>
      <w:r w:rsidRPr="005A3D64">
        <w:rPr>
          <w:rFonts w:hint="eastAsia"/>
        </w:rPr>
        <w:t>面積</w:t>
      </w:r>
      <w:r w:rsidRPr="005A3D64">
        <w:rPr>
          <w:rFonts w:hint="eastAsia"/>
        </w:rPr>
        <w:t>1,224</w:t>
      </w:r>
      <w:r w:rsidRPr="005A3D64">
        <w:rPr>
          <w:rFonts w:hint="eastAsia"/>
        </w:rPr>
        <w:t>公頃</w:t>
      </w:r>
      <w:r w:rsidRPr="005A3D64">
        <w:rPr>
          <w:rFonts w:hint="eastAsia"/>
        </w:rPr>
        <w:t>)</w:t>
      </w:r>
      <w:r w:rsidRPr="005A3D64">
        <w:rPr>
          <w:rFonts w:hint="eastAsia"/>
        </w:rPr>
        <w:t>及「桃園機場園區綱要計畫」指導新增機場擴建用地範圍</w:t>
      </w:r>
      <w:r>
        <w:rPr>
          <w:rFonts w:hint="eastAsia"/>
        </w:rPr>
        <w:t>內之</w:t>
      </w:r>
      <w:r w:rsidRPr="005A3D64">
        <w:rPr>
          <w:rFonts w:hint="eastAsia"/>
        </w:rPr>
        <w:t>第三跑道、新貨運站、貨機坪、第三航站、客機坪、支援輔助設施區、維修區等，擴大面積約</w:t>
      </w:r>
      <w:r w:rsidRPr="005A3D64">
        <w:rPr>
          <w:rFonts w:hint="eastAsia"/>
        </w:rPr>
        <w:t>508</w:t>
      </w:r>
      <w:r w:rsidRPr="005A3D64">
        <w:rPr>
          <w:rFonts w:hint="eastAsia"/>
        </w:rPr>
        <w:t>公頃</w:t>
      </w:r>
      <w:r>
        <w:rPr>
          <w:rFonts w:hint="eastAsia"/>
        </w:rPr>
        <w:t>，</w:t>
      </w:r>
      <w:r w:rsidRPr="00F33D7C">
        <w:rPr>
          <w:rFonts w:hint="eastAsia"/>
        </w:rPr>
        <w:t>擬定桃園國際機場園區及附近地區特定區計畫</w:t>
      </w:r>
      <w:r w:rsidRPr="00F33D7C">
        <w:rPr>
          <w:rFonts w:hint="eastAsia"/>
        </w:rPr>
        <w:t>(</w:t>
      </w:r>
      <w:proofErr w:type="gramStart"/>
      <w:r w:rsidRPr="00F33D7C">
        <w:rPr>
          <w:rFonts w:hint="eastAsia"/>
        </w:rPr>
        <w:t>再公展</w:t>
      </w:r>
      <w:proofErr w:type="gramEnd"/>
      <w:r w:rsidRPr="00F33D7C">
        <w:rPr>
          <w:rFonts w:hint="eastAsia"/>
        </w:rPr>
        <w:t>草案</w:t>
      </w:r>
      <w:r w:rsidRPr="00F33D7C">
        <w:rPr>
          <w:rFonts w:hint="eastAsia"/>
        </w:rPr>
        <w:t>)</w:t>
      </w:r>
      <w:r>
        <w:rPr>
          <w:rFonts w:hint="eastAsia"/>
        </w:rPr>
        <w:t>，頁</w:t>
      </w:r>
      <w:r>
        <w:rPr>
          <w:rFonts w:hint="eastAsia"/>
        </w:rPr>
        <w:t>4-16</w:t>
      </w:r>
      <w:r>
        <w:rPr>
          <w:rFonts w:hint="eastAsia"/>
        </w:rPr>
        <w:t>。</w:t>
      </w:r>
    </w:p>
  </w:footnote>
  <w:footnote w:id="11">
    <w:p w:rsidR="00CC347F" w:rsidRPr="0007233D" w:rsidRDefault="00CC347F" w:rsidP="004F0287">
      <w:pPr>
        <w:pStyle w:val="af1"/>
        <w:ind w:left="227" w:hanging="227"/>
      </w:pPr>
      <w:r>
        <w:rPr>
          <w:rStyle w:val="af3"/>
        </w:rPr>
        <w:footnoteRef/>
      </w:r>
      <w:r>
        <w:rPr>
          <w:rFonts w:hint="eastAsia"/>
        </w:rPr>
        <w:t xml:space="preserve"> </w:t>
      </w:r>
      <w:r w:rsidRPr="0007233D">
        <w:rPr>
          <w:rFonts w:hint="eastAsia"/>
        </w:rPr>
        <w:t>包括現行航空貨運園區</w:t>
      </w:r>
      <w:r w:rsidRPr="0007233D">
        <w:rPr>
          <w:rFonts w:hint="eastAsia"/>
        </w:rPr>
        <w:t>(45.02</w:t>
      </w:r>
      <w:r w:rsidRPr="0007233D">
        <w:rPr>
          <w:rFonts w:hint="eastAsia"/>
        </w:rPr>
        <w:t>公頃</w:t>
      </w:r>
      <w:r w:rsidRPr="0007233D">
        <w:rPr>
          <w:rFonts w:hint="eastAsia"/>
        </w:rPr>
        <w:t>)</w:t>
      </w:r>
      <w:r w:rsidRPr="0007233D">
        <w:rPr>
          <w:rFonts w:hint="eastAsia"/>
        </w:rPr>
        <w:t>及依「桃園機場園區綱要計畫」於周邊臨近地區劃設，擴建範圍包含現有遠雄自由貿易港區計畫周邊，航空噪音</w:t>
      </w:r>
      <w:r w:rsidRPr="0007233D">
        <w:rPr>
          <w:rFonts w:hint="eastAsia"/>
        </w:rPr>
        <w:t>60</w:t>
      </w:r>
      <w:r w:rsidRPr="0007233D">
        <w:rPr>
          <w:rFonts w:hint="eastAsia"/>
        </w:rPr>
        <w:t>分貝線以北</w:t>
      </w:r>
      <w:r>
        <w:rPr>
          <w:rFonts w:hint="eastAsia"/>
        </w:rPr>
        <w:t>地區。</w:t>
      </w:r>
    </w:p>
  </w:footnote>
  <w:footnote w:id="12">
    <w:p w:rsidR="00AB17D6" w:rsidRPr="00AB17D6" w:rsidRDefault="00AB17D6">
      <w:pPr>
        <w:pStyle w:val="af1"/>
      </w:pPr>
      <w:r>
        <w:rPr>
          <w:rStyle w:val="af3"/>
        </w:rPr>
        <w:footnoteRef/>
      </w:r>
      <w:r>
        <w:t xml:space="preserve"> </w:t>
      </w:r>
      <w:r>
        <w:rPr>
          <w:rFonts w:hint="eastAsia"/>
        </w:rPr>
        <w:t xml:space="preserve"> </w:t>
      </w:r>
      <w:r>
        <w:rPr>
          <w:rFonts w:hint="eastAsia"/>
        </w:rPr>
        <w:t>即</w:t>
      </w:r>
      <w:r w:rsidRPr="00101F28">
        <w:rPr>
          <w:rFonts w:hint="eastAsia"/>
        </w:rPr>
        <w:t>旅客自動電車輸送系統（</w:t>
      </w:r>
      <w:r w:rsidRPr="00101F28">
        <w:rPr>
          <w:rFonts w:hint="eastAsia"/>
        </w:rPr>
        <w:t>People Mover System</w:t>
      </w:r>
      <w:r w:rsidRPr="00101F28">
        <w:rPr>
          <w:rFonts w:hint="eastAsia"/>
        </w:rPr>
        <w:t>）</w:t>
      </w:r>
      <w:r>
        <w:rPr>
          <w:rFonts w:hint="eastAsia"/>
        </w:rPr>
        <w:t>。</w:t>
      </w:r>
    </w:p>
  </w:footnote>
  <w:footnote w:id="13">
    <w:p w:rsidR="00CC347F" w:rsidRPr="00613451" w:rsidRDefault="00CC347F">
      <w:pPr>
        <w:pStyle w:val="af1"/>
      </w:pPr>
      <w:r>
        <w:rPr>
          <w:rStyle w:val="af3"/>
        </w:rPr>
        <w:footnoteRef/>
      </w:r>
      <w:r>
        <w:rPr>
          <w:rFonts w:hint="eastAsia"/>
        </w:rPr>
        <w:t xml:space="preserve"> </w:t>
      </w:r>
      <w:r w:rsidRPr="00613451">
        <w:rPr>
          <w:rFonts w:hint="eastAsia"/>
        </w:rPr>
        <w:t>該部</w:t>
      </w:r>
      <w:r w:rsidRPr="00613451">
        <w:rPr>
          <w:rFonts w:hint="eastAsia"/>
        </w:rPr>
        <w:t>102</w:t>
      </w:r>
      <w:r w:rsidRPr="00613451">
        <w:rPr>
          <w:rFonts w:hint="eastAsia"/>
        </w:rPr>
        <w:t>年</w:t>
      </w:r>
      <w:r w:rsidRPr="00613451">
        <w:rPr>
          <w:rFonts w:hint="eastAsia"/>
        </w:rPr>
        <w:t>5</w:t>
      </w:r>
      <w:r w:rsidRPr="00613451">
        <w:rPr>
          <w:rFonts w:hint="eastAsia"/>
        </w:rPr>
        <w:t>月</w:t>
      </w:r>
      <w:r w:rsidRPr="00613451">
        <w:rPr>
          <w:rFonts w:hint="eastAsia"/>
        </w:rPr>
        <w:t>17</w:t>
      </w:r>
      <w:r w:rsidRPr="00613451">
        <w:rPr>
          <w:rFonts w:hint="eastAsia"/>
        </w:rPr>
        <w:t>日</w:t>
      </w:r>
      <w:proofErr w:type="gramStart"/>
      <w:r w:rsidRPr="00613451">
        <w:rPr>
          <w:rFonts w:hint="eastAsia"/>
        </w:rPr>
        <w:t>同意函亦載</w:t>
      </w:r>
      <w:proofErr w:type="gramEnd"/>
      <w:r w:rsidRPr="00613451">
        <w:rPr>
          <w:rFonts w:hint="eastAsia"/>
        </w:rPr>
        <w:t>明：「本案係屬發展產業為主之都市計畫」</w:t>
      </w:r>
    </w:p>
  </w:footnote>
  <w:footnote w:id="14">
    <w:p w:rsidR="00CC347F" w:rsidRDefault="00CC347F" w:rsidP="00755757">
      <w:pPr>
        <w:pStyle w:val="af1"/>
        <w:ind w:left="227" w:hanging="227"/>
      </w:pPr>
      <w:r>
        <w:rPr>
          <w:rStyle w:val="af3"/>
        </w:rPr>
        <w:footnoteRef/>
      </w:r>
      <w:r>
        <w:rPr>
          <w:rFonts w:hint="eastAsia"/>
        </w:rPr>
        <w:t xml:space="preserve"> </w:t>
      </w:r>
      <w:r w:rsidRPr="00755757">
        <w:rPr>
          <w:rFonts w:hint="eastAsia"/>
        </w:rPr>
        <w:t>資料來源：桃園縣統計要</w:t>
      </w:r>
      <w:proofErr w:type="gramStart"/>
      <w:r w:rsidRPr="00755757">
        <w:rPr>
          <w:rFonts w:hint="eastAsia"/>
        </w:rPr>
        <w:t>覽</w:t>
      </w:r>
      <w:proofErr w:type="gramEnd"/>
      <w:r w:rsidRPr="00755757">
        <w:rPr>
          <w:rFonts w:hint="eastAsia"/>
        </w:rPr>
        <w:t>(92</w:t>
      </w:r>
      <w:r w:rsidRPr="00755757">
        <w:rPr>
          <w:rFonts w:hint="eastAsia"/>
        </w:rPr>
        <w:t>年</w:t>
      </w:r>
      <w:r w:rsidRPr="00755757">
        <w:rPr>
          <w:rFonts w:hint="eastAsia"/>
        </w:rPr>
        <w:t>- 101</w:t>
      </w:r>
      <w:r w:rsidRPr="00755757">
        <w:rPr>
          <w:rFonts w:hint="eastAsia"/>
        </w:rPr>
        <w:t>年</w:t>
      </w:r>
      <w:r w:rsidRPr="00755757">
        <w:rPr>
          <w:rFonts w:hint="eastAsia"/>
        </w:rPr>
        <w:t>)</w:t>
      </w:r>
      <w:r w:rsidRPr="00755757">
        <w:rPr>
          <w:rFonts w:hint="eastAsia"/>
        </w:rPr>
        <w:t>；轉引自</w:t>
      </w:r>
      <w:r w:rsidRPr="002608B8">
        <w:rPr>
          <w:rFonts w:hint="eastAsia"/>
        </w:rPr>
        <w:t>擬定桃園國際機場園區及附近地區特定區計畫</w:t>
      </w:r>
      <w:r w:rsidRPr="002608B8">
        <w:rPr>
          <w:rFonts w:hint="eastAsia"/>
        </w:rPr>
        <w:t>(</w:t>
      </w:r>
      <w:proofErr w:type="gramStart"/>
      <w:r w:rsidRPr="002608B8">
        <w:rPr>
          <w:rFonts w:hint="eastAsia"/>
        </w:rPr>
        <w:t>再公展</w:t>
      </w:r>
      <w:proofErr w:type="gramEnd"/>
      <w:r w:rsidRPr="002608B8">
        <w:rPr>
          <w:rFonts w:hint="eastAsia"/>
        </w:rPr>
        <w:t>草案</w:t>
      </w:r>
      <w:r w:rsidRPr="002608B8">
        <w:rPr>
          <w:rFonts w:hint="eastAsia"/>
        </w:rPr>
        <w:t>)</w:t>
      </w:r>
      <w:r w:rsidRPr="002608B8">
        <w:rPr>
          <w:rFonts w:hint="eastAsia"/>
        </w:rPr>
        <w:t>，</w:t>
      </w:r>
      <w:r w:rsidRPr="00755757">
        <w:rPr>
          <w:rFonts w:hint="eastAsia"/>
        </w:rPr>
        <w:t>頁</w:t>
      </w:r>
      <w:r w:rsidRPr="00755757">
        <w:rPr>
          <w:rFonts w:hint="eastAsia"/>
        </w:rPr>
        <w:t>3-14</w:t>
      </w:r>
      <w:r w:rsidRPr="00755757">
        <w:rPr>
          <w:rFonts w:hint="eastAsia"/>
        </w:rPr>
        <w:t>。</w:t>
      </w:r>
    </w:p>
  </w:footnote>
  <w:footnote w:id="15">
    <w:p w:rsidR="00CC347F" w:rsidRDefault="00CC347F" w:rsidP="00116032">
      <w:pPr>
        <w:pStyle w:val="af1"/>
        <w:ind w:left="227" w:hanging="227"/>
      </w:pPr>
      <w:r>
        <w:rPr>
          <w:rStyle w:val="af3"/>
        </w:rPr>
        <w:footnoteRef/>
      </w:r>
      <w:r>
        <w:rPr>
          <w:rFonts w:hint="eastAsia"/>
        </w:rPr>
        <w:t xml:space="preserve"> </w:t>
      </w:r>
      <w:r w:rsidRPr="00116032">
        <w:rPr>
          <w:rFonts w:hint="eastAsia"/>
        </w:rPr>
        <w:t>即桃園縣內重大都市計畫縣外社會增加人口</w:t>
      </w:r>
      <w:r w:rsidRPr="00116032">
        <w:rPr>
          <w:rFonts w:hint="eastAsia"/>
        </w:rPr>
        <w:t>11.52</w:t>
      </w:r>
      <w:r w:rsidRPr="00116032">
        <w:rPr>
          <w:rFonts w:hint="eastAsia"/>
        </w:rPr>
        <w:t>萬人，加上本計畫縣外社會增加人口</w:t>
      </w:r>
      <w:r w:rsidRPr="00116032">
        <w:rPr>
          <w:rFonts w:hint="eastAsia"/>
        </w:rPr>
        <w:t>11</w:t>
      </w:r>
      <w:r w:rsidRPr="00116032">
        <w:rPr>
          <w:rFonts w:hint="eastAsia"/>
        </w:rPr>
        <w:t>萬人，</w:t>
      </w:r>
      <w:proofErr w:type="gramStart"/>
      <w:r w:rsidRPr="00116032">
        <w:rPr>
          <w:rFonts w:hint="eastAsia"/>
        </w:rPr>
        <w:t>扣除原推估</w:t>
      </w:r>
      <w:proofErr w:type="gramEnd"/>
      <w:r w:rsidRPr="00116032">
        <w:rPr>
          <w:rFonts w:hint="eastAsia"/>
        </w:rPr>
        <w:t>之現居人口</w:t>
      </w:r>
      <w:r w:rsidRPr="00116032">
        <w:rPr>
          <w:rFonts w:hint="eastAsia"/>
        </w:rPr>
        <w:t>3</w:t>
      </w:r>
      <w:r w:rsidRPr="00116032">
        <w:rPr>
          <w:rFonts w:hint="eastAsia"/>
        </w:rPr>
        <w:t>萬餘人。</w:t>
      </w:r>
      <w:proofErr w:type="gramStart"/>
      <w:r w:rsidRPr="00116032">
        <w:rPr>
          <w:rFonts w:hint="eastAsia"/>
        </w:rPr>
        <w:t>參考計爭計畫</w:t>
      </w:r>
      <w:proofErr w:type="gramEnd"/>
      <w:r w:rsidRPr="00116032">
        <w:rPr>
          <w:rFonts w:hint="eastAsia"/>
        </w:rPr>
        <w:t>書，頁</w:t>
      </w:r>
      <w:r w:rsidRPr="00116032">
        <w:rPr>
          <w:rFonts w:hint="eastAsia"/>
        </w:rPr>
        <w:t>4-15</w:t>
      </w:r>
      <w:r w:rsidRPr="00116032">
        <w:rPr>
          <w:rFonts w:hint="eastAsia"/>
        </w:rPr>
        <w:t>。</w:t>
      </w:r>
    </w:p>
  </w:footnote>
  <w:footnote w:id="16">
    <w:p w:rsidR="00CC347F" w:rsidRDefault="00CC347F">
      <w:pPr>
        <w:pStyle w:val="af1"/>
      </w:pPr>
      <w:r>
        <w:rPr>
          <w:rStyle w:val="af3"/>
        </w:rPr>
        <w:footnoteRef/>
      </w:r>
      <w:r>
        <w:rPr>
          <w:rFonts w:ascii="標楷體" w:hAnsi="標楷體" w:hint="eastAsia"/>
        </w:rPr>
        <w:t xml:space="preserve"> </w:t>
      </w:r>
      <w:r w:rsidRPr="00E2125C">
        <w:rPr>
          <w:rFonts w:ascii="標楷體" w:hAnsi="標楷體" w:hint="eastAsia"/>
        </w:rPr>
        <w:t>參考全國區域計畫</w:t>
      </w:r>
      <w:proofErr w:type="gramStart"/>
      <w:r w:rsidRPr="00E2125C">
        <w:rPr>
          <w:rFonts w:ascii="標楷體" w:hAnsi="標楷體" w:hint="eastAsia"/>
        </w:rPr>
        <w:t>115年戶量</w:t>
      </w:r>
      <w:proofErr w:type="gramEnd"/>
      <w:r w:rsidRPr="00E2125C">
        <w:rPr>
          <w:rFonts w:ascii="標楷體" w:hAnsi="標楷體" w:hint="eastAsia"/>
        </w:rPr>
        <w:t>2.36人/</w:t>
      </w:r>
      <w:proofErr w:type="gramStart"/>
      <w:r w:rsidRPr="00E2125C">
        <w:rPr>
          <w:rFonts w:ascii="標楷體" w:hAnsi="標楷體" w:hint="eastAsia"/>
        </w:rPr>
        <w:t>戶推計</w:t>
      </w:r>
      <w:proofErr w:type="gramEnd"/>
      <w:r w:rsidRPr="00E2125C">
        <w:rPr>
          <w:rFonts w:ascii="標楷體" w:hAnsi="標楷體" w:hint="eastAsia"/>
        </w:rPr>
        <w:t>。</w:t>
      </w:r>
    </w:p>
  </w:footnote>
  <w:footnote w:id="17">
    <w:p w:rsidR="00CC347F" w:rsidRDefault="00CC347F">
      <w:pPr>
        <w:pStyle w:val="af1"/>
      </w:pPr>
      <w:r>
        <w:rPr>
          <w:rStyle w:val="af3"/>
        </w:rPr>
        <w:footnoteRef/>
      </w:r>
      <w:r>
        <w:rPr>
          <w:rFonts w:hint="eastAsia"/>
        </w:rPr>
        <w:t xml:space="preserve"> </w:t>
      </w:r>
      <w:r w:rsidRPr="00116032">
        <w:rPr>
          <w:rFonts w:hint="eastAsia"/>
        </w:rPr>
        <w:t>參考內政部營建署住宅資訊統計年報。</w:t>
      </w:r>
    </w:p>
  </w:footnote>
  <w:footnote w:id="18">
    <w:p w:rsidR="00CC347F" w:rsidRDefault="00CC347F" w:rsidP="00116032">
      <w:pPr>
        <w:pStyle w:val="af1"/>
        <w:ind w:left="227" w:hanging="227"/>
      </w:pPr>
      <w:r>
        <w:rPr>
          <w:rStyle w:val="af3"/>
        </w:rPr>
        <w:footnoteRef/>
      </w:r>
      <w:r>
        <w:rPr>
          <w:rFonts w:ascii="標楷體" w:hAnsi="標楷體" w:hint="eastAsia"/>
        </w:rPr>
        <w:t xml:space="preserve"> </w:t>
      </w:r>
      <w:r w:rsidRPr="00E2125C">
        <w:rPr>
          <w:rFonts w:ascii="標楷體" w:hAnsi="標楷體" w:hint="eastAsia"/>
        </w:rPr>
        <w:t>第一種住宅區：容積率180％；第一之一種住宅區：容積率120％；第二種住宅區：容積率180％；第三種住宅區：容積率180％；第四種住宅區：容積率200％；第三種住宅區：容積率180％；第四種住宅區：容積率200％；第</w:t>
      </w:r>
      <w:r>
        <w:rPr>
          <w:rFonts w:ascii="標楷體" w:hAnsi="標楷體" w:hint="eastAsia"/>
        </w:rPr>
        <w:t>五</w:t>
      </w:r>
      <w:r w:rsidRPr="00E2125C">
        <w:rPr>
          <w:rFonts w:ascii="標楷體" w:hAnsi="標楷體" w:hint="eastAsia"/>
        </w:rPr>
        <w:t>種住宅區：容積率2</w:t>
      </w:r>
      <w:r>
        <w:rPr>
          <w:rFonts w:ascii="標楷體" w:hAnsi="標楷體" w:hint="eastAsia"/>
        </w:rPr>
        <w:t>4</w:t>
      </w:r>
      <w:r w:rsidRPr="00E2125C">
        <w:rPr>
          <w:rFonts w:ascii="標楷體" w:hAnsi="標楷體" w:hint="eastAsia"/>
        </w:rPr>
        <w:t>0％</w:t>
      </w:r>
      <w:proofErr w:type="gramStart"/>
      <w:r w:rsidRPr="00E2125C">
        <w:rPr>
          <w:rFonts w:ascii="標楷體" w:hAnsi="標楷體" w:hint="eastAsia"/>
        </w:rPr>
        <w:t>）</w:t>
      </w:r>
      <w:proofErr w:type="gramEnd"/>
    </w:p>
  </w:footnote>
  <w:footnote w:id="19">
    <w:p w:rsidR="00CC347F" w:rsidRDefault="00CC347F" w:rsidP="0000697D">
      <w:pPr>
        <w:pStyle w:val="af1"/>
        <w:ind w:left="227" w:hanging="227"/>
        <w:jc w:val="both"/>
      </w:pPr>
      <w:r>
        <w:rPr>
          <w:rStyle w:val="af3"/>
        </w:rPr>
        <w:footnoteRef/>
      </w:r>
      <w:r>
        <w:rPr>
          <w:rFonts w:ascii="標楷體" w:hAnsi="標楷體" w:hint="eastAsia"/>
        </w:rPr>
        <w:t xml:space="preserve"> </w:t>
      </w:r>
      <w:r w:rsidRPr="007E1FD2">
        <w:rPr>
          <w:rFonts w:ascii="標楷體" w:hAnsi="標楷體" w:hint="eastAsia"/>
        </w:rPr>
        <w:t>第一種商業區：容積率240％、容許作多戶住宅使用；第二種商業區：容積率280％、容許建築基地總樓地板面積60％作多戶住宅使用；第三種商業區：容積率360％、容許建築基地總樓地板面積40％作多戶住宅使用；第四種商業區：容積率380％、容許建築基地總樓地板面積20％作多戶住宅使用</w:t>
      </w:r>
      <w:r>
        <w:rPr>
          <w:rFonts w:ascii="標楷體" w:hAnsi="標楷體" w:hint="eastAsia"/>
        </w:rPr>
        <w:t>，</w:t>
      </w:r>
      <w:r w:rsidRPr="00E2125C">
        <w:rPr>
          <w:rFonts w:ascii="標楷體" w:hAnsi="標楷體" w:hint="eastAsia"/>
        </w:rPr>
        <w:t>參考系爭計畫書，頁8-65～8-67。</w:t>
      </w:r>
    </w:p>
  </w:footnote>
  <w:footnote w:id="20">
    <w:p w:rsidR="00CC347F" w:rsidRDefault="00CC347F" w:rsidP="0000697D">
      <w:pPr>
        <w:pStyle w:val="af1"/>
        <w:ind w:left="227" w:hanging="227"/>
        <w:jc w:val="both"/>
      </w:pPr>
      <w:r>
        <w:rPr>
          <w:rStyle w:val="af3"/>
        </w:rPr>
        <w:footnoteRef/>
      </w:r>
      <w:r>
        <w:rPr>
          <w:rFonts w:hint="eastAsia"/>
        </w:rPr>
        <w:t xml:space="preserve"> </w:t>
      </w:r>
      <w:r>
        <w:rPr>
          <w:rFonts w:hint="eastAsia"/>
        </w:rPr>
        <w:t>此為「</w:t>
      </w:r>
      <w:r w:rsidRPr="004B33E7">
        <w:rPr>
          <w:rFonts w:hint="eastAsia"/>
        </w:rPr>
        <w:t>臺灣省實施都市計畫地區容積率訂定與獎勵規定審查作業要點</w:t>
      </w:r>
      <w:r>
        <w:rPr>
          <w:rFonts w:hint="eastAsia"/>
        </w:rPr>
        <w:t>」</w:t>
      </w:r>
      <w:r w:rsidRPr="00B20F55">
        <w:rPr>
          <w:rFonts w:hint="eastAsia"/>
        </w:rPr>
        <w:t>計算方式，</w:t>
      </w:r>
      <w:r>
        <w:rPr>
          <w:rFonts w:hint="eastAsia"/>
        </w:rPr>
        <w:t>另</w:t>
      </w:r>
      <w:r w:rsidRPr="00B20F55">
        <w:rPr>
          <w:rFonts w:hint="eastAsia"/>
        </w:rPr>
        <w:t>「都市計畫工業區檢討變更審議規範」第</w:t>
      </w:r>
      <w:r>
        <w:rPr>
          <w:rFonts w:hint="eastAsia"/>
        </w:rPr>
        <w:t>9</w:t>
      </w:r>
      <w:r w:rsidRPr="00B20F55">
        <w:rPr>
          <w:rFonts w:hint="eastAsia"/>
        </w:rPr>
        <w:t>點規定，計畫容納人口應符合每人</w:t>
      </w:r>
      <w:r>
        <w:rPr>
          <w:rFonts w:hint="eastAsia"/>
        </w:rPr>
        <w:t>50</w:t>
      </w:r>
      <w:r w:rsidRPr="00B20F55">
        <w:rPr>
          <w:rFonts w:hint="eastAsia"/>
        </w:rPr>
        <w:t>平方公尺住宅樓地板面積，每</w:t>
      </w:r>
      <w:r>
        <w:rPr>
          <w:rFonts w:hint="eastAsia"/>
        </w:rPr>
        <w:t>4</w:t>
      </w:r>
      <w:r w:rsidRPr="00B20F55">
        <w:rPr>
          <w:rFonts w:hint="eastAsia"/>
        </w:rPr>
        <w:t>人為</w:t>
      </w:r>
      <w:r w:rsidRPr="004A375D">
        <w:rPr>
          <w:rFonts w:ascii="標楷體" w:hAnsi="標楷體" w:hint="eastAsia"/>
        </w:rPr>
        <w:t>1戶之計算基準，並依都市計畫定期通盤檢討實施辦法及配合地區需要，配置各項必要公共設施用地。</w:t>
      </w:r>
    </w:p>
  </w:footnote>
  <w:footnote w:id="21">
    <w:p w:rsidR="00CC347F" w:rsidRDefault="00CC347F" w:rsidP="0000697D">
      <w:pPr>
        <w:pStyle w:val="af1"/>
        <w:ind w:left="227" w:hanging="227"/>
        <w:jc w:val="both"/>
      </w:pPr>
      <w:r>
        <w:rPr>
          <w:rStyle w:val="af3"/>
        </w:rPr>
        <w:footnoteRef/>
      </w:r>
      <w:r>
        <w:rPr>
          <w:rFonts w:ascii="標楷體" w:hAnsi="標楷體" w:hint="eastAsia"/>
        </w:rPr>
        <w:t xml:space="preserve"> </w:t>
      </w:r>
      <w:proofErr w:type="gramStart"/>
      <w:r w:rsidRPr="004A375D">
        <w:rPr>
          <w:rFonts w:ascii="標楷體" w:hAnsi="標楷體" w:hint="eastAsia"/>
        </w:rPr>
        <w:t>依系爭</w:t>
      </w:r>
      <w:proofErr w:type="gramEnd"/>
      <w:r w:rsidRPr="004A375D">
        <w:rPr>
          <w:rFonts w:ascii="標楷體" w:hAnsi="標楷體" w:hint="eastAsia"/>
        </w:rPr>
        <w:t>計畫土地使用分區管制第35點：「依本計畫容積獎勵以該建築基地基準容積之</w:t>
      </w:r>
      <w:r w:rsidRPr="004A375D">
        <w:rPr>
          <w:rFonts w:ascii="標楷體" w:hAnsi="標楷體"/>
        </w:rPr>
        <w:t>20</w:t>
      </w:r>
      <w:r w:rsidRPr="004A375D">
        <w:rPr>
          <w:rFonts w:ascii="標楷體" w:hAnsi="標楷體" w:hint="eastAsia"/>
        </w:rPr>
        <w:t>％為限。惟依『大眾捷運系統土地開發辦法』者，不在此限。」、第36點規定：「計畫區建築基地得依建築技術規則建築設計施工篇第十五章之『實施都市計畫地區建築基地綜合設計』規定辦理，但容積獎勵額度以該基地面積乘以該基地基準容積率之20％為上限。」</w:t>
      </w:r>
    </w:p>
  </w:footnote>
  <w:footnote w:id="22">
    <w:p w:rsidR="00CC347F" w:rsidRDefault="00CC347F">
      <w:pPr>
        <w:pStyle w:val="af1"/>
      </w:pPr>
      <w:r>
        <w:rPr>
          <w:rStyle w:val="af3"/>
        </w:rPr>
        <w:footnoteRef/>
      </w:r>
      <w:r>
        <w:rPr>
          <w:rFonts w:hint="eastAsia"/>
        </w:rPr>
        <w:t xml:space="preserve"> </w:t>
      </w:r>
      <w:r>
        <w:rPr>
          <w:rFonts w:hint="eastAsia"/>
        </w:rPr>
        <w:t>全國區域計畫，</w:t>
      </w:r>
      <w:r>
        <w:rPr>
          <w:rFonts w:hint="eastAsia"/>
        </w:rPr>
        <w:t>102</w:t>
      </w:r>
      <w:r>
        <w:rPr>
          <w:rFonts w:hint="eastAsia"/>
        </w:rPr>
        <w:t>年</w:t>
      </w:r>
      <w:r>
        <w:rPr>
          <w:rFonts w:hint="eastAsia"/>
        </w:rPr>
        <w:t>10</w:t>
      </w:r>
      <w:r>
        <w:rPr>
          <w:rFonts w:hint="eastAsia"/>
        </w:rPr>
        <w:t>月，頁</w:t>
      </w:r>
      <w:r>
        <w:rPr>
          <w:rFonts w:hint="eastAsia"/>
        </w:rPr>
        <w:t>118</w:t>
      </w:r>
      <w:r>
        <w:rPr>
          <w:rFonts w:hint="eastAsia"/>
        </w:rPr>
        <w:t>。</w:t>
      </w:r>
    </w:p>
  </w:footnote>
  <w:footnote w:id="23">
    <w:p w:rsidR="00CC347F" w:rsidRDefault="00CC347F">
      <w:pPr>
        <w:pStyle w:val="af1"/>
      </w:pPr>
      <w:r>
        <w:rPr>
          <w:rStyle w:val="af3"/>
        </w:rPr>
        <w:footnoteRef/>
      </w:r>
      <w:r>
        <w:rPr>
          <w:rFonts w:hint="eastAsia"/>
        </w:rPr>
        <w:t xml:space="preserve"> </w:t>
      </w:r>
      <w:r w:rsidRPr="002608B8">
        <w:rPr>
          <w:rFonts w:hint="eastAsia"/>
        </w:rPr>
        <w:t>擬定桃園國際機場園區及附近地區特定區計畫</w:t>
      </w:r>
      <w:r w:rsidRPr="002608B8">
        <w:rPr>
          <w:rFonts w:hint="eastAsia"/>
        </w:rPr>
        <w:t>(</w:t>
      </w:r>
      <w:proofErr w:type="gramStart"/>
      <w:r w:rsidRPr="002608B8">
        <w:rPr>
          <w:rFonts w:hint="eastAsia"/>
        </w:rPr>
        <w:t>再公展</w:t>
      </w:r>
      <w:proofErr w:type="gramEnd"/>
      <w:r w:rsidRPr="002608B8">
        <w:rPr>
          <w:rFonts w:hint="eastAsia"/>
        </w:rPr>
        <w:t>草案</w:t>
      </w:r>
      <w:r w:rsidRPr="002608B8">
        <w:rPr>
          <w:rFonts w:hint="eastAsia"/>
        </w:rPr>
        <w:t>)</w:t>
      </w:r>
      <w:r>
        <w:rPr>
          <w:rFonts w:hint="eastAsia"/>
        </w:rPr>
        <w:t>，頁</w:t>
      </w:r>
      <w:r w:rsidRPr="00BC3324">
        <w:rPr>
          <w:rFonts w:hint="eastAsia"/>
        </w:rPr>
        <w:t>8-102</w:t>
      </w:r>
      <w:r>
        <w:rPr>
          <w:rFonts w:hint="eastAsia"/>
        </w:rPr>
        <w:t>。</w:t>
      </w:r>
    </w:p>
  </w:footnote>
  <w:footnote w:id="24">
    <w:p w:rsidR="00CC347F" w:rsidRDefault="00CC347F">
      <w:pPr>
        <w:pStyle w:val="af1"/>
      </w:pPr>
      <w:r>
        <w:rPr>
          <w:rStyle w:val="af3"/>
        </w:rPr>
        <w:footnoteRef/>
      </w:r>
      <w:r>
        <w:t xml:space="preserve"> </w:t>
      </w:r>
      <w:r>
        <w:rPr>
          <w:rFonts w:hint="eastAsia"/>
        </w:rPr>
        <w:t>依本案履</w:t>
      </w:r>
      <w:proofErr w:type="gramStart"/>
      <w:r>
        <w:rPr>
          <w:rFonts w:hint="eastAsia"/>
        </w:rPr>
        <w:t>勘</w:t>
      </w:r>
      <w:proofErr w:type="gramEnd"/>
      <w:r>
        <w:rPr>
          <w:rFonts w:hint="eastAsia"/>
        </w:rPr>
        <w:t>時內政部提供之簡報資料。</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66DC8098"/>
    <w:lvl w:ilvl="0">
      <w:start w:val="1"/>
      <w:numFmt w:val="ideographLegalTraditional"/>
      <w:pStyle w:val="1"/>
      <w:suff w:val="nothing"/>
      <w:lvlText w:val="%1、"/>
      <w:lvlJc w:val="left"/>
      <w:pPr>
        <w:ind w:left="1125"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832"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548" w:hanging="697"/>
      </w:pPr>
      <w:rPr>
        <w:rFonts w:ascii="標楷體" w:eastAsia="標楷體" w:hint="eastAsia"/>
        <w:b w:val="0"/>
        <w:i w:val="0"/>
        <w:color w:val="auto"/>
        <w:spacing w:val="0"/>
        <w:w w:val="100"/>
        <w:position w:val="0"/>
        <w:sz w:val="32"/>
      </w:rPr>
    </w:lvl>
    <w:lvl w:ilvl="3">
      <w:start w:val="1"/>
      <w:numFmt w:val="decimalFullWidth"/>
      <w:pStyle w:val="4"/>
      <w:suff w:val="nothing"/>
      <w:lvlText w:val="%4、"/>
      <w:lvlJc w:val="left"/>
      <w:pPr>
        <w:ind w:left="1975"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54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700"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763"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29392457"/>
    <w:multiLevelType w:val="hybridMultilevel"/>
    <w:tmpl w:val="B798CDBC"/>
    <w:lvl w:ilvl="0" w:tplc="779AE4CC">
      <w:start w:val="1"/>
      <w:numFmt w:val="bullet"/>
      <w:lvlText w:val=""/>
      <w:lvlJc w:val="left"/>
      <w:pPr>
        <w:tabs>
          <w:tab w:val="num" w:pos="480"/>
        </w:tabs>
        <w:ind w:left="480" w:hanging="480"/>
      </w:pPr>
      <w:rPr>
        <w:rFonts w:ascii="Wingdings" w:hAnsi="Wingdings" w:cs="Wingdings" w:hint="default"/>
      </w:rPr>
    </w:lvl>
    <w:lvl w:ilvl="1" w:tplc="04090003">
      <w:start w:val="1"/>
      <w:numFmt w:val="bullet"/>
      <w:lvlText w:val=""/>
      <w:lvlJc w:val="left"/>
      <w:pPr>
        <w:tabs>
          <w:tab w:val="num" w:pos="960"/>
        </w:tabs>
        <w:ind w:left="960" w:hanging="480"/>
      </w:pPr>
      <w:rPr>
        <w:rFonts w:ascii="Wingdings" w:hAnsi="Wingdings" w:cs="Wingdings" w:hint="default"/>
      </w:rPr>
    </w:lvl>
    <w:lvl w:ilvl="2" w:tplc="04090005">
      <w:start w:val="1"/>
      <w:numFmt w:val="bullet"/>
      <w:lvlText w:val=""/>
      <w:lvlJc w:val="left"/>
      <w:pPr>
        <w:tabs>
          <w:tab w:val="num" w:pos="1440"/>
        </w:tabs>
        <w:ind w:left="1440" w:hanging="480"/>
      </w:pPr>
      <w:rPr>
        <w:rFonts w:ascii="Wingdings" w:hAnsi="Wingdings" w:cs="Wingdings" w:hint="default"/>
      </w:rPr>
    </w:lvl>
    <w:lvl w:ilvl="3" w:tplc="04090001">
      <w:start w:val="1"/>
      <w:numFmt w:val="bullet"/>
      <w:lvlText w:val=""/>
      <w:lvlJc w:val="left"/>
      <w:pPr>
        <w:tabs>
          <w:tab w:val="num" w:pos="1920"/>
        </w:tabs>
        <w:ind w:left="1920" w:hanging="480"/>
      </w:pPr>
      <w:rPr>
        <w:rFonts w:ascii="Wingdings" w:hAnsi="Wingdings" w:cs="Wingdings" w:hint="default"/>
      </w:rPr>
    </w:lvl>
    <w:lvl w:ilvl="4" w:tplc="04090003">
      <w:start w:val="1"/>
      <w:numFmt w:val="bullet"/>
      <w:lvlText w:val=""/>
      <w:lvlJc w:val="left"/>
      <w:pPr>
        <w:tabs>
          <w:tab w:val="num" w:pos="2400"/>
        </w:tabs>
        <w:ind w:left="2400" w:hanging="480"/>
      </w:pPr>
      <w:rPr>
        <w:rFonts w:ascii="Wingdings" w:hAnsi="Wingdings" w:cs="Wingdings" w:hint="default"/>
      </w:rPr>
    </w:lvl>
    <w:lvl w:ilvl="5" w:tplc="04090005">
      <w:start w:val="1"/>
      <w:numFmt w:val="bullet"/>
      <w:lvlText w:val=""/>
      <w:lvlJc w:val="left"/>
      <w:pPr>
        <w:tabs>
          <w:tab w:val="num" w:pos="2880"/>
        </w:tabs>
        <w:ind w:left="2880" w:hanging="480"/>
      </w:pPr>
      <w:rPr>
        <w:rFonts w:ascii="Wingdings" w:hAnsi="Wingdings" w:cs="Wingdings" w:hint="default"/>
      </w:rPr>
    </w:lvl>
    <w:lvl w:ilvl="6" w:tplc="04090001">
      <w:start w:val="1"/>
      <w:numFmt w:val="bullet"/>
      <w:lvlText w:val=""/>
      <w:lvlJc w:val="left"/>
      <w:pPr>
        <w:tabs>
          <w:tab w:val="num" w:pos="3360"/>
        </w:tabs>
        <w:ind w:left="3360" w:hanging="480"/>
      </w:pPr>
      <w:rPr>
        <w:rFonts w:ascii="Wingdings" w:hAnsi="Wingdings" w:cs="Wingdings" w:hint="default"/>
      </w:rPr>
    </w:lvl>
    <w:lvl w:ilvl="7" w:tplc="04090003">
      <w:start w:val="1"/>
      <w:numFmt w:val="bullet"/>
      <w:lvlText w:val=""/>
      <w:lvlJc w:val="left"/>
      <w:pPr>
        <w:tabs>
          <w:tab w:val="num" w:pos="3840"/>
        </w:tabs>
        <w:ind w:left="3840" w:hanging="480"/>
      </w:pPr>
      <w:rPr>
        <w:rFonts w:ascii="Wingdings" w:hAnsi="Wingdings" w:cs="Wingdings" w:hint="default"/>
      </w:rPr>
    </w:lvl>
    <w:lvl w:ilvl="8" w:tplc="04090005">
      <w:start w:val="1"/>
      <w:numFmt w:val="bullet"/>
      <w:lvlText w:val=""/>
      <w:lvlJc w:val="left"/>
      <w:pPr>
        <w:tabs>
          <w:tab w:val="num" w:pos="4320"/>
        </w:tabs>
        <w:ind w:left="4320" w:hanging="480"/>
      </w:pPr>
      <w:rPr>
        <w:rFonts w:ascii="Wingdings" w:hAnsi="Wingdings" w:cs="Wingdings" w:hint="default"/>
      </w:rPr>
    </w:lvl>
  </w:abstractNum>
  <w:abstractNum w:abstractNumId="4">
    <w:nsid w:val="5531018E"/>
    <w:multiLevelType w:val="hybridMultilevel"/>
    <w:tmpl w:val="B04832A0"/>
    <w:lvl w:ilvl="0" w:tplc="FFFFFFFF">
      <w:start w:val="1"/>
      <w:numFmt w:val="decimal"/>
      <w:lvlText w:val="%1."/>
      <w:lvlJc w:val="left"/>
      <w:pPr>
        <w:tabs>
          <w:tab w:val="num" w:pos="960"/>
        </w:tabs>
        <w:ind w:left="960" w:hanging="48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5665175D"/>
    <w:multiLevelType w:val="hybridMultilevel"/>
    <w:tmpl w:val="092C1A1A"/>
    <w:lvl w:ilvl="0" w:tplc="7D604928">
      <w:start w:val="1"/>
      <w:numFmt w:val="decimal"/>
      <w:lvlText w:val="%1."/>
      <w:lvlJc w:val="left"/>
      <w:pPr>
        <w:tabs>
          <w:tab w:val="num" w:pos="960"/>
        </w:tabs>
        <w:ind w:left="960"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6A0E646B"/>
    <w:multiLevelType w:val="hybridMultilevel"/>
    <w:tmpl w:val="69E2916C"/>
    <w:lvl w:ilvl="0" w:tplc="918E686C">
      <w:start w:val="1"/>
      <w:numFmt w:val="decimal"/>
      <w:lvlText w:val="%1."/>
      <w:lvlJc w:val="left"/>
      <w:pPr>
        <w:tabs>
          <w:tab w:val="num" w:pos="960"/>
        </w:tabs>
        <w:ind w:left="960"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1"/>
  </w:num>
  <w:num w:numId="5">
    <w:abstractNumId w:val="4"/>
  </w:num>
  <w:num w:numId="6">
    <w:abstractNumId w:val="5"/>
  </w:num>
  <w:num w:numId="7">
    <w:abstractNumId w:val="6"/>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hideSpellingErrors/>
  <w:proofState w:grammar="clean"/>
  <w:attachedTemplate r:id="rId1"/>
  <w:defaultTabStop w:val="0"/>
  <w:drawingGridHorizontalSpacing w:val="170"/>
  <w:drawingGridVerticalSpacing w:val="457"/>
  <w:displayHorizontalDrawingGridEvery w:val="0"/>
  <w:characterSpacingControl w:val="compressPunctuation"/>
  <w:hdrShapeDefaults>
    <o:shapedefaults v:ext="edit" spidmax="21506">
      <o:colormru v:ext="edit" colors="white,#cff"/>
      <o:colormenu v:ext="edit" fillcolor="#cff" strokecolor="none"/>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734908"/>
    <w:rsid w:val="00000729"/>
    <w:rsid w:val="00001FF3"/>
    <w:rsid w:val="0000290D"/>
    <w:rsid w:val="00004213"/>
    <w:rsid w:val="00004EAE"/>
    <w:rsid w:val="0000697D"/>
    <w:rsid w:val="00006C55"/>
    <w:rsid w:val="00012EAF"/>
    <w:rsid w:val="00015FD7"/>
    <w:rsid w:val="00016B4B"/>
    <w:rsid w:val="00021676"/>
    <w:rsid w:val="00022C2F"/>
    <w:rsid w:val="00023BC8"/>
    <w:rsid w:val="00025571"/>
    <w:rsid w:val="00025D17"/>
    <w:rsid w:val="00026F4B"/>
    <w:rsid w:val="000278BF"/>
    <w:rsid w:val="00027E7E"/>
    <w:rsid w:val="0003052F"/>
    <w:rsid w:val="000314C7"/>
    <w:rsid w:val="0003181B"/>
    <w:rsid w:val="00033E8A"/>
    <w:rsid w:val="0003507F"/>
    <w:rsid w:val="00037326"/>
    <w:rsid w:val="00041093"/>
    <w:rsid w:val="000417BE"/>
    <w:rsid w:val="000423C8"/>
    <w:rsid w:val="00042B42"/>
    <w:rsid w:val="000445F4"/>
    <w:rsid w:val="0004535F"/>
    <w:rsid w:val="000459BC"/>
    <w:rsid w:val="00050B4E"/>
    <w:rsid w:val="00051AD7"/>
    <w:rsid w:val="00052D9C"/>
    <w:rsid w:val="000538E8"/>
    <w:rsid w:val="00053C2C"/>
    <w:rsid w:val="0005559A"/>
    <w:rsid w:val="00055F57"/>
    <w:rsid w:val="0005719B"/>
    <w:rsid w:val="00057F26"/>
    <w:rsid w:val="000628B1"/>
    <w:rsid w:val="0006333A"/>
    <w:rsid w:val="0006491E"/>
    <w:rsid w:val="0006495E"/>
    <w:rsid w:val="00065BDF"/>
    <w:rsid w:val="00066D92"/>
    <w:rsid w:val="00067B45"/>
    <w:rsid w:val="00070A85"/>
    <w:rsid w:val="000720D5"/>
    <w:rsid w:val="0007233D"/>
    <w:rsid w:val="00074246"/>
    <w:rsid w:val="00076EB0"/>
    <w:rsid w:val="00080443"/>
    <w:rsid w:val="000806C1"/>
    <w:rsid w:val="00081E99"/>
    <w:rsid w:val="00083584"/>
    <w:rsid w:val="000838F5"/>
    <w:rsid w:val="00084179"/>
    <w:rsid w:val="00085893"/>
    <w:rsid w:val="00086E50"/>
    <w:rsid w:val="00087BAF"/>
    <w:rsid w:val="00090C56"/>
    <w:rsid w:val="00094B6F"/>
    <w:rsid w:val="00094EDA"/>
    <w:rsid w:val="000952F8"/>
    <w:rsid w:val="00095EC8"/>
    <w:rsid w:val="0009754D"/>
    <w:rsid w:val="000A03A1"/>
    <w:rsid w:val="000A5331"/>
    <w:rsid w:val="000A56A6"/>
    <w:rsid w:val="000A60AD"/>
    <w:rsid w:val="000A6A8C"/>
    <w:rsid w:val="000A7DAA"/>
    <w:rsid w:val="000B0758"/>
    <w:rsid w:val="000B0A84"/>
    <w:rsid w:val="000B210E"/>
    <w:rsid w:val="000B2459"/>
    <w:rsid w:val="000B2979"/>
    <w:rsid w:val="000B321C"/>
    <w:rsid w:val="000B4F81"/>
    <w:rsid w:val="000B5246"/>
    <w:rsid w:val="000B6C62"/>
    <w:rsid w:val="000B6EFF"/>
    <w:rsid w:val="000B7651"/>
    <w:rsid w:val="000C136F"/>
    <w:rsid w:val="000C13FB"/>
    <w:rsid w:val="000C16C4"/>
    <w:rsid w:val="000C1E87"/>
    <w:rsid w:val="000C403C"/>
    <w:rsid w:val="000C4152"/>
    <w:rsid w:val="000C70D3"/>
    <w:rsid w:val="000D0297"/>
    <w:rsid w:val="000D069E"/>
    <w:rsid w:val="000D2270"/>
    <w:rsid w:val="000D259C"/>
    <w:rsid w:val="000D2B7E"/>
    <w:rsid w:val="000D499B"/>
    <w:rsid w:val="000D4BBB"/>
    <w:rsid w:val="000D5399"/>
    <w:rsid w:val="000D6F11"/>
    <w:rsid w:val="000D7783"/>
    <w:rsid w:val="000E077C"/>
    <w:rsid w:val="000E26A8"/>
    <w:rsid w:val="000E3A83"/>
    <w:rsid w:val="000E3AE2"/>
    <w:rsid w:val="000E4220"/>
    <w:rsid w:val="000E493E"/>
    <w:rsid w:val="000E4E43"/>
    <w:rsid w:val="000E5647"/>
    <w:rsid w:val="000E5BAF"/>
    <w:rsid w:val="000E5CD0"/>
    <w:rsid w:val="000E746D"/>
    <w:rsid w:val="000E76FE"/>
    <w:rsid w:val="000F0C91"/>
    <w:rsid w:val="000F3F0A"/>
    <w:rsid w:val="000F44FC"/>
    <w:rsid w:val="000F50B4"/>
    <w:rsid w:val="000F5367"/>
    <w:rsid w:val="000F71D5"/>
    <w:rsid w:val="000F7271"/>
    <w:rsid w:val="00100771"/>
    <w:rsid w:val="00101F28"/>
    <w:rsid w:val="00102BF1"/>
    <w:rsid w:val="001030B7"/>
    <w:rsid w:val="001045EF"/>
    <w:rsid w:val="00105E34"/>
    <w:rsid w:val="001060A8"/>
    <w:rsid w:val="0010779B"/>
    <w:rsid w:val="00110E5B"/>
    <w:rsid w:val="00110FBF"/>
    <w:rsid w:val="001137B5"/>
    <w:rsid w:val="0011514B"/>
    <w:rsid w:val="00116032"/>
    <w:rsid w:val="00120CF3"/>
    <w:rsid w:val="00120D8B"/>
    <w:rsid w:val="00121AB7"/>
    <w:rsid w:val="00121C27"/>
    <w:rsid w:val="00121C9C"/>
    <w:rsid w:val="00122F3D"/>
    <w:rsid w:val="00126025"/>
    <w:rsid w:val="0012629D"/>
    <w:rsid w:val="00126865"/>
    <w:rsid w:val="00127534"/>
    <w:rsid w:val="001279CF"/>
    <w:rsid w:val="00130A4A"/>
    <w:rsid w:val="00131D5C"/>
    <w:rsid w:val="00132107"/>
    <w:rsid w:val="00132694"/>
    <w:rsid w:val="00132A12"/>
    <w:rsid w:val="00133827"/>
    <w:rsid w:val="00133BD9"/>
    <w:rsid w:val="00136465"/>
    <w:rsid w:val="0013694D"/>
    <w:rsid w:val="0013789E"/>
    <w:rsid w:val="00137CEB"/>
    <w:rsid w:val="001427C4"/>
    <w:rsid w:val="00143F4C"/>
    <w:rsid w:val="0014487D"/>
    <w:rsid w:val="001467E3"/>
    <w:rsid w:val="00146C9F"/>
    <w:rsid w:val="00150485"/>
    <w:rsid w:val="00151A1A"/>
    <w:rsid w:val="00153A7E"/>
    <w:rsid w:val="001551BF"/>
    <w:rsid w:val="00160718"/>
    <w:rsid w:val="00162102"/>
    <w:rsid w:val="00162605"/>
    <w:rsid w:val="00162991"/>
    <w:rsid w:val="00162EBD"/>
    <w:rsid w:val="00164CED"/>
    <w:rsid w:val="0016580B"/>
    <w:rsid w:val="0016659A"/>
    <w:rsid w:val="001715C7"/>
    <w:rsid w:val="00171C9C"/>
    <w:rsid w:val="001753DF"/>
    <w:rsid w:val="00176B20"/>
    <w:rsid w:val="00177C49"/>
    <w:rsid w:val="0018071F"/>
    <w:rsid w:val="00182379"/>
    <w:rsid w:val="001826DE"/>
    <w:rsid w:val="00183454"/>
    <w:rsid w:val="00183765"/>
    <w:rsid w:val="001853B1"/>
    <w:rsid w:val="00185F8C"/>
    <w:rsid w:val="001862D2"/>
    <w:rsid w:val="00186A27"/>
    <w:rsid w:val="00186FB6"/>
    <w:rsid w:val="00187E8B"/>
    <w:rsid w:val="00190607"/>
    <w:rsid w:val="00190A46"/>
    <w:rsid w:val="00192ED6"/>
    <w:rsid w:val="00193175"/>
    <w:rsid w:val="00193D7E"/>
    <w:rsid w:val="00194CB8"/>
    <w:rsid w:val="00197343"/>
    <w:rsid w:val="001A11AB"/>
    <w:rsid w:val="001A2FA0"/>
    <w:rsid w:val="001A5B75"/>
    <w:rsid w:val="001A692C"/>
    <w:rsid w:val="001B12FC"/>
    <w:rsid w:val="001B3E13"/>
    <w:rsid w:val="001B4327"/>
    <w:rsid w:val="001B4E96"/>
    <w:rsid w:val="001B65E1"/>
    <w:rsid w:val="001C03FA"/>
    <w:rsid w:val="001C0729"/>
    <w:rsid w:val="001C22E2"/>
    <w:rsid w:val="001C3199"/>
    <w:rsid w:val="001C342F"/>
    <w:rsid w:val="001C3533"/>
    <w:rsid w:val="001C3CDC"/>
    <w:rsid w:val="001C4D88"/>
    <w:rsid w:val="001C685C"/>
    <w:rsid w:val="001D186F"/>
    <w:rsid w:val="001D3A93"/>
    <w:rsid w:val="001D4397"/>
    <w:rsid w:val="001D46AB"/>
    <w:rsid w:val="001D5B07"/>
    <w:rsid w:val="001D783A"/>
    <w:rsid w:val="001E0441"/>
    <w:rsid w:val="001E0716"/>
    <w:rsid w:val="001E235F"/>
    <w:rsid w:val="001E2714"/>
    <w:rsid w:val="001E4301"/>
    <w:rsid w:val="001E4540"/>
    <w:rsid w:val="001E6761"/>
    <w:rsid w:val="001E7D6C"/>
    <w:rsid w:val="001F0E3A"/>
    <w:rsid w:val="001F169E"/>
    <w:rsid w:val="001F1F81"/>
    <w:rsid w:val="001F556C"/>
    <w:rsid w:val="001F71EC"/>
    <w:rsid w:val="00202EE4"/>
    <w:rsid w:val="00203F65"/>
    <w:rsid w:val="00206E60"/>
    <w:rsid w:val="002079B9"/>
    <w:rsid w:val="00210407"/>
    <w:rsid w:val="00210DE0"/>
    <w:rsid w:val="00211D91"/>
    <w:rsid w:val="002138BD"/>
    <w:rsid w:val="00214109"/>
    <w:rsid w:val="002148C7"/>
    <w:rsid w:val="0021575B"/>
    <w:rsid w:val="00217DFB"/>
    <w:rsid w:val="00221AC7"/>
    <w:rsid w:val="00221D55"/>
    <w:rsid w:val="00223416"/>
    <w:rsid w:val="00224CF7"/>
    <w:rsid w:val="00225E94"/>
    <w:rsid w:val="00230F37"/>
    <w:rsid w:val="0023197E"/>
    <w:rsid w:val="00231E81"/>
    <w:rsid w:val="00232566"/>
    <w:rsid w:val="00232F88"/>
    <w:rsid w:val="00233154"/>
    <w:rsid w:val="00233B5B"/>
    <w:rsid w:val="002341D9"/>
    <w:rsid w:val="00234F31"/>
    <w:rsid w:val="00235327"/>
    <w:rsid w:val="002374E0"/>
    <w:rsid w:val="00237E1A"/>
    <w:rsid w:val="0024079D"/>
    <w:rsid w:val="00241E81"/>
    <w:rsid w:val="00243B46"/>
    <w:rsid w:val="0024434D"/>
    <w:rsid w:val="00245496"/>
    <w:rsid w:val="00245B79"/>
    <w:rsid w:val="00246239"/>
    <w:rsid w:val="002473FB"/>
    <w:rsid w:val="002478C1"/>
    <w:rsid w:val="00250251"/>
    <w:rsid w:val="0025061A"/>
    <w:rsid w:val="00250F75"/>
    <w:rsid w:val="00251A7C"/>
    <w:rsid w:val="00252C6C"/>
    <w:rsid w:val="00253198"/>
    <w:rsid w:val="002536C5"/>
    <w:rsid w:val="00254DD7"/>
    <w:rsid w:val="00254E16"/>
    <w:rsid w:val="00255B7F"/>
    <w:rsid w:val="002608B8"/>
    <w:rsid w:val="00260E9C"/>
    <w:rsid w:val="002613CE"/>
    <w:rsid w:val="00261473"/>
    <w:rsid w:val="00261C80"/>
    <w:rsid w:val="00261E15"/>
    <w:rsid w:val="00261E79"/>
    <w:rsid w:val="002634E9"/>
    <w:rsid w:val="00263BEA"/>
    <w:rsid w:val="00264338"/>
    <w:rsid w:val="00265358"/>
    <w:rsid w:val="002654D7"/>
    <w:rsid w:val="00266181"/>
    <w:rsid w:val="00266F18"/>
    <w:rsid w:val="0027258F"/>
    <w:rsid w:val="00273322"/>
    <w:rsid w:val="00274225"/>
    <w:rsid w:val="0027505F"/>
    <w:rsid w:val="00275E2D"/>
    <w:rsid w:val="00276C17"/>
    <w:rsid w:val="002804F1"/>
    <w:rsid w:val="00280D64"/>
    <w:rsid w:val="00280F6D"/>
    <w:rsid w:val="0028241E"/>
    <w:rsid w:val="00282C43"/>
    <w:rsid w:val="0028301D"/>
    <w:rsid w:val="00283EC5"/>
    <w:rsid w:val="00283FF3"/>
    <w:rsid w:val="00284647"/>
    <w:rsid w:val="0028769D"/>
    <w:rsid w:val="00290EC3"/>
    <w:rsid w:val="0029265A"/>
    <w:rsid w:val="002937BC"/>
    <w:rsid w:val="00297F4F"/>
    <w:rsid w:val="002A05AF"/>
    <w:rsid w:val="002A24FE"/>
    <w:rsid w:val="002A31E1"/>
    <w:rsid w:val="002A4A6C"/>
    <w:rsid w:val="002A7511"/>
    <w:rsid w:val="002B2827"/>
    <w:rsid w:val="002B34E0"/>
    <w:rsid w:val="002B3A4D"/>
    <w:rsid w:val="002B439A"/>
    <w:rsid w:val="002B4D61"/>
    <w:rsid w:val="002B7605"/>
    <w:rsid w:val="002C0FFE"/>
    <w:rsid w:val="002C178F"/>
    <w:rsid w:val="002C31E1"/>
    <w:rsid w:val="002C3866"/>
    <w:rsid w:val="002C3879"/>
    <w:rsid w:val="002C4C58"/>
    <w:rsid w:val="002C709D"/>
    <w:rsid w:val="002D0952"/>
    <w:rsid w:val="002D10F6"/>
    <w:rsid w:val="002D1C97"/>
    <w:rsid w:val="002D21F5"/>
    <w:rsid w:val="002D57E3"/>
    <w:rsid w:val="002D6767"/>
    <w:rsid w:val="002D7275"/>
    <w:rsid w:val="002E132A"/>
    <w:rsid w:val="002E6450"/>
    <w:rsid w:val="002E7741"/>
    <w:rsid w:val="002E7A37"/>
    <w:rsid w:val="002E7C80"/>
    <w:rsid w:val="002F21EF"/>
    <w:rsid w:val="002F5C5D"/>
    <w:rsid w:val="002F69DF"/>
    <w:rsid w:val="003006C6"/>
    <w:rsid w:val="00301516"/>
    <w:rsid w:val="00304413"/>
    <w:rsid w:val="003047B2"/>
    <w:rsid w:val="0030606C"/>
    <w:rsid w:val="00307C72"/>
    <w:rsid w:val="003110C9"/>
    <w:rsid w:val="00311706"/>
    <w:rsid w:val="003153F2"/>
    <w:rsid w:val="00315513"/>
    <w:rsid w:val="0031591D"/>
    <w:rsid w:val="00315E95"/>
    <w:rsid w:val="003164E1"/>
    <w:rsid w:val="00316810"/>
    <w:rsid w:val="00316AE0"/>
    <w:rsid w:val="0032069A"/>
    <w:rsid w:val="00320DDE"/>
    <w:rsid w:val="003221E6"/>
    <w:rsid w:val="0032249E"/>
    <w:rsid w:val="00323E8B"/>
    <w:rsid w:val="00324532"/>
    <w:rsid w:val="00327242"/>
    <w:rsid w:val="003274B4"/>
    <w:rsid w:val="00327AB6"/>
    <w:rsid w:val="00331D20"/>
    <w:rsid w:val="00333C95"/>
    <w:rsid w:val="00334519"/>
    <w:rsid w:val="003348D9"/>
    <w:rsid w:val="00334ACF"/>
    <w:rsid w:val="00334DDD"/>
    <w:rsid w:val="00336379"/>
    <w:rsid w:val="00337E43"/>
    <w:rsid w:val="00337E69"/>
    <w:rsid w:val="00344449"/>
    <w:rsid w:val="00344C4D"/>
    <w:rsid w:val="00344F47"/>
    <w:rsid w:val="00346825"/>
    <w:rsid w:val="00350DAF"/>
    <w:rsid w:val="00354816"/>
    <w:rsid w:val="00355214"/>
    <w:rsid w:val="0035642E"/>
    <w:rsid w:val="00357A6A"/>
    <w:rsid w:val="003607C1"/>
    <w:rsid w:val="00363C2C"/>
    <w:rsid w:val="00364F5A"/>
    <w:rsid w:val="00365343"/>
    <w:rsid w:val="003659F8"/>
    <w:rsid w:val="00366439"/>
    <w:rsid w:val="00366815"/>
    <w:rsid w:val="00370439"/>
    <w:rsid w:val="00371AED"/>
    <w:rsid w:val="00372330"/>
    <w:rsid w:val="00372382"/>
    <w:rsid w:val="0037495B"/>
    <w:rsid w:val="00374AB5"/>
    <w:rsid w:val="00376367"/>
    <w:rsid w:val="00376CCB"/>
    <w:rsid w:val="0037766C"/>
    <w:rsid w:val="00380A12"/>
    <w:rsid w:val="00382BCB"/>
    <w:rsid w:val="00382F0A"/>
    <w:rsid w:val="0038339F"/>
    <w:rsid w:val="0038387D"/>
    <w:rsid w:val="00385330"/>
    <w:rsid w:val="00385703"/>
    <w:rsid w:val="00386F7D"/>
    <w:rsid w:val="00387EED"/>
    <w:rsid w:val="00390612"/>
    <w:rsid w:val="00391430"/>
    <w:rsid w:val="003929ED"/>
    <w:rsid w:val="00395175"/>
    <w:rsid w:val="003958AA"/>
    <w:rsid w:val="00396281"/>
    <w:rsid w:val="00397B59"/>
    <w:rsid w:val="003A1430"/>
    <w:rsid w:val="003A21DA"/>
    <w:rsid w:val="003A3784"/>
    <w:rsid w:val="003A3DA4"/>
    <w:rsid w:val="003A5617"/>
    <w:rsid w:val="003A657C"/>
    <w:rsid w:val="003B0062"/>
    <w:rsid w:val="003B02AC"/>
    <w:rsid w:val="003B0E1B"/>
    <w:rsid w:val="003B15A7"/>
    <w:rsid w:val="003B34F1"/>
    <w:rsid w:val="003B462C"/>
    <w:rsid w:val="003B4DC8"/>
    <w:rsid w:val="003B52D3"/>
    <w:rsid w:val="003B70E0"/>
    <w:rsid w:val="003C1EBB"/>
    <w:rsid w:val="003C2141"/>
    <w:rsid w:val="003C30FF"/>
    <w:rsid w:val="003C5617"/>
    <w:rsid w:val="003C7920"/>
    <w:rsid w:val="003D030D"/>
    <w:rsid w:val="003D10A2"/>
    <w:rsid w:val="003D10E6"/>
    <w:rsid w:val="003D2022"/>
    <w:rsid w:val="003D22A4"/>
    <w:rsid w:val="003D384D"/>
    <w:rsid w:val="003D7106"/>
    <w:rsid w:val="003E033D"/>
    <w:rsid w:val="003E0F25"/>
    <w:rsid w:val="003E1D94"/>
    <w:rsid w:val="003E2015"/>
    <w:rsid w:val="003E3153"/>
    <w:rsid w:val="003E4411"/>
    <w:rsid w:val="003E4F50"/>
    <w:rsid w:val="003E4FA6"/>
    <w:rsid w:val="003E5124"/>
    <w:rsid w:val="003E527D"/>
    <w:rsid w:val="003E54B9"/>
    <w:rsid w:val="003E7116"/>
    <w:rsid w:val="003F2337"/>
    <w:rsid w:val="003F2B1B"/>
    <w:rsid w:val="003F5F1D"/>
    <w:rsid w:val="003F6167"/>
    <w:rsid w:val="003F75EB"/>
    <w:rsid w:val="003F7624"/>
    <w:rsid w:val="003F7858"/>
    <w:rsid w:val="00400AEE"/>
    <w:rsid w:val="00402E26"/>
    <w:rsid w:val="00403135"/>
    <w:rsid w:val="00411EEC"/>
    <w:rsid w:val="004135B3"/>
    <w:rsid w:val="004143BB"/>
    <w:rsid w:val="00417D6D"/>
    <w:rsid w:val="0042157C"/>
    <w:rsid w:val="00421CD2"/>
    <w:rsid w:val="00423D22"/>
    <w:rsid w:val="00426014"/>
    <w:rsid w:val="004266A7"/>
    <w:rsid w:val="00427482"/>
    <w:rsid w:val="004322B3"/>
    <w:rsid w:val="004328D8"/>
    <w:rsid w:val="00441CB8"/>
    <w:rsid w:val="00442733"/>
    <w:rsid w:val="00443216"/>
    <w:rsid w:val="00445C9F"/>
    <w:rsid w:val="0044712C"/>
    <w:rsid w:val="004471B0"/>
    <w:rsid w:val="00450E0E"/>
    <w:rsid w:val="00452F9D"/>
    <w:rsid w:val="004535EE"/>
    <w:rsid w:val="00453EF5"/>
    <w:rsid w:val="00455274"/>
    <w:rsid w:val="004553F0"/>
    <w:rsid w:val="00455A78"/>
    <w:rsid w:val="00457F89"/>
    <w:rsid w:val="004600AB"/>
    <w:rsid w:val="00460242"/>
    <w:rsid w:val="00460C95"/>
    <w:rsid w:val="00461974"/>
    <w:rsid w:val="004620CB"/>
    <w:rsid w:val="004633C2"/>
    <w:rsid w:val="00463C54"/>
    <w:rsid w:val="0046464C"/>
    <w:rsid w:val="00464AA0"/>
    <w:rsid w:val="00465294"/>
    <w:rsid w:val="00466AC9"/>
    <w:rsid w:val="004700A1"/>
    <w:rsid w:val="004706A5"/>
    <w:rsid w:val="00473747"/>
    <w:rsid w:val="0047384D"/>
    <w:rsid w:val="00474A27"/>
    <w:rsid w:val="00475BCE"/>
    <w:rsid w:val="0047607D"/>
    <w:rsid w:val="00477F88"/>
    <w:rsid w:val="0048193A"/>
    <w:rsid w:val="00481AFC"/>
    <w:rsid w:val="004841A8"/>
    <w:rsid w:val="00484FAF"/>
    <w:rsid w:val="004865C5"/>
    <w:rsid w:val="00492397"/>
    <w:rsid w:val="00492A34"/>
    <w:rsid w:val="00494916"/>
    <w:rsid w:val="00494E3C"/>
    <w:rsid w:val="004954D3"/>
    <w:rsid w:val="004961A0"/>
    <w:rsid w:val="00496516"/>
    <w:rsid w:val="004A1019"/>
    <w:rsid w:val="004A1275"/>
    <w:rsid w:val="004A1FA3"/>
    <w:rsid w:val="004A22D4"/>
    <w:rsid w:val="004A375D"/>
    <w:rsid w:val="004A5446"/>
    <w:rsid w:val="004A54AC"/>
    <w:rsid w:val="004A60CC"/>
    <w:rsid w:val="004A65D6"/>
    <w:rsid w:val="004A6B30"/>
    <w:rsid w:val="004B01F8"/>
    <w:rsid w:val="004B07A1"/>
    <w:rsid w:val="004B1404"/>
    <w:rsid w:val="004B2115"/>
    <w:rsid w:val="004B33E7"/>
    <w:rsid w:val="004B4690"/>
    <w:rsid w:val="004C1BAF"/>
    <w:rsid w:val="004C2815"/>
    <w:rsid w:val="004C2EF9"/>
    <w:rsid w:val="004C345E"/>
    <w:rsid w:val="004C4B04"/>
    <w:rsid w:val="004C4D1C"/>
    <w:rsid w:val="004C59DA"/>
    <w:rsid w:val="004C6918"/>
    <w:rsid w:val="004C7E03"/>
    <w:rsid w:val="004C7EA9"/>
    <w:rsid w:val="004D060A"/>
    <w:rsid w:val="004D07F6"/>
    <w:rsid w:val="004D1EBA"/>
    <w:rsid w:val="004D278D"/>
    <w:rsid w:val="004D2B36"/>
    <w:rsid w:val="004D36C8"/>
    <w:rsid w:val="004D3EF3"/>
    <w:rsid w:val="004D4118"/>
    <w:rsid w:val="004D4F01"/>
    <w:rsid w:val="004D52AC"/>
    <w:rsid w:val="004D57FD"/>
    <w:rsid w:val="004D712D"/>
    <w:rsid w:val="004D74FD"/>
    <w:rsid w:val="004D7893"/>
    <w:rsid w:val="004E0D66"/>
    <w:rsid w:val="004E6035"/>
    <w:rsid w:val="004E6242"/>
    <w:rsid w:val="004E6E62"/>
    <w:rsid w:val="004E7353"/>
    <w:rsid w:val="004E7C82"/>
    <w:rsid w:val="004F0287"/>
    <w:rsid w:val="004F0C03"/>
    <w:rsid w:val="004F13BD"/>
    <w:rsid w:val="004F33E7"/>
    <w:rsid w:val="004F3C50"/>
    <w:rsid w:val="004F46FC"/>
    <w:rsid w:val="004F5191"/>
    <w:rsid w:val="004F74E4"/>
    <w:rsid w:val="004F790B"/>
    <w:rsid w:val="0050091D"/>
    <w:rsid w:val="00500C7D"/>
    <w:rsid w:val="005018B4"/>
    <w:rsid w:val="00505292"/>
    <w:rsid w:val="00507901"/>
    <w:rsid w:val="00510C70"/>
    <w:rsid w:val="005120FE"/>
    <w:rsid w:val="005125D5"/>
    <w:rsid w:val="00515D8F"/>
    <w:rsid w:val="00517298"/>
    <w:rsid w:val="005204A8"/>
    <w:rsid w:val="0052072A"/>
    <w:rsid w:val="00521EC4"/>
    <w:rsid w:val="005225B8"/>
    <w:rsid w:val="00523FB0"/>
    <w:rsid w:val="00524E39"/>
    <w:rsid w:val="005253AF"/>
    <w:rsid w:val="005270E8"/>
    <w:rsid w:val="005274A3"/>
    <w:rsid w:val="00527C5A"/>
    <w:rsid w:val="00527E88"/>
    <w:rsid w:val="00530E26"/>
    <w:rsid w:val="00530EF4"/>
    <w:rsid w:val="00530F3F"/>
    <w:rsid w:val="005344A1"/>
    <w:rsid w:val="00536C91"/>
    <w:rsid w:val="00541B9C"/>
    <w:rsid w:val="005431F7"/>
    <w:rsid w:val="00547B58"/>
    <w:rsid w:val="00551170"/>
    <w:rsid w:val="005520FB"/>
    <w:rsid w:val="00553160"/>
    <w:rsid w:val="00555301"/>
    <w:rsid w:val="005555D6"/>
    <w:rsid w:val="005557D9"/>
    <w:rsid w:val="0056093F"/>
    <w:rsid w:val="005618D6"/>
    <w:rsid w:val="005622C5"/>
    <w:rsid w:val="00562AEE"/>
    <w:rsid w:val="00562E9A"/>
    <w:rsid w:val="00565CE3"/>
    <w:rsid w:val="00570566"/>
    <w:rsid w:val="00570AB9"/>
    <w:rsid w:val="00571250"/>
    <w:rsid w:val="00573EA2"/>
    <w:rsid w:val="00573FD1"/>
    <w:rsid w:val="0057406A"/>
    <w:rsid w:val="005750EF"/>
    <w:rsid w:val="00576BB7"/>
    <w:rsid w:val="005800D3"/>
    <w:rsid w:val="005802E4"/>
    <w:rsid w:val="0058091A"/>
    <w:rsid w:val="00581096"/>
    <w:rsid w:val="00582C16"/>
    <w:rsid w:val="00583A42"/>
    <w:rsid w:val="00583E05"/>
    <w:rsid w:val="0058443F"/>
    <w:rsid w:val="00586D7A"/>
    <w:rsid w:val="00587BA4"/>
    <w:rsid w:val="0059115C"/>
    <w:rsid w:val="00592A6A"/>
    <w:rsid w:val="00593B30"/>
    <w:rsid w:val="00594070"/>
    <w:rsid w:val="00595172"/>
    <w:rsid w:val="005972F5"/>
    <w:rsid w:val="005A0BD1"/>
    <w:rsid w:val="005A0F1E"/>
    <w:rsid w:val="005A19F2"/>
    <w:rsid w:val="005A28D5"/>
    <w:rsid w:val="005A3979"/>
    <w:rsid w:val="005A3D64"/>
    <w:rsid w:val="005A4883"/>
    <w:rsid w:val="005A4F29"/>
    <w:rsid w:val="005A5201"/>
    <w:rsid w:val="005A58C0"/>
    <w:rsid w:val="005A5A64"/>
    <w:rsid w:val="005A5CFC"/>
    <w:rsid w:val="005B0742"/>
    <w:rsid w:val="005B1217"/>
    <w:rsid w:val="005B3551"/>
    <w:rsid w:val="005B39A5"/>
    <w:rsid w:val="005B79A7"/>
    <w:rsid w:val="005C059D"/>
    <w:rsid w:val="005C1829"/>
    <w:rsid w:val="005C2C40"/>
    <w:rsid w:val="005C3D2C"/>
    <w:rsid w:val="005C47E5"/>
    <w:rsid w:val="005C5511"/>
    <w:rsid w:val="005C6074"/>
    <w:rsid w:val="005C72DF"/>
    <w:rsid w:val="005D0693"/>
    <w:rsid w:val="005D1B8D"/>
    <w:rsid w:val="005D3080"/>
    <w:rsid w:val="005D3B23"/>
    <w:rsid w:val="005D5CE4"/>
    <w:rsid w:val="005D6500"/>
    <w:rsid w:val="005D6CFD"/>
    <w:rsid w:val="005D73EA"/>
    <w:rsid w:val="005D79E0"/>
    <w:rsid w:val="005E1B8B"/>
    <w:rsid w:val="005E4C37"/>
    <w:rsid w:val="005E59B2"/>
    <w:rsid w:val="005E5BDA"/>
    <w:rsid w:val="005E76FC"/>
    <w:rsid w:val="005F0D6B"/>
    <w:rsid w:val="005F347A"/>
    <w:rsid w:val="005F4FEC"/>
    <w:rsid w:val="005F6236"/>
    <w:rsid w:val="005F6D27"/>
    <w:rsid w:val="005F6DCE"/>
    <w:rsid w:val="005F77F9"/>
    <w:rsid w:val="00600C3A"/>
    <w:rsid w:val="0060109D"/>
    <w:rsid w:val="00601CDE"/>
    <w:rsid w:val="00601D15"/>
    <w:rsid w:val="0060280F"/>
    <w:rsid w:val="00602EB2"/>
    <w:rsid w:val="006039A7"/>
    <w:rsid w:val="006047DF"/>
    <w:rsid w:val="00605898"/>
    <w:rsid w:val="00605BBE"/>
    <w:rsid w:val="00607092"/>
    <w:rsid w:val="00607EF0"/>
    <w:rsid w:val="0061020E"/>
    <w:rsid w:val="00610277"/>
    <w:rsid w:val="006109F9"/>
    <w:rsid w:val="00610A32"/>
    <w:rsid w:val="00611815"/>
    <w:rsid w:val="0061310E"/>
    <w:rsid w:val="00613451"/>
    <w:rsid w:val="006135E4"/>
    <w:rsid w:val="00615BC3"/>
    <w:rsid w:val="006162B5"/>
    <w:rsid w:val="006201D3"/>
    <w:rsid w:val="00620A9D"/>
    <w:rsid w:val="00621E1C"/>
    <w:rsid w:val="00623321"/>
    <w:rsid w:val="00623587"/>
    <w:rsid w:val="00625C07"/>
    <w:rsid w:val="00626BBF"/>
    <w:rsid w:val="00626F7C"/>
    <w:rsid w:val="00630FEC"/>
    <w:rsid w:val="0063108A"/>
    <w:rsid w:val="006310CC"/>
    <w:rsid w:val="0064005F"/>
    <w:rsid w:val="006408CF"/>
    <w:rsid w:val="00640BB9"/>
    <w:rsid w:val="006416E2"/>
    <w:rsid w:val="00641732"/>
    <w:rsid w:val="00646A85"/>
    <w:rsid w:val="006473B7"/>
    <w:rsid w:val="00647FCC"/>
    <w:rsid w:val="006506ED"/>
    <w:rsid w:val="00651F0B"/>
    <w:rsid w:val="00653985"/>
    <w:rsid w:val="0065452A"/>
    <w:rsid w:val="00654DA0"/>
    <w:rsid w:val="00655D4C"/>
    <w:rsid w:val="00656115"/>
    <w:rsid w:val="00656222"/>
    <w:rsid w:val="0065636E"/>
    <w:rsid w:val="006609DF"/>
    <w:rsid w:val="00664993"/>
    <w:rsid w:val="00664BF5"/>
    <w:rsid w:val="00664F46"/>
    <w:rsid w:val="00666A16"/>
    <w:rsid w:val="00666CB9"/>
    <w:rsid w:val="0066770A"/>
    <w:rsid w:val="00670441"/>
    <w:rsid w:val="00672566"/>
    <w:rsid w:val="006726A3"/>
    <w:rsid w:val="006738DA"/>
    <w:rsid w:val="00673F5C"/>
    <w:rsid w:val="00675C5E"/>
    <w:rsid w:val="00675CF7"/>
    <w:rsid w:val="006770B0"/>
    <w:rsid w:val="006778A3"/>
    <w:rsid w:val="006779F1"/>
    <w:rsid w:val="00677DE4"/>
    <w:rsid w:val="00683077"/>
    <w:rsid w:val="00683F52"/>
    <w:rsid w:val="00687870"/>
    <w:rsid w:val="00687AC2"/>
    <w:rsid w:val="00687D5B"/>
    <w:rsid w:val="00687D65"/>
    <w:rsid w:val="006909E2"/>
    <w:rsid w:val="00691609"/>
    <w:rsid w:val="00691773"/>
    <w:rsid w:val="00692EF1"/>
    <w:rsid w:val="0069390B"/>
    <w:rsid w:val="00694DF4"/>
    <w:rsid w:val="00695E67"/>
    <w:rsid w:val="00696987"/>
    <w:rsid w:val="006A03ED"/>
    <w:rsid w:val="006A13B5"/>
    <w:rsid w:val="006A25C1"/>
    <w:rsid w:val="006A3AFF"/>
    <w:rsid w:val="006A3E1B"/>
    <w:rsid w:val="006A6115"/>
    <w:rsid w:val="006A6CB4"/>
    <w:rsid w:val="006A6D3A"/>
    <w:rsid w:val="006A732D"/>
    <w:rsid w:val="006A75C3"/>
    <w:rsid w:val="006A7A02"/>
    <w:rsid w:val="006B0278"/>
    <w:rsid w:val="006B0C27"/>
    <w:rsid w:val="006B4CD1"/>
    <w:rsid w:val="006B4E46"/>
    <w:rsid w:val="006B4EB6"/>
    <w:rsid w:val="006B7B5A"/>
    <w:rsid w:val="006C3661"/>
    <w:rsid w:val="006C3D5C"/>
    <w:rsid w:val="006C63A0"/>
    <w:rsid w:val="006D1A2D"/>
    <w:rsid w:val="006D353C"/>
    <w:rsid w:val="006D4E81"/>
    <w:rsid w:val="006D58A6"/>
    <w:rsid w:val="006E02CA"/>
    <w:rsid w:val="006E04E9"/>
    <w:rsid w:val="006E27BD"/>
    <w:rsid w:val="006E301E"/>
    <w:rsid w:val="006E35DA"/>
    <w:rsid w:val="006E3DCA"/>
    <w:rsid w:val="006E4D74"/>
    <w:rsid w:val="006E5146"/>
    <w:rsid w:val="006E732D"/>
    <w:rsid w:val="006F0EC5"/>
    <w:rsid w:val="006F2192"/>
    <w:rsid w:val="006F2A28"/>
    <w:rsid w:val="006F2A68"/>
    <w:rsid w:val="006F33DB"/>
    <w:rsid w:val="006F48AD"/>
    <w:rsid w:val="006F619A"/>
    <w:rsid w:val="006F7644"/>
    <w:rsid w:val="006F7F2D"/>
    <w:rsid w:val="0070247F"/>
    <w:rsid w:val="00703595"/>
    <w:rsid w:val="00703DCD"/>
    <w:rsid w:val="007045EB"/>
    <w:rsid w:val="00704CA3"/>
    <w:rsid w:val="0070520B"/>
    <w:rsid w:val="00705FF2"/>
    <w:rsid w:val="00706912"/>
    <w:rsid w:val="0070710B"/>
    <w:rsid w:val="00707D64"/>
    <w:rsid w:val="00712862"/>
    <w:rsid w:val="007128EE"/>
    <w:rsid w:val="0071375A"/>
    <w:rsid w:val="00717879"/>
    <w:rsid w:val="00717D9E"/>
    <w:rsid w:val="00717EF7"/>
    <w:rsid w:val="0072011C"/>
    <w:rsid w:val="0072187E"/>
    <w:rsid w:val="0072303C"/>
    <w:rsid w:val="00723EF0"/>
    <w:rsid w:val="007269DC"/>
    <w:rsid w:val="007273BE"/>
    <w:rsid w:val="0072746F"/>
    <w:rsid w:val="007311B9"/>
    <w:rsid w:val="00731954"/>
    <w:rsid w:val="00732220"/>
    <w:rsid w:val="0073249D"/>
    <w:rsid w:val="007330B7"/>
    <w:rsid w:val="00733F88"/>
    <w:rsid w:val="00734908"/>
    <w:rsid w:val="00734921"/>
    <w:rsid w:val="00734DCD"/>
    <w:rsid w:val="00736868"/>
    <w:rsid w:val="00741031"/>
    <w:rsid w:val="0074183C"/>
    <w:rsid w:val="00741E53"/>
    <w:rsid w:val="0074208C"/>
    <w:rsid w:val="007423F4"/>
    <w:rsid w:val="007429FF"/>
    <w:rsid w:val="00742B0F"/>
    <w:rsid w:val="0074607B"/>
    <w:rsid w:val="00750CFB"/>
    <w:rsid w:val="007527D0"/>
    <w:rsid w:val="00753064"/>
    <w:rsid w:val="007538FA"/>
    <w:rsid w:val="00755302"/>
    <w:rsid w:val="00755757"/>
    <w:rsid w:val="00756518"/>
    <w:rsid w:val="00756C58"/>
    <w:rsid w:val="007578AF"/>
    <w:rsid w:val="00760002"/>
    <w:rsid w:val="00763889"/>
    <w:rsid w:val="007639CD"/>
    <w:rsid w:val="00763A15"/>
    <w:rsid w:val="00764027"/>
    <w:rsid w:val="0076437B"/>
    <w:rsid w:val="00765364"/>
    <w:rsid w:val="00765560"/>
    <w:rsid w:val="00765789"/>
    <w:rsid w:val="00766915"/>
    <w:rsid w:val="00767050"/>
    <w:rsid w:val="00767CA2"/>
    <w:rsid w:val="007704A1"/>
    <w:rsid w:val="00771CC4"/>
    <w:rsid w:val="00773207"/>
    <w:rsid w:val="00773335"/>
    <w:rsid w:val="007739C8"/>
    <w:rsid w:val="00775019"/>
    <w:rsid w:val="007757D4"/>
    <w:rsid w:val="00775DAB"/>
    <w:rsid w:val="007767FE"/>
    <w:rsid w:val="007808AA"/>
    <w:rsid w:val="00780B79"/>
    <w:rsid w:val="0078191C"/>
    <w:rsid w:val="00781E95"/>
    <w:rsid w:val="00783D9B"/>
    <w:rsid w:val="00784F3C"/>
    <w:rsid w:val="00786143"/>
    <w:rsid w:val="00787AFF"/>
    <w:rsid w:val="00790BAA"/>
    <w:rsid w:val="00790E34"/>
    <w:rsid w:val="00790F26"/>
    <w:rsid w:val="00792FD9"/>
    <w:rsid w:val="007941D0"/>
    <w:rsid w:val="00797601"/>
    <w:rsid w:val="007A0C43"/>
    <w:rsid w:val="007A1029"/>
    <w:rsid w:val="007A19B9"/>
    <w:rsid w:val="007A1B36"/>
    <w:rsid w:val="007A22EC"/>
    <w:rsid w:val="007A46C1"/>
    <w:rsid w:val="007A6215"/>
    <w:rsid w:val="007A6720"/>
    <w:rsid w:val="007A73ED"/>
    <w:rsid w:val="007A7451"/>
    <w:rsid w:val="007B0C9C"/>
    <w:rsid w:val="007B35F2"/>
    <w:rsid w:val="007B6831"/>
    <w:rsid w:val="007B7CC3"/>
    <w:rsid w:val="007C6471"/>
    <w:rsid w:val="007C7107"/>
    <w:rsid w:val="007C75E7"/>
    <w:rsid w:val="007C7CEB"/>
    <w:rsid w:val="007D055C"/>
    <w:rsid w:val="007D11BA"/>
    <w:rsid w:val="007D1839"/>
    <w:rsid w:val="007D2122"/>
    <w:rsid w:val="007D21A3"/>
    <w:rsid w:val="007D27FF"/>
    <w:rsid w:val="007D5651"/>
    <w:rsid w:val="007D592F"/>
    <w:rsid w:val="007D7279"/>
    <w:rsid w:val="007E0123"/>
    <w:rsid w:val="007E1FD2"/>
    <w:rsid w:val="007E2160"/>
    <w:rsid w:val="007E22C2"/>
    <w:rsid w:val="007E4D98"/>
    <w:rsid w:val="007E521D"/>
    <w:rsid w:val="007E598A"/>
    <w:rsid w:val="007F0E3A"/>
    <w:rsid w:val="007F2721"/>
    <w:rsid w:val="007F43BC"/>
    <w:rsid w:val="007F7922"/>
    <w:rsid w:val="007F79EC"/>
    <w:rsid w:val="00800262"/>
    <w:rsid w:val="008004D5"/>
    <w:rsid w:val="00800637"/>
    <w:rsid w:val="0080187E"/>
    <w:rsid w:val="00801A9F"/>
    <w:rsid w:val="00802789"/>
    <w:rsid w:val="0080346A"/>
    <w:rsid w:val="00803CA2"/>
    <w:rsid w:val="00804C2D"/>
    <w:rsid w:val="00804CB3"/>
    <w:rsid w:val="008052E6"/>
    <w:rsid w:val="00810FA2"/>
    <w:rsid w:val="008114FC"/>
    <w:rsid w:val="00811D58"/>
    <w:rsid w:val="0081416D"/>
    <w:rsid w:val="00814D95"/>
    <w:rsid w:val="008154DE"/>
    <w:rsid w:val="00815B6A"/>
    <w:rsid w:val="00816BAF"/>
    <w:rsid w:val="00817D54"/>
    <w:rsid w:val="00821D2D"/>
    <w:rsid w:val="00822434"/>
    <w:rsid w:val="00822637"/>
    <w:rsid w:val="00823E14"/>
    <w:rsid w:val="008250AC"/>
    <w:rsid w:val="008251C2"/>
    <w:rsid w:val="008258AE"/>
    <w:rsid w:val="008272DB"/>
    <w:rsid w:val="008313E4"/>
    <w:rsid w:val="0083148E"/>
    <w:rsid w:val="0083196D"/>
    <w:rsid w:val="008323CA"/>
    <w:rsid w:val="00832701"/>
    <w:rsid w:val="00832FF4"/>
    <w:rsid w:val="008334D8"/>
    <w:rsid w:val="0083468B"/>
    <w:rsid w:val="00836141"/>
    <w:rsid w:val="00837615"/>
    <w:rsid w:val="00840174"/>
    <w:rsid w:val="00841AC3"/>
    <w:rsid w:val="00842257"/>
    <w:rsid w:val="008434EA"/>
    <w:rsid w:val="00845532"/>
    <w:rsid w:val="00845E15"/>
    <w:rsid w:val="008509C2"/>
    <w:rsid w:val="008525BA"/>
    <w:rsid w:val="008528D2"/>
    <w:rsid w:val="00853B27"/>
    <w:rsid w:val="00860E8D"/>
    <w:rsid w:val="00861741"/>
    <w:rsid w:val="00861D54"/>
    <w:rsid w:val="0086209F"/>
    <w:rsid w:val="00863E7D"/>
    <w:rsid w:val="0086428A"/>
    <w:rsid w:val="00866C88"/>
    <w:rsid w:val="008671F2"/>
    <w:rsid w:val="00874A54"/>
    <w:rsid w:val="00882590"/>
    <w:rsid w:val="00886A5F"/>
    <w:rsid w:val="00886E9F"/>
    <w:rsid w:val="008873C3"/>
    <w:rsid w:val="0089072F"/>
    <w:rsid w:val="00892AA1"/>
    <w:rsid w:val="00893899"/>
    <w:rsid w:val="00896673"/>
    <w:rsid w:val="008966DB"/>
    <w:rsid w:val="00897117"/>
    <w:rsid w:val="008A3535"/>
    <w:rsid w:val="008A49AD"/>
    <w:rsid w:val="008A6514"/>
    <w:rsid w:val="008B2664"/>
    <w:rsid w:val="008B3410"/>
    <w:rsid w:val="008B72E8"/>
    <w:rsid w:val="008B7EEC"/>
    <w:rsid w:val="008C01C7"/>
    <w:rsid w:val="008C08BE"/>
    <w:rsid w:val="008C1404"/>
    <w:rsid w:val="008C2816"/>
    <w:rsid w:val="008C2F69"/>
    <w:rsid w:val="008C40D0"/>
    <w:rsid w:val="008C708A"/>
    <w:rsid w:val="008C75F5"/>
    <w:rsid w:val="008C7697"/>
    <w:rsid w:val="008D0749"/>
    <w:rsid w:val="008D0C1A"/>
    <w:rsid w:val="008D0C32"/>
    <w:rsid w:val="008D1F1D"/>
    <w:rsid w:val="008D215D"/>
    <w:rsid w:val="008D2AA6"/>
    <w:rsid w:val="008D36A2"/>
    <w:rsid w:val="008D492E"/>
    <w:rsid w:val="008D4D00"/>
    <w:rsid w:val="008D69A6"/>
    <w:rsid w:val="008E0210"/>
    <w:rsid w:val="008E2944"/>
    <w:rsid w:val="008E2DDF"/>
    <w:rsid w:val="008E46CB"/>
    <w:rsid w:val="008E4E91"/>
    <w:rsid w:val="008E5C47"/>
    <w:rsid w:val="008E64F1"/>
    <w:rsid w:val="008E654C"/>
    <w:rsid w:val="008E7898"/>
    <w:rsid w:val="008F1EC2"/>
    <w:rsid w:val="008F6E11"/>
    <w:rsid w:val="008F7588"/>
    <w:rsid w:val="009003E1"/>
    <w:rsid w:val="009010C6"/>
    <w:rsid w:val="00901DCF"/>
    <w:rsid w:val="00902D22"/>
    <w:rsid w:val="009031A9"/>
    <w:rsid w:val="0090369A"/>
    <w:rsid w:val="00905972"/>
    <w:rsid w:val="009059EA"/>
    <w:rsid w:val="009076E9"/>
    <w:rsid w:val="0091330B"/>
    <w:rsid w:val="0091334A"/>
    <w:rsid w:val="00915DAA"/>
    <w:rsid w:val="00916445"/>
    <w:rsid w:val="00916991"/>
    <w:rsid w:val="009215C8"/>
    <w:rsid w:val="00922B7D"/>
    <w:rsid w:val="00922BE1"/>
    <w:rsid w:val="00923466"/>
    <w:rsid w:val="009248EB"/>
    <w:rsid w:val="0092576B"/>
    <w:rsid w:val="00925F47"/>
    <w:rsid w:val="009271D4"/>
    <w:rsid w:val="0092768A"/>
    <w:rsid w:val="00933F10"/>
    <w:rsid w:val="00935E41"/>
    <w:rsid w:val="009372F6"/>
    <w:rsid w:val="00937705"/>
    <w:rsid w:val="00937D41"/>
    <w:rsid w:val="00940A0D"/>
    <w:rsid w:val="009442FD"/>
    <w:rsid w:val="00944E27"/>
    <w:rsid w:val="0094602B"/>
    <w:rsid w:val="009468F3"/>
    <w:rsid w:val="00947C3E"/>
    <w:rsid w:val="00950A15"/>
    <w:rsid w:val="00950A2F"/>
    <w:rsid w:val="009512D4"/>
    <w:rsid w:val="009525AB"/>
    <w:rsid w:val="00953ED7"/>
    <w:rsid w:val="009549A7"/>
    <w:rsid w:val="009576FB"/>
    <w:rsid w:val="00961262"/>
    <w:rsid w:val="0096148D"/>
    <w:rsid w:val="009620F9"/>
    <w:rsid w:val="009621BF"/>
    <w:rsid w:val="00963E22"/>
    <w:rsid w:val="00964C02"/>
    <w:rsid w:val="00964D2A"/>
    <w:rsid w:val="00965653"/>
    <w:rsid w:val="00965A92"/>
    <w:rsid w:val="00965A9B"/>
    <w:rsid w:val="009664EE"/>
    <w:rsid w:val="0097102F"/>
    <w:rsid w:val="0097112D"/>
    <w:rsid w:val="00971863"/>
    <w:rsid w:val="00973F82"/>
    <w:rsid w:val="00974931"/>
    <w:rsid w:val="0097566D"/>
    <w:rsid w:val="00976ED9"/>
    <w:rsid w:val="00977839"/>
    <w:rsid w:val="009802BD"/>
    <w:rsid w:val="00980459"/>
    <w:rsid w:val="00980838"/>
    <w:rsid w:val="0098334D"/>
    <w:rsid w:val="009842F0"/>
    <w:rsid w:val="0098466D"/>
    <w:rsid w:val="0098582D"/>
    <w:rsid w:val="00985D86"/>
    <w:rsid w:val="00986889"/>
    <w:rsid w:val="0099096E"/>
    <w:rsid w:val="00991067"/>
    <w:rsid w:val="009914A6"/>
    <w:rsid w:val="00991C7C"/>
    <w:rsid w:val="00993942"/>
    <w:rsid w:val="00993AE8"/>
    <w:rsid w:val="00994E1E"/>
    <w:rsid w:val="009956ED"/>
    <w:rsid w:val="00996CAC"/>
    <w:rsid w:val="00997904"/>
    <w:rsid w:val="009A0ECC"/>
    <w:rsid w:val="009A1C50"/>
    <w:rsid w:val="009A5ABE"/>
    <w:rsid w:val="009A7589"/>
    <w:rsid w:val="009A7A81"/>
    <w:rsid w:val="009B1130"/>
    <w:rsid w:val="009B2062"/>
    <w:rsid w:val="009B214F"/>
    <w:rsid w:val="009B3D29"/>
    <w:rsid w:val="009B5AB6"/>
    <w:rsid w:val="009B6DDE"/>
    <w:rsid w:val="009B721D"/>
    <w:rsid w:val="009C09FF"/>
    <w:rsid w:val="009C1020"/>
    <w:rsid w:val="009C1513"/>
    <w:rsid w:val="009C3291"/>
    <w:rsid w:val="009C3354"/>
    <w:rsid w:val="009C350A"/>
    <w:rsid w:val="009C447F"/>
    <w:rsid w:val="009C45BC"/>
    <w:rsid w:val="009C4B76"/>
    <w:rsid w:val="009C543D"/>
    <w:rsid w:val="009C7955"/>
    <w:rsid w:val="009C7F43"/>
    <w:rsid w:val="009D0540"/>
    <w:rsid w:val="009D2B46"/>
    <w:rsid w:val="009D48F2"/>
    <w:rsid w:val="009D5795"/>
    <w:rsid w:val="009D5B84"/>
    <w:rsid w:val="009D6CD7"/>
    <w:rsid w:val="009E0223"/>
    <w:rsid w:val="009E1303"/>
    <w:rsid w:val="009E1BDE"/>
    <w:rsid w:val="009E24C5"/>
    <w:rsid w:val="009E296B"/>
    <w:rsid w:val="009E4772"/>
    <w:rsid w:val="009E512F"/>
    <w:rsid w:val="009E72D5"/>
    <w:rsid w:val="009F0A6E"/>
    <w:rsid w:val="009F1510"/>
    <w:rsid w:val="009F3C4A"/>
    <w:rsid w:val="009F49FA"/>
    <w:rsid w:val="009F7F15"/>
    <w:rsid w:val="00A0054D"/>
    <w:rsid w:val="00A00D2E"/>
    <w:rsid w:val="00A0461C"/>
    <w:rsid w:val="00A04732"/>
    <w:rsid w:val="00A04EC5"/>
    <w:rsid w:val="00A05A35"/>
    <w:rsid w:val="00A06657"/>
    <w:rsid w:val="00A06B8C"/>
    <w:rsid w:val="00A10752"/>
    <w:rsid w:val="00A119DC"/>
    <w:rsid w:val="00A12EA7"/>
    <w:rsid w:val="00A139EA"/>
    <w:rsid w:val="00A14A47"/>
    <w:rsid w:val="00A1605C"/>
    <w:rsid w:val="00A163FD"/>
    <w:rsid w:val="00A166F8"/>
    <w:rsid w:val="00A167FC"/>
    <w:rsid w:val="00A21E04"/>
    <w:rsid w:val="00A225AA"/>
    <w:rsid w:val="00A22AEB"/>
    <w:rsid w:val="00A233F9"/>
    <w:rsid w:val="00A238D2"/>
    <w:rsid w:val="00A27381"/>
    <w:rsid w:val="00A275C0"/>
    <w:rsid w:val="00A31A08"/>
    <w:rsid w:val="00A34CD0"/>
    <w:rsid w:val="00A34F25"/>
    <w:rsid w:val="00A3754C"/>
    <w:rsid w:val="00A4170E"/>
    <w:rsid w:val="00A4298F"/>
    <w:rsid w:val="00A42CDB"/>
    <w:rsid w:val="00A43394"/>
    <w:rsid w:val="00A44DC0"/>
    <w:rsid w:val="00A4732E"/>
    <w:rsid w:val="00A51CBF"/>
    <w:rsid w:val="00A520CD"/>
    <w:rsid w:val="00A52643"/>
    <w:rsid w:val="00A52752"/>
    <w:rsid w:val="00A52A1E"/>
    <w:rsid w:val="00A52C47"/>
    <w:rsid w:val="00A53AF4"/>
    <w:rsid w:val="00A548BD"/>
    <w:rsid w:val="00A54B14"/>
    <w:rsid w:val="00A54DD0"/>
    <w:rsid w:val="00A55506"/>
    <w:rsid w:val="00A5682A"/>
    <w:rsid w:val="00A57159"/>
    <w:rsid w:val="00A62256"/>
    <w:rsid w:val="00A62915"/>
    <w:rsid w:val="00A710A7"/>
    <w:rsid w:val="00A73001"/>
    <w:rsid w:val="00A747F6"/>
    <w:rsid w:val="00A77188"/>
    <w:rsid w:val="00A80203"/>
    <w:rsid w:val="00A80BF3"/>
    <w:rsid w:val="00A816D8"/>
    <w:rsid w:val="00A823AD"/>
    <w:rsid w:val="00A838EA"/>
    <w:rsid w:val="00A83E88"/>
    <w:rsid w:val="00A849A1"/>
    <w:rsid w:val="00A85958"/>
    <w:rsid w:val="00A859B2"/>
    <w:rsid w:val="00A9003E"/>
    <w:rsid w:val="00A903A5"/>
    <w:rsid w:val="00A909CB"/>
    <w:rsid w:val="00A92777"/>
    <w:rsid w:val="00A93F7C"/>
    <w:rsid w:val="00AA0FE4"/>
    <w:rsid w:val="00AA16BD"/>
    <w:rsid w:val="00AA1A7E"/>
    <w:rsid w:val="00AA2A0A"/>
    <w:rsid w:val="00AA3368"/>
    <w:rsid w:val="00AA468A"/>
    <w:rsid w:val="00AA4CD5"/>
    <w:rsid w:val="00AA5A73"/>
    <w:rsid w:val="00AB0C95"/>
    <w:rsid w:val="00AB17D6"/>
    <w:rsid w:val="00AB1B92"/>
    <w:rsid w:val="00AB4009"/>
    <w:rsid w:val="00AB4CD1"/>
    <w:rsid w:val="00AB649C"/>
    <w:rsid w:val="00AB66D8"/>
    <w:rsid w:val="00AB6EA3"/>
    <w:rsid w:val="00AB7997"/>
    <w:rsid w:val="00AC3F13"/>
    <w:rsid w:val="00AC5E8B"/>
    <w:rsid w:val="00AD0345"/>
    <w:rsid w:val="00AD0B08"/>
    <w:rsid w:val="00AD1BE0"/>
    <w:rsid w:val="00AD1E15"/>
    <w:rsid w:val="00AD4031"/>
    <w:rsid w:val="00AD41CD"/>
    <w:rsid w:val="00AD79A0"/>
    <w:rsid w:val="00AE548A"/>
    <w:rsid w:val="00AE5CB1"/>
    <w:rsid w:val="00AF05BA"/>
    <w:rsid w:val="00AF0E21"/>
    <w:rsid w:val="00AF10F8"/>
    <w:rsid w:val="00AF139E"/>
    <w:rsid w:val="00AF27CE"/>
    <w:rsid w:val="00AF28D2"/>
    <w:rsid w:val="00AF307C"/>
    <w:rsid w:val="00AF3217"/>
    <w:rsid w:val="00AF6921"/>
    <w:rsid w:val="00AF70A6"/>
    <w:rsid w:val="00B0184E"/>
    <w:rsid w:val="00B036D1"/>
    <w:rsid w:val="00B042A5"/>
    <w:rsid w:val="00B07832"/>
    <w:rsid w:val="00B10586"/>
    <w:rsid w:val="00B107D4"/>
    <w:rsid w:val="00B1195B"/>
    <w:rsid w:val="00B11A1A"/>
    <w:rsid w:val="00B14DDA"/>
    <w:rsid w:val="00B16050"/>
    <w:rsid w:val="00B20EAE"/>
    <w:rsid w:val="00B20F55"/>
    <w:rsid w:val="00B218C4"/>
    <w:rsid w:val="00B22E51"/>
    <w:rsid w:val="00B22E8B"/>
    <w:rsid w:val="00B2326C"/>
    <w:rsid w:val="00B25374"/>
    <w:rsid w:val="00B2566B"/>
    <w:rsid w:val="00B258C6"/>
    <w:rsid w:val="00B27A2A"/>
    <w:rsid w:val="00B27C69"/>
    <w:rsid w:val="00B32820"/>
    <w:rsid w:val="00B32E0D"/>
    <w:rsid w:val="00B33332"/>
    <w:rsid w:val="00B34D7D"/>
    <w:rsid w:val="00B37146"/>
    <w:rsid w:val="00B37251"/>
    <w:rsid w:val="00B4038A"/>
    <w:rsid w:val="00B42692"/>
    <w:rsid w:val="00B428D9"/>
    <w:rsid w:val="00B433C6"/>
    <w:rsid w:val="00B43796"/>
    <w:rsid w:val="00B4396E"/>
    <w:rsid w:val="00B46736"/>
    <w:rsid w:val="00B47ABA"/>
    <w:rsid w:val="00B506D4"/>
    <w:rsid w:val="00B507A8"/>
    <w:rsid w:val="00B50FAF"/>
    <w:rsid w:val="00B52399"/>
    <w:rsid w:val="00B524A3"/>
    <w:rsid w:val="00B53478"/>
    <w:rsid w:val="00B53B1C"/>
    <w:rsid w:val="00B53B65"/>
    <w:rsid w:val="00B54A19"/>
    <w:rsid w:val="00B56014"/>
    <w:rsid w:val="00B60006"/>
    <w:rsid w:val="00B60E6C"/>
    <w:rsid w:val="00B619A6"/>
    <w:rsid w:val="00B619BB"/>
    <w:rsid w:val="00B62B73"/>
    <w:rsid w:val="00B62F6B"/>
    <w:rsid w:val="00B63E58"/>
    <w:rsid w:val="00B64125"/>
    <w:rsid w:val="00B67269"/>
    <w:rsid w:val="00B7022A"/>
    <w:rsid w:val="00B7320F"/>
    <w:rsid w:val="00B7435A"/>
    <w:rsid w:val="00B743C6"/>
    <w:rsid w:val="00B76A37"/>
    <w:rsid w:val="00B77B47"/>
    <w:rsid w:val="00B77F55"/>
    <w:rsid w:val="00B8067B"/>
    <w:rsid w:val="00B80AA4"/>
    <w:rsid w:val="00B81A9E"/>
    <w:rsid w:val="00B83D2A"/>
    <w:rsid w:val="00B83FA9"/>
    <w:rsid w:val="00B8421A"/>
    <w:rsid w:val="00B850E3"/>
    <w:rsid w:val="00B9103A"/>
    <w:rsid w:val="00B93B9D"/>
    <w:rsid w:val="00B94749"/>
    <w:rsid w:val="00B959AD"/>
    <w:rsid w:val="00B97891"/>
    <w:rsid w:val="00B97F3D"/>
    <w:rsid w:val="00B97FED"/>
    <w:rsid w:val="00BA279E"/>
    <w:rsid w:val="00BA4113"/>
    <w:rsid w:val="00BA508F"/>
    <w:rsid w:val="00BB1270"/>
    <w:rsid w:val="00BB22C7"/>
    <w:rsid w:val="00BB2EF2"/>
    <w:rsid w:val="00BB4D94"/>
    <w:rsid w:val="00BB6121"/>
    <w:rsid w:val="00BB617D"/>
    <w:rsid w:val="00BB6FFA"/>
    <w:rsid w:val="00BB7FD7"/>
    <w:rsid w:val="00BC096C"/>
    <w:rsid w:val="00BC2892"/>
    <w:rsid w:val="00BC28DB"/>
    <w:rsid w:val="00BC290A"/>
    <w:rsid w:val="00BC3324"/>
    <w:rsid w:val="00BD207A"/>
    <w:rsid w:val="00BD2AD2"/>
    <w:rsid w:val="00BD5CE2"/>
    <w:rsid w:val="00BD61A4"/>
    <w:rsid w:val="00BD65B4"/>
    <w:rsid w:val="00BD6F0E"/>
    <w:rsid w:val="00BD7AF2"/>
    <w:rsid w:val="00BE19D2"/>
    <w:rsid w:val="00BE2465"/>
    <w:rsid w:val="00BE3552"/>
    <w:rsid w:val="00BE37D3"/>
    <w:rsid w:val="00BE4622"/>
    <w:rsid w:val="00BE5A3B"/>
    <w:rsid w:val="00BE5B42"/>
    <w:rsid w:val="00BE5DD1"/>
    <w:rsid w:val="00BE5F7B"/>
    <w:rsid w:val="00BE6D00"/>
    <w:rsid w:val="00BE7292"/>
    <w:rsid w:val="00BE7F5D"/>
    <w:rsid w:val="00BF346F"/>
    <w:rsid w:val="00BF5A9E"/>
    <w:rsid w:val="00BF5C83"/>
    <w:rsid w:val="00BF7463"/>
    <w:rsid w:val="00C00870"/>
    <w:rsid w:val="00C0119A"/>
    <w:rsid w:val="00C04022"/>
    <w:rsid w:val="00C0523F"/>
    <w:rsid w:val="00C06E59"/>
    <w:rsid w:val="00C07C98"/>
    <w:rsid w:val="00C105CC"/>
    <w:rsid w:val="00C11E26"/>
    <w:rsid w:val="00C12FEF"/>
    <w:rsid w:val="00C142EA"/>
    <w:rsid w:val="00C15624"/>
    <w:rsid w:val="00C175D2"/>
    <w:rsid w:val="00C23362"/>
    <w:rsid w:val="00C23455"/>
    <w:rsid w:val="00C237A2"/>
    <w:rsid w:val="00C23D48"/>
    <w:rsid w:val="00C24107"/>
    <w:rsid w:val="00C24F92"/>
    <w:rsid w:val="00C250F3"/>
    <w:rsid w:val="00C251AA"/>
    <w:rsid w:val="00C25C7E"/>
    <w:rsid w:val="00C26541"/>
    <w:rsid w:val="00C274AF"/>
    <w:rsid w:val="00C325E4"/>
    <w:rsid w:val="00C325F5"/>
    <w:rsid w:val="00C329EB"/>
    <w:rsid w:val="00C338AD"/>
    <w:rsid w:val="00C34DAC"/>
    <w:rsid w:val="00C352F3"/>
    <w:rsid w:val="00C35320"/>
    <w:rsid w:val="00C354FF"/>
    <w:rsid w:val="00C3569A"/>
    <w:rsid w:val="00C35B2C"/>
    <w:rsid w:val="00C417B8"/>
    <w:rsid w:val="00C43E48"/>
    <w:rsid w:val="00C472D4"/>
    <w:rsid w:val="00C47E20"/>
    <w:rsid w:val="00C50306"/>
    <w:rsid w:val="00C50A53"/>
    <w:rsid w:val="00C5326A"/>
    <w:rsid w:val="00C537CF"/>
    <w:rsid w:val="00C55094"/>
    <w:rsid w:val="00C55DFA"/>
    <w:rsid w:val="00C56256"/>
    <w:rsid w:val="00C5733E"/>
    <w:rsid w:val="00C573F1"/>
    <w:rsid w:val="00C61E5D"/>
    <w:rsid w:val="00C63F08"/>
    <w:rsid w:val="00C66DEA"/>
    <w:rsid w:val="00C67FFA"/>
    <w:rsid w:val="00C71533"/>
    <w:rsid w:val="00C72ECB"/>
    <w:rsid w:val="00C75ACE"/>
    <w:rsid w:val="00C767A3"/>
    <w:rsid w:val="00C80634"/>
    <w:rsid w:val="00C83077"/>
    <w:rsid w:val="00C84772"/>
    <w:rsid w:val="00C84F7F"/>
    <w:rsid w:val="00C85475"/>
    <w:rsid w:val="00C85497"/>
    <w:rsid w:val="00C86015"/>
    <w:rsid w:val="00C86ADD"/>
    <w:rsid w:val="00C879ED"/>
    <w:rsid w:val="00C9062A"/>
    <w:rsid w:val="00C9447E"/>
    <w:rsid w:val="00C95094"/>
    <w:rsid w:val="00C9555D"/>
    <w:rsid w:val="00C95AE5"/>
    <w:rsid w:val="00C95C88"/>
    <w:rsid w:val="00C972F3"/>
    <w:rsid w:val="00CA2314"/>
    <w:rsid w:val="00CA2509"/>
    <w:rsid w:val="00CA4585"/>
    <w:rsid w:val="00CA5044"/>
    <w:rsid w:val="00CA7E28"/>
    <w:rsid w:val="00CB0B23"/>
    <w:rsid w:val="00CB1D09"/>
    <w:rsid w:val="00CB2404"/>
    <w:rsid w:val="00CB2554"/>
    <w:rsid w:val="00CB36A0"/>
    <w:rsid w:val="00CB3A4D"/>
    <w:rsid w:val="00CB6305"/>
    <w:rsid w:val="00CB6DE0"/>
    <w:rsid w:val="00CB7F30"/>
    <w:rsid w:val="00CC2B89"/>
    <w:rsid w:val="00CC347F"/>
    <w:rsid w:val="00CC39FB"/>
    <w:rsid w:val="00CC3DCF"/>
    <w:rsid w:val="00CC59D1"/>
    <w:rsid w:val="00CC6308"/>
    <w:rsid w:val="00CC6365"/>
    <w:rsid w:val="00CC6FB7"/>
    <w:rsid w:val="00CD0E56"/>
    <w:rsid w:val="00CD18C4"/>
    <w:rsid w:val="00CD26C9"/>
    <w:rsid w:val="00CD3D1C"/>
    <w:rsid w:val="00CD3DEC"/>
    <w:rsid w:val="00CD46EA"/>
    <w:rsid w:val="00CD68C2"/>
    <w:rsid w:val="00CE2578"/>
    <w:rsid w:val="00CE4447"/>
    <w:rsid w:val="00CE58BC"/>
    <w:rsid w:val="00CE5E46"/>
    <w:rsid w:val="00CE6346"/>
    <w:rsid w:val="00CE771D"/>
    <w:rsid w:val="00CF0D70"/>
    <w:rsid w:val="00CF18FE"/>
    <w:rsid w:val="00CF1D3E"/>
    <w:rsid w:val="00CF433D"/>
    <w:rsid w:val="00CF4B9D"/>
    <w:rsid w:val="00CF4E61"/>
    <w:rsid w:val="00CF6D6D"/>
    <w:rsid w:val="00CF6F68"/>
    <w:rsid w:val="00CF704B"/>
    <w:rsid w:val="00CF785F"/>
    <w:rsid w:val="00D04468"/>
    <w:rsid w:val="00D048E7"/>
    <w:rsid w:val="00D04BF6"/>
    <w:rsid w:val="00D05B05"/>
    <w:rsid w:val="00D05E20"/>
    <w:rsid w:val="00D07554"/>
    <w:rsid w:val="00D07B85"/>
    <w:rsid w:val="00D12936"/>
    <w:rsid w:val="00D13EA4"/>
    <w:rsid w:val="00D1450C"/>
    <w:rsid w:val="00D14AE6"/>
    <w:rsid w:val="00D14EEF"/>
    <w:rsid w:val="00D15782"/>
    <w:rsid w:val="00D15F93"/>
    <w:rsid w:val="00D16832"/>
    <w:rsid w:val="00D17D4E"/>
    <w:rsid w:val="00D20090"/>
    <w:rsid w:val="00D21A03"/>
    <w:rsid w:val="00D230C7"/>
    <w:rsid w:val="00D236D5"/>
    <w:rsid w:val="00D23AFB"/>
    <w:rsid w:val="00D24C36"/>
    <w:rsid w:val="00D26434"/>
    <w:rsid w:val="00D2648F"/>
    <w:rsid w:val="00D265FF"/>
    <w:rsid w:val="00D26BCA"/>
    <w:rsid w:val="00D27480"/>
    <w:rsid w:val="00D279A2"/>
    <w:rsid w:val="00D27EB3"/>
    <w:rsid w:val="00D302DB"/>
    <w:rsid w:val="00D305E7"/>
    <w:rsid w:val="00D31E74"/>
    <w:rsid w:val="00D31EF6"/>
    <w:rsid w:val="00D3240D"/>
    <w:rsid w:val="00D32F8B"/>
    <w:rsid w:val="00D33862"/>
    <w:rsid w:val="00D3441C"/>
    <w:rsid w:val="00D354BC"/>
    <w:rsid w:val="00D43273"/>
    <w:rsid w:val="00D45310"/>
    <w:rsid w:val="00D50544"/>
    <w:rsid w:val="00D51702"/>
    <w:rsid w:val="00D540EE"/>
    <w:rsid w:val="00D55229"/>
    <w:rsid w:val="00D5587B"/>
    <w:rsid w:val="00D61AE1"/>
    <w:rsid w:val="00D61EB1"/>
    <w:rsid w:val="00D62E16"/>
    <w:rsid w:val="00D66DA9"/>
    <w:rsid w:val="00D675E1"/>
    <w:rsid w:val="00D707C2"/>
    <w:rsid w:val="00D72DC3"/>
    <w:rsid w:val="00D7334D"/>
    <w:rsid w:val="00D747AA"/>
    <w:rsid w:val="00D75DD4"/>
    <w:rsid w:val="00D75F5E"/>
    <w:rsid w:val="00D76208"/>
    <w:rsid w:val="00D768CE"/>
    <w:rsid w:val="00D774E4"/>
    <w:rsid w:val="00D809E6"/>
    <w:rsid w:val="00D83C49"/>
    <w:rsid w:val="00D83DC7"/>
    <w:rsid w:val="00D84CCB"/>
    <w:rsid w:val="00D85701"/>
    <w:rsid w:val="00D8729E"/>
    <w:rsid w:val="00D90894"/>
    <w:rsid w:val="00D925E1"/>
    <w:rsid w:val="00D943D0"/>
    <w:rsid w:val="00D95773"/>
    <w:rsid w:val="00D96395"/>
    <w:rsid w:val="00DA02E3"/>
    <w:rsid w:val="00DA04C9"/>
    <w:rsid w:val="00DA1107"/>
    <w:rsid w:val="00DA1B80"/>
    <w:rsid w:val="00DA1BFA"/>
    <w:rsid w:val="00DA2F50"/>
    <w:rsid w:val="00DA2F7F"/>
    <w:rsid w:val="00DA321D"/>
    <w:rsid w:val="00DA4852"/>
    <w:rsid w:val="00DA5DC4"/>
    <w:rsid w:val="00DA62C1"/>
    <w:rsid w:val="00DA6C47"/>
    <w:rsid w:val="00DA6D24"/>
    <w:rsid w:val="00DA6F39"/>
    <w:rsid w:val="00DB100B"/>
    <w:rsid w:val="00DB30A1"/>
    <w:rsid w:val="00DB5E34"/>
    <w:rsid w:val="00DB71FE"/>
    <w:rsid w:val="00DB798C"/>
    <w:rsid w:val="00DC0D78"/>
    <w:rsid w:val="00DC2435"/>
    <w:rsid w:val="00DC4A2E"/>
    <w:rsid w:val="00DC5463"/>
    <w:rsid w:val="00DD00A7"/>
    <w:rsid w:val="00DD040E"/>
    <w:rsid w:val="00DD1B68"/>
    <w:rsid w:val="00DD1D58"/>
    <w:rsid w:val="00DD3DD5"/>
    <w:rsid w:val="00DD40D5"/>
    <w:rsid w:val="00DD5BAE"/>
    <w:rsid w:val="00DD60F2"/>
    <w:rsid w:val="00DD731A"/>
    <w:rsid w:val="00DD7F45"/>
    <w:rsid w:val="00DE0A22"/>
    <w:rsid w:val="00DF0588"/>
    <w:rsid w:val="00DF0805"/>
    <w:rsid w:val="00DF386B"/>
    <w:rsid w:val="00DF698D"/>
    <w:rsid w:val="00DF7A58"/>
    <w:rsid w:val="00DF7F08"/>
    <w:rsid w:val="00E02FA1"/>
    <w:rsid w:val="00E03BE6"/>
    <w:rsid w:val="00E04458"/>
    <w:rsid w:val="00E1026A"/>
    <w:rsid w:val="00E108E9"/>
    <w:rsid w:val="00E115C5"/>
    <w:rsid w:val="00E11CAC"/>
    <w:rsid w:val="00E12541"/>
    <w:rsid w:val="00E125BF"/>
    <w:rsid w:val="00E13186"/>
    <w:rsid w:val="00E13711"/>
    <w:rsid w:val="00E138A5"/>
    <w:rsid w:val="00E13F3B"/>
    <w:rsid w:val="00E14442"/>
    <w:rsid w:val="00E14551"/>
    <w:rsid w:val="00E166B8"/>
    <w:rsid w:val="00E1740F"/>
    <w:rsid w:val="00E17D18"/>
    <w:rsid w:val="00E2043F"/>
    <w:rsid w:val="00E20A94"/>
    <w:rsid w:val="00E20B94"/>
    <w:rsid w:val="00E20D1A"/>
    <w:rsid w:val="00E2125C"/>
    <w:rsid w:val="00E21528"/>
    <w:rsid w:val="00E2179E"/>
    <w:rsid w:val="00E231BE"/>
    <w:rsid w:val="00E233AB"/>
    <w:rsid w:val="00E2576A"/>
    <w:rsid w:val="00E27909"/>
    <w:rsid w:val="00E27DED"/>
    <w:rsid w:val="00E30764"/>
    <w:rsid w:val="00E308E3"/>
    <w:rsid w:val="00E349EE"/>
    <w:rsid w:val="00E35666"/>
    <w:rsid w:val="00E361F8"/>
    <w:rsid w:val="00E3636F"/>
    <w:rsid w:val="00E42639"/>
    <w:rsid w:val="00E44896"/>
    <w:rsid w:val="00E45700"/>
    <w:rsid w:val="00E47288"/>
    <w:rsid w:val="00E52B1B"/>
    <w:rsid w:val="00E52D4D"/>
    <w:rsid w:val="00E536F0"/>
    <w:rsid w:val="00E542D1"/>
    <w:rsid w:val="00E54447"/>
    <w:rsid w:val="00E56465"/>
    <w:rsid w:val="00E56744"/>
    <w:rsid w:val="00E60134"/>
    <w:rsid w:val="00E62129"/>
    <w:rsid w:val="00E654B5"/>
    <w:rsid w:val="00E65980"/>
    <w:rsid w:val="00E730AF"/>
    <w:rsid w:val="00E73C0E"/>
    <w:rsid w:val="00E74C1C"/>
    <w:rsid w:val="00E761F5"/>
    <w:rsid w:val="00E8001E"/>
    <w:rsid w:val="00E81AE6"/>
    <w:rsid w:val="00E81ECB"/>
    <w:rsid w:val="00E828C1"/>
    <w:rsid w:val="00E82D90"/>
    <w:rsid w:val="00E84C08"/>
    <w:rsid w:val="00E84E08"/>
    <w:rsid w:val="00E85D25"/>
    <w:rsid w:val="00E860DF"/>
    <w:rsid w:val="00E86409"/>
    <w:rsid w:val="00E866B8"/>
    <w:rsid w:val="00E86DF9"/>
    <w:rsid w:val="00E9331C"/>
    <w:rsid w:val="00E961C2"/>
    <w:rsid w:val="00E969F9"/>
    <w:rsid w:val="00E977A1"/>
    <w:rsid w:val="00E97BD2"/>
    <w:rsid w:val="00EA0034"/>
    <w:rsid w:val="00EA0B63"/>
    <w:rsid w:val="00EA0E09"/>
    <w:rsid w:val="00EA1F24"/>
    <w:rsid w:val="00EA23C2"/>
    <w:rsid w:val="00EA2AB3"/>
    <w:rsid w:val="00EA4432"/>
    <w:rsid w:val="00EA4661"/>
    <w:rsid w:val="00EA4700"/>
    <w:rsid w:val="00EA48E6"/>
    <w:rsid w:val="00EA67CB"/>
    <w:rsid w:val="00EA7535"/>
    <w:rsid w:val="00EA762A"/>
    <w:rsid w:val="00EA7A85"/>
    <w:rsid w:val="00EB13C9"/>
    <w:rsid w:val="00EB1A0A"/>
    <w:rsid w:val="00EB3B3A"/>
    <w:rsid w:val="00EB3C82"/>
    <w:rsid w:val="00EB4156"/>
    <w:rsid w:val="00EB689B"/>
    <w:rsid w:val="00EB75D8"/>
    <w:rsid w:val="00EC0612"/>
    <w:rsid w:val="00EC07C5"/>
    <w:rsid w:val="00EC0ED7"/>
    <w:rsid w:val="00EC1230"/>
    <w:rsid w:val="00EC2DBE"/>
    <w:rsid w:val="00EC3B83"/>
    <w:rsid w:val="00EC3E2A"/>
    <w:rsid w:val="00EC6856"/>
    <w:rsid w:val="00EC6FD2"/>
    <w:rsid w:val="00EC7FBC"/>
    <w:rsid w:val="00ED1194"/>
    <w:rsid w:val="00ED25C1"/>
    <w:rsid w:val="00ED2BFF"/>
    <w:rsid w:val="00ED31A2"/>
    <w:rsid w:val="00ED41B4"/>
    <w:rsid w:val="00ED4C3D"/>
    <w:rsid w:val="00ED4CBD"/>
    <w:rsid w:val="00ED71D3"/>
    <w:rsid w:val="00ED7227"/>
    <w:rsid w:val="00ED769A"/>
    <w:rsid w:val="00ED78E6"/>
    <w:rsid w:val="00EE0B2A"/>
    <w:rsid w:val="00EE13E8"/>
    <w:rsid w:val="00EE18D5"/>
    <w:rsid w:val="00EE1CA6"/>
    <w:rsid w:val="00EE2372"/>
    <w:rsid w:val="00EE2D06"/>
    <w:rsid w:val="00EE5027"/>
    <w:rsid w:val="00EE52F3"/>
    <w:rsid w:val="00EF0486"/>
    <w:rsid w:val="00EF0E67"/>
    <w:rsid w:val="00EF1421"/>
    <w:rsid w:val="00EF1843"/>
    <w:rsid w:val="00EF1CCE"/>
    <w:rsid w:val="00EF520E"/>
    <w:rsid w:val="00EF65DA"/>
    <w:rsid w:val="00F00A09"/>
    <w:rsid w:val="00F011AF"/>
    <w:rsid w:val="00F01972"/>
    <w:rsid w:val="00F01F3E"/>
    <w:rsid w:val="00F024F8"/>
    <w:rsid w:val="00F07138"/>
    <w:rsid w:val="00F07274"/>
    <w:rsid w:val="00F10117"/>
    <w:rsid w:val="00F10DF8"/>
    <w:rsid w:val="00F10E49"/>
    <w:rsid w:val="00F12CD1"/>
    <w:rsid w:val="00F141B2"/>
    <w:rsid w:val="00F1521C"/>
    <w:rsid w:val="00F202A1"/>
    <w:rsid w:val="00F232FD"/>
    <w:rsid w:val="00F241CB"/>
    <w:rsid w:val="00F246F2"/>
    <w:rsid w:val="00F2664D"/>
    <w:rsid w:val="00F26D29"/>
    <w:rsid w:val="00F3086C"/>
    <w:rsid w:val="00F3238A"/>
    <w:rsid w:val="00F32590"/>
    <w:rsid w:val="00F328E7"/>
    <w:rsid w:val="00F33369"/>
    <w:rsid w:val="00F33549"/>
    <w:rsid w:val="00F33679"/>
    <w:rsid w:val="00F33D7C"/>
    <w:rsid w:val="00F36314"/>
    <w:rsid w:val="00F37F8F"/>
    <w:rsid w:val="00F4049D"/>
    <w:rsid w:val="00F41420"/>
    <w:rsid w:val="00F434C0"/>
    <w:rsid w:val="00F44E28"/>
    <w:rsid w:val="00F4725C"/>
    <w:rsid w:val="00F47A29"/>
    <w:rsid w:val="00F50B45"/>
    <w:rsid w:val="00F50F9D"/>
    <w:rsid w:val="00F53525"/>
    <w:rsid w:val="00F545B3"/>
    <w:rsid w:val="00F55550"/>
    <w:rsid w:val="00F60F72"/>
    <w:rsid w:val="00F60FFF"/>
    <w:rsid w:val="00F633EE"/>
    <w:rsid w:val="00F63B30"/>
    <w:rsid w:val="00F652F4"/>
    <w:rsid w:val="00F66D50"/>
    <w:rsid w:val="00F70B5D"/>
    <w:rsid w:val="00F7119F"/>
    <w:rsid w:val="00F7471B"/>
    <w:rsid w:val="00F7628F"/>
    <w:rsid w:val="00F80B30"/>
    <w:rsid w:val="00F80CD1"/>
    <w:rsid w:val="00F83328"/>
    <w:rsid w:val="00F84FF2"/>
    <w:rsid w:val="00F85ADC"/>
    <w:rsid w:val="00F85CE8"/>
    <w:rsid w:val="00F86617"/>
    <w:rsid w:val="00F8670E"/>
    <w:rsid w:val="00F87AD3"/>
    <w:rsid w:val="00F87E44"/>
    <w:rsid w:val="00F9091A"/>
    <w:rsid w:val="00F92DA2"/>
    <w:rsid w:val="00F9322B"/>
    <w:rsid w:val="00FA0A35"/>
    <w:rsid w:val="00FA2E3B"/>
    <w:rsid w:val="00FA4C9D"/>
    <w:rsid w:val="00FA518E"/>
    <w:rsid w:val="00FA532D"/>
    <w:rsid w:val="00FA7B2E"/>
    <w:rsid w:val="00FB00AE"/>
    <w:rsid w:val="00FB0946"/>
    <w:rsid w:val="00FB11CA"/>
    <w:rsid w:val="00FB2742"/>
    <w:rsid w:val="00FB27B2"/>
    <w:rsid w:val="00FB28B2"/>
    <w:rsid w:val="00FB6860"/>
    <w:rsid w:val="00FB7AC4"/>
    <w:rsid w:val="00FC13B2"/>
    <w:rsid w:val="00FC3294"/>
    <w:rsid w:val="00FC3C2B"/>
    <w:rsid w:val="00FC40CB"/>
    <w:rsid w:val="00FC5109"/>
    <w:rsid w:val="00FC52E4"/>
    <w:rsid w:val="00FC5BA6"/>
    <w:rsid w:val="00FC6612"/>
    <w:rsid w:val="00FD0763"/>
    <w:rsid w:val="00FD21BB"/>
    <w:rsid w:val="00FD2944"/>
    <w:rsid w:val="00FD2B45"/>
    <w:rsid w:val="00FD31AB"/>
    <w:rsid w:val="00FD364E"/>
    <w:rsid w:val="00FD4577"/>
    <w:rsid w:val="00FD570F"/>
    <w:rsid w:val="00FD5CC1"/>
    <w:rsid w:val="00FD63BD"/>
    <w:rsid w:val="00FD69D1"/>
    <w:rsid w:val="00FD7D09"/>
    <w:rsid w:val="00FE009A"/>
    <w:rsid w:val="00FE081E"/>
    <w:rsid w:val="00FE1594"/>
    <w:rsid w:val="00FE2468"/>
    <w:rsid w:val="00FE43D9"/>
    <w:rsid w:val="00FE46EE"/>
    <w:rsid w:val="00FE53CD"/>
    <w:rsid w:val="00FE58DD"/>
    <w:rsid w:val="00FE5F37"/>
    <w:rsid w:val="00FE63D8"/>
    <w:rsid w:val="00FE71CF"/>
    <w:rsid w:val="00FF0CC8"/>
    <w:rsid w:val="00FF158D"/>
    <w:rsid w:val="00FF40C2"/>
    <w:rsid w:val="00FF69DA"/>
    <w:rsid w:val="00FF79C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colormru v:ext="edit" colors="white,#cff"/>
      <o:colormenu v:ext="edit" fillcolor="#cff"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E4E43"/>
    <w:pPr>
      <w:widowControl w:val="0"/>
      <w:jc w:val="center"/>
    </w:pPr>
    <w:rPr>
      <w:rFonts w:eastAsia="標楷體"/>
      <w:kern w:val="2"/>
      <w:sz w:val="32"/>
    </w:rPr>
  </w:style>
  <w:style w:type="paragraph" w:styleId="1">
    <w:name w:val="heading 1"/>
    <w:basedOn w:val="a1"/>
    <w:qFormat/>
    <w:rsid w:val="000E4E43"/>
    <w:pPr>
      <w:numPr>
        <w:numId w:val="4"/>
      </w:numPr>
      <w:kinsoku w:val="0"/>
      <w:ind w:left="699"/>
      <w:jc w:val="both"/>
      <w:outlineLvl w:val="0"/>
    </w:pPr>
    <w:rPr>
      <w:rFonts w:ascii="標楷體" w:hAnsi="Arial"/>
      <w:bCs/>
      <w:kern w:val="0"/>
      <w:szCs w:val="52"/>
    </w:rPr>
  </w:style>
  <w:style w:type="paragraph" w:styleId="2">
    <w:name w:val="heading 2"/>
    <w:basedOn w:val="a1"/>
    <w:qFormat/>
    <w:rsid w:val="000E4E43"/>
    <w:pPr>
      <w:numPr>
        <w:ilvl w:val="1"/>
        <w:numId w:val="4"/>
      </w:numPr>
      <w:kinsoku w:val="0"/>
      <w:jc w:val="both"/>
      <w:outlineLvl w:val="1"/>
    </w:pPr>
    <w:rPr>
      <w:rFonts w:ascii="標楷體" w:hAnsi="Arial"/>
      <w:bCs/>
      <w:kern w:val="0"/>
      <w:szCs w:val="48"/>
    </w:rPr>
  </w:style>
  <w:style w:type="paragraph" w:styleId="3">
    <w:name w:val="heading 3"/>
    <w:basedOn w:val="a1"/>
    <w:qFormat/>
    <w:rsid w:val="000E4E43"/>
    <w:pPr>
      <w:numPr>
        <w:ilvl w:val="2"/>
        <w:numId w:val="4"/>
      </w:numPr>
      <w:kinsoku w:val="0"/>
      <w:jc w:val="both"/>
      <w:outlineLvl w:val="2"/>
    </w:pPr>
    <w:rPr>
      <w:rFonts w:ascii="標楷體" w:hAnsi="Arial"/>
      <w:bCs/>
      <w:kern w:val="0"/>
      <w:szCs w:val="36"/>
    </w:rPr>
  </w:style>
  <w:style w:type="paragraph" w:styleId="4">
    <w:name w:val="heading 4"/>
    <w:basedOn w:val="a1"/>
    <w:link w:val="40"/>
    <w:qFormat/>
    <w:rsid w:val="000E4E43"/>
    <w:pPr>
      <w:numPr>
        <w:ilvl w:val="3"/>
        <w:numId w:val="4"/>
      </w:numPr>
      <w:jc w:val="both"/>
      <w:outlineLvl w:val="3"/>
    </w:pPr>
    <w:rPr>
      <w:rFonts w:ascii="標楷體" w:hAnsi="Arial"/>
      <w:szCs w:val="36"/>
    </w:rPr>
  </w:style>
  <w:style w:type="paragraph" w:styleId="5">
    <w:name w:val="heading 5"/>
    <w:basedOn w:val="a1"/>
    <w:qFormat/>
    <w:rsid w:val="000E4E43"/>
    <w:pPr>
      <w:numPr>
        <w:ilvl w:val="4"/>
        <w:numId w:val="4"/>
      </w:numPr>
      <w:kinsoku w:val="0"/>
      <w:jc w:val="both"/>
      <w:outlineLvl w:val="4"/>
    </w:pPr>
    <w:rPr>
      <w:rFonts w:ascii="標楷體" w:hAnsi="Arial"/>
      <w:bCs/>
      <w:szCs w:val="36"/>
    </w:rPr>
  </w:style>
  <w:style w:type="paragraph" w:styleId="6">
    <w:name w:val="heading 6"/>
    <w:basedOn w:val="a1"/>
    <w:link w:val="60"/>
    <w:qFormat/>
    <w:rsid w:val="000E4E43"/>
    <w:pPr>
      <w:numPr>
        <w:ilvl w:val="5"/>
        <w:numId w:val="4"/>
      </w:numPr>
      <w:tabs>
        <w:tab w:val="left" w:pos="2094"/>
      </w:tabs>
      <w:kinsoku w:val="0"/>
      <w:jc w:val="both"/>
      <w:outlineLvl w:val="5"/>
    </w:pPr>
    <w:rPr>
      <w:rFonts w:ascii="標楷體" w:hAnsi="Arial"/>
      <w:szCs w:val="36"/>
    </w:rPr>
  </w:style>
  <w:style w:type="paragraph" w:styleId="7">
    <w:name w:val="heading 7"/>
    <w:basedOn w:val="a1"/>
    <w:qFormat/>
    <w:rsid w:val="000E4E43"/>
    <w:pPr>
      <w:numPr>
        <w:ilvl w:val="6"/>
        <w:numId w:val="4"/>
      </w:numPr>
      <w:kinsoku w:val="0"/>
      <w:jc w:val="both"/>
      <w:outlineLvl w:val="6"/>
    </w:pPr>
    <w:rPr>
      <w:rFonts w:ascii="標楷體" w:hAnsi="Arial"/>
      <w:bCs/>
      <w:szCs w:val="36"/>
    </w:rPr>
  </w:style>
  <w:style w:type="paragraph" w:styleId="8">
    <w:name w:val="heading 8"/>
    <w:basedOn w:val="a1"/>
    <w:qFormat/>
    <w:rsid w:val="000E4E43"/>
    <w:pPr>
      <w:numPr>
        <w:ilvl w:val="7"/>
        <w:numId w:val="4"/>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0E4E43"/>
    <w:pPr>
      <w:spacing w:before="720" w:after="720"/>
      <w:ind w:left="7371"/>
    </w:pPr>
    <w:rPr>
      <w:rFonts w:ascii="標楷體"/>
      <w:b/>
      <w:snapToGrid w:val="0"/>
      <w:spacing w:val="10"/>
      <w:sz w:val="36"/>
    </w:rPr>
  </w:style>
  <w:style w:type="paragraph" w:styleId="a6">
    <w:name w:val="endnote text"/>
    <w:basedOn w:val="a1"/>
    <w:semiHidden/>
    <w:rsid w:val="000E4E43"/>
    <w:pPr>
      <w:spacing w:before="240"/>
      <w:ind w:left="1021" w:hanging="1021"/>
      <w:jc w:val="both"/>
    </w:pPr>
    <w:rPr>
      <w:rFonts w:ascii="標楷體"/>
      <w:snapToGrid w:val="0"/>
      <w:spacing w:val="10"/>
    </w:rPr>
  </w:style>
  <w:style w:type="paragraph" w:styleId="50">
    <w:name w:val="toc 5"/>
    <w:basedOn w:val="a1"/>
    <w:next w:val="a1"/>
    <w:autoRedefine/>
    <w:semiHidden/>
    <w:rsid w:val="000E4E43"/>
    <w:pPr>
      <w:ind w:leftChars="400" w:left="600" w:rightChars="200" w:right="200" w:hangingChars="200" w:hanging="200"/>
    </w:pPr>
    <w:rPr>
      <w:rFonts w:ascii="標楷體"/>
    </w:rPr>
  </w:style>
  <w:style w:type="character" w:styleId="a7">
    <w:name w:val="page number"/>
    <w:basedOn w:val="a2"/>
    <w:semiHidden/>
    <w:rsid w:val="000E4E43"/>
    <w:rPr>
      <w:rFonts w:ascii="標楷體" w:eastAsia="標楷體"/>
      <w:sz w:val="20"/>
    </w:rPr>
  </w:style>
  <w:style w:type="paragraph" w:styleId="61">
    <w:name w:val="toc 6"/>
    <w:basedOn w:val="a1"/>
    <w:next w:val="a1"/>
    <w:autoRedefine/>
    <w:semiHidden/>
    <w:rsid w:val="000E4E43"/>
    <w:pPr>
      <w:ind w:leftChars="500" w:left="500"/>
    </w:pPr>
    <w:rPr>
      <w:rFonts w:ascii="標楷體"/>
    </w:rPr>
  </w:style>
  <w:style w:type="paragraph" w:customStyle="1" w:styleId="10">
    <w:name w:val="段落樣式1"/>
    <w:basedOn w:val="a1"/>
    <w:rsid w:val="000E4E43"/>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0E4E43"/>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0E4E43"/>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0E4E43"/>
    <w:pPr>
      <w:kinsoku w:val="0"/>
      <w:ind w:leftChars="100" w:left="300" w:rightChars="200" w:right="200" w:hangingChars="200" w:hanging="200"/>
    </w:pPr>
    <w:rPr>
      <w:rFonts w:ascii="標楷體"/>
      <w:noProof/>
    </w:rPr>
  </w:style>
  <w:style w:type="paragraph" w:styleId="30">
    <w:name w:val="toc 3"/>
    <w:basedOn w:val="a1"/>
    <w:next w:val="a1"/>
    <w:autoRedefine/>
    <w:semiHidden/>
    <w:rsid w:val="000E4E43"/>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0E4E43"/>
    <w:pPr>
      <w:kinsoku w:val="0"/>
      <w:ind w:leftChars="300" w:left="500" w:rightChars="200" w:right="200" w:hangingChars="200" w:hanging="200"/>
      <w:jc w:val="both"/>
    </w:pPr>
    <w:rPr>
      <w:rFonts w:ascii="標楷體"/>
    </w:rPr>
  </w:style>
  <w:style w:type="paragraph" w:styleId="70">
    <w:name w:val="toc 7"/>
    <w:basedOn w:val="a1"/>
    <w:next w:val="a1"/>
    <w:autoRedefine/>
    <w:semiHidden/>
    <w:rsid w:val="000E4E43"/>
    <w:pPr>
      <w:ind w:leftChars="600" w:left="800" w:hangingChars="200" w:hanging="200"/>
    </w:pPr>
    <w:rPr>
      <w:rFonts w:ascii="標楷體"/>
    </w:rPr>
  </w:style>
  <w:style w:type="paragraph" w:styleId="80">
    <w:name w:val="toc 8"/>
    <w:basedOn w:val="a1"/>
    <w:next w:val="a1"/>
    <w:autoRedefine/>
    <w:semiHidden/>
    <w:rsid w:val="000E4E43"/>
    <w:pPr>
      <w:ind w:leftChars="700" w:left="900" w:hangingChars="200" w:hanging="200"/>
    </w:pPr>
    <w:rPr>
      <w:rFonts w:ascii="標楷體"/>
    </w:rPr>
  </w:style>
  <w:style w:type="paragraph" w:styleId="9">
    <w:name w:val="toc 9"/>
    <w:basedOn w:val="a1"/>
    <w:next w:val="a1"/>
    <w:autoRedefine/>
    <w:semiHidden/>
    <w:rsid w:val="000E4E43"/>
    <w:pPr>
      <w:ind w:leftChars="1600" w:left="3840"/>
    </w:pPr>
  </w:style>
  <w:style w:type="paragraph" w:styleId="a8">
    <w:name w:val="header"/>
    <w:basedOn w:val="a1"/>
    <w:semiHidden/>
    <w:rsid w:val="000E4E43"/>
    <w:pPr>
      <w:tabs>
        <w:tab w:val="center" w:pos="4153"/>
        <w:tab w:val="right" w:pos="8306"/>
      </w:tabs>
      <w:snapToGrid w:val="0"/>
    </w:pPr>
    <w:rPr>
      <w:sz w:val="20"/>
    </w:rPr>
  </w:style>
  <w:style w:type="paragraph" w:customStyle="1" w:styleId="31">
    <w:name w:val="段落樣式3"/>
    <w:basedOn w:val="20"/>
    <w:rsid w:val="000E4E43"/>
    <w:pPr>
      <w:ind w:leftChars="400" w:left="400"/>
    </w:pPr>
  </w:style>
  <w:style w:type="character" w:styleId="a9">
    <w:name w:val="Hyperlink"/>
    <w:basedOn w:val="a2"/>
    <w:semiHidden/>
    <w:rsid w:val="000E4E43"/>
    <w:rPr>
      <w:color w:val="0000FF"/>
      <w:u w:val="single"/>
    </w:rPr>
  </w:style>
  <w:style w:type="paragraph" w:customStyle="1" w:styleId="aa">
    <w:name w:val="簽名日期"/>
    <w:basedOn w:val="a1"/>
    <w:rsid w:val="000E4E43"/>
    <w:pPr>
      <w:kinsoku w:val="0"/>
      <w:jc w:val="distribute"/>
    </w:pPr>
    <w:rPr>
      <w:kern w:val="0"/>
    </w:rPr>
  </w:style>
  <w:style w:type="paragraph" w:customStyle="1" w:styleId="0">
    <w:name w:val="段落樣式0"/>
    <w:basedOn w:val="20"/>
    <w:rsid w:val="000E4E43"/>
    <w:pPr>
      <w:ind w:leftChars="200" w:left="200" w:firstLineChars="0" w:firstLine="0"/>
    </w:pPr>
  </w:style>
  <w:style w:type="paragraph" w:customStyle="1" w:styleId="ab">
    <w:name w:val="附件"/>
    <w:basedOn w:val="a6"/>
    <w:rsid w:val="000E4E43"/>
    <w:pPr>
      <w:kinsoku w:val="0"/>
      <w:spacing w:before="0"/>
      <w:ind w:left="1047" w:hangingChars="300" w:hanging="1047"/>
    </w:pPr>
    <w:rPr>
      <w:snapToGrid/>
      <w:spacing w:val="0"/>
      <w:kern w:val="0"/>
    </w:rPr>
  </w:style>
  <w:style w:type="paragraph" w:customStyle="1" w:styleId="42">
    <w:name w:val="段落樣式4"/>
    <w:basedOn w:val="31"/>
    <w:rsid w:val="000E4E43"/>
    <w:pPr>
      <w:ind w:leftChars="500" w:left="500"/>
    </w:pPr>
  </w:style>
  <w:style w:type="paragraph" w:customStyle="1" w:styleId="51">
    <w:name w:val="段落樣式5"/>
    <w:basedOn w:val="42"/>
    <w:rsid w:val="000E4E43"/>
    <w:pPr>
      <w:ind w:leftChars="600" w:left="600"/>
    </w:pPr>
  </w:style>
  <w:style w:type="paragraph" w:customStyle="1" w:styleId="62">
    <w:name w:val="段落樣式6"/>
    <w:basedOn w:val="51"/>
    <w:rsid w:val="000E4E43"/>
    <w:pPr>
      <w:ind w:leftChars="700" w:left="700"/>
    </w:pPr>
  </w:style>
  <w:style w:type="paragraph" w:customStyle="1" w:styleId="71">
    <w:name w:val="段落樣式7"/>
    <w:basedOn w:val="62"/>
    <w:rsid w:val="000E4E43"/>
  </w:style>
  <w:style w:type="paragraph" w:customStyle="1" w:styleId="81">
    <w:name w:val="段落樣式8"/>
    <w:basedOn w:val="71"/>
    <w:rsid w:val="000E4E43"/>
    <w:pPr>
      <w:ind w:leftChars="800" w:left="800"/>
    </w:pPr>
  </w:style>
  <w:style w:type="paragraph" w:customStyle="1" w:styleId="a0">
    <w:name w:val="表樣式"/>
    <w:basedOn w:val="a1"/>
    <w:next w:val="a1"/>
    <w:rsid w:val="000E4E43"/>
    <w:pPr>
      <w:numPr>
        <w:numId w:val="1"/>
      </w:numPr>
      <w:jc w:val="both"/>
    </w:pPr>
    <w:rPr>
      <w:rFonts w:ascii="標楷體"/>
      <w:kern w:val="0"/>
    </w:rPr>
  </w:style>
  <w:style w:type="paragraph" w:styleId="ac">
    <w:name w:val="Body Text Indent"/>
    <w:basedOn w:val="a1"/>
    <w:semiHidden/>
    <w:rsid w:val="000E4E43"/>
    <w:pPr>
      <w:ind w:left="698" w:hangingChars="200" w:hanging="698"/>
    </w:pPr>
  </w:style>
  <w:style w:type="paragraph" w:customStyle="1" w:styleId="ad">
    <w:name w:val="調查報告"/>
    <w:basedOn w:val="a6"/>
    <w:rsid w:val="000E4E43"/>
    <w:pPr>
      <w:kinsoku w:val="0"/>
      <w:spacing w:before="0"/>
      <w:ind w:left="1701" w:firstLine="0"/>
    </w:pPr>
    <w:rPr>
      <w:b/>
      <w:snapToGrid/>
      <w:spacing w:val="200"/>
      <w:kern w:val="0"/>
      <w:sz w:val="36"/>
    </w:rPr>
  </w:style>
  <w:style w:type="table" w:styleId="ae">
    <w:name w:val="Table Grid"/>
    <w:basedOn w:val="a3"/>
    <w:rsid w:val="009E47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圖樣式"/>
    <w:basedOn w:val="a1"/>
    <w:next w:val="a1"/>
    <w:rsid w:val="000E4E43"/>
    <w:pPr>
      <w:numPr>
        <w:numId w:val="2"/>
      </w:numPr>
      <w:tabs>
        <w:tab w:val="clear" w:pos="1440"/>
      </w:tabs>
      <w:ind w:left="400" w:hangingChars="400" w:hanging="400"/>
      <w:jc w:val="both"/>
    </w:pPr>
    <w:rPr>
      <w:rFonts w:ascii="標楷體"/>
    </w:rPr>
  </w:style>
  <w:style w:type="paragraph" w:styleId="af">
    <w:name w:val="footer"/>
    <w:basedOn w:val="a1"/>
    <w:semiHidden/>
    <w:rsid w:val="000E4E43"/>
    <w:pPr>
      <w:tabs>
        <w:tab w:val="center" w:pos="4153"/>
        <w:tab w:val="right" w:pos="8306"/>
      </w:tabs>
      <w:snapToGrid w:val="0"/>
    </w:pPr>
    <w:rPr>
      <w:sz w:val="20"/>
    </w:rPr>
  </w:style>
  <w:style w:type="paragraph" w:styleId="af0">
    <w:name w:val="table of figures"/>
    <w:basedOn w:val="a1"/>
    <w:next w:val="a1"/>
    <w:semiHidden/>
    <w:rsid w:val="000E4E43"/>
    <w:pPr>
      <w:ind w:left="400" w:hangingChars="400" w:hanging="400"/>
    </w:pPr>
  </w:style>
  <w:style w:type="paragraph" w:styleId="af1">
    <w:name w:val="footnote text"/>
    <w:aliases w:val="註腳文字 字元1,註腳文字 字元 字元 字元,註腳文字 字元 字元"/>
    <w:basedOn w:val="a1"/>
    <w:link w:val="af2"/>
    <w:uiPriority w:val="99"/>
    <w:unhideWhenUsed/>
    <w:rsid w:val="001C685C"/>
    <w:pPr>
      <w:snapToGrid w:val="0"/>
      <w:jc w:val="left"/>
    </w:pPr>
    <w:rPr>
      <w:sz w:val="20"/>
    </w:rPr>
  </w:style>
  <w:style w:type="character" w:customStyle="1" w:styleId="af2">
    <w:name w:val="註腳文字 字元"/>
    <w:aliases w:val="註腳文字 字元1 字元,註腳文字 字元 字元 字元 字元,註腳文字 字元 字元 字元1"/>
    <w:basedOn w:val="a2"/>
    <w:link w:val="af1"/>
    <w:uiPriority w:val="99"/>
    <w:rsid w:val="001C685C"/>
    <w:rPr>
      <w:rFonts w:eastAsia="標楷體"/>
      <w:kern w:val="2"/>
    </w:rPr>
  </w:style>
  <w:style w:type="character" w:styleId="af3">
    <w:name w:val="footnote reference"/>
    <w:basedOn w:val="a2"/>
    <w:uiPriority w:val="99"/>
    <w:semiHidden/>
    <w:unhideWhenUsed/>
    <w:rsid w:val="001C685C"/>
    <w:rPr>
      <w:vertAlign w:val="superscript"/>
    </w:rPr>
  </w:style>
  <w:style w:type="paragraph" w:styleId="af4">
    <w:name w:val="List Paragraph"/>
    <w:basedOn w:val="a1"/>
    <w:qFormat/>
    <w:rsid w:val="00F53525"/>
    <w:pPr>
      <w:ind w:leftChars="200" w:left="480"/>
      <w:jc w:val="left"/>
    </w:pPr>
    <w:rPr>
      <w:rFonts w:ascii="Calibri" w:eastAsia="新細明體" w:hAnsi="Calibri"/>
      <w:sz w:val="24"/>
      <w:szCs w:val="22"/>
    </w:rPr>
  </w:style>
  <w:style w:type="paragraph" w:customStyle="1" w:styleId="Default">
    <w:name w:val="Default"/>
    <w:rsid w:val="00F241CB"/>
    <w:pPr>
      <w:widowControl w:val="0"/>
      <w:autoSpaceDE w:val="0"/>
      <w:autoSpaceDN w:val="0"/>
      <w:adjustRightInd w:val="0"/>
    </w:pPr>
    <w:rPr>
      <w:rFonts w:ascii="HiddenHorzOCl" w:eastAsia="HiddenHorzOCl" w:cs="HiddenHorzOCl"/>
      <w:color w:val="000000"/>
      <w:sz w:val="24"/>
      <w:szCs w:val="24"/>
    </w:rPr>
  </w:style>
  <w:style w:type="character" w:customStyle="1" w:styleId="40">
    <w:name w:val="標題 4 字元"/>
    <w:basedOn w:val="a2"/>
    <w:link w:val="4"/>
    <w:rsid w:val="00C86015"/>
    <w:rPr>
      <w:rFonts w:ascii="標楷體" w:eastAsia="標楷體" w:hAnsi="Arial"/>
      <w:kern w:val="2"/>
      <w:sz w:val="32"/>
      <w:szCs w:val="36"/>
    </w:rPr>
  </w:style>
  <w:style w:type="character" w:customStyle="1" w:styleId="60">
    <w:name w:val="標題 6 字元"/>
    <w:basedOn w:val="a2"/>
    <w:link w:val="6"/>
    <w:rsid w:val="00C86015"/>
    <w:rPr>
      <w:rFonts w:ascii="標楷體" w:eastAsia="標楷體" w:hAnsi="Arial"/>
      <w:kern w:val="2"/>
      <w:sz w:val="32"/>
      <w:szCs w:val="36"/>
    </w:rPr>
  </w:style>
  <w:style w:type="character" w:customStyle="1" w:styleId="af5">
    <w:name w:val="表註 字元"/>
    <w:basedOn w:val="a2"/>
    <w:link w:val="af6"/>
    <w:locked/>
    <w:rsid w:val="001D3A93"/>
    <w:rPr>
      <w:rFonts w:ascii="標楷體" w:eastAsia="標楷體" w:hAnsi="Arial" w:cs="Arial"/>
      <w:kern w:val="2"/>
      <w:sz w:val="24"/>
      <w:szCs w:val="18"/>
    </w:rPr>
  </w:style>
  <w:style w:type="paragraph" w:customStyle="1" w:styleId="af6">
    <w:name w:val="表註"/>
    <w:basedOn w:val="a1"/>
    <w:link w:val="af5"/>
    <w:rsid w:val="001D3A93"/>
    <w:pPr>
      <w:kinsoku w:val="0"/>
      <w:overflowPunct w:val="0"/>
      <w:autoSpaceDE w:val="0"/>
      <w:autoSpaceDN w:val="0"/>
      <w:adjustRightInd w:val="0"/>
      <w:snapToGrid w:val="0"/>
      <w:spacing w:beforeLines="30" w:line="240" w:lineRule="atLeast"/>
      <w:jc w:val="both"/>
    </w:pPr>
    <w:rPr>
      <w:rFonts w:ascii="標楷體" w:hAnsi="Arial" w:cs="Arial"/>
      <w:sz w:val="24"/>
      <w:szCs w:val="18"/>
    </w:rPr>
  </w:style>
  <w:style w:type="character" w:customStyle="1" w:styleId="af7">
    <w:name w:val="表名 字元 字元"/>
    <w:basedOn w:val="a2"/>
    <w:link w:val="af8"/>
    <w:locked/>
    <w:rsid w:val="001D3A93"/>
    <w:rPr>
      <w:rFonts w:ascii="標楷體" w:eastAsia="標楷體" w:hAnsi="標楷體"/>
      <w:kern w:val="2"/>
      <w:sz w:val="28"/>
      <w:szCs w:val="24"/>
    </w:rPr>
  </w:style>
  <w:style w:type="paragraph" w:customStyle="1" w:styleId="af8">
    <w:name w:val="表名"/>
    <w:basedOn w:val="a1"/>
    <w:link w:val="af7"/>
    <w:rsid w:val="001D3A93"/>
    <w:pPr>
      <w:snapToGrid w:val="0"/>
      <w:spacing w:before="240" w:line="240" w:lineRule="atLeast"/>
    </w:pPr>
    <w:rPr>
      <w:rFonts w:ascii="標楷體" w:hAnsi="標楷體"/>
      <w:sz w:val="28"/>
      <w:szCs w:val="24"/>
    </w:rPr>
  </w:style>
  <w:style w:type="character" w:customStyle="1" w:styleId="af9">
    <w:name w:val="圖名 字元"/>
    <w:basedOn w:val="a2"/>
    <w:link w:val="afa"/>
    <w:locked/>
    <w:rsid w:val="002C709D"/>
    <w:rPr>
      <w:rFonts w:ascii="標楷體" w:eastAsia="標楷體" w:hAnsi="標楷體" w:cs="新細明體"/>
      <w:kern w:val="2"/>
      <w:sz w:val="28"/>
      <w:szCs w:val="28"/>
      <w:lang w:val="en-US" w:eastAsia="zh-TW" w:bidi="ar-SA"/>
    </w:rPr>
  </w:style>
  <w:style w:type="paragraph" w:customStyle="1" w:styleId="afa">
    <w:name w:val="圖名"/>
    <w:link w:val="af9"/>
    <w:rsid w:val="002C709D"/>
    <w:pPr>
      <w:keepNext/>
      <w:widowControl w:val="0"/>
      <w:tabs>
        <w:tab w:val="num" w:pos="1080"/>
      </w:tabs>
      <w:adjustRightInd w:val="0"/>
      <w:spacing w:line="240" w:lineRule="atLeast"/>
      <w:jc w:val="center"/>
    </w:pPr>
    <w:rPr>
      <w:rFonts w:ascii="標楷體" w:eastAsia="標楷體" w:hAnsi="標楷體" w:cs="新細明體"/>
      <w:kern w:val="2"/>
      <w:sz w:val="28"/>
      <w:szCs w:val="28"/>
    </w:rPr>
  </w:style>
  <w:style w:type="paragraph" w:customStyle="1" w:styleId="afb">
    <w:name w:val="表文"/>
    <w:link w:val="afc"/>
    <w:rsid w:val="00CA7E28"/>
    <w:pPr>
      <w:adjustRightInd w:val="0"/>
      <w:snapToGrid w:val="0"/>
      <w:spacing w:line="280" w:lineRule="atLeast"/>
      <w:jc w:val="center"/>
    </w:pPr>
    <w:rPr>
      <w:rFonts w:ascii="標楷體" w:eastAsia="標楷體" w:hAnsi="Arial"/>
      <w:kern w:val="2"/>
      <w:sz w:val="22"/>
      <w:szCs w:val="22"/>
    </w:rPr>
  </w:style>
  <w:style w:type="character" w:customStyle="1" w:styleId="afc">
    <w:name w:val="表文 字元"/>
    <w:link w:val="afb"/>
    <w:rsid w:val="00CA7E28"/>
    <w:rPr>
      <w:rFonts w:ascii="標楷體" w:eastAsia="標楷體" w:hAnsi="Arial"/>
      <w:kern w:val="2"/>
      <w:sz w:val="22"/>
      <w:szCs w:val="22"/>
      <w:lang w:bidi="ar-SA"/>
    </w:rPr>
  </w:style>
  <w:style w:type="paragraph" w:customStyle="1" w:styleId="-">
    <w:name w:val="土管-表文(置中)"/>
    <w:basedOn w:val="a1"/>
    <w:rsid w:val="00AF3217"/>
    <w:pPr>
      <w:tabs>
        <w:tab w:val="left" w:pos="840"/>
      </w:tabs>
      <w:snapToGrid w:val="0"/>
      <w:spacing w:line="240" w:lineRule="atLeast"/>
    </w:pPr>
    <w:rPr>
      <w:rFonts w:ascii="標楷體"/>
      <w:sz w:val="24"/>
      <w:szCs w:val="24"/>
    </w:rPr>
  </w:style>
  <w:style w:type="paragraph" w:customStyle="1" w:styleId="afd">
    <w:name w:val="分項段落"/>
    <w:basedOn w:val="a1"/>
    <w:rsid w:val="0032249E"/>
    <w:pPr>
      <w:jc w:val="left"/>
    </w:pPr>
    <w:rPr>
      <w:rFonts w:eastAsia="新細明體"/>
      <w:sz w:val="24"/>
    </w:rPr>
  </w:style>
  <w:style w:type="paragraph" w:styleId="afe">
    <w:name w:val="Balloon Text"/>
    <w:basedOn w:val="a1"/>
    <w:link w:val="aff"/>
    <w:uiPriority w:val="99"/>
    <w:semiHidden/>
    <w:unhideWhenUsed/>
    <w:rsid w:val="009E296B"/>
    <w:rPr>
      <w:rFonts w:asciiTheme="majorHAnsi" w:eastAsiaTheme="majorEastAsia" w:hAnsiTheme="majorHAnsi" w:cstheme="majorBidi"/>
      <w:sz w:val="18"/>
      <w:szCs w:val="18"/>
    </w:rPr>
  </w:style>
  <w:style w:type="character" w:customStyle="1" w:styleId="aff">
    <w:name w:val="註解方塊文字 字元"/>
    <w:basedOn w:val="a2"/>
    <w:link w:val="afe"/>
    <w:uiPriority w:val="99"/>
    <w:semiHidden/>
    <w:rsid w:val="009E296B"/>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divs>
    <w:div w:id="28147430">
      <w:bodyDiv w:val="1"/>
      <w:marLeft w:val="0"/>
      <w:marRight w:val="0"/>
      <w:marTop w:val="0"/>
      <w:marBottom w:val="0"/>
      <w:divBdr>
        <w:top w:val="none" w:sz="0" w:space="0" w:color="auto"/>
        <w:left w:val="none" w:sz="0" w:space="0" w:color="auto"/>
        <w:bottom w:val="none" w:sz="0" w:space="0" w:color="auto"/>
        <w:right w:val="none" w:sz="0" w:space="0" w:color="auto"/>
      </w:divBdr>
    </w:div>
    <w:div w:id="706762176">
      <w:bodyDiv w:val="1"/>
      <w:marLeft w:val="0"/>
      <w:marRight w:val="0"/>
      <w:marTop w:val="0"/>
      <w:marBottom w:val="0"/>
      <w:divBdr>
        <w:top w:val="none" w:sz="0" w:space="0" w:color="auto"/>
        <w:left w:val="none" w:sz="0" w:space="0" w:color="auto"/>
        <w:bottom w:val="none" w:sz="0" w:space="0" w:color="auto"/>
        <w:right w:val="none" w:sz="0" w:space="0" w:color="auto"/>
      </w:divBdr>
    </w:div>
    <w:div w:id="943880551">
      <w:bodyDiv w:val="1"/>
      <w:marLeft w:val="0"/>
      <w:marRight w:val="0"/>
      <w:marTop w:val="0"/>
      <w:marBottom w:val="0"/>
      <w:divBdr>
        <w:top w:val="none" w:sz="0" w:space="0" w:color="auto"/>
        <w:left w:val="none" w:sz="0" w:space="0" w:color="auto"/>
        <w:bottom w:val="none" w:sz="0" w:space="0" w:color="auto"/>
        <w:right w:val="none" w:sz="0" w:space="0" w:color="auto"/>
      </w:divBdr>
    </w:div>
    <w:div w:id="1332483894">
      <w:bodyDiv w:val="1"/>
      <w:marLeft w:val="0"/>
      <w:marRight w:val="0"/>
      <w:marTop w:val="0"/>
      <w:marBottom w:val="0"/>
      <w:divBdr>
        <w:top w:val="none" w:sz="0" w:space="0" w:color="auto"/>
        <w:left w:val="none" w:sz="0" w:space="0" w:color="auto"/>
        <w:bottom w:val="none" w:sz="0" w:space="0" w:color="auto"/>
        <w:right w:val="none" w:sz="0" w:space="0" w:color="auto"/>
      </w:divBdr>
    </w:div>
    <w:div w:id="1673221081">
      <w:bodyDiv w:val="1"/>
      <w:marLeft w:val="0"/>
      <w:marRight w:val="0"/>
      <w:marTop w:val="0"/>
      <w:marBottom w:val="0"/>
      <w:divBdr>
        <w:top w:val="none" w:sz="0" w:space="0" w:color="auto"/>
        <w:left w:val="none" w:sz="0" w:space="0" w:color="auto"/>
        <w:bottom w:val="none" w:sz="0" w:space="0" w:color="auto"/>
        <w:right w:val="none" w:sz="0" w:space="0" w:color="auto"/>
      </w:divBdr>
    </w:div>
    <w:div w:id="1687176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j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2EF4BF-D452-4EBC-B25A-0F6850188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22</Pages>
  <Words>1761</Words>
  <Characters>10044</Characters>
  <Application>Microsoft Office Word</Application>
  <DocSecurity>0</DocSecurity>
  <Lines>83</Lines>
  <Paragraphs>23</Paragraphs>
  <ScaleCrop>false</ScaleCrop>
  <Company>cy</Company>
  <LinksUpToDate>false</LinksUpToDate>
  <CharactersWithSpaces>11782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2</cp:revision>
  <cp:lastPrinted>2014-07-17T05:55:00Z</cp:lastPrinted>
  <dcterms:created xsi:type="dcterms:W3CDTF">2014-07-24T06:45:00Z</dcterms:created>
  <dcterms:modified xsi:type="dcterms:W3CDTF">2014-07-24T06:45:00Z</dcterms:modified>
</cp:coreProperties>
</file>