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618" w:rsidRPr="00AB3200" w:rsidRDefault="00092618" w:rsidP="007401F5">
      <w:pPr>
        <w:pStyle w:val="5"/>
        <w:numPr>
          <w:ilvl w:val="0"/>
          <w:numId w:val="0"/>
        </w:numPr>
        <w:jc w:val="center"/>
        <w:rPr>
          <w:rFonts w:ascii="Times New Roman" w:hAnsi="標楷體"/>
          <w:b/>
          <w:bCs w:val="0"/>
          <w:spacing w:val="200"/>
          <w:kern w:val="0"/>
          <w:sz w:val="36"/>
        </w:rPr>
      </w:pPr>
    </w:p>
    <w:p w:rsidR="00D138FD" w:rsidRPr="00AB3200" w:rsidRDefault="00D138FD" w:rsidP="007401F5">
      <w:pPr>
        <w:pStyle w:val="5"/>
        <w:numPr>
          <w:ilvl w:val="0"/>
          <w:numId w:val="0"/>
        </w:numPr>
        <w:jc w:val="center"/>
        <w:rPr>
          <w:rFonts w:ascii="Times New Roman" w:hAnsi="Times New Roman"/>
          <w:b/>
          <w:bCs w:val="0"/>
          <w:spacing w:val="200"/>
          <w:kern w:val="0"/>
          <w:sz w:val="36"/>
        </w:rPr>
      </w:pPr>
      <w:r w:rsidRPr="00AB3200">
        <w:rPr>
          <w:rFonts w:ascii="Times New Roman" w:hAnsi="標楷體"/>
          <w:b/>
          <w:bCs w:val="0"/>
          <w:spacing w:val="200"/>
          <w:kern w:val="0"/>
          <w:sz w:val="36"/>
        </w:rPr>
        <w:t>調查報告</w:t>
      </w:r>
    </w:p>
    <w:p w:rsidR="00580234" w:rsidRPr="00AB3200" w:rsidRDefault="00580234" w:rsidP="00A944B0">
      <w:pPr>
        <w:pStyle w:val="10"/>
        <w:ind w:left="2410" w:hanging="2410"/>
        <w:rPr>
          <w:rFonts w:ascii="Times New Roman" w:hAnsi="Times New Roman"/>
          <w:szCs w:val="32"/>
        </w:rPr>
      </w:pPr>
      <w:bookmarkStart w:id="0" w:name="_Toc393464135"/>
      <w:r w:rsidRPr="00AB3200">
        <w:rPr>
          <w:rFonts w:ascii="Times New Roman" w:hAnsi="標楷體"/>
          <w:szCs w:val="32"/>
        </w:rPr>
        <w:t>案　　由</w:t>
      </w:r>
      <w:r w:rsidR="00D162A6" w:rsidRPr="00AB3200">
        <w:rPr>
          <w:rFonts w:ascii="Times New Roman" w:hAnsi="標楷體"/>
          <w:szCs w:val="32"/>
        </w:rPr>
        <w:t>：</w:t>
      </w:r>
      <w:r w:rsidR="00A61103" w:rsidRPr="00AB3200">
        <w:rPr>
          <w:rFonts w:ascii="Times New Roman" w:hAnsi="Times New Roman"/>
          <w:szCs w:val="32"/>
        </w:rPr>
        <w:fldChar w:fldCharType="begin"/>
      </w:r>
      <w:r w:rsidR="004F5462" w:rsidRPr="00AB3200">
        <w:rPr>
          <w:rFonts w:ascii="Times New Roman" w:hAnsi="Times New Roman"/>
          <w:szCs w:val="32"/>
        </w:rPr>
        <w:instrText xml:space="preserve"> MERGEFIELD </w:instrText>
      </w:r>
      <w:r w:rsidR="004F5462" w:rsidRPr="00AB3200">
        <w:rPr>
          <w:rFonts w:ascii="Times New Roman" w:hAnsi="標楷體"/>
          <w:szCs w:val="32"/>
        </w:rPr>
        <w:instrText>案由</w:instrText>
      </w:r>
      <w:r w:rsidR="004F5462" w:rsidRPr="00AB3200">
        <w:rPr>
          <w:rFonts w:ascii="Times New Roman" w:hAnsi="Times New Roman"/>
          <w:szCs w:val="32"/>
        </w:rPr>
        <w:instrText xml:space="preserve"> </w:instrText>
      </w:r>
      <w:r w:rsidR="00A61103" w:rsidRPr="00AB3200">
        <w:rPr>
          <w:rFonts w:ascii="Times New Roman" w:hAnsi="Times New Roman"/>
          <w:szCs w:val="32"/>
        </w:rPr>
        <w:fldChar w:fldCharType="separate"/>
      </w:r>
      <w:r w:rsidR="00A61103" w:rsidRPr="00AB3200">
        <w:rPr>
          <w:rFonts w:ascii="Times New Roman" w:hAnsi="Times New Roman"/>
          <w:szCs w:val="32"/>
        </w:rPr>
        <w:fldChar w:fldCharType="begin"/>
      </w:r>
      <w:r w:rsidR="003B7084" w:rsidRPr="00AB3200">
        <w:rPr>
          <w:rFonts w:ascii="Times New Roman" w:hAnsi="Times New Roman"/>
          <w:szCs w:val="32"/>
        </w:rPr>
        <w:instrText xml:space="preserve"> MERGEFIELD </w:instrText>
      </w:r>
      <w:r w:rsidR="003B7084" w:rsidRPr="00AB3200">
        <w:rPr>
          <w:rFonts w:ascii="Times New Roman" w:hAnsi="標楷體"/>
          <w:szCs w:val="32"/>
        </w:rPr>
        <w:instrText>案由</w:instrText>
      </w:r>
      <w:r w:rsidR="003B7084" w:rsidRPr="00AB3200">
        <w:rPr>
          <w:rFonts w:ascii="Times New Roman" w:hAnsi="Times New Roman"/>
          <w:szCs w:val="32"/>
        </w:rPr>
        <w:instrText xml:space="preserve"> </w:instrText>
      </w:r>
      <w:r w:rsidR="00A61103" w:rsidRPr="00AB3200">
        <w:rPr>
          <w:rFonts w:ascii="Times New Roman" w:hAnsi="Times New Roman"/>
          <w:szCs w:val="32"/>
        </w:rPr>
        <w:fldChar w:fldCharType="separate"/>
      </w:r>
      <w:r w:rsidR="003B7084" w:rsidRPr="00AB3200">
        <w:rPr>
          <w:rFonts w:ascii="Times New Roman" w:hAnsi="標楷體"/>
          <w:noProof/>
          <w:szCs w:val="32"/>
        </w:rPr>
        <w:t>我國青年失業低薪問題日益嚴重，失業率係整體失業率之</w:t>
      </w:r>
      <w:r w:rsidR="003B7084" w:rsidRPr="00AB3200">
        <w:rPr>
          <w:rFonts w:ascii="Times New Roman" w:hAnsi="Times New Roman"/>
          <w:noProof/>
          <w:szCs w:val="32"/>
        </w:rPr>
        <w:t>3</w:t>
      </w:r>
      <w:r w:rsidR="003B7084" w:rsidRPr="00AB3200">
        <w:rPr>
          <w:rFonts w:ascii="Times New Roman" w:hAnsi="標楷體"/>
          <w:noProof/>
          <w:szCs w:val="32"/>
        </w:rPr>
        <w:t>倍，</w:t>
      </w:r>
      <w:r w:rsidR="003B7084" w:rsidRPr="00AB3200">
        <w:rPr>
          <w:rFonts w:ascii="Times New Roman" w:hAnsi="Times New Roman"/>
          <w:noProof/>
          <w:szCs w:val="32"/>
        </w:rPr>
        <w:t>10</w:t>
      </w:r>
      <w:r w:rsidR="003B7084" w:rsidRPr="00AB3200">
        <w:rPr>
          <w:rFonts w:ascii="Times New Roman" w:hAnsi="標楷體"/>
          <w:noProof/>
          <w:szCs w:val="32"/>
        </w:rPr>
        <w:t>年來民生必需之食品價格上漲</w:t>
      </w:r>
      <w:r w:rsidR="003B7084" w:rsidRPr="00AB3200">
        <w:rPr>
          <w:rFonts w:ascii="Times New Roman" w:hAnsi="Times New Roman"/>
          <w:noProof/>
          <w:szCs w:val="32"/>
        </w:rPr>
        <w:t>25.6%</w:t>
      </w:r>
      <w:r w:rsidR="003B7084" w:rsidRPr="00AB3200">
        <w:rPr>
          <w:rFonts w:ascii="Times New Roman" w:hAnsi="標楷體"/>
          <w:noProof/>
          <w:szCs w:val="32"/>
        </w:rPr>
        <w:t>，而平均薪資只調升</w:t>
      </w:r>
      <w:r w:rsidR="003B7084" w:rsidRPr="00AB3200">
        <w:rPr>
          <w:rFonts w:ascii="Times New Roman" w:hAnsi="Times New Roman"/>
          <w:noProof/>
          <w:szCs w:val="32"/>
        </w:rPr>
        <w:t>11.2%</w:t>
      </w:r>
      <w:r w:rsidR="003B7084" w:rsidRPr="00AB3200">
        <w:rPr>
          <w:rFonts w:ascii="Times New Roman" w:hAnsi="標楷體"/>
          <w:noProof/>
          <w:szCs w:val="32"/>
        </w:rPr>
        <w:t>，青年薪資低，致婚育困難，優秀人才外流，影響青年未來及國家競爭力，究政府有無措施失當或怠於作為之情形？實有深入瞭解之必要乙案。</w:t>
      </w:r>
      <w:bookmarkEnd w:id="0"/>
      <w:r w:rsidR="00A61103" w:rsidRPr="00AB3200">
        <w:rPr>
          <w:rFonts w:ascii="Times New Roman" w:hAnsi="Times New Roman"/>
          <w:szCs w:val="32"/>
        </w:rPr>
        <w:fldChar w:fldCharType="end"/>
      </w:r>
      <w:r w:rsidR="00A61103" w:rsidRPr="00AB3200">
        <w:rPr>
          <w:rFonts w:ascii="Times New Roman" w:hAnsi="Times New Roman"/>
          <w:szCs w:val="32"/>
        </w:rPr>
        <w:fldChar w:fldCharType="end"/>
      </w:r>
    </w:p>
    <w:p w:rsidR="00D46954" w:rsidRPr="00AB3200" w:rsidRDefault="00D46954" w:rsidP="000F2B4E">
      <w:pPr>
        <w:pStyle w:val="10"/>
        <w:ind w:hanging="1409"/>
        <w:rPr>
          <w:rFonts w:ascii="Times New Roman" w:hAnsi="Times New Roman"/>
        </w:rPr>
      </w:pPr>
      <w:bookmarkStart w:id="1" w:name="_Toc393464333"/>
      <w:bookmarkStart w:id="2" w:name="_Toc525066144"/>
      <w:bookmarkStart w:id="3" w:name="_Toc524892372"/>
      <w:bookmarkStart w:id="4" w:name="_Toc529218261"/>
      <w:bookmarkStart w:id="5" w:name="_Toc529222684"/>
      <w:bookmarkStart w:id="6" w:name="_Toc529223106"/>
      <w:bookmarkStart w:id="7" w:name="_Toc529223857"/>
      <w:bookmarkStart w:id="8" w:name="_Toc529228253"/>
      <w:bookmarkStart w:id="9" w:name="_Toc2400390"/>
      <w:bookmarkStart w:id="10" w:name="_Toc4316184"/>
      <w:bookmarkStart w:id="11" w:name="_Toc4473325"/>
      <w:bookmarkStart w:id="12" w:name="_Toc69556892"/>
      <w:bookmarkStart w:id="13" w:name="_Toc69556941"/>
      <w:bookmarkStart w:id="14" w:name="_Toc69609815"/>
      <w:bookmarkStart w:id="15" w:name="_Toc70241811"/>
      <w:bookmarkStart w:id="16" w:name="_Toc70242200"/>
      <w:bookmarkStart w:id="17" w:name="_Toc277165831"/>
      <w:bookmarkStart w:id="18" w:name="_Toc277170366"/>
      <w:r w:rsidRPr="00AB3200">
        <w:rPr>
          <w:rFonts w:ascii="Times New Roman" w:hAnsi="標楷體"/>
        </w:rPr>
        <w:t>調查意見：</w:t>
      </w:r>
      <w:bookmarkEnd w:id="1"/>
      <w:r w:rsidRPr="00AB3200">
        <w:rPr>
          <w:rFonts w:ascii="Times New Roman" w:hAnsi="Times New Roman"/>
        </w:rPr>
        <w:t xml:space="preserve"> </w:t>
      </w:r>
    </w:p>
    <w:p w:rsidR="00203F6C" w:rsidRPr="00AB3200" w:rsidRDefault="00203F6C" w:rsidP="00203F6C">
      <w:pPr>
        <w:pStyle w:val="20"/>
        <w:numPr>
          <w:ilvl w:val="0"/>
          <w:numId w:val="0"/>
        </w:numPr>
        <w:ind w:left="709" w:firstLineChars="208" w:firstLine="708"/>
        <w:rPr>
          <w:rFonts w:ascii="Times New Roman" w:hAnsi="標楷體"/>
        </w:rPr>
      </w:pPr>
      <w:bookmarkStart w:id="19" w:name="_Toc393464334"/>
      <w:bookmarkStart w:id="20" w:name="_Toc392764785"/>
      <w:bookmarkStart w:id="21" w:name="_Toc357431689"/>
      <w:bookmarkStart w:id="22" w:name="_Toc357432438"/>
      <w:bookmarkEnd w:id="2"/>
      <w:bookmarkEnd w:id="3"/>
      <w:r w:rsidRPr="00AB3200">
        <w:rPr>
          <w:rFonts w:hAnsi="標楷體"/>
          <w:bCs w:val="0"/>
          <w:szCs w:val="32"/>
        </w:rPr>
        <w:t>本案係因</w:t>
      </w:r>
      <w:r w:rsidR="00A61103" w:rsidRPr="00AB3200">
        <w:rPr>
          <w:rFonts w:hAnsi="標楷體"/>
          <w:szCs w:val="32"/>
        </w:rPr>
        <w:fldChar w:fldCharType="begin"/>
      </w:r>
      <w:r w:rsidRPr="00AB3200">
        <w:rPr>
          <w:rFonts w:hAnsi="標楷體"/>
          <w:szCs w:val="32"/>
        </w:rPr>
        <w:instrText xml:space="preserve"> MERGEFIELD 案由 </w:instrText>
      </w:r>
      <w:r w:rsidR="00A61103" w:rsidRPr="00AB3200">
        <w:rPr>
          <w:rFonts w:hAnsi="標楷體"/>
          <w:szCs w:val="32"/>
        </w:rPr>
        <w:fldChar w:fldCharType="separate"/>
      </w:r>
      <w:r w:rsidR="00A61103" w:rsidRPr="00AB3200">
        <w:rPr>
          <w:rFonts w:hAnsi="標楷體"/>
          <w:szCs w:val="32"/>
        </w:rPr>
        <w:fldChar w:fldCharType="begin"/>
      </w:r>
      <w:r w:rsidRPr="00AB3200">
        <w:rPr>
          <w:rFonts w:hAnsi="標楷體"/>
          <w:szCs w:val="32"/>
        </w:rPr>
        <w:instrText xml:space="preserve"> MERGEFIELD 案由 </w:instrText>
      </w:r>
      <w:r w:rsidR="00A61103" w:rsidRPr="00AB3200">
        <w:rPr>
          <w:rFonts w:hAnsi="標楷體"/>
          <w:szCs w:val="32"/>
        </w:rPr>
        <w:fldChar w:fldCharType="separate"/>
      </w:r>
      <w:r w:rsidRPr="00AB3200">
        <w:rPr>
          <w:rFonts w:hAnsi="標楷體"/>
          <w:noProof/>
          <w:szCs w:val="32"/>
        </w:rPr>
        <w:t>我國青年失業低薪問題日益嚴重，失業率係整體失業率之3倍，10年來民生必需之食品價格上漲25.6%，而平均薪資只調升11.2%，青年薪資低，致婚育困難，優秀人才外流，影響青年未來及國家競爭力，究政府有無措施失當或怠於作為之情形？</w:t>
      </w:r>
      <w:r w:rsidR="00A61103" w:rsidRPr="00AB3200">
        <w:rPr>
          <w:rFonts w:hAnsi="標楷體"/>
          <w:szCs w:val="32"/>
        </w:rPr>
        <w:fldChar w:fldCharType="end"/>
      </w:r>
      <w:r w:rsidR="00A61103" w:rsidRPr="00AB3200">
        <w:rPr>
          <w:rFonts w:hAnsi="標楷體"/>
          <w:szCs w:val="32"/>
        </w:rPr>
        <w:fldChar w:fldCharType="end"/>
      </w:r>
      <w:proofErr w:type="gramStart"/>
      <w:r w:rsidRPr="00AB3200">
        <w:rPr>
          <w:rFonts w:hAnsi="標楷體" w:hint="eastAsia"/>
          <w:szCs w:val="32"/>
        </w:rPr>
        <w:t>爰</w:t>
      </w:r>
      <w:proofErr w:type="gramEnd"/>
      <w:r w:rsidRPr="00AB3200">
        <w:rPr>
          <w:rFonts w:hAnsi="標楷體" w:hint="eastAsia"/>
          <w:szCs w:val="32"/>
        </w:rPr>
        <w:t>立案調查。茲因</w:t>
      </w:r>
      <w:r w:rsidRPr="00AB3200">
        <w:rPr>
          <w:rFonts w:ascii="Times New Roman" w:hAnsi="標楷體"/>
        </w:rPr>
        <w:t>我國政府各部門對於青年的年齡未有統一定義</w:t>
      </w:r>
      <w:r w:rsidRPr="00AB3200">
        <w:rPr>
          <w:rFonts w:ascii="Times New Roman" w:hAnsi="標楷體" w:hint="eastAsia"/>
        </w:rPr>
        <w:t>，又本調查案係</w:t>
      </w:r>
      <w:r w:rsidRPr="00AB3200">
        <w:rPr>
          <w:rFonts w:ascii="Times New Roman" w:hAnsi="標楷體"/>
        </w:rPr>
        <w:t>針對目前我國青年已發生之失業</w:t>
      </w:r>
      <w:r w:rsidRPr="00AB3200">
        <w:rPr>
          <w:rFonts w:ascii="Times New Roman" w:hAnsi="標楷體" w:hint="eastAsia"/>
        </w:rPr>
        <w:t>低薪</w:t>
      </w:r>
      <w:r w:rsidRPr="00AB3200">
        <w:rPr>
          <w:rFonts w:ascii="Times New Roman" w:hAnsi="標楷體"/>
        </w:rPr>
        <w:t>問題，</w:t>
      </w:r>
      <w:r w:rsidRPr="00AB3200">
        <w:rPr>
          <w:rFonts w:ascii="Times New Roman" w:hAnsi="標楷體" w:hint="eastAsia"/>
        </w:rPr>
        <w:t>政府有無採取適當作為，以</w:t>
      </w:r>
      <w:r w:rsidRPr="00AB3200">
        <w:rPr>
          <w:rFonts w:ascii="Times New Roman" w:hAnsi="標楷體"/>
        </w:rPr>
        <w:t>解決或</w:t>
      </w:r>
      <w:proofErr w:type="gramStart"/>
      <w:r w:rsidRPr="00AB3200">
        <w:rPr>
          <w:rFonts w:ascii="Times New Roman" w:hAnsi="標楷體"/>
        </w:rPr>
        <w:t>舒緩</w:t>
      </w:r>
      <w:r w:rsidRPr="00AB3200">
        <w:rPr>
          <w:rFonts w:ascii="Times New Roman" w:hAnsi="標楷體" w:hint="eastAsia"/>
        </w:rPr>
        <w:t>前</w:t>
      </w:r>
      <w:proofErr w:type="gramEnd"/>
      <w:r w:rsidRPr="00AB3200">
        <w:rPr>
          <w:rFonts w:ascii="Times New Roman" w:hAnsi="標楷體" w:hint="eastAsia"/>
        </w:rPr>
        <w:t>開</w:t>
      </w:r>
      <w:r w:rsidRPr="00AB3200">
        <w:rPr>
          <w:rFonts w:ascii="Times New Roman" w:hAnsi="標楷體"/>
        </w:rPr>
        <w:t>有礙個人或國家健康發展之</w:t>
      </w:r>
      <w:r w:rsidRPr="00AB3200">
        <w:rPr>
          <w:rFonts w:ascii="Times New Roman" w:hAnsi="標楷體" w:hint="eastAsia"/>
        </w:rPr>
        <w:t>問題進</w:t>
      </w:r>
      <w:r w:rsidRPr="00AB3200">
        <w:rPr>
          <w:rFonts w:ascii="Times New Roman" w:hAnsi="標楷體"/>
        </w:rPr>
        <w:t>行調查</w:t>
      </w:r>
      <w:r w:rsidRPr="00AB3200">
        <w:rPr>
          <w:rFonts w:ascii="Times New Roman" w:hAnsi="標楷體" w:hint="eastAsia"/>
        </w:rPr>
        <w:t>。因</w:t>
      </w:r>
      <w:proofErr w:type="gramStart"/>
      <w:r w:rsidRPr="00AB3200">
        <w:rPr>
          <w:rFonts w:ascii="Times New Roman" w:hAnsi="標楷體"/>
        </w:rPr>
        <w:t>勞動部</w:t>
      </w:r>
      <w:r w:rsidRPr="00AB3200">
        <w:rPr>
          <w:rFonts w:ascii="Times New Roman" w:hAnsi="標楷體" w:hint="eastAsia"/>
        </w:rPr>
        <w:t>所推動</w:t>
      </w:r>
      <w:proofErr w:type="gramEnd"/>
      <w:r w:rsidRPr="00AB3200">
        <w:rPr>
          <w:rFonts w:ascii="Times New Roman" w:hAnsi="標楷體" w:hint="eastAsia"/>
        </w:rPr>
        <w:t>之「青年就業旗艦計畫」，係以</w:t>
      </w:r>
      <w:r w:rsidRPr="00AB3200">
        <w:rPr>
          <w:rFonts w:ascii="Times New Roman" w:hAnsi="Times New Roman"/>
        </w:rPr>
        <w:t>15</w:t>
      </w:r>
      <w:r w:rsidRPr="00AB3200">
        <w:rPr>
          <w:rFonts w:ascii="Times New Roman" w:hAnsi="標楷體"/>
        </w:rPr>
        <w:t>歲</w:t>
      </w:r>
      <w:r w:rsidRPr="00AB3200">
        <w:rPr>
          <w:rFonts w:ascii="Times New Roman" w:hAnsi="標楷體" w:hint="eastAsia"/>
        </w:rPr>
        <w:t>至</w:t>
      </w:r>
      <w:r w:rsidRPr="00AB3200">
        <w:rPr>
          <w:rFonts w:ascii="Times New Roman" w:hAnsi="Times New Roman"/>
        </w:rPr>
        <w:t>29</w:t>
      </w:r>
      <w:r w:rsidRPr="00AB3200">
        <w:rPr>
          <w:rFonts w:ascii="Times New Roman" w:hAnsi="標楷體"/>
        </w:rPr>
        <w:t>歲青年</w:t>
      </w:r>
      <w:r w:rsidRPr="00AB3200">
        <w:rPr>
          <w:rFonts w:ascii="Times New Roman" w:hAnsi="標楷體" w:hint="eastAsia"/>
        </w:rPr>
        <w:t>為對象</w:t>
      </w:r>
      <w:r w:rsidRPr="00AB3200">
        <w:rPr>
          <w:rFonts w:ascii="Times New Roman" w:hAnsi="標楷體"/>
        </w:rPr>
        <w:t>提供職業訓練，</w:t>
      </w:r>
      <w:r w:rsidRPr="00AB3200">
        <w:rPr>
          <w:rFonts w:ascii="Times New Roman" w:hAnsi="標楷體" w:hint="eastAsia"/>
        </w:rPr>
        <w:t>故本</w:t>
      </w:r>
      <w:r w:rsidRPr="00AB3200">
        <w:rPr>
          <w:rFonts w:ascii="Times New Roman" w:hAnsi="標楷體"/>
        </w:rPr>
        <w:t>調查</w:t>
      </w:r>
      <w:r w:rsidRPr="00AB3200">
        <w:rPr>
          <w:rFonts w:ascii="Times New Roman" w:hAnsi="標楷體" w:hint="eastAsia"/>
        </w:rPr>
        <w:t>案所稱青年，係指</w:t>
      </w:r>
      <w:r w:rsidRPr="00AB3200">
        <w:rPr>
          <w:rFonts w:ascii="Times New Roman" w:hAnsi="標楷體" w:hint="eastAsia"/>
        </w:rPr>
        <w:t>15</w:t>
      </w:r>
      <w:r w:rsidRPr="00AB3200">
        <w:rPr>
          <w:rFonts w:ascii="Times New Roman" w:hAnsi="標楷體" w:hint="eastAsia"/>
        </w:rPr>
        <w:t>歲至</w:t>
      </w:r>
      <w:r w:rsidRPr="00AB3200">
        <w:rPr>
          <w:rFonts w:ascii="Times New Roman" w:hAnsi="標楷體" w:hint="eastAsia"/>
        </w:rPr>
        <w:t>29</w:t>
      </w:r>
      <w:r w:rsidRPr="00AB3200">
        <w:rPr>
          <w:rFonts w:ascii="Times New Roman" w:hAnsi="標楷體" w:hint="eastAsia"/>
        </w:rPr>
        <w:t>歲</w:t>
      </w:r>
      <w:r w:rsidRPr="00AB3200">
        <w:rPr>
          <w:rFonts w:ascii="Times New Roman" w:hAnsi="標楷體" w:hint="eastAsia"/>
        </w:rPr>
        <w:t>(</w:t>
      </w:r>
      <w:r w:rsidRPr="00AB3200">
        <w:rPr>
          <w:rFonts w:ascii="Times New Roman" w:hAnsi="標楷體" w:hint="eastAsia"/>
        </w:rPr>
        <w:t>未滿</w:t>
      </w:r>
      <w:r w:rsidRPr="00AB3200">
        <w:rPr>
          <w:rFonts w:ascii="Times New Roman" w:hAnsi="標楷體" w:hint="eastAsia"/>
        </w:rPr>
        <w:t>30</w:t>
      </w:r>
      <w:r w:rsidRPr="00AB3200">
        <w:rPr>
          <w:rFonts w:ascii="Times New Roman" w:hAnsi="標楷體" w:hint="eastAsia"/>
        </w:rPr>
        <w:t>歲</w:t>
      </w:r>
      <w:r w:rsidRPr="00AB3200">
        <w:rPr>
          <w:rFonts w:ascii="Times New Roman" w:hAnsi="標楷體" w:hint="eastAsia"/>
        </w:rPr>
        <w:t>)</w:t>
      </w:r>
      <w:r w:rsidRPr="00AB3200">
        <w:rPr>
          <w:rFonts w:ascii="Times New Roman" w:hAnsi="標楷體" w:hint="eastAsia"/>
        </w:rPr>
        <w:t>之人，</w:t>
      </w:r>
      <w:proofErr w:type="gramStart"/>
      <w:r w:rsidRPr="00AB3200">
        <w:rPr>
          <w:rFonts w:ascii="Times New Roman" w:hAnsi="標楷體" w:hint="eastAsia"/>
        </w:rPr>
        <w:t>合先敘</w:t>
      </w:r>
      <w:proofErr w:type="gramEnd"/>
      <w:r w:rsidRPr="00AB3200">
        <w:rPr>
          <w:rFonts w:ascii="Times New Roman" w:hAnsi="標楷體" w:hint="eastAsia"/>
        </w:rPr>
        <w:t>明</w:t>
      </w:r>
      <w:r w:rsidRPr="00AB3200">
        <w:rPr>
          <w:rFonts w:ascii="Times New Roman" w:hAnsi="標楷體"/>
        </w:rPr>
        <w:t>。</w:t>
      </w:r>
      <w:bookmarkEnd w:id="19"/>
    </w:p>
    <w:p w:rsidR="00203F6C" w:rsidRPr="00AB3200" w:rsidRDefault="00203F6C" w:rsidP="00203F6C">
      <w:pPr>
        <w:pStyle w:val="20"/>
        <w:numPr>
          <w:ilvl w:val="0"/>
          <w:numId w:val="0"/>
        </w:numPr>
        <w:ind w:left="709" w:firstLineChars="208" w:firstLine="708"/>
        <w:rPr>
          <w:rFonts w:hAnsi="標楷體"/>
        </w:rPr>
      </w:pPr>
      <w:bookmarkStart w:id="23" w:name="_Toc393464335"/>
      <w:r w:rsidRPr="00AB3200">
        <w:rPr>
          <w:rFonts w:ascii="Times New Roman" w:hAnsi="標楷體" w:hint="eastAsia"/>
        </w:rPr>
        <w:t>本院為調查需要，</w:t>
      </w:r>
      <w:r w:rsidRPr="00AB3200">
        <w:rPr>
          <w:rFonts w:hAnsi="標楷體"/>
        </w:rPr>
        <w:t>於</w:t>
      </w:r>
      <w:r w:rsidRPr="00AB3200">
        <w:rPr>
          <w:rFonts w:hAnsi="標楷體" w:hint="eastAsia"/>
        </w:rPr>
        <w:t>民國（下同）</w:t>
      </w:r>
      <w:r w:rsidRPr="00AB3200">
        <w:rPr>
          <w:rFonts w:hAnsi="標楷體"/>
        </w:rPr>
        <w:t>102年8月14日請教育部、國家發展委員會(103年1月22日整</w:t>
      </w:r>
      <w:proofErr w:type="gramStart"/>
      <w:r w:rsidRPr="00AB3200">
        <w:rPr>
          <w:rFonts w:hAnsi="標楷體"/>
        </w:rPr>
        <w:t>併</w:t>
      </w:r>
      <w:proofErr w:type="gramEnd"/>
      <w:r w:rsidRPr="00AB3200">
        <w:rPr>
          <w:rFonts w:hAnsi="標楷體"/>
        </w:rPr>
        <w:t>行政院經濟建設委員會與行政院研究發展考核委員會，改組為國家發展委員會，</w:t>
      </w:r>
      <w:proofErr w:type="gramStart"/>
      <w:r w:rsidRPr="00AB3200">
        <w:rPr>
          <w:rFonts w:hAnsi="標楷體"/>
        </w:rPr>
        <w:t>下稱國發</w:t>
      </w:r>
      <w:proofErr w:type="gramEnd"/>
      <w:r w:rsidRPr="00AB3200">
        <w:rPr>
          <w:rFonts w:hAnsi="標楷體"/>
        </w:rPr>
        <w:t>會)、</w:t>
      </w:r>
      <w:r w:rsidRPr="00AB3200">
        <w:rPr>
          <w:rFonts w:hAnsi="標楷體" w:hint="eastAsia"/>
        </w:rPr>
        <w:t>勞動部(原行政院勞工委員會103年2月17日改制為勞動部，下稱勞動部)</w:t>
      </w:r>
      <w:r w:rsidRPr="00AB3200">
        <w:rPr>
          <w:rFonts w:hAnsi="標楷體"/>
        </w:rPr>
        <w:t>、經濟部到院簡報後，復多次函</w:t>
      </w:r>
      <w:proofErr w:type="gramStart"/>
      <w:r w:rsidRPr="00AB3200">
        <w:rPr>
          <w:rFonts w:hAnsi="標楷體"/>
        </w:rPr>
        <w:t>詢</w:t>
      </w:r>
      <w:proofErr w:type="gramEnd"/>
      <w:r w:rsidRPr="00AB3200">
        <w:rPr>
          <w:rFonts w:hAnsi="標楷體"/>
        </w:rPr>
        <w:t>該等部會說明處理情形，</w:t>
      </w:r>
      <w:r w:rsidRPr="00AB3200">
        <w:rPr>
          <w:rFonts w:hAnsi="標楷體" w:hint="eastAsia"/>
        </w:rPr>
        <w:t>又</w:t>
      </w:r>
      <w:r w:rsidRPr="00AB3200">
        <w:rPr>
          <w:rFonts w:hAnsi="標楷體"/>
        </w:rPr>
        <w:t>於103年4月2日諮詢學者專家，</w:t>
      </w:r>
      <w:r w:rsidRPr="00AB3200">
        <w:rPr>
          <w:rFonts w:hAnsi="標楷體" w:hint="eastAsia"/>
        </w:rPr>
        <w:t>並於</w:t>
      </w:r>
      <w:r w:rsidRPr="00AB3200">
        <w:rPr>
          <w:rFonts w:hAnsi="標楷體"/>
        </w:rPr>
        <w:t>同年</w:t>
      </w:r>
      <w:r w:rsidRPr="00AB3200">
        <w:rPr>
          <w:rFonts w:hAnsi="標楷體"/>
        </w:rPr>
        <w:lastRenderedPageBreak/>
        <w:t>3月31日及4月7日分別至</w:t>
      </w:r>
      <w:proofErr w:type="gramStart"/>
      <w:r w:rsidRPr="00AB3200">
        <w:rPr>
          <w:rFonts w:hAnsi="標楷體"/>
        </w:rPr>
        <w:t>勞動部桃竹</w:t>
      </w:r>
      <w:proofErr w:type="gramEnd"/>
      <w:r w:rsidRPr="00AB3200">
        <w:rPr>
          <w:rFonts w:hAnsi="標楷體"/>
        </w:rPr>
        <w:t>苗分署訓練場、中壢就業中心、私立</w:t>
      </w:r>
      <w:proofErr w:type="gramStart"/>
      <w:r w:rsidRPr="00AB3200">
        <w:rPr>
          <w:rFonts w:hAnsi="標楷體"/>
        </w:rPr>
        <w:t>臺</w:t>
      </w:r>
      <w:proofErr w:type="gramEnd"/>
      <w:r w:rsidRPr="00AB3200">
        <w:rPr>
          <w:rFonts w:hAnsi="標楷體"/>
        </w:rPr>
        <w:t>北城市科技大學、私立中國文化大學、國立臺灣大學等機關學校辦理履</w:t>
      </w:r>
      <w:proofErr w:type="gramStart"/>
      <w:r w:rsidRPr="00AB3200">
        <w:rPr>
          <w:rFonts w:hAnsi="標楷體"/>
        </w:rPr>
        <w:t>勘</w:t>
      </w:r>
      <w:proofErr w:type="gramEnd"/>
      <w:r w:rsidRPr="00AB3200">
        <w:rPr>
          <w:rFonts w:hAnsi="標楷體" w:hint="eastAsia"/>
        </w:rPr>
        <w:t>；</w:t>
      </w:r>
      <w:r w:rsidRPr="00AB3200">
        <w:rPr>
          <w:rFonts w:hAnsi="標楷體"/>
        </w:rPr>
        <w:t>另於同年5月9日約</w:t>
      </w:r>
      <w:proofErr w:type="gramStart"/>
      <w:r w:rsidRPr="00AB3200">
        <w:rPr>
          <w:rFonts w:hAnsi="標楷體"/>
        </w:rPr>
        <w:t>詢</w:t>
      </w:r>
      <w:proofErr w:type="gramEnd"/>
      <w:r w:rsidRPr="00AB3200">
        <w:rPr>
          <w:rFonts w:hAnsi="標楷體"/>
        </w:rPr>
        <w:t>行政院、教育部、勞動部、國發會、經濟部</w:t>
      </w:r>
      <w:r w:rsidRPr="00AB3200">
        <w:rPr>
          <w:rFonts w:hAnsi="標楷體" w:hint="eastAsia"/>
        </w:rPr>
        <w:t>、行政院主計總處(下稱主計總處)、外交部、財政部、內政部</w:t>
      </w:r>
      <w:r w:rsidRPr="00AB3200">
        <w:rPr>
          <w:rFonts w:hAnsi="標楷體"/>
        </w:rPr>
        <w:t>，業已</w:t>
      </w:r>
      <w:proofErr w:type="gramStart"/>
      <w:r w:rsidRPr="00AB3200">
        <w:rPr>
          <w:rFonts w:hAnsi="標楷體"/>
        </w:rPr>
        <w:t>調查竣事</w:t>
      </w:r>
      <w:proofErr w:type="gramEnd"/>
      <w:r w:rsidRPr="00AB3200">
        <w:rPr>
          <w:rFonts w:hAnsi="標楷體"/>
        </w:rPr>
        <w:t>，茲</w:t>
      </w:r>
      <w:proofErr w:type="gramStart"/>
      <w:r w:rsidRPr="00AB3200">
        <w:rPr>
          <w:rFonts w:hAnsi="標楷體"/>
        </w:rPr>
        <w:t>臚</w:t>
      </w:r>
      <w:proofErr w:type="gramEnd"/>
      <w:r w:rsidRPr="00AB3200">
        <w:rPr>
          <w:rFonts w:hAnsi="標楷體"/>
        </w:rPr>
        <w:t>列調查意見如次：</w:t>
      </w:r>
      <w:bookmarkEnd w:id="23"/>
    </w:p>
    <w:p w:rsidR="00203F6C" w:rsidRPr="00AB3200" w:rsidRDefault="00203F6C" w:rsidP="00203F6C">
      <w:pPr>
        <w:pStyle w:val="20"/>
        <w:ind w:left="1020" w:hanging="680"/>
        <w:rPr>
          <w:rFonts w:hAnsi="標楷體"/>
          <w:b/>
        </w:rPr>
      </w:pPr>
      <w:bookmarkStart w:id="24" w:name="_Toc393464336"/>
      <w:r w:rsidRPr="00AB3200">
        <w:rPr>
          <w:rFonts w:hAnsi="標楷體"/>
          <w:b/>
        </w:rPr>
        <w:t>近來國內整體失業率雖呈小幅下降趨勢，然青年失業</w:t>
      </w:r>
      <w:r w:rsidRPr="00AB3200">
        <w:rPr>
          <w:rFonts w:hAnsi="標楷體" w:hint="eastAsia"/>
          <w:b/>
        </w:rPr>
        <w:t>率</w:t>
      </w:r>
      <w:r w:rsidRPr="00AB3200">
        <w:rPr>
          <w:rFonts w:hAnsi="標楷體"/>
          <w:b/>
        </w:rPr>
        <w:t>不升反降，肇致二者差距逐漸擴大，</w:t>
      </w:r>
      <w:r w:rsidRPr="00AB3200">
        <w:rPr>
          <w:rFonts w:hAnsi="標楷體" w:hint="eastAsia"/>
          <w:b/>
        </w:rPr>
        <w:t>甚有20至24歲之</w:t>
      </w:r>
      <w:r w:rsidRPr="00AB3200">
        <w:rPr>
          <w:rFonts w:hAnsi="標楷體"/>
          <w:b/>
        </w:rPr>
        <w:t>青年失業率為整體</w:t>
      </w:r>
      <w:r w:rsidRPr="00AB3200">
        <w:rPr>
          <w:rFonts w:hAnsi="標楷體" w:hint="eastAsia"/>
          <w:b/>
        </w:rPr>
        <w:t>失業率之</w:t>
      </w:r>
      <w:r w:rsidRPr="00AB3200">
        <w:rPr>
          <w:rFonts w:hAnsi="標楷體"/>
          <w:b/>
        </w:rPr>
        <w:t>3倍餘</w:t>
      </w:r>
      <w:r w:rsidRPr="00AB3200">
        <w:rPr>
          <w:rFonts w:hAnsi="標楷體" w:hint="eastAsia"/>
          <w:b/>
        </w:rPr>
        <w:t>。我國青年失業率較日、韓為高，且青年失業人數高達21萬人，約占整體失業人數45.53%，失業超過1年以上之長期失業青年，亦占全體長期失業者之</w:t>
      </w:r>
      <w:proofErr w:type="gramStart"/>
      <w:r w:rsidRPr="00AB3200">
        <w:rPr>
          <w:rFonts w:hAnsi="標楷體" w:hint="eastAsia"/>
          <w:b/>
        </w:rPr>
        <w:t>4成</w:t>
      </w:r>
      <w:proofErr w:type="gramEnd"/>
      <w:r w:rsidRPr="00AB3200">
        <w:rPr>
          <w:rFonts w:hAnsi="標楷體" w:hint="eastAsia"/>
          <w:b/>
        </w:rPr>
        <w:t>，顯示，</w:t>
      </w:r>
      <w:r w:rsidRPr="00AB3200">
        <w:rPr>
          <w:rFonts w:hAnsi="標楷體"/>
          <w:b/>
        </w:rPr>
        <w:t>政府改善</w:t>
      </w:r>
      <w:r w:rsidRPr="00AB3200">
        <w:rPr>
          <w:rFonts w:hAnsi="標楷體" w:hint="eastAsia"/>
          <w:b/>
        </w:rPr>
        <w:t>青年</w:t>
      </w:r>
      <w:r w:rsidRPr="00AB3200">
        <w:rPr>
          <w:rFonts w:hAnsi="標楷體"/>
          <w:b/>
        </w:rPr>
        <w:t>失業成效</w:t>
      </w:r>
      <w:r w:rsidRPr="00AB3200">
        <w:rPr>
          <w:rFonts w:hAnsi="標楷體" w:hint="eastAsia"/>
          <w:b/>
        </w:rPr>
        <w:t>尚待加強</w:t>
      </w:r>
      <w:r w:rsidRPr="00AB3200">
        <w:rPr>
          <w:rFonts w:hAnsi="標楷體"/>
          <w:b/>
        </w:rPr>
        <w:t>，行政院允</w:t>
      </w:r>
      <w:r w:rsidRPr="00AB3200">
        <w:rPr>
          <w:rFonts w:hAnsi="標楷體" w:hint="eastAsia"/>
          <w:b/>
        </w:rPr>
        <w:t>宜</w:t>
      </w:r>
      <w:r w:rsidRPr="00AB3200">
        <w:rPr>
          <w:rFonts w:hAnsi="標楷體"/>
          <w:b/>
        </w:rPr>
        <w:t>強化跨部會協調平</w:t>
      </w:r>
      <w:proofErr w:type="gramStart"/>
      <w:r w:rsidRPr="00AB3200">
        <w:rPr>
          <w:rFonts w:hAnsi="標楷體"/>
          <w:b/>
        </w:rPr>
        <w:t>臺</w:t>
      </w:r>
      <w:proofErr w:type="gramEnd"/>
      <w:r w:rsidRPr="00AB3200">
        <w:rPr>
          <w:rFonts w:hAnsi="標楷體"/>
          <w:b/>
        </w:rPr>
        <w:t>，策定有效方案，以提升青年就業。</w:t>
      </w:r>
      <w:bookmarkEnd w:id="24"/>
    </w:p>
    <w:p w:rsidR="00203F6C" w:rsidRPr="00AB3200" w:rsidRDefault="00203F6C" w:rsidP="00203F6C">
      <w:pPr>
        <w:pStyle w:val="3"/>
        <w:ind w:left="1134" w:hanging="454"/>
        <w:rPr>
          <w:rFonts w:hAnsi="標楷體"/>
          <w:szCs w:val="32"/>
        </w:rPr>
      </w:pPr>
      <w:bookmarkStart w:id="25" w:name="_Toc393464337"/>
      <w:r w:rsidRPr="00AB3200">
        <w:rPr>
          <w:rFonts w:hAnsi="標楷體"/>
          <w:szCs w:val="32"/>
        </w:rPr>
        <w:t>依據行政院主計總處統計，顯示:</w:t>
      </w:r>
      <w:bookmarkEnd w:id="25"/>
    </w:p>
    <w:p w:rsidR="00203F6C" w:rsidRPr="00AB3200" w:rsidRDefault="00203F6C" w:rsidP="00203F6C">
      <w:pPr>
        <w:pStyle w:val="4"/>
        <w:ind w:left="1843" w:hanging="709"/>
        <w:rPr>
          <w:rFonts w:hAnsi="標楷體"/>
        </w:rPr>
      </w:pPr>
      <w:r w:rsidRPr="00AB3200">
        <w:rPr>
          <w:rFonts w:hAnsi="標楷體" w:hint="eastAsia"/>
        </w:rPr>
        <w:t>我國</w:t>
      </w:r>
      <w:r w:rsidRPr="00AB3200">
        <w:rPr>
          <w:rFonts w:hAnsi="標楷體"/>
        </w:rPr>
        <w:t>90至10</w:t>
      </w:r>
      <w:r w:rsidRPr="00AB3200">
        <w:rPr>
          <w:rFonts w:hAnsi="標楷體" w:hint="eastAsia"/>
        </w:rPr>
        <w:t>3</w:t>
      </w:r>
      <w:r w:rsidRPr="00AB3200">
        <w:rPr>
          <w:rFonts w:hAnsi="標楷體"/>
        </w:rPr>
        <w:t>年</w:t>
      </w:r>
      <w:r w:rsidRPr="00AB3200">
        <w:rPr>
          <w:rFonts w:hAnsi="標楷體" w:hint="eastAsia"/>
        </w:rPr>
        <w:t>4月</w:t>
      </w:r>
      <w:r w:rsidRPr="00AB3200">
        <w:rPr>
          <w:rFonts w:hAnsi="標楷體"/>
        </w:rPr>
        <w:t>青年失業率已屆10.31％至14.49％間，與整體失業率</w:t>
      </w:r>
      <w:proofErr w:type="gramStart"/>
      <w:r w:rsidRPr="00AB3200">
        <w:rPr>
          <w:rFonts w:hAnsi="標楷體"/>
        </w:rPr>
        <w:t>差距均逾5個</w:t>
      </w:r>
      <w:proofErr w:type="gramEnd"/>
      <w:r w:rsidRPr="00AB3200">
        <w:rPr>
          <w:rFonts w:hAnsi="標楷體"/>
        </w:rPr>
        <w:t>百分點以上，10</w:t>
      </w:r>
      <w:r w:rsidRPr="00AB3200">
        <w:rPr>
          <w:rFonts w:hAnsi="標楷體" w:hint="eastAsia"/>
        </w:rPr>
        <w:t>3</w:t>
      </w:r>
      <w:r w:rsidRPr="00AB3200">
        <w:rPr>
          <w:rFonts w:hAnsi="標楷體"/>
        </w:rPr>
        <w:t>年</w:t>
      </w:r>
      <w:r w:rsidRPr="00AB3200">
        <w:rPr>
          <w:rFonts w:hAnsi="標楷體" w:hint="eastAsia"/>
        </w:rPr>
        <w:t>1至4月</w:t>
      </w:r>
      <w:r w:rsidRPr="00AB3200">
        <w:rPr>
          <w:rFonts w:hAnsi="標楷體"/>
        </w:rPr>
        <w:t>青年（15至24歲）平均失業率1</w:t>
      </w:r>
      <w:r w:rsidRPr="00AB3200">
        <w:rPr>
          <w:rFonts w:hAnsi="標楷體" w:hint="eastAsia"/>
        </w:rPr>
        <w:t>2</w:t>
      </w:r>
      <w:r w:rsidRPr="00AB3200">
        <w:rPr>
          <w:rFonts w:hAnsi="標楷體"/>
        </w:rPr>
        <w:t>.</w:t>
      </w:r>
      <w:r w:rsidRPr="00AB3200">
        <w:rPr>
          <w:rFonts w:hAnsi="標楷體" w:hint="eastAsia"/>
        </w:rPr>
        <w:t>61</w:t>
      </w:r>
      <w:r w:rsidRPr="00AB3200">
        <w:rPr>
          <w:rFonts w:hAnsi="標楷體"/>
        </w:rPr>
        <w:t>％，為整體失業率</w:t>
      </w:r>
      <w:r w:rsidRPr="00AB3200">
        <w:rPr>
          <w:rFonts w:hAnsi="標楷體" w:hint="eastAsia"/>
        </w:rPr>
        <w:t>4</w:t>
      </w:r>
      <w:r w:rsidRPr="00AB3200">
        <w:rPr>
          <w:rFonts w:hAnsi="標楷體"/>
        </w:rPr>
        <w:t>.</w:t>
      </w:r>
      <w:r w:rsidRPr="00AB3200">
        <w:rPr>
          <w:rFonts w:hAnsi="標楷體" w:hint="eastAsia"/>
        </w:rPr>
        <w:t>01</w:t>
      </w:r>
      <w:r w:rsidRPr="00AB3200">
        <w:rPr>
          <w:rFonts w:hAnsi="標楷體"/>
        </w:rPr>
        <w:t>％之3倍餘；25至29歲青年失業率雖較15至24歲青年為低，</w:t>
      </w:r>
      <w:r w:rsidRPr="00AB3200">
        <w:rPr>
          <w:rFonts w:hAnsi="標楷體" w:hint="eastAsia"/>
        </w:rPr>
        <w:t>惟</w:t>
      </w:r>
      <w:r w:rsidRPr="00AB3200">
        <w:rPr>
          <w:rFonts w:hAnsi="標楷體"/>
        </w:rPr>
        <w:t>10</w:t>
      </w:r>
      <w:r w:rsidRPr="00AB3200">
        <w:rPr>
          <w:rFonts w:hAnsi="標楷體" w:hint="eastAsia"/>
        </w:rPr>
        <w:t>3</w:t>
      </w:r>
      <w:r w:rsidRPr="00AB3200">
        <w:rPr>
          <w:rFonts w:hAnsi="標楷體"/>
        </w:rPr>
        <w:t>年</w:t>
      </w:r>
      <w:r w:rsidRPr="00AB3200">
        <w:rPr>
          <w:rFonts w:hAnsi="標楷體" w:hint="eastAsia"/>
        </w:rPr>
        <w:t>1至4月失業率6.96</w:t>
      </w:r>
      <w:r w:rsidRPr="00AB3200">
        <w:rPr>
          <w:rFonts w:hAnsi="標楷體"/>
        </w:rPr>
        <w:t>％</w:t>
      </w:r>
      <w:r w:rsidRPr="00AB3200">
        <w:rPr>
          <w:rFonts w:hAnsi="標楷體" w:hint="eastAsia"/>
        </w:rPr>
        <w:t>，</w:t>
      </w:r>
      <w:r w:rsidRPr="00AB3200">
        <w:rPr>
          <w:rFonts w:hAnsi="標楷體"/>
        </w:rPr>
        <w:t>與整體失業率差距亦</w:t>
      </w:r>
      <w:r w:rsidRPr="00AB3200">
        <w:rPr>
          <w:rFonts w:hAnsi="標楷體" w:hint="eastAsia"/>
        </w:rPr>
        <w:t>達</w:t>
      </w:r>
      <w:r w:rsidRPr="00AB3200">
        <w:rPr>
          <w:rFonts w:hAnsi="標楷體"/>
        </w:rPr>
        <w:t>2.9</w:t>
      </w:r>
      <w:r w:rsidRPr="00AB3200">
        <w:rPr>
          <w:rFonts w:hAnsi="標楷體" w:hint="eastAsia"/>
        </w:rPr>
        <w:t>5%</w:t>
      </w:r>
      <w:r w:rsidRPr="00AB3200">
        <w:rPr>
          <w:rFonts w:hAnsi="標楷體"/>
        </w:rPr>
        <w:t>。顯示國內青年失業問題益趨嚴重，</w:t>
      </w:r>
      <w:r w:rsidRPr="00AB3200">
        <w:rPr>
          <w:rFonts w:hAnsi="標楷體" w:hint="eastAsia"/>
        </w:rPr>
        <w:t>政府所提協助青年就業方案，</w:t>
      </w:r>
      <w:r w:rsidRPr="00AB3200">
        <w:rPr>
          <w:rFonts w:hAnsi="標楷體"/>
        </w:rPr>
        <w:t>未能</w:t>
      </w:r>
      <w:r w:rsidRPr="00AB3200">
        <w:rPr>
          <w:rFonts w:hAnsi="標楷體" w:hint="eastAsia"/>
        </w:rPr>
        <w:t>有效解決青年失業問題，青年失業情形</w:t>
      </w:r>
      <w:r w:rsidRPr="00AB3200">
        <w:rPr>
          <w:rFonts w:hAnsi="標楷體"/>
        </w:rPr>
        <w:t>與整體失業率差距漸趨擴大。</w:t>
      </w:r>
    </w:p>
    <w:p w:rsidR="00203F6C" w:rsidRPr="00AB3200" w:rsidRDefault="00203F6C" w:rsidP="00203F6C">
      <w:pPr>
        <w:pStyle w:val="3"/>
        <w:numPr>
          <w:ilvl w:val="0"/>
          <w:numId w:val="0"/>
        </w:numPr>
        <w:spacing w:line="240" w:lineRule="exact"/>
        <w:ind w:left="680"/>
        <w:jc w:val="center"/>
        <w:rPr>
          <w:rFonts w:hAnsi="標楷體"/>
          <w:sz w:val="24"/>
          <w:szCs w:val="24"/>
        </w:rPr>
      </w:pPr>
      <w:bookmarkStart w:id="26" w:name="_Toc393464338"/>
      <w:r w:rsidRPr="00AB3200">
        <w:rPr>
          <w:rFonts w:hAnsi="標楷體"/>
          <w:sz w:val="24"/>
          <w:szCs w:val="24"/>
        </w:rPr>
        <w:t>圖1、國內整體失業率與青年失業率比較</w:t>
      </w:r>
      <w:bookmarkEnd w:id="26"/>
    </w:p>
    <w:p w:rsidR="00203F6C" w:rsidRPr="00AB3200" w:rsidRDefault="00203F6C" w:rsidP="00203F6C">
      <w:pPr>
        <w:pStyle w:val="3"/>
        <w:numPr>
          <w:ilvl w:val="0"/>
          <w:numId w:val="0"/>
        </w:numPr>
        <w:ind w:left="680"/>
        <w:rPr>
          <w:rFonts w:hAnsi="標楷體"/>
          <w:sz w:val="28"/>
          <w:szCs w:val="28"/>
        </w:rPr>
      </w:pPr>
      <w:r w:rsidRPr="00AB3200">
        <w:rPr>
          <w:rFonts w:hAnsi="標楷體"/>
          <w:noProof/>
        </w:rPr>
        <w:lastRenderedPageBreak/>
        <w:drawing>
          <wp:inline distT="0" distB="0" distL="0" distR="0">
            <wp:extent cx="5568950" cy="3229429"/>
            <wp:effectExtent l="19050" t="0" r="12700" b="9071"/>
            <wp:docPr id="3" name="圖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03F6C" w:rsidRPr="00AB3200" w:rsidRDefault="00203F6C" w:rsidP="00203F6C">
      <w:pPr>
        <w:pStyle w:val="22"/>
        <w:spacing w:line="240" w:lineRule="exact"/>
        <w:ind w:leftChars="0" w:left="0" w:firstLineChars="0" w:firstLine="0"/>
        <w:jc w:val="right"/>
        <w:rPr>
          <w:rFonts w:hAnsi="標楷體"/>
          <w:bCs/>
          <w:sz w:val="20"/>
        </w:rPr>
      </w:pPr>
      <w:r w:rsidRPr="00AB3200">
        <w:rPr>
          <w:rFonts w:hAnsi="標楷體"/>
          <w:sz w:val="20"/>
        </w:rPr>
        <w:t>單位：%</w:t>
      </w:r>
    </w:p>
    <w:tbl>
      <w:tblPr>
        <w:tblW w:w="8222"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710"/>
        <w:gridCol w:w="1409"/>
        <w:gridCol w:w="1701"/>
        <w:gridCol w:w="1625"/>
        <w:gridCol w:w="1777"/>
      </w:tblGrid>
      <w:tr w:rsidR="00203F6C" w:rsidRPr="00AB3200" w:rsidTr="00203F6C">
        <w:trPr>
          <w:trHeight w:val="197"/>
          <w:tblHeader/>
        </w:trPr>
        <w:tc>
          <w:tcPr>
            <w:tcW w:w="1710" w:type="dxa"/>
            <w:vAlign w:val="center"/>
          </w:tcPr>
          <w:p w:rsidR="00203F6C" w:rsidRPr="00AB3200" w:rsidRDefault="00203F6C" w:rsidP="00203F6C">
            <w:pPr>
              <w:widowControl/>
              <w:jc w:val="center"/>
              <w:rPr>
                <w:rFonts w:ascii="標楷體" w:hAnsi="標楷體"/>
                <w:kern w:val="0"/>
                <w:sz w:val="20"/>
              </w:rPr>
            </w:pPr>
            <w:r w:rsidRPr="00AB3200">
              <w:rPr>
                <w:rFonts w:ascii="標楷體" w:hAnsi="標楷體"/>
                <w:kern w:val="0"/>
                <w:sz w:val="20"/>
              </w:rPr>
              <w:t>年月別</w:t>
            </w:r>
          </w:p>
        </w:tc>
        <w:tc>
          <w:tcPr>
            <w:tcW w:w="1409" w:type="dxa"/>
            <w:vAlign w:val="center"/>
          </w:tcPr>
          <w:p w:rsidR="00203F6C" w:rsidRPr="00AB3200" w:rsidRDefault="00203F6C" w:rsidP="00203F6C">
            <w:pPr>
              <w:widowControl/>
              <w:ind w:rightChars="-8" w:right="-27"/>
              <w:rPr>
                <w:rFonts w:ascii="標楷體" w:hAnsi="標楷體"/>
                <w:kern w:val="0"/>
                <w:sz w:val="20"/>
              </w:rPr>
            </w:pPr>
            <w:r w:rsidRPr="00AB3200">
              <w:rPr>
                <w:rFonts w:ascii="標楷體" w:hAnsi="標楷體"/>
                <w:kern w:val="0"/>
                <w:sz w:val="20"/>
              </w:rPr>
              <w:t>整體失業率</w:t>
            </w:r>
          </w:p>
        </w:tc>
        <w:tc>
          <w:tcPr>
            <w:tcW w:w="1701" w:type="dxa"/>
            <w:vAlign w:val="center"/>
          </w:tcPr>
          <w:p w:rsidR="00203F6C" w:rsidRPr="00AB3200" w:rsidRDefault="00203F6C" w:rsidP="00203F6C">
            <w:pPr>
              <w:widowControl/>
              <w:jc w:val="center"/>
              <w:rPr>
                <w:rFonts w:ascii="標楷體" w:hAnsi="標楷體"/>
                <w:kern w:val="0"/>
                <w:sz w:val="20"/>
              </w:rPr>
            </w:pPr>
            <w:r w:rsidRPr="00AB3200">
              <w:rPr>
                <w:rFonts w:ascii="標楷體" w:hAnsi="標楷體"/>
                <w:kern w:val="0"/>
                <w:sz w:val="20"/>
              </w:rPr>
              <w:t>15～19歲</w:t>
            </w:r>
          </w:p>
        </w:tc>
        <w:tc>
          <w:tcPr>
            <w:tcW w:w="1625" w:type="dxa"/>
            <w:vAlign w:val="center"/>
          </w:tcPr>
          <w:p w:rsidR="00203F6C" w:rsidRPr="00AB3200" w:rsidRDefault="00203F6C" w:rsidP="00203F6C">
            <w:pPr>
              <w:widowControl/>
              <w:jc w:val="center"/>
              <w:rPr>
                <w:rFonts w:ascii="標楷體" w:hAnsi="標楷體"/>
                <w:kern w:val="0"/>
                <w:sz w:val="20"/>
              </w:rPr>
            </w:pPr>
            <w:r w:rsidRPr="00AB3200">
              <w:rPr>
                <w:rFonts w:ascii="標楷體" w:hAnsi="標楷體"/>
                <w:kern w:val="0"/>
                <w:sz w:val="20"/>
              </w:rPr>
              <w:t>20～24 歲</w:t>
            </w:r>
          </w:p>
        </w:tc>
        <w:tc>
          <w:tcPr>
            <w:tcW w:w="1777" w:type="dxa"/>
            <w:vAlign w:val="center"/>
          </w:tcPr>
          <w:p w:rsidR="00203F6C" w:rsidRPr="00AB3200" w:rsidRDefault="00203F6C" w:rsidP="00203F6C">
            <w:pPr>
              <w:widowControl/>
              <w:jc w:val="center"/>
              <w:rPr>
                <w:rFonts w:ascii="標楷體" w:hAnsi="標楷體"/>
                <w:kern w:val="0"/>
                <w:sz w:val="20"/>
              </w:rPr>
            </w:pPr>
            <w:r w:rsidRPr="00AB3200">
              <w:rPr>
                <w:rFonts w:ascii="標楷體" w:hAnsi="標楷體"/>
                <w:kern w:val="0"/>
                <w:sz w:val="20"/>
              </w:rPr>
              <w:t>25～29歲</w:t>
            </w:r>
          </w:p>
        </w:tc>
      </w:tr>
      <w:tr w:rsidR="00203F6C" w:rsidRPr="00AB3200" w:rsidTr="00203F6C">
        <w:trPr>
          <w:trHeight w:val="140"/>
        </w:trPr>
        <w:tc>
          <w:tcPr>
            <w:tcW w:w="1710" w:type="dxa"/>
            <w:vAlign w:val="center"/>
          </w:tcPr>
          <w:p w:rsidR="00203F6C" w:rsidRPr="00AB3200" w:rsidRDefault="00203F6C" w:rsidP="00203F6C">
            <w:pPr>
              <w:widowControl/>
              <w:jc w:val="center"/>
              <w:rPr>
                <w:rFonts w:ascii="標楷體" w:hAnsi="標楷體"/>
                <w:kern w:val="0"/>
                <w:sz w:val="20"/>
              </w:rPr>
            </w:pPr>
            <w:r w:rsidRPr="00AB3200">
              <w:rPr>
                <w:rFonts w:ascii="標楷體" w:hAnsi="標楷體"/>
                <w:kern w:val="0"/>
                <w:sz w:val="20"/>
              </w:rPr>
              <w:t>91年平均</w:t>
            </w:r>
          </w:p>
        </w:tc>
        <w:tc>
          <w:tcPr>
            <w:tcW w:w="1409" w:type="dxa"/>
            <w:vAlign w:val="bottom"/>
          </w:tcPr>
          <w:p w:rsidR="00203F6C" w:rsidRPr="00AB3200" w:rsidRDefault="00203F6C" w:rsidP="00203F6C">
            <w:pPr>
              <w:widowControl/>
              <w:jc w:val="center"/>
              <w:rPr>
                <w:rFonts w:ascii="標楷體" w:hAnsi="標楷體"/>
                <w:kern w:val="0"/>
                <w:sz w:val="20"/>
              </w:rPr>
            </w:pPr>
            <w:r w:rsidRPr="00AB3200">
              <w:rPr>
                <w:rFonts w:ascii="標楷體" w:hAnsi="標楷體"/>
                <w:kern w:val="0"/>
                <w:sz w:val="20"/>
              </w:rPr>
              <w:t>5.17</w:t>
            </w:r>
          </w:p>
        </w:tc>
        <w:tc>
          <w:tcPr>
            <w:tcW w:w="1701" w:type="dxa"/>
            <w:vAlign w:val="bottom"/>
          </w:tcPr>
          <w:p w:rsidR="00203F6C" w:rsidRPr="00AB3200" w:rsidRDefault="00203F6C" w:rsidP="00203F6C">
            <w:pPr>
              <w:widowControl/>
              <w:jc w:val="center"/>
              <w:rPr>
                <w:rFonts w:ascii="標楷體" w:hAnsi="標楷體"/>
                <w:kern w:val="0"/>
                <w:sz w:val="20"/>
              </w:rPr>
            </w:pPr>
            <w:r w:rsidRPr="00AB3200">
              <w:rPr>
                <w:rFonts w:ascii="標楷體" w:hAnsi="標楷體"/>
                <w:kern w:val="0"/>
                <w:sz w:val="20"/>
              </w:rPr>
              <w:t>14.59</w:t>
            </w:r>
          </w:p>
        </w:tc>
        <w:tc>
          <w:tcPr>
            <w:tcW w:w="1625" w:type="dxa"/>
            <w:vAlign w:val="bottom"/>
          </w:tcPr>
          <w:p w:rsidR="00203F6C" w:rsidRPr="00AB3200" w:rsidRDefault="00203F6C" w:rsidP="00203F6C">
            <w:pPr>
              <w:widowControl/>
              <w:jc w:val="center"/>
              <w:rPr>
                <w:rFonts w:ascii="標楷體" w:hAnsi="標楷體"/>
                <w:kern w:val="0"/>
                <w:sz w:val="20"/>
              </w:rPr>
            </w:pPr>
            <w:r w:rsidRPr="00AB3200">
              <w:rPr>
                <w:rFonts w:ascii="標楷體" w:hAnsi="標楷體"/>
                <w:kern w:val="0"/>
                <w:sz w:val="20"/>
              </w:rPr>
              <w:t>11.31</w:t>
            </w:r>
          </w:p>
        </w:tc>
        <w:tc>
          <w:tcPr>
            <w:tcW w:w="1777" w:type="dxa"/>
            <w:vAlign w:val="bottom"/>
          </w:tcPr>
          <w:p w:rsidR="00203F6C" w:rsidRPr="00AB3200" w:rsidRDefault="00203F6C" w:rsidP="00203F6C">
            <w:pPr>
              <w:widowControl/>
              <w:jc w:val="center"/>
              <w:rPr>
                <w:rFonts w:ascii="標楷體" w:hAnsi="標楷體"/>
                <w:kern w:val="0"/>
                <w:sz w:val="20"/>
              </w:rPr>
            </w:pPr>
            <w:r w:rsidRPr="00AB3200">
              <w:rPr>
                <w:rFonts w:ascii="標楷體" w:hAnsi="標楷體"/>
                <w:kern w:val="0"/>
                <w:sz w:val="20"/>
              </w:rPr>
              <w:t>6.46</w:t>
            </w:r>
          </w:p>
        </w:tc>
      </w:tr>
      <w:tr w:rsidR="00203F6C" w:rsidRPr="00AB3200" w:rsidTr="00203F6C">
        <w:trPr>
          <w:trHeight w:val="157"/>
        </w:trPr>
        <w:tc>
          <w:tcPr>
            <w:tcW w:w="1710" w:type="dxa"/>
            <w:vAlign w:val="center"/>
          </w:tcPr>
          <w:p w:rsidR="00203F6C" w:rsidRPr="00AB3200" w:rsidRDefault="00203F6C" w:rsidP="00203F6C">
            <w:pPr>
              <w:widowControl/>
              <w:jc w:val="center"/>
              <w:rPr>
                <w:rFonts w:ascii="標楷體" w:hAnsi="標楷體"/>
                <w:kern w:val="0"/>
                <w:sz w:val="20"/>
              </w:rPr>
            </w:pPr>
            <w:r w:rsidRPr="00AB3200">
              <w:rPr>
                <w:rFonts w:ascii="標楷體" w:hAnsi="標楷體"/>
                <w:kern w:val="0"/>
                <w:sz w:val="20"/>
              </w:rPr>
              <w:t>92年平均</w:t>
            </w:r>
          </w:p>
        </w:tc>
        <w:tc>
          <w:tcPr>
            <w:tcW w:w="1409" w:type="dxa"/>
            <w:vAlign w:val="bottom"/>
          </w:tcPr>
          <w:p w:rsidR="00203F6C" w:rsidRPr="00AB3200" w:rsidRDefault="00203F6C" w:rsidP="00203F6C">
            <w:pPr>
              <w:widowControl/>
              <w:jc w:val="center"/>
              <w:rPr>
                <w:rFonts w:ascii="標楷體" w:hAnsi="標楷體"/>
                <w:kern w:val="0"/>
                <w:sz w:val="20"/>
              </w:rPr>
            </w:pPr>
            <w:r w:rsidRPr="00AB3200">
              <w:rPr>
                <w:rFonts w:ascii="標楷體" w:hAnsi="標楷體"/>
                <w:kern w:val="0"/>
                <w:sz w:val="20"/>
              </w:rPr>
              <w:t>4.99</w:t>
            </w:r>
          </w:p>
        </w:tc>
        <w:tc>
          <w:tcPr>
            <w:tcW w:w="1701" w:type="dxa"/>
            <w:vAlign w:val="bottom"/>
          </w:tcPr>
          <w:p w:rsidR="00203F6C" w:rsidRPr="00AB3200" w:rsidRDefault="00203F6C" w:rsidP="00203F6C">
            <w:pPr>
              <w:widowControl/>
              <w:jc w:val="center"/>
              <w:rPr>
                <w:rFonts w:ascii="標楷體" w:hAnsi="標楷體"/>
                <w:kern w:val="0"/>
                <w:sz w:val="20"/>
              </w:rPr>
            </w:pPr>
            <w:r w:rsidRPr="00AB3200">
              <w:rPr>
                <w:rFonts w:ascii="標楷體" w:hAnsi="標楷體"/>
                <w:kern w:val="0"/>
                <w:sz w:val="20"/>
              </w:rPr>
              <w:t>13.84</w:t>
            </w:r>
          </w:p>
        </w:tc>
        <w:tc>
          <w:tcPr>
            <w:tcW w:w="1625" w:type="dxa"/>
            <w:vAlign w:val="bottom"/>
          </w:tcPr>
          <w:p w:rsidR="00203F6C" w:rsidRPr="00AB3200" w:rsidRDefault="00203F6C" w:rsidP="00203F6C">
            <w:pPr>
              <w:widowControl/>
              <w:jc w:val="center"/>
              <w:rPr>
                <w:rFonts w:ascii="標楷體" w:hAnsi="標楷體"/>
                <w:kern w:val="0"/>
                <w:sz w:val="20"/>
              </w:rPr>
            </w:pPr>
            <w:r w:rsidRPr="00AB3200">
              <w:rPr>
                <w:rFonts w:ascii="標楷體" w:hAnsi="標楷體"/>
                <w:kern w:val="0"/>
                <w:sz w:val="20"/>
              </w:rPr>
              <w:t>10.95</w:t>
            </w:r>
          </w:p>
        </w:tc>
        <w:tc>
          <w:tcPr>
            <w:tcW w:w="1777" w:type="dxa"/>
            <w:vAlign w:val="bottom"/>
          </w:tcPr>
          <w:p w:rsidR="00203F6C" w:rsidRPr="00AB3200" w:rsidRDefault="00203F6C" w:rsidP="00203F6C">
            <w:pPr>
              <w:widowControl/>
              <w:jc w:val="center"/>
              <w:rPr>
                <w:rFonts w:ascii="標楷體" w:hAnsi="標楷體"/>
                <w:kern w:val="0"/>
                <w:sz w:val="20"/>
              </w:rPr>
            </w:pPr>
            <w:r w:rsidRPr="00AB3200">
              <w:rPr>
                <w:rFonts w:ascii="標楷體" w:hAnsi="標楷體"/>
                <w:kern w:val="0"/>
                <w:sz w:val="20"/>
              </w:rPr>
              <w:t>6.26</w:t>
            </w:r>
          </w:p>
        </w:tc>
      </w:tr>
      <w:tr w:rsidR="00203F6C" w:rsidRPr="00AB3200" w:rsidTr="00203F6C">
        <w:trPr>
          <w:trHeight w:val="129"/>
        </w:trPr>
        <w:tc>
          <w:tcPr>
            <w:tcW w:w="1710" w:type="dxa"/>
            <w:vAlign w:val="center"/>
          </w:tcPr>
          <w:p w:rsidR="00203F6C" w:rsidRPr="00AB3200" w:rsidRDefault="00203F6C" w:rsidP="00203F6C">
            <w:pPr>
              <w:widowControl/>
              <w:jc w:val="center"/>
              <w:rPr>
                <w:rFonts w:ascii="標楷體" w:hAnsi="標楷體"/>
                <w:kern w:val="0"/>
                <w:sz w:val="20"/>
              </w:rPr>
            </w:pPr>
            <w:r w:rsidRPr="00AB3200">
              <w:rPr>
                <w:rFonts w:ascii="標楷體" w:hAnsi="標楷體"/>
                <w:kern w:val="0"/>
                <w:sz w:val="20"/>
              </w:rPr>
              <w:t>93年平均</w:t>
            </w:r>
          </w:p>
        </w:tc>
        <w:tc>
          <w:tcPr>
            <w:tcW w:w="1409" w:type="dxa"/>
            <w:vAlign w:val="bottom"/>
          </w:tcPr>
          <w:p w:rsidR="00203F6C" w:rsidRPr="00AB3200" w:rsidRDefault="00203F6C" w:rsidP="00203F6C">
            <w:pPr>
              <w:widowControl/>
              <w:jc w:val="center"/>
              <w:rPr>
                <w:rFonts w:ascii="標楷體" w:hAnsi="標楷體"/>
                <w:kern w:val="0"/>
                <w:sz w:val="20"/>
              </w:rPr>
            </w:pPr>
            <w:r w:rsidRPr="00AB3200">
              <w:rPr>
                <w:rFonts w:ascii="標楷體" w:hAnsi="標楷體"/>
                <w:kern w:val="0"/>
                <w:sz w:val="20"/>
              </w:rPr>
              <w:t>4.44</w:t>
            </w:r>
          </w:p>
        </w:tc>
        <w:tc>
          <w:tcPr>
            <w:tcW w:w="1701" w:type="dxa"/>
            <w:vAlign w:val="bottom"/>
          </w:tcPr>
          <w:p w:rsidR="00203F6C" w:rsidRPr="00AB3200" w:rsidRDefault="00203F6C" w:rsidP="00203F6C">
            <w:pPr>
              <w:widowControl/>
              <w:jc w:val="center"/>
              <w:rPr>
                <w:rFonts w:ascii="標楷體" w:hAnsi="標楷體"/>
                <w:kern w:val="0"/>
                <w:sz w:val="20"/>
              </w:rPr>
            </w:pPr>
            <w:r w:rsidRPr="00AB3200">
              <w:rPr>
                <w:rFonts w:ascii="標楷體" w:hAnsi="標楷體"/>
                <w:kern w:val="0"/>
                <w:sz w:val="20"/>
              </w:rPr>
              <w:t>13.00</w:t>
            </w:r>
          </w:p>
        </w:tc>
        <w:tc>
          <w:tcPr>
            <w:tcW w:w="1625" w:type="dxa"/>
            <w:vAlign w:val="bottom"/>
          </w:tcPr>
          <w:p w:rsidR="00203F6C" w:rsidRPr="00AB3200" w:rsidRDefault="00203F6C" w:rsidP="00203F6C">
            <w:pPr>
              <w:widowControl/>
              <w:jc w:val="center"/>
              <w:rPr>
                <w:rFonts w:ascii="標楷體" w:hAnsi="標楷體"/>
                <w:kern w:val="0"/>
                <w:sz w:val="20"/>
              </w:rPr>
            </w:pPr>
            <w:r w:rsidRPr="00AB3200">
              <w:rPr>
                <w:rFonts w:ascii="標楷體" w:hAnsi="標楷體"/>
                <w:kern w:val="0"/>
                <w:sz w:val="20"/>
              </w:rPr>
              <w:t>10.44</w:t>
            </w:r>
          </w:p>
        </w:tc>
        <w:tc>
          <w:tcPr>
            <w:tcW w:w="1777" w:type="dxa"/>
            <w:vAlign w:val="bottom"/>
          </w:tcPr>
          <w:p w:rsidR="00203F6C" w:rsidRPr="00AB3200" w:rsidRDefault="00203F6C" w:rsidP="00203F6C">
            <w:pPr>
              <w:widowControl/>
              <w:jc w:val="center"/>
              <w:rPr>
                <w:rFonts w:ascii="標楷體" w:hAnsi="標楷體"/>
                <w:kern w:val="0"/>
                <w:sz w:val="20"/>
              </w:rPr>
            </w:pPr>
            <w:r w:rsidRPr="00AB3200">
              <w:rPr>
                <w:rFonts w:ascii="標楷體" w:hAnsi="標楷體"/>
                <w:kern w:val="0"/>
                <w:sz w:val="20"/>
              </w:rPr>
              <w:t>5.69</w:t>
            </w:r>
          </w:p>
        </w:tc>
      </w:tr>
      <w:tr w:rsidR="00203F6C" w:rsidRPr="00AB3200" w:rsidTr="00203F6C">
        <w:trPr>
          <w:trHeight w:val="186"/>
        </w:trPr>
        <w:tc>
          <w:tcPr>
            <w:tcW w:w="1710" w:type="dxa"/>
            <w:vAlign w:val="center"/>
          </w:tcPr>
          <w:p w:rsidR="00203F6C" w:rsidRPr="00AB3200" w:rsidRDefault="00203F6C" w:rsidP="00203F6C">
            <w:pPr>
              <w:widowControl/>
              <w:jc w:val="center"/>
              <w:rPr>
                <w:rFonts w:ascii="標楷體" w:hAnsi="標楷體"/>
                <w:kern w:val="0"/>
                <w:sz w:val="20"/>
              </w:rPr>
            </w:pPr>
            <w:r w:rsidRPr="00AB3200">
              <w:rPr>
                <w:rFonts w:ascii="標楷體" w:hAnsi="標楷體"/>
                <w:kern w:val="0"/>
                <w:sz w:val="20"/>
              </w:rPr>
              <w:t>94年平均</w:t>
            </w:r>
          </w:p>
        </w:tc>
        <w:tc>
          <w:tcPr>
            <w:tcW w:w="1409" w:type="dxa"/>
            <w:vAlign w:val="bottom"/>
          </w:tcPr>
          <w:p w:rsidR="00203F6C" w:rsidRPr="00AB3200" w:rsidRDefault="00203F6C" w:rsidP="00203F6C">
            <w:pPr>
              <w:widowControl/>
              <w:jc w:val="center"/>
              <w:rPr>
                <w:rFonts w:ascii="標楷體" w:hAnsi="標楷體"/>
                <w:kern w:val="0"/>
                <w:sz w:val="20"/>
              </w:rPr>
            </w:pPr>
            <w:r w:rsidRPr="00AB3200">
              <w:rPr>
                <w:rFonts w:ascii="標楷體" w:hAnsi="標楷體"/>
                <w:kern w:val="0"/>
                <w:sz w:val="20"/>
              </w:rPr>
              <w:t>4.13</w:t>
            </w:r>
          </w:p>
        </w:tc>
        <w:tc>
          <w:tcPr>
            <w:tcW w:w="1701" w:type="dxa"/>
            <w:vAlign w:val="bottom"/>
          </w:tcPr>
          <w:p w:rsidR="00203F6C" w:rsidRPr="00AB3200" w:rsidRDefault="00203F6C" w:rsidP="00203F6C">
            <w:pPr>
              <w:widowControl/>
              <w:jc w:val="center"/>
              <w:rPr>
                <w:rFonts w:ascii="標楷體" w:hAnsi="標楷體"/>
                <w:kern w:val="0"/>
                <w:sz w:val="20"/>
              </w:rPr>
            </w:pPr>
            <w:r w:rsidRPr="00AB3200">
              <w:rPr>
                <w:rFonts w:ascii="標楷體" w:hAnsi="標楷體"/>
                <w:kern w:val="0"/>
                <w:sz w:val="20"/>
              </w:rPr>
              <w:t>11.97</w:t>
            </w:r>
          </w:p>
        </w:tc>
        <w:tc>
          <w:tcPr>
            <w:tcW w:w="1625" w:type="dxa"/>
            <w:vAlign w:val="bottom"/>
          </w:tcPr>
          <w:p w:rsidR="00203F6C" w:rsidRPr="00AB3200" w:rsidRDefault="00203F6C" w:rsidP="00203F6C">
            <w:pPr>
              <w:widowControl/>
              <w:jc w:val="center"/>
              <w:rPr>
                <w:rFonts w:ascii="標楷體" w:hAnsi="標楷體"/>
                <w:kern w:val="0"/>
                <w:sz w:val="20"/>
              </w:rPr>
            </w:pPr>
            <w:r w:rsidRPr="00AB3200">
              <w:rPr>
                <w:rFonts w:ascii="標楷體" w:hAnsi="標楷體"/>
                <w:kern w:val="0"/>
                <w:sz w:val="20"/>
              </w:rPr>
              <w:t>10.33</w:t>
            </w:r>
          </w:p>
        </w:tc>
        <w:tc>
          <w:tcPr>
            <w:tcW w:w="1777" w:type="dxa"/>
            <w:vAlign w:val="bottom"/>
          </w:tcPr>
          <w:p w:rsidR="00203F6C" w:rsidRPr="00AB3200" w:rsidRDefault="00203F6C" w:rsidP="00203F6C">
            <w:pPr>
              <w:widowControl/>
              <w:jc w:val="center"/>
              <w:rPr>
                <w:rFonts w:ascii="標楷體" w:hAnsi="標楷體"/>
                <w:kern w:val="0"/>
                <w:sz w:val="20"/>
              </w:rPr>
            </w:pPr>
            <w:r w:rsidRPr="00AB3200">
              <w:rPr>
                <w:rFonts w:ascii="標楷體" w:hAnsi="標楷體"/>
                <w:kern w:val="0"/>
                <w:sz w:val="20"/>
              </w:rPr>
              <w:t>5.75</w:t>
            </w:r>
          </w:p>
        </w:tc>
      </w:tr>
      <w:tr w:rsidR="00203F6C" w:rsidRPr="00AB3200" w:rsidTr="00203F6C">
        <w:trPr>
          <w:trHeight w:val="140"/>
        </w:trPr>
        <w:tc>
          <w:tcPr>
            <w:tcW w:w="1710" w:type="dxa"/>
            <w:vAlign w:val="center"/>
          </w:tcPr>
          <w:p w:rsidR="00203F6C" w:rsidRPr="00AB3200" w:rsidRDefault="00203F6C" w:rsidP="00203F6C">
            <w:pPr>
              <w:widowControl/>
              <w:jc w:val="center"/>
              <w:rPr>
                <w:rFonts w:ascii="標楷體" w:hAnsi="標楷體"/>
                <w:kern w:val="0"/>
                <w:sz w:val="20"/>
              </w:rPr>
            </w:pPr>
            <w:r w:rsidRPr="00AB3200">
              <w:rPr>
                <w:rFonts w:ascii="標楷體" w:hAnsi="標楷體"/>
                <w:kern w:val="0"/>
                <w:sz w:val="20"/>
              </w:rPr>
              <w:t>95年平均</w:t>
            </w:r>
          </w:p>
        </w:tc>
        <w:tc>
          <w:tcPr>
            <w:tcW w:w="1409" w:type="dxa"/>
            <w:vAlign w:val="center"/>
          </w:tcPr>
          <w:p w:rsidR="00203F6C" w:rsidRPr="00AB3200" w:rsidRDefault="00203F6C" w:rsidP="00203F6C">
            <w:pPr>
              <w:widowControl/>
              <w:jc w:val="center"/>
              <w:rPr>
                <w:rFonts w:ascii="標楷體" w:hAnsi="標楷體"/>
                <w:kern w:val="0"/>
                <w:sz w:val="20"/>
              </w:rPr>
            </w:pPr>
            <w:r w:rsidRPr="00AB3200">
              <w:rPr>
                <w:rFonts w:ascii="標楷體" w:hAnsi="標楷體"/>
                <w:kern w:val="0"/>
                <w:sz w:val="20"/>
              </w:rPr>
              <w:t>3.91</w:t>
            </w:r>
          </w:p>
        </w:tc>
        <w:tc>
          <w:tcPr>
            <w:tcW w:w="1701" w:type="dxa"/>
            <w:vAlign w:val="center"/>
          </w:tcPr>
          <w:p w:rsidR="00203F6C" w:rsidRPr="00AB3200" w:rsidRDefault="00203F6C" w:rsidP="00203F6C">
            <w:pPr>
              <w:widowControl/>
              <w:jc w:val="center"/>
              <w:rPr>
                <w:rFonts w:ascii="標楷體" w:hAnsi="標楷體"/>
                <w:kern w:val="0"/>
                <w:sz w:val="20"/>
              </w:rPr>
            </w:pPr>
            <w:r w:rsidRPr="00AB3200">
              <w:rPr>
                <w:rFonts w:ascii="標楷體" w:hAnsi="標楷體"/>
                <w:kern w:val="0"/>
                <w:sz w:val="20"/>
              </w:rPr>
              <w:t>11.46</w:t>
            </w:r>
          </w:p>
        </w:tc>
        <w:tc>
          <w:tcPr>
            <w:tcW w:w="1625" w:type="dxa"/>
            <w:vAlign w:val="center"/>
          </w:tcPr>
          <w:p w:rsidR="00203F6C" w:rsidRPr="00AB3200" w:rsidRDefault="00203F6C" w:rsidP="00203F6C">
            <w:pPr>
              <w:widowControl/>
              <w:jc w:val="center"/>
              <w:rPr>
                <w:rFonts w:ascii="標楷體" w:hAnsi="標楷體"/>
                <w:kern w:val="0"/>
                <w:sz w:val="20"/>
              </w:rPr>
            </w:pPr>
            <w:r w:rsidRPr="00AB3200">
              <w:rPr>
                <w:rFonts w:ascii="標楷體" w:hAnsi="標楷體"/>
                <w:kern w:val="0"/>
                <w:sz w:val="20"/>
              </w:rPr>
              <w:t>10.10</w:t>
            </w:r>
          </w:p>
        </w:tc>
        <w:tc>
          <w:tcPr>
            <w:tcW w:w="1777" w:type="dxa"/>
            <w:vAlign w:val="center"/>
          </w:tcPr>
          <w:p w:rsidR="00203F6C" w:rsidRPr="00AB3200" w:rsidRDefault="00203F6C" w:rsidP="00203F6C">
            <w:pPr>
              <w:widowControl/>
              <w:jc w:val="center"/>
              <w:rPr>
                <w:rFonts w:ascii="標楷體" w:hAnsi="標楷體"/>
                <w:kern w:val="0"/>
                <w:sz w:val="20"/>
              </w:rPr>
            </w:pPr>
            <w:r w:rsidRPr="00AB3200">
              <w:rPr>
                <w:rFonts w:ascii="標楷體" w:hAnsi="標楷體"/>
                <w:kern w:val="0"/>
                <w:sz w:val="20"/>
              </w:rPr>
              <w:t>5.92</w:t>
            </w:r>
          </w:p>
        </w:tc>
      </w:tr>
      <w:tr w:rsidR="00203F6C" w:rsidRPr="00AB3200" w:rsidTr="00203F6C">
        <w:trPr>
          <w:trHeight w:val="143"/>
        </w:trPr>
        <w:tc>
          <w:tcPr>
            <w:tcW w:w="1710" w:type="dxa"/>
            <w:vAlign w:val="center"/>
          </w:tcPr>
          <w:p w:rsidR="00203F6C" w:rsidRPr="00AB3200" w:rsidRDefault="00203F6C" w:rsidP="00203F6C">
            <w:pPr>
              <w:widowControl/>
              <w:jc w:val="center"/>
              <w:rPr>
                <w:rFonts w:ascii="標楷體" w:hAnsi="標楷體"/>
                <w:kern w:val="0"/>
                <w:sz w:val="20"/>
              </w:rPr>
            </w:pPr>
            <w:r w:rsidRPr="00AB3200">
              <w:rPr>
                <w:rFonts w:ascii="標楷體" w:hAnsi="標楷體"/>
                <w:kern w:val="0"/>
                <w:sz w:val="20"/>
              </w:rPr>
              <w:t>96年平均</w:t>
            </w:r>
          </w:p>
        </w:tc>
        <w:tc>
          <w:tcPr>
            <w:tcW w:w="1409" w:type="dxa"/>
            <w:vAlign w:val="bottom"/>
          </w:tcPr>
          <w:p w:rsidR="00203F6C" w:rsidRPr="00AB3200" w:rsidRDefault="00203F6C" w:rsidP="00203F6C">
            <w:pPr>
              <w:widowControl/>
              <w:jc w:val="center"/>
              <w:rPr>
                <w:rFonts w:ascii="標楷體" w:hAnsi="標楷體"/>
                <w:kern w:val="0"/>
                <w:sz w:val="20"/>
              </w:rPr>
            </w:pPr>
            <w:r w:rsidRPr="00AB3200">
              <w:rPr>
                <w:rFonts w:ascii="標楷體" w:hAnsi="標楷體"/>
                <w:kern w:val="0"/>
                <w:sz w:val="20"/>
              </w:rPr>
              <w:t>3.91</w:t>
            </w:r>
          </w:p>
        </w:tc>
        <w:tc>
          <w:tcPr>
            <w:tcW w:w="1701" w:type="dxa"/>
            <w:vAlign w:val="bottom"/>
          </w:tcPr>
          <w:p w:rsidR="00203F6C" w:rsidRPr="00AB3200" w:rsidRDefault="00203F6C" w:rsidP="00203F6C">
            <w:pPr>
              <w:widowControl/>
              <w:jc w:val="center"/>
              <w:rPr>
                <w:rFonts w:ascii="標楷體" w:hAnsi="標楷體"/>
                <w:kern w:val="0"/>
                <w:sz w:val="20"/>
              </w:rPr>
            </w:pPr>
            <w:r w:rsidRPr="00AB3200">
              <w:rPr>
                <w:rFonts w:ascii="標楷體" w:hAnsi="標楷體"/>
                <w:kern w:val="0"/>
                <w:sz w:val="20"/>
              </w:rPr>
              <w:t>11.13</w:t>
            </w:r>
          </w:p>
        </w:tc>
        <w:tc>
          <w:tcPr>
            <w:tcW w:w="1625" w:type="dxa"/>
            <w:vAlign w:val="bottom"/>
          </w:tcPr>
          <w:p w:rsidR="00203F6C" w:rsidRPr="00AB3200" w:rsidRDefault="00203F6C" w:rsidP="00203F6C">
            <w:pPr>
              <w:widowControl/>
              <w:jc w:val="center"/>
              <w:rPr>
                <w:rFonts w:ascii="標楷體" w:hAnsi="標楷體"/>
                <w:kern w:val="0"/>
                <w:sz w:val="20"/>
              </w:rPr>
            </w:pPr>
            <w:r w:rsidRPr="00AB3200">
              <w:rPr>
                <w:rFonts w:ascii="標楷體" w:hAnsi="標楷體"/>
                <w:kern w:val="0"/>
                <w:sz w:val="20"/>
              </w:rPr>
              <w:t>10.56</w:t>
            </w:r>
          </w:p>
        </w:tc>
        <w:tc>
          <w:tcPr>
            <w:tcW w:w="1777" w:type="dxa"/>
            <w:vAlign w:val="bottom"/>
          </w:tcPr>
          <w:p w:rsidR="00203F6C" w:rsidRPr="00AB3200" w:rsidRDefault="00203F6C" w:rsidP="00203F6C">
            <w:pPr>
              <w:widowControl/>
              <w:jc w:val="center"/>
              <w:rPr>
                <w:rFonts w:ascii="標楷體" w:hAnsi="標楷體"/>
                <w:kern w:val="0"/>
                <w:sz w:val="20"/>
              </w:rPr>
            </w:pPr>
            <w:r w:rsidRPr="00AB3200">
              <w:rPr>
                <w:rFonts w:ascii="標楷體" w:hAnsi="標楷體"/>
                <w:kern w:val="0"/>
                <w:sz w:val="20"/>
              </w:rPr>
              <w:t>5.87</w:t>
            </w:r>
          </w:p>
        </w:tc>
      </w:tr>
      <w:tr w:rsidR="00203F6C" w:rsidRPr="00AB3200" w:rsidTr="00203F6C">
        <w:trPr>
          <w:trHeight w:val="143"/>
        </w:trPr>
        <w:tc>
          <w:tcPr>
            <w:tcW w:w="1710" w:type="dxa"/>
            <w:vAlign w:val="center"/>
          </w:tcPr>
          <w:p w:rsidR="00203F6C" w:rsidRPr="00AB3200" w:rsidRDefault="00203F6C" w:rsidP="00203F6C">
            <w:pPr>
              <w:widowControl/>
              <w:jc w:val="center"/>
              <w:rPr>
                <w:rFonts w:ascii="標楷體" w:hAnsi="標楷體"/>
                <w:kern w:val="0"/>
                <w:sz w:val="20"/>
              </w:rPr>
            </w:pPr>
            <w:r w:rsidRPr="00AB3200">
              <w:rPr>
                <w:rFonts w:ascii="標楷體" w:hAnsi="標楷體"/>
                <w:kern w:val="0"/>
                <w:sz w:val="20"/>
              </w:rPr>
              <w:t>97年平均</w:t>
            </w:r>
          </w:p>
        </w:tc>
        <w:tc>
          <w:tcPr>
            <w:tcW w:w="1409" w:type="dxa"/>
            <w:vAlign w:val="bottom"/>
          </w:tcPr>
          <w:p w:rsidR="00203F6C" w:rsidRPr="00AB3200" w:rsidRDefault="00203F6C" w:rsidP="00203F6C">
            <w:pPr>
              <w:widowControl/>
              <w:jc w:val="center"/>
              <w:rPr>
                <w:rFonts w:ascii="標楷體" w:hAnsi="標楷體"/>
                <w:kern w:val="0"/>
                <w:sz w:val="20"/>
              </w:rPr>
            </w:pPr>
            <w:r w:rsidRPr="00AB3200">
              <w:rPr>
                <w:rFonts w:ascii="標楷體" w:hAnsi="標楷體"/>
                <w:kern w:val="0"/>
                <w:sz w:val="20"/>
              </w:rPr>
              <w:t>4.14</w:t>
            </w:r>
          </w:p>
        </w:tc>
        <w:tc>
          <w:tcPr>
            <w:tcW w:w="1701" w:type="dxa"/>
            <w:vAlign w:val="bottom"/>
          </w:tcPr>
          <w:p w:rsidR="00203F6C" w:rsidRPr="00AB3200" w:rsidRDefault="00203F6C" w:rsidP="00203F6C">
            <w:pPr>
              <w:widowControl/>
              <w:jc w:val="center"/>
              <w:rPr>
                <w:rFonts w:ascii="標楷體" w:hAnsi="標楷體"/>
                <w:kern w:val="0"/>
                <w:sz w:val="20"/>
              </w:rPr>
            </w:pPr>
            <w:r w:rsidRPr="00AB3200">
              <w:rPr>
                <w:rFonts w:ascii="標楷體" w:hAnsi="標楷體"/>
                <w:kern w:val="0"/>
                <w:sz w:val="20"/>
              </w:rPr>
              <w:t>11.42</w:t>
            </w:r>
          </w:p>
        </w:tc>
        <w:tc>
          <w:tcPr>
            <w:tcW w:w="1625" w:type="dxa"/>
            <w:vAlign w:val="bottom"/>
          </w:tcPr>
          <w:p w:rsidR="00203F6C" w:rsidRPr="00AB3200" w:rsidRDefault="00203F6C" w:rsidP="00203F6C">
            <w:pPr>
              <w:widowControl/>
              <w:jc w:val="center"/>
              <w:rPr>
                <w:rFonts w:ascii="標楷體" w:hAnsi="標楷體"/>
                <w:kern w:val="0"/>
                <w:sz w:val="20"/>
              </w:rPr>
            </w:pPr>
            <w:r w:rsidRPr="00AB3200">
              <w:rPr>
                <w:rFonts w:ascii="標楷體" w:hAnsi="標楷體"/>
                <w:kern w:val="0"/>
                <w:sz w:val="20"/>
              </w:rPr>
              <w:t>11.89</w:t>
            </w:r>
          </w:p>
        </w:tc>
        <w:tc>
          <w:tcPr>
            <w:tcW w:w="1777" w:type="dxa"/>
            <w:vAlign w:val="bottom"/>
          </w:tcPr>
          <w:p w:rsidR="00203F6C" w:rsidRPr="00AB3200" w:rsidRDefault="00203F6C" w:rsidP="00203F6C">
            <w:pPr>
              <w:widowControl/>
              <w:jc w:val="center"/>
              <w:rPr>
                <w:rFonts w:ascii="標楷體" w:hAnsi="標楷體"/>
                <w:kern w:val="0"/>
                <w:sz w:val="20"/>
              </w:rPr>
            </w:pPr>
            <w:r w:rsidRPr="00AB3200">
              <w:rPr>
                <w:rFonts w:ascii="標楷體" w:hAnsi="標楷體"/>
                <w:kern w:val="0"/>
                <w:sz w:val="20"/>
              </w:rPr>
              <w:t>6.38</w:t>
            </w:r>
          </w:p>
        </w:tc>
      </w:tr>
      <w:tr w:rsidR="00203F6C" w:rsidRPr="00AB3200" w:rsidTr="00203F6C">
        <w:trPr>
          <w:trHeight w:val="125"/>
        </w:trPr>
        <w:tc>
          <w:tcPr>
            <w:tcW w:w="1710" w:type="dxa"/>
            <w:vAlign w:val="center"/>
          </w:tcPr>
          <w:p w:rsidR="00203F6C" w:rsidRPr="00AB3200" w:rsidRDefault="00203F6C" w:rsidP="00203F6C">
            <w:pPr>
              <w:widowControl/>
              <w:jc w:val="center"/>
              <w:rPr>
                <w:rFonts w:ascii="標楷體" w:hAnsi="標楷體"/>
                <w:kern w:val="0"/>
                <w:sz w:val="20"/>
              </w:rPr>
            </w:pPr>
            <w:r w:rsidRPr="00AB3200">
              <w:rPr>
                <w:rFonts w:ascii="標楷體" w:hAnsi="標楷體"/>
                <w:kern w:val="0"/>
                <w:sz w:val="20"/>
              </w:rPr>
              <w:t>98年平均</w:t>
            </w:r>
          </w:p>
        </w:tc>
        <w:tc>
          <w:tcPr>
            <w:tcW w:w="1409" w:type="dxa"/>
            <w:vAlign w:val="bottom"/>
          </w:tcPr>
          <w:p w:rsidR="00203F6C" w:rsidRPr="00AB3200" w:rsidRDefault="00203F6C" w:rsidP="00203F6C">
            <w:pPr>
              <w:widowControl/>
              <w:jc w:val="center"/>
              <w:rPr>
                <w:rFonts w:ascii="標楷體" w:hAnsi="標楷體"/>
                <w:kern w:val="0"/>
                <w:sz w:val="20"/>
              </w:rPr>
            </w:pPr>
            <w:r w:rsidRPr="00AB3200">
              <w:rPr>
                <w:rFonts w:ascii="標楷體" w:hAnsi="標楷體"/>
                <w:kern w:val="0"/>
                <w:sz w:val="20"/>
              </w:rPr>
              <w:t>5.85</w:t>
            </w:r>
          </w:p>
        </w:tc>
        <w:tc>
          <w:tcPr>
            <w:tcW w:w="1701" w:type="dxa"/>
            <w:vAlign w:val="bottom"/>
          </w:tcPr>
          <w:p w:rsidR="00203F6C" w:rsidRPr="00AB3200" w:rsidRDefault="00203F6C" w:rsidP="00203F6C">
            <w:pPr>
              <w:widowControl/>
              <w:jc w:val="center"/>
              <w:rPr>
                <w:rFonts w:ascii="標楷體" w:hAnsi="標楷體"/>
                <w:kern w:val="0"/>
                <w:sz w:val="20"/>
              </w:rPr>
            </w:pPr>
            <w:r w:rsidRPr="00AB3200">
              <w:rPr>
                <w:rFonts w:ascii="標楷體" w:hAnsi="標楷體"/>
                <w:kern w:val="0"/>
                <w:sz w:val="20"/>
              </w:rPr>
              <w:t>13.55</w:t>
            </w:r>
          </w:p>
        </w:tc>
        <w:tc>
          <w:tcPr>
            <w:tcW w:w="1625" w:type="dxa"/>
            <w:vAlign w:val="bottom"/>
          </w:tcPr>
          <w:p w:rsidR="00203F6C" w:rsidRPr="00AB3200" w:rsidRDefault="00203F6C" w:rsidP="00203F6C">
            <w:pPr>
              <w:widowControl/>
              <w:jc w:val="center"/>
              <w:rPr>
                <w:rFonts w:ascii="標楷體" w:hAnsi="標楷體"/>
                <w:kern w:val="0"/>
                <w:sz w:val="20"/>
              </w:rPr>
            </w:pPr>
            <w:r w:rsidRPr="00AB3200">
              <w:rPr>
                <w:rFonts w:ascii="標楷體" w:hAnsi="標楷體"/>
                <w:kern w:val="0"/>
                <w:sz w:val="20"/>
              </w:rPr>
              <w:t>14.67</w:t>
            </w:r>
          </w:p>
        </w:tc>
        <w:tc>
          <w:tcPr>
            <w:tcW w:w="1777" w:type="dxa"/>
            <w:vAlign w:val="bottom"/>
          </w:tcPr>
          <w:p w:rsidR="00203F6C" w:rsidRPr="00AB3200" w:rsidRDefault="00203F6C" w:rsidP="00203F6C">
            <w:pPr>
              <w:widowControl/>
              <w:jc w:val="center"/>
              <w:rPr>
                <w:rFonts w:ascii="標楷體" w:hAnsi="標楷體"/>
                <w:kern w:val="0"/>
                <w:sz w:val="20"/>
              </w:rPr>
            </w:pPr>
            <w:r w:rsidRPr="00AB3200">
              <w:rPr>
                <w:rFonts w:ascii="標楷體" w:hAnsi="標楷體"/>
                <w:kern w:val="0"/>
                <w:sz w:val="20"/>
              </w:rPr>
              <w:t>8.77</w:t>
            </w:r>
          </w:p>
        </w:tc>
      </w:tr>
      <w:tr w:rsidR="00203F6C" w:rsidRPr="00AB3200" w:rsidTr="00203F6C">
        <w:trPr>
          <w:trHeight w:val="114"/>
        </w:trPr>
        <w:tc>
          <w:tcPr>
            <w:tcW w:w="1710" w:type="dxa"/>
            <w:vAlign w:val="center"/>
          </w:tcPr>
          <w:p w:rsidR="00203F6C" w:rsidRPr="00AB3200" w:rsidRDefault="00203F6C" w:rsidP="00203F6C">
            <w:pPr>
              <w:widowControl/>
              <w:jc w:val="center"/>
              <w:rPr>
                <w:rFonts w:ascii="標楷體" w:hAnsi="標楷體"/>
                <w:kern w:val="0"/>
                <w:sz w:val="20"/>
              </w:rPr>
            </w:pPr>
            <w:r w:rsidRPr="00AB3200">
              <w:rPr>
                <w:rFonts w:ascii="標楷體" w:hAnsi="標楷體"/>
                <w:kern w:val="0"/>
                <w:sz w:val="20"/>
              </w:rPr>
              <w:t>99年平均</w:t>
            </w:r>
          </w:p>
        </w:tc>
        <w:tc>
          <w:tcPr>
            <w:tcW w:w="1409" w:type="dxa"/>
            <w:vAlign w:val="bottom"/>
          </w:tcPr>
          <w:p w:rsidR="00203F6C" w:rsidRPr="00AB3200" w:rsidRDefault="00203F6C" w:rsidP="00203F6C">
            <w:pPr>
              <w:widowControl/>
              <w:jc w:val="center"/>
              <w:rPr>
                <w:rFonts w:ascii="標楷體" w:hAnsi="標楷體"/>
                <w:kern w:val="0"/>
                <w:sz w:val="20"/>
              </w:rPr>
            </w:pPr>
            <w:r w:rsidRPr="00AB3200">
              <w:rPr>
                <w:rFonts w:ascii="標楷體" w:hAnsi="標楷體"/>
                <w:kern w:val="0"/>
                <w:sz w:val="20"/>
              </w:rPr>
              <w:t>5.21</w:t>
            </w:r>
          </w:p>
        </w:tc>
        <w:tc>
          <w:tcPr>
            <w:tcW w:w="1701" w:type="dxa"/>
            <w:vAlign w:val="bottom"/>
          </w:tcPr>
          <w:p w:rsidR="00203F6C" w:rsidRPr="00AB3200" w:rsidRDefault="00203F6C" w:rsidP="00203F6C">
            <w:pPr>
              <w:widowControl/>
              <w:jc w:val="center"/>
              <w:rPr>
                <w:rFonts w:ascii="標楷體" w:hAnsi="標楷體"/>
                <w:kern w:val="0"/>
                <w:sz w:val="20"/>
              </w:rPr>
            </w:pPr>
            <w:r w:rsidRPr="00AB3200">
              <w:rPr>
                <w:rFonts w:ascii="標楷體" w:hAnsi="標楷體"/>
                <w:kern w:val="0"/>
                <w:sz w:val="20"/>
              </w:rPr>
              <w:t>10.93</w:t>
            </w:r>
          </w:p>
        </w:tc>
        <w:tc>
          <w:tcPr>
            <w:tcW w:w="1625" w:type="dxa"/>
            <w:vAlign w:val="bottom"/>
          </w:tcPr>
          <w:p w:rsidR="00203F6C" w:rsidRPr="00AB3200" w:rsidRDefault="00203F6C" w:rsidP="00203F6C">
            <w:pPr>
              <w:widowControl/>
              <w:jc w:val="center"/>
              <w:rPr>
                <w:rFonts w:ascii="標楷體" w:hAnsi="標楷體"/>
                <w:kern w:val="0"/>
                <w:sz w:val="20"/>
              </w:rPr>
            </w:pPr>
            <w:r w:rsidRPr="00AB3200">
              <w:rPr>
                <w:rFonts w:ascii="標楷體" w:hAnsi="標楷體"/>
                <w:kern w:val="0"/>
                <w:sz w:val="20"/>
              </w:rPr>
              <w:t>13.51</w:t>
            </w:r>
          </w:p>
        </w:tc>
        <w:tc>
          <w:tcPr>
            <w:tcW w:w="1777" w:type="dxa"/>
            <w:vAlign w:val="bottom"/>
          </w:tcPr>
          <w:p w:rsidR="00203F6C" w:rsidRPr="00AB3200" w:rsidRDefault="00203F6C" w:rsidP="00203F6C">
            <w:pPr>
              <w:widowControl/>
              <w:jc w:val="center"/>
              <w:rPr>
                <w:rFonts w:ascii="標楷體" w:hAnsi="標楷體"/>
                <w:kern w:val="0"/>
                <w:sz w:val="20"/>
              </w:rPr>
            </w:pPr>
            <w:r w:rsidRPr="00AB3200">
              <w:rPr>
                <w:rFonts w:ascii="標楷體" w:hAnsi="標楷體"/>
                <w:kern w:val="0"/>
                <w:sz w:val="20"/>
              </w:rPr>
              <w:t>8.15</w:t>
            </w:r>
          </w:p>
        </w:tc>
      </w:tr>
      <w:tr w:rsidR="00203F6C" w:rsidRPr="00AB3200" w:rsidTr="00203F6C">
        <w:trPr>
          <w:trHeight w:val="272"/>
        </w:trPr>
        <w:tc>
          <w:tcPr>
            <w:tcW w:w="1710" w:type="dxa"/>
            <w:vAlign w:val="center"/>
          </w:tcPr>
          <w:p w:rsidR="00203F6C" w:rsidRPr="00AB3200" w:rsidRDefault="00203F6C" w:rsidP="00203F6C">
            <w:pPr>
              <w:widowControl/>
              <w:jc w:val="center"/>
              <w:rPr>
                <w:rFonts w:ascii="標楷體" w:hAnsi="標楷體"/>
                <w:kern w:val="0"/>
                <w:sz w:val="20"/>
              </w:rPr>
            </w:pPr>
            <w:r w:rsidRPr="00AB3200">
              <w:rPr>
                <w:rFonts w:ascii="標楷體" w:hAnsi="標楷體"/>
                <w:kern w:val="0"/>
                <w:sz w:val="20"/>
              </w:rPr>
              <w:t>100年平均</w:t>
            </w:r>
          </w:p>
        </w:tc>
        <w:tc>
          <w:tcPr>
            <w:tcW w:w="1409" w:type="dxa"/>
            <w:vAlign w:val="bottom"/>
          </w:tcPr>
          <w:p w:rsidR="00203F6C" w:rsidRPr="00AB3200" w:rsidRDefault="00203F6C" w:rsidP="00203F6C">
            <w:pPr>
              <w:widowControl/>
              <w:jc w:val="center"/>
              <w:rPr>
                <w:rFonts w:ascii="標楷體" w:hAnsi="標楷體"/>
                <w:kern w:val="0"/>
                <w:sz w:val="20"/>
              </w:rPr>
            </w:pPr>
            <w:r w:rsidRPr="00AB3200">
              <w:rPr>
                <w:rFonts w:ascii="標楷體" w:hAnsi="標楷體"/>
                <w:kern w:val="0"/>
                <w:sz w:val="20"/>
              </w:rPr>
              <w:t>4.39</w:t>
            </w:r>
          </w:p>
        </w:tc>
        <w:tc>
          <w:tcPr>
            <w:tcW w:w="1701" w:type="dxa"/>
            <w:vAlign w:val="bottom"/>
          </w:tcPr>
          <w:p w:rsidR="00203F6C" w:rsidRPr="00AB3200" w:rsidRDefault="00203F6C" w:rsidP="00203F6C">
            <w:pPr>
              <w:widowControl/>
              <w:jc w:val="center"/>
              <w:rPr>
                <w:rFonts w:ascii="標楷體" w:hAnsi="標楷體"/>
                <w:kern w:val="0"/>
                <w:sz w:val="20"/>
              </w:rPr>
            </w:pPr>
            <w:r w:rsidRPr="00AB3200">
              <w:rPr>
                <w:rFonts w:ascii="標楷體" w:hAnsi="標楷體"/>
                <w:kern w:val="0"/>
                <w:sz w:val="20"/>
              </w:rPr>
              <w:t>11.22</w:t>
            </w:r>
          </w:p>
        </w:tc>
        <w:tc>
          <w:tcPr>
            <w:tcW w:w="1625" w:type="dxa"/>
            <w:vAlign w:val="bottom"/>
          </w:tcPr>
          <w:p w:rsidR="00203F6C" w:rsidRPr="00AB3200" w:rsidRDefault="00203F6C" w:rsidP="00203F6C">
            <w:pPr>
              <w:widowControl/>
              <w:jc w:val="center"/>
              <w:rPr>
                <w:rFonts w:ascii="標楷體" w:hAnsi="標楷體"/>
                <w:kern w:val="0"/>
                <w:sz w:val="20"/>
              </w:rPr>
            </w:pPr>
            <w:r w:rsidRPr="00AB3200">
              <w:rPr>
                <w:rFonts w:ascii="標楷體" w:hAnsi="標楷體"/>
                <w:kern w:val="0"/>
                <w:sz w:val="20"/>
              </w:rPr>
              <w:t>12.71</w:t>
            </w:r>
          </w:p>
        </w:tc>
        <w:tc>
          <w:tcPr>
            <w:tcW w:w="1777" w:type="dxa"/>
            <w:vAlign w:val="bottom"/>
          </w:tcPr>
          <w:p w:rsidR="00203F6C" w:rsidRPr="00AB3200" w:rsidRDefault="00203F6C" w:rsidP="00203F6C">
            <w:pPr>
              <w:widowControl/>
              <w:jc w:val="center"/>
              <w:rPr>
                <w:rFonts w:ascii="標楷體" w:hAnsi="標楷體"/>
                <w:kern w:val="0"/>
                <w:sz w:val="20"/>
              </w:rPr>
            </w:pPr>
            <w:r w:rsidRPr="00AB3200">
              <w:rPr>
                <w:rFonts w:ascii="標楷體" w:hAnsi="標楷體"/>
                <w:kern w:val="0"/>
                <w:sz w:val="20"/>
              </w:rPr>
              <w:t>7.11</w:t>
            </w:r>
          </w:p>
        </w:tc>
      </w:tr>
      <w:tr w:rsidR="00203F6C" w:rsidRPr="00AB3200" w:rsidTr="00203F6C">
        <w:trPr>
          <w:trHeight w:val="153"/>
        </w:trPr>
        <w:tc>
          <w:tcPr>
            <w:tcW w:w="1710" w:type="dxa"/>
            <w:vAlign w:val="center"/>
          </w:tcPr>
          <w:p w:rsidR="00203F6C" w:rsidRPr="00AB3200" w:rsidRDefault="00203F6C" w:rsidP="00203F6C">
            <w:pPr>
              <w:widowControl/>
              <w:jc w:val="center"/>
              <w:rPr>
                <w:rFonts w:ascii="標楷體" w:hAnsi="標楷體"/>
                <w:kern w:val="0"/>
                <w:sz w:val="20"/>
              </w:rPr>
            </w:pPr>
            <w:r w:rsidRPr="00AB3200">
              <w:rPr>
                <w:rFonts w:ascii="標楷體" w:hAnsi="標楷體"/>
                <w:kern w:val="0"/>
                <w:sz w:val="20"/>
              </w:rPr>
              <w:t>101年平均</w:t>
            </w:r>
          </w:p>
        </w:tc>
        <w:tc>
          <w:tcPr>
            <w:tcW w:w="1409" w:type="dxa"/>
            <w:vAlign w:val="bottom"/>
          </w:tcPr>
          <w:p w:rsidR="00203F6C" w:rsidRPr="00AB3200" w:rsidRDefault="00203F6C" w:rsidP="00203F6C">
            <w:pPr>
              <w:widowControl/>
              <w:jc w:val="center"/>
              <w:rPr>
                <w:rFonts w:ascii="標楷體" w:hAnsi="標楷體"/>
                <w:kern w:val="0"/>
                <w:sz w:val="20"/>
              </w:rPr>
            </w:pPr>
            <w:r w:rsidRPr="00AB3200">
              <w:rPr>
                <w:rFonts w:ascii="標楷體" w:hAnsi="標楷體"/>
                <w:kern w:val="0"/>
                <w:sz w:val="20"/>
              </w:rPr>
              <w:t>4.24</w:t>
            </w:r>
          </w:p>
        </w:tc>
        <w:tc>
          <w:tcPr>
            <w:tcW w:w="1701" w:type="dxa"/>
            <w:vAlign w:val="bottom"/>
          </w:tcPr>
          <w:p w:rsidR="00203F6C" w:rsidRPr="00AB3200" w:rsidRDefault="00203F6C" w:rsidP="00203F6C">
            <w:pPr>
              <w:widowControl/>
              <w:jc w:val="center"/>
              <w:rPr>
                <w:rFonts w:ascii="標楷體" w:hAnsi="標楷體"/>
                <w:kern w:val="0"/>
                <w:sz w:val="20"/>
              </w:rPr>
            </w:pPr>
            <w:r w:rsidRPr="00AB3200">
              <w:rPr>
                <w:rFonts w:ascii="標楷體" w:hAnsi="標楷體"/>
                <w:kern w:val="0"/>
                <w:sz w:val="20"/>
              </w:rPr>
              <w:t>9.80</w:t>
            </w:r>
          </w:p>
        </w:tc>
        <w:tc>
          <w:tcPr>
            <w:tcW w:w="1625" w:type="dxa"/>
            <w:vAlign w:val="bottom"/>
          </w:tcPr>
          <w:p w:rsidR="00203F6C" w:rsidRPr="00AB3200" w:rsidRDefault="00203F6C" w:rsidP="00203F6C">
            <w:pPr>
              <w:widowControl/>
              <w:jc w:val="center"/>
              <w:rPr>
                <w:rFonts w:ascii="標楷體" w:hAnsi="標楷體"/>
                <w:kern w:val="0"/>
                <w:sz w:val="20"/>
              </w:rPr>
            </w:pPr>
            <w:r w:rsidRPr="00AB3200">
              <w:rPr>
                <w:rFonts w:ascii="標楷體" w:hAnsi="標楷體"/>
                <w:kern w:val="0"/>
                <w:sz w:val="20"/>
              </w:rPr>
              <w:t>13.17</w:t>
            </w:r>
          </w:p>
        </w:tc>
        <w:tc>
          <w:tcPr>
            <w:tcW w:w="1777" w:type="dxa"/>
            <w:vAlign w:val="bottom"/>
          </w:tcPr>
          <w:p w:rsidR="00203F6C" w:rsidRPr="00AB3200" w:rsidRDefault="00203F6C" w:rsidP="00203F6C">
            <w:pPr>
              <w:widowControl/>
              <w:jc w:val="center"/>
              <w:rPr>
                <w:rFonts w:ascii="標楷體" w:hAnsi="標楷體"/>
                <w:kern w:val="0"/>
                <w:sz w:val="20"/>
              </w:rPr>
            </w:pPr>
            <w:r w:rsidRPr="00AB3200">
              <w:rPr>
                <w:rFonts w:ascii="標楷體" w:hAnsi="標楷體"/>
                <w:kern w:val="0"/>
                <w:sz w:val="20"/>
              </w:rPr>
              <w:t>7.08</w:t>
            </w:r>
          </w:p>
        </w:tc>
      </w:tr>
      <w:tr w:rsidR="00203F6C" w:rsidRPr="00AB3200" w:rsidTr="00203F6C">
        <w:trPr>
          <w:trHeight w:val="206"/>
        </w:trPr>
        <w:tc>
          <w:tcPr>
            <w:tcW w:w="1710" w:type="dxa"/>
            <w:vAlign w:val="center"/>
          </w:tcPr>
          <w:p w:rsidR="00203F6C" w:rsidRPr="00AB3200" w:rsidRDefault="00203F6C" w:rsidP="00203F6C">
            <w:pPr>
              <w:widowControl/>
              <w:jc w:val="center"/>
              <w:rPr>
                <w:rFonts w:ascii="標楷體" w:hAnsi="標楷體"/>
                <w:kern w:val="0"/>
                <w:sz w:val="20"/>
              </w:rPr>
            </w:pPr>
            <w:r w:rsidRPr="00AB3200">
              <w:rPr>
                <w:rFonts w:ascii="標楷體" w:hAnsi="標楷體"/>
                <w:kern w:val="0"/>
                <w:sz w:val="20"/>
              </w:rPr>
              <w:t>102年平均</w:t>
            </w:r>
          </w:p>
        </w:tc>
        <w:tc>
          <w:tcPr>
            <w:tcW w:w="1409" w:type="dxa"/>
            <w:vAlign w:val="bottom"/>
          </w:tcPr>
          <w:p w:rsidR="00203F6C" w:rsidRPr="00AB3200" w:rsidRDefault="00203F6C" w:rsidP="00203F6C">
            <w:pPr>
              <w:jc w:val="center"/>
              <w:rPr>
                <w:rFonts w:ascii="標楷體" w:hAnsi="標楷體"/>
                <w:kern w:val="0"/>
                <w:sz w:val="20"/>
              </w:rPr>
            </w:pPr>
            <w:r w:rsidRPr="00AB3200">
              <w:rPr>
                <w:rFonts w:ascii="標楷體" w:hAnsi="標楷體"/>
                <w:kern w:val="0"/>
                <w:sz w:val="20"/>
              </w:rPr>
              <w:t>4.18</w:t>
            </w:r>
          </w:p>
        </w:tc>
        <w:tc>
          <w:tcPr>
            <w:tcW w:w="1701" w:type="dxa"/>
            <w:vAlign w:val="bottom"/>
          </w:tcPr>
          <w:p w:rsidR="00203F6C" w:rsidRPr="00AB3200" w:rsidRDefault="00203F6C" w:rsidP="00203F6C">
            <w:pPr>
              <w:jc w:val="center"/>
              <w:rPr>
                <w:rFonts w:ascii="標楷體" w:hAnsi="標楷體"/>
                <w:kern w:val="0"/>
                <w:sz w:val="20"/>
              </w:rPr>
            </w:pPr>
            <w:r w:rsidRPr="00AB3200">
              <w:rPr>
                <w:rFonts w:ascii="標楷體" w:hAnsi="標楷體"/>
                <w:kern w:val="0"/>
                <w:sz w:val="20"/>
              </w:rPr>
              <w:t>9.65</w:t>
            </w:r>
          </w:p>
        </w:tc>
        <w:tc>
          <w:tcPr>
            <w:tcW w:w="1625" w:type="dxa"/>
            <w:vAlign w:val="bottom"/>
          </w:tcPr>
          <w:p w:rsidR="00203F6C" w:rsidRPr="00AB3200" w:rsidRDefault="00203F6C" w:rsidP="00203F6C">
            <w:pPr>
              <w:jc w:val="center"/>
              <w:rPr>
                <w:rFonts w:ascii="標楷體" w:hAnsi="標楷體"/>
                <w:kern w:val="0"/>
                <w:sz w:val="20"/>
              </w:rPr>
            </w:pPr>
            <w:r w:rsidRPr="00AB3200">
              <w:rPr>
                <w:rFonts w:ascii="標楷體" w:hAnsi="標楷體"/>
                <w:kern w:val="0"/>
                <w:sz w:val="20"/>
              </w:rPr>
              <w:t>13.75</w:t>
            </w:r>
          </w:p>
        </w:tc>
        <w:tc>
          <w:tcPr>
            <w:tcW w:w="1777" w:type="dxa"/>
            <w:vAlign w:val="bottom"/>
          </w:tcPr>
          <w:p w:rsidR="00203F6C" w:rsidRPr="00AB3200" w:rsidRDefault="00203F6C" w:rsidP="00203F6C">
            <w:pPr>
              <w:jc w:val="center"/>
              <w:rPr>
                <w:rFonts w:ascii="標楷體" w:hAnsi="標楷體"/>
                <w:kern w:val="0"/>
                <w:sz w:val="20"/>
              </w:rPr>
            </w:pPr>
            <w:r w:rsidRPr="00AB3200">
              <w:rPr>
                <w:rFonts w:ascii="標楷體" w:hAnsi="標楷體"/>
                <w:kern w:val="0"/>
                <w:sz w:val="20"/>
              </w:rPr>
              <w:t>7.11</w:t>
            </w:r>
          </w:p>
        </w:tc>
      </w:tr>
      <w:tr w:rsidR="00203F6C" w:rsidRPr="00AB3200" w:rsidTr="00203F6C">
        <w:trPr>
          <w:trHeight w:val="80"/>
        </w:trPr>
        <w:tc>
          <w:tcPr>
            <w:tcW w:w="1710" w:type="dxa"/>
            <w:vAlign w:val="center"/>
          </w:tcPr>
          <w:p w:rsidR="00203F6C" w:rsidRPr="00AB3200" w:rsidRDefault="00203F6C" w:rsidP="00203F6C">
            <w:pPr>
              <w:jc w:val="center"/>
              <w:rPr>
                <w:rFonts w:ascii="標楷體" w:hAnsi="標楷體"/>
                <w:kern w:val="0"/>
                <w:sz w:val="20"/>
              </w:rPr>
            </w:pPr>
            <w:r w:rsidRPr="00AB3200">
              <w:rPr>
                <w:rFonts w:ascii="標楷體" w:hAnsi="標楷體"/>
                <w:kern w:val="0"/>
                <w:sz w:val="20"/>
              </w:rPr>
              <w:t>103年1-</w:t>
            </w:r>
            <w:r w:rsidRPr="00AB3200">
              <w:rPr>
                <w:rFonts w:ascii="標楷體" w:hAnsi="標楷體" w:hint="eastAsia"/>
                <w:kern w:val="0"/>
                <w:sz w:val="20"/>
              </w:rPr>
              <w:t>4</w:t>
            </w:r>
            <w:r w:rsidRPr="00AB3200">
              <w:rPr>
                <w:rFonts w:ascii="標楷體" w:hAnsi="標楷體"/>
                <w:kern w:val="0"/>
                <w:sz w:val="20"/>
              </w:rPr>
              <w:t>平均</w:t>
            </w:r>
          </w:p>
        </w:tc>
        <w:tc>
          <w:tcPr>
            <w:tcW w:w="1409" w:type="dxa"/>
            <w:vAlign w:val="bottom"/>
          </w:tcPr>
          <w:p w:rsidR="00203F6C" w:rsidRPr="00AB3200" w:rsidRDefault="00203F6C" w:rsidP="00203F6C">
            <w:pPr>
              <w:widowControl/>
              <w:jc w:val="center"/>
              <w:rPr>
                <w:rFonts w:ascii="標楷體" w:hAnsi="標楷體"/>
                <w:kern w:val="0"/>
                <w:sz w:val="20"/>
              </w:rPr>
            </w:pPr>
            <w:r w:rsidRPr="00AB3200">
              <w:rPr>
                <w:rFonts w:ascii="標楷體" w:hAnsi="標楷體" w:hint="eastAsia"/>
                <w:kern w:val="0"/>
                <w:sz w:val="20"/>
              </w:rPr>
              <w:t>4.01</w:t>
            </w:r>
          </w:p>
        </w:tc>
        <w:tc>
          <w:tcPr>
            <w:tcW w:w="1701" w:type="dxa"/>
            <w:vAlign w:val="bottom"/>
          </w:tcPr>
          <w:p w:rsidR="00203F6C" w:rsidRPr="00AB3200" w:rsidRDefault="00203F6C" w:rsidP="00203F6C">
            <w:pPr>
              <w:widowControl/>
              <w:jc w:val="center"/>
              <w:rPr>
                <w:rFonts w:ascii="標楷體" w:hAnsi="標楷體"/>
                <w:kern w:val="0"/>
                <w:sz w:val="20"/>
              </w:rPr>
            </w:pPr>
            <w:r w:rsidRPr="00AB3200">
              <w:rPr>
                <w:rFonts w:ascii="標楷體" w:hAnsi="標楷體" w:hint="eastAsia"/>
                <w:kern w:val="0"/>
                <w:sz w:val="20"/>
              </w:rPr>
              <w:t>9.17</w:t>
            </w:r>
          </w:p>
        </w:tc>
        <w:tc>
          <w:tcPr>
            <w:tcW w:w="1625" w:type="dxa"/>
            <w:vAlign w:val="bottom"/>
          </w:tcPr>
          <w:p w:rsidR="00203F6C" w:rsidRPr="00AB3200" w:rsidRDefault="00203F6C" w:rsidP="00203F6C">
            <w:pPr>
              <w:widowControl/>
              <w:jc w:val="center"/>
              <w:rPr>
                <w:rFonts w:ascii="標楷體" w:hAnsi="標楷體"/>
                <w:kern w:val="0"/>
                <w:sz w:val="20"/>
              </w:rPr>
            </w:pPr>
            <w:r w:rsidRPr="00AB3200">
              <w:rPr>
                <w:rFonts w:ascii="標楷體" w:hAnsi="標楷體" w:hint="eastAsia"/>
                <w:kern w:val="0"/>
                <w:sz w:val="20"/>
              </w:rPr>
              <w:t>13.16</w:t>
            </w:r>
          </w:p>
        </w:tc>
        <w:tc>
          <w:tcPr>
            <w:tcW w:w="1777" w:type="dxa"/>
            <w:vAlign w:val="bottom"/>
          </w:tcPr>
          <w:p w:rsidR="00203F6C" w:rsidRPr="00AB3200" w:rsidRDefault="00203F6C" w:rsidP="00203F6C">
            <w:pPr>
              <w:widowControl/>
              <w:jc w:val="center"/>
              <w:rPr>
                <w:rFonts w:ascii="標楷體" w:hAnsi="標楷體"/>
                <w:kern w:val="0"/>
                <w:sz w:val="20"/>
              </w:rPr>
            </w:pPr>
            <w:r w:rsidRPr="00AB3200">
              <w:rPr>
                <w:rFonts w:ascii="標楷體" w:hAnsi="標楷體" w:hint="eastAsia"/>
                <w:kern w:val="0"/>
                <w:sz w:val="20"/>
              </w:rPr>
              <w:t>6.96</w:t>
            </w:r>
          </w:p>
        </w:tc>
      </w:tr>
    </w:tbl>
    <w:p w:rsidR="00203F6C" w:rsidRPr="00AB3200" w:rsidRDefault="00203F6C" w:rsidP="00203F6C">
      <w:pPr>
        <w:pStyle w:val="20"/>
        <w:numPr>
          <w:ilvl w:val="0"/>
          <w:numId w:val="0"/>
        </w:numPr>
        <w:spacing w:line="240" w:lineRule="exact"/>
        <w:ind w:leftChars="208" w:left="1133" w:hangingChars="193" w:hanging="425"/>
        <w:jc w:val="left"/>
        <w:rPr>
          <w:rFonts w:hAnsi="標楷體"/>
          <w:sz w:val="20"/>
          <w:szCs w:val="20"/>
        </w:rPr>
      </w:pPr>
      <w:bookmarkStart w:id="27" w:name="_Toc393464339"/>
      <w:r w:rsidRPr="00AB3200">
        <w:rPr>
          <w:rFonts w:hAnsi="標楷體"/>
          <w:sz w:val="20"/>
          <w:szCs w:val="20"/>
        </w:rPr>
        <w:t>資料來源：</w:t>
      </w:r>
      <w:r w:rsidRPr="00AB3200">
        <w:rPr>
          <w:rFonts w:hAnsi="標楷體" w:hint="eastAsia"/>
          <w:sz w:val="20"/>
          <w:szCs w:val="20"/>
        </w:rPr>
        <w:t>行政院</w:t>
      </w:r>
      <w:r w:rsidRPr="00AB3200">
        <w:rPr>
          <w:rFonts w:hAnsi="標楷體"/>
          <w:sz w:val="20"/>
          <w:szCs w:val="20"/>
        </w:rPr>
        <w:t>主計總處</w:t>
      </w:r>
      <w:r w:rsidRPr="00AB3200">
        <w:rPr>
          <w:rFonts w:hAnsi="標楷體" w:hint="eastAsia"/>
          <w:sz w:val="20"/>
          <w:szCs w:val="20"/>
        </w:rPr>
        <w:t>「</w:t>
      </w:r>
      <w:hyperlink r:id="rId9" w:history="1">
        <w:r w:rsidRPr="00AB3200">
          <w:rPr>
            <w:rFonts w:hAnsi="標楷體"/>
            <w:sz w:val="20"/>
            <w:szCs w:val="20"/>
          </w:rPr>
          <w:t>就業、失業統計</w:t>
        </w:r>
      </w:hyperlink>
      <w:r w:rsidRPr="00AB3200">
        <w:rPr>
          <w:rFonts w:hAnsi="標楷體" w:hint="eastAsia"/>
          <w:sz w:val="20"/>
          <w:szCs w:val="20"/>
        </w:rPr>
        <w:t>」之「失業率-按年齡分」</w:t>
      </w:r>
      <w:bookmarkEnd w:id="27"/>
    </w:p>
    <w:p w:rsidR="00203F6C" w:rsidRPr="00AB3200" w:rsidRDefault="00203F6C" w:rsidP="00203F6C">
      <w:pPr>
        <w:pStyle w:val="20"/>
        <w:numPr>
          <w:ilvl w:val="0"/>
          <w:numId w:val="0"/>
        </w:numPr>
        <w:spacing w:line="240" w:lineRule="exact"/>
        <w:ind w:leftChars="208" w:left="1133" w:hangingChars="193" w:hanging="425"/>
        <w:jc w:val="left"/>
        <w:rPr>
          <w:rFonts w:hAnsi="標楷體"/>
          <w:sz w:val="20"/>
          <w:szCs w:val="20"/>
        </w:rPr>
      </w:pPr>
      <w:bookmarkStart w:id="28" w:name="_Toc393464340"/>
      <w:r w:rsidRPr="00AB3200">
        <w:rPr>
          <w:rFonts w:hAnsi="標楷體"/>
          <w:sz w:val="20"/>
          <w:szCs w:val="20"/>
        </w:rPr>
        <w:t>http://www.dgbas.gov.tw/ct.asp?xItem=17144&amp;ctNode=3246&amp;mp=1</w:t>
      </w:r>
      <w:r w:rsidRPr="00AB3200">
        <w:rPr>
          <w:rFonts w:hAnsi="標楷體" w:hint="eastAsia"/>
          <w:sz w:val="20"/>
          <w:szCs w:val="20"/>
        </w:rPr>
        <w:t>。</w:t>
      </w:r>
      <w:bookmarkEnd w:id="28"/>
    </w:p>
    <w:p w:rsidR="00203F6C" w:rsidRPr="00AB3200" w:rsidRDefault="00203F6C" w:rsidP="00203F6C">
      <w:pPr>
        <w:pStyle w:val="4"/>
        <w:tabs>
          <w:tab w:val="left" w:pos="8222"/>
        </w:tabs>
        <w:ind w:left="1843" w:hanging="709"/>
        <w:rPr>
          <w:rFonts w:hAnsi="標楷體"/>
        </w:rPr>
      </w:pPr>
      <w:r w:rsidRPr="00AB3200">
        <w:rPr>
          <w:rFonts w:hAnsi="標楷體"/>
        </w:rPr>
        <w:t>據行政院主計總處公布67至10</w:t>
      </w:r>
      <w:r w:rsidRPr="00AB3200">
        <w:rPr>
          <w:rFonts w:hAnsi="標楷體" w:hint="eastAsia"/>
        </w:rPr>
        <w:t>3</w:t>
      </w:r>
      <w:r w:rsidRPr="00AB3200">
        <w:rPr>
          <w:rFonts w:hAnsi="標楷體"/>
        </w:rPr>
        <w:t>年</w:t>
      </w:r>
      <w:r w:rsidRPr="00AB3200">
        <w:rPr>
          <w:rFonts w:hAnsi="標楷體" w:hint="eastAsia"/>
        </w:rPr>
        <w:t>4月</w:t>
      </w:r>
      <w:r w:rsidRPr="00AB3200">
        <w:rPr>
          <w:rFonts w:hAnsi="標楷體"/>
        </w:rPr>
        <w:t>之人力資源調查統計(圖1)所揭，其中67至89年我國整體失業率約介於1.</w:t>
      </w:r>
      <w:r w:rsidRPr="00AB3200">
        <w:rPr>
          <w:rFonts w:hAnsi="標楷體" w:hint="eastAsia"/>
        </w:rPr>
        <w:t>2</w:t>
      </w:r>
      <w:r w:rsidRPr="00AB3200">
        <w:rPr>
          <w:rFonts w:hAnsi="標楷體"/>
        </w:rPr>
        <w:t>3％至2.99％，期間雖有起伏變化，尚能維持於3％以下；90及91年因全球科技網路泡沫化及美國遭受恐怖攻擊事件（911）影響，整體失業率增至4.57％及5.17％，</w:t>
      </w:r>
      <w:proofErr w:type="gramStart"/>
      <w:r w:rsidRPr="00AB3200">
        <w:rPr>
          <w:rFonts w:hAnsi="標楷體"/>
        </w:rPr>
        <w:t>嗣</w:t>
      </w:r>
      <w:proofErr w:type="gramEnd"/>
      <w:r w:rsidRPr="00AB3200">
        <w:rPr>
          <w:rFonts w:hAnsi="標楷體"/>
        </w:rPr>
        <w:t>因全球景氣逐漸復甦，92至96年失業情勢漸呈下降趨勢，惟97年下半年再受全球金融</w:t>
      </w:r>
      <w:r w:rsidRPr="00AB3200">
        <w:rPr>
          <w:rFonts w:hAnsi="標楷體"/>
        </w:rPr>
        <w:lastRenderedPageBreak/>
        <w:t>海嘯影響，重創我國經濟成長，導致98年國內整體失業率驟升至5.85％，係自67年以來之最高點；99年全球經濟衰退情況逐漸獲得控制，我國失業情形亦呈穩定下降趨勢，10</w:t>
      </w:r>
      <w:r w:rsidRPr="00AB3200">
        <w:rPr>
          <w:rFonts w:hAnsi="標楷體" w:hint="eastAsia"/>
        </w:rPr>
        <w:t>3</w:t>
      </w:r>
      <w:r w:rsidRPr="00AB3200">
        <w:rPr>
          <w:rFonts w:hAnsi="標楷體"/>
        </w:rPr>
        <w:t>年</w:t>
      </w:r>
      <w:r w:rsidRPr="00AB3200">
        <w:rPr>
          <w:rFonts w:hAnsi="標楷體" w:hint="eastAsia"/>
        </w:rPr>
        <w:t>1至4月</w:t>
      </w:r>
      <w:r w:rsidRPr="00AB3200">
        <w:rPr>
          <w:rFonts w:hAnsi="標楷體"/>
        </w:rPr>
        <w:t>平均整體失業率已降至4.</w:t>
      </w:r>
      <w:r w:rsidRPr="00AB3200">
        <w:rPr>
          <w:rFonts w:hAnsi="標楷體" w:hint="eastAsia"/>
        </w:rPr>
        <w:t>01</w:t>
      </w:r>
      <w:r w:rsidRPr="00AB3200">
        <w:rPr>
          <w:rFonts w:hAnsi="標楷體"/>
        </w:rPr>
        <w:t>％。</w:t>
      </w:r>
    </w:p>
    <w:p w:rsidR="00203F6C" w:rsidRPr="00AB3200" w:rsidRDefault="00203F6C" w:rsidP="00203F6C">
      <w:pPr>
        <w:pStyle w:val="4"/>
        <w:ind w:left="1843" w:hanging="709"/>
        <w:rPr>
          <w:rFonts w:hAnsi="標楷體"/>
        </w:rPr>
      </w:pPr>
      <w:r w:rsidRPr="00AB3200">
        <w:rPr>
          <w:rFonts w:hAnsi="標楷體" w:hint="eastAsia"/>
        </w:rPr>
        <w:t>我國鄰近之亞洲國家相比，100年我國15至19歲、20至24歲、25至29歲青年失業率(11.2</w:t>
      </w:r>
      <w:r w:rsidRPr="00AB3200">
        <w:rPr>
          <w:rFonts w:hAnsi="標楷體"/>
        </w:rPr>
        <w:t>％</w:t>
      </w:r>
      <w:r w:rsidRPr="00AB3200">
        <w:rPr>
          <w:rFonts w:hAnsi="標楷體" w:hint="eastAsia"/>
        </w:rPr>
        <w:t>、12.7</w:t>
      </w:r>
      <w:r w:rsidRPr="00AB3200">
        <w:rPr>
          <w:rFonts w:hAnsi="標楷體"/>
        </w:rPr>
        <w:t>％</w:t>
      </w:r>
      <w:r w:rsidRPr="00AB3200">
        <w:rPr>
          <w:rFonts w:hAnsi="標楷體" w:hint="eastAsia"/>
        </w:rPr>
        <w:t>、7.1</w:t>
      </w:r>
      <w:r w:rsidRPr="00AB3200">
        <w:rPr>
          <w:rFonts w:hAnsi="標楷體"/>
        </w:rPr>
        <w:t>％</w:t>
      </w:r>
      <w:r w:rsidRPr="00AB3200">
        <w:rPr>
          <w:rFonts w:hAnsi="標楷體" w:hint="eastAsia"/>
        </w:rPr>
        <w:t>)，</w:t>
      </w:r>
      <w:proofErr w:type="gramStart"/>
      <w:r w:rsidRPr="00AB3200">
        <w:rPr>
          <w:rFonts w:hAnsi="標楷體" w:hint="eastAsia"/>
        </w:rPr>
        <w:t>均較日本</w:t>
      </w:r>
      <w:proofErr w:type="gramEnd"/>
      <w:r w:rsidRPr="00AB3200">
        <w:rPr>
          <w:rFonts w:hAnsi="標楷體" w:hint="eastAsia"/>
        </w:rPr>
        <w:t>(</w:t>
      </w:r>
      <w:proofErr w:type="gramStart"/>
      <w:r w:rsidRPr="00AB3200">
        <w:rPr>
          <w:rFonts w:hAnsi="標楷體" w:hint="eastAsia"/>
        </w:rPr>
        <w:t>各組距分別</w:t>
      </w:r>
      <w:proofErr w:type="gramEnd"/>
      <w:r w:rsidRPr="00AB3200">
        <w:rPr>
          <w:rFonts w:hAnsi="標楷體" w:hint="eastAsia"/>
        </w:rPr>
        <w:t>為9.6</w:t>
      </w:r>
      <w:r w:rsidRPr="00AB3200">
        <w:rPr>
          <w:rFonts w:hAnsi="標楷體"/>
        </w:rPr>
        <w:t>％</w:t>
      </w:r>
      <w:r w:rsidRPr="00AB3200">
        <w:rPr>
          <w:rFonts w:hAnsi="標楷體" w:hint="eastAsia"/>
        </w:rPr>
        <w:t>、7.9</w:t>
      </w:r>
      <w:r w:rsidRPr="00AB3200">
        <w:rPr>
          <w:rFonts w:hAnsi="標楷體"/>
        </w:rPr>
        <w:t>％</w:t>
      </w:r>
      <w:r w:rsidRPr="00AB3200">
        <w:rPr>
          <w:rFonts w:hAnsi="標楷體" w:hint="eastAsia"/>
        </w:rPr>
        <w:t>、6.3</w:t>
      </w:r>
      <w:r w:rsidRPr="00AB3200">
        <w:rPr>
          <w:rFonts w:hAnsi="標楷體"/>
        </w:rPr>
        <w:t>％</w:t>
      </w:r>
      <w:r w:rsidRPr="00AB3200">
        <w:rPr>
          <w:rFonts w:hAnsi="標楷體" w:hint="eastAsia"/>
        </w:rPr>
        <w:t>)及韓國(</w:t>
      </w:r>
      <w:proofErr w:type="gramStart"/>
      <w:r w:rsidRPr="00AB3200">
        <w:rPr>
          <w:rFonts w:hAnsi="標楷體" w:hint="eastAsia"/>
        </w:rPr>
        <w:t>各組距分別</w:t>
      </w:r>
      <w:proofErr w:type="gramEnd"/>
      <w:r w:rsidRPr="00AB3200">
        <w:rPr>
          <w:rFonts w:hAnsi="標楷體" w:hint="eastAsia"/>
        </w:rPr>
        <w:t>為10.8</w:t>
      </w:r>
      <w:r w:rsidRPr="00AB3200">
        <w:rPr>
          <w:rFonts w:hAnsi="標楷體"/>
        </w:rPr>
        <w:t>％</w:t>
      </w:r>
      <w:r w:rsidRPr="00AB3200">
        <w:rPr>
          <w:rFonts w:hAnsi="標楷體" w:hint="eastAsia"/>
        </w:rPr>
        <w:t>、9.4</w:t>
      </w:r>
      <w:r w:rsidRPr="00AB3200">
        <w:rPr>
          <w:rFonts w:hAnsi="標楷體"/>
        </w:rPr>
        <w:t>％</w:t>
      </w:r>
      <w:r w:rsidRPr="00AB3200">
        <w:rPr>
          <w:rFonts w:hAnsi="標楷體" w:hint="eastAsia"/>
        </w:rPr>
        <w:t>、6.5</w:t>
      </w:r>
      <w:r w:rsidRPr="00AB3200">
        <w:rPr>
          <w:rFonts w:hAnsi="標楷體"/>
        </w:rPr>
        <w:t>％</w:t>
      </w:r>
      <w:r w:rsidRPr="00AB3200">
        <w:rPr>
          <w:rFonts w:hAnsi="標楷體" w:hint="eastAsia"/>
        </w:rPr>
        <w:t>)青年失業率為高。</w:t>
      </w:r>
    </w:p>
    <w:p w:rsidR="00203F6C" w:rsidRPr="00AB3200" w:rsidRDefault="00203F6C" w:rsidP="00203F6C">
      <w:pPr>
        <w:spacing w:line="240" w:lineRule="exact"/>
        <w:ind w:leftChars="-250" w:left="-227" w:hangingChars="283" w:hanging="623"/>
        <w:jc w:val="right"/>
        <w:rPr>
          <w:rFonts w:ascii="標楷體" w:hAnsi="標楷體"/>
          <w:sz w:val="20"/>
        </w:rPr>
      </w:pPr>
      <w:r w:rsidRPr="00AB3200">
        <w:rPr>
          <w:rFonts w:ascii="標楷體" w:hAnsi="標楷體"/>
          <w:sz w:val="20"/>
        </w:rPr>
        <w:t>單位:%</w:t>
      </w:r>
    </w:p>
    <w:tbl>
      <w:tblPr>
        <w:tblW w:w="8601" w:type="dxa"/>
        <w:tblInd w:w="499" w:type="dxa"/>
        <w:tblCellMar>
          <w:left w:w="28" w:type="dxa"/>
          <w:right w:w="28" w:type="dxa"/>
        </w:tblCellMar>
        <w:tblLook w:val="04A0"/>
      </w:tblPr>
      <w:tblGrid>
        <w:gridCol w:w="667"/>
        <w:gridCol w:w="667"/>
        <w:gridCol w:w="667"/>
        <w:gridCol w:w="667"/>
        <w:gridCol w:w="607"/>
        <w:gridCol w:w="666"/>
        <w:gridCol w:w="607"/>
        <w:gridCol w:w="678"/>
        <w:gridCol w:w="745"/>
        <w:gridCol w:w="666"/>
        <w:gridCol w:w="994"/>
        <w:gridCol w:w="970"/>
      </w:tblGrid>
      <w:tr w:rsidR="00203F6C" w:rsidRPr="00AB3200" w:rsidTr="00203F6C">
        <w:trPr>
          <w:trHeight w:val="129"/>
          <w:tblHeader/>
        </w:trPr>
        <w:tc>
          <w:tcPr>
            <w:tcW w:w="667" w:type="dxa"/>
            <w:vMerge w:val="restart"/>
            <w:tcBorders>
              <w:top w:val="single" w:sz="4" w:space="0" w:color="auto"/>
              <w:left w:val="single" w:sz="4" w:space="0" w:color="auto"/>
              <w:right w:val="single" w:sz="4" w:space="0" w:color="auto"/>
            </w:tcBorders>
            <w:shd w:val="clear" w:color="auto" w:fill="auto"/>
            <w:noWrap/>
            <w:vAlign w:val="center"/>
            <w:hideMark/>
          </w:tcPr>
          <w:p w:rsidR="00203F6C" w:rsidRPr="00AB3200" w:rsidRDefault="00203F6C" w:rsidP="00203F6C">
            <w:pPr>
              <w:widowControl/>
              <w:spacing w:line="240" w:lineRule="exact"/>
              <w:ind w:rightChars="33" w:right="112"/>
              <w:jc w:val="center"/>
              <w:rPr>
                <w:rFonts w:ascii="標楷體" w:hAnsi="標楷體"/>
                <w:kern w:val="0"/>
                <w:sz w:val="20"/>
              </w:rPr>
            </w:pPr>
            <w:r w:rsidRPr="00AB3200">
              <w:rPr>
                <w:rFonts w:ascii="標楷體" w:hAnsi="標楷體"/>
                <w:kern w:val="0"/>
                <w:sz w:val="20"/>
              </w:rPr>
              <w:t xml:space="preserve">　</w:t>
            </w:r>
          </w:p>
          <w:p w:rsidR="00203F6C" w:rsidRPr="00AB3200" w:rsidRDefault="00203F6C" w:rsidP="00203F6C">
            <w:pPr>
              <w:spacing w:line="240" w:lineRule="exact"/>
              <w:ind w:rightChars="33" w:right="112"/>
              <w:jc w:val="center"/>
              <w:rPr>
                <w:rFonts w:ascii="標楷體" w:hAnsi="標楷體"/>
                <w:kern w:val="0"/>
                <w:sz w:val="20"/>
              </w:rPr>
            </w:pPr>
            <w:r w:rsidRPr="00AB3200">
              <w:rPr>
                <w:rFonts w:ascii="標楷體" w:hAnsi="標楷體"/>
                <w:kern w:val="0"/>
                <w:sz w:val="20"/>
              </w:rPr>
              <w:t xml:space="preserve">　</w:t>
            </w:r>
          </w:p>
        </w:tc>
        <w:tc>
          <w:tcPr>
            <w:tcW w:w="2001" w:type="dxa"/>
            <w:gridSpan w:val="3"/>
            <w:tcBorders>
              <w:top w:val="single" w:sz="4" w:space="0" w:color="auto"/>
              <w:left w:val="nil"/>
              <w:bottom w:val="single" w:sz="4" w:space="0" w:color="auto"/>
              <w:right w:val="single" w:sz="4" w:space="0" w:color="auto"/>
            </w:tcBorders>
            <w:shd w:val="clear" w:color="auto" w:fill="auto"/>
            <w:noWrap/>
            <w:vAlign w:val="center"/>
            <w:hideMark/>
          </w:tcPr>
          <w:p w:rsidR="00203F6C" w:rsidRPr="00AB3200" w:rsidRDefault="00203F6C" w:rsidP="00203F6C">
            <w:pPr>
              <w:widowControl/>
              <w:spacing w:line="240" w:lineRule="exact"/>
              <w:jc w:val="center"/>
              <w:rPr>
                <w:rFonts w:ascii="標楷體" w:hAnsi="標楷體"/>
                <w:kern w:val="0"/>
                <w:sz w:val="20"/>
              </w:rPr>
            </w:pPr>
            <w:r w:rsidRPr="00AB3200">
              <w:rPr>
                <w:rFonts w:ascii="標楷體" w:hAnsi="標楷體"/>
                <w:kern w:val="0"/>
                <w:sz w:val="20"/>
              </w:rPr>
              <w:t>台灣</w:t>
            </w:r>
          </w:p>
        </w:tc>
        <w:tc>
          <w:tcPr>
            <w:tcW w:w="1880" w:type="dxa"/>
            <w:gridSpan w:val="3"/>
            <w:tcBorders>
              <w:top w:val="single" w:sz="4" w:space="0" w:color="auto"/>
              <w:left w:val="nil"/>
              <w:bottom w:val="single" w:sz="4" w:space="0" w:color="auto"/>
              <w:right w:val="single" w:sz="4" w:space="0" w:color="auto"/>
            </w:tcBorders>
            <w:shd w:val="clear" w:color="auto" w:fill="auto"/>
            <w:noWrap/>
            <w:vAlign w:val="center"/>
            <w:hideMark/>
          </w:tcPr>
          <w:p w:rsidR="00203F6C" w:rsidRPr="00AB3200" w:rsidRDefault="00203F6C" w:rsidP="00203F6C">
            <w:pPr>
              <w:widowControl/>
              <w:spacing w:line="240" w:lineRule="exact"/>
              <w:jc w:val="center"/>
              <w:rPr>
                <w:rFonts w:ascii="標楷體" w:hAnsi="標楷體"/>
                <w:kern w:val="0"/>
                <w:sz w:val="20"/>
              </w:rPr>
            </w:pPr>
            <w:r w:rsidRPr="00AB3200">
              <w:rPr>
                <w:rFonts w:ascii="標楷體" w:hAnsi="標楷體"/>
                <w:kern w:val="0"/>
                <w:sz w:val="20"/>
              </w:rPr>
              <w:t>日本</w:t>
            </w:r>
          </w:p>
        </w:tc>
        <w:tc>
          <w:tcPr>
            <w:tcW w:w="2089" w:type="dxa"/>
            <w:gridSpan w:val="3"/>
            <w:tcBorders>
              <w:top w:val="single" w:sz="4" w:space="0" w:color="auto"/>
              <w:left w:val="nil"/>
              <w:bottom w:val="single" w:sz="4" w:space="0" w:color="auto"/>
              <w:right w:val="single" w:sz="4" w:space="0" w:color="auto"/>
            </w:tcBorders>
            <w:shd w:val="clear" w:color="auto" w:fill="auto"/>
            <w:noWrap/>
            <w:vAlign w:val="center"/>
            <w:hideMark/>
          </w:tcPr>
          <w:p w:rsidR="00203F6C" w:rsidRPr="00AB3200" w:rsidRDefault="00203F6C" w:rsidP="00203F6C">
            <w:pPr>
              <w:widowControl/>
              <w:spacing w:line="240" w:lineRule="exact"/>
              <w:jc w:val="center"/>
              <w:rPr>
                <w:rFonts w:ascii="標楷體" w:hAnsi="標楷體"/>
                <w:kern w:val="0"/>
                <w:sz w:val="20"/>
              </w:rPr>
            </w:pPr>
            <w:r w:rsidRPr="00AB3200">
              <w:rPr>
                <w:rFonts w:ascii="標楷體" w:hAnsi="標楷體"/>
                <w:kern w:val="0"/>
                <w:sz w:val="20"/>
              </w:rPr>
              <w:t>韓國</w:t>
            </w:r>
          </w:p>
        </w:tc>
        <w:tc>
          <w:tcPr>
            <w:tcW w:w="994" w:type="dxa"/>
            <w:tcBorders>
              <w:top w:val="single" w:sz="4" w:space="0" w:color="auto"/>
              <w:left w:val="nil"/>
              <w:bottom w:val="single" w:sz="4" w:space="0" w:color="auto"/>
              <w:right w:val="single" w:sz="4" w:space="0" w:color="auto"/>
            </w:tcBorders>
            <w:shd w:val="clear" w:color="auto" w:fill="auto"/>
            <w:noWrap/>
            <w:vAlign w:val="center"/>
            <w:hideMark/>
          </w:tcPr>
          <w:p w:rsidR="00203F6C" w:rsidRPr="00AB3200" w:rsidRDefault="00203F6C" w:rsidP="00203F6C">
            <w:pPr>
              <w:widowControl/>
              <w:spacing w:line="240" w:lineRule="exact"/>
              <w:jc w:val="center"/>
              <w:rPr>
                <w:rFonts w:ascii="標楷體" w:hAnsi="標楷體"/>
                <w:kern w:val="0"/>
                <w:sz w:val="20"/>
              </w:rPr>
            </w:pPr>
            <w:r w:rsidRPr="00AB3200">
              <w:rPr>
                <w:rFonts w:ascii="標楷體" w:hAnsi="標楷體"/>
                <w:kern w:val="0"/>
                <w:sz w:val="20"/>
              </w:rPr>
              <w:t>OECD平均</w:t>
            </w:r>
          </w:p>
        </w:tc>
        <w:tc>
          <w:tcPr>
            <w:tcW w:w="970" w:type="dxa"/>
            <w:tcBorders>
              <w:top w:val="single" w:sz="4" w:space="0" w:color="auto"/>
              <w:left w:val="nil"/>
              <w:bottom w:val="single" w:sz="4" w:space="0" w:color="auto"/>
              <w:right w:val="single" w:sz="4" w:space="0" w:color="auto"/>
            </w:tcBorders>
            <w:shd w:val="clear" w:color="auto" w:fill="auto"/>
            <w:noWrap/>
            <w:vAlign w:val="center"/>
            <w:hideMark/>
          </w:tcPr>
          <w:p w:rsidR="00203F6C" w:rsidRPr="00AB3200" w:rsidRDefault="00203F6C" w:rsidP="00203F6C">
            <w:pPr>
              <w:widowControl/>
              <w:spacing w:line="240" w:lineRule="exact"/>
              <w:ind w:rightChars="-8" w:right="-27"/>
              <w:rPr>
                <w:rFonts w:ascii="標楷體" w:hAnsi="標楷體"/>
                <w:kern w:val="0"/>
                <w:sz w:val="20"/>
              </w:rPr>
            </w:pPr>
            <w:r w:rsidRPr="00AB3200">
              <w:rPr>
                <w:rFonts w:ascii="標楷體" w:hAnsi="標楷體"/>
                <w:kern w:val="0"/>
                <w:sz w:val="20"/>
              </w:rPr>
              <w:t>歐盟平均</w:t>
            </w:r>
          </w:p>
        </w:tc>
      </w:tr>
      <w:tr w:rsidR="00203F6C" w:rsidRPr="00AB3200" w:rsidTr="00203F6C">
        <w:trPr>
          <w:trHeight w:val="146"/>
          <w:tblHeader/>
        </w:trPr>
        <w:tc>
          <w:tcPr>
            <w:tcW w:w="667" w:type="dxa"/>
            <w:vMerge/>
            <w:tcBorders>
              <w:left w:val="single" w:sz="4" w:space="0" w:color="auto"/>
              <w:bottom w:val="single" w:sz="4" w:space="0" w:color="auto"/>
              <w:right w:val="single" w:sz="4" w:space="0" w:color="auto"/>
            </w:tcBorders>
            <w:shd w:val="clear" w:color="auto" w:fill="auto"/>
            <w:noWrap/>
            <w:vAlign w:val="center"/>
            <w:hideMark/>
          </w:tcPr>
          <w:p w:rsidR="00203F6C" w:rsidRPr="00AB3200" w:rsidRDefault="00203F6C" w:rsidP="00203F6C">
            <w:pPr>
              <w:widowControl/>
              <w:spacing w:line="240" w:lineRule="exact"/>
              <w:jc w:val="center"/>
              <w:rPr>
                <w:rFonts w:ascii="標楷體" w:hAnsi="標楷體"/>
                <w:kern w:val="0"/>
                <w:sz w:val="20"/>
              </w:rPr>
            </w:pPr>
          </w:p>
        </w:tc>
        <w:tc>
          <w:tcPr>
            <w:tcW w:w="667" w:type="dxa"/>
            <w:tcBorders>
              <w:top w:val="nil"/>
              <w:left w:val="nil"/>
              <w:bottom w:val="single" w:sz="4" w:space="0" w:color="auto"/>
              <w:right w:val="single" w:sz="4" w:space="0" w:color="auto"/>
            </w:tcBorders>
            <w:shd w:val="clear" w:color="auto" w:fill="auto"/>
            <w:noWrap/>
            <w:vAlign w:val="center"/>
            <w:hideMark/>
          </w:tcPr>
          <w:p w:rsidR="00203F6C" w:rsidRPr="00AB3200" w:rsidRDefault="00203F6C" w:rsidP="00203F6C">
            <w:pPr>
              <w:widowControl/>
              <w:spacing w:line="240" w:lineRule="exact"/>
              <w:jc w:val="center"/>
              <w:rPr>
                <w:rFonts w:ascii="標楷體" w:hAnsi="標楷體"/>
                <w:kern w:val="0"/>
                <w:sz w:val="20"/>
              </w:rPr>
            </w:pPr>
            <w:r w:rsidRPr="00AB3200">
              <w:rPr>
                <w:rFonts w:ascii="標楷體" w:hAnsi="標楷體"/>
                <w:kern w:val="0"/>
                <w:sz w:val="20"/>
              </w:rPr>
              <w:t>15-19</w:t>
            </w:r>
          </w:p>
        </w:tc>
        <w:tc>
          <w:tcPr>
            <w:tcW w:w="667" w:type="dxa"/>
            <w:tcBorders>
              <w:top w:val="nil"/>
              <w:left w:val="nil"/>
              <w:bottom w:val="single" w:sz="4" w:space="0" w:color="auto"/>
              <w:right w:val="single" w:sz="4" w:space="0" w:color="auto"/>
            </w:tcBorders>
            <w:shd w:val="clear" w:color="auto" w:fill="auto"/>
            <w:noWrap/>
            <w:vAlign w:val="center"/>
            <w:hideMark/>
          </w:tcPr>
          <w:p w:rsidR="00203F6C" w:rsidRPr="00AB3200" w:rsidRDefault="00203F6C" w:rsidP="00203F6C">
            <w:pPr>
              <w:widowControl/>
              <w:spacing w:line="240" w:lineRule="exact"/>
              <w:jc w:val="center"/>
              <w:rPr>
                <w:rFonts w:ascii="標楷體" w:hAnsi="標楷體"/>
                <w:kern w:val="0"/>
                <w:sz w:val="20"/>
              </w:rPr>
            </w:pPr>
            <w:r w:rsidRPr="00AB3200">
              <w:rPr>
                <w:rFonts w:ascii="標楷體" w:hAnsi="標楷體"/>
                <w:kern w:val="0"/>
                <w:sz w:val="20"/>
              </w:rPr>
              <w:t>20-24</w:t>
            </w:r>
          </w:p>
        </w:tc>
        <w:tc>
          <w:tcPr>
            <w:tcW w:w="667" w:type="dxa"/>
            <w:tcBorders>
              <w:top w:val="nil"/>
              <w:left w:val="nil"/>
              <w:bottom w:val="single" w:sz="4" w:space="0" w:color="auto"/>
              <w:right w:val="single" w:sz="4" w:space="0" w:color="auto"/>
            </w:tcBorders>
            <w:shd w:val="clear" w:color="auto" w:fill="auto"/>
            <w:noWrap/>
            <w:vAlign w:val="center"/>
            <w:hideMark/>
          </w:tcPr>
          <w:p w:rsidR="00203F6C" w:rsidRPr="00AB3200" w:rsidRDefault="00203F6C" w:rsidP="00203F6C">
            <w:pPr>
              <w:widowControl/>
              <w:spacing w:line="240" w:lineRule="exact"/>
              <w:jc w:val="center"/>
              <w:rPr>
                <w:rFonts w:ascii="標楷體" w:hAnsi="標楷體"/>
                <w:kern w:val="0"/>
                <w:sz w:val="20"/>
              </w:rPr>
            </w:pPr>
            <w:r w:rsidRPr="00AB3200">
              <w:rPr>
                <w:rFonts w:ascii="標楷體" w:hAnsi="標楷體"/>
                <w:kern w:val="0"/>
                <w:sz w:val="20"/>
              </w:rPr>
              <w:t>25-29</w:t>
            </w:r>
          </w:p>
        </w:tc>
        <w:tc>
          <w:tcPr>
            <w:tcW w:w="607" w:type="dxa"/>
            <w:tcBorders>
              <w:top w:val="nil"/>
              <w:left w:val="nil"/>
              <w:bottom w:val="single" w:sz="4" w:space="0" w:color="auto"/>
              <w:right w:val="single" w:sz="4" w:space="0" w:color="auto"/>
            </w:tcBorders>
            <w:shd w:val="clear" w:color="auto" w:fill="auto"/>
            <w:noWrap/>
            <w:vAlign w:val="center"/>
            <w:hideMark/>
          </w:tcPr>
          <w:p w:rsidR="00203F6C" w:rsidRPr="00AB3200" w:rsidRDefault="00203F6C" w:rsidP="00203F6C">
            <w:pPr>
              <w:widowControl/>
              <w:spacing w:line="240" w:lineRule="exact"/>
              <w:jc w:val="center"/>
              <w:rPr>
                <w:rFonts w:ascii="標楷體" w:hAnsi="標楷體"/>
                <w:kern w:val="0"/>
                <w:sz w:val="20"/>
              </w:rPr>
            </w:pPr>
            <w:r w:rsidRPr="00AB3200">
              <w:rPr>
                <w:rFonts w:ascii="標楷體" w:hAnsi="標楷體"/>
                <w:kern w:val="0"/>
                <w:sz w:val="20"/>
              </w:rPr>
              <w:t>15-19</w:t>
            </w:r>
          </w:p>
        </w:tc>
        <w:tc>
          <w:tcPr>
            <w:tcW w:w="666" w:type="dxa"/>
            <w:tcBorders>
              <w:top w:val="nil"/>
              <w:left w:val="nil"/>
              <w:bottom w:val="single" w:sz="4" w:space="0" w:color="auto"/>
              <w:right w:val="single" w:sz="4" w:space="0" w:color="auto"/>
            </w:tcBorders>
            <w:shd w:val="clear" w:color="auto" w:fill="auto"/>
            <w:noWrap/>
            <w:vAlign w:val="center"/>
            <w:hideMark/>
          </w:tcPr>
          <w:p w:rsidR="00203F6C" w:rsidRPr="00AB3200" w:rsidRDefault="00203F6C" w:rsidP="00203F6C">
            <w:pPr>
              <w:widowControl/>
              <w:spacing w:line="240" w:lineRule="exact"/>
              <w:jc w:val="center"/>
              <w:rPr>
                <w:rFonts w:ascii="標楷體" w:hAnsi="標楷體"/>
                <w:kern w:val="0"/>
                <w:sz w:val="20"/>
              </w:rPr>
            </w:pPr>
            <w:r w:rsidRPr="00AB3200">
              <w:rPr>
                <w:rFonts w:ascii="標楷體" w:hAnsi="標楷體"/>
                <w:kern w:val="0"/>
                <w:sz w:val="20"/>
              </w:rPr>
              <w:t>20-24</w:t>
            </w:r>
          </w:p>
        </w:tc>
        <w:tc>
          <w:tcPr>
            <w:tcW w:w="607" w:type="dxa"/>
            <w:tcBorders>
              <w:top w:val="nil"/>
              <w:left w:val="nil"/>
              <w:bottom w:val="single" w:sz="4" w:space="0" w:color="auto"/>
              <w:right w:val="single" w:sz="4" w:space="0" w:color="auto"/>
            </w:tcBorders>
            <w:shd w:val="clear" w:color="auto" w:fill="auto"/>
            <w:noWrap/>
            <w:vAlign w:val="center"/>
            <w:hideMark/>
          </w:tcPr>
          <w:p w:rsidR="00203F6C" w:rsidRPr="00AB3200" w:rsidRDefault="00203F6C" w:rsidP="00203F6C">
            <w:pPr>
              <w:widowControl/>
              <w:spacing w:line="240" w:lineRule="exact"/>
              <w:jc w:val="center"/>
              <w:rPr>
                <w:rFonts w:ascii="標楷體" w:hAnsi="標楷體"/>
                <w:kern w:val="0"/>
                <w:sz w:val="20"/>
              </w:rPr>
            </w:pPr>
            <w:r w:rsidRPr="00AB3200">
              <w:rPr>
                <w:rFonts w:ascii="標楷體" w:hAnsi="標楷體"/>
                <w:kern w:val="0"/>
                <w:sz w:val="20"/>
              </w:rPr>
              <w:t>25-29</w:t>
            </w:r>
          </w:p>
        </w:tc>
        <w:tc>
          <w:tcPr>
            <w:tcW w:w="678" w:type="dxa"/>
            <w:tcBorders>
              <w:top w:val="nil"/>
              <w:left w:val="nil"/>
              <w:bottom w:val="single" w:sz="4" w:space="0" w:color="auto"/>
              <w:right w:val="single" w:sz="4" w:space="0" w:color="auto"/>
            </w:tcBorders>
            <w:shd w:val="clear" w:color="auto" w:fill="auto"/>
            <w:noWrap/>
            <w:vAlign w:val="center"/>
            <w:hideMark/>
          </w:tcPr>
          <w:p w:rsidR="00203F6C" w:rsidRPr="00AB3200" w:rsidRDefault="00203F6C" w:rsidP="00203F6C">
            <w:pPr>
              <w:widowControl/>
              <w:spacing w:line="240" w:lineRule="exact"/>
              <w:jc w:val="center"/>
              <w:rPr>
                <w:rFonts w:ascii="標楷體" w:hAnsi="標楷體"/>
                <w:kern w:val="0"/>
                <w:sz w:val="20"/>
              </w:rPr>
            </w:pPr>
            <w:r w:rsidRPr="00AB3200">
              <w:rPr>
                <w:rFonts w:ascii="標楷體" w:hAnsi="標楷體"/>
                <w:kern w:val="0"/>
                <w:sz w:val="20"/>
              </w:rPr>
              <w:t>15-19</w:t>
            </w:r>
          </w:p>
        </w:tc>
        <w:tc>
          <w:tcPr>
            <w:tcW w:w="745" w:type="dxa"/>
            <w:tcBorders>
              <w:top w:val="nil"/>
              <w:left w:val="nil"/>
              <w:bottom w:val="single" w:sz="4" w:space="0" w:color="auto"/>
              <w:right w:val="single" w:sz="4" w:space="0" w:color="auto"/>
            </w:tcBorders>
            <w:shd w:val="clear" w:color="auto" w:fill="auto"/>
            <w:noWrap/>
            <w:vAlign w:val="center"/>
            <w:hideMark/>
          </w:tcPr>
          <w:p w:rsidR="00203F6C" w:rsidRPr="00AB3200" w:rsidRDefault="00203F6C" w:rsidP="00203F6C">
            <w:pPr>
              <w:widowControl/>
              <w:spacing w:line="240" w:lineRule="exact"/>
              <w:jc w:val="center"/>
              <w:rPr>
                <w:rFonts w:ascii="標楷體" w:hAnsi="標楷體"/>
                <w:kern w:val="0"/>
                <w:sz w:val="20"/>
              </w:rPr>
            </w:pPr>
            <w:r w:rsidRPr="00AB3200">
              <w:rPr>
                <w:rFonts w:ascii="標楷體" w:hAnsi="標楷體"/>
                <w:kern w:val="0"/>
                <w:sz w:val="20"/>
              </w:rPr>
              <w:t>20-24</w:t>
            </w:r>
          </w:p>
        </w:tc>
        <w:tc>
          <w:tcPr>
            <w:tcW w:w="666" w:type="dxa"/>
            <w:tcBorders>
              <w:top w:val="nil"/>
              <w:left w:val="nil"/>
              <w:bottom w:val="single" w:sz="4" w:space="0" w:color="auto"/>
              <w:right w:val="single" w:sz="4" w:space="0" w:color="auto"/>
            </w:tcBorders>
            <w:shd w:val="clear" w:color="auto" w:fill="auto"/>
            <w:noWrap/>
            <w:vAlign w:val="center"/>
            <w:hideMark/>
          </w:tcPr>
          <w:p w:rsidR="00203F6C" w:rsidRPr="00AB3200" w:rsidRDefault="00203F6C" w:rsidP="00203F6C">
            <w:pPr>
              <w:widowControl/>
              <w:spacing w:line="240" w:lineRule="exact"/>
              <w:jc w:val="center"/>
              <w:rPr>
                <w:rFonts w:ascii="標楷體" w:hAnsi="標楷體"/>
                <w:kern w:val="0"/>
                <w:sz w:val="20"/>
              </w:rPr>
            </w:pPr>
            <w:r w:rsidRPr="00AB3200">
              <w:rPr>
                <w:rFonts w:ascii="標楷體" w:hAnsi="標楷體"/>
                <w:kern w:val="0"/>
                <w:sz w:val="20"/>
              </w:rPr>
              <w:t>25-29</w:t>
            </w:r>
          </w:p>
        </w:tc>
        <w:tc>
          <w:tcPr>
            <w:tcW w:w="994" w:type="dxa"/>
            <w:tcBorders>
              <w:top w:val="nil"/>
              <w:left w:val="nil"/>
              <w:bottom w:val="single" w:sz="4" w:space="0" w:color="auto"/>
              <w:right w:val="single" w:sz="4" w:space="0" w:color="auto"/>
            </w:tcBorders>
            <w:shd w:val="clear" w:color="auto" w:fill="auto"/>
            <w:noWrap/>
            <w:vAlign w:val="center"/>
            <w:hideMark/>
          </w:tcPr>
          <w:p w:rsidR="00203F6C" w:rsidRPr="00AB3200" w:rsidRDefault="00203F6C" w:rsidP="00203F6C">
            <w:pPr>
              <w:widowControl/>
              <w:spacing w:line="240" w:lineRule="exact"/>
              <w:jc w:val="center"/>
              <w:rPr>
                <w:rFonts w:ascii="標楷體" w:hAnsi="標楷體"/>
                <w:kern w:val="0"/>
                <w:sz w:val="20"/>
              </w:rPr>
            </w:pPr>
            <w:r w:rsidRPr="00AB3200">
              <w:rPr>
                <w:rFonts w:ascii="標楷體" w:hAnsi="標楷體"/>
                <w:kern w:val="0"/>
                <w:sz w:val="20"/>
              </w:rPr>
              <w:t>15-24</w:t>
            </w:r>
          </w:p>
        </w:tc>
        <w:tc>
          <w:tcPr>
            <w:tcW w:w="970" w:type="dxa"/>
            <w:tcBorders>
              <w:top w:val="nil"/>
              <w:left w:val="nil"/>
              <w:bottom w:val="single" w:sz="4" w:space="0" w:color="auto"/>
              <w:right w:val="single" w:sz="4" w:space="0" w:color="auto"/>
            </w:tcBorders>
            <w:shd w:val="clear" w:color="auto" w:fill="auto"/>
            <w:noWrap/>
            <w:vAlign w:val="center"/>
            <w:hideMark/>
          </w:tcPr>
          <w:p w:rsidR="00203F6C" w:rsidRPr="00AB3200" w:rsidRDefault="00203F6C" w:rsidP="00203F6C">
            <w:pPr>
              <w:widowControl/>
              <w:spacing w:line="240" w:lineRule="exact"/>
              <w:jc w:val="center"/>
              <w:rPr>
                <w:rFonts w:ascii="標楷體" w:hAnsi="標楷體"/>
                <w:kern w:val="0"/>
                <w:sz w:val="20"/>
              </w:rPr>
            </w:pPr>
            <w:r w:rsidRPr="00AB3200">
              <w:rPr>
                <w:rFonts w:ascii="標楷體" w:hAnsi="標楷體"/>
                <w:kern w:val="0"/>
                <w:sz w:val="20"/>
              </w:rPr>
              <w:t>&lt;25</w:t>
            </w:r>
          </w:p>
        </w:tc>
      </w:tr>
      <w:tr w:rsidR="00203F6C" w:rsidRPr="00AB3200" w:rsidTr="00203F6C">
        <w:trPr>
          <w:trHeight w:val="115"/>
        </w:trPr>
        <w:tc>
          <w:tcPr>
            <w:tcW w:w="667" w:type="dxa"/>
            <w:tcBorders>
              <w:top w:val="nil"/>
              <w:left w:val="single" w:sz="4" w:space="0" w:color="auto"/>
              <w:bottom w:val="single" w:sz="4" w:space="0" w:color="auto"/>
              <w:right w:val="single" w:sz="4" w:space="0" w:color="auto"/>
            </w:tcBorders>
            <w:shd w:val="clear" w:color="auto" w:fill="auto"/>
            <w:noWrap/>
            <w:vAlign w:val="center"/>
            <w:hideMark/>
          </w:tcPr>
          <w:p w:rsidR="00203F6C" w:rsidRPr="00AB3200" w:rsidRDefault="00203F6C" w:rsidP="00203F6C">
            <w:pPr>
              <w:widowControl/>
              <w:spacing w:line="240" w:lineRule="exact"/>
              <w:jc w:val="center"/>
              <w:rPr>
                <w:rFonts w:ascii="標楷體" w:hAnsi="標楷體"/>
                <w:kern w:val="0"/>
                <w:sz w:val="20"/>
              </w:rPr>
            </w:pPr>
            <w:r w:rsidRPr="00AB3200">
              <w:rPr>
                <w:rFonts w:ascii="標楷體" w:hAnsi="標楷體"/>
                <w:kern w:val="0"/>
                <w:sz w:val="20"/>
              </w:rPr>
              <w:t>97年</w:t>
            </w:r>
          </w:p>
        </w:tc>
        <w:tc>
          <w:tcPr>
            <w:tcW w:w="667" w:type="dxa"/>
            <w:tcBorders>
              <w:top w:val="nil"/>
              <w:left w:val="nil"/>
              <w:bottom w:val="single" w:sz="4" w:space="0" w:color="auto"/>
              <w:right w:val="single" w:sz="4" w:space="0" w:color="auto"/>
            </w:tcBorders>
            <w:shd w:val="clear" w:color="auto" w:fill="auto"/>
            <w:vAlign w:val="center"/>
            <w:hideMark/>
          </w:tcPr>
          <w:p w:rsidR="00203F6C" w:rsidRPr="00AB3200" w:rsidRDefault="00203F6C" w:rsidP="00203F6C">
            <w:pPr>
              <w:widowControl/>
              <w:spacing w:line="240" w:lineRule="exact"/>
              <w:jc w:val="center"/>
              <w:rPr>
                <w:rFonts w:ascii="標楷體" w:hAnsi="標楷體"/>
                <w:kern w:val="0"/>
                <w:sz w:val="20"/>
              </w:rPr>
            </w:pPr>
            <w:r w:rsidRPr="00AB3200">
              <w:rPr>
                <w:rFonts w:ascii="標楷體" w:hAnsi="標楷體"/>
                <w:kern w:val="0"/>
                <w:sz w:val="20"/>
              </w:rPr>
              <w:t>11.4</w:t>
            </w:r>
          </w:p>
        </w:tc>
        <w:tc>
          <w:tcPr>
            <w:tcW w:w="667" w:type="dxa"/>
            <w:tcBorders>
              <w:top w:val="nil"/>
              <w:left w:val="nil"/>
              <w:bottom w:val="single" w:sz="4" w:space="0" w:color="auto"/>
              <w:right w:val="single" w:sz="4" w:space="0" w:color="auto"/>
            </w:tcBorders>
            <w:shd w:val="clear" w:color="auto" w:fill="auto"/>
            <w:vAlign w:val="center"/>
            <w:hideMark/>
          </w:tcPr>
          <w:p w:rsidR="00203F6C" w:rsidRPr="00AB3200" w:rsidRDefault="00203F6C" w:rsidP="00203F6C">
            <w:pPr>
              <w:widowControl/>
              <w:spacing w:line="240" w:lineRule="exact"/>
              <w:jc w:val="center"/>
              <w:rPr>
                <w:rFonts w:ascii="標楷體" w:hAnsi="標楷體"/>
                <w:kern w:val="0"/>
                <w:sz w:val="20"/>
              </w:rPr>
            </w:pPr>
            <w:r w:rsidRPr="00AB3200">
              <w:rPr>
                <w:rFonts w:ascii="標楷體" w:hAnsi="標楷體"/>
                <w:kern w:val="0"/>
                <w:sz w:val="20"/>
              </w:rPr>
              <w:t>11.9</w:t>
            </w:r>
          </w:p>
        </w:tc>
        <w:tc>
          <w:tcPr>
            <w:tcW w:w="667" w:type="dxa"/>
            <w:tcBorders>
              <w:top w:val="nil"/>
              <w:left w:val="nil"/>
              <w:bottom w:val="single" w:sz="4" w:space="0" w:color="auto"/>
              <w:right w:val="single" w:sz="4" w:space="0" w:color="auto"/>
            </w:tcBorders>
            <w:shd w:val="clear" w:color="auto" w:fill="auto"/>
            <w:vAlign w:val="center"/>
            <w:hideMark/>
          </w:tcPr>
          <w:p w:rsidR="00203F6C" w:rsidRPr="00AB3200" w:rsidRDefault="00203F6C" w:rsidP="00203F6C">
            <w:pPr>
              <w:widowControl/>
              <w:spacing w:line="240" w:lineRule="exact"/>
              <w:jc w:val="center"/>
              <w:rPr>
                <w:rFonts w:ascii="標楷體" w:hAnsi="標楷體"/>
                <w:kern w:val="0"/>
                <w:sz w:val="20"/>
              </w:rPr>
            </w:pPr>
            <w:r w:rsidRPr="00AB3200">
              <w:rPr>
                <w:rFonts w:ascii="標楷體" w:hAnsi="標楷體"/>
                <w:kern w:val="0"/>
                <w:sz w:val="20"/>
              </w:rPr>
              <w:t>6.4</w:t>
            </w:r>
          </w:p>
        </w:tc>
        <w:tc>
          <w:tcPr>
            <w:tcW w:w="607" w:type="dxa"/>
            <w:tcBorders>
              <w:top w:val="nil"/>
              <w:left w:val="nil"/>
              <w:bottom w:val="single" w:sz="4" w:space="0" w:color="auto"/>
              <w:right w:val="single" w:sz="4" w:space="0" w:color="auto"/>
            </w:tcBorders>
            <w:shd w:val="clear" w:color="auto" w:fill="auto"/>
            <w:vAlign w:val="center"/>
            <w:hideMark/>
          </w:tcPr>
          <w:p w:rsidR="00203F6C" w:rsidRPr="00AB3200" w:rsidRDefault="00203F6C" w:rsidP="00203F6C">
            <w:pPr>
              <w:widowControl/>
              <w:spacing w:line="240" w:lineRule="exact"/>
              <w:jc w:val="center"/>
              <w:rPr>
                <w:rFonts w:ascii="標楷體" w:hAnsi="標楷體"/>
                <w:kern w:val="0"/>
                <w:sz w:val="20"/>
              </w:rPr>
            </w:pPr>
            <w:r w:rsidRPr="00AB3200">
              <w:rPr>
                <w:rFonts w:ascii="標楷體" w:hAnsi="標楷體"/>
                <w:kern w:val="0"/>
                <w:sz w:val="20"/>
              </w:rPr>
              <w:t>8</w:t>
            </w:r>
          </w:p>
        </w:tc>
        <w:tc>
          <w:tcPr>
            <w:tcW w:w="666" w:type="dxa"/>
            <w:tcBorders>
              <w:top w:val="nil"/>
              <w:left w:val="nil"/>
              <w:bottom w:val="single" w:sz="4" w:space="0" w:color="auto"/>
              <w:right w:val="single" w:sz="4" w:space="0" w:color="auto"/>
            </w:tcBorders>
            <w:shd w:val="clear" w:color="auto" w:fill="auto"/>
            <w:vAlign w:val="center"/>
            <w:hideMark/>
          </w:tcPr>
          <w:p w:rsidR="00203F6C" w:rsidRPr="00AB3200" w:rsidRDefault="00203F6C" w:rsidP="00203F6C">
            <w:pPr>
              <w:widowControl/>
              <w:spacing w:line="240" w:lineRule="exact"/>
              <w:jc w:val="center"/>
              <w:rPr>
                <w:rFonts w:ascii="標楷體" w:hAnsi="標楷體"/>
                <w:kern w:val="0"/>
                <w:sz w:val="20"/>
              </w:rPr>
            </w:pPr>
            <w:r w:rsidRPr="00AB3200">
              <w:rPr>
                <w:rFonts w:ascii="標楷體" w:hAnsi="標楷體"/>
                <w:kern w:val="0"/>
                <w:sz w:val="20"/>
              </w:rPr>
              <w:t>7.1</w:t>
            </w:r>
          </w:p>
        </w:tc>
        <w:tc>
          <w:tcPr>
            <w:tcW w:w="607" w:type="dxa"/>
            <w:tcBorders>
              <w:top w:val="nil"/>
              <w:left w:val="nil"/>
              <w:bottom w:val="single" w:sz="4" w:space="0" w:color="auto"/>
              <w:right w:val="single" w:sz="4" w:space="0" w:color="auto"/>
            </w:tcBorders>
            <w:shd w:val="clear" w:color="auto" w:fill="auto"/>
            <w:vAlign w:val="center"/>
            <w:hideMark/>
          </w:tcPr>
          <w:p w:rsidR="00203F6C" w:rsidRPr="00AB3200" w:rsidRDefault="00203F6C" w:rsidP="00203F6C">
            <w:pPr>
              <w:widowControl/>
              <w:spacing w:line="240" w:lineRule="exact"/>
              <w:jc w:val="center"/>
              <w:rPr>
                <w:rFonts w:ascii="標楷體" w:hAnsi="標楷體"/>
                <w:kern w:val="0"/>
                <w:sz w:val="20"/>
              </w:rPr>
            </w:pPr>
            <w:r w:rsidRPr="00AB3200">
              <w:rPr>
                <w:rFonts w:ascii="標楷體" w:hAnsi="標楷體"/>
                <w:kern w:val="0"/>
                <w:sz w:val="20"/>
              </w:rPr>
              <w:t>6</w:t>
            </w:r>
          </w:p>
        </w:tc>
        <w:tc>
          <w:tcPr>
            <w:tcW w:w="678" w:type="dxa"/>
            <w:tcBorders>
              <w:top w:val="nil"/>
              <w:left w:val="nil"/>
              <w:bottom w:val="single" w:sz="4" w:space="0" w:color="auto"/>
              <w:right w:val="single" w:sz="4" w:space="0" w:color="auto"/>
            </w:tcBorders>
            <w:shd w:val="clear" w:color="auto" w:fill="auto"/>
            <w:vAlign w:val="center"/>
            <w:hideMark/>
          </w:tcPr>
          <w:p w:rsidR="00203F6C" w:rsidRPr="00AB3200" w:rsidRDefault="00203F6C" w:rsidP="00203F6C">
            <w:pPr>
              <w:widowControl/>
              <w:spacing w:line="240" w:lineRule="exact"/>
              <w:jc w:val="center"/>
              <w:rPr>
                <w:rFonts w:ascii="標楷體" w:hAnsi="標楷體"/>
                <w:kern w:val="0"/>
                <w:sz w:val="20"/>
              </w:rPr>
            </w:pPr>
            <w:r w:rsidRPr="00AB3200">
              <w:rPr>
                <w:rFonts w:ascii="標楷體" w:hAnsi="標楷體"/>
                <w:kern w:val="0"/>
                <w:sz w:val="20"/>
              </w:rPr>
              <w:t>10.2</w:t>
            </w:r>
          </w:p>
        </w:tc>
        <w:tc>
          <w:tcPr>
            <w:tcW w:w="745" w:type="dxa"/>
            <w:tcBorders>
              <w:top w:val="nil"/>
              <w:left w:val="nil"/>
              <w:bottom w:val="single" w:sz="4" w:space="0" w:color="auto"/>
              <w:right w:val="single" w:sz="4" w:space="0" w:color="auto"/>
            </w:tcBorders>
            <w:shd w:val="clear" w:color="auto" w:fill="auto"/>
            <w:vAlign w:val="center"/>
            <w:hideMark/>
          </w:tcPr>
          <w:p w:rsidR="00203F6C" w:rsidRPr="00AB3200" w:rsidRDefault="00203F6C" w:rsidP="00203F6C">
            <w:pPr>
              <w:widowControl/>
              <w:spacing w:line="240" w:lineRule="exact"/>
              <w:jc w:val="center"/>
              <w:rPr>
                <w:rFonts w:ascii="標楷體" w:hAnsi="標楷體"/>
                <w:kern w:val="0"/>
                <w:sz w:val="20"/>
              </w:rPr>
            </w:pPr>
            <w:r w:rsidRPr="00AB3200">
              <w:rPr>
                <w:rFonts w:ascii="標楷體" w:hAnsi="標楷體"/>
                <w:kern w:val="0"/>
                <w:sz w:val="20"/>
              </w:rPr>
              <w:t>9.2</w:t>
            </w:r>
          </w:p>
        </w:tc>
        <w:tc>
          <w:tcPr>
            <w:tcW w:w="666" w:type="dxa"/>
            <w:tcBorders>
              <w:top w:val="nil"/>
              <w:left w:val="nil"/>
              <w:bottom w:val="single" w:sz="4" w:space="0" w:color="auto"/>
              <w:right w:val="single" w:sz="4" w:space="0" w:color="auto"/>
            </w:tcBorders>
            <w:shd w:val="clear" w:color="auto" w:fill="auto"/>
            <w:vAlign w:val="center"/>
            <w:hideMark/>
          </w:tcPr>
          <w:p w:rsidR="00203F6C" w:rsidRPr="00AB3200" w:rsidRDefault="00203F6C" w:rsidP="00203F6C">
            <w:pPr>
              <w:widowControl/>
              <w:spacing w:line="240" w:lineRule="exact"/>
              <w:jc w:val="center"/>
              <w:rPr>
                <w:rFonts w:ascii="標楷體" w:hAnsi="標楷體"/>
                <w:kern w:val="0"/>
                <w:sz w:val="20"/>
              </w:rPr>
            </w:pPr>
            <w:r w:rsidRPr="00AB3200">
              <w:rPr>
                <w:rFonts w:ascii="標楷體" w:hAnsi="標楷體"/>
                <w:kern w:val="0"/>
                <w:sz w:val="20"/>
              </w:rPr>
              <w:t>6</w:t>
            </w:r>
          </w:p>
        </w:tc>
        <w:tc>
          <w:tcPr>
            <w:tcW w:w="994" w:type="dxa"/>
            <w:tcBorders>
              <w:top w:val="nil"/>
              <w:left w:val="nil"/>
              <w:bottom w:val="single" w:sz="4" w:space="0" w:color="auto"/>
              <w:right w:val="single" w:sz="4" w:space="0" w:color="auto"/>
            </w:tcBorders>
            <w:shd w:val="clear" w:color="auto" w:fill="auto"/>
            <w:vAlign w:val="center"/>
            <w:hideMark/>
          </w:tcPr>
          <w:p w:rsidR="00203F6C" w:rsidRPr="00AB3200" w:rsidRDefault="00203F6C" w:rsidP="00203F6C">
            <w:pPr>
              <w:widowControl/>
              <w:spacing w:line="240" w:lineRule="exact"/>
              <w:jc w:val="center"/>
              <w:rPr>
                <w:rFonts w:ascii="標楷體" w:hAnsi="標楷體"/>
                <w:kern w:val="0"/>
                <w:sz w:val="20"/>
              </w:rPr>
            </w:pPr>
            <w:r w:rsidRPr="00AB3200">
              <w:rPr>
                <w:rFonts w:ascii="標楷體" w:hAnsi="標楷體"/>
                <w:kern w:val="0"/>
                <w:sz w:val="20"/>
              </w:rPr>
              <w:t xml:space="preserve">12.7 </w:t>
            </w:r>
          </w:p>
        </w:tc>
        <w:tc>
          <w:tcPr>
            <w:tcW w:w="970" w:type="dxa"/>
            <w:tcBorders>
              <w:top w:val="nil"/>
              <w:left w:val="nil"/>
              <w:bottom w:val="single" w:sz="4" w:space="0" w:color="auto"/>
              <w:right w:val="single" w:sz="4" w:space="0" w:color="auto"/>
            </w:tcBorders>
            <w:shd w:val="clear" w:color="auto" w:fill="auto"/>
            <w:noWrap/>
            <w:vAlign w:val="center"/>
            <w:hideMark/>
          </w:tcPr>
          <w:p w:rsidR="00203F6C" w:rsidRPr="00AB3200" w:rsidRDefault="00203F6C" w:rsidP="00203F6C">
            <w:pPr>
              <w:widowControl/>
              <w:spacing w:line="240" w:lineRule="exact"/>
              <w:jc w:val="center"/>
              <w:rPr>
                <w:rFonts w:ascii="標楷體" w:hAnsi="標楷體"/>
                <w:kern w:val="0"/>
                <w:sz w:val="20"/>
              </w:rPr>
            </w:pPr>
            <w:r w:rsidRPr="00AB3200">
              <w:rPr>
                <w:rFonts w:ascii="標楷體" w:hAnsi="標楷體"/>
                <w:kern w:val="0"/>
                <w:sz w:val="20"/>
              </w:rPr>
              <w:t xml:space="preserve">　N/A</w:t>
            </w:r>
          </w:p>
        </w:tc>
      </w:tr>
      <w:tr w:rsidR="00203F6C" w:rsidRPr="00AB3200" w:rsidTr="00203F6C">
        <w:trPr>
          <w:trHeight w:val="158"/>
        </w:trPr>
        <w:tc>
          <w:tcPr>
            <w:tcW w:w="667" w:type="dxa"/>
            <w:tcBorders>
              <w:top w:val="nil"/>
              <w:left w:val="single" w:sz="4" w:space="0" w:color="auto"/>
              <w:bottom w:val="single" w:sz="4" w:space="0" w:color="auto"/>
              <w:right w:val="single" w:sz="4" w:space="0" w:color="auto"/>
            </w:tcBorders>
            <w:shd w:val="clear" w:color="auto" w:fill="auto"/>
            <w:noWrap/>
            <w:hideMark/>
          </w:tcPr>
          <w:p w:rsidR="00203F6C" w:rsidRPr="00AB3200" w:rsidRDefault="00203F6C" w:rsidP="00203F6C">
            <w:pPr>
              <w:spacing w:line="240" w:lineRule="exact"/>
              <w:jc w:val="center"/>
              <w:rPr>
                <w:rFonts w:ascii="標楷體" w:hAnsi="標楷體"/>
                <w:sz w:val="20"/>
              </w:rPr>
            </w:pPr>
            <w:r w:rsidRPr="00AB3200">
              <w:rPr>
                <w:rFonts w:ascii="標楷體" w:hAnsi="標楷體"/>
                <w:kern w:val="0"/>
                <w:sz w:val="20"/>
              </w:rPr>
              <w:t>98年</w:t>
            </w:r>
          </w:p>
        </w:tc>
        <w:tc>
          <w:tcPr>
            <w:tcW w:w="667" w:type="dxa"/>
            <w:tcBorders>
              <w:top w:val="nil"/>
              <w:left w:val="nil"/>
              <w:bottom w:val="single" w:sz="4" w:space="0" w:color="auto"/>
              <w:right w:val="single" w:sz="4" w:space="0" w:color="auto"/>
            </w:tcBorders>
            <w:shd w:val="clear" w:color="auto" w:fill="auto"/>
            <w:vAlign w:val="center"/>
            <w:hideMark/>
          </w:tcPr>
          <w:p w:rsidR="00203F6C" w:rsidRPr="00AB3200" w:rsidRDefault="00203F6C" w:rsidP="00203F6C">
            <w:pPr>
              <w:widowControl/>
              <w:spacing w:line="240" w:lineRule="exact"/>
              <w:jc w:val="center"/>
              <w:rPr>
                <w:rFonts w:ascii="標楷體" w:hAnsi="標楷體"/>
                <w:kern w:val="0"/>
                <w:sz w:val="20"/>
              </w:rPr>
            </w:pPr>
            <w:r w:rsidRPr="00AB3200">
              <w:rPr>
                <w:rFonts w:ascii="標楷體" w:hAnsi="標楷體"/>
                <w:kern w:val="0"/>
                <w:sz w:val="20"/>
              </w:rPr>
              <w:t>13.6</w:t>
            </w:r>
          </w:p>
        </w:tc>
        <w:tc>
          <w:tcPr>
            <w:tcW w:w="667" w:type="dxa"/>
            <w:tcBorders>
              <w:top w:val="nil"/>
              <w:left w:val="nil"/>
              <w:bottom w:val="single" w:sz="4" w:space="0" w:color="auto"/>
              <w:right w:val="single" w:sz="4" w:space="0" w:color="auto"/>
            </w:tcBorders>
            <w:shd w:val="clear" w:color="auto" w:fill="auto"/>
            <w:vAlign w:val="center"/>
            <w:hideMark/>
          </w:tcPr>
          <w:p w:rsidR="00203F6C" w:rsidRPr="00AB3200" w:rsidRDefault="00203F6C" w:rsidP="00203F6C">
            <w:pPr>
              <w:widowControl/>
              <w:spacing w:line="240" w:lineRule="exact"/>
              <w:jc w:val="center"/>
              <w:rPr>
                <w:rFonts w:ascii="標楷體" w:hAnsi="標楷體"/>
                <w:kern w:val="0"/>
                <w:sz w:val="20"/>
              </w:rPr>
            </w:pPr>
            <w:r w:rsidRPr="00AB3200">
              <w:rPr>
                <w:rFonts w:ascii="標楷體" w:hAnsi="標楷體"/>
                <w:kern w:val="0"/>
                <w:sz w:val="20"/>
              </w:rPr>
              <w:t>14.7</w:t>
            </w:r>
          </w:p>
        </w:tc>
        <w:tc>
          <w:tcPr>
            <w:tcW w:w="667" w:type="dxa"/>
            <w:tcBorders>
              <w:top w:val="nil"/>
              <w:left w:val="nil"/>
              <w:bottom w:val="single" w:sz="4" w:space="0" w:color="auto"/>
              <w:right w:val="single" w:sz="4" w:space="0" w:color="auto"/>
            </w:tcBorders>
            <w:shd w:val="clear" w:color="auto" w:fill="auto"/>
            <w:vAlign w:val="center"/>
            <w:hideMark/>
          </w:tcPr>
          <w:p w:rsidR="00203F6C" w:rsidRPr="00AB3200" w:rsidRDefault="00203F6C" w:rsidP="00203F6C">
            <w:pPr>
              <w:widowControl/>
              <w:spacing w:line="240" w:lineRule="exact"/>
              <w:jc w:val="center"/>
              <w:rPr>
                <w:rFonts w:ascii="標楷體" w:hAnsi="標楷體"/>
                <w:kern w:val="0"/>
                <w:sz w:val="20"/>
              </w:rPr>
            </w:pPr>
            <w:r w:rsidRPr="00AB3200">
              <w:rPr>
                <w:rFonts w:ascii="標楷體" w:hAnsi="標楷體"/>
                <w:kern w:val="0"/>
                <w:sz w:val="20"/>
              </w:rPr>
              <w:t>8.8</w:t>
            </w:r>
          </w:p>
        </w:tc>
        <w:tc>
          <w:tcPr>
            <w:tcW w:w="607" w:type="dxa"/>
            <w:tcBorders>
              <w:top w:val="nil"/>
              <w:left w:val="nil"/>
              <w:bottom w:val="single" w:sz="4" w:space="0" w:color="auto"/>
              <w:right w:val="single" w:sz="4" w:space="0" w:color="auto"/>
            </w:tcBorders>
            <w:shd w:val="clear" w:color="auto" w:fill="auto"/>
            <w:vAlign w:val="center"/>
            <w:hideMark/>
          </w:tcPr>
          <w:p w:rsidR="00203F6C" w:rsidRPr="00AB3200" w:rsidRDefault="00203F6C" w:rsidP="00203F6C">
            <w:pPr>
              <w:widowControl/>
              <w:spacing w:line="240" w:lineRule="exact"/>
              <w:jc w:val="center"/>
              <w:rPr>
                <w:rFonts w:ascii="標楷體" w:hAnsi="標楷體"/>
                <w:kern w:val="0"/>
                <w:sz w:val="20"/>
              </w:rPr>
            </w:pPr>
            <w:r w:rsidRPr="00AB3200">
              <w:rPr>
                <w:rFonts w:ascii="標楷體" w:hAnsi="標楷體"/>
                <w:kern w:val="0"/>
                <w:sz w:val="20"/>
              </w:rPr>
              <w:t>9.6</w:t>
            </w:r>
          </w:p>
        </w:tc>
        <w:tc>
          <w:tcPr>
            <w:tcW w:w="666" w:type="dxa"/>
            <w:tcBorders>
              <w:top w:val="nil"/>
              <w:left w:val="nil"/>
              <w:bottom w:val="single" w:sz="4" w:space="0" w:color="auto"/>
              <w:right w:val="single" w:sz="4" w:space="0" w:color="auto"/>
            </w:tcBorders>
            <w:shd w:val="clear" w:color="auto" w:fill="auto"/>
            <w:vAlign w:val="center"/>
            <w:hideMark/>
          </w:tcPr>
          <w:p w:rsidR="00203F6C" w:rsidRPr="00AB3200" w:rsidRDefault="00203F6C" w:rsidP="00203F6C">
            <w:pPr>
              <w:widowControl/>
              <w:spacing w:line="240" w:lineRule="exact"/>
              <w:jc w:val="center"/>
              <w:rPr>
                <w:rFonts w:ascii="標楷體" w:hAnsi="標楷體"/>
                <w:kern w:val="0"/>
                <w:sz w:val="20"/>
              </w:rPr>
            </w:pPr>
            <w:r w:rsidRPr="00AB3200">
              <w:rPr>
                <w:rFonts w:ascii="標楷體" w:hAnsi="標楷體"/>
                <w:kern w:val="0"/>
                <w:sz w:val="20"/>
              </w:rPr>
              <w:t>9</w:t>
            </w:r>
          </w:p>
        </w:tc>
        <w:tc>
          <w:tcPr>
            <w:tcW w:w="607" w:type="dxa"/>
            <w:tcBorders>
              <w:top w:val="nil"/>
              <w:left w:val="nil"/>
              <w:bottom w:val="single" w:sz="4" w:space="0" w:color="auto"/>
              <w:right w:val="single" w:sz="4" w:space="0" w:color="auto"/>
            </w:tcBorders>
            <w:shd w:val="clear" w:color="auto" w:fill="auto"/>
            <w:vAlign w:val="center"/>
            <w:hideMark/>
          </w:tcPr>
          <w:p w:rsidR="00203F6C" w:rsidRPr="00AB3200" w:rsidRDefault="00203F6C" w:rsidP="00203F6C">
            <w:pPr>
              <w:widowControl/>
              <w:spacing w:line="240" w:lineRule="exact"/>
              <w:jc w:val="center"/>
              <w:rPr>
                <w:rFonts w:ascii="標楷體" w:hAnsi="標楷體"/>
                <w:kern w:val="0"/>
                <w:sz w:val="20"/>
              </w:rPr>
            </w:pPr>
            <w:r w:rsidRPr="00AB3200">
              <w:rPr>
                <w:rFonts w:ascii="標楷體" w:hAnsi="標楷體"/>
                <w:kern w:val="0"/>
                <w:sz w:val="20"/>
              </w:rPr>
              <w:t>7.1</w:t>
            </w:r>
          </w:p>
        </w:tc>
        <w:tc>
          <w:tcPr>
            <w:tcW w:w="678" w:type="dxa"/>
            <w:tcBorders>
              <w:top w:val="nil"/>
              <w:left w:val="nil"/>
              <w:bottom w:val="single" w:sz="4" w:space="0" w:color="auto"/>
              <w:right w:val="single" w:sz="4" w:space="0" w:color="auto"/>
            </w:tcBorders>
            <w:shd w:val="clear" w:color="auto" w:fill="auto"/>
            <w:vAlign w:val="center"/>
            <w:hideMark/>
          </w:tcPr>
          <w:p w:rsidR="00203F6C" w:rsidRPr="00AB3200" w:rsidRDefault="00203F6C" w:rsidP="00203F6C">
            <w:pPr>
              <w:widowControl/>
              <w:spacing w:line="240" w:lineRule="exact"/>
              <w:jc w:val="center"/>
              <w:rPr>
                <w:rFonts w:ascii="標楷體" w:hAnsi="標楷體"/>
                <w:kern w:val="0"/>
                <w:sz w:val="20"/>
              </w:rPr>
            </w:pPr>
            <w:r w:rsidRPr="00AB3200">
              <w:rPr>
                <w:rFonts w:ascii="標楷體" w:hAnsi="標楷體"/>
                <w:kern w:val="0"/>
                <w:sz w:val="20"/>
              </w:rPr>
              <w:t>12.2</w:t>
            </w:r>
          </w:p>
        </w:tc>
        <w:tc>
          <w:tcPr>
            <w:tcW w:w="745" w:type="dxa"/>
            <w:tcBorders>
              <w:top w:val="nil"/>
              <w:left w:val="nil"/>
              <w:bottom w:val="single" w:sz="4" w:space="0" w:color="auto"/>
              <w:right w:val="single" w:sz="4" w:space="0" w:color="auto"/>
            </w:tcBorders>
            <w:shd w:val="clear" w:color="auto" w:fill="auto"/>
            <w:vAlign w:val="center"/>
            <w:hideMark/>
          </w:tcPr>
          <w:p w:rsidR="00203F6C" w:rsidRPr="00AB3200" w:rsidRDefault="00203F6C" w:rsidP="00203F6C">
            <w:pPr>
              <w:widowControl/>
              <w:spacing w:line="240" w:lineRule="exact"/>
              <w:jc w:val="center"/>
              <w:rPr>
                <w:rFonts w:ascii="標楷體" w:hAnsi="標楷體"/>
                <w:kern w:val="0"/>
                <w:sz w:val="20"/>
              </w:rPr>
            </w:pPr>
            <w:r w:rsidRPr="00AB3200">
              <w:rPr>
                <w:rFonts w:ascii="標楷體" w:hAnsi="標楷體"/>
                <w:kern w:val="0"/>
                <w:sz w:val="20"/>
              </w:rPr>
              <w:t>9.5</w:t>
            </w:r>
          </w:p>
        </w:tc>
        <w:tc>
          <w:tcPr>
            <w:tcW w:w="666" w:type="dxa"/>
            <w:tcBorders>
              <w:top w:val="nil"/>
              <w:left w:val="nil"/>
              <w:bottom w:val="single" w:sz="4" w:space="0" w:color="auto"/>
              <w:right w:val="single" w:sz="4" w:space="0" w:color="auto"/>
            </w:tcBorders>
            <w:shd w:val="clear" w:color="auto" w:fill="auto"/>
            <w:vAlign w:val="center"/>
            <w:hideMark/>
          </w:tcPr>
          <w:p w:rsidR="00203F6C" w:rsidRPr="00AB3200" w:rsidRDefault="00203F6C" w:rsidP="00203F6C">
            <w:pPr>
              <w:widowControl/>
              <w:spacing w:line="240" w:lineRule="exact"/>
              <w:jc w:val="center"/>
              <w:rPr>
                <w:rFonts w:ascii="標楷體" w:hAnsi="標楷體"/>
                <w:kern w:val="0"/>
                <w:sz w:val="20"/>
              </w:rPr>
            </w:pPr>
            <w:r w:rsidRPr="00AB3200">
              <w:rPr>
                <w:rFonts w:ascii="標楷體" w:hAnsi="標楷體"/>
                <w:kern w:val="0"/>
                <w:sz w:val="20"/>
              </w:rPr>
              <w:t>7.1</w:t>
            </w:r>
          </w:p>
        </w:tc>
        <w:tc>
          <w:tcPr>
            <w:tcW w:w="994" w:type="dxa"/>
            <w:tcBorders>
              <w:top w:val="nil"/>
              <w:left w:val="nil"/>
              <w:bottom w:val="single" w:sz="4" w:space="0" w:color="auto"/>
              <w:right w:val="single" w:sz="4" w:space="0" w:color="auto"/>
            </w:tcBorders>
            <w:shd w:val="clear" w:color="auto" w:fill="auto"/>
            <w:vAlign w:val="center"/>
            <w:hideMark/>
          </w:tcPr>
          <w:p w:rsidR="00203F6C" w:rsidRPr="00AB3200" w:rsidRDefault="00203F6C" w:rsidP="00203F6C">
            <w:pPr>
              <w:widowControl/>
              <w:spacing w:line="240" w:lineRule="exact"/>
              <w:jc w:val="center"/>
              <w:rPr>
                <w:rFonts w:ascii="標楷體" w:hAnsi="標楷體"/>
                <w:kern w:val="0"/>
                <w:sz w:val="20"/>
              </w:rPr>
            </w:pPr>
            <w:r w:rsidRPr="00AB3200">
              <w:rPr>
                <w:rFonts w:ascii="標楷體" w:hAnsi="標楷體"/>
                <w:kern w:val="0"/>
                <w:sz w:val="20"/>
              </w:rPr>
              <w:t xml:space="preserve">16.7 </w:t>
            </w:r>
          </w:p>
        </w:tc>
        <w:tc>
          <w:tcPr>
            <w:tcW w:w="970" w:type="dxa"/>
            <w:tcBorders>
              <w:top w:val="nil"/>
              <w:left w:val="nil"/>
              <w:bottom w:val="single" w:sz="4" w:space="0" w:color="auto"/>
              <w:right w:val="single" w:sz="4" w:space="0" w:color="auto"/>
            </w:tcBorders>
            <w:shd w:val="clear" w:color="auto" w:fill="auto"/>
            <w:noWrap/>
            <w:vAlign w:val="center"/>
            <w:hideMark/>
          </w:tcPr>
          <w:p w:rsidR="00203F6C" w:rsidRPr="00AB3200" w:rsidRDefault="00203F6C" w:rsidP="00203F6C">
            <w:pPr>
              <w:widowControl/>
              <w:spacing w:line="240" w:lineRule="exact"/>
              <w:jc w:val="center"/>
              <w:rPr>
                <w:rFonts w:ascii="標楷體" w:hAnsi="標楷體"/>
                <w:kern w:val="0"/>
                <w:sz w:val="20"/>
              </w:rPr>
            </w:pPr>
            <w:r w:rsidRPr="00AB3200">
              <w:rPr>
                <w:rFonts w:ascii="標楷體" w:hAnsi="標楷體"/>
                <w:kern w:val="0"/>
                <w:sz w:val="20"/>
              </w:rPr>
              <w:t xml:space="preserve">　N/A</w:t>
            </w:r>
          </w:p>
        </w:tc>
      </w:tr>
      <w:tr w:rsidR="00203F6C" w:rsidRPr="00AB3200" w:rsidTr="00203F6C">
        <w:trPr>
          <w:trHeight w:val="174"/>
        </w:trPr>
        <w:tc>
          <w:tcPr>
            <w:tcW w:w="667" w:type="dxa"/>
            <w:tcBorders>
              <w:top w:val="nil"/>
              <w:left w:val="single" w:sz="4" w:space="0" w:color="auto"/>
              <w:bottom w:val="single" w:sz="4" w:space="0" w:color="auto"/>
              <w:right w:val="single" w:sz="4" w:space="0" w:color="auto"/>
            </w:tcBorders>
            <w:shd w:val="clear" w:color="auto" w:fill="auto"/>
            <w:noWrap/>
            <w:hideMark/>
          </w:tcPr>
          <w:p w:rsidR="00203F6C" w:rsidRPr="00AB3200" w:rsidRDefault="00203F6C" w:rsidP="00203F6C">
            <w:pPr>
              <w:spacing w:line="240" w:lineRule="exact"/>
              <w:jc w:val="center"/>
              <w:rPr>
                <w:rFonts w:ascii="標楷體" w:hAnsi="標楷體"/>
                <w:sz w:val="20"/>
              </w:rPr>
            </w:pPr>
            <w:r w:rsidRPr="00AB3200">
              <w:rPr>
                <w:rFonts w:ascii="標楷體" w:hAnsi="標楷體"/>
                <w:kern w:val="0"/>
                <w:sz w:val="20"/>
              </w:rPr>
              <w:t>99年</w:t>
            </w:r>
          </w:p>
        </w:tc>
        <w:tc>
          <w:tcPr>
            <w:tcW w:w="667" w:type="dxa"/>
            <w:tcBorders>
              <w:top w:val="nil"/>
              <w:left w:val="nil"/>
              <w:bottom w:val="single" w:sz="4" w:space="0" w:color="auto"/>
              <w:right w:val="single" w:sz="4" w:space="0" w:color="auto"/>
            </w:tcBorders>
            <w:shd w:val="clear" w:color="auto" w:fill="auto"/>
            <w:vAlign w:val="center"/>
            <w:hideMark/>
          </w:tcPr>
          <w:p w:rsidR="00203F6C" w:rsidRPr="00AB3200" w:rsidRDefault="00203F6C" w:rsidP="00203F6C">
            <w:pPr>
              <w:widowControl/>
              <w:spacing w:line="240" w:lineRule="exact"/>
              <w:jc w:val="center"/>
              <w:rPr>
                <w:rFonts w:ascii="標楷體" w:hAnsi="標楷體"/>
                <w:kern w:val="0"/>
                <w:sz w:val="20"/>
              </w:rPr>
            </w:pPr>
            <w:r w:rsidRPr="00AB3200">
              <w:rPr>
                <w:rFonts w:ascii="標楷體" w:hAnsi="標楷體"/>
                <w:kern w:val="0"/>
                <w:sz w:val="20"/>
              </w:rPr>
              <w:t>10.9</w:t>
            </w:r>
          </w:p>
        </w:tc>
        <w:tc>
          <w:tcPr>
            <w:tcW w:w="667" w:type="dxa"/>
            <w:tcBorders>
              <w:top w:val="nil"/>
              <w:left w:val="nil"/>
              <w:bottom w:val="single" w:sz="4" w:space="0" w:color="auto"/>
              <w:right w:val="single" w:sz="4" w:space="0" w:color="auto"/>
            </w:tcBorders>
            <w:shd w:val="clear" w:color="auto" w:fill="auto"/>
            <w:vAlign w:val="center"/>
            <w:hideMark/>
          </w:tcPr>
          <w:p w:rsidR="00203F6C" w:rsidRPr="00AB3200" w:rsidRDefault="00203F6C" w:rsidP="00203F6C">
            <w:pPr>
              <w:widowControl/>
              <w:spacing w:line="240" w:lineRule="exact"/>
              <w:jc w:val="center"/>
              <w:rPr>
                <w:rFonts w:ascii="標楷體" w:hAnsi="標楷體"/>
                <w:kern w:val="0"/>
                <w:sz w:val="20"/>
              </w:rPr>
            </w:pPr>
            <w:r w:rsidRPr="00AB3200">
              <w:rPr>
                <w:rFonts w:ascii="標楷體" w:hAnsi="標楷體"/>
                <w:kern w:val="0"/>
                <w:sz w:val="20"/>
              </w:rPr>
              <w:t>13.5</w:t>
            </w:r>
          </w:p>
        </w:tc>
        <w:tc>
          <w:tcPr>
            <w:tcW w:w="667" w:type="dxa"/>
            <w:tcBorders>
              <w:top w:val="nil"/>
              <w:left w:val="nil"/>
              <w:bottom w:val="single" w:sz="4" w:space="0" w:color="auto"/>
              <w:right w:val="single" w:sz="4" w:space="0" w:color="auto"/>
            </w:tcBorders>
            <w:shd w:val="clear" w:color="auto" w:fill="auto"/>
            <w:vAlign w:val="center"/>
            <w:hideMark/>
          </w:tcPr>
          <w:p w:rsidR="00203F6C" w:rsidRPr="00AB3200" w:rsidRDefault="00203F6C" w:rsidP="00203F6C">
            <w:pPr>
              <w:widowControl/>
              <w:spacing w:line="240" w:lineRule="exact"/>
              <w:jc w:val="center"/>
              <w:rPr>
                <w:rFonts w:ascii="標楷體" w:hAnsi="標楷體"/>
                <w:kern w:val="0"/>
                <w:sz w:val="20"/>
              </w:rPr>
            </w:pPr>
            <w:r w:rsidRPr="00AB3200">
              <w:rPr>
                <w:rFonts w:ascii="標楷體" w:hAnsi="標楷體"/>
                <w:kern w:val="0"/>
                <w:sz w:val="20"/>
              </w:rPr>
              <w:t>8.2</w:t>
            </w:r>
          </w:p>
        </w:tc>
        <w:tc>
          <w:tcPr>
            <w:tcW w:w="607" w:type="dxa"/>
            <w:tcBorders>
              <w:top w:val="nil"/>
              <w:left w:val="nil"/>
              <w:bottom w:val="single" w:sz="4" w:space="0" w:color="auto"/>
              <w:right w:val="single" w:sz="4" w:space="0" w:color="auto"/>
            </w:tcBorders>
            <w:shd w:val="clear" w:color="auto" w:fill="auto"/>
            <w:vAlign w:val="center"/>
            <w:hideMark/>
          </w:tcPr>
          <w:p w:rsidR="00203F6C" w:rsidRPr="00AB3200" w:rsidRDefault="00203F6C" w:rsidP="00203F6C">
            <w:pPr>
              <w:widowControl/>
              <w:spacing w:line="240" w:lineRule="exact"/>
              <w:jc w:val="center"/>
              <w:rPr>
                <w:rFonts w:ascii="標楷體" w:hAnsi="標楷體"/>
                <w:kern w:val="0"/>
                <w:sz w:val="20"/>
              </w:rPr>
            </w:pPr>
            <w:r w:rsidRPr="00AB3200">
              <w:rPr>
                <w:rFonts w:ascii="標楷體" w:hAnsi="標楷體"/>
                <w:kern w:val="0"/>
                <w:sz w:val="20"/>
              </w:rPr>
              <w:t>9.8</w:t>
            </w:r>
          </w:p>
        </w:tc>
        <w:tc>
          <w:tcPr>
            <w:tcW w:w="666" w:type="dxa"/>
            <w:tcBorders>
              <w:top w:val="nil"/>
              <w:left w:val="nil"/>
              <w:bottom w:val="single" w:sz="4" w:space="0" w:color="auto"/>
              <w:right w:val="single" w:sz="4" w:space="0" w:color="auto"/>
            </w:tcBorders>
            <w:shd w:val="clear" w:color="auto" w:fill="auto"/>
            <w:vAlign w:val="center"/>
            <w:hideMark/>
          </w:tcPr>
          <w:p w:rsidR="00203F6C" w:rsidRPr="00AB3200" w:rsidRDefault="00203F6C" w:rsidP="00203F6C">
            <w:pPr>
              <w:widowControl/>
              <w:spacing w:line="240" w:lineRule="exact"/>
              <w:jc w:val="center"/>
              <w:rPr>
                <w:rFonts w:ascii="標楷體" w:hAnsi="標楷體"/>
                <w:kern w:val="0"/>
                <w:sz w:val="20"/>
              </w:rPr>
            </w:pPr>
            <w:r w:rsidRPr="00AB3200">
              <w:rPr>
                <w:rFonts w:ascii="標楷體" w:hAnsi="標楷體"/>
                <w:kern w:val="0"/>
                <w:sz w:val="20"/>
              </w:rPr>
              <w:t>9.1</w:t>
            </w:r>
          </w:p>
        </w:tc>
        <w:tc>
          <w:tcPr>
            <w:tcW w:w="607" w:type="dxa"/>
            <w:tcBorders>
              <w:top w:val="nil"/>
              <w:left w:val="nil"/>
              <w:bottom w:val="single" w:sz="4" w:space="0" w:color="auto"/>
              <w:right w:val="single" w:sz="4" w:space="0" w:color="auto"/>
            </w:tcBorders>
            <w:shd w:val="clear" w:color="auto" w:fill="auto"/>
            <w:vAlign w:val="center"/>
            <w:hideMark/>
          </w:tcPr>
          <w:p w:rsidR="00203F6C" w:rsidRPr="00AB3200" w:rsidRDefault="00203F6C" w:rsidP="00203F6C">
            <w:pPr>
              <w:widowControl/>
              <w:spacing w:line="240" w:lineRule="exact"/>
              <w:jc w:val="center"/>
              <w:rPr>
                <w:rFonts w:ascii="標楷體" w:hAnsi="標楷體"/>
                <w:kern w:val="0"/>
                <w:sz w:val="20"/>
              </w:rPr>
            </w:pPr>
            <w:r w:rsidRPr="00AB3200">
              <w:rPr>
                <w:rFonts w:ascii="標楷體" w:hAnsi="標楷體"/>
                <w:kern w:val="0"/>
                <w:sz w:val="20"/>
              </w:rPr>
              <w:t>7.1</w:t>
            </w:r>
          </w:p>
        </w:tc>
        <w:tc>
          <w:tcPr>
            <w:tcW w:w="678" w:type="dxa"/>
            <w:tcBorders>
              <w:top w:val="nil"/>
              <w:left w:val="nil"/>
              <w:bottom w:val="single" w:sz="4" w:space="0" w:color="auto"/>
              <w:right w:val="single" w:sz="4" w:space="0" w:color="auto"/>
            </w:tcBorders>
            <w:shd w:val="clear" w:color="auto" w:fill="auto"/>
            <w:vAlign w:val="center"/>
            <w:hideMark/>
          </w:tcPr>
          <w:p w:rsidR="00203F6C" w:rsidRPr="00AB3200" w:rsidRDefault="00203F6C" w:rsidP="00203F6C">
            <w:pPr>
              <w:widowControl/>
              <w:spacing w:line="240" w:lineRule="exact"/>
              <w:jc w:val="center"/>
              <w:rPr>
                <w:rFonts w:ascii="標楷體" w:hAnsi="標楷體"/>
                <w:kern w:val="0"/>
                <w:sz w:val="20"/>
              </w:rPr>
            </w:pPr>
            <w:r w:rsidRPr="00AB3200">
              <w:rPr>
                <w:rFonts w:ascii="標楷體" w:hAnsi="標楷體"/>
                <w:kern w:val="0"/>
                <w:sz w:val="20"/>
              </w:rPr>
              <w:t>11.9</w:t>
            </w:r>
          </w:p>
        </w:tc>
        <w:tc>
          <w:tcPr>
            <w:tcW w:w="745" w:type="dxa"/>
            <w:tcBorders>
              <w:top w:val="nil"/>
              <w:left w:val="nil"/>
              <w:bottom w:val="single" w:sz="4" w:space="0" w:color="auto"/>
              <w:right w:val="single" w:sz="4" w:space="0" w:color="auto"/>
            </w:tcBorders>
            <w:shd w:val="clear" w:color="auto" w:fill="auto"/>
            <w:vAlign w:val="center"/>
            <w:hideMark/>
          </w:tcPr>
          <w:p w:rsidR="00203F6C" w:rsidRPr="00AB3200" w:rsidRDefault="00203F6C" w:rsidP="00203F6C">
            <w:pPr>
              <w:widowControl/>
              <w:spacing w:line="240" w:lineRule="exact"/>
              <w:jc w:val="center"/>
              <w:rPr>
                <w:rFonts w:ascii="標楷體" w:hAnsi="標楷體"/>
                <w:kern w:val="0"/>
                <w:sz w:val="20"/>
              </w:rPr>
            </w:pPr>
            <w:r w:rsidRPr="00AB3200">
              <w:rPr>
                <w:rFonts w:ascii="標楷體" w:hAnsi="標楷體"/>
                <w:kern w:val="0"/>
                <w:sz w:val="20"/>
              </w:rPr>
              <w:t>9.5</w:t>
            </w:r>
          </w:p>
        </w:tc>
        <w:tc>
          <w:tcPr>
            <w:tcW w:w="666" w:type="dxa"/>
            <w:tcBorders>
              <w:top w:val="nil"/>
              <w:left w:val="nil"/>
              <w:bottom w:val="single" w:sz="4" w:space="0" w:color="auto"/>
              <w:right w:val="single" w:sz="4" w:space="0" w:color="auto"/>
            </w:tcBorders>
            <w:shd w:val="clear" w:color="auto" w:fill="auto"/>
            <w:vAlign w:val="center"/>
            <w:hideMark/>
          </w:tcPr>
          <w:p w:rsidR="00203F6C" w:rsidRPr="00AB3200" w:rsidRDefault="00203F6C" w:rsidP="00203F6C">
            <w:pPr>
              <w:widowControl/>
              <w:spacing w:line="240" w:lineRule="exact"/>
              <w:jc w:val="center"/>
              <w:rPr>
                <w:rFonts w:ascii="標楷體" w:hAnsi="標楷體"/>
                <w:kern w:val="0"/>
                <w:sz w:val="20"/>
              </w:rPr>
            </w:pPr>
            <w:r w:rsidRPr="00AB3200">
              <w:rPr>
                <w:rFonts w:ascii="標楷體" w:hAnsi="標楷體"/>
                <w:kern w:val="0"/>
                <w:sz w:val="20"/>
              </w:rPr>
              <w:t>7</w:t>
            </w:r>
          </w:p>
        </w:tc>
        <w:tc>
          <w:tcPr>
            <w:tcW w:w="994" w:type="dxa"/>
            <w:tcBorders>
              <w:top w:val="nil"/>
              <w:left w:val="nil"/>
              <w:bottom w:val="single" w:sz="4" w:space="0" w:color="auto"/>
              <w:right w:val="single" w:sz="4" w:space="0" w:color="auto"/>
            </w:tcBorders>
            <w:shd w:val="clear" w:color="auto" w:fill="auto"/>
            <w:vAlign w:val="center"/>
            <w:hideMark/>
          </w:tcPr>
          <w:p w:rsidR="00203F6C" w:rsidRPr="00AB3200" w:rsidRDefault="00203F6C" w:rsidP="00203F6C">
            <w:pPr>
              <w:widowControl/>
              <w:spacing w:line="240" w:lineRule="exact"/>
              <w:jc w:val="center"/>
              <w:rPr>
                <w:rFonts w:ascii="標楷體" w:hAnsi="標楷體"/>
                <w:kern w:val="0"/>
                <w:sz w:val="20"/>
              </w:rPr>
            </w:pPr>
            <w:r w:rsidRPr="00AB3200">
              <w:rPr>
                <w:rFonts w:ascii="標楷體" w:hAnsi="標楷體"/>
                <w:kern w:val="0"/>
                <w:sz w:val="20"/>
              </w:rPr>
              <w:t xml:space="preserve">16.7 </w:t>
            </w:r>
          </w:p>
        </w:tc>
        <w:tc>
          <w:tcPr>
            <w:tcW w:w="970" w:type="dxa"/>
            <w:tcBorders>
              <w:top w:val="nil"/>
              <w:left w:val="nil"/>
              <w:bottom w:val="single" w:sz="4" w:space="0" w:color="auto"/>
              <w:right w:val="single" w:sz="4" w:space="0" w:color="auto"/>
            </w:tcBorders>
            <w:shd w:val="clear" w:color="auto" w:fill="auto"/>
            <w:noWrap/>
            <w:vAlign w:val="center"/>
            <w:hideMark/>
          </w:tcPr>
          <w:p w:rsidR="00203F6C" w:rsidRPr="00AB3200" w:rsidRDefault="00203F6C" w:rsidP="00203F6C">
            <w:pPr>
              <w:widowControl/>
              <w:spacing w:line="240" w:lineRule="exact"/>
              <w:jc w:val="center"/>
              <w:rPr>
                <w:rFonts w:ascii="標楷體" w:hAnsi="標楷體"/>
                <w:kern w:val="0"/>
                <w:sz w:val="20"/>
              </w:rPr>
            </w:pPr>
            <w:r w:rsidRPr="00AB3200">
              <w:rPr>
                <w:rFonts w:ascii="標楷體" w:hAnsi="標楷體"/>
                <w:kern w:val="0"/>
                <w:sz w:val="20"/>
              </w:rPr>
              <w:t xml:space="preserve">　N/A</w:t>
            </w:r>
          </w:p>
        </w:tc>
      </w:tr>
      <w:tr w:rsidR="00203F6C" w:rsidRPr="00AB3200" w:rsidTr="00203F6C">
        <w:trPr>
          <w:trHeight w:val="218"/>
        </w:trPr>
        <w:tc>
          <w:tcPr>
            <w:tcW w:w="667" w:type="dxa"/>
            <w:tcBorders>
              <w:top w:val="nil"/>
              <w:left w:val="single" w:sz="4" w:space="0" w:color="auto"/>
              <w:bottom w:val="single" w:sz="4" w:space="0" w:color="auto"/>
              <w:right w:val="single" w:sz="4" w:space="0" w:color="auto"/>
            </w:tcBorders>
            <w:shd w:val="clear" w:color="auto" w:fill="auto"/>
            <w:noWrap/>
            <w:hideMark/>
          </w:tcPr>
          <w:p w:rsidR="00203F6C" w:rsidRPr="00AB3200" w:rsidRDefault="00203F6C" w:rsidP="00203F6C">
            <w:pPr>
              <w:spacing w:line="240" w:lineRule="exact"/>
              <w:ind w:leftChars="-8" w:left="-5" w:rightChars="-8" w:right="-27" w:hangingChars="10" w:hanging="22"/>
              <w:jc w:val="center"/>
              <w:rPr>
                <w:rFonts w:ascii="標楷體" w:hAnsi="標楷體"/>
                <w:sz w:val="20"/>
              </w:rPr>
            </w:pPr>
            <w:r w:rsidRPr="00AB3200">
              <w:rPr>
                <w:rFonts w:ascii="標楷體" w:hAnsi="標楷體"/>
                <w:kern w:val="0"/>
                <w:sz w:val="20"/>
              </w:rPr>
              <w:t>100年</w:t>
            </w:r>
          </w:p>
        </w:tc>
        <w:tc>
          <w:tcPr>
            <w:tcW w:w="667" w:type="dxa"/>
            <w:tcBorders>
              <w:top w:val="nil"/>
              <w:left w:val="nil"/>
              <w:bottom w:val="single" w:sz="4" w:space="0" w:color="auto"/>
              <w:right w:val="single" w:sz="4" w:space="0" w:color="auto"/>
            </w:tcBorders>
            <w:shd w:val="clear" w:color="auto" w:fill="auto"/>
            <w:vAlign w:val="center"/>
            <w:hideMark/>
          </w:tcPr>
          <w:p w:rsidR="00203F6C" w:rsidRPr="00AB3200" w:rsidRDefault="00203F6C" w:rsidP="00203F6C">
            <w:pPr>
              <w:widowControl/>
              <w:spacing w:line="240" w:lineRule="exact"/>
              <w:jc w:val="center"/>
              <w:rPr>
                <w:rFonts w:ascii="標楷體" w:hAnsi="標楷體"/>
                <w:kern w:val="0"/>
                <w:sz w:val="20"/>
              </w:rPr>
            </w:pPr>
            <w:r w:rsidRPr="00AB3200">
              <w:rPr>
                <w:rFonts w:ascii="標楷體" w:hAnsi="標楷體"/>
                <w:kern w:val="0"/>
                <w:sz w:val="20"/>
              </w:rPr>
              <w:t>11.2</w:t>
            </w:r>
          </w:p>
        </w:tc>
        <w:tc>
          <w:tcPr>
            <w:tcW w:w="667" w:type="dxa"/>
            <w:tcBorders>
              <w:top w:val="nil"/>
              <w:left w:val="nil"/>
              <w:bottom w:val="single" w:sz="4" w:space="0" w:color="auto"/>
              <w:right w:val="single" w:sz="4" w:space="0" w:color="auto"/>
            </w:tcBorders>
            <w:shd w:val="clear" w:color="auto" w:fill="auto"/>
            <w:vAlign w:val="center"/>
            <w:hideMark/>
          </w:tcPr>
          <w:p w:rsidR="00203F6C" w:rsidRPr="00AB3200" w:rsidRDefault="00203F6C" w:rsidP="00203F6C">
            <w:pPr>
              <w:widowControl/>
              <w:spacing w:line="240" w:lineRule="exact"/>
              <w:jc w:val="center"/>
              <w:rPr>
                <w:rFonts w:ascii="標楷體" w:hAnsi="標楷體"/>
                <w:kern w:val="0"/>
                <w:sz w:val="20"/>
              </w:rPr>
            </w:pPr>
            <w:r w:rsidRPr="00AB3200">
              <w:rPr>
                <w:rFonts w:ascii="標楷體" w:hAnsi="標楷體"/>
                <w:kern w:val="0"/>
                <w:sz w:val="20"/>
              </w:rPr>
              <w:t>12.7</w:t>
            </w:r>
          </w:p>
        </w:tc>
        <w:tc>
          <w:tcPr>
            <w:tcW w:w="667" w:type="dxa"/>
            <w:tcBorders>
              <w:top w:val="nil"/>
              <w:left w:val="nil"/>
              <w:bottom w:val="single" w:sz="4" w:space="0" w:color="auto"/>
              <w:right w:val="single" w:sz="4" w:space="0" w:color="auto"/>
            </w:tcBorders>
            <w:shd w:val="clear" w:color="auto" w:fill="auto"/>
            <w:vAlign w:val="center"/>
            <w:hideMark/>
          </w:tcPr>
          <w:p w:rsidR="00203F6C" w:rsidRPr="00AB3200" w:rsidRDefault="00203F6C" w:rsidP="00203F6C">
            <w:pPr>
              <w:widowControl/>
              <w:spacing w:line="240" w:lineRule="exact"/>
              <w:jc w:val="center"/>
              <w:rPr>
                <w:rFonts w:ascii="標楷體" w:hAnsi="標楷體"/>
                <w:kern w:val="0"/>
                <w:sz w:val="20"/>
              </w:rPr>
            </w:pPr>
            <w:r w:rsidRPr="00AB3200">
              <w:rPr>
                <w:rFonts w:ascii="標楷體" w:hAnsi="標楷體"/>
                <w:kern w:val="0"/>
                <w:sz w:val="20"/>
              </w:rPr>
              <w:t>7.1</w:t>
            </w:r>
          </w:p>
        </w:tc>
        <w:tc>
          <w:tcPr>
            <w:tcW w:w="607" w:type="dxa"/>
            <w:tcBorders>
              <w:top w:val="nil"/>
              <w:left w:val="nil"/>
              <w:bottom w:val="single" w:sz="4" w:space="0" w:color="auto"/>
              <w:right w:val="single" w:sz="4" w:space="0" w:color="auto"/>
            </w:tcBorders>
            <w:shd w:val="clear" w:color="auto" w:fill="auto"/>
            <w:vAlign w:val="center"/>
            <w:hideMark/>
          </w:tcPr>
          <w:p w:rsidR="00203F6C" w:rsidRPr="00AB3200" w:rsidRDefault="00203F6C" w:rsidP="00203F6C">
            <w:pPr>
              <w:widowControl/>
              <w:spacing w:line="240" w:lineRule="exact"/>
              <w:jc w:val="center"/>
              <w:rPr>
                <w:rFonts w:ascii="標楷體" w:hAnsi="標楷體"/>
                <w:kern w:val="0"/>
                <w:sz w:val="20"/>
              </w:rPr>
            </w:pPr>
            <w:r w:rsidRPr="00AB3200">
              <w:rPr>
                <w:rFonts w:ascii="標楷體" w:hAnsi="標楷體"/>
                <w:kern w:val="0"/>
                <w:sz w:val="20"/>
              </w:rPr>
              <w:t>9.6</w:t>
            </w:r>
          </w:p>
        </w:tc>
        <w:tc>
          <w:tcPr>
            <w:tcW w:w="666" w:type="dxa"/>
            <w:tcBorders>
              <w:top w:val="nil"/>
              <w:left w:val="nil"/>
              <w:bottom w:val="single" w:sz="4" w:space="0" w:color="auto"/>
              <w:right w:val="single" w:sz="4" w:space="0" w:color="auto"/>
            </w:tcBorders>
            <w:shd w:val="clear" w:color="auto" w:fill="auto"/>
            <w:vAlign w:val="center"/>
            <w:hideMark/>
          </w:tcPr>
          <w:p w:rsidR="00203F6C" w:rsidRPr="00AB3200" w:rsidRDefault="00203F6C" w:rsidP="00203F6C">
            <w:pPr>
              <w:widowControl/>
              <w:spacing w:line="240" w:lineRule="exact"/>
              <w:jc w:val="center"/>
              <w:rPr>
                <w:rFonts w:ascii="標楷體" w:hAnsi="標楷體"/>
                <w:kern w:val="0"/>
                <w:sz w:val="20"/>
              </w:rPr>
            </w:pPr>
            <w:r w:rsidRPr="00AB3200">
              <w:rPr>
                <w:rFonts w:ascii="標楷體" w:hAnsi="標楷體"/>
                <w:kern w:val="0"/>
                <w:sz w:val="20"/>
              </w:rPr>
              <w:t>7.9</w:t>
            </w:r>
          </w:p>
        </w:tc>
        <w:tc>
          <w:tcPr>
            <w:tcW w:w="607" w:type="dxa"/>
            <w:tcBorders>
              <w:top w:val="nil"/>
              <w:left w:val="nil"/>
              <w:bottom w:val="single" w:sz="4" w:space="0" w:color="auto"/>
              <w:right w:val="single" w:sz="4" w:space="0" w:color="auto"/>
            </w:tcBorders>
            <w:shd w:val="clear" w:color="auto" w:fill="auto"/>
            <w:vAlign w:val="center"/>
            <w:hideMark/>
          </w:tcPr>
          <w:p w:rsidR="00203F6C" w:rsidRPr="00AB3200" w:rsidRDefault="00203F6C" w:rsidP="00203F6C">
            <w:pPr>
              <w:widowControl/>
              <w:spacing w:line="240" w:lineRule="exact"/>
              <w:jc w:val="center"/>
              <w:rPr>
                <w:rFonts w:ascii="標楷體" w:hAnsi="標楷體"/>
                <w:kern w:val="0"/>
                <w:sz w:val="20"/>
              </w:rPr>
            </w:pPr>
            <w:r w:rsidRPr="00AB3200">
              <w:rPr>
                <w:rFonts w:ascii="標楷體" w:hAnsi="標楷體"/>
                <w:kern w:val="0"/>
                <w:sz w:val="20"/>
              </w:rPr>
              <w:t>6.3</w:t>
            </w:r>
          </w:p>
        </w:tc>
        <w:tc>
          <w:tcPr>
            <w:tcW w:w="678" w:type="dxa"/>
            <w:tcBorders>
              <w:top w:val="nil"/>
              <w:left w:val="nil"/>
              <w:bottom w:val="single" w:sz="4" w:space="0" w:color="auto"/>
              <w:right w:val="single" w:sz="4" w:space="0" w:color="auto"/>
            </w:tcBorders>
            <w:shd w:val="clear" w:color="auto" w:fill="auto"/>
            <w:vAlign w:val="center"/>
            <w:hideMark/>
          </w:tcPr>
          <w:p w:rsidR="00203F6C" w:rsidRPr="00AB3200" w:rsidRDefault="00203F6C" w:rsidP="00203F6C">
            <w:pPr>
              <w:widowControl/>
              <w:spacing w:line="240" w:lineRule="exact"/>
              <w:jc w:val="center"/>
              <w:rPr>
                <w:rFonts w:ascii="標楷體" w:hAnsi="標楷體"/>
                <w:kern w:val="0"/>
                <w:sz w:val="20"/>
              </w:rPr>
            </w:pPr>
            <w:r w:rsidRPr="00AB3200">
              <w:rPr>
                <w:rFonts w:ascii="標楷體" w:hAnsi="標楷體"/>
                <w:kern w:val="0"/>
                <w:sz w:val="20"/>
              </w:rPr>
              <w:t>10.8</w:t>
            </w:r>
          </w:p>
        </w:tc>
        <w:tc>
          <w:tcPr>
            <w:tcW w:w="745" w:type="dxa"/>
            <w:tcBorders>
              <w:top w:val="nil"/>
              <w:left w:val="nil"/>
              <w:bottom w:val="single" w:sz="4" w:space="0" w:color="auto"/>
              <w:right w:val="single" w:sz="4" w:space="0" w:color="auto"/>
            </w:tcBorders>
            <w:shd w:val="clear" w:color="auto" w:fill="auto"/>
            <w:vAlign w:val="center"/>
            <w:hideMark/>
          </w:tcPr>
          <w:p w:rsidR="00203F6C" w:rsidRPr="00AB3200" w:rsidRDefault="00203F6C" w:rsidP="00203F6C">
            <w:pPr>
              <w:widowControl/>
              <w:spacing w:line="240" w:lineRule="exact"/>
              <w:jc w:val="center"/>
              <w:rPr>
                <w:rFonts w:ascii="標楷體" w:hAnsi="標楷體"/>
                <w:kern w:val="0"/>
                <w:sz w:val="20"/>
              </w:rPr>
            </w:pPr>
            <w:r w:rsidRPr="00AB3200">
              <w:rPr>
                <w:rFonts w:ascii="標楷體" w:hAnsi="標楷體"/>
                <w:kern w:val="0"/>
                <w:sz w:val="20"/>
              </w:rPr>
              <w:t>9.4</w:t>
            </w:r>
          </w:p>
        </w:tc>
        <w:tc>
          <w:tcPr>
            <w:tcW w:w="666" w:type="dxa"/>
            <w:tcBorders>
              <w:top w:val="nil"/>
              <w:left w:val="nil"/>
              <w:bottom w:val="single" w:sz="4" w:space="0" w:color="auto"/>
              <w:right w:val="single" w:sz="4" w:space="0" w:color="auto"/>
            </w:tcBorders>
            <w:shd w:val="clear" w:color="auto" w:fill="auto"/>
            <w:vAlign w:val="center"/>
            <w:hideMark/>
          </w:tcPr>
          <w:p w:rsidR="00203F6C" w:rsidRPr="00AB3200" w:rsidRDefault="00203F6C" w:rsidP="00203F6C">
            <w:pPr>
              <w:widowControl/>
              <w:spacing w:line="240" w:lineRule="exact"/>
              <w:jc w:val="center"/>
              <w:rPr>
                <w:rFonts w:ascii="標楷體" w:hAnsi="標楷體"/>
                <w:kern w:val="0"/>
                <w:sz w:val="20"/>
              </w:rPr>
            </w:pPr>
            <w:r w:rsidRPr="00AB3200">
              <w:rPr>
                <w:rFonts w:ascii="標楷體" w:hAnsi="標楷體"/>
                <w:kern w:val="0"/>
                <w:sz w:val="20"/>
              </w:rPr>
              <w:t>6.5</w:t>
            </w:r>
          </w:p>
        </w:tc>
        <w:tc>
          <w:tcPr>
            <w:tcW w:w="994" w:type="dxa"/>
            <w:tcBorders>
              <w:top w:val="nil"/>
              <w:left w:val="nil"/>
              <w:bottom w:val="single" w:sz="4" w:space="0" w:color="auto"/>
              <w:right w:val="single" w:sz="4" w:space="0" w:color="auto"/>
            </w:tcBorders>
            <w:shd w:val="clear" w:color="auto" w:fill="auto"/>
            <w:vAlign w:val="center"/>
            <w:hideMark/>
          </w:tcPr>
          <w:p w:rsidR="00203F6C" w:rsidRPr="00AB3200" w:rsidRDefault="00203F6C" w:rsidP="00203F6C">
            <w:pPr>
              <w:widowControl/>
              <w:spacing w:line="240" w:lineRule="exact"/>
              <w:jc w:val="center"/>
              <w:rPr>
                <w:rFonts w:ascii="標楷體" w:hAnsi="標楷體"/>
                <w:kern w:val="0"/>
                <w:sz w:val="20"/>
              </w:rPr>
            </w:pPr>
            <w:r w:rsidRPr="00AB3200">
              <w:rPr>
                <w:rFonts w:ascii="標楷體" w:hAnsi="標楷體"/>
                <w:kern w:val="0"/>
                <w:sz w:val="20"/>
              </w:rPr>
              <w:t xml:space="preserve">16.2 </w:t>
            </w:r>
          </w:p>
        </w:tc>
        <w:tc>
          <w:tcPr>
            <w:tcW w:w="970" w:type="dxa"/>
            <w:tcBorders>
              <w:top w:val="nil"/>
              <w:left w:val="nil"/>
              <w:bottom w:val="single" w:sz="4" w:space="0" w:color="auto"/>
              <w:right w:val="single" w:sz="4" w:space="0" w:color="auto"/>
            </w:tcBorders>
            <w:shd w:val="clear" w:color="auto" w:fill="auto"/>
            <w:noWrap/>
            <w:vAlign w:val="center"/>
            <w:hideMark/>
          </w:tcPr>
          <w:p w:rsidR="00203F6C" w:rsidRPr="00AB3200" w:rsidRDefault="00203F6C" w:rsidP="00203F6C">
            <w:pPr>
              <w:widowControl/>
              <w:spacing w:line="240" w:lineRule="exact"/>
              <w:jc w:val="center"/>
              <w:rPr>
                <w:rFonts w:ascii="標楷體" w:hAnsi="標楷體"/>
                <w:kern w:val="0"/>
                <w:sz w:val="20"/>
              </w:rPr>
            </w:pPr>
            <w:r w:rsidRPr="00AB3200">
              <w:rPr>
                <w:rFonts w:ascii="標楷體" w:hAnsi="標楷體"/>
                <w:kern w:val="0"/>
                <w:sz w:val="20"/>
              </w:rPr>
              <w:t xml:space="preserve">　N/A</w:t>
            </w:r>
          </w:p>
        </w:tc>
      </w:tr>
      <w:tr w:rsidR="00203F6C" w:rsidRPr="00AB3200" w:rsidTr="00203F6C">
        <w:trPr>
          <w:trHeight w:val="114"/>
        </w:trPr>
        <w:tc>
          <w:tcPr>
            <w:tcW w:w="667" w:type="dxa"/>
            <w:tcBorders>
              <w:top w:val="nil"/>
              <w:left w:val="single" w:sz="4" w:space="0" w:color="auto"/>
              <w:bottom w:val="single" w:sz="4" w:space="0" w:color="auto"/>
              <w:right w:val="single" w:sz="4" w:space="0" w:color="auto"/>
            </w:tcBorders>
            <w:shd w:val="clear" w:color="auto" w:fill="auto"/>
            <w:noWrap/>
            <w:vAlign w:val="center"/>
            <w:hideMark/>
          </w:tcPr>
          <w:p w:rsidR="00203F6C" w:rsidRPr="00AB3200" w:rsidRDefault="00203F6C" w:rsidP="00203F6C">
            <w:pPr>
              <w:widowControl/>
              <w:spacing w:line="240" w:lineRule="exact"/>
              <w:jc w:val="center"/>
              <w:rPr>
                <w:rFonts w:ascii="標楷體" w:hAnsi="標楷體"/>
                <w:kern w:val="0"/>
                <w:sz w:val="20"/>
              </w:rPr>
            </w:pPr>
            <w:r w:rsidRPr="00AB3200">
              <w:rPr>
                <w:rFonts w:ascii="標楷體" w:hAnsi="標楷體"/>
                <w:kern w:val="0"/>
                <w:sz w:val="20"/>
              </w:rPr>
              <w:t>101.7</w:t>
            </w:r>
          </w:p>
        </w:tc>
        <w:tc>
          <w:tcPr>
            <w:tcW w:w="667" w:type="dxa"/>
            <w:tcBorders>
              <w:top w:val="nil"/>
              <w:left w:val="nil"/>
              <w:bottom w:val="single" w:sz="4" w:space="0" w:color="auto"/>
              <w:right w:val="single" w:sz="4" w:space="0" w:color="auto"/>
            </w:tcBorders>
            <w:shd w:val="clear" w:color="auto" w:fill="auto"/>
            <w:vAlign w:val="center"/>
            <w:hideMark/>
          </w:tcPr>
          <w:p w:rsidR="00203F6C" w:rsidRPr="00AB3200" w:rsidRDefault="00203F6C" w:rsidP="00203F6C">
            <w:pPr>
              <w:widowControl/>
              <w:spacing w:line="240" w:lineRule="exact"/>
              <w:jc w:val="center"/>
              <w:rPr>
                <w:rFonts w:ascii="標楷體" w:hAnsi="標楷體"/>
                <w:kern w:val="0"/>
                <w:sz w:val="20"/>
              </w:rPr>
            </w:pPr>
            <w:r w:rsidRPr="00AB3200">
              <w:rPr>
                <w:rFonts w:ascii="標楷體" w:hAnsi="標楷體"/>
                <w:kern w:val="0"/>
                <w:sz w:val="20"/>
              </w:rPr>
              <w:t>10.5</w:t>
            </w:r>
          </w:p>
        </w:tc>
        <w:tc>
          <w:tcPr>
            <w:tcW w:w="667" w:type="dxa"/>
            <w:tcBorders>
              <w:top w:val="nil"/>
              <w:left w:val="nil"/>
              <w:bottom w:val="single" w:sz="4" w:space="0" w:color="auto"/>
              <w:right w:val="single" w:sz="4" w:space="0" w:color="auto"/>
            </w:tcBorders>
            <w:shd w:val="clear" w:color="auto" w:fill="auto"/>
            <w:vAlign w:val="center"/>
            <w:hideMark/>
          </w:tcPr>
          <w:p w:rsidR="00203F6C" w:rsidRPr="00AB3200" w:rsidRDefault="00203F6C" w:rsidP="00203F6C">
            <w:pPr>
              <w:widowControl/>
              <w:spacing w:line="240" w:lineRule="exact"/>
              <w:jc w:val="center"/>
              <w:rPr>
                <w:rFonts w:ascii="標楷體" w:hAnsi="標楷體"/>
                <w:kern w:val="0"/>
                <w:sz w:val="20"/>
              </w:rPr>
            </w:pPr>
            <w:r w:rsidRPr="00AB3200">
              <w:rPr>
                <w:rFonts w:ascii="標楷體" w:hAnsi="標楷體"/>
                <w:kern w:val="0"/>
                <w:sz w:val="20"/>
              </w:rPr>
              <w:t>13.51</w:t>
            </w:r>
          </w:p>
        </w:tc>
        <w:tc>
          <w:tcPr>
            <w:tcW w:w="667" w:type="dxa"/>
            <w:tcBorders>
              <w:top w:val="nil"/>
              <w:left w:val="nil"/>
              <w:bottom w:val="single" w:sz="4" w:space="0" w:color="auto"/>
              <w:right w:val="single" w:sz="4" w:space="0" w:color="auto"/>
            </w:tcBorders>
            <w:shd w:val="clear" w:color="auto" w:fill="auto"/>
            <w:vAlign w:val="center"/>
            <w:hideMark/>
          </w:tcPr>
          <w:p w:rsidR="00203F6C" w:rsidRPr="00AB3200" w:rsidRDefault="00203F6C" w:rsidP="00203F6C">
            <w:pPr>
              <w:widowControl/>
              <w:spacing w:line="240" w:lineRule="exact"/>
              <w:jc w:val="center"/>
              <w:rPr>
                <w:rFonts w:ascii="標楷體" w:hAnsi="標楷體"/>
                <w:kern w:val="0"/>
                <w:sz w:val="20"/>
              </w:rPr>
            </w:pPr>
            <w:r w:rsidRPr="00AB3200">
              <w:rPr>
                <w:rFonts w:ascii="標楷體" w:hAnsi="標楷體"/>
                <w:kern w:val="0"/>
                <w:sz w:val="20"/>
              </w:rPr>
              <w:t>7.27</w:t>
            </w:r>
          </w:p>
        </w:tc>
        <w:tc>
          <w:tcPr>
            <w:tcW w:w="607" w:type="dxa"/>
            <w:tcBorders>
              <w:top w:val="nil"/>
              <w:left w:val="nil"/>
              <w:bottom w:val="single" w:sz="4" w:space="0" w:color="auto"/>
              <w:right w:val="single" w:sz="4" w:space="0" w:color="auto"/>
            </w:tcBorders>
            <w:shd w:val="clear" w:color="auto" w:fill="auto"/>
            <w:noWrap/>
            <w:vAlign w:val="center"/>
            <w:hideMark/>
          </w:tcPr>
          <w:p w:rsidR="00203F6C" w:rsidRPr="00AB3200" w:rsidRDefault="00203F6C" w:rsidP="00203F6C">
            <w:pPr>
              <w:widowControl/>
              <w:spacing w:line="240" w:lineRule="exact"/>
              <w:jc w:val="center"/>
              <w:rPr>
                <w:rFonts w:ascii="標楷體" w:hAnsi="標楷體"/>
                <w:kern w:val="0"/>
                <w:sz w:val="20"/>
              </w:rPr>
            </w:pPr>
            <w:r w:rsidRPr="00AB3200">
              <w:rPr>
                <w:rFonts w:ascii="標楷體" w:hAnsi="標楷體"/>
                <w:kern w:val="0"/>
                <w:sz w:val="20"/>
              </w:rPr>
              <w:t>N/A</w:t>
            </w:r>
          </w:p>
        </w:tc>
        <w:tc>
          <w:tcPr>
            <w:tcW w:w="666" w:type="dxa"/>
            <w:tcBorders>
              <w:top w:val="nil"/>
              <w:left w:val="nil"/>
              <w:bottom w:val="single" w:sz="4" w:space="0" w:color="auto"/>
              <w:right w:val="single" w:sz="4" w:space="0" w:color="auto"/>
            </w:tcBorders>
            <w:shd w:val="clear" w:color="auto" w:fill="auto"/>
            <w:noWrap/>
            <w:vAlign w:val="center"/>
            <w:hideMark/>
          </w:tcPr>
          <w:p w:rsidR="00203F6C" w:rsidRPr="00AB3200" w:rsidRDefault="00203F6C" w:rsidP="00203F6C">
            <w:pPr>
              <w:widowControl/>
              <w:spacing w:line="240" w:lineRule="exact"/>
              <w:jc w:val="center"/>
              <w:rPr>
                <w:rFonts w:ascii="標楷體" w:hAnsi="標楷體"/>
                <w:kern w:val="0"/>
                <w:sz w:val="20"/>
              </w:rPr>
            </w:pPr>
            <w:r w:rsidRPr="00AB3200">
              <w:rPr>
                <w:rFonts w:ascii="標楷體" w:hAnsi="標楷體"/>
                <w:kern w:val="0"/>
                <w:sz w:val="20"/>
              </w:rPr>
              <w:t>N/A</w:t>
            </w:r>
          </w:p>
        </w:tc>
        <w:tc>
          <w:tcPr>
            <w:tcW w:w="607" w:type="dxa"/>
            <w:tcBorders>
              <w:top w:val="nil"/>
              <w:left w:val="nil"/>
              <w:bottom w:val="single" w:sz="4" w:space="0" w:color="auto"/>
              <w:right w:val="single" w:sz="4" w:space="0" w:color="auto"/>
            </w:tcBorders>
            <w:shd w:val="clear" w:color="auto" w:fill="auto"/>
            <w:noWrap/>
            <w:vAlign w:val="center"/>
            <w:hideMark/>
          </w:tcPr>
          <w:p w:rsidR="00203F6C" w:rsidRPr="00AB3200" w:rsidRDefault="00203F6C" w:rsidP="00203F6C">
            <w:pPr>
              <w:widowControl/>
              <w:spacing w:line="240" w:lineRule="exact"/>
              <w:jc w:val="center"/>
              <w:rPr>
                <w:rFonts w:ascii="標楷體" w:hAnsi="標楷體"/>
                <w:kern w:val="0"/>
                <w:sz w:val="20"/>
              </w:rPr>
            </w:pPr>
            <w:r w:rsidRPr="00AB3200">
              <w:rPr>
                <w:rFonts w:ascii="標楷體" w:hAnsi="標楷體"/>
                <w:kern w:val="0"/>
                <w:sz w:val="20"/>
              </w:rPr>
              <w:t>N/A</w:t>
            </w:r>
          </w:p>
        </w:tc>
        <w:tc>
          <w:tcPr>
            <w:tcW w:w="678" w:type="dxa"/>
            <w:tcBorders>
              <w:top w:val="nil"/>
              <w:left w:val="nil"/>
              <w:bottom w:val="single" w:sz="4" w:space="0" w:color="auto"/>
              <w:right w:val="single" w:sz="4" w:space="0" w:color="auto"/>
            </w:tcBorders>
            <w:shd w:val="clear" w:color="auto" w:fill="auto"/>
            <w:vAlign w:val="center"/>
            <w:hideMark/>
          </w:tcPr>
          <w:p w:rsidR="00203F6C" w:rsidRPr="00AB3200" w:rsidRDefault="00203F6C" w:rsidP="00203F6C">
            <w:pPr>
              <w:widowControl/>
              <w:spacing w:line="240" w:lineRule="exact"/>
              <w:jc w:val="center"/>
              <w:rPr>
                <w:rFonts w:ascii="標楷體" w:hAnsi="標楷體"/>
                <w:kern w:val="0"/>
                <w:sz w:val="20"/>
              </w:rPr>
            </w:pPr>
            <w:r w:rsidRPr="00AB3200">
              <w:rPr>
                <w:rFonts w:ascii="標楷體" w:hAnsi="標楷體"/>
                <w:kern w:val="0"/>
                <w:sz w:val="20"/>
              </w:rPr>
              <w:t>11</w:t>
            </w:r>
          </w:p>
        </w:tc>
        <w:tc>
          <w:tcPr>
            <w:tcW w:w="745" w:type="dxa"/>
            <w:tcBorders>
              <w:top w:val="nil"/>
              <w:left w:val="nil"/>
              <w:bottom w:val="single" w:sz="4" w:space="0" w:color="auto"/>
              <w:right w:val="single" w:sz="4" w:space="0" w:color="auto"/>
            </w:tcBorders>
            <w:shd w:val="clear" w:color="auto" w:fill="auto"/>
            <w:vAlign w:val="center"/>
            <w:hideMark/>
          </w:tcPr>
          <w:p w:rsidR="00203F6C" w:rsidRPr="00AB3200" w:rsidRDefault="00203F6C" w:rsidP="00203F6C">
            <w:pPr>
              <w:widowControl/>
              <w:spacing w:line="240" w:lineRule="exact"/>
              <w:jc w:val="center"/>
              <w:rPr>
                <w:rFonts w:ascii="標楷體" w:hAnsi="標楷體"/>
                <w:kern w:val="0"/>
                <w:sz w:val="20"/>
              </w:rPr>
            </w:pPr>
            <w:r w:rsidRPr="00AB3200">
              <w:rPr>
                <w:rFonts w:ascii="標楷體" w:hAnsi="標楷體"/>
                <w:kern w:val="0"/>
                <w:sz w:val="20"/>
              </w:rPr>
              <w:t>9.3</w:t>
            </w:r>
          </w:p>
        </w:tc>
        <w:tc>
          <w:tcPr>
            <w:tcW w:w="666" w:type="dxa"/>
            <w:tcBorders>
              <w:top w:val="nil"/>
              <w:left w:val="nil"/>
              <w:bottom w:val="single" w:sz="4" w:space="0" w:color="auto"/>
              <w:right w:val="single" w:sz="4" w:space="0" w:color="auto"/>
            </w:tcBorders>
            <w:shd w:val="clear" w:color="auto" w:fill="auto"/>
            <w:vAlign w:val="center"/>
            <w:hideMark/>
          </w:tcPr>
          <w:p w:rsidR="00203F6C" w:rsidRPr="00AB3200" w:rsidRDefault="00203F6C" w:rsidP="00203F6C">
            <w:pPr>
              <w:widowControl/>
              <w:spacing w:line="240" w:lineRule="exact"/>
              <w:jc w:val="center"/>
              <w:rPr>
                <w:rFonts w:ascii="標楷體" w:hAnsi="標楷體"/>
                <w:kern w:val="0"/>
                <w:sz w:val="20"/>
              </w:rPr>
            </w:pPr>
            <w:r w:rsidRPr="00AB3200">
              <w:rPr>
                <w:rFonts w:ascii="標楷體" w:hAnsi="標楷體"/>
                <w:kern w:val="0"/>
                <w:sz w:val="20"/>
              </w:rPr>
              <w:t>5.6</w:t>
            </w:r>
          </w:p>
        </w:tc>
        <w:tc>
          <w:tcPr>
            <w:tcW w:w="994" w:type="dxa"/>
            <w:tcBorders>
              <w:top w:val="nil"/>
              <w:left w:val="nil"/>
              <w:bottom w:val="single" w:sz="4" w:space="0" w:color="auto"/>
              <w:right w:val="single" w:sz="4" w:space="0" w:color="auto"/>
            </w:tcBorders>
            <w:shd w:val="clear" w:color="auto" w:fill="auto"/>
            <w:vAlign w:val="center"/>
            <w:hideMark/>
          </w:tcPr>
          <w:p w:rsidR="00203F6C" w:rsidRPr="00AB3200" w:rsidRDefault="00203F6C" w:rsidP="00203F6C">
            <w:pPr>
              <w:widowControl/>
              <w:spacing w:line="240" w:lineRule="exact"/>
              <w:jc w:val="center"/>
              <w:rPr>
                <w:rFonts w:ascii="標楷體" w:hAnsi="標楷體"/>
                <w:kern w:val="0"/>
                <w:sz w:val="20"/>
              </w:rPr>
            </w:pPr>
            <w:r w:rsidRPr="00AB3200">
              <w:rPr>
                <w:rFonts w:ascii="標楷體" w:hAnsi="標楷體"/>
                <w:kern w:val="0"/>
                <w:sz w:val="20"/>
              </w:rPr>
              <w:t>16.2</w:t>
            </w:r>
          </w:p>
        </w:tc>
        <w:tc>
          <w:tcPr>
            <w:tcW w:w="970" w:type="dxa"/>
            <w:tcBorders>
              <w:top w:val="nil"/>
              <w:left w:val="nil"/>
              <w:bottom w:val="single" w:sz="4" w:space="0" w:color="auto"/>
              <w:right w:val="single" w:sz="4" w:space="0" w:color="auto"/>
            </w:tcBorders>
            <w:shd w:val="clear" w:color="auto" w:fill="auto"/>
            <w:vAlign w:val="center"/>
            <w:hideMark/>
          </w:tcPr>
          <w:p w:rsidR="00203F6C" w:rsidRPr="00AB3200" w:rsidRDefault="00203F6C" w:rsidP="00203F6C">
            <w:pPr>
              <w:widowControl/>
              <w:spacing w:line="240" w:lineRule="exact"/>
              <w:jc w:val="center"/>
              <w:rPr>
                <w:rFonts w:ascii="標楷體" w:hAnsi="標楷體"/>
                <w:kern w:val="0"/>
                <w:sz w:val="20"/>
              </w:rPr>
            </w:pPr>
            <w:r w:rsidRPr="00AB3200">
              <w:rPr>
                <w:rFonts w:ascii="標楷體" w:hAnsi="標楷體"/>
                <w:kern w:val="0"/>
                <w:sz w:val="20"/>
              </w:rPr>
              <w:t>22.5</w:t>
            </w:r>
          </w:p>
        </w:tc>
      </w:tr>
    </w:tbl>
    <w:p w:rsidR="00203F6C" w:rsidRPr="00AB3200" w:rsidRDefault="00203F6C" w:rsidP="00203F6C">
      <w:pPr>
        <w:spacing w:line="240" w:lineRule="exact"/>
        <w:ind w:leftChars="125" w:left="707" w:right="26" w:hangingChars="128" w:hanging="282"/>
        <w:jc w:val="both"/>
        <w:rPr>
          <w:rFonts w:ascii="標楷體" w:hAnsi="標楷體"/>
          <w:sz w:val="20"/>
        </w:rPr>
      </w:pPr>
      <w:r w:rsidRPr="00AB3200">
        <w:rPr>
          <w:rFonts w:ascii="標楷體" w:hAnsi="標楷體"/>
          <w:sz w:val="20"/>
        </w:rPr>
        <w:t>資料來源：</w:t>
      </w:r>
    </w:p>
    <w:p w:rsidR="00203F6C" w:rsidRPr="00AB3200" w:rsidRDefault="00203F6C" w:rsidP="00203F6C">
      <w:pPr>
        <w:spacing w:line="240" w:lineRule="exact"/>
        <w:ind w:leftChars="207" w:left="704" w:right="26" w:firstLineChars="65" w:firstLine="143"/>
        <w:jc w:val="both"/>
        <w:rPr>
          <w:rFonts w:ascii="標楷體" w:hAnsi="標楷體"/>
          <w:sz w:val="20"/>
        </w:rPr>
      </w:pPr>
      <w:r w:rsidRPr="00AB3200">
        <w:rPr>
          <w:rFonts w:ascii="標楷體" w:hAnsi="標楷體"/>
          <w:sz w:val="20"/>
        </w:rPr>
        <w:t>主計總處</w:t>
      </w:r>
      <w:r w:rsidRPr="00AB3200">
        <w:rPr>
          <w:rFonts w:ascii="標楷體" w:hAnsi="標楷體" w:hint="eastAsia"/>
          <w:sz w:val="20"/>
        </w:rPr>
        <w:t>、勞動部</w:t>
      </w:r>
    </w:p>
    <w:p w:rsidR="00203F6C" w:rsidRPr="00AB3200" w:rsidRDefault="00203F6C" w:rsidP="00203F6C">
      <w:pPr>
        <w:spacing w:line="240" w:lineRule="exact"/>
        <w:ind w:leftChars="208" w:left="708" w:right="-694" w:firstLineChars="64" w:firstLine="141"/>
        <w:rPr>
          <w:rFonts w:ascii="標楷體" w:hAnsi="標楷體"/>
          <w:spacing w:val="-6"/>
          <w:sz w:val="20"/>
        </w:rPr>
      </w:pPr>
      <w:r w:rsidRPr="00AB3200">
        <w:rPr>
          <w:rFonts w:ascii="標楷體" w:hAnsi="標楷體"/>
          <w:sz w:val="20"/>
        </w:rPr>
        <w:t>韓國－Statistics Database (http://www.nso.go.kr/eng2006/emain/index.html)</w:t>
      </w:r>
    </w:p>
    <w:p w:rsidR="00203F6C" w:rsidRPr="00AB3200" w:rsidRDefault="00203F6C" w:rsidP="00203F6C">
      <w:pPr>
        <w:spacing w:line="240" w:lineRule="exact"/>
        <w:ind w:leftChars="208" w:left="708" w:right="26" w:firstLineChars="64" w:firstLine="141"/>
        <w:rPr>
          <w:rFonts w:ascii="標楷體" w:hAnsi="標楷體"/>
          <w:sz w:val="20"/>
        </w:rPr>
      </w:pPr>
      <w:r w:rsidRPr="00AB3200">
        <w:rPr>
          <w:rFonts w:ascii="標楷體" w:hAnsi="標楷體"/>
          <w:sz w:val="20"/>
        </w:rPr>
        <w:t>日本－</w:t>
      </w:r>
      <w:proofErr w:type="gramStart"/>
      <w:r w:rsidRPr="00AB3200">
        <w:rPr>
          <w:rFonts w:ascii="標楷體" w:hAnsi="標楷體"/>
          <w:sz w:val="20"/>
        </w:rPr>
        <w:t>勞</w:t>
      </w:r>
      <w:proofErr w:type="gramEnd"/>
      <w:r w:rsidRPr="00AB3200">
        <w:rPr>
          <w:rFonts w:ascii="標楷體" w:hAnsi="標楷體"/>
          <w:sz w:val="20"/>
        </w:rPr>
        <w:t>働力調查(岩手縣、宮城縣、福島縣除外)</w:t>
      </w:r>
    </w:p>
    <w:p w:rsidR="00203F6C" w:rsidRPr="00AB3200" w:rsidRDefault="00203F6C" w:rsidP="00203F6C">
      <w:pPr>
        <w:spacing w:line="240" w:lineRule="exact"/>
        <w:ind w:leftChars="208" w:left="708" w:right="26" w:firstLineChars="64" w:firstLine="141"/>
        <w:rPr>
          <w:rFonts w:ascii="標楷體" w:hAnsi="標楷體"/>
          <w:sz w:val="20"/>
        </w:rPr>
      </w:pPr>
      <w:r w:rsidRPr="00AB3200">
        <w:rPr>
          <w:rFonts w:ascii="標楷體" w:hAnsi="標楷體"/>
          <w:sz w:val="20"/>
        </w:rPr>
        <w:t>OECD (http://stats.oecd.org/Index.aspx?DataSetCode=LFS_SEXAGE_I_R)</w:t>
      </w:r>
    </w:p>
    <w:p w:rsidR="00203F6C" w:rsidRPr="00AB3200" w:rsidRDefault="00203F6C" w:rsidP="00203F6C">
      <w:pPr>
        <w:pStyle w:val="3"/>
        <w:numPr>
          <w:ilvl w:val="0"/>
          <w:numId w:val="0"/>
        </w:numPr>
        <w:spacing w:line="240" w:lineRule="exact"/>
        <w:ind w:left="1" w:rightChars="-275" w:right="-935" w:firstLineChars="386" w:firstLine="850"/>
        <w:jc w:val="left"/>
        <w:rPr>
          <w:rFonts w:hAnsi="標楷體"/>
        </w:rPr>
      </w:pPr>
      <w:bookmarkStart w:id="29" w:name="_Toc393464341"/>
      <w:r w:rsidRPr="00AB3200">
        <w:rPr>
          <w:rFonts w:hAnsi="標楷體"/>
          <w:sz w:val="20"/>
          <w:szCs w:val="20"/>
        </w:rPr>
        <w:t>歐盟統計局(http://epp.eurostat.ec.europa.eu/portal/page/portal/eurostat/home/)</w:t>
      </w:r>
      <w:bookmarkEnd w:id="29"/>
    </w:p>
    <w:p w:rsidR="00203F6C" w:rsidRPr="00AB3200" w:rsidRDefault="00203F6C" w:rsidP="00203F6C">
      <w:pPr>
        <w:pStyle w:val="4"/>
        <w:ind w:left="1843" w:hanging="709"/>
        <w:rPr>
          <w:rFonts w:hAnsi="標楷體"/>
        </w:rPr>
      </w:pPr>
      <w:r w:rsidRPr="00AB3200">
        <w:rPr>
          <w:rFonts w:hAnsi="標楷體"/>
        </w:rPr>
        <w:t>我國歷年青年失業率與整體失業率同受國際及國內經濟情勢影響，變化趨勢相似，其中67年青年（15至24歲）失業率3.86％，較整體失業率（1.67％）約高2.19個百分點，</w:t>
      </w:r>
      <w:proofErr w:type="gramStart"/>
      <w:r w:rsidRPr="00AB3200">
        <w:rPr>
          <w:rFonts w:hAnsi="標楷體"/>
        </w:rPr>
        <w:t>嗣</w:t>
      </w:r>
      <w:proofErr w:type="gramEnd"/>
      <w:r w:rsidRPr="00AB3200">
        <w:rPr>
          <w:rFonts w:hAnsi="標楷體"/>
        </w:rPr>
        <w:t>即逐年擴大差距，至89年以前雖尚能維持兩者差距於5</w:t>
      </w:r>
      <w:r w:rsidRPr="00AB3200">
        <w:rPr>
          <w:rFonts w:hAnsi="標楷體" w:hint="eastAsia"/>
        </w:rPr>
        <w:t>%</w:t>
      </w:r>
      <w:proofErr w:type="gramStart"/>
      <w:r w:rsidRPr="00AB3200">
        <w:rPr>
          <w:rFonts w:hAnsi="標楷體"/>
        </w:rPr>
        <w:t>以內，</w:t>
      </w:r>
      <w:proofErr w:type="gramEnd"/>
      <w:r w:rsidRPr="00AB3200">
        <w:rPr>
          <w:rFonts w:hAnsi="標楷體"/>
        </w:rPr>
        <w:t>惟9</w:t>
      </w:r>
      <w:r w:rsidRPr="00AB3200">
        <w:rPr>
          <w:rFonts w:hAnsi="標楷體" w:hint="eastAsia"/>
        </w:rPr>
        <w:t>1</w:t>
      </w:r>
      <w:r w:rsidRPr="00AB3200">
        <w:rPr>
          <w:rFonts w:hAnsi="標楷體"/>
        </w:rPr>
        <w:t>至10</w:t>
      </w:r>
      <w:r w:rsidRPr="00AB3200">
        <w:rPr>
          <w:rFonts w:hAnsi="標楷體" w:hint="eastAsia"/>
        </w:rPr>
        <w:t>3</w:t>
      </w:r>
      <w:r w:rsidRPr="00AB3200">
        <w:rPr>
          <w:rFonts w:hAnsi="標楷體"/>
        </w:rPr>
        <w:t>年</w:t>
      </w:r>
      <w:r w:rsidRPr="00AB3200">
        <w:rPr>
          <w:rFonts w:hAnsi="標楷體" w:hint="eastAsia"/>
        </w:rPr>
        <w:t>4月間15至24歲二年齡層之</w:t>
      </w:r>
      <w:r w:rsidRPr="00AB3200">
        <w:rPr>
          <w:rFonts w:hAnsi="標楷體"/>
        </w:rPr>
        <w:t>青年失業率</w:t>
      </w:r>
      <w:r w:rsidRPr="00AB3200">
        <w:rPr>
          <w:rFonts w:hAnsi="標楷體" w:hint="eastAsia"/>
        </w:rPr>
        <w:t>月為9.17%及13.16%，</w:t>
      </w:r>
      <w:r w:rsidRPr="00AB3200">
        <w:rPr>
          <w:rFonts w:hAnsi="標楷體"/>
        </w:rPr>
        <w:t>與整體失業率差距</w:t>
      </w:r>
      <w:r w:rsidRPr="00AB3200">
        <w:rPr>
          <w:rFonts w:hAnsi="標楷體" w:hint="eastAsia"/>
        </w:rPr>
        <w:t>已</w:t>
      </w:r>
      <w:r w:rsidRPr="00AB3200">
        <w:rPr>
          <w:rFonts w:hAnsi="標楷體"/>
        </w:rPr>
        <w:t>逾5</w:t>
      </w:r>
      <w:r w:rsidRPr="00AB3200">
        <w:rPr>
          <w:rFonts w:hAnsi="標楷體" w:hint="eastAsia"/>
        </w:rPr>
        <w:t>%</w:t>
      </w:r>
      <w:r w:rsidRPr="00AB3200">
        <w:rPr>
          <w:rFonts w:hAnsi="標楷體"/>
        </w:rPr>
        <w:t>以上，10</w:t>
      </w:r>
      <w:r w:rsidRPr="00AB3200">
        <w:rPr>
          <w:rFonts w:hAnsi="標楷體" w:hint="eastAsia"/>
        </w:rPr>
        <w:t>3</w:t>
      </w:r>
      <w:r w:rsidRPr="00AB3200">
        <w:rPr>
          <w:rFonts w:hAnsi="標楷體"/>
        </w:rPr>
        <w:t>年</w:t>
      </w:r>
      <w:r w:rsidRPr="00AB3200">
        <w:rPr>
          <w:rFonts w:hAnsi="標楷體" w:hint="eastAsia"/>
        </w:rPr>
        <w:t>1至4月</w:t>
      </w:r>
      <w:r w:rsidRPr="00AB3200">
        <w:rPr>
          <w:rFonts w:hAnsi="標楷體"/>
        </w:rPr>
        <w:t>青年（15至24歲）平均失業率1</w:t>
      </w:r>
      <w:r w:rsidRPr="00AB3200">
        <w:rPr>
          <w:rFonts w:hAnsi="標楷體" w:hint="eastAsia"/>
        </w:rPr>
        <w:t>2</w:t>
      </w:r>
      <w:r w:rsidRPr="00AB3200">
        <w:rPr>
          <w:rFonts w:hAnsi="標楷體"/>
        </w:rPr>
        <w:t>.</w:t>
      </w:r>
      <w:r w:rsidRPr="00AB3200">
        <w:rPr>
          <w:rFonts w:hAnsi="標楷體" w:hint="eastAsia"/>
        </w:rPr>
        <w:t>61</w:t>
      </w:r>
      <w:r w:rsidRPr="00AB3200">
        <w:rPr>
          <w:rFonts w:hAnsi="標楷體"/>
        </w:rPr>
        <w:t>％，為整體失業率4.</w:t>
      </w:r>
      <w:r w:rsidRPr="00AB3200">
        <w:rPr>
          <w:rFonts w:hAnsi="標楷體" w:hint="eastAsia"/>
        </w:rPr>
        <w:t>01</w:t>
      </w:r>
      <w:r w:rsidRPr="00AB3200">
        <w:rPr>
          <w:rFonts w:hAnsi="標楷體"/>
        </w:rPr>
        <w:t>％之3倍餘，且高出</w:t>
      </w:r>
      <w:r w:rsidRPr="00AB3200">
        <w:rPr>
          <w:rFonts w:hAnsi="標楷體" w:hint="eastAsia"/>
        </w:rPr>
        <w:t>8.6</w:t>
      </w:r>
      <w:r w:rsidRPr="00AB3200">
        <w:rPr>
          <w:rFonts w:hAnsi="標楷體"/>
        </w:rPr>
        <w:t>個百分點。另我國25至29歲青年失業率雖較15至24歲青年為低，與整體失業率差距亦較為相近，如67至9</w:t>
      </w:r>
      <w:r w:rsidRPr="00AB3200">
        <w:rPr>
          <w:rFonts w:hAnsi="標楷體" w:hint="eastAsia"/>
        </w:rPr>
        <w:t>4</w:t>
      </w:r>
      <w:r w:rsidRPr="00AB3200">
        <w:rPr>
          <w:rFonts w:hAnsi="標楷體"/>
        </w:rPr>
        <w:t>年間</w:t>
      </w:r>
      <w:r w:rsidRPr="00AB3200">
        <w:rPr>
          <w:rFonts w:hAnsi="標楷體" w:hint="eastAsia"/>
        </w:rPr>
        <w:lastRenderedPageBreak/>
        <w:t>25</w:t>
      </w:r>
      <w:r w:rsidRPr="00AB3200">
        <w:rPr>
          <w:rFonts w:hAnsi="標楷體"/>
        </w:rPr>
        <w:t>至</w:t>
      </w:r>
      <w:r w:rsidRPr="00AB3200">
        <w:rPr>
          <w:rFonts w:hAnsi="標楷體" w:hint="eastAsia"/>
        </w:rPr>
        <w:t>29</w:t>
      </w:r>
      <w:r w:rsidRPr="00AB3200">
        <w:rPr>
          <w:rFonts w:hAnsi="標楷體"/>
        </w:rPr>
        <w:t>歲青年失業率與整體失業率差距</w:t>
      </w:r>
      <w:proofErr w:type="gramStart"/>
      <w:r w:rsidRPr="00AB3200">
        <w:rPr>
          <w:rFonts w:hAnsi="標楷體"/>
        </w:rPr>
        <w:t>均於2</w:t>
      </w:r>
      <w:r w:rsidRPr="00AB3200">
        <w:rPr>
          <w:rFonts w:hAnsi="標楷體" w:hint="eastAsia"/>
        </w:rPr>
        <w:t>%</w:t>
      </w:r>
      <w:r w:rsidRPr="00AB3200">
        <w:rPr>
          <w:rFonts w:hAnsi="標楷體"/>
        </w:rPr>
        <w:t>以內，</w:t>
      </w:r>
      <w:proofErr w:type="gramEnd"/>
      <w:r w:rsidRPr="00AB3200">
        <w:rPr>
          <w:rFonts w:hAnsi="標楷體"/>
        </w:rPr>
        <w:t>惟逐年擴大差距，10</w:t>
      </w:r>
      <w:r w:rsidRPr="00AB3200">
        <w:rPr>
          <w:rFonts w:hAnsi="標楷體" w:hint="eastAsia"/>
        </w:rPr>
        <w:t>3</w:t>
      </w:r>
      <w:r w:rsidRPr="00AB3200">
        <w:rPr>
          <w:rFonts w:hAnsi="標楷體"/>
        </w:rPr>
        <w:t>年</w:t>
      </w:r>
      <w:r w:rsidRPr="00AB3200">
        <w:rPr>
          <w:rFonts w:hAnsi="標楷體" w:hint="eastAsia"/>
        </w:rPr>
        <w:t>1至4月</w:t>
      </w:r>
      <w:r w:rsidRPr="00AB3200">
        <w:rPr>
          <w:rFonts w:hAnsi="標楷體"/>
        </w:rPr>
        <w:t>兩者差距已達2.9</w:t>
      </w:r>
      <w:r w:rsidRPr="00AB3200">
        <w:rPr>
          <w:rFonts w:hAnsi="標楷體" w:hint="eastAsia"/>
        </w:rPr>
        <w:t>5%</w:t>
      </w:r>
      <w:r w:rsidRPr="00AB3200">
        <w:rPr>
          <w:rFonts w:hAnsi="標楷體"/>
        </w:rPr>
        <w:t>。顯示國內青年失業問題益趨嚴重，未能獲得有效解決，與整體失業率差距漸趨擴大。</w:t>
      </w:r>
    </w:p>
    <w:p w:rsidR="00203F6C" w:rsidRPr="00AB3200" w:rsidRDefault="00203F6C" w:rsidP="00203F6C">
      <w:pPr>
        <w:pStyle w:val="4"/>
        <w:ind w:left="1843" w:hanging="709"/>
        <w:rPr>
          <w:rFonts w:hAnsi="標楷體"/>
        </w:rPr>
      </w:pPr>
      <w:r w:rsidRPr="00AB3200">
        <w:rPr>
          <w:rFonts w:hAnsi="標楷體"/>
        </w:rPr>
        <w:t>近年青年長期失業者人數由95年2萬人增至102年上半年之3.1萬，占全體長期失業者比率則在</w:t>
      </w:r>
      <w:proofErr w:type="gramStart"/>
      <w:r w:rsidRPr="00AB3200">
        <w:rPr>
          <w:rFonts w:hAnsi="標楷體"/>
        </w:rPr>
        <w:t>3成</w:t>
      </w:r>
      <w:proofErr w:type="gramEnd"/>
      <w:r w:rsidRPr="00AB3200">
        <w:rPr>
          <w:rFonts w:hAnsi="標楷體"/>
        </w:rPr>
        <w:t>2至</w:t>
      </w:r>
      <w:proofErr w:type="gramStart"/>
      <w:r w:rsidRPr="00AB3200">
        <w:rPr>
          <w:rFonts w:hAnsi="標楷體"/>
        </w:rPr>
        <w:t>4成</w:t>
      </w:r>
      <w:proofErr w:type="gramEnd"/>
      <w:r w:rsidRPr="00AB3200">
        <w:rPr>
          <w:rFonts w:hAnsi="標楷體"/>
        </w:rPr>
        <w:t>1</w:t>
      </w:r>
      <w:proofErr w:type="gramStart"/>
      <w:r w:rsidRPr="00AB3200">
        <w:rPr>
          <w:rFonts w:hAnsi="標楷體"/>
        </w:rPr>
        <w:t>之間，</w:t>
      </w:r>
      <w:proofErr w:type="gramEnd"/>
      <w:r w:rsidRPr="00AB3200">
        <w:rPr>
          <w:rFonts w:hAnsi="標楷體"/>
        </w:rPr>
        <w:t>青年因初次尋職長期失業者人數則由0.9萬人增至1.4萬人，占全體長期失業者比率亦由16.53%增至18.17%。</w:t>
      </w:r>
      <w:r w:rsidRPr="00AB3200">
        <w:rPr>
          <w:rFonts w:hAnsi="標楷體" w:hint="eastAsia"/>
        </w:rPr>
        <w:t>顯示，青年長期失業問題嚴重，且占全體長期失業者之比率有上升之趨勢</w:t>
      </w:r>
      <w:r w:rsidRPr="00AB3200">
        <w:rPr>
          <w:rFonts w:hAnsi="標楷體"/>
        </w:rPr>
        <w:t>。</w:t>
      </w:r>
    </w:p>
    <w:p w:rsidR="00203F6C" w:rsidRPr="00AB3200" w:rsidRDefault="00203F6C" w:rsidP="00203F6C">
      <w:pPr>
        <w:pStyle w:val="4"/>
        <w:numPr>
          <w:ilvl w:val="0"/>
          <w:numId w:val="0"/>
        </w:numPr>
        <w:spacing w:line="240" w:lineRule="exact"/>
        <w:ind w:left="1741"/>
        <w:jc w:val="right"/>
        <w:rPr>
          <w:rFonts w:hAnsi="標楷體"/>
          <w:kern w:val="0"/>
          <w:sz w:val="20"/>
          <w:szCs w:val="20"/>
        </w:rPr>
      </w:pPr>
    </w:p>
    <w:p w:rsidR="00203F6C" w:rsidRPr="00AB3200" w:rsidRDefault="00203F6C" w:rsidP="00203F6C">
      <w:pPr>
        <w:pStyle w:val="4"/>
        <w:numPr>
          <w:ilvl w:val="0"/>
          <w:numId w:val="0"/>
        </w:numPr>
        <w:spacing w:line="240" w:lineRule="exact"/>
        <w:ind w:left="1741"/>
        <w:jc w:val="right"/>
        <w:rPr>
          <w:rFonts w:hAnsi="標楷體"/>
          <w:kern w:val="0"/>
          <w:sz w:val="20"/>
          <w:szCs w:val="20"/>
        </w:rPr>
      </w:pPr>
    </w:p>
    <w:p w:rsidR="00203F6C" w:rsidRPr="00AB3200" w:rsidRDefault="00203F6C" w:rsidP="00203F6C">
      <w:pPr>
        <w:pStyle w:val="4"/>
        <w:numPr>
          <w:ilvl w:val="0"/>
          <w:numId w:val="0"/>
        </w:numPr>
        <w:spacing w:line="240" w:lineRule="exact"/>
        <w:ind w:left="1741"/>
        <w:jc w:val="right"/>
        <w:rPr>
          <w:rFonts w:hAnsi="標楷體"/>
          <w:sz w:val="28"/>
          <w:szCs w:val="28"/>
        </w:rPr>
      </w:pPr>
      <w:r w:rsidRPr="00AB3200">
        <w:rPr>
          <w:rFonts w:hAnsi="標楷體"/>
          <w:kern w:val="0"/>
          <w:sz w:val="20"/>
          <w:szCs w:val="20"/>
        </w:rPr>
        <w:t>單位：千人、%</w:t>
      </w:r>
    </w:p>
    <w:tbl>
      <w:tblPr>
        <w:tblW w:w="4598" w:type="pct"/>
        <w:tblInd w:w="910" w:type="dxa"/>
        <w:tblCellMar>
          <w:left w:w="28" w:type="dxa"/>
          <w:right w:w="28" w:type="dxa"/>
        </w:tblCellMar>
        <w:tblLook w:val="0000"/>
      </w:tblPr>
      <w:tblGrid>
        <w:gridCol w:w="1764"/>
        <w:gridCol w:w="1183"/>
        <w:gridCol w:w="1701"/>
        <w:gridCol w:w="992"/>
        <w:gridCol w:w="1483"/>
        <w:gridCol w:w="1061"/>
      </w:tblGrid>
      <w:tr w:rsidR="00203F6C" w:rsidRPr="00AB3200" w:rsidTr="00203F6C">
        <w:trPr>
          <w:trHeight w:val="186"/>
          <w:tblHeader/>
        </w:trPr>
        <w:tc>
          <w:tcPr>
            <w:tcW w:w="1078" w:type="pct"/>
            <w:tcBorders>
              <w:top w:val="single" w:sz="4" w:space="0" w:color="auto"/>
              <w:left w:val="single" w:sz="4" w:space="0" w:color="auto"/>
              <w:bottom w:val="single" w:sz="4" w:space="0" w:color="auto"/>
              <w:right w:val="single" w:sz="4" w:space="0" w:color="auto"/>
            </w:tcBorders>
            <w:shd w:val="clear" w:color="auto" w:fill="auto"/>
            <w:vAlign w:val="center"/>
          </w:tcPr>
          <w:p w:rsidR="00203F6C" w:rsidRPr="00AB3200" w:rsidRDefault="00203F6C" w:rsidP="00203F6C">
            <w:pPr>
              <w:widowControl/>
              <w:spacing w:line="240" w:lineRule="exact"/>
              <w:jc w:val="center"/>
              <w:rPr>
                <w:rFonts w:ascii="標楷體" w:hAnsi="標楷體"/>
                <w:kern w:val="0"/>
                <w:sz w:val="20"/>
              </w:rPr>
            </w:pP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203F6C" w:rsidRPr="00AB3200" w:rsidRDefault="00203F6C" w:rsidP="00203F6C">
            <w:pPr>
              <w:widowControl/>
              <w:spacing w:line="240" w:lineRule="exact"/>
              <w:ind w:rightChars="-17" w:right="-58"/>
              <w:jc w:val="center"/>
              <w:rPr>
                <w:rFonts w:ascii="標楷體" w:hAnsi="標楷體"/>
                <w:sz w:val="20"/>
              </w:rPr>
            </w:pPr>
            <w:r w:rsidRPr="00AB3200">
              <w:rPr>
                <w:rFonts w:ascii="標楷體" w:hAnsi="標楷體"/>
                <w:sz w:val="20"/>
              </w:rPr>
              <w:t>長期失業者</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rsidR="00203F6C" w:rsidRPr="00AB3200" w:rsidRDefault="00203F6C" w:rsidP="00203F6C">
            <w:pPr>
              <w:widowControl/>
              <w:spacing w:line="240" w:lineRule="exact"/>
              <w:ind w:rightChars="-15" w:right="-51"/>
              <w:jc w:val="center"/>
              <w:rPr>
                <w:rFonts w:ascii="標楷體" w:hAnsi="標楷體"/>
                <w:sz w:val="20"/>
              </w:rPr>
            </w:pPr>
            <w:r w:rsidRPr="00AB3200">
              <w:rPr>
                <w:rFonts w:ascii="標楷體" w:hAnsi="標楷體"/>
                <w:sz w:val="20"/>
              </w:rPr>
              <w:t>青年(15～29歲)長期失業者</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rsidR="00203F6C" w:rsidRPr="00AB3200" w:rsidRDefault="00203F6C" w:rsidP="00203F6C">
            <w:pPr>
              <w:widowControl/>
              <w:spacing w:line="240" w:lineRule="exact"/>
              <w:jc w:val="center"/>
              <w:rPr>
                <w:rFonts w:ascii="標楷體" w:hAnsi="標楷體"/>
                <w:sz w:val="20"/>
              </w:rPr>
            </w:pPr>
            <w:r w:rsidRPr="00AB3200">
              <w:rPr>
                <w:rFonts w:ascii="標楷體" w:hAnsi="標楷體"/>
                <w:sz w:val="20"/>
              </w:rPr>
              <w:t>占長期失業者比率</w:t>
            </w:r>
          </w:p>
        </w:tc>
        <w:tc>
          <w:tcPr>
            <w:tcW w:w="906" w:type="pct"/>
            <w:tcBorders>
              <w:top w:val="single" w:sz="4" w:space="0" w:color="auto"/>
              <w:left w:val="single" w:sz="4" w:space="0" w:color="auto"/>
              <w:right w:val="single" w:sz="4" w:space="0" w:color="auto"/>
            </w:tcBorders>
            <w:shd w:val="clear" w:color="auto" w:fill="auto"/>
            <w:vAlign w:val="center"/>
          </w:tcPr>
          <w:p w:rsidR="00203F6C" w:rsidRPr="00AB3200" w:rsidRDefault="00203F6C" w:rsidP="00203F6C">
            <w:pPr>
              <w:spacing w:line="240" w:lineRule="exact"/>
              <w:jc w:val="center"/>
              <w:rPr>
                <w:rFonts w:ascii="標楷體" w:hAnsi="標楷體"/>
                <w:sz w:val="20"/>
              </w:rPr>
            </w:pPr>
            <w:r w:rsidRPr="00AB3200">
              <w:rPr>
                <w:rFonts w:ascii="標楷體" w:hAnsi="標楷體"/>
                <w:sz w:val="20"/>
              </w:rPr>
              <w:t>青年因初次尋職長期失業者</w:t>
            </w:r>
          </w:p>
        </w:tc>
        <w:tc>
          <w:tcPr>
            <w:tcW w:w="649" w:type="pct"/>
            <w:tcBorders>
              <w:top w:val="single" w:sz="4" w:space="0" w:color="auto"/>
              <w:left w:val="single" w:sz="4" w:space="0" w:color="auto"/>
              <w:right w:val="single" w:sz="4" w:space="0" w:color="auto"/>
            </w:tcBorders>
            <w:shd w:val="clear" w:color="auto" w:fill="auto"/>
            <w:vAlign w:val="center"/>
          </w:tcPr>
          <w:p w:rsidR="00203F6C" w:rsidRPr="00AB3200" w:rsidRDefault="00203F6C" w:rsidP="00203F6C">
            <w:pPr>
              <w:widowControl/>
              <w:spacing w:line="240" w:lineRule="exact"/>
              <w:jc w:val="center"/>
              <w:rPr>
                <w:rFonts w:ascii="標楷體" w:hAnsi="標楷體"/>
                <w:sz w:val="20"/>
              </w:rPr>
            </w:pPr>
            <w:r w:rsidRPr="00AB3200">
              <w:rPr>
                <w:rFonts w:ascii="標楷體" w:hAnsi="標楷體"/>
                <w:sz w:val="20"/>
              </w:rPr>
              <w:t>占長期失業者比率</w:t>
            </w:r>
          </w:p>
        </w:tc>
      </w:tr>
      <w:tr w:rsidR="00203F6C" w:rsidRPr="00AB3200" w:rsidTr="00203F6C">
        <w:trPr>
          <w:trHeight w:hRule="exact" w:val="270"/>
        </w:trPr>
        <w:tc>
          <w:tcPr>
            <w:tcW w:w="10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3F6C" w:rsidRPr="00AB3200" w:rsidRDefault="00203F6C" w:rsidP="00203F6C">
            <w:pPr>
              <w:widowControl/>
              <w:spacing w:line="240" w:lineRule="exact"/>
              <w:jc w:val="center"/>
              <w:rPr>
                <w:rFonts w:ascii="標楷體" w:hAnsi="標楷體"/>
                <w:kern w:val="0"/>
                <w:sz w:val="20"/>
              </w:rPr>
            </w:pPr>
            <w:r w:rsidRPr="00AB3200">
              <w:rPr>
                <w:rFonts w:ascii="標楷體" w:hAnsi="標楷體"/>
                <w:kern w:val="0"/>
                <w:sz w:val="20"/>
              </w:rPr>
              <w:t>95年平均</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203F6C" w:rsidRPr="00AB3200" w:rsidRDefault="00203F6C" w:rsidP="00203F6C">
            <w:pPr>
              <w:widowControl/>
              <w:spacing w:line="240" w:lineRule="exact"/>
              <w:jc w:val="right"/>
              <w:rPr>
                <w:rFonts w:ascii="標楷體" w:hAnsi="標楷體"/>
                <w:kern w:val="0"/>
                <w:sz w:val="20"/>
              </w:rPr>
            </w:pPr>
            <w:r w:rsidRPr="00AB3200">
              <w:rPr>
                <w:rFonts w:ascii="標楷體" w:hAnsi="標楷體"/>
                <w:kern w:val="0"/>
                <w:sz w:val="20"/>
              </w:rPr>
              <w:t>56</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rsidR="00203F6C" w:rsidRPr="00AB3200" w:rsidRDefault="00203F6C" w:rsidP="00203F6C">
            <w:pPr>
              <w:widowControl/>
              <w:spacing w:line="240" w:lineRule="exact"/>
              <w:jc w:val="right"/>
              <w:rPr>
                <w:rFonts w:ascii="標楷體" w:hAnsi="標楷體"/>
                <w:kern w:val="0"/>
                <w:sz w:val="20"/>
              </w:rPr>
            </w:pPr>
            <w:r w:rsidRPr="00AB3200">
              <w:rPr>
                <w:rFonts w:ascii="標楷體" w:hAnsi="標楷體"/>
                <w:kern w:val="0"/>
                <w:sz w:val="20"/>
              </w:rPr>
              <w:t>20</w:t>
            </w:r>
          </w:p>
        </w:tc>
        <w:tc>
          <w:tcPr>
            <w:tcW w:w="606"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3F6C" w:rsidRPr="00AB3200" w:rsidRDefault="00203F6C" w:rsidP="00203F6C">
            <w:pPr>
              <w:widowControl/>
              <w:spacing w:line="240" w:lineRule="exact"/>
              <w:jc w:val="right"/>
              <w:rPr>
                <w:rFonts w:ascii="標楷體" w:hAnsi="標楷體"/>
                <w:kern w:val="0"/>
                <w:sz w:val="20"/>
              </w:rPr>
            </w:pPr>
            <w:r w:rsidRPr="00AB3200">
              <w:rPr>
                <w:rFonts w:ascii="標楷體" w:hAnsi="標楷體"/>
                <w:kern w:val="0"/>
                <w:sz w:val="20"/>
              </w:rPr>
              <w:t>35.35</w:t>
            </w:r>
          </w:p>
        </w:tc>
        <w:tc>
          <w:tcPr>
            <w:tcW w:w="906" w:type="pct"/>
            <w:tcBorders>
              <w:top w:val="single" w:sz="4" w:space="0" w:color="auto"/>
              <w:left w:val="single" w:sz="4" w:space="0" w:color="auto"/>
              <w:bottom w:val="single" w:sz="4" w:space="0" w:color="auto"/>
              <w:right w:val="single" w:sz="4" w:space="0" w:color="auto"/>
            </w:tcBorders>
            <w:shd w:val="clear" w:color="auto" w:fill="auto"/>
            <w:vAlign w:val="center"/>
          </w:tcPr>
          <w:p w:rsidR="00203F6C" w:rsidRPr="00AB3200" w:rsidRDefault="00203F6C" w:rsidP="00203F6C">
            <w:pPr>
              <w:widowControl/>
              <w:spacing w:line="240" w:lineRule="exact"/>
              <w:jc w:val="right"/>
              <w:rPr>
                <w:rFonts w:ascii="標楷體" w:hAnsi="標楷體"/>
                <w:kern w:val="0"/>
                <w:sz w:val="20"/>
              </w:rPr>
            </w:pPr>
            <w:r w:rsidRPr="00AB3200">
              <w:rPr>
                <w:rFonts w:ascii="標楷體" w:hAnsi="標楷體"/>
                <w:kern w:val="0"/>
                <w:sz w:val="20"/>
              </w:rPr>
              <w:t>9</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3F6C" w:rsidRPr="00AB3200" w:rsidRDefault="00203F6C" w:rsidP="00203F6C">
            <w:pPr>
              <w:widowControl/>
              <w:spacing w:line="240" w:lineRule="exact"/>
              <w:jc w:val="right"/>
              <w:rPr>
                <w:rFonts w:ascii="標楷體" w:hAnsi="標楷體"/>
                <w:kern w:val="0"/>
                <w:sz w:val="20"/>
              </w:rPr>
            </w:pPr>
            <w:r w:rsidRPr="00AB3200">
              <w:rPr>
                <w:rFonts w:ascii="標楷體" w:hAnsi="標楷體"/>
                <w:kern w:val="0"/>
                <w:sz w:val="20"/>
              </w:rPr>
              <w:t>16.53</w:t>
            </w:r>
          </w:p>
        </w:tc>
      </w:tr>
      <w:tr w:rsidR="00203F6C" w:rsidRPr="00AB3200" w:rsidTr="00203F6C">
        <w:trPr>
          <w:trHeight w:hRule="exact" w:val="274"/>
        </w:trPr>
        <w:tc>
          <w:tcPr>
            <w:tcW w:w="10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3F6C" w:rsidRPr="00AB3200" w:rsidRDefault="00203F6C" w:rsidP="00203F6C">
            <w:pPr>
              <w:widowControl/>
              <w:spacing w:line="240" w:lineRule="exact"/>
              <w:jc w:val="center"/>
              <w:rPr>
                <w:rFonts w:ascii="標楷體" w:hAnsi="標楷體"/>
                <w:kern w:val="0"/>
                <w:sz w:val="20"/>
              </w:rPr>
            </w:pPr>
            <w:r w:rsidRPr="00AB3200">
              <w:rPr>
                <w:rFonts w:ascii="標楷體" w:hAnsi="標楷體"/>
                <w:kern w:val="0"/>
                <w:sz w:val="20"/>
              </w:rPr>
              <w:t>96年平均</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203F6C" w:rsidRPr="00AB3200" w:rsidRDefault="00203F6C" w:rsidP="00203F6C">
            <w:pPr>
              <w:widowControl/>
              <w:spacing w:line="240" w:lineRule="exact"/>
              <w:jc w:val="right"/>
              <w:rPr>
                <w:rFonts w:ascii="標楷體" w:hAnsi="標楷體"/>
                <w:kern w:val="0"/>
                <w:sz w:val="20"/>
              </w:rPr>
            </w:pPr>
            <w:r w:rsidRPr="00AB3200">
              <w:rPr>
                <w:rFonts w:ascii="標楷體" w:hAnsi="標楷體"/>
                <w:kern w:val="0"/>
                <w:sz w:val="20"/>
              </w:rPr>
              <w:t>58</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rsidR="00203F6C" w:rsidRPr="00AB3200" w:rsidRDefault="00203F6C" w:rsidP="00203F6C">
            <w:pPr>
              <w:widowControl/>
              <w:spacing w:line="240" w:lineRule="exact"/>
              <w:jc w:val="right"/>
              <w:rPr>
                <w:rFonts w:ascii="標楷體" w:hAnsi="標楷體"/>
                <w:kern w:val="0"/>
                <w:sz w:val="20"/>
              </w:rPr>
            </w:pPr>
            <w:r w:rsidRPr="00AB3200">
              <w:rPr>
                <w:rFonts w:ascii="標楷體" w:hAnsi="標楷體"/>
                <w:kern w:val="0"/>
                <w:sz w:val="20"/>
              </w:rPr>
              <w:t>21</w:t>
            </w:r>
          </w:p>
        </w:tc>
        <w:tc>
          <w:tcPr>
            <w:tcW w:w="606"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3F6C" w:rsidRPr="00AB3200" w:rsidRDefault="00203F6C" w:rsidP="00203F6C">
            <w:pPr>
              <w:widowControl/>
              <w:spacing w:line="240" w:lineRule="exact"/>
              <w:jc w:val="right"/>
              <w:rPr>
                <w:rFonts w:ascii="標楷體" w:hAnsi="標楷體"/>
                <w:kern w:val="0"/>
                <w:sz w:val="20"/>
              </w:rPr>
            </w:pPr>
            <w:r w:rsidRPr="00AB3200">
              <w:rPr>
                <w:rFonts w:ascii="標楷體" w:hAnsi="標楷體"/>
                <w:kern w:val="0"/>
                <w:sz w:val="20"/>
              </w:rPr>
              <w:t>35.43</w:t>
            </w:r>
          </w:p>
        </w:tc>
        <w:tc>
          <w:tcPr>
            <w:tcW w:w="906" w:type="pct"/>
            <w:tcBorders>
              <w:top w:val="single" w:sz="4" w:space="0" w:color="auto"/>
              <w:left w:val="single" w:sz="4" w:space="0" w:color="auto"/>
              <w:bottom w:val="single" w:sz="4" w:space="0" w:color="auto"/>
              <w:right w:val="single" w:sz="4" w:space="0" w:color="auto"/>
            </w:tcBorders>
            <w:shd w:val="clear" w:color="auto" w:fill="auto"/>
            <w:vAlign w:val="center"/>
          </w:tcPr>
          <w:p w:rsidR="00203F6C" w:rsidRPr="00AB3200" w:rsidRDefault="00203F6C" w:rsidP="00203F6C">
            <w:pPr>
              <w:widowControl/>
              <w:spacing w:line="240" w:lineRule="exact"/>
              <w:jc w:val="right"/>
              <w:rPr>
                <w:rFonts w:ascii="標楷體" w:hAnsi="標楷體"/>
                <w:kern w:val="0"/>
                <w:sz w:val="20"/>
              </w:rPr>
            </w:pPr>
            <w:r w:rsidRPr="00AB3200">
              <w:rPr>
                <w:rFonts w:ascii="標楷體" w:hAnsi="標楷體"/>
                <w:kern w:val="0"/>
                <w:sz w:val="20"/>
              </w:rPr>
              <w:t>9</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3F6C" w:rsidRPr="00AB3200" w:rsidRDefault="00203F6C" w:rsidP="00203F6C">
            <w:pPr>
              <w:widowControl/>
              <w:spacing w:line="240" w:lineRule="exact"/>
              <w:jc w:val="right"/>
              <w:rPr>
                <w:rFonts w:ascii="標楷體" w:hAnsi="標楷體"/>
                <w:kern w:val="0"/>
                <w:sz w:val="20"/>
              </w:rPr>
            </w:pPr>
            <w:r w:rsidRPr="00AB3200">
              <w:rPr>
                <w:rFonts w:ascii="標楷體" w:hAnsi="標楷體"/>
                <w:kern w:val="0"/>
                <w:sz w:val="20"/>
              </w:rPr>
              <w:t>16.18</w:t>
            </w:r>
          </w:p>
        </w:tc>
      </w:tr>
      <w:tr w:rsidR="00203F6C" w:rsidRPr="00AB3200" w:rsidTr="00203F6C">
        <w:trPr>
          <w:trHeight w:hRule="exact" w:val="292"/>
        </w:trPr>
        <w:tc>
          <w:tcPr>
            <w:tcW w:w="10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3F6C" w:rsidRPr="00AB3200" w:rsidRDefault="00203F6C" w:rsidP="00203F6C">
            <w:pPr>
              <w:widowControl/>
              <w:spacing w:line="240" w:lineRule="exact"/>
              <w:jc w:val="center"/>
              <w:rPr>
                <w:rFonts w:ascii="標楷體" w:hAnsi="標楷體"/>
                <w:kern w:val="0"/>
                <w:sz w:val="20"/>
              </w:rPr>
            </w:pPr>
            <w:r w:rsidRPr="00AB3200">
              <w:rPr>
                <w:rFonts w:ascii="標楷體" w:hAnsi="標楷體"/>
                <w:kern w:val="0"/>
                <w:sz w:val="20"/>
              </w:rPr>
              <w:t>97年平均</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203F6C" w:rsidRPr="00AB3200" w:rsidRDefault="00203F6C" w:rsidP="00203F6C">
            <w:pPr>
              <w:widowControl/>
              <w:spacing w:line="240" w:lineRule="exact"/>
              <w:jc w:val="right"/>
              <w:rPr>
                <w:rFonts w:ascii="標楷體" w:hAnsi="標楷體"/>
                <w:kern w:val="0"/>
                <w:sz w:val="20"/>
              </w:rPr>
            </w:pPr>
            <w:r w:rsidRPr="00AB3200">
              <w:rPr>
                <w:rFonts w:ascii="標楷體" w:hAnsi="標楷體"/>
                <w:kern w:val="0"/>
                <w:sz w:val="20"/>
              </w:rPr>
              <w:t>66</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rsidR="00203F6C" w:rsidRPr="00AB3200" w:rsidRDefault="00203F6C" w:rsidP="00203F6C">
            <w:pPr>
              <w:widowControl/>
              <w:spacing w:line="240" w:lineRule="exact"/>
              <w:jc w:val="right"/>
              <w:rPr>
                <w:rFonts w:ascii="標楷體" w:hAnsi="標楷體"/>
                <w:kern w:val="0"/>
                <w:sz w:val="20"/>
              </w:rPr>
            </w:pPr>
            <w:r w:rsidRPr="00AB3200">
              <w:rPr>
                <w:rFonts w:ascii="標楷體" w:hAnsi="標楷體"/>
                <w:kern w:val="0"/>
                <w:sz w:val="20"/>
              </w:rPr>
              <w:t>24</w:t>
            </w:r>
          </w:p>
        </w:tc>
        <w:tc>
          <w:tcPr>
            <w:tcW w:w="606"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3F6C" w:rsidRPr="00AB3200" w:rsidRDefault="00203F6C" w:rsidP="00203F6C">
            <w:pPr>
              <w:widowControl/>
              <w:spacing w:line="240" w:lineRule="exact"/>
              <w:jc w:val="right"/>
              <w:rPr>
                <w:rFonts w:ascii="標楷體" w:hAnsi="標楷體"/>
                <w:kern w:val="0"/>
                <w:sz w:val="20"/>
              </w:rPr>
            </w:pPr>
            <w:r w:rsidRPr="00AB3200">
              <w:rPr>
                <w:rFonts w:ascii="標楷體" w:hAnsi="標楷體"/>
                <w:kern w:val="0"/>
                <w:sz w:val="20"/>
              </w:rPr>
              <w:t>37.20</w:t>
            </w:r>
          </w:p>
        </w:tc>
        <w:tc>
          <w:tcPr>
            <w:tcW w:w="906" w:type="pct"/>
            <w:tcBorders>
              <w:top w:val="single" w:sz="4" w:space="0" w:color="auto"/>
              <w:left w:val="single" w:sz="4" w:space="0" w:color="auto"/>
              <w:bottom w:val="single" w:sz="4" w:space="0" w:color="auto"/>
              <w:right w:val="single" w:sz="4" w:space="0" w:color="auto"/>
            </w:tcBorders>
            <w:shd w:val="clear" w:color="auto" w:fill="auto"/>
            <w:vAlign w:val="center"/>
          </w:tcPr>
          <w:p w:rsidR="00203F6C" w:rsidRPr="00AB3200" w:rsidRDefault="00203F6C" w:rsidP="00203F6C">
            <w:pPr>
              <w:widowControl/>
              <w:spacing w:line="240" w:lineRule="exact"/>
              <w:jc w:val="right"/>
              <w:rPr>
                <w:rFonts w:ascii="標楷體" w:hAnsi="標楷體"/>
                <w:kern w:val="0"/>
                <w:sz w:val="20"/>
              </w:rPr>
            </w:pPr>
            <w:r w:rsidRPr="00AB3200">
              <w:rPr>
                <w:rFonts w:ascii="標楷體" w:hAnsi="標楷體"/>
                <w:kern w:val="0"/>
                <w:sz w:val="20"/>
              </w:rPr>
              <w:t>11</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3F6C" w:rsidRPr="00AB3200" w:rsidRDefault="00203F6C" w:rsidP="00203F6C">
            <w:pPr>
              <w:widowControl/>
              <w:spacing w:line="240" w:lineRule="exact"/>
              <w:jc w:val="right"/>
              <w:rPr>
                <w:rFonts w:ascii="標楷體" w:hAnsi="標楷體"/>
                <w:kern w:val="0"/>
                <w:sz w:val="20"/>
              </w:rPr>
            </w:pPr>
            <w:r w:rsidRPr="00AB3200">
              <w:rPr>
                <w:rFonts w:ascii="標楷體" w:hAnsi="標楷體"/>
                <w:kern w:val="0"/>
                <w:sz w:val="20"/>
              </w:rPr>
              <w:t>17.27</w:t>
            </w:r>
          </w:p>
        </w:tc>
      </w:tr>
      <w:tr w:rsidR="00203F6C" w:rsidRPr="00AB3200" w:rsidTr="00203F6C">
        <w:trPr>
          <w:trHeight w:hRule="exact" w:val="295"/>
        </w:trPr>
        <w:tc>
          <w:tcPr>
            <w:tcW w:w="10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3F6C" w:rsidRPr="00AB3200" w:rsidRDefault="00203F6C" w:rsidP="00203F6C">
            <w:pPr>
              <w:widowControl/>
              <w:spacing w:line="240" w:lineRule="exact"/>
              <w:jc w:val="center"/>
              <w:rPr>
                <w:rFonts w:ascii="標楷體" w:hAnsi="標楷體"/>
                <w:kern w:val="0"/>
                <w:sz w:val="20"/>
              </w:rPr>
            </w:pPr>
            <w:r w:rsidRPr="00AB3200">
              <w:rPr>
                <w:rFonts w:ascii="標楷體" w:hAnsi="標楷體"/>
                <w:kern w:val="0"/>
                <w:sz w:val="20"/>
              </w:rPr>
              <w:t>98年平均</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203F6C" w:rsidRPr="00AB3200" w:rsidRDefault="00203F6C" w:rsidP="00203F6C">
            <w:pPr>
              <w:widowControl/>
              <w:spacing w:line="240" w:lineRule="exact"/>
              <w:jc w:val="right"/>
              <w:rPr>
                <w:rFonts w:ascii="標楷體" w:hAnsi="標楷體"/>
                <w:kern w:val="0"/>
                <w:sz w:val="20"/>
              </w:rPr>
            </w:pPr>
            <w:r w:rsidRPr="00AB3200">
              <w:rPr>
                <w:rFonts w:ascii="標楷體" w:hAnsi="標楷體"/>
                <w:kern w:val="0"/>
                <w:sz w:val="20"/>
              </w:rPr>
              <w:t>101</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rsidR="00203F6C" w:rsidRPr="00AB3200" w:rsidRDefault="00203F6C" w:rsidP="00203F6C">
            <w:pPr>
              <w:widowControl/>
              <w:spacing w:line="240" w:lineRule="exact"/>
              <w:jc w:val="right"/>
              <w:rPr>
                <w:rFonts w:ascii="標楷體" w:hAnsi="標楷體"/>
                <w:kern w:val="0"/>
                <w:sz w:val="20"/>
              </w:rPr>
            </w:pPr>
            <w:r w:rsidRPr="00AB3200">
              <w:rPr>
                <w:rFonts w:ascii="標楷體" w:hAnsi="標楷體"/>
                <w:kern w:val="0"/>
                <w:sz w:val="20"/>
              </w:rPr>
              <w:t>37</w:t>
            </w:r>
          </w:p>
        </w:tc>
        <w:tc>
          <w:tcPr>
            <w:tcW w:w="606"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3F6C" w:rsidRPr="00AB3200" w:rsidRDefault="00203F6C" w:rsidP="00203F6C">
            <w:pPr>
              <w:widowControl/>
              <w:spacing w:line="240" w:lineRule="exact"/>
              <w:jc w:val="right"/>
              <w:rPr>
                <w:rFonts w:ascii="標楷體" w:hAnsi="標楷體"/>
                <w:kern w:val="0"/>
                <w:sz w:val="20"/>
              </w:rPr>
            </w:pPr>
            <w:r w:rsidRPr="00AB3200">
              <w:rPr>
                <w:rFonts w:ascii="標楷體" w:hAnsi="標楷體"/>
                <w:kern w:val="0"/>
                <w:sz w:val="20"/>
              </w:rPr>
              <w:t>36.03</w:t>
            </w:r>
          </w:p>
        </w:tc>
        <w:tc>
          <w:tcPr>
            <w:tcW w:w="906" w:type="pct"/>
            <w:tcBorders>
              <w:top w:val="single" w:sz="4" w:space="0" w:color="auto"/>
              <w:left w:val="single" w:sz="4" w:space="0" w:color="auto"/>
              <w:bottom w:val="single" w:sz="4" w:space="0" w:color="auto"/>
              <w:right w:val="single" w:sz="4" w:space="0" w:color="auto"/>
            </w:tcBorders>
            <w:shd w:val="clear" w:color="auto" w:fill="auto"/>
            <w:vAlign w:val="center"/>
          </w:tcPr>
          <w:p w:rsidR="00203F6C" w:rsidRPr="00AB3200" w:rsidRDefault="00203F6C" w:rsidP="00203F6C">
            <w:pPr>
              <w:widowControl/>
              <w:spacing w:line="240" w:lineRule="exact"/>
              <w:jc w:val="right"/>
              <w:rPr>
                <w:rFonts w:ascii="標楷體" w:hAnsi="標楷體"/>
                <w:kern w:val="0"/>
                <w:sz w:val="20"/>
              </w:rPr>
            </w:pPr>
            <w:r w:rsidRPr="00AB3200">
              <w:rPr>
                <w:rFonts w:ascii="標楷體" w:hAnsi="標楷體"/>
                <w:kern w:val="0"/>
                <w:sz w:val="20"/>
              </w:rPr>
              <w:t>17</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3F6C" w:rsidRPr="00AB3200" w:rsidRDefault="00203F6C" w:rsidP="00203F6C">
            <w:pPr>
              <w:widowControl/>
              <w:spacing w:line="240" w:lineRule="exact"/>
              <w:jc w:val="right"/>
              <w:rPr>
                <w:rFonts w:ascii="標楷體" w:hAnsi="標楷體"/>
                <w:kern w:val="0"/>
                <w:sz w:val="20"/>
              </w:rPr>
            </w:pPr>
            <w:r w:rsidRPr="00AB3200">
              <w:rPr>
                <w:rFonts w:ascii="標楷體" w:hAnsi="標楷體"/>
                <w:kern w:val="0"/>
                <w:sz w:val="20"/>
              </w:rPr>
              <w:t>16.82</w:t>
            </w:r>
          </w:p>
        </w:tc>
      </w:tr>
      <w:tr w:rsidR="00203F6C" w:rsidRPr="00AB3200" w:rsidTr="00203F6C">
        <w:trPr>
          <w:trHeight w:hRule="exact" w:val="271"/>
        </w:trPr>
        <w:tc>
          <w:tcPr>
            <w:tcW w:w="10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3F6C" w:rsidRPr="00AB3200" w:rsidRDefault="00203F6C" w:rsidP="00203F6C">
            <w:pPr>
              <w:widowControl/>
              <w:spacing w:line="240" w:lineRule="exact"/>
              <w:jc w:val="center"/>
              <w:rPr>
                <w:rFonts w:ascii="標楷體" w:hAnsi="標楷體"/>
                <w:kern w:val="0"/>
                <w:sz w:val="20"/>
              </w:rPr>
            </w:pPr>
            <w:r w:rsidRPr="00AB3200">
              <w:rPr>
                <w:rFonts w:ascii="標楷體" w:hAnsi="標楷體"/>
                <w:kern w:val="0"/>
                <w:sz w:val="20"/>
              </w:rPr>
              <w:t>99年平均</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203F6C" w:rsidRPr="00AB3200" w:rsidRDefault="00203F6C" w:rsidP="00203F6C">
            <w:pPr>
              <w:widowControl/>
              <w:spacing w:line="240" w:lineRule="exact"/>
              <w:jc w:val="right"/>
              <w:rPr>
                <w:rFonts w:ascii="標楷體" w:hAnsi="標楷體"/>
                <w:kern w:val="0"/>
                <w:sz w:val="20"/>
              </w:rPr>
            </w:pPr>
            <w:r w:rsidRPr="00AB3200">
              <w:rPr>
                <w:rFonts w:ascii="標楷體" w:hAnsi="標楷體"/>
                <w:kern w:val="0"/>
                <w:sz w:val="20"/>
              </w:rPr>
              <w:t>105</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rsidR="00203F6C" w:rsidRPr="00AB3200" w:rsidRDefault="00203F6C" w:rsidP="00203F6C">
            <w:pPr>
              <w:widowControl/>
              <w:spacing w:line="240" w:lineRule="exact"/>
              <w:jc w:val="right"/>
              <w:rPr>
                <w:rFonts w:ascii="標楷體" w:hAnsi="標楷體"/>
                <w:kern w:val="0"/>
                <w:sz w:val="20"/>
              </w:rPr>
            </w:pPr>
            <w:r w:rsidRPr="00AB3200">
              <w:rPr>
                <w:rFonts w:ascii="標楷體" w:hAnsi="標楷體"/>
                <w:kern w:val="0"/>
                <w:sz w:val="20"/>
              </w:rPr>
              <w:t>33</w:t>
            </w:r>
          </w:p>
        </w:tc>
        <w:tc>
          <w:tcPr>
            <w:tcW w:w="606"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3F6C" w:rsidRPr="00AB3200" w:rsidRDefault="00203F6C" w:rsidP="00203F6C">
            <w:pPr>
              <w:widowControl/>
              <w:spacing w:line="240" w:lineRule="exact"/>
              <w:jc w:val="right"/>
              <w:rPr>
                <w:rFonts w:ascii="標楷體" w:hAnsi="標楷體"/>
                <w:kern w:val="0"/>
                <w:sz w:val="20"/>
              </w:rPr>
            </w:pPr>
            <w:r w:rsidRPr="00AB3200">
              <w:rPr>
                <w:rFonts w:ascii="標楷體" w:hAnsi="標楷體"/>
                <w:kern w:val="0"/>
                <w:sz w:val="20"/>
              </w:rPr>
              <w:t>31.52</w:t>
            </w:r>
          </w:p>
        </w:tc>
        <w:tc>
          <w:tcPr>
            <w:tcW w:w="906" w:type="pct"/>
            <w:tcBorders>
              <w:top w:val="single" w:sz="4" w:space="0" w:color="auto"/>
              <w:left w:val="single" w:sz="4" w:space="0" w:color="auto"/>
              <w:bottom w:val="single" w:sz="4" w:space="0" w:color="auto"/>
              <w:right w:val="single" w:sz="4" w:space="0" w:color="auto"/>
            </w:tcBorders>
            <w:shd w:val="clear" w:color="auto" w:fill="auto"/>
            <w:vAlign w:val="center"/>
          </w:tcPr>
          <w:p w:rsidR="00203F6C" w:rsidRPr="00AB3200" w:rsidRDefault="00203F6C" w:rsidP="00203F6C">
            <w:pPr>
              <w:widowControl/>
              <w:spacing w:line="240" w:lineRule="exact"/>
              <w:jc w:val="right"/>
              <w:rPr>
                <w:rFonts w:ascii="標楷體" w:hAnsi="標楷體"/>
                <w:kern w:val="0"/>
                <w:sz w:val="20"/>
              </w:rPr>
            </w:pPr>
            <w:r w:rsidRPr="00AB3200">
              <w:rPr>
                <w:rFonts w:ascii="標楷體" w:hAnsi="標楷體"/>
                <w:kern w:val="0"/>
                <w:sz w:val="20"/>
              </w:rPr>
              <w:t>15</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3F6C" w:rsidRPr="00AB3200" w:rsidRDefault="00203F6C" w:rsidP="00203F6C">
            <w:pPr>
              <w:widowControl/>
              <w:spacing w:line="240" w:lineRule="exact"/>
              <w:jc w:val="right"/>
              <w:rPr>
                <w:rFonts w:ascii="標楷體" w:hAnsi="標楷體"/>
                <w:kern w:val="0"/>
                <w:sz w:val="20"/>
              </w:rPr>
            </w:pPr>
            <w:r w:rsidRPr="00AB3200">
              <w:rPr>
                <w:rFonts w:ascii="標楷體" w:hAnsi="標楷體"/>
                <w:kern w:val="0"/>
                <w:sz w:val="20"/>
              </w:rPr>
              <w:t>13.89</w:t>
            </w:r>
          </w:p>
        </w:tc>
      </w:tr>
      <w:tr w:rsidR="00203F6C" w:rsidRPr="00AB3200" w:rsidTr="00203F6C">
        <w:trPr>
          <w:trHeight w:hRule="exact" w:val="289"/>
        </w:trPr>
        <w:tc>
          <w:tcPr>
            <w:tcW w:w="10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3F6C" w:rsidRPr="00AB3200" w:rsidRDefault="00203F6C" w:rsidP="00203F6C">
            <w:pPr>
              <w:widowControl/>
              <w:spacing w:line="240" w:lineRule="exact"/>
              <w:jc w:val="center"/>
              <w:rPr>
                <w:rFonts w:ascii="標楷體" w:hAnsi="標楷體"/>
                <w:kern w:val="0"/>
                <w:sz w:val="20"/>
              </w:rPr>
            </w:pPr>
            <w:r w:rsidRPr="00AB3200">
              <w:rPr>
                <w:rFonts w:ascii="標楷體" w:hAnsi="標楷體"/>
                <w:kern w:val="0"/>
                <w:sz w:val="20"/>
              </w:rPr>
              <w:t>100年平均</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203F6C" w:rsidRPr="00AB3200" w:rsidRDefault="00203F6C" w:rsidP="00203F6C">
            <w:pPr>
              <w:widowControl/>
              <w:spacing w:line="240" w:lineRule="exact"/>
              <w:jc w:val="right"/>
              <w:rPr>
                <w:rFonts w:ascii="標楷體" w:hAnsi="標楷體"/>
                <w:kern w:val="0"/>
                <w:sz w:val="20"/>
              </w:rPr>
            </w:pPr>
            <w:r w:rsidRPr="00AB3200">
              <w:rPr>
                <w:rFonts w:ascii="標楷體" w:hAnsi="標楷體"/>
                <w:kern w:val="0"/>
                <w:sz w:val="20"/>
              </w:rPr>
              <w:t>80</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rsidR="00203F6C" w:rsidRPr="00AB3200" w:rsidRDefault="00203F6C" w:rsidP="00203F6C">
            <w:pPr>
              <w:widowControl/>
              <w:spacing w:line="240" w:lineRule="exact"/>
              <w:jc w:val="right"/>
              <w:rPr>
                <w:rFonts w:ascii="標楷體" w:hAnsi="標楷體"/>
                <w:kern w:val="0"/>
                <w:sz w:val="20"/>
              </w:rPr>
            </w:pPr>
            <w:r w:rsidRPr="00AB3200">
              <w:rPr>
                <w:rFonts w:ascii="標楷體" w:hAnsi="標楷體"/>
                <w:kern w:val="0"/>
                <w:sz w:val="20"/>
              </w:rPr>
              <w:t>26</w:t>
            </w:r>
          </w:p>
        </w:tc>
        <w:tc>
          <w:tcPr>
            <w:tcW w:w="606"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3F6C" w:rsidRPr="00AB3200" w:rsidRDefault="00203F6C" w:rsidP="00203F6C">
            <w:pPr>
              <w:widowControl/>
              <w:spacing w:line="240" w:lineRule="exact"/>
              <w:jc w:val="right"/>
              <w:rPr>
                <w:rFonts w:ascii="標楷體" w:hAnsi="標楷體"/>
                <w:kern w:val="0"/>
                <w:sz w:val="20"/>
              </w:rPr>
            </w:pPr>
            <w:r w:rsidRPr="00AB3200">
              <w:rPr>
                <w:rFonts w:ascii="標楷體" w:hAnsi="標楷體"/>
                <w:kern w:val="0"/>
                <w:sz w:val="20"/>
              </w:rPr>
              <w:t>32.44</w:t>
            </w:r>
          </w:p>
        </w:tc>
        <w:tc>
          <w:tcPr>
            <w:tcW w:w="906" w:type="pct"/>
            <w:tcBorders>
              <w:top w:val="single" w:sz="4" w:space="0" w:color="auto"/>
              <w:left w:val="single" w:sz="4" w:space="0" w:color="auto"/>
              <w:bottom w:val="single" w:sz="4" w:space="0" w:color="auto"/>
              <w:right w:val="single" w:sz="4" w:space="0" w:color="auto"/>
            </w:tcBorders>
            <w:shd w:val="clear" w:color="auto" w:fill="auto"/>
            <w:vAlign w:val="center"/>
          </w:tcPr>
          <w:p w:rsidR="00203F6C" w:rsidRPr="00AB3200" w:rsidRDefault="00203F6C" w:rsidP="00203F6C">
            <w:pPr>
              <w:widowControl/>
              <w:spacing w:line="240" w:lineRule="exact"/>
              <w:jc w:val="right"/>
              <w:rPr>
                <w:rFonts w:ascii="標楷體" w:hAnsi="標楷體"/>
                <w:kern w:val="0"/>
                <w:sz w:val="20"/>
              </w:rPr>
            </w:pPr>
            <w:r w:rsidRPr="00AB3200">
              <w:rPr>
                <w:rFonts w:ascii="標楷體" w:hAnsi="標楷體"/>
                <w:kern w:val="0"/>
                <w:sz w:val="20"/>
              </w:rPr>
              <w:t>11</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3F6C" w:rsidRPr="00AB3200" w:rsidRDefault="00203F6C" w:rsidP="00203F6C">
            <w:pPr>
              <w:widowControl/>
              <w:spacing w:line="240" w:lineRule="exact"/>
              <w:jc w:val="right"/>
              <w:rPr>
                <w:rFonts w:ascii="標楷體" w:hAnsi="標楷體"/>
                <w:kern w:val="0"/>
                <w:sz w:val="20"/>
              </w:rPr>
            </w:pPr>
            <w:r w:rsidRPr="00AB3200">
              <w:rPr>
                <w:rFonts w:ascii="標楷體" w:hAnsi="標楷體"/>
                <w:kern w:val="0"/>
                <w:sz w:val="20"/>
              </w:rPr>
              <w:t>13.28</w:t>
            </w:r>
          </w:p>
        </w:tc>
      </w:tr>
      <w:tr w:rsidR="00203F6C" w:rsidRPr="00AB3200" w:rsidTr="00203F6C">
        <w:trPr>
          <w:trHeight w:hRule="exact" w:val="293"/>
        </w:trPr>
        <w:tc>
          <w:tcPr>
            <w:tcW w:w="10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3F6C" w:rsidRPr="00AB3200" w:rsidRDefault="00203F6C" w:rsidP="00203F6C">
            <w:pPr>
              <w:widowControl/>
              <w:spacing w:line="240" w:lineRule="exact"/>
              <w:jc w:val="center"/>
              <w:rPr>
                <w:rFonts w:ascii="標楷體" w:hAnsi="標楷體"/>
                <w:kern w:val="0"/>
                <w:sz w:val="20"/>
              </w:rPr>
            </w:pPr>
            <w:r w:rsidRPr="00AB3200">
              <w:rPr>
                <w:rFonts w:ascii="標楷體" w:hAnsi="標楷體"/>
                <w:kern w:val="0"/>
                <w:sz w:val="20"/>
              </w:rPr>
              <w:t>101年平均</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203F6C" w:rsidRPr="00AB3200" w:rsidRDefault="00203F6C" w:rsidP="00203F6C">
            <w:pPr>
              <w:widowControl/>
              <w:spacing w:line="240" w:lineRule="exact"/>
              <w:jc w:val="right"/>
              <w:rPr>
                <w:rFonts w:ascii="標楷體" w:hAnsi="標楷體"/>
                <w:kern w:val="0"/>
                <w:sz w:val="20"/>
              </w:rPr>
            </w:pPr>
            <w:r w:rsidRPr="00AB3200">
              <w:rPr>
                <w:rFonts w:ascii="標楷體" w:hAnsi="標楷體"/>
                <w:kern w:val="0"/>
                <w:sz w:val="20"/>
              </w:rPr>
              <w:t>77</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rsidR="00203F6C" w:rsidRPr="00AB3200" w:rsidRDefault="00203F6C" w:rsidP="00203F6C">
            <w:pPr>
              <w:widowControl/>
              <w:spacing w:line="240" w:lineRule="exact"/>
              <w:jc w:val="right"/>
              <w:rPr>
                <w:rFonts w:ascii="標楷體" w:hAnsi="標楷體"/>
                <w:kern w:val="0"/>
                <w:sz w:val="20"/>
              </w:rPr>
            </w:pPr>
            <w:r w:rsidRPr="00AB3200">
              <w:rPr>
                <w:rFonts w:ascii="標楷體" w:hAnsi="標楷體"/>
                <w:kern w:val="0"/>
                <w:sz w:val="20"/>
              </w:rPr>
              <w:t>26</w:t>
            </w:r>
          </w:p>
        </w:tc>
        <w:tc>
          <w:tcPr>
            <w:tcW w:w="606"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3F6C" w:rsidRPr="00AB3200" w:rsidRDefault="00203F6C" w:rsidP="00203F6C">
            <w:pPr>
              <w:widowControl/>
              <w:spacing w:line="240" w:lineRule="exact"/>
              <w:jc w:val="right"/>
              <w:rPr>
                <w:rFonts w:ascii="標楷體" w:hAnsi="標楷體"/>
                <w:kern w:val="0"/>
                <w:sz w:val="20"/>
              </w:rPr>
            </w:pPr>
            <w:r w:rsidRPr="00AB3200">
              <w:rPr>
                <w:rFonts w:ascii="標楷體" w:hAnsi="標楷體"/>
                <w:kern w:val="0"/>
                <w:sz w:val="20"/>
              </w:rPr>
              <w:t>34.45</w:t>
            </w:r>
          </w:p>
        </w:tc>
        <w:tc>
          <w:tcPr>
            <w:tcW w:w="906" w:type="pct"/>
            <w:tcBorders>
              <w:top w:val="single" w:sz="4" w:space="0" w:color="auto"/>
              <w:left w:val="single" w:sz="4" w:space="0" w:color="auto"/>
              <w:bottom w:val="single" w:sz="4" w:space="0" w:color="auto"/>
              <w:right w:val="single" w:sz="4" w:space="0" w:color="auto"/>
            </w:tcBorders>
            <w:shd w:val="clear" w:color="auto" w:fill="auto"/>
            <w:vAlign w:val="center"/>
          </w:tcPr>
          <w:p w:rsidR="00203F6C" w:rsidRPr="00AB3200" w:rsidRDefault="00203F6C" w:rsidP="00203F6C">
            <w:pPr>
              <w:widowControl/>
              <w:spacing w:line="240" w:lineRule="exact"/>
              <w:jc w:val="right"/>
              <w:rPr>
                <w:rFonts w:ascii="標楷體" w:hAnsi="標楷體"/>
                <w:kern w:val="0"/>
                <w:sz w:val="20"/>
              </w:rPr>
            </w:pPr>
            <w:r w:rsidRPr="00AB3200">
              <w:rPr>
                <w:rFonts w:ascii="標楷體" w:hAnsi="標楷體"/>
                <w:kern w:val="0"/>
                <w:sz w:val="20"/>
              </w:rPr>
              <w:t>12</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3F6C" w:rsidRPr="00AB3200" w:rsidRDefault="00203F6C" w:rsidP="00203F6C">
            <w:pPr>
              <w:widowControl/>
              <w:spacing w:line="240" w:lineRule="exact"/>
              <w:jc w:val="right"/>
              <w:rPr>
                <w:rFonts w:ascii="標楷體" w:hAnsi="標楷體"/>
                <w:kern w:val="0"/>
                <w:sz w:val="20"/>
              </w:rPr>
            </w:pPr>
            <w:r w:rsidRPr="00AB3200">
              <w:rPr>
                <w:rFonts w:ascii="標楷體" w:hAnsi="標楷體"/>
                <w:kern w:val="0"/>
                <w:sz w:val="20"/>
              </w:rPr>
              <w:t>16.27</w:t>
            </w:r>
          </w:p>
        </w:tc>
      </w:tr>
      <w:tr w:rsidR="00203F6C" w:rsidRPr="00AB3200" w:rsidTr="00203F6C">
        <w:trPr>
          <w:trHeight w:hRule="exact" w:val="269"/>
        </w:trPr>
        <w:tc>
          <w:tcPr>
            <w:tcW w:w="10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3F6C" w:rsidRPr="00AB3200" w:rsidRDefault="00203F6C" w:rsidP="00203F6C">
            <w:pPr>
              <w:widowControl/>
              <w:spacing w:line="240" w:lineRule="exact"/>
              <w:jc w:val="center"/>
              <w:rPr>
                <w:rFonts w:ascii="標楷體" w:hAnsi="標楷體"/>
                <w:kern w:val="0"/>
                <w:sz w:val="20"/>
              </w:rPr>
            </w:pPr>
            <w:r w:rsidRPr="00AB3200">
              <w:rPr>
                <w:rFonts w:ascii="標楷體" w:hAnsi="標楷體"/>
                <w:kern w:val="0"/>
                <w:sz w:val="20"/>
              </w:rPr>
              <w:t>102年上半年平均</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203F6C" w:rsidRPr="00AB3200" w:rsidRDefault="00203F6C" w:rsidP="00203F6C">
            <w:pPr>
              <w:widowControl/>
              <w:spacing w:line="240" w:lineRule="exact"/>
              <w:jc w:val="right"/>
              <w:rPr>
                <w:rFonts w:ascii="標楷體" w:hAnsi="標楷體"/>
                <w:kern w:val="0"/>
                <w:sz w:val="20"/>
              </w:rPr>
            </w:pPr>
            <w:r w:rsidRPr="00AB3200">
              <w:rPr>
                <w:rFonts w:ascii="標楷體" w:hAnsi="標楷體"/>
                <w:kern w:val="0"/>
                <w:sz w:val="20"/>
              </w:rPr>
              <w:t>75</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rsidR="00203F6C" w:rsidRPr="00AB3200" w:rsidRDefault="00203F6C" w:rsidP="00203F6C">
            <w:pPr>
              <w:widowControl/>
              <w:spacing w:line="240" w:lineRule="exact"/>
              <w:jc w:val="right"/>
              <w:rPr>
                <w:rFonts w:ascii="標楷體" w:hAnsi="標楷體"/>
                <w:kern w:val="0"/>
                <w:sz w:val="20"/>
              </w:rPr>
            </w:pPr>
            <w:r w:rsidRPr="00AB3200">
              <w:rPr>
                <w:rFonts w:ascii="標楷體" w:hAnsi="標楷體"/>
                <w:kern w:val="0"/>
                <w:sz w:val="20"/>
              </w:rPr>
              <w:t>31</w:t>
            </w:r>
          </w:p>
        </w:tc>
        <w:tc>
          <w:tcPr>
            <w:tcW w:w="606"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3F6C" w:rsidRPr="00AB3200" w:rsidRDefault="00203F6C" w:rsidP="00203F6C">
            <w:pPr>
              <w:widowControl/>
              <w:spacing w:line="240" w:lineRule="exact"/>
              <w:jc w:val="right"/>
              <w:rPr>
                <w:rFonts w:ascii="標楷體" w:hAnsi="標楷體"/>
                <w:kern w:val="0"/>
                <w:sz w:val="20"/>
              </w:rPr>
            </w:pPr>
            <w:r w:rsidRPr="00AB3200">
              <w:rPr>
                <w:rFonts w:ascii="標楷體" w:hAnsi="標楷體"/>
                <w:kern w:val="0"/>
                <w:sz w:val="20"/>
              </w:rPr>
              <w:t>40.73</w:t>
            </w:r>
          </w:p>
        </w:tc>
        <w:tc>
          <w:tcPr>
            <w:tcW w:w="906" w:type="pct"/>
            <w:tcBorders>
              <w:top w:val="single" w:sz="4" w:space="0" w:color="auto"/>
              <w:left w:val="single" w:sz="4" w:space="0" w:color="auto"/>
              <w:bottom w:val="single" w:sz="4" w:space="0" w:color="auto"/>
              <w:right w:val="single" w:sz="4" w:space="0" w:color="auto"/>
            </w:tcBorders>
            <w:shd w:val="clear" w:color="auto" w:fill="auto"/>
            <w:vAlign w:val="center"/>
          </w:tcPr>
          <w:p w:rsidR="00203F6C" w:rsidRPr="00AB3200" w:rsidRDefault="00203F6C" w:rsidP="00203F6C">
            <w:pPr>
              <w:widowControl/>
              <w:spacing w:line="240" w:lineRule="exact"/>
              <w:jc w:val="right"/>
              <w:rPr>
                <w:rFonts w:ascii="標楷體" w:hAnsi="標楷體"/>
                <w:kern w:val="0"/>
                <w:sz w:val="20"/>
              </w:rPr>
            </w:pPr>
            <w:r w:rsidRPr="00AB3200">
              <w:rPr>
                <w:rFonts w:ascii="標楷體" w:hAnsi="標楷體"/>
                <w:kern w:val="0"/>
                <w:sz w:val="20"/>
              </w:rPr>
              <w:t>14</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3F6C" w:rsidRPr="00AB3200" w:rsidRDefault="00203F6C" w:rsidP="00203F6C">
            <w:pPr>
              <w:widowControl/>
              <w:spacing w:line="240" w:lineRule="exact"/>
              <w:jc w:val="right"/>
              <w:rPr>
                <w:rFonts w:ascii="標楷體" w:hAnsi="標楷體"/>
                <w:kern w:val="0"/>
                <w:sz w:val="20"/>
              </w:rPr>
            </w:pPr>
            <w:r w:rsidRPr="00AB3200">
              <w:rPr>
                <w:rFonts w:ascii="標楷體" w:hAnsi="標楷體"/>
                <w:kern w:val="0"/>
                <w:sz w:val="20"/>
              </w:rPr>
              <w:t>18.17</w:t>
            </w:r>
          </w:p>
        </w:tc>
      </w:tr>
    </w:tbl>
    <w:p w:rsidR="00203F6C" w:rsidRPr="00AB3200" w:rsidRDefault="00203F6C" w:rsidP="00203F6C">
      <w:pPr>
        <w:pStyle w:val="4"/>
        <w:numPr>
          <w:ilvl w:val="0"/>
          <w:numId w:val="0"/>
        </w:numPr>
        <w:spacing w:line="240" w:lineRule="exact"/>
        <w:ind w:left="-1" w:firstLine="852"/>
        <w:rPr>
          <w:rFonts w:hAnsi="標楷體"/>
        </w:rPr>
      </w:pPr>
      <w:r w:rsidRPr="00AB3200">
        <w:rPr>
          <w:rFonts w:hAnsi="標楷體"/>
          <w:kern w:val="0"/>
          <w:sz w:val="20"/>
          <w:szCs w:val="20"/>
        </w:rPr>
        <w:t>資料來源：行政院主計總處「人力運用調查」</w:t>
      </w:r>
    </w:p>
    <w:p w:rsidR="00203F6C" w:rsidRPr="00AB3200" w:rsidRDefault="00203F6C" w:rsidP="00203F6C">
      <w:pPr>
        <w:pStyle w:val="3"/>
        <w:ind w:left="1360" w:hanging="680"/>
        <w:rPr>
          <w:rFonts w:hAnsi="標楷體"/>
        </w:rPr>
      </w:pPr>
      <w:bookmarkStart w:id="30" w:name="_Toc393464342"/>
      <w:r w:rsidRPr="00AB3200">
        <w:rPr>
          <w:rFonts w:hAnsi="標楷體"/>
        </w:rPr>
        <w:t>查為應國內人才供需失衡，依據「產業創新條例」第17條規定:「為強化產業發展所需人才，行政院應指定專責機關建立產業人才資源發展之協調整合機制，推動下列事項: 一、協調各中央目的事業主管機關辦理重點產業人才供需調查及推估。二、整合產業人才供需資訊，訂定產業人才資源發展策略…</w:t>
      </w:r>
      <w:proofErr w:type="gramStart"/>
      <w:r w:rsidRPr="00AB3200">
        <w:rPr>
          <w:rFonts w:hAnsi="標楷體"/>
        </w:rPr>
        <w:t>…</w:t>
      </w:r>
      <w:proofErr w:type="gramEnd"/>
      <w:r w:rsidRPr="00AB3200">
        <w:rPr>
          <w:rFonts w:hAnsi="標楷體"/>
        </w:rPr>
        <w:t>」，指定國發會為建立產業人才資源發展協調整合機制之專責機關。該會以「人才培訓及引進會報」為平</w:t>
      </w:r>
      <w:proofErr w:type="gramStart"/>
      <w:r w:rsidRPr="00AB3200">
        <w:rPr>
          <w:rFonts w:hAnsi="標楷體"/>
        </w:rPr>
        <w:t>臺</w:t>
      </w:r>
      <w:proofErr w:type="gramEnd"/>
      <w:r w:rsidRPr="00AB3200">
        <w:rPr>
          <w:rFonts w:hAnsi="標楷體"/>
        </w:rPr>
        <w:t>，召開相關會議、工作小組會議及研討會等</w:t>
      </w:r>
      <w:r w:rsidRPr="00AB3200">
        <w:rPr>
          <w:rFonts w:hAnsi="標楷體" w:hint="eastAsia"/>
        </w:rPr>
        <w:t>。相關辦理情形略</w:t>
      </w:r>
      <w:proofErr w:type="gramStart"/>
      <w:r w:rsidRPr="00AB3200">
        <w:rPr>
          <w:rFonts w:hAnsi="標楷體" w:hint="eastAsia"/>
        </w:rPr>
        <w:t>以</w:t>
      </w:r>
      <w:proofErr w:type="gramEnd"/>
      <w:r w:rsidRPr="00AB3200">
        <w:rPr>
          <w:rFonts w:hAnsi="標楷體" w:hint="eastAsia"/>
        </w:rPr>
        <w:t>：</w:t>
      </w:r>
      <w:bookmarkEnd w:id="30"/>
    </w:p>
    <w:p w:rsidR="00203F6C" w:rsidRPr="00AB3200" w:rsidRDefault="00203F6C" w:rsidP="00203F6C">
      <w:pPr>
        <w:pStyle w:val="4"/>
        <w:ind w:left="1843" w:hanging="709"/>
        <w:rPr>
          <w:rFonts w:hAnsi="標楷體"/>
        </w:rPr>
      </w:pPr>
      <w:r w:rsidRPr="00AB3200">
        <w:rPr>
          <w:rFonts w:hAnsi="標楷體" w:hint="eastAsia"/>
        </w:rPr>
        <w:lastRenderedPageBreak/>
        <w:t>藉由</w:t>
      </w:r>
      <w:r w:rsidRPr="00AB3200">
        <w:rPr>
          <w:rFonts w:hAnsi="標楷體"/>
        </w:rPr>
        <w:t>人力培訓及引進會報協調相關部會完成100年及101年之重點產業人才供需調查及推估、邀集相關部會</w:t>
      </w:r>
      <w:proofErr w:type="gramStart"/>
      <w:r w:rsidRPr="00AB3200">
        <w:rPr>
          <w:rFonts w:hAnsi="標楷體"/>
        </w:rPr>
        <w:t>研</w:t>
      </w:r>
      <w:proofErr w:type="gramEnd"/>
      <w:r w:rsidRPr="00AB3200">
        <w:rPr>
          <w:rFonts w:hAnsi="標楷體"/>
        </w:rPr>
        <w:t>擬「人才問題與因應對策」、協調相關部會推動「縮短</w:t>
      </w:r>
      <w:proofErr w:type="gramStart"/>
      <w:r w:rsidRPr="00AB3200">
        <w:rPr>
          <w:rFonts w:hAnsi="標楷體"/>
        </w:rPr>
        <w:t>學訓考</w:t>
      </w:r>
      <w:proofErr w:type="gramEnd"/>
      <w:r w:rsidRPr="00AB3200">
        <w:rPr>
          <w:rFonts w:hAnsi="標楷體"/>
        </w:rPr>
        <w:t>用落差方案」</w:t>
      </w:r>
      <w:r w:rsidRPr="00AB3200">
        <w:rPr>
          <w:rFonts w:hAnsi="標楷體" w:hint="eastAsia"/>
        </w:rPr>
        <w:t>（101-103年</w:t>
      </w:r>
      <w:r w:rsidRPr="00AB3200">
        <w:rPr>
          <w:rFonts w:hAnsi="標楷體"/>
        </w:rPr>
        <w:t>）、協調相關部會推動人才培育、留用及延攬政策</w:t>
      </w:r>
      <w:r w:rsidRPr="00AB3200">
        <w:rPr>
          <w:rFonts w:hAnsi="標楷體" w:hint="eastAsia"/>
        </w:rPr>
        <w:t>等工作</w:t>
      </w:r>
      <w:r w:rsidRPr="00AB3200">
        <w:rPr>
          <w:rFonts w:hAnsi="標楷體"/>
        </w:rPr>
        <w:t>。</w:t>
      </w:r>
    </w:p>
    <w:p w:rsidR="00203F6C" w:rsidRPr="00AB3200" w:rsidRDefault="00203F6C" w:rsidP="00203F6C">
      <w:pPr>
        <w:pStyle w:val="4"/>
        <w:ind w:left="1843" w:hanging="709"/>
        <w:rPr>
          <w:rFonts w:hAnsi="標楷體"/>
        </w:rPr>
      </w:pPr>
      <w:r w:rsidRPr="00AB3200">
        <w:rPr>
          <w:rFonts w:hAnsi="標楷體" w:hint="eastAsia"/>
        </w:rPr>
        <w:t>行政院人才會報於</w:t>
      </w:r>
      <w:r w:rsidRPr="00AB3200">
        <w:rPr>
          <w:rFonts w:hAnsi="標楷體"/>
        </w:rPr>
        <w:t>102年8月16日由行政院院長召開第1次會議，依據「行政院人才政策會報設置要點」第4點第2項，本會報委員應親自出席會議，但由機關首長兼任之委員因故不能出席時，得指派代表出席。</w:t>
      </w:r>
      <w:proofErr w:type="gramStart"/>
      <w:r w:rsidRPr="00AB3200">
        <w:rPr>
          <w:rFonts w:hAnsi="標楷體"/>
        </w:rPr>
        <w:t>爰</w:t>
      </w:r>
      <w:proofErr w:type="gramEnd"/>
      <w:r w:rsidRPr="00AB3200">
        <w:rPr>
          <w:rFonts w:hAnsi="標楷體"/>
        </w:rPr>
        <w:t>此，本會報第1次會議除2位產、學委員因故無法親自出席外，共計24位委員參與。</w:t>
      </w:r>
    </w:p>
    <w:p w:rsidR="00203F6C" w:rsidRPr="00AB3200" w:rsidRDefault="00203F6C" w:rsidP="00203F6C">
      <w:pPr>
        <w:pStyle w:val="4"/>
        <w:ind w:left="1843" w:hanging="709"/>
        <w:rPr>
          <w:rFonts w:hAnsi="標楷體"/>
        </w:rPr>
      </w:pPr>
      <w:r w:rsidRPr="00AB3200">
        <w:rPr>
          <w:rFonts w:hAnsi="標楷體"/>
        </w:rPr>
        <w:t>教育部擬具「推動契合式人才培育專班」。</w:t>
      </w:r>
    </w:p>
    <w:p w:rsidR="00203F6C" w:rsidRPr="00AB3200" w:rsidRDefault="00203F6C" w:rsidP="00203F6C">
      <w:pPr>
        <w:pStyle w:val="4"/>
        <w:ind w:left="1843" w:hanging="709"/>
        <w:rPr>
          <w:rFonts w:hAnsi="標楷體"/>
        </w:rPr>
      </w:pPr>
      <w:proofErr w:type="gramStart"/>
      <w:r w:rsidRPr="00AB3200">
        <w:rPr>
          <w:rFonts w:hAnsi="標楷體"/>
        </w:rPr>
        <w:t>勞動部擬具</w:t>
      </w:r>
      <w:proofErr w:type="gramEnd"/>
      <w:r w:rsidRPr="00AB3200">
        <w:rPr>
          <w:rFonts w:hAnsi="標楷體"/>
        </w:rPr>
        <w:t>「僑外生留</w:t>
      </w:r>
      <w:proofErr w:type="gramStart"/>
      <w:r w:rsidRPr="00AB3200">
        <w:rPr>
          <w:rFonts w:hAnsi="標楷體"/>
        </w:rPr>
        <w:t>臺</w:t>
      </w:r>
      <w:proofErr w:type="gramEnd"/>
      <w:r w:rsidRPr="00AB3200">
        <w:rPr>
          <w:rFonts w:hAnsi="標楷體"/>
        </w:rPr>
        <w:t>工作薪資標準檢討」。</w:t>
      </w:r>
    </w:p>
    <w:p w:rsidR="00203F6C" w:rsidRPr="00AB3200" w:rsidRDefault="00203F6C" w:rsidP="00203F6C">
      <w:pPr>
        <w:pStyle w:val="4"/>
        <w:ind w:left="1843" w:hanging="709"/>
        <w:rPr>
          <w:rFonts w:hAnsi="標楷體"/>
        </w:rPr>
      </w:pPr>
      <w:r w:rsidRPr="00AB3200">
        <w:rPr>
          <w:rFonts w:hAnsi="標楷體" w:hint="eastAsia"/>
        </w:rPr>
        <w:t>98年12月行政院成立服務業推動小組。</w:t>
      </w:r>
    </w:p>
    <w:p w:rsidR="00203F6C" w:rsidRPr="00AB3200" w:rsidRDefault="00203F6C" w:rsidP="00203F6C">
      <w:pPr>
        <w:pStyle w:val="4"/>
        <w:numPr>
          <w:ilvl w:val="0"/>
          <w:numId w:val="0"/>
        </w:numPr>
        <w:ind w:left="1418" w:firstLineChars="208" w:firstLine="708"/>
        <w:rPr>
          <w:rFonts w:hAnsi="標楷體"/>
        </w:rPr>
      </w:pPr>
      <w:r w:rsidRPr="00AB3200">
        <w:rPr>
          <w:rFonts w:hAnsi="標楷體"/>
        </w:rPr>
        <w:t>行政院</w:t>
      </w:r>
      <w:r w:rsidRPr="00AB3200">
        <w:rPr>
          <w:rFonts w:hAnsi="標楷體" w:hint="eastAsia"/>
        </w:rPr>
        <w:t>雖辦理上開諸多改善青年失業措施，</w:t>
      </w:r>
      <w:r w:rsidRPr="00AB3200">
        <w:rPr>
          <w:rFonts w:hAnsi="標楷體"/>
        </w:rPr>
        <w:t>期間我國整體失業率雖已呈穩定下降趨勢，惟青年失業情形仍持續加劇，100年至10</w:t>
      </w:r>
      <w:r w:rsidRPr="00AB3200">
        <w:rPr>
          <w:rFonts w:hAnsi="標楷體" w:hint="eastAsia"/>
        </w:rPr>
        <w:t>3</w:t>
      </w:r>
      <w:r w:rsidRPr="00AB3200">
        <w:rPr>
          <w:rFonts w:hAnsi="標楷體"/>
        </w:rPr>
        <w:t>年</w:t>
      </w:r>
      <w:r w:rsidRPr="00AB3200">
        <w:rPr>
          <w:rFonts w:hAnsi="標楷體" w:hint="eastAsia"/>
        </w:rPr>
        <w:t>1至4月</w:t>
      </w:r>
      <w:r w:rsidRPr="00AB3200">
        <w:rPr>
          <w:rFonts w:hAnsi="標楷體"/>
        </w:rPr>
        <w:t>15至24歲組青年失業率由12.47％增加至1</w:t>
      </w:r>
      <w:r w:rsidRPr="00AB3200">
        <w:rPr>
          <w:rFonts w:hAnsi="標楷體" w:hint="eastAsia"/>
        </w:rPr>
        <w:t>2</w:t>
      </w:r>
      <w:r w:rsidRPr="00AB3200">
        <w:rPr>
          <w:rFonts w:hAnsi="標楷體"/>
        </w:rPr>
        <w:t>.</w:t>
      </w:r>
      <w:r w:rsidRPr="00AB3200">
        <w:rPr>
          <w:rFonts w:hAnsi="標楷體" w:hint="eastAsia"/>
        </w:rPr>
        <w:t>61</w:t>
      </w:r>
      <w:r w:rsidRPr="00AB3200">
        <w:rPr>
          <w:rFonts w:hAnsi="標楷體"/>
        </w:rPr>
        <w:t>％，與整體失業率差距由8.08個百分點攀升至8.</w:t>
      </w:r>
      <w:r w:rsidRPr="00AB3200">
        <w:rPr>
          <w:rFonts w:hAnsi="標楷體" w:hint="eastAsia"/>
        </w:rPr>
        <w:t>6</w:t>
      </w:r>
      <w:r w:rsidRPr="00AB3200">
        <w:rPr>
          <w:rFonts w:hAnsi="標楷體"/>
        </w:rPr>
        <w:t>個百分點。</w:t>
      </w:r>
      <w:r w:rsidRPr="00AB3200">
        <w:rPr>
          <w:rFonts w:hAnsi="標楷體" w:hint="eastAsia"/>
        </w:rPr>
        <w:t>足</w:t>
      </w:r>
      <w:proofErr w:type="gramStart"/>
      <w:r w:rsidRPr="00AB3200">
        <w:rPr>
          <w:rFonts w:hAnsi="標楷體" w:hint="eastAsia"/>
        </w:rPr>
        <w:t>徵</w:t>
      </w:r>
      <w:proofErr w:type="gramEnd"/>
      <w:r w:rsidRPr="00AB3200">
        <w:rPr>
          <w:rFonts w:hAnsi="標楷體"/>
        </w:rPr>
        <w:t>，行政院因應國內人才供需失衡</w:t>
      </w:r>
      <w:proofErr w:type="gramStart"/>
      <w:r w:rsidRPr="00AB3200">
        <w:rPr>
          <w:rFonts w:hAnsi="標楷體"/>
        </w:rPr>
        <w:t>等情所成立</w:t>
      </w:r>
      <w:proofErr w:type="gramEnd"/>
      <w:r w:rsidRPr="00AB3200">
        <w:rPr>
          <w:rFonts w:hAnsi="標楷體"/>
        </w:rPr>
        <w:t>之「人才培訓及引進會報」</w:t>
      </w:r>
      <w:r w:rsidRPr="00AB3200">
        <w:rPr>
          <w:rFonts w:hAnsi="標楷體" w:hint="eastAsia"/>
        </w:rPr>
        <w:t>或相關業務工作</w:t>
      </w:r>
      <w:r w:rsidRPr="00AB3200">
        <w:rPr>
          <w:rFonts w:hAnsi="標楷體"/>
        </w:rPr>
        <w:t>，</w:t>
      </w:r>
      <w:r w:rsidRPr="00AB3200">
        <w:rPr>
          <w:rFonts w:hAnsi="標楷體" w:hint="eastAsia"/>
        </w:rPr>
        <w:t>尚</w:t>
      </w:r>
      <w:r w:rsidRPr="00AB3200">
        <w:rPr>
          <w:rFonts w:hAnsi="標楷體"/>
        </w:rPr>
        <w:t>未能有效</w:t>
      </w:r>
      <w:r w:rsidRPr="00AB3200">
        <w:rPr>
          <w:rFonts w:hAnsi="標楷體" w:hint="eastAsia"/>
        </w:rPr>
        <w:t>提升青年就業率並使</w:t>
      </w:r>
      <w:r w:rsidRPr="00AB3200">
        <w:rPr>
          <w:rFonts w:hAnsi="標楷體"/>
        </w:rPr>
        <w:t>政策溝通協調平</w:t>
      </w:r>
      <w:proofErr w:type="gramStart"/>
      <w:r w:rsidRPr="00AB3200">
        <w:rPr>
          <w:rFonts w:hAnsi="標楷體"/>
        </w:rPr>
        <w:t>臺</w:t>
      </w:r>
      <w:proofErr w:type="gramEnd"/>
      <w:r w:rsidRPr="00AB3200">
        <w:rPr>
          <w:rFonts w:hAnsi="標楷體"/>
        </w:rPr>
        <w:t>強化人才培訓及引進，國發會亦未能積極發揮平</w:t>
      </w:r>
      <w:proofErr w:type="gramStart"/>
      <w:r w:rsidRPr="00AB3200">
        <w:rPr>
          <w:rFonts w:hAnsi="標楷體"/>
        </w:rPr>
        <w:t>臺</w:t>
      </w:r>
      <w:proofErr w:type="gramEnd"/>
      <w:r w:rsidRPr="00AB3200">
        <w:rPr>
          <w:rFonts w:hAnsi="標楷體"/>
        </w:rPr>
        <w:t>政策整合功能，加強部會間橫向溝通，有效降低青年失業問題。</w:t>
      </w:r>
    </w:p>
    <w:p w:rsidR="00203F6C" w:rsidRPr="00AB3200" w:rsidRDefault="00203F6C" w:rsidP="00203F6C">
      <w:pPr>
        <w:pStyle w:val="3"/>
        <w:ind w:left="1360" w:hanging="680"/>
        <w:rPr>
          <w:rFonts w:hAnsi="標楷體"/>
        </w:rPr>
      </w:pPr>
      <w:bookmarkStart w:id="31" w:name="_Toc393464343"/>
      <w:r w:rsidRPr="00AB3200">
        <w:rPr>
          <w:rFonts w:hAnsi="標楷體"/>
        </w:rPr>
        <w:t>我國青年失業率居高不下，近年更有不降反升之情事，</w:t>
      </w:r>
      <w:r w:rsidRPr="00AB3200">
        <w:rPr>
          <w:rFonts w:hAnsi="標楷體" w:hint="eastAsia"/>
        </w:rPr>
        <w:t>然</w:t>
      </w:r>
      <w:r w:rsidRPr="00AB3200">
        <w:rPr>
          <w:rFonts w:hAnsi="標楷體"/>
        </w:rPr>
        <w:t>以95年為基期分析其青年就業及失業結構，青年（15至2</w:t>
      </w:r>
      <w:r w:rsidRPr="00AB3200">
        <w:rPr>
          <w:rFonts w:hAnsi="標楷體" w:hint="eastAsia"/>
        </w:rPr>
        <w:t>9</w:t>
      </w:r>
      <w:r w:rsidRPr="00AB3200">
        <w:rPr>
          <w:rFonts w:hAnsi="標楷體"/>
        </w:rPr>
        <w:t>歲）人口總數（含勞動力及非勞動</w:t>
      </w:r>
      <w:r w:rsidRPr="00AB3200">
        <w:rPr>
          <w:rFonts w:hAnsi="標楷體"/>
        </w:rPr>
        <w:lastRenderedPageBreak/>
        <w:t>力）於</w:t>
      </w:r>
      <w:proofErr w:type="gramStart"/>
      <w:r w:rsidRPr="00AB3200">
        <w:rPr>
          <w:rFonts w:hAnsi="標楷體"/>
        </w:rPr>
        <w:t>95至10</w:t>
      </w:r>
      <w:r w:rsidRPr="00AB3200">
        <w:rPr>
          <w:rFonts w:hAnsi="標楷體" w:hint="eastAsia"/>
        </w:rPr>
        <w:t>3</w:t>
      </w:r>
      <w:r w:rsidRPr="00AB3200">
        <w:rPr>
          <w:rFonts w:hAnsi="標楷體"/>
        </w:rPr>
        <w:t>年</w:t>
      </w:r>
      <w:r w:rsidRPr="00AB3200">
        <w:rPr>
          <w:rFonts w:hAnsi="標楷體" w:hint="eastAsia"/>
        </w:rPr>
        <w:t>1至4月</w:t>
      </w:r>
      <w:r w:rsidRPr="00AB3200">
        <w:rPr>
          <w:rFonts w:hAnsi="標楷體"/>
        </w:rPr>
        <w:t>間呈減少</w:t>
      </w:r>
      <w:proofErr w:type="gramEnd"/>
      <w:r w:rsidRPr="00AB3200">
        <w:rPr>
          <w:rFonts w:hAnsi="標楷體"/>
        </w:rPr>
        <w:t>趨勢，約介於</w:t>
      </w:r>
      <w:r w:rsidRPr="00AB3200">
        <w:rPr>
          <w:rFonts w:hAnsi="標楷體" w:hint="eastAsia"/>
        </w:rPr>
        <w:t>458</w:t>
      </w:r>
      <w:r w:rsidRPr="00AB3200">
        <w:rPr>
          <w:rFonts w:hAnsi="標楷體"/>
        </w:rPr>
        <w:t>萬餘人至</w:t>
      </w:r>
      <w:r w:rsidRPr="00AB3200">
        <w:rPr>
          <w:rFonts w:hAnsi="標楷體" w:hint="eastAsia"/>
        </w:rPr>
        <w:t>513</w:t>
      </w:r>
      <w:r w:rsidRPr="00AB3200">
        <w:rPr>
          <w:rFonts w:hAnsi="標楷體"/>
        </w:rPr>
        <w:t>萬餘人</w:t>
      </w:r>
      <w:r w:rsidRPr="00AB3200">
        <w:rPr>
          <w:rStyle w:val="af7"/>
          <w:rFonts w:hAnsi="標楷體"/>
        </w:rPr>
        <w:footnoteReference w:id="1"/>
      </w:r>
      <w:r w:rsidRPr="00AB3200">
        <w:rPr>
          <w:rFonts w:hAnsi="標楷體"/>
        </w:rPr>
        <w:t>；其中青年勞動力受人口總數趨減、高等教育</w:t>
      </w:r>
      <w:proofErr w:type="gramStart"/>
      <w:r w:rsidRPr="00AB3200">
        <w:rPr>
          <w:rFonts w:hAnsi="標楷體"/>
        </w:rPr>
        <w:t>普及致</w:t>
      </w:r>
      <w:proofErr w:type="gramEnd"/>
      <w:r w:rsidRPr="00AB3200">
        <w:rPr>
          <w:rFonts w:hAnsi="標楷體"/>
        </w:rPr>
        <w:t>就學年限延長等因素影響，10</w:t>
      </w:r>
      <w:r w:rsidRPr="00AB3200">
        <w:rPr>
          <w:rFonts w:hAnsi="標楷體" w:hint="eastAsia"/>
        </w:rPr>
        <w:t>3</w:t>
      </w:r>
      <w:r w:rsidRPr="00AB3200">
        <w:rPr>
          <w:rFonts w:hAnsi="標楷體"/>
        </w:rPr>
        <w:t>年</w:t>
      </w:r>
      <w:r w:rsidRPr="00AB3200">
        <w:rPr>
          <w:rFonts w:hAnsi="標楷體" w:hint="eastAsia"/>
        </w:rPr>
        <w:t>1至4月</w:t>
      </w:r>
      <w:r w:rsidRPr="00AB3200">
        <w:rPr>
          <w:rFonts w:hAnsi="標楷體"/>
        </w:rPr>
        <w:t>勞動力人口已降至</w:t>
      </w:r>
      <w:r w:rsidRPr="00AB3200">
        <w:rPr>
          <w:rFonts w:hAnsi="標楷體" w:hint="eastAsia"/>
        </w:rPr>
        <w:t>231</w:t>
      </w:r>
      <w:r w:rsidRPr="00AB3200">
        <w:rPr>
          <w:rFonts w:hAnsi="標楷體"/>
        </w:rPr>
        <w:t>萬餘人，較95年（</w:t>
      </w:r>
      <w:r w:rsidRPr="00AB3200">
        <w:rPr>
          <w:rFonts w:hAnsi="標楷體" w:hint="eastAsia"/>
        </w:rPr>
        <w:t>264</w:t>
      </w:r>
      <w:r w:rsidRPr="00AB3200">
        <w:rPr>
          <w:rFonts w:hAnsi="標楷體"/>
        </w:rPr>
        <w:t>萬餘人）減少</w:t>
      </w:r>
      <w:r w:rsidRPr="00AB3200">
        <w:rPr>
          <w:rFonts w:hAnsi="標楷體" w:hint="eastAsia"/>
        </w:rPr>
        <w:t>32</w:t>
      </w:r>
      <w:r w:rsidRPr="00AB3200">
        <w:rPr>
          <w:rFonts w:hAnsi="標楷體"/>
        </w:rPr>
        <w:t>萬餘人(約</w:t>
      </w:r>
      <w:r w:rsidRPr="00AB3200">
        <w:rPr>
          <w:rFonts w:hAnsi="標楷體" w:hint="eastAsia"/>
        </w:rPr>
        <w:t>12</w:t>
      </w:r>
      <w:r w:rsidRPr="00AB3200">
        <w:rPr>
          <w:rFonts w:hAnsi="標楷體"/>
        </w:rPr>
        <w:t>.</w:t>
      </w:r>
      <w:r w:rsidRPr="00AB3200">
        <w:rPr>
          <w:rFonts w:hAnsi="標楷體" w:hint="eastAsia"/>
        </w:rPr>
        <w:t>46</w:t>
      </w:r>
      <w:r w:rsidRPr="00AB3200">
        <w:rPr>
          <w:rFonts w:hAnsi="標楷體"/>
        </w:rPr>
        <w:t>％)，惟青年失業人口自95年起即逐年提高，由</w:t>
      </w:r>
      <w:r w:rsidRPr="00AB3200">
        <w:rPr>
          <w:rFonts w:hAnsi="標楷體" w:hint="eastAsia"/>
        </w:rPr>
        <w:t>20</w:t>
      </w:r>
      <w:r w:rsidRPr="00AB3200">
        <w:rPr>
          <w:rFonts w:hAnsi="標楷體"/>
        </w:rPr>
        <w:t>萬餘人攀升至98年之</w:t>
      </w:r>
      <w:r w:rsidRPr="00AB3200">
        <w:rPr>
          <w:rFonts w:hAnsi="標楷體" w:hint="eastAsia"/>
        </w:rPr>
        <w:t>27</w:t>
      </w:r>
      <w:r w:rsidRPr="00AB3200">
        <w:rPr>
          <w:rFonts w:hAnsi="標楷體"/>
        </w:rPr>
        <w:t>萬餘人，99及100年因全球經濟衰退情況趨緩，失業人口略有稍降，旋即連年攀升，10</w:t>
      </w:r>
      <w:r w:rsidRPr="00AB3200">
        <w:rPr>
          <w:rFonts w:hAnsi="標楷體" w:hint="eastAsia"/>
        </w:rPr>
        <w:t>3</w:t>
      </w:r>
      <w:r w:rsidRPr="00AB3200">
        <w:rPr>
          <w:rFonts w:hAnsi="標楷體"/>
        </w:rPr>
        <w:t>年</w:t>
      </w:r>
      <w:r w:rsidRPr="00AB3200">
        <w:rPr>
          <w:rFonts w:hAnsi="標楷體" w:hint="eastAsia"/>
        </w:rPr>
        <w:t>1至4月</w:t>
      </w:r>
      <w:r w:rsidRPr="00AB3200">
        <w:rPr>
          <w:rFonts w:hAnsi="標楷體"/>
        </w:rPr>
        <w:t>失業人口已達</w:t>
      </w:r>
      <w:r w:rsidRPr="00AB3200">
        <w:rPr>
          <w:rFonts w:hAnsi="標楷體" w:hint="eastAsia"/>
        </w:rPr>
        <w:t>21</w:t>
      </w:r>
      <w:r w:rsidRPr="00AB3200">
        <w:rPr>
          <w:rFonts w:hAnsi="標楷體"/>
        </w:rPr>
        <w:t>萬餘人，行政院未</w:t>
      </w:r>
      <w:r w:rsidRPr="00AB3200">
        <w:rPr>
          <w:rFonts w:hAnsi="標楷體" w:hint="eastAsia"/>
        </w:rPr>
        <w:t>能</w:t>
      </w:r>
      <w:r w:rsidRPr="00AB3200">
        <w:rPr>
          <w:rFonts w:hAnsi="標楷體"/>
        </w:rPr>
        <w:t>改善該等問題</w:t>
      </w:r>
      <w:r w:rsidRPr="00AB3200">
        <w:rPr>
          <w:rFonts w:hAnsi="標楷體" w:hint="eastAsia"/>
        </w:rPr>
        <w:t>情形略以</w:t>
      </w:r>
      <w:r w:rsidRPr="00AB3200">
        <w:rPr>
          <w:rFonts w:hAnsi="標楷體"/>
        </w:rPr>
        <w:t>:</w:t>
      </w:r>
      <w:bookmarkEnd w:id="31"/>
    </w:p>
    <w:p w:rsidR="00203F6C" w:rsidRPr="00AB3200" w:rsidRDefault="00203F6C" w:rsidP="00203F6C">
      <w:pPr>
        <w:pStyle w:val="4"/>
        <w:ind w:left="1843" w:hanging="709"/>
        <w:rPr>
          <w:rFonts w:hAnsi="標楷體"/>
        </w:rPr>
      </w:pPr>
      <w:r w:rsidRPr="00AB3200">
        <w:rPr>
          <w:rFonts w:hAnsi="標楷體"/>
        </w:rPr>
        <w:t>行政院為促進青年就業於96至98年間推動「促進青年就業方案」，惟該方案</w:t>
      </w:r>
      <w:proofErr w:type="gramStart"/>
      <w:r w:rsidRPr="00AB3200">
        <w:rPr>
          <w:rFonts w:hAnsi="標楷體"/>
        </w:rPr>
        <w:t>係屬彙整</w:t>
      </w:r>
      <w:proofErr w:type="gramEnd"/>
      <w:r w:rsidRPr="00AB3200">
        <w:rPr>
          <w:rFonts w:hAnsi="標楷體"/>
        </w:rPr>
        <w:t>性質，部會較無連結、合作與資訊交換機制，造成各項計畫間缺乏溝通平</w:t>
      </w:r>
      <w:proofErr w:type="gramStart"/>
      <w:r w:rsidRPr="00AB3200">
        <w:rPr>
          <w:rFonts w:hAnsi="標楷體"/>
        </w:rPr>
        <w:t>臺</w:t>
      </w:r>
      <w:proofErr w:type="gramEnd"/>
      <w:r w:rsidRPr="00AB3200">
        <w:rPr>
          <w:rFonts w:hAnsi="標楷體"/>
        </w:rPr>
        <w:t>，無法達到連貫性效果。</w:t>
      </w:r>
    </w:p>
    <w:p w:rsidR="00203F6C" w:rsidRPr="00AB3200" w:rsidRDefault="00203F6C" w:rsidP="00203F6C">
      <w:pPr>
        <w:pStyle w:val="4"/>
        <w:ind w:left="1843" w:hanging="709"/>
        <w:rPr>
          <w:rFonts w:hAnsi="標楷體"/>
        </w:rPr>
      </w:pPr>
      <w:r w:rsidRPr="00AB3200">
        <w:rPr>
          <w:rFonts w:hAnsi="標楷體"/>
        </w:rPr>
        <w:t>行政院為應我國人才危機，責成國發會彙整提出「人才培育方案」，協調各部會從「培育</w:t>
      </w:r>
      <w:proofErr w:type="gramStart"/>
      <w:r w:rsidRPr="00AB3200">
        <w:rPr>
          <w:rFonts w:hAnsi="標楷體"/>
        </w:rPr>
        <w:t>量足質精</w:t>
      </w:r>
      <w:proofErr w:type="gramEnd"/>
      <w:r w:rsidRPr="00AB3200">
        <w:rPr>
          <w:rFonts w:hAnsi="標楷體"/>
        </w:rPr>
        <w:t>的優質人力」、「新興及重點產業人才培育」、「強化教育與產業之聯結」及「布局全球人才，提升國家競爭力」等面向，落實執行，提升國家及產業所需人力，期能達成發展臺灣成為培育「</w:t>
      </w:r>
      <w:proofErr w:type="gramStart"/>
      <w:r w:rsidRPr="00AB3200">
        <w:rPr>
          <w:rFonts w:hAnsi="標楷體"/>
        </w:rPr>
        <w:t>量足質精</w:t>
      </w:r>
      <w:proofErr w:type="gramEnd"/>
      <w:r w:rsidRPr="00AB3200">
        <w:rPr>
          <w:rFonts w:hAnsi="標楷體"/>
        </w:rPr>
        <w:t>」的優質人力基地，以及亞太優秀人才聚集中心的目標，並於99至102年度編列預算576億餘元，實際執行達559億餘元，</w:t>
      </w:r>
      <w:proofErr w:type="gramStart"/>
      <w:r w:rsidRPr="00AB3200">
        <w:rPr>
          <w:rFonts w:hAnsi="標楷體"/>
        </w:rPr>
        <w:t>惟前揭</w:t>
      </w:r>
      <w:proofErr w:type="gramEnd"/>
      <w:r w:rsidRPr="00AB3200">
        <w:rPr>
          <w:rFonts w:hAnsi="標楷體"/>
        </w:rPr>
        <w:t>方案實施後，青年失業人口未降反升，復加青年勞動人口逐年減少，我國青年（15至24歲）就業人數已由95年之90萬餘人降至10</w:t>
      </w:r>
      <w:r w:rsidRPr="00AB3200">
        <w:rPr>
          <w:rFonts w:hAnsi="標楷體" w:hint="eastAsia"/>
        </w:rPr>
        <w:t>3</w:t>
      </w:r>
      <w:r w:rsidRPr="00AB3200">
        <w:rPr>
          <w:rFonts w:hAnsi="標楷體"/>
        </w:rPr>
        <w:t>年</w:t>
      </w:r>
      <w:r w:rsidRPr="00AB3200">
        <w:rPr>
          <w:rFonts w:hAnsi="標楷體" w:hint="eastAsia"/>
        </w:rPr>
        <w:t>1至4月</w:t>
      </w:r>
      <w:r w:rsidRPr="00AB3200">
        <w:rPr>
          <w:rFonts w:hAnsi="標楷體"/>
        </w:rPr>
        <w:t>之7</w:t>
      </w:r>
      <w:r w:rsidRPr="00AB3200">
        <w:rPr>
          <w:rFonts w:hAnsi="標楷體" w:hint="eastAsia"/>
        </w:rPr>
        <w:t>6</w:t>
      </w:r>
      <w:r w:rsidRPr="00AB3200">
        <w:rPr>
          <w:rFonts w:hAnsi="標楷體"/>
        </w:rPr>
        <w:t>萬餘人，國家競爭力大受侵蝕，且據行政院主計總處人力運用調查報告，102年青年</w:t>
      </w:r>
      <w:r w:rsidRPr="00AB3200">
        <w:rPr>
          <w:rFonts w:hAnsi="標楷體"/>
        </w:rPr>
        <w:lastRenderedPageBreak/>
        <w:t>（15至24歲）就業者主要工作收入，尚較96年金融海嘯發生前為低</w:t>
      </w:r>
      <w:r w:rsidRPr="00AB3200">
        <w:rPr>
          <w:rStyle w:val="af7"/>
          <w:rFonts w:hAnsi="標楷體"/>
        </w:rPr>
        <w:footnoteReference w:id="2"/>
      </w:r>
      <w:r w:rsidRPr="00AB3200">
        <w:rPr>
          <w:rFonts w:hAnsi="標楷體"/>
        </w:rPr>
        <w:t>，其中15至19歲青年收入減幅達10.41％。</w:t>
      </w:r>
    </w:p>
    <w:p w:rsidR="00203F6C" w:rsidRPr="00AB3200" w:rsidRDefault="00203F6C" w:rsidP="00203F6C">
      <w:pPr>
        <w:pStyle w:val="4"/>
        <w:numPr>
          <w:ilvl w:val="0"/>
          <w:numId w:val="0"/>
        </w:numPr>
        <w:ind w:left="1418" w:firstLineChars="208" w:firstLine="708"/>
        <w:rPr>
          <w:rFonts w:hAnsi="標楷體"/>
        </w:rPr>
      </w:pPr>
      <w:r w:rsidRPr="00AB3200">
        <w:rPr>
          <w:rFonts w:hAnsi="標楷體"/>
        </w:rPr>
        <w:t>由上顯示，我國青年失業低薪問題益趨嚴重，行政院策定</w:t>
      </w:r>
      <w:r w:rsidRPr="00AB3200">
        <w:rPr>
          <w:rFonts w:hAnsi="標楷體" w:hint="eastAsia"/>
        </w:rPr>
        <w:t>之</w:t>
      </w:r>
      <w:r w:rsidRPr="00AB3200">
        <w:rPr>
          <w:rFonts w:hAnsi="標楷體"/>
        </w:rPr>
        <w:t>方案，</w:t>
      </w:r>
      <w:r w:rsidRPr="00AB3200">
        <w:rPr>
          <w:rFonts w:hAnsi="標楷體" w:hint="eastAsia"/>
        </w:rPr>
        <w:t>尚未能</w:t>
      </w:r>
      <w:r w:rsidRPr="00AB3200">
        <w:rPr>
          <w:rFonts w:hAnsi="標楷體"/>
        </w:rPr>
        <w:t>提升青年就業</w:t>
      </w:r>
      <w:r w:rsidRPr="00AB3200">
        <w:rPr>
          <w:rFonts w:hAnsi="標楷體" w:hint="eastAsia"/>
        </w:rPr>
        <w:t>率</w:t>
      </w:r>
      <w:r w:rsidRPr="00AB3200">
        <w:rPr>
          <w:rFonts w:hAnsi="標楷體"/>
        </w:rPr>
        <w:t>。國發會為應我國人才危機，雖規劃「人才培育方案」，並編列鉅額經費，惟執行成果，成效</w:t>
      </w:r>
      <w:r w:rsidRPr="00AB3200">
        <w:rPr>
          <w:rFonts w:hAnsi="標楷體" w:hint="eastAsia"/>
        </w:rPr>
        <w:t>尚未彰顯</w:t>
      </w:r>
      <w:r w:rsidRPr="00AB3200">
        <w:rPr>
          <w:rFonts w:hAnsi="標楷體"/>
        </w:rPr>
        <w:t>。</w:t>
      </w:r>
    </w:p>
    <w:p w:rsidR="00203F6C" w:rsidRPr="00AB3200" w:rsidRDefault="00203F6C" w:rsidP="00203F6C">
      <w:pPr>
        <w:pStyle w:val="3"/>
        <w:ind w:left="1418"/>
        <w:rPr>
          <w:rFonts w:hAnsi="標楷體"/>
          <w:szCs w:val="32"/>
        </w:rPr>
      </w:pPr>
      <w:bookmarkStart w:id="32" w:name="_Toc393464344"/>
      <w:r w:rsidRPr="00AB3200">
        <w:rPr>
          <w:rFonts w:hAnsi="標楷體" w:hint="eastAsia"/>
          <w:szCs w:val="32"/>
        </w:rPr>
        <w:t>行政院於今年5月本院約</w:t>
      </w:r>
      <w:proofErr w:type="gramStart"/>
      <w:r w:rsidRPr="00AB3200">
        <w:rPr>
          <w:rFonts w:hAnsi="標楷體" w:hint="eastAsia"/>
          <w:szCs w:val="32"/>
        </w:rPr>
        <w:t>詢</w:t>
      </w:r>
      <w:proofErr w:type="gramEnd"/>
      <w:r w:rsidRPr="00AB3200">
        <w:rPr>
          <w:rFonts w:hAnsi="標楷體" w:hint="eastAsia"/>
          <w:szCs w:val="32"/>
        </w:rPr>
        <w:t>時以書面表示，為提升青年就業力，增加薪資提升機會，並解決青年失業問題，政府刻正推動各項措施：</w:t>
      </w:r>
      <w:bookmarkEnd w:id="32"/>
    </w:p>
    <w:p w:rsidR="00203F6C" w:rsidRPr="00AB3200" w:rsidRDefault="00203F6C" w:rsidP="00203F6C">
      <w:pPr>
        <w:pStyle w:val="4"/>
      </w:pPr>
      <w:r w:rsidRPr="00AB3200">
        <w:rPr>
          <w:rFonts w:hint="eastAsia"/>
        </w:rPr>
        <w:t>勞動部整合11個機關（單位）</w:t>
      </w:r>
      <w:proofErr w:type="gramStart"/>
      <w:r w:rsidRPr="00AB3200">
        <w:rPr>
          <w:rFonts w:hint="eastAsia"/>
        </w:rPr>
        <w:t>研</w:t>
      </w:r>
      <w:proofErr w:type="gramEnd"/>
      <w:r w:rsidRPr="00AB3200">
        <w:rPr>
          <w:rFonts w:hint="eastAsia"/>
        </w:rPr>
        <w:t>擬「促進青年就業方案」，預計3年投入140億元。</w:t>
      </w:r>
    </w:p>
    <w:p w:rsidR="00203F6C" w:rsidRPr="00AB3200" w:rsidRDefault="00203F6C" w:rsidP="00203F6C">
      <w:pPr>
        <w:pStyle w:val="4"/>
      </w:pPr>
      <w:r w:rsidRPr="00AB3200">
        <w:rPr>
          <w:rFonts w:hint="eastAsia"/>
        </w:rPr>
        <w:t>經濟部整合各部會的創業資源，規劃推動「青年創業專案」（103-105年）。</w:t>
      </w:r>
    </w:p>
    <w:p w:rsidR="00203F6C" w:rsidRPr="00AB3200" w:rsidRDefault="00203F6C" w:rsidP="00203F6C">
      <w:pPr>
        <w:pStyle w:val="4"/>
      </w:pPr>
      <w:r w:rsidRPr="00AB3200">
        <w:rPr>
          <w:rFonts w:hint="eastAsia"/>
        </w:rPr>
        <w:t>國家發展委員會協調推動「縮短</w:t>
      </w:r>
      <w:proofErr w:type="gramStart"/>
      <w:r w:rsidRPr="00AB3200">
        <w:rPr>
          <w:rFonts w:hint="eastAsia"/>
        </w:rPr>
        <w:t>學訓考</w:t>
      </w:r>
      <w:proofErr w:type="gramEnd"/>
      <w:r w:rsidRPr="00AB3200">
        <w:rPr>
          <w:rFonts w:hint="eastAsia"/>
        </w:rPr>
        <w:t>用落差方案」（101-103年）。</w:t>
      </w:r>
    </w:p>
    <w:p w:rsidR="00203F6C" w:rsidRPr="00AB3200" w:rsidRDefault="00203F6C" w:rsidP="00203F6C">
      <w:pPr>
        <w:pStyle w:val="4"/>
      </w:pPr>
      <w:r w:rsidRPr="00AB3200">
        <w:rPr>
          <w:rFonts w:hint="eastAsia"/>
        </w:rPr>
        <w:t>國家發展委員會刻正推動「育才、留才</w:t>
      </w:r>
      <w:proofErr w:type="gramStart"/>
      <w:r w:rsidRPr="00AB3200">
        <w:rPr>
          <w:rFonts w:hint="eastAsia"/>
        </w:rPr>
        <w:t>及攬才</w:t>
      </w:r>
      <w:proofErr w:type="gramEnd"/>
      <w:r w:rsidRPr="00AB3200">
        <w:rPr>
          <w:rFonts w:hint="eastAsia"/>
        </w:rPr>
        <w:t>整合方案」（103-105年）。</w:t>
      </w:r>
    </w:p>
    <w:p w:rsidR="00203F6C" w:rsidRPr="00AB3200" w:rsidRDefault="00203F6C" w:rsidP="00203F6C">
      <w:pPr>
        <w:pStyle w:val="4"/>
        <w:numPr>
          <w:ilvl w:val="0"/>
          <w:numId w:val="0"/>
        </w:numPr>
        <w:ind w:left="1701"/>
      </w:pPr>
      <w:r w:rsidRPr="00AB3200">
        <w:rPr>
          <w:rFonts w:hint="eastAsia"/>
        </w:rPr>
        <w:t>上開措施，實施成效為何，尚待觀察。</w:t>
      </w:r>
    </w:p>
    <w:p w:rsidR="00203F6C" w:rsidRPr="00AB3200" w:rsidRDefault="00203F6C" w:rsidP="00203F6C">
      <w:pPr>
        <w:pStyle w:val="3"/>
        <w:ind w:left="1418"/>
        <w:rPr>
          <w:rFonts w:hAnsi="標楷體"/>
          <w:b/>
          <w:szCs w:val="32"/>
          <w:u w:val="single"/>
        </w:rPr>
      </w:pPr>
      <w:bookmarkStart w:id="33" w:name="_Toc393464345"/>
      <w:r w:rsidRPr="00AB3200">
        <w:rPr>
          <w:rFonts w:hAnsi="標楷體"/>
        </w:rPr>
        <w:t>綜上，近來國內整體失業率雖呈小幅下降趨勢，然青年失業</w:t>
      </w:r>
      <w:r w:rsidRPr="00AB3200">
        <w:rPr>
          <w:rFonts w:hAnsi="標楷體" w:hint="eastAsia"/>
        </w:rPr>
        <w:t>率</w:t>
      </w:r>
      <w:r w:rsidRPr="00AB3200">
        <w:rPr>
          <w:rFonts w:hAnsi="標楷體"/>
        </w:rPr>
        <w:t>不升反降，肇致二者差距逐漸擴大，</w:t>
      </w:r>
      <w:r w:rsidRPr="00AB3200">
        <w:rPr>
          <w:rFonts w:hAnsi="標楷體" w:hint="eastAsia"/>
        </w:rPr>
        <w:t>甚有20至24歲之</w:t>
      </w:r>
      <w:r w:rsidRPr="00AB3200">
        <w:rPr>
          <w:rFonts w:hAnsi="標楷體"/>
        </w:rPr>
        <w:t>青年失業率為整體</w:t>
      </w:r>
      <w:r w:rsidRPr="00AB3200">
        <w:rPr>
          <w:rFonts w:hAnsi="標楷體" w:hint="eastAsia"/>
        </w:rPr>
        <w:t>失業率之</w:t>
      </w:r>
      <w:r w:rsidRPr="00AB3200">
        <w:rPr>
          <w:rFonts w:hAnsi="標楷體"/>
        </w:rPr>
        <w:t>3倍餘</w:t>
      </w:r>
      <w:r w:rsidRPr="00AB3200">
        <w:rPr>
          <w:rFonts w:hAnsi="標楷體" w:hint="eastAsia"/>
        </w:rPr>
        <w:t>。我國青年失業率也高於日、韓，且青年失業人數高達21萬人，約占整體失業人數45.53%，且失業超過1年以上之長期失業青年，亦占全體長期失業者之</w:t>
      </w:r>
      <w:proofErr w:type="gramStart"/>
      <w:r w:rsidRPr="00AB3200">
        <w:rPr>
          <w:rFonts w:hAnsi="標楷體" w:hint="eastAsia"/>
        </w:rPr>
        <w:t>4成</w:t>
      </w:r>
      <w:proofErr w:type="gramEnd"/>
      <w:r w:rsidRPr="00AB3200">
        <w:rPr>
          <w:rFonts w:hAnsi="標楷體" w:hint="eastAsia"/>
        </w:rPr>
        <w:t>，顯示，</w:t>
      </w:r>
      <w:r w:rsidRPr="00AB3200">
        <w:rPr>
          <w:rFonts w:hAnsi="標楷體"/>
        </w:rPr>
        <w:t>政府改善</w:t>
      </w:r>
      <w:r w:rsidRPr="00AB3200">
        <w:rPr>
          <w:rFonts w:hAnsi="標楷體" w:hint="eastAsia"/>
        </w:rPr>
        <w:t>青年</w:t>
      </w:r>
      <w:r w:rsidRPr="00AB3200">
        <w:rPr>
          <w:rFonts w:hAnsi="標楷體"/>
        </w:rPr>
        <w:t>失業成效</w:t>
      </w:r>
      <w:r w:rsidRPr="00AB3200">
        <w:rPr>
          <w:rFonts w:hAnsi="標楷體" w:hint="eastAsia"/>
        </w:rPr>
        <w:t>尚待加強</w:t>
      </w:r>
      <w:r w:rsidRPr="00AB3200">
        <w:rPr>
          <w:rFonts w:hAnsi="標楷體"/>
        </w:rPr>
        <w:t>，行政院允</w:t>
      </w:r>
      <w:r w:rsidRPr="00AB3200">
        <w:rPr>
          <w:rFonts w:hAnsi="標楷體" w:hint="eastAsia"/>
        </w:rPr>
        <w:t>宜</w:t>
      </w:r>
      <w:r w:rsidRPr="00AB3200">
        <w:rPr>
          <w:rFonts w:hAnsi="標楷體"/>
        </w:rPr>
        <w:t>強化跨部會協調平</w:t>
      </w:r>
      <w:proofErr w:type="gramStart"/>
      <w:r w:rsidRPr="00AB3200">
        <w:rPr>
          <w:rFonts w:hAnsi="標楷體"/>
        </w:rPr>
        <w:t>臺</w:t>
      </w:r>
      <w:proofErr w:type="gramEnd"/>
      <w:r w:rsidRPr="00AB3200">
        <w:rPr>
          <w:rFonts w:hAnsi="標楷體"/>
        </w:rPr>
        <w:t>，策定有效方案，以提升青年就業。</w:t>
      </w:r>
      <w:bookmarkEnd w:id="33"/>
    </w:p>
    <w:p w:rsidR="00203F6C" w:rsidRPr="00AB3200" w:rsidRDefault="00203F6C" w:rsidP="00203F6C">
      <w:pPr>
        <w:pStyle w:val="20"/>
        <w:ind w:left="1020" w:hanging="680"/>
        <w:rPr>
          <w:rFonts w:hAnsi="標楷體"/>
          <w:b/>
          <w:szCs w:val="32"/>
        </w:rPr>
      </w:pPr>
      <w:bookmarkStart w:id="34" w:name="_Toc393464346"/>
      <w:r w:rsidRPr="00AB3200">
        <w:rPr>
          <w:rFonts w:hAnsi="標楷體"/>
          <w:b/>
          <w:szCs w:val="32"/>
        </w:rPr>
        <w:lastRenderedPageBreak/>
        <w:t>我國青年</w:t>
      </w:r>
      <w:r w:rsidRPr="00AB3200">
        <w:rPr>
          <w:rFonts w:hAnsi="標楷體" w:hint="eastAsia"/>
          <w:b/>
          <w:szCs w:val="32"/>
        </w:rPr>
        <w:t>低薪情形嚴重，主要工作收入未滿3萬元者，高達123萬餘人，占整體青年有工作收入者之61.3%，且近十五年我國</w:t>
      </w:r>
      <w:r w:rsidRPr="00AB3200">
        <w:rPr>
          <w:rFonts w:hAnsi="標楷體"/>
          <w:b/>
          <w:szCs w:val="32"/>
        </w:rPr>
        <w:t>實質薪資不升反降，</w:t>
      </w:r>
      <w:r w:rsidRPr="00AB3200">
        <w:rPr>
          <w:rFonts w:hAnsi="標楷體" w:hint="eastAsia"/>
          <w:b/>
          <w:szCs w:val="32"/>
        </w:rPr>
        <w:t>連帶產生青年無力負擔房價、不敢婚育等負面影響，甚而引發優秀人才外流問題。</w:t>
      </w:r>
      <w:r w:rsidRPr="00AB3200">
        <w:rPr>
          <w:rFonts w:hAnsi="標楷體"/>
          <w:b/>
          <w:szCs w:val="32"/>
        </w:rPr>
        <w:t>行政院</w:t>
      </w:r>
      <w:proofErr w:type="gramStart"/>
      <w:r w:rsidRPr="00AB3200">
        <w:rPr>
          <w:rFonts w:hAnsi="標楷體"/>
          <w:b/>
          <w:szCs w:val="32"/>
        </w:rPr>
        <w:t>允</w:t>
      </w:r>
      <w:r w:rsidRPr="00AB3200">
        <w:rPr>
          <w:rFonts w:hAnsi="標楷體" w:hint="eastAsia"/>
          <w:b/>
          <w:szCs w:val="32"/>
        </w:rPr>
        <w:t>宜</w:t>
      </w:r>
      <w:r w:rsidRPr="00AB3200">
        <w:rPr>
          <w:rFonts w:hAnsi="標楷體"/>
          <w:b/>
          <w:szCs w:val="32"/>
        </w:rPr>
        <w:t>策定</w:t>
      </w:r>
      <w:proofErr w:type="gramEnd"/>
      <w:r w:rsidRPr="00AB3200">
        <w:rPr>
          <w:rFonts w:hAnsi="標楷體"/>
          <w:b/>
          <w:szCs w:val="32"/>
        </w:rPr>
        <w:t>方案，提高企業為受雇者加薪之誘因，並對所提各項強化產業或企業競爭力之方案，</w:t>
      </w:r>
      <w:proofErr w:type="gramStart"/>
      <w:r w:rsidRPr="00AB3200">
        <w:rPr>
          <w:rFonts w:hAnsi="標楷體"/>
          <w:b/>
          <w:szCs w:val="32"/>
        </w:rPr>
        <w:t>研</w:t>
      </w:r>
      <w:proofErr w:type="gramEnd"/>
      <w:r w:rsidRPr="00AB3200">
        <w:rPr>
          <w:rFonts w:hAnsi="標楷體"/>
          <w:b/>
          <w:szCs w:val="32"/>
        </w:rPr>
        <w:t>議附加增聘員工或加薪機制，以營造</w:t>
      </w:r>
      <w:r w:rsidRPr="00AB3200">
        <w:rPr>
          <w:rFonts w:hAnsi="標楷體" w:hint="eastAsia"/>
          <w:b/>
          <w:szCs w:val="32"/>
        </w:rPr>
        <w:t>兼顧</w:t>
      </w:r>
      <w:r w:rsidRPr="00AB3200">
        <w:rPr>
          <w:rFonts w:hAnsi="標楷體"/>
          <w:b/>
          <w:szCs w:val="32"/>
        </w:rPr>
        <w:t>企業</w:t>
      </w:r>
      <w:r w:rsidRPr="00AB3200">
        <w:rPr>
          <w:rFonts w:hAnsi="標楷體" w:hint="eastAsia"/>
          <w:b/>
          <w:szCs w:val="32"/>
        </w:rPr>
        <w:t>利潤</w:t>
      </w:r>
      <w:r w:rsidRPr="00AB3200">
        <w:rPr>
          <w:rFonts w:hAnsi="標楷體"/>
          <w:b/>
          <w:szCs w:val="32"/>
        </w:rPr>
        <w:t>及員工生計之環境。</w:t>
      </w:r>
      <w:bookmarkEnd w:id="34"/>
    </w:p>
    <w:p w:rsidR="00203F6C" w:rsidRPr="00AB3200" w:rsidRDefault="00203F6C" w:rsidP="00203F6C">
      <w:pPr>
        <w:pStyle w:val="3"/>
        <w:ind w:left="1134" w:hanging="454"/>
        <w:rPr>
          <w:rFonts w:hAnsi="標楷體"/>
          <w:szCs w:val="32"/>
        </w:rPr>
      </w:pPr>
      <w:bookmarkStart w:id="35" w:name="_Toc393464347"/>
      <w:r w:rsidRPr="00AB3200">
        <w:rPr>
          <w:rFonts w:hAnsi="標楷體"/>
          <w:szCs w:val="32"/>
        </w:rPr>
        <w:t>依據行政院主計總處統計，顯示:</w:t>
      </w:r>
      <w:bookmarkEnd w:id="35"/>
    </w:p>
    <w:p w:rsidR="00203F6C" w:rsidRPr="00AB3200" w:rsidRDefault="00203F6C" w:rsidP="00203F6C">
      <w:pPr>
        <w:pStyle w:val="4"/>
        <w:ind w:left="1843" w:hanging="709"/>
        <w:rPr>
          <w:rFonts w:hAnsi="標楷體"/>
        </w:rPr>
      </w:pPr>
      <w:r w:rsidRPr="00AB3200">
        <w:rPr>
          <w:rFonts w:hAnsi="標楷體"/>
        </w:rPr>
        <w:t>依據行政院主計總處「102年人力運用調查報告」顯示，未滿30歲之青年</w:t>
      </w:r>
      <w:r w:rsidRPr="00AB3200">
        <w:rPr>
          <w:rFonts w:hAnsi="標楷體" w:hint="eastAsia"/>
        </w:rPr>
        <w:t>中</w:t>
      </w:r>
      <w:r w:rsidRPr="00AB3200">
        <w:rPr>
          <w:rFonts w:hAnsi="標楷體"/>
        </w:rPr>
        <w:t>有12.8萬人主要工作收入未達1.5萬元，13.8萬人主要工作收入</w:t>
      </w:r>
      <w:r w:rsidRPr="00AB3200">
        <w:rPr>
          <w:rFonts w:hAnsi="標楷體" w:hint="eastAsia"/>
        </w:rPr>
        <w:t>介</w:t>
      </w:r>
      <w:r w:rsidRPr="00AB3200">
        <w:rPr>
          <w:rFonts w:hAnsi="標楷體"/>
        </w:rPr>
        <w:t>於1.5萬至2萬間</w:t>
      </w:r>
      <w:r w:rsidRPr="00AB3200">
        <w:rPr>
          <w:rFonts w:hAnsi="標楷體" w:hint="eastAsia"/>
        </w:rPr>
        <w:t>。</w:t>
      </w:r>
      <w:r w:rsidRPr="00AB3200">
        <w:rPr>
          <w:rFonts w:hAnsi="標楷體"/>
        </w:rPr>
        <w:t>青年主要工作收入未達3萬元</w:t>
      </w:r>
      <w:r w:rsidRPr="00AB3200">
        <w:rPr>
          <w:rFonts w:hAnsi="標楷體" w:hint="eastAsia"/>
        </w:rPr>
        <w:t>者</w:t>
      </w:r>
      <w:r w:rsidRPr="00AB3200">
        <w:rPr>
          <w:rFonts w:hAnsi="標楷體"/>
        </w:rPr>
        <w:t>，共有123.4萬</w:t>
      </w:r>
      <w:r w:rsidRPr="00AB3200">
        <w:rPr>
          <w:rFonts w:hAnsi="標楷體" w:hint="eastAsia"/>
        </w:rPr>
        <w:t>人，</w:t>
      </w:r>
      <w:r w:rsidRPr="00AB3200">
        <w:rPr>
          <w:rFonts w:hAnsi="標楷體"/>
        </w:rPr>
        <w:t>約占該等年齡層</w:t>
      </w:r>
      <w:proofErr w:type="gramStart"/>
      <w:r w:rsidRPr="00AB3200">
        <w:rPr>
          <w:rFonts w:hAnsi="標楷體"/>
        </w:rPr>
        <w:t>有酬就</w:t>
      </w:r>
      <w:proofErr w:type="gramEnd"/>
      <w:r w:rsidRPr="00AB3200">
        <w:rPr>
          <w:rFonts w:hAnsi="標楷體"/>
        </w:rPr>
        <w:t>業者201.3萬人之61.3%</w:t>
      </w:r>
      <w:r w:rsidRPr="00AB3200">
        <w:rPr>
          <w:rFonts w:hAnsi="標楷體" w:hint="eastAsia"/>
        </w:rPr>
        <w:t>，見下表。</w:t>
      </w:r>
    </w:p>
    <w:p w:rsidR="00203F6C" w:rsidRPr="00AB3200" w:rsidRDefault="00203F6C" w:rsidP="00203F6C">
      <w:pPr>
        <w:pStyle w:val="20"/>
        <w:numPr>
          <w:ilvl w:val="0"/>
          <w:numId w:val="0"/>
        </w:numPr>
        <w:spacing w:line="300" w:lineRule="exact"/>
        <w:ind w:left="346"/>
        <w:jc w:val="center"/>
        <w:rPr>
          <w:rFonts w:hAnsi="標楷體"/>
          <w:sz w:val="24"/>
          <w:szCs w:val="24"/>
        </w:rPr>
      </w:pPr>
      <w:bookmarkStart w:id="36" w:name="_Toc393464348"/>
      <w:proofErr w:type="gramStart"/>
      <w:r w:rsidRPr="00AB3200">
        <w:rPr>
          <w:rFonts w:hAnsi="標楷體"/>
          <w:sz w:val="24"/>
          <w:szCs w:val="24"/>
        </w:rPr>
        <w:t>有酬就</w:t>
      </w:r>
      <w:proofErr w:type="gramEnd"/>
      <w:r w:rsidRPr="00AB3200">
        <w:rPr>
          <w:rFonts w:hAnsi="標楷體"/>
          <w:sz w:val="24"/>
          <w:szCs w:val="24"/>
        </w:rPr>
        <w:t>業者每月主要工作之收入:102.5</w:t>
      </w:r>
      <w:bookmarkEnd w:id="36"/>
    </w:p>
    <w:p w:rsidR="00203F6C" w:rsidRPr="00AB3200" w:rsidRDefault="00203F6C" w:rsidP="00203F6C">
      <w:pPr>
        <w:pStyle w:val="20"/>
        <w:numPr>
          <w:ilvl w:val="0"/>
          <w:numId w:val="0"/>
        </w:numPr>
        <w:spacing w:line="240" w:lineRule="exact"/>
        <w:ind w:left="346" w:rightChars="-25" w:right="-85"/>
        <w:jc w:val="right"/>
        <w:rPr>
          <w:rFonts w:hAnsi="標楷體"/>
          <w:sz w:val="20"/>
          <w:szCs w:val="20"/>
        </w:rPr>
      </w:pPr>
      <w:bookmarkStart w:id="37" w:name="_Toc393464349"/>
      <w:r w:rsidRPr="00AB3200">
        <w:rPr>
          <w:rFonts w:hAnsi="標楷體"/>
          <w:sz w:val="20"/>
          <w:szCs w:val="20"/>
        </w:rPr>
        <w:t>單位:</w:t>
      </w:r>
      <w:r w:rsidRPr="00AB3200">
        <w:rPr>
          <w:rFonts w:hAnsi="標楷體" w:hint="eastAsia"/>
          <w:sz w:val="20"/>
          <w:szCs w:val="20"/>
        </w:rPr>
        <w:t>元；</w:t>
      </w:r>
      <w:r w:rsidRPr="00AB3200">
        <w:rPr>
          <w:rFonts w:hAnsi="標楷體"/>
          <w:sz w:val="20"/>
          <w:szCs w:val="20"/>
        </w:rPr>
        <w:t>千人</w:t>
      </w:r>
      <w:bookmarkEnd w:id="37"/>
    </w:p>
    <w:tbl>
      <w:tblPr>
        <w:tblW w:w="8642"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709"/>
        <w:gridCol w:w="850"/>
        <w:gridCol w:w="709"/>
        <w:gridCol w:w="709"/>
        <w:gridCol w:w="708"/>
        <w:gridCol w:w="709"/>
        <w:gridCol w:w="709"/>
        <w:gridCol w:w="709"/>
        <w:gridCol w:w="708"/>
        <w:gridCol w:w="709"/>
        <w:gridCol w:w="709"/>
        <w:gridCol w:w="704"/>
      </w:tblGrid>
      <w:tr w:rsidR="00203F6C" w:rsidRPr="00AB3200" w:rsidTr="00203F6C">
        <w:trPr>
          <w:trHeight w:val="120"/>
        </w:trPr>
        <w:tc>
          <w:tcPr>
            <w:tcW w:w="709" w:type="dxa"/>
            <w:shd w:val="clear" w:color="auto" w:fill="auto"/>
            <w:noWrap/>
            <w:vAlign w:val="center"/>
            <w:hideMark/>
          </w:tcPr>
          <w:p w:rsidR="00203F6C" w:rsidRPr="00AB3200" w:rsidRDefault="00203F6C" w:rsidP="00203F6C">
            <w:pPr>
              <w:widowControl/>
              <w:adjustRightInd w:val="0"/>
              <w:ind w:leftChars="-5" w:left="-3" w:hangingChars="8" w:hanging="14"/>
              <w:jc w:val="center"/>
              <w:rPr>
                <w:rFonts w:ascii="標楷體" w:hAnsi="標楷體"/>
                <w:kern w:val="0"/>
                <w:sz w:val="16"/>
                <w:szCs w:val="16"/>
              </w:rPr>
            </w:pPr>
            <w:r w:rsidRPr="00AB3200">
              <w:rPr>
                <w:rFonts w:ascii="標楷體" w:hAnsi="標楷體"/>
                <w:kern w:val="0"/>
                <w:sz w:val="16"/>
                <w:szCs w:val="16"/>
              </w:rPr>
              <w:t>項目別</w:t>
            </w:r>
          </w:p>
        </w:tc>
        <w:tc>
          <w:tcPr>
            <w:tcW w:w="850" w:type="dxa"/>
            <w:shd w:val="clear" w:color="auto" w:fill="auto"/>
            <w:vAlign w:val="center"/>
            <w:hideMark/>
          </w:tcPr>
          <w:p w:rsidR="00203F6C" w:rsidRPr="00AB3200" w:rsidRDefault="00203F6C" w:rsidP="00203F6C">
            <w:pPr>
              <w:widowControl/>
              <w:adjustRightInd w:val="0"/>
              <w:jc w:val="center"/>
              <w:rPr>
                <w:rFonts w:ascii="標楷體" w:hAnsi="標楷體"/>
                <w:kern w:val="0"/>
                <w:sz w:val="16"/>
                <w:szCs w:val="16"/>
              </w:rPr>
            </w:pPr>
            <w:r w:rsidRPr="00AB3200">
              <w:rPr>
                <w:rFonts w:ascii="標楷體" w:hAnsi="標楷體"/>
                <w:kern w:val="0"/>
                <w:sz w:val="16"/>
                <w:szCs w:val="16"/>
              </w:rPr>
              <w:t>總計</w:t>
            </w:r>
          </w:p>
        </w:tc>
        <w:tc>
          <w:tcPr>
            <w:tcW w:w="709" w:type="dxa"/>
            <w:shd w:val="clear" w:color="auto" w:fill="auto"/>
            <w:vAlign w:val="center"/>
            <w:hideMark/>
          </w:tcPr>
          <w:p w:rsidR="00203F6C" w:rsidRPr="00AB3200" w:rsidRDefault="00203F6C" w:rsidP="00203F6C">
            <w:pPr>
              <w:widowControl/>
              <w:adjustRightInd w:val="0"/>
              <w:jc w:val="center"/>
              <w:rPr>
                <w:rFonts w:ascii="標楷體" w:hAnsi="標楷體"/>
                <w:kern w:val="0"/>
                <w:sz w:val="16"/>
                <w:szCs w:val="16"/>
              </w:rPr>
            </w:pPr>
            <w:r w:rsidRPr="00AB3200">
              <w:rPr>
                <w:rFonts w:ascii="標楷體" w:hAnsi="標楷體"/>
                <w:kern w:val="0"/>
                <w:sz w:val="16"/>
                <w:szCs w:val="16"/>
              </w:rPr>
              <w:t xml:space="preserve"> 未滿 15,000 </w:t>
            </w:r>
          </w:p>
        </w:tc>
        <w:tc>
          <w:tcPr>
            <w:tcW w:w="709" w:type="dxa"/>
            <w:shd w:val="clear" w:color="auto" w:fill="auto"/>
            <w:vAlign w:val="center"/>
            <w:hideMark/>
          </w:tcPr>
          <w:p w:rsidR="00203F6C" w:rsidRPr="00AB3200" w:rsidRDefault="00203F6C" w:rsidP="00203F6C">
            <w:pPr>
              <w:widowControl/>
              <w:adjustRightInd w:val="0"/>
              <w:jc w:val="center"/>
              <w:rPr>
                <w:rFonts w:ascii="標楷體" w:hAnsi="標楷體"/>
                <w:kern w:val="0"/>
                <w:sz w:val="16"/>
                <w:szCs w:val="16"/>
              </w:rPr>
            </w:pPr>
            <w:r w:rsidRPr="00AB3200">
              <w:rPr>
                <w:rFonts w:ascii="標楷體" w:hAnsi="標楷體"/>
                <w:kern w:val="0"/>
                <w:sz w:val="16"/>
                <w:szCs w:val="16"/>
              </w:rPr>
              <w:t>15,000- 19,999</w:t>
            </w:r>
          </w:p>
        </w:tc>
        <w:tc>
          <w:tcPr>
            <w:tcW w:w="708" w:type="dxa"/>
            <w:shd w:val="clear" w:color="auto" w:fill="auto"/>
            <w:vAlign w:val="center"/>
            <w:hideMark/>
          </w:tcPr>
          <w:p w:rsidR="00203F6C" w:rsidRPr="00AB3200" w:rsidRDefault="00203F6C" w:rsidP="00203F6C">
            <w:pPr>
              <w:widowControl/>
              <w:adjustRightInd w:val="0"/>
              <w:jc w:val="center"/>
              <w:rPr>
                <w:rFonts w:ascii="標楷體" w:hAnsi="標楷體"/>
                <w:kern w:val="0"/>
                <w:sz w:val="16"/>
                <w:szCs w:val="16"/>
              </w:rPr>
            </w:pPr>
            <w:r w:rsidRPr="00AB3200">
              <w:rPr>
                <w:rFonts w:ascii="標楷體" w:hAnsi="標楷體"/>
                <w:kern w:val="0"/>
                <w:sz w:val="16"/>
                <w:szCs w:val="16"/>
              </w:rPr>
              <w:t>20,000- 24,999</w:t>
            </w:r>
          </w:p>
        </w:tc>
        <w:tc>
          <w:tcPr>
            <w:tcW w:w="709" w:type="dxa"/>
            <w:shd w:val="clear" w:color="auto" w:fill="auto"/>
            <w:vAlign w:val="center"/>
            <w:hideMark/>
          </w:tcPr>
          <w:p w:rsidR="00203F6C" w:rsidRPr="00AB3200" w:rsidRDefault="00203F6C" w:rsidP="00203F6C">
            <w:pPr>
              <w:widowControl/>
              <w:adjustRightInd w:val="0"/>
              <w:jc w:val="center"/>
              <w:rPr>
                <w:rFonts w:ascii="標楷體" w:hAnsi="標楷體"/>
                <w:kern w:val="0"/>
                <w:sz w:val="16"/>
                <w:szCs w:val="16"/>
              </w:rPr>
            </w:pPr>
            <w:r w:rsidRPr="00AB3200">
              <w:rPr>
                <w:rFonts w:ascii="標楷體" w:hAnsi="標楷體"/>
                <w:kern w:val="0"/>
                <w:sz w:val="16"/>
                <w:szCs w:val="16"/>
              </w:rPr>
              <w:t>25,000- 29,99</w:t>
            </w:r>
          </w:p>
        </w:tc>
        <w:tc>
          <w:tcPr>
            <w:tcW w:w="709" w:type="dxa"/>
            <w:shd w:val="clear" w:color="auto" w:fill="auto"/>
            <w:vAlign w:val="center"/>
            <w:hideMark/>
          </w:tcPr>
          <w:p w:rsidR="00203F6C" w:rsidRPr="00AB3200" w:rsidRDefault="00203F6C" w:rsidP="00203F6C">
            <w:pPr>
              <w:widowControl/>
              <w:adjustRightInd w:val="0"/>
              <w:jc w:val="center"/>
              <w:rPr>
                <w:rFonts w:ascii="標楷體" w:hAnsi="標楷體"/>
                <w:kern w:val="0"/>
                <w:sz w:val="16"/>
                <w:szCs w:val="16"/>
              </w:rPr>
            </w:pPr>
            <w:r w:rsidRPr="00AB3200">
              <w:rPr>
                <w:rFonts w:ascii="標楷體" w:hAnsi="標楷體"/>
                <w:kern w:val="0"/>
                <w:sz w:val="16"/>
                <w:szCs w:val="16"/>
              </w:rPr>
              <w:t>30,000- 34,999</w:t>
            </w:r>
          </w:p>
        </w:tc>
        <w:tc>
          <w:tcPr>
            <w:tcW w:w="709" w:type="dxa"/>
            <w:shd w:val="clear" w:color="auto" w:fill="auto"/>
            <w:vAlign w:val="center"/>
            <w:hideMark/>
          </w:tcPr>
          <w:p w:rsidR="00203F6C" w:rsidRPr="00AB3200" w:rsidRDefault="00203F6C" w:rsidP="00203F6C">
            <w:pPr>
              <w:widowControl/>
              <w:adjustRightInd w:val="0"/>
              <w:jc w:val="center"/>
              <w:rPr>
                <w:rFonts w:ascii="標楷體" w:hAnsi="標楷體"/>
                <w:kern w:val="0"/>
                <w:sz w:val="16"/>
                <w:szCs w:val="16"/>
              </w:rPr>
            </w:pPr>
            <w:r w:rsidRPr="00AB3200">
              <w:rPr>
                <w:rFonts w:ascii="標楷體" w:hAnsi="標楷體"/>
                <w:kern w:val="0"/>
                <w:sz w:val="16"/>
                <w:szCs w:val="16"/>
              </w:rPr>
              <w:t>35,000- 39,999</w:t>
            </w:r>
          </w:p>
        </w:tc>
        <w:tc>
          <w:tcPr>
            <w:tcW w:w="708" w:type="dxa"/>
            <w:shd w:val="clear" w:color="auto" w:fill="auto"/>
            <w:vAlign w:val="center"/>
            <w:hideMark/>
          </w:tcPr>
          <w:p w:rsidR="00203F6C" w:rsidRPr="00AB3200" w:rsidRDefault="00203F6C" w:rsidP="00203F6C">
            <w:pPr>
              <w:widowControl/>
              <w:adjustRightInd w:val="0"/>
              <w:jc w:val="center"/>
              <w:rPr>
                <w:rFonts w:ascii="標楷體" w:hAnsi="標楷體"/>
                <w:kern w:val="0"/>
                <w:sz w:val="16"/>
                <w:szCs w:val="16"/>
              </w:rPr>
            </w:pPr>
            <w:r w:rsidRPr="00AB3200">
              <w:rPr>
                <w:rFonts w:ascii="標楷體" w:hAnsi="標楷體"/>
                <w:kern w:val="0"/>
                <w:sz w:val="16"/>
                <w:szCs w:val="16"/>
              </w:rPr>
              <w:t>40,000- 44,999</w:t>
            </w:r>
          </w:p>
        </w:tc>
        <w:tc>
          <w:tcPr>
            <w:tcW w:w="709" w:type="dxa"/>
            <w:shd w:val="clear" w:color="auto" w:fill="auto"/>
            <w:vAlign w:val="center"/>
            <w:hideMark/>
          </w:tcPr>
          <w:p w:rsidR="00203F6C" w:rsidRPr="00AB3200" w:rsidRDefault="00203F6C" w:rsidP="00203F6C">
            <w:pPr>
              <w:widowControl/>
              <w:adjustRightInd w:val="0"/>
              <w:jc w:val="center"/>
              <w:rPr>
                <w:rFonts w:ascii="標楷體" w:hAnsi="標楷體"/>
                <w:kern w:val="0"/>
                <w:sz w:val="16"/>
                <w:szCs w:val="16"/>
              </w:rPr>
            </w:pPr>
            <w:r w:rsidRPr="00AB3200">
              <w:rPr>
                <w:rFonts w:ascii="標楷體" w:hAnsi="標楷體"/>
                <w:kern w:val="0"/>
                <w:sz w:val="16"/>
                <w:szCs w:val="16"/>
              </w:rPr>
              <w:t>45,000 -49,999</w:t>
            </w:r>
          </w:p>
        </w:tc>
        <w:tc>
          <w:tcPr>
            <w:tcW w:w="709" w:type="dxa"/>
            <w:shd w:val="clear" w:color="auto" w:fill="auto"/>
            <w:vAlign w:val="center"/>
            <w:hideMark/>
          </w:tcPr>
          <w:p w:rsidR="00203F6C" w:rsidRPr="00AB3200" w:rsidRDefault="00203F6C" w:rsidP="00203F6C">
            <w:pPr>
              <w:widowControl/>
              <w:adjustRightInd w:val="0"/>
              <w:jc w:val="center"/>
              <w:rPr>
                <w:rFonts w:ascii="標楷體" w:hAnsi="標楷體"/>
                <w:kern w:val="0"/>
                <w:sz w:val="16"/>
                <w:szCs w:val="16"/>
              </w:rPr>
            </w:pPr>
            <w:r w:rsidRPr="00AB3200">
              <w:rPr>
                <w:rFonts w:ascii="標楷體" w:hAnsi="標楷體"/>
                <w:kern w:val="0"/>
                <w:sz w:val="16"/>
                <w:szCs w:val="16"/>
              </w:rPr>
              <w:t>50,000</w:t>
            </w:r>
            <w:r w:rsidRPr="00AB3200">
              <w:rPr>
                <w:rFonts w:ascii="標楷體" w:hAnsi="標楷體" w:hint="eastAsia"/>
                <w:kern w:val="0"/>
                <w:sz w:val="16"/>
                <w:szCs w:val="16"/>
              </w:rPr>
              <w:t>以上</w:t>
            </w:r>
          </w:p>
        </w:tc>
        <w:tc>
          <w:tcPr>
            <w:tcW w:w="704" w:type="dxa"/>
            <w:shd w:val="clear" w:color="auto" w:fill="auto"/>
            <w:vAlign w:val="center"/>
            <w:hideMark/>
          </w:tcPr>
          <w:p w:rsidR="00203F6C" w:rsidRPr="00AB3200" w:rsidRDefault="00203F6C" w:rsidP="00203F6C">
            <w:pPr>
              <w:widowControl/>
              <w:adjustRightInd w:val="0"/>
              <w:jc w:val="center"/>
              <w:rPr>
                <w:rFonts w:ascii="標楷體" w:hAnsi="標楷體"/>
                <w:kern w:val="0"/>
                <w:sz w:val="16"/>
                <w:szCs w:val="16"/>
              </w:rPr>
            </w:pPr>
            <w:r w:rsidRPr="00AB3200">
              <w:rPr>
                <w:rFonts w:ascii="標楷體" w:hAnsi="標楷體"/>
                <w:kern w:val="0"/>
                <w:sz w:val="16"/>
                <w:szCs w:val="16"/>
              </w:rPr>
              <w:t xml:space="preserve">平均每月收入 　　　</w:t>
            </w:r>
          </w:p>
        </w:tc>
      </w:tr>
      <w:tr w:rsidR="00203F6C" w:rsidRPr="00AB3200" w:rsidTr="00203F6C">
        <w:trPr>
          <w:trHeight w:val="225"/>
        </w:trPr>
        <w:tc>
          <w:tcPr>
            <w:tcW w:w="709" w:type="dxa"/>
            <w:shd w:val="clear" w:color="auto" w:fill="auto"/>
            <w:noWrap/>
            <w:vAlign w:val="center"/>
            <w:hideMark/>
          </w:tcPr>
          <w:p w:rsidR="00203F6C" w:rsidRPr="00AB3200" w:rsidRDefault="00203F6C" w:rsidP="00203F6C">
            <w:pPr>
              <w:widowControl/>
              <w:rPr>
                <w:rFonts w:ascii="標楷體" w:hAnsi="標楷體"/>
                <w:kern w:val="0"/>
                <w:sz w:val="16"/>
                <w:szCs w:val="16"/>
              </w:rPr>
            </w:pPr>
            <w:r w:rsidRPr="00AB3200">
              <w:rPr>
                <w:rFonts w:ascii="標楷體" w:hAnsi="標楷體"/>
                <w:kern w:val="0"/>
                <w:sz w:val="16"/>
                <w:szCs w:val="16"/>
              </w:rPr>
              <w:t>總計</w:t>
            </w:r>
          </w:p>
        </w:tc>
        <w:tc>
          <w:tcPr>
            <w:tcW w:w="850" w:type="dxa"/>
            <w:shd w:val="clear" w:color="auto" w:fill="auto"/>
            <w:vAlign w:val="center"/>
            <w:hideMark/>
          </w:tcPr>
          <w:p w:rsidR="00203F6C" w:rsidRPr="00AB3200" w:rsidRDefault="00203F6C" w:rsidP="00203F6C">
            <w:pPr>
              <w:jc w:val="right"/>
              <w:rPr>
                <w:rFonts w:ascii="標楷體" w:hAnsi="標楷體"/>
                <w:sz w:val="18"/>
                <w:szCs w:val="18"/>
              </w:rPr>
            </w:pPr>
            <w:r w:rsidRPr="00AB3200">
              <w:rPr>
                <w:rFonts w:ascii="標楷體" w:hAnsi="標楷體"/>
                <w:sz w:val="18"/>
                <w:szCs w:val="18"/>
              </w:rPr>
              <w:t>8</w:t>
            </w:r>
            <w:r w:rsidRPr="00AB3200">
              <w:rPr>
                <w:rFonts w:ascii="標楷體" w:hAnsi="標楷體" w:hint="eastAsia"/>
                <w:sz w:val="18"/>
                <w:szCs w:val="18"/>
              </w:rPr>
              <w:t>,</w:t>
            </w:r>
            <w:r w:rsidRPr="00AB3200">
              <w:rPr>
                <w:rFonts w:ascii="標楷體" w:hAnsi="標楷體"/>
                <w:sz w:val="18"/>
                <w:szCs w:val="18"/>
              </w:rPr>
              <w:t>582</w:t>
            </w:r>
          </w:p>
        </w:tc>
        <w:tc>
          <w:tcPr>
            <w:tcW w:w="709" w:type="dxa"/>
            <w:shd w:val="clear" w:color="auto" w:fill="auto"/>
            <w:vAlign w:val="center"/>
            <w:hideMark/>
          </w:tcPr>
          <w:p w:rsidR="00203F6C" w:rsidRPr="00AB3200" w:rsidRDefault="00203F6C" w:rsidP="00203F6C">
            <w:pPr>
              <w:jc w:val="right"/>
              <w:rPr>
                <w:rFonts w:ascii="標楷體" w:hAnsi="標楷體"/>
                <w:sz w:val="18"/>
                <w:szCs w:val="18"/>
              </w:rPr>
            </w:pPr>
            <w:r w:rsidRPr="00AB3200">
              <w:rPr>
                <w:rFonts w:ascii="標楷體" w:hAnsi="標楷體"/>
                <w:sz w:val="18"/>
                <w:szCs w:val="18"/>
              </w:rPr>
              <w:t xml:space="preserve"> 273</w:t>
            </w:r>
          </w:p>
        </w:tc>
        <w:tc>
          <w:tcPr>
            <w:tcW w:w="709" w:type="dxa"/>
            <w:shd w:val="clear" w:color="auto" w:fill="auto"/>
            <w:vAlign w:val="center"/>
            <w:hideMark/>
          </w:tcPr>
          <w:p w:rsidR="00203F6C" w:rsidRPr="00AB3200" w:rsidRDefault="00203F6C" w:rsidP="00203F6C">
            <w:pPr>
              <w:jc w:val="right"/>
              <w:rPr>
                <w:rFonts w:ascii="標楷體" w:hAnsi="標楷體"/>
                <w:sz w:val="18"/>
                <w:szCs w:val="18"/>
              </w:rPr>
            </w:pPr>
            <w:r w:rsidRPr="00AB3200">
              <w:rPr>
                <w:rFonts w:ascii="標楷體" w:hAnsi="標楷體"/>
                <w:sz w:val="18"/>
                <w:szCs w:val="18"/>
              </w:rPr>
              <w:t xml:space="preserve"> 423</w:t>
            </w:r>
          </w:p>
        </w:tc>
        <w:tc>
          <w:tcPr>
            <w:tcW w:w="708" w:type="dxa"/>
            <w:shd w:val="clear" w:color="auto" w:fill="auto"/>
            <w:vAlign w:val="center"/>
            <w:hideMark/>
          </w:tcPr>
          <w:p w:rsidR="00203F6C" w:rsidRPr="00AB3200" w:rsidRDefault="00203F6C" w:rsidP="00203F6C">
            <w:pPr>
              <w:jc w:val="right"/>
              <w:rPr>
                <w:rFonts w:ascii="標楷體" w:hAnsi="標楷體"/>
                <w:sz w:val="18"/>
                <w:szCs w:val="18"/>
              </w:rPr>
            </w:pPr>
            <w:r w:rsidRPr="00AB3200">
              <w:rPr>
                <w:rFonts w:ascii="標楷體" w:hAnsi="標楷體"/>
                <w:sz w:val="18"/>
                <w:szCs w:val="18"/>
              </w:rPr>
              <w:t>1 179</w:t>
            </w:r>
          </w:p>
        </w:tc>
        <w:tc>
          <w:tcPr>
            <w:tcW w:w="709" w:type="dxa"/>
            <w:shd w:val="clear" w:color="auto" w:fill="auto"/>
            <w:vAlign w:val="center"/>
            <w:hideMark/>
          </w:tcPr>
          <w:p w:rsidR="00203F6C" w:rsidRPr="00AB3200" w:rsidRDefault="00203F6C" w:rsidP="00203F6C">
            <w:pPr>
              <w:jc w:val="right"/>
              <w:rPr>
                <w:rFonts w:ascii="標楷體" w:hAnsi="標楷體"/>
                <w:sz w:val="18"/>
                <w:szCs w:val="18"/>
              </w:rPr>
            </w:pPr>
            <w:r w:rsidRPr="00AB3200">
              <w:rPr>
                <w:rFonts w:ascii="標楷體" w:hAnsi="標楷體"/>
                <w:sz w:val="18"/>
                <w:szCs w:val="18"/>
              </w:rPr>
              <w:t>1 696</w:t>
            </w:r>
          </w:p>
        </w:tc>
        <w:tc>
          <w:tcPr>
            <w:tcW w:w="709" w:type="dxa"/>
            <w:shd w:val="clear" w:color="auto" w:fill="auto"/>
            <w:vAlign w:val="center"/>
            <w:hideMark/>
          </w:tcPr>
          <w:p w:rsidR="00203F6C" w:rsidRPr="00AB3200" w:rsidRDefault="00203F6C" w:rsidP="00203F6C">
            <w:pPr>
              <w:jc w:val="right"/>
              <w:rPr>
                <w:rFonts w:ascii="標楷體" w:hAnsi="標楷體"/>
                <w:sz w:val="18"/>
                <w:szCs w:val="18"/>
              </w:rPr>
            </w:pPr>
            <w:r w:rsidRPr="00AB3200">
              <w:rPr>
                <w:rFonts w:ascii="標楷體" w:hAnsi="標楷體"/>
                <w:sz w:val="18"/>
                <w:szCs w:val="18"/>
              </w:rPr>
              <w:t>1 502</w:t>
            </w:r>
          </w:p>
        </w:tc>
        <w:tc>
          <w:tcPr>
            <w:tcW w:w="709" w:type="dxa"/>
            <w:shd w:val="clear" w:color="auto" w:fill="auto"/>
            <w:vAlign w:val="center"/>
            <w:hideMark/>
          </w:tcPr>
          <w:p w:rsidR="00203F6C" w:rsidRPr="00AB3200" w:rsidRDefault="00203F6C" w:rsidP="00203F6C">
            <w:pPr>
              <w:jc w:val="right"/>
              <w:rPr>
                <w:rFonts w:ascii="標楷體" w:hAnsi="標楷體"/>
                <w:sz w:val="18"/>
                <w:szCs w:val="18"/>
              </w:rPr>
            </w:pPr>
            <w:r w:rsidRPr="00AB3200">
              <w:rPr>
                <w:rFonts w:ascii="標楷體" w:hAnsi="標楷體"/>
                <w:sz w:val="18"/>
                <w:szCs w:val="18"/>
              </w:rPr>
              <w:t xml:space="preserve"> 947</w:t>
            </w:r>
          </w:p>
        </w:tc>
        <w:tc>
          <w:tcPr>
            <w:tcW w:w="708" w:type="dxa"/>
            <w:shd w:val="clear" w:color="auto" w:fill="auto"/>
            <w:vAlign w:val="center"/>
            <w:hideMark/>
          </w:tcPr>
          <w:p w:rsidR="00203F6C" w:rsidRPr="00AB3200" w:rsidRDefault="00203F6C" w:rsidP="00203F6C">
            <w:pPr>
              <w:jc w:val="right"/>
              <w:rPr>
                <w:rFonts w:ascii="標楷體" w:hAnsi="標楷體"/>
                <w:sz w:val="18"/>
                <w:szCs w:val="18"/>
              </w:rPr>
            </w:pPr>
            <w:r w:rsidRPr="00AB3200">
              <w:rPr>
                <w:rFonts w:ascii="標楷體" w:hAnsi="標楷體"/>
                <w:sz w:val="18"/>
                <w:szCs w:val="18"/>
              </w:rPr>
              <w:t xml:space="preserve"> 677</w:t>
            </w:r>
          </w:p>
        </w:tc>
        <w:tc>
          <w:tcPr>
            <w:tcW w:w="709" w:type="dxa"/>
            <w:shd w:val="clear" w:color="auto" w:fill="auto"/>
            <w:vAlign w:val="center"/>
            <w:hideMark/>
          </w:tcPr>
          <w:p w:rsidR="00203F6C" w:rsidRPr="00AB3200" w:rsidRDefault="00203F6C" w:rsidP="00203F6C">
            <w:pPr>
              <w:jc w:val="right"/>
              <w:rPr>
                <w:rFonts w:ascii="標楷體" w:hAnsi="標楷體"/>
                <w:sz w:val="18"/>
                <w:szCs w:val="18"/>
              </w:rPr>
            </w:pPr>
            <w:r w:rsidRPr="00AB3200">
              <w:rPr>
                <w:rFonts w:ascii="標楷體" w:hAnsi="標楷體"/>
                <w:sz w:val="18"/>
                <w:szCs w:val="18"/>
              </w:rPr>
              <w:t xml:space="preserve"> 422</w:t>
            </w:r>
          </w:p>
        </w:tc>
        <w:tc>
          <w:tcPr>
            <w:tcW w:w="709" w:type="dxa"/>
            <w:shd w:val="clear" w:color="auto" w:fill="auto"/>
            <w:vAlign w:val="center"/>
            <w:hideMark/>
          </w:tcPr>
          <w:p w:rsidR="00203F6C" w:rsidRPr="00AB3200" w:rsidRDefault="00203F6C" w:rsidP="00203F6C">
            <w:pPr>
              <w:jc w:val="right"/>
              <w:rPr>
                <w:rFonts w:ascii="新細明體" w:eastAsia="新細明體" w:hAnsi="新細明體" w:cs="新細明體"/>
                <w:sz w:val="18"/>
                <w:szCs w:val="18"/>
              </w:rPr>
            </w:pPr>
            <w:r w:rsidRPr="00AB3200">
              <w:rPr>
                <w:rFonts w:hint="eastAsia"/>
                <w:sz w:val="18"/>
                <w:szCs w:val="18"/>
              </w:rPr>
              <w:t>1464</w:t>
            </w:r>
          </w:p>
        </w:tc>
        <w:tc>
          <w:tcPr>
            <w:tcW w:w="704" w:type="dxa"/>
            <w:shd w:val="clear" w:color="auto" w:fill="auto"/>
            <w:vAlign w:val="center"/>
            <w:hideMark/>
          </w:tcPr>
          <w:p w:rsidR="00203F6C" w:rsidRPr="00AB3200" w:rsidRDefault="00203F6C" w:rsidP="00203F6C">
            <w:pPr>
              <w:jc w:val="right"/>
              <w:rPr>
                <w:rFonts w:ascii="標楷體" w:hAnsi="標楷體"/>
                <w:sz w:val="18"/>
                <w:szCs w:val="18"/>
              </w:rPr>
            </w:pPr>
            <w:r w:rsidRPr="00AB3200">
              <w:rPr>
                <w:rFonts w:ascii="標楷體" w:hAnsi="標楷體"/>
                <w:sz w:val="18"/>
                <w:szCs w:val="18"/>
              </w:rPr>
              <w:t>35 551</w:t>
            </w:r>
          </w:p>
        </w:tc>
      </w:tr>
      <w:tr w:rsidR="00203F6C" w:rsidRPr="00AB3200" w:rsidTr="00203F6C">
        <w:trPr>
          <w:trHeight w:val="250"/>
        </w:trPr>
        <w:tc>
          <w:tcPr>
            <w:tcW w:w="709" w:type="dxa"/>
            <w:shd w:val="clear" w:color="auto" w:fill="auto"/>
            <w:noWrap/>
            <w:vAlign w:val="center"/>
            <w:hideMark/>
          </w:tcPr>
          <w:p w:rsidR="00203F6C" w:rsidRPr="00AB3200" w:rsidRDefault="00203F6C" w:rsidP="00203F6C">
            <w:pPr>
              <w:widowControl/>
              <w:rPr>
                <w:rFonts w:ascii="標楷體" w:hAnsi="標楷體"/>
                <w:kern w:val="0"/>
                <w:sz w:val="16"/>
                <w:szCs w:val="16"/>
              </w:rPr>
            </w:pPr>
            <w:r w:rsidRPr="00AB3200">
              <w:rPr>
                <w:rFonts w:ascii="標楷體" w:hAnsi="標楷體"/>
                <w:kern w:val="0"/>
                <w:sz w:val="16"/>
                <w:szCs w:val="16"/>
              </w:rPr>
              <w:t xml:space="preserve">15-24         </w:t>
            </w:r>
          </w:p>
        </w:tc>
        <w:tc>
          <w:tcPr>
            <w:tcW w:w="850" w:type="dxa"/>
            <w:shd w:val="clear" w:color="auto" w:fill="auto"/>
            <w:vAlign w:val="center"/>
            <w:hideMark/>
          </w:tcPr>
          <w:p w:rsidR="00203F6C" w:rsidRPr="00AB3200" w:rsidRDefault="00203F6C" w:rsidP="00203F6C">
            <w:pPr>
              <w:jc w:val="right"/>
              <w:rPr>
                <w:rFonts w:ascii="標楷體" w:hAnsi="標楷體"/>
                <w:sz w:val="18"/>
                <w:szCs w:val="18"/>
              </w:rPr>
            </w:pPr>
            <w:r w:rsidRPr="00AB3200">
              <w:rPr>
                <w:rFonts w:ascii="標楷體" w:hAnsi="標楷體"/>
                <w:sz w:val="18"/>
                <w:szCs w:val="18"/>
              </w:rPr>
              <w:t xml:space="preserve"> 729</w:t>
            </w:r>
          </w:p>
        </w:tc>
        <w:tc>
          <w:tcPr>
            <w:tcW w:w="709" w:type="dxa"/>
            <w:shd w:val="clear" w:color="auto" w:fill="auto"/>
            <w:vAlign w:val="center"/>
            <w:hideMark/>
          </w:tcPr>
          <w:p w:rsidR="00203F6C" w:rsidRPr="00AB3200" w:rsidRDefault="00203F6C" w:rsidP="00203F6C">
            <w:pPr>
              <w:jc w:val="right"/>
              <w:rPr>
                <w:rFonts w:ascii="標楷體" w:hAnsi="標楷體"/>
                <w:sz w:val="18"/>
                <w:szCs w:val="18"/>
              </w:rPr>
            </w:pPr>
            <w:r w:rsidRPr="00AB3200">
              <w:rPr>
                <w:rFonts w:ascii="標楷體" w:hAnsi="標楷體"/>
                <w:sz w:val="18"/>
                <w:szCs w:val="18"/>
              </w:rPr>
              <w:t xml:space="preserve"> 114</w:t>
            </w:r>
          </w:p>
        </w:tc>
        <w:tc>
          <w:tcPr>
            <w:tcW w:w="709" w:type="dxa"/>
            <w:shd w:val="clear" w:color="auto" w:fill="auto"/>
            <w:vAlign w:val="center"/>
            <w:hideMark/>
          </w:tcPr>
          <w:p w:rsidR="00203F6C" w:rsidRPr="00AB3200" w:rsidRDefault="00203F6C" w:rsidP="00203F6C">
            <w:pPr>
              <w:jc w:val="right"/>
              <w:rPr>
                <w:rFonts w:ascii="標楷體" w:hAnsi="標楷體"/>
                <w:sz w:val="18"/>
                <w:szCs w:val="18"/>
              </w:rPr>
            </w:pPr>
            <w:r w:rsidRPr="00AB3200">
              <w:rPr>
                <w:rFonts w:ascii="標楷體" w:hAnsi="標楷體"/>
                <w:sz w:val="18"/>
                <w:szCs w:val="18"/>
              </w:rPr>
              <w:t xml:space="preserve"> 99</w:t>
            </w:r>
          </w:p>
        </w:tc>
        <w:tc>
          <w:tcPr>
            <w:tcW w:w="708" w:type="dxa"/>
            <w:shd w:val="clear" w:color="auto" w:fill="auto"/>
            <w:vAlign w:val="center"/>
            <w:hideMark/>
          </w:tcPr>
          <w:p w:rsidR="00203F6C" w:rsidRPr="00AB3200" w:rsidRDefault="00203F6C" w:rsidP="00203F6C">
            <w:pPr>
              <w:jc w:val="right"/>
              <w:rPr>
                <w:rFonts w:ascii="標楷體" w:hAnsi="標楷體"/>
                <w:sz w:val="18"/>
                <w:szCs w:val="18"/>
              </w:rPr>
            </w:pPr>
            <w:r w:rsidRPr="00AB3200">
              <w:rPr>
                <w:rFonts w:ascii="標楷體" w:hAnsi="標楷體"/>
                <w:sz w:val="18"/>
                <w:szCs w:val="18"/>
              </w:rPr>
              <w:t xml:space="preserve"> 191</w:t>
            </w:r>
          </w:p>
        </w:tc>
        <w:tc>
          <w:tcPr>
            <w:tcW w:w="709" w:type="dxa"/>
            <w:shd w:val="clear" w:color="auto" w:fill="auto"/>
            <w:vAlign w:val="center"/>
            <w:hideMark/>
          </w:tcPr>
          <w:p w:rsidR="00203F6C" w:rsidRPr="00AB3200" w:rsidRDefault="00203F6C" w:rsidP="00203F6C">
            <w:pPr>
              <w:jc w:val="right"/>
              <w:rPr>
                <w:rFonts w:ascii="標楷體" w:hAnsi="標楷體"/>
                <w:sz w:val="18"/>
                <w:szCs w:val="18"/>
              </w:rPr>
            </w:pPr>
            <w:r w:rsidRPr="00AB3200">
              <w:rPr>
                <w:rFonts w:ascii="標楷體" w:hAnsi="標楷體"/>
                <w:sz w:val="18"/>
                <w:szCs w:val="18"/>
              </w:rPr>
              <w:t xml:space="preserve"> 174</w:t>
            </w:r>
          </w:p>
        </w:tc>
        <w:tc>
          <w:tcPr>
            <w:tcW w:w="709" w:type="dxa"/>
            <w:shd w:val="clear" w:color="auto" w:fill="auto"/>
            <w:vAlign w:val="center"/>
            <w:hideMark/>
          </w:tcPr>
          <w:p w:rsidR="00203F6C" w:rsidRPr="00AB3200" w:rsidRDefault="00203F6C" w:rsidP="00203F6C">
            <w:pPr>
              <w:jc w:val="right"/>
              <w:rPr>
                <w:rFonts w:ascii="標楷體" w:hAnsi="標楷體"/>
                <w:sz w:val="18"/>
                <w:szCs w:val="18"/>
              </w:rPr>
            </w:pPr>
            <w:r w:rsidRPr="00AB3200">
              <w:rPr>
                <w:rFonts w:ascii="標楷體" w:hAnsi="標楷體"/>
                <w:sz w:val="18"/>
                <w:szCs w:val="18"/>
              </w:rPr>
              <w:t xml:space="preserve"> 83</w:t>
            </w:r>
          </w:p>
        </w:tc>
        <w:tc>
          <w:tcPr>
            <w:tcW w:w="709" w:type="dxa"/>
            <w:shd w:val="clear" w:color="auto" w:fill="auto"/>
            <w:vAlign w:val="center"/>
            <w:hideMark/>
          </w:tcPr>
          <w:p w:rsidR="00203F6C" w:rsidRPr="00AB3200" w:rsidRDefault="00203F6C" w:rsidP="00203F6C">
            <w:pPr>
              <w:jc w:val="right"/>
              <w:rPr>
                <w:rFonts w:ascii="標楷體" w:hAnsi="標楷體"/>
                <w:sz w:val="18"/>
                <w:szCs w:val="18"/>
              </w:rPr>
            </w:pPr>
            <w:r w:rsidRPr="00AB3200">
              <w:rPr>
                <w:rFonts w:ascii="標楷體" w:hAnsi="標楷體"/>
                <w:sz w:val="18"/>
                <w:szCs w:val="18"/>
              </w:rPr>
              <w:t xml:space="preserve"> 36</w:t>
            </w:r>
          </w:p>
        </w:tc>
        <w:tc>
          <w:tcPr>
            <w:tcW w:w="708" w:type="dxa"/>
            <w:shd w:val="clear" w:color="auto" w:fill="auto"/>
            <w:vAlign w:val="center"/>
            <w:hideMark/>
          </w:tcPr>
          <w:p w:rsidR="00203F6C" w:rsidRPr="00AB3200" w:rsidRDefault="00203F6C" w:rsidP="00203F6C">
            <w:pPr>
              <w:jc w:val="right"/>
              <w:rPr>
                <w:rFonts w:ascii="標楷體" w:hAnsi="標楷體"/>
                <w:sz w:val="18"/>
                <w:szCs w:val="18"/>
              </w:rPr>
            </w:pPr>
            <w:r w:rsidRPr="00AB3200">
              <w:rPr>
                <w:rFonts w:ascii="標楷體" w:hAnsi="標楷體"/>
                <w:sz w:val="18"/>
                <w:szCs w:val="18"/>
              </w:rPr>
              <w:t xml:space="preserve"> 14</w:t>
            </w:r>
          </w:p>
        </w:tc>
        <w:tc>
          <w:tcPr>
            <w:tcW w:w="709" w:type="dxa"/>
            <w:shd w:val="clear" w:color="auto" w:fill="auto"/>
            <w:vAlign w:val="center"/>
            <w:hideMark/>
          </w:tcPr>
          <w:p w:rsidR="00203F6C" w:rsidRPr="00AB3200" w:rsidRDefault="00203F6C" w:rsidP="00203F6C">
            <w:pPr>
              <w:jc w:val="right"/>
              <w:rPr>
                <w:rFonts w:ascii="標楷體" w:hAnsi="標楷體"/>
                <w:sz w:val="18"/>
                <w:szCs w:val="18"/>
              </w:rPr>
            </w:pPr>
            <w:r w:rsidRPr="00AB3200">
              <w:rPr>
                <w:rFonts w:ascii="標楷體" w:hAnsi="標楷體"/>
                <w:sz w:val="18"/>
                <w:szCs w:val="18"/>
              </w:rPr>
              <w:t xml:space="preserve"> 8</w:t>
            </w:r>
          </w:p>
        </w:tc>
        <w:tc>
          <w:tcPr>
            <w:tcW w:w="709" w:type="dxa"/>
            <w:shd w:val="clear" w:color="auto" w:fill="auto"/>
            <w:vAlign w:val="center"/>
            <w:hideMark/>
          </w:tcPr>
          <w:p w:rsidR="00203F6C" w:rsidRPr="00AB3200" w:rsidRDefault="00203F6C" w:rsidP="00203F6C">
            <w:pPr>
              <w:jc w:val="right"/>
              <w:rPr>
                <w:rFonts w:ascii="新細明體" w:eastAsia="新細明體" w:hAnsi="新細明體" w:cs="新細明體"/>
                <w:sz w:val="18"/>
                <w:szCs w:val="18"/>
              </w:rPr>
            </w:pPr>
            <w:r w:rsidRPr="00AB3200">
              <w:rPr>
                <w:rFonts w:hint="eastAsia"/>
                <w:sz w:val="18"/>
                <w:szCs w:val="18"/>
              </w:rPr>
              <w:t>11</w:t>
            </w:r>
          </w:p>
        </w:tc>
        <w:tc>
          <w:tcPr>
            <w:tcW w:w="704" w:type="dxa"/>
            <w:shd w:val="clear" w:color="auto" w:fill="auto"/>
            <w:vAlign w:val="center"/>
            <w:hideMark/>
          </w:tcPr>
          <w:p w:rsidR="00203F6C" w:rsidRPr="00AB3200" w:rsidRDefault="00203F6C" w:rsidP="00203F6C">
            <w:pPr>
              <w:jc w:val="right"/>
              <w:rPr>
                <w:rFonts w:ascii="標楷體" w:hAnsi="標楷體"/>
                <w:sz w:val="18"/>
                <w:szCs w:val="18"/>
              </w:rPr>
            </w:pPr>
            <w:r w:rsidRPr="00AB3200">
              <w:rPr>
                <w:rFonts w:ascii="標楷體" w:hAnsi="標楷體"/>
                <w:sz w:val="18"/>
                <w:szCs w:val="18"/>
              </w:rPr>
              <w:t>22 985</w:t>
            </w:r>
          </w:p>
        </w:tc>
      </w:tr>
      <w:tr w:rsidR="00203F6C" w:rsidRPr="00AB3200" w:rsidTr="00203F6C">
        <w:trPr>
          <w:trHeight w:val="98"/>
        </w:trPr>
        <w:tc>
          <w:tcPr>
            <w:tcW w:w="709" w:type="dxa"/>
            <w:shd w:val="clear" w:color="auto" w:fill="auto"/>
            <w:noWrap/>
            <w:vAlign w:val="center"/>
            <w:hideMark/>
          </w:tcPr>
          <w:p w:rsidR="00203F6C" w:rsidRPr="00AB3200" w:rsidRDefault="00203F6C" w:rsidP="00203F6C">
            <w:pPr>
              <w:widowControl/>
              <w:rPr>
                <w:rFonts w:ascii="標楷體" w:hAnsi="標楷體"/>
                <w:kern w:val="0"/>
                <w:sz w:val="16"/>
                <w:szCs w:val="16"/>
              </w:rPr>
            </w:pPr>
            <w:r w:rsidRPr="00AB3200">
              <w:rPr>
                <w:rFonts w:ascii="標楷體" w:hAnsi="標楷體"/>
                <w:kern w:val="0"/>
                <w:sz w:val="16"/>
                <w:szCs w:val="16"/>
              </w:rPr>
              <w:t xml:space="preserve"> 15-19  </w:t>
            </w:r>
          </w:p>
        </w:tc>
        <w:tc>
          <w:tcPr>
            <w:tcW w:w="850" w:type="dxa"/>
            <w:shd w:val="clear" w:color="auto" w:fill="auto"/>
            <w:vAlign w:val="center"/>
            <w:hideMark/>
          </w:tcPr>
          <w:p w:rsidR="00203F6C" w:rsidRPr="00AB3200" w:rsidRDefault="00203F6C" w:rsidP="00203F6C">
            <w:pPr>
              <w:jc w:val="right"/>
              <w:rPr>
                <w:rFonts w:ascii="標楷體" w:hAnsi="標楷體"/>
                <w:sz w:val="18"/>
                <w:szCs w:val="18"/>
              </w:rPr>
            </w:pPr>
            <w:r w:rsidRPr="00AB3200">
              <w:rPr>
                <w:rFonts w:ascii="標楷體" w:hAnsi="標楷體"/>
                <w:sz w:val="18"/>
                <w:szCs w:val="18"/>
              </w:rPr>
              <w:t xml:space="preserve"> 106</w:t>
            </w:r>
          </w:p>
        </w:tc>
        <w:tc>
          <w:tcPr>
            <w:tcW w:w="709" w:type="dxa"/>
            <w:shd w:val="clear" w:color="auto" w:fill="auto"/>
            <w:vAlign w:val="center"/>
            <w:hideMark/>
          </w:tcPr>
          <w:p w:rsidR="00203F6C" w:rsidRPr="00AB3200" w:rsidRDefault="00203F6C" w:rsidP="00203F6C">
            <w:pPr>
              <w:jc w:val="right"/>
              <w:rPr>
                <w:rFonts w:ascii="標楷體" w:hAnsi="標楷體"/>
                <w:sz w:val="18"/>
                <w:szCs w:val="18"/>
              </w:rPr>
            </w:pPr>
            <w:r w:rsidRPr="00AB3200">
              <w:rPr>
                <w:rFonts w:ascii="標楷體" w:hAnsi="標楷體"/>
                <w:sz w:val="18"/>
                <w:szCs w:val="18"/>
              </w:rPr>
              <w:t xml:space="preserve"> 44</w:t>
            </w:r>
          </w:p>
        </w:tc>
        <w:tc>
          <w:tcPr>
            <w:tcW w:w="709" w:type="dxa"/>
            <w:shd w:val="clear" w:color="auto" w:fill="auto"/>
            <w:vAlign w:val="center"/>
            <w:hideMark/>
          </w:tcPr>
          <w:p w:rsidR="00203F6C" w:rsidRPr="00AB3200" w:rsidRDefault="00203F6C" w:rsidP="00203F6C">
            <w:pPr>
              <w:jc w:val="right"/>
              <w:rPr>
                <w:rFonts w:ascii="標楷體" w:hAnsi="標楷體"/>
                <w:sz w:val="18"/>
                <w:szCs w:val="18"/>
              </w:rPr>
            </w:pPr>
            <w:r w:rsidRPr="00AB3200">
              <w:rPr>
                <w:rFonts w:ascii="標楷體" w:hAnsi="標楷體"/>
                <w:sz w:val="18"/>
                <w:szCs w:val="18"/>
              </w:rPr>
              <w:t xml:space="preserve"> 30</w:t>
            </w:r>
          </w:p>
        </w:tc>
        <w:tc>
          <w:tcPr>
            <w:tcW w:w="708" w:type="dxa"/>
            <w:shd w:val="clear" w:color="auto" w:fill="auto"/>
            <w:vAlign w:val="center"/>
            <w:hideMark/>
          </w:tcPr>
          <w:p w:rsidR="00203F6C" w:rsidRPr="00AB3200" w:rsidRDefault="00203F6C" w:rsidP="00203F6C">
            <w:pPr>
              <w:jc w:val="right"/>
              <w:rPr>
                <w:rFonts w:ascii="標楷體" w:hAnsi="標楷體"/>
                <w:sz w:val="18"/>
                <w:szCs w:val="18"/>
              </w:rPr>
            </w:pPr>
            <w:r w:rsidRPr="00AB3200">
              <w:rPr>
                <w:rFonts w:ascii="標楷體" w:hAnsi="標楷體"/>
                <w:sz w:val="18"/>
                <w:szCs w:val="18"/>
              </w:rPr>
              <w:t xml:space="preserve"> 24</w:t>
            </w:r>
          </w:p>
        </w:tc>
        <w:tc>
          <w:tcPr>
            <w:tcW w:w="709" w:type="dxa"/>
            <w:shd w:val="clear" w:color="auto" w:fill="auto"/>
            <w:vAlign w:val="center"/>
            <w:hideMark/>
          </w:tcPr>
          <w:p w:rsidR="00203F6C" w:rsidRPr="00AB3200" w:rsidRDefault="00203F6C" w:rsidP="00203F6C">
            <w:pPr>
              <w:jc w:val="right"/>
              <w:rPr>
                <w:rFonts w:ascii="標楷體" w:hAnsi="標楷體"/>
                <w:sz w:val="18"/>
                <w:szCs w:val="18"/>
              </w:rPr>
            </w:pPr>
            <w:r w:rsidRPr="00AB3200">
              <w:rPr>
                <w:rFonts w:ascii="標楷體" w:hAnsi="標楷體"/>
                <w:sz w:val="18"/>
                <w:szCs w:val="18"/>
              </w:rPr>
              <w:t xml:space="preserve"> 6</w:t>
            </w:r>
          </w:p>
        </w:tc>
        <w:tc>
          <w:tcPr>
            <w:tcW w:w="709" w:type="dxa"/>
            <w:shd w:val="clear" w:color="auto" w:fill="auto"/>
            <w:vAlign w:val="center"/>
            <w:hideMark/>
          </w:tcPr>
          <w:p w:rsidR="00203F6C" w:rsidRPr="00AB3200" w:rsidRDefault="00203F6C" w:rsidP="00203F6C">
            <w:pPr>
              <w:jc w:val="right"/>
              <w:rPr>
                <w:rFonts w:ascii="標楷體" w:hAnsi="標楷體"/>
                <w:sz w:val="18"/>
                <w:szCs w:val="18"/>
              </w:rPr>
            </w:pPr>
            <w:r w:rsidRPr="00AB3200">
              <w:rPr>
                <w:rFonts w:ascii="標楷體" w:hAnsi="標楷體"/>
                <w:sz w:val="18"/>
                <w:szCs w:val="18"/>
              </w:rPr>
              <w:t xml:space="preserve"> 2</w:t>
            </w:r>
          </w:p>
        </w:tc>
        <w:tc>
          <w:tcPr>
            <w:tcW w:w="709" w:type="dxa"/>
            <w:shd w:val="clear" w:color="auto" w:fill="auto"/>
            <w:vAlign w:val="center"/>
            <w:hideMark/>
          </w:tcPr>
          <w:p w:rsidR="00203F6C" w:rsidRPr="00AB3200" w:rsidRDefault="00203F6C" w:rsidP="00203F6C">
            <w:pPr>
              <w:jc w:val="right"/>
              <w:rPr>
                <w:rFonts w:ascii="標楷體" w:hAnsi="標楷體"/>
                <w:sz w:val="18"/>
                <w:szCs w:val="18"/>
              </w:rPr>
            </w:pPr>
            <w:r w:rsidRPr="00AB3200">
              <w:rPr>
                <w:rFonts w:ascii="標楷體" w:hAnsi="標楷體"/>
                <w:sz w:val="18"/>
                <w:szCs w:val="18"/>
              </w:rPr>
              <w:t xml:space="preserve"> 1</w:t>
            </w:r>
          </w:p>
        </w:tc>
        <w:tc>
          <w:tcPr>
            <w:tcW w:w="708" w:type="dxa"/>
            <w:shd w:val="clear" w:color="auto" w:fill="auto"/>
            <w:vAlign w:val="center"/>
            <w:hideMark/>
          </w:tcPr>
          <w:p w:rsidR="00203F6C" w:rsidRPr="00AB3200" w:rsidRDefault="00203F6C" w:rsidP="00203F6C">
            <w:pPr>
              <w:jc w:val="right"/>
              <w:rPr>
                <w:rFonts w:ascii="標楷體" w:hAnsi="標楷體"/>
                <w:sz w:val="18"/>
                <w:szCs w:val="18"/>
              </w:rPr>
            </w:pPr>
            <w:r w:rsidRPr="00AB3200">
              <w:rPr>
                <w:rFonts w:ascii="標楷體" w:hAnsi="標楷體"/>
                <w:sz w:val="18"/>
                <w:szCs w:val="18"/>
              </w:rPr>
              <w:t>-</w:t>
            </w:r>
          </w:p>
        </w:tc>
        <w:tc>
          <w:tcPr>
            <w:tcW w:w="709" w:type="dxa"/>
            <w:shd w:val="clear" w:color="auto" w:fill="auto"/>
            <w:vAlign w:val="center"/>
            <w:hideMark/>
          </w:tcPr>
          <w:p w:rsidR="00203F6C" w:rsidRPr="00AB3200" w:rsidRDefault="00203F6C" w:rsidP="00203F6C">
            <w:pPr>
              <w:jc w:val="right"/>
              <w:rPr>
                <w:rFonts w:ascii="標楷體" w:hAnsi="標楷體"/>
                <w:sz w:val="18"/>
                <w:szCs w:val="18"/>
              </w:rPr>
            </w:pPr>
            <w:r w:rsidRPr="00AB3200">
              <w:rPr>
                <w:rFonts w:ascii="標楷體" w:hAnsi="標楷體"/>
                <w:sz w:val="18"/>
                <w:szCs w:val="18"/>
              </w:rPr>
              <w:t>-</w:t>
            </w:r>
          </w:p>
        </w:tc>
        <w:tc>
          <w:tcPr>
            <w:tcW w:w="709" w:type="dxa"/>
            <w:shd w:val="clear" w:color="auto" w:fill="auto"/>
            <w:vAlign w:val="center"/>
            <w:hideMark/>
          </w:tcPr>
          <w:p w:rsidR="00203F6C" w:rsidRPr="00AB3200" w:rsidRDefault="00203F6C" w:rsidP="00203F6C">
            <w:pPr>
              <w:jc w:val="right"/>
              <w:rPr>
                <w:rFonts w:ascii="新細明體" w:eastAsia="新細明體" w:hAnsi="新細明體" w:cs="新細明體"/>
                <w:sz w:val="18"/>
                <w:szCs w:val="18"/>
              </w:rPr>
            </w:pPr>
            <w:r w:rsidRPr="00AB3200">
              <w:rPr>
                <w:rFonts w:hint="eastAsia"/>
                <w:sz w:val="18"/>
                <w:szCs w:val="18"/>
              </w:rPr>
              <w:t>0</w:t>
            </w:r>
          </w:p>
        </w:tc>
        <w:tc>
          <w:tcPr>
            <w:tcW w:w="704" w:type="dxa"/>
            <w:shd w:val="clear" w:color="auto" w:fill="auto"/>
            <w:vAlign w:val="center"/>
            <w:hideMark/>
          </w:tcPr>
          <w:p w:rsidR="00203F6C" w:rsidRPr="00AB3200" w:rsidRDefault="00203F6C" w:rsidP="00203F6C">
            <w:pPr>
              <w:jc w:val="right"/>
              <w:rPr>
                <w:rFonts w:ascii="標楷體" w:hAnsi="標楷體"/>
                <w:sz w:val="18"/>
                <w:szCs w:val="18"/>
              </w:rPr>
            </w:pPr>
            <w:r w:rsidRPr="00AB3200">
              <w:rPr>
                <w:rFonts w:ascii="標楷體" w:hAnsi="標楷體"/>
                <w:sz w:val="18"/>
                <w:szCs w:val="18"/>
              </w:rPr>
              <w:t>15 467</w:t>
            </w:r>
          </w:p>
        </w:tc>
      </w:tr>
      <w:tr w:rsidR="00203F6C" w:rsidRPr="00AB3200" w:rsidTr="00203F6C">
        <w:trPr>
          <w:trHeight w:val="172"/>
        </w:trPr>
        <w:tc>
          <w:tcPr>
            <w:tcW w:w="709" w:type="dxa"/>
            <w:shd w:val="clear" w:color="auto" w:fill="auto"/>
            <w:noWrap/>
            <w:vAlign w:val="center"/>
            <w:hideMark/>
          </w:tcPr>
          <w:p w:rsidR="00203F6C" w:rsidRPr="00AB3200" w:rsidRDefault="00203F6C" w:rsidP="00203F6C">
            <w:pPr>
              <w:widowControl/>
              <w:rPr>
                <w:rFonts w:ascii="標楷體" w:hAnsi="標楷體"/>
                <w:kern w:val="0"/>
                <w:sz w:val="16"/>
                <w:szCs w:val="16"/>
              </w:rPr>
            </w:pPr>
            <w:r w:rsidRPr="00AB3200">
              <w:rPr>
                <w:rFonts w:ascii="標楷體" w:hAnsi="標楷體" w:hint="eastAsia"/>
                <w:kern w:val="0"/>
                <w:sz w:val="16"/>
                <w:szCs w:val="16"/>
              </w:rPr>
              <w:t xml:space="preserve"> </w:t>
            </w:r>
            <w:r w:rsidRPr="00AB3200">
              <w:rPr>
                <w:rFonts w:ascii="標楷體" w:hAnsi="標楷體"/>
                <w:kern w:val="0"/>
                <w:sz w:val="16"/>
                <w:szCs w:val="16"/>
              </w:rPr>
              <w:t xml:space="preserve">20-24     </w:t>
            </w:r>
          </w:p>
        </w:tc>
        <w:tc>
          <w:tcPr>
            <w:tcW w:w="850" w:type="dxa"/>
            <w:shd w:val="clear" w:color="auto" w:fill="auto"/>
            <w:vAlign w:val="center"/>
            <w:hideMark/>
          </w:tcPr>
          <w:p w:rsidR="00203F6C" w:rsidRPr="00AB3200" w:rsidRDefault="00203F6C" w:rsidP="00203F6C">
            <w:pPr>
              <w:jc w:val="right"/>
              <w:rPr>
                <w:rFonts w:ascii="標楷體" w:hAnsi="標楷體"/>
                <w:sz w:val="18"/>
                <w:szCs w:val="18"/>
              </w:rPr>
            </w:pPr>
            <w:r w:rsidRPr="00AB3200">
              <w:rPr>
                <w:rFonts w:ascii="標楷體" w:hAnsi="標楷體"/>
                <w:sz w:val="18"/>
                <w:szCs w:val="18"/>
              </w:rPr>
              <w:t xml:space="preserve"> 623</w:t>
            </w:r>
          </w:p>
        </w:tc>
        <w:tc>
          <w:tcPr>
            <w:tcW w:w="709" w:type="dxa"/>
            <w:shd w:val="clear" w:color="auto" w:fill="auto"/>
            <w:vAlign w:val="center"/>
            <w:hideMark/>
          </w:tcPr>
          <w:p w:rsidR="00203F6C" w:rsidRPr="00AB3200" w:rsidRDefault="00203F6C" w:rsidP="00203F6C">
            <w:pPr>
              <w:jc w:val="right"/>
              <w:rPr>
                <w:rFonts w:ascii="標楷體" w:hAnsi="標楷體"/>
                <w:sz w:val="18"/>
                <w:szCs w:val="18"/>
              </w:rPr>
            </w:pPr>
            <w:r w:rsidRPr="00AB3200">
              <w:rPr>
                <w:rFonts w:ascii="標楷體" w:hAnsi="標楷體"/>
                <w:sz w:val="18"/>
                <w:szCs w:val="18"/>
              </w:rPr>
              <w:t xml:space="preserve"> 70</w:t>
            </w:r>
          </w:p>
        </w:tc>
        <w:tc>
          <w:tcPr>
            <w:tcW w:w="709" w:type="dxa"/>
            <w:shd w:val="clear" w:color="auto" w:fill="auto"/>
            <w:vAlign w:val="center"/>
            <w:hideMark/>
          </w:tcPr>
          <w:p w:rsidR="00203F6C" w:rsidRPr="00AB3200" w:rsidRDefault="00203F6C" w:rsidP="00203F6C">
            <w:pPr>
              <w:jc w:val="right"/>
              <w:rPr>
                <w:rFonts w:ascii="標楷體" w:hAnsi="標楷體"/>
                <w:sz w:val="18"/>
                <w:szCs w:val="18"/>
              </w:rPr>
            </w:pPr>
            <w:r w:rsidRPr="00AB3200">
              <w:rPr>
                <w:rFonts w:ascii="標楷體" w:hAnsi="標楷體"/>
                <w:sz w:val="18"/>
                <w:szCs w:val="18"/>
              </w:rPr>
              <w:t xml:space="preserve"> 69</w:t>
            </w:r>
          </w:p>
        </w:tc>
        <w:tc>
          <w:tcPr>
            <w:tcW w:w="708" w:type="dxa"/>
            <w:shd w:val="clear" w:color="auto" w:fill="auto"/>
            <w:vAlign w:val="center"/>
            <w:hideMark/>
          </w:tcPr>
          <w:p w:rsidR="00203F6C" w:rsidRPr="00AB3200" w:rsidRDefault="00203F6C" w:rsidP="00203F6C">
            <w:pPr>
              <w:jc w:val="right"/>
              <w:rPr>
                <w:rFonts w:ascii="標楷體" w:hAnsi="標楷體"/>
                <w:sz w:val="18"/>
                <w:szCs w:val="18"/>
              </w:rPr>
            </w:pPr>
            <w:r w:rsidRPr="00AB3200">
              <w:rPr>
                <w:rFonts w:ascii="標楷體" w:hAnsi="標楷體"/>
                <w:sz w:val="18"/>
                <w:szCs w:val="18"/>
              </w:rPr>
              <w:t xml:space="preserve"> 167</w:t>
            </w:r>
          </w:p>
        </w:tc>
        <w:tc>
          <w:tcPr>
            <w:tcW w:w="709" w:type="dxa"/>
            <w:shd w:val="clear" w:color="auto" w:fill="auto"/>
            <w:vAlign w:val="center"/>
            <w:hideMark/>
          </w:tcPr>
          <w:p w:rsidR="00203F6C" w:rsidRPr="00AB3200" w:rsidRDefault="00203F6C" w:rsidP="00203F6C">
            <w:pPr>
              <w:jc w:val="right"/>
              <w:rPr>
                <w:rFonts w:ascii="標楷體" w:hAnsi="標楷體"/>
                <w:sz w:val="18"/>
                <w:szCs w:val="18"/>
              </w:rPr>
            </w:pPr>
            <w:r w:rsidRPr="00AB3200">
              <w:rPr>
                <w:rFonts w:ascii="標楷體" w:hAnsi="標楷體"/>
                <w:sz w:val="18"/>
                <w:szCs w:val="18"/>
              </w:rPr>
              <w:t xml:space="preserve"> 168</w:t>
            </w:r>
          </w:p>
        </w:tc>
        <w:tc>
          <w:tcPr>
            <w:tcW w:w="709" w:type="dxa"/>
            <w:shd w:val="clear" w:color="auto" w:fill="auto"/>
            <w:vAlign w:val="center"/>
            <w:hideMark/>
          </w:tcPr>
          <w:p w:rsidR="00203F6C" w:rsidRPr="00AB3200" w:rsidRDefault="00203F6C" w:rsidP="00203F6C">
            <w:pPr>
              <w:jc w:val="right"/>
              <w:rPr>
                <w:rFonts w:ascii="標楷體" w:hAnsi="標楷體"/>
                <w:sz w:val="18"/>
                <w:szCs w:val="18"/>
              </w:rPr>
            </w:pPr>
            <w:r w:rsidRPr="00AB3200">
              <w:rPr>
                <w:rFonts w:ascii="標楷體" w:hAnsi="標楷體"/>
                <w:sz w:val="18"/>
                <w:szCs w:val="18"/>
              </w:rPr>
              <w:t xml:space="preserve"> 81</w:t>
            </w:r>
          </w:p>
        </w:tc>
        <w:tc>
          <w:tcPr>
            <w:tcW w:w="709" w:type="dxa"/>
            <w:shd w:val="clear" w:color="auto" w:fill="auto"/>
            <w:vAlign w:val="center"/>
            <w:hideMark/>
          </w:tcPr>
          <w:p w:rsidR="00203F6C" w:rsidRPr="00AB3200" w:rsidRDefault="00203F6C" w:rsidP="00203F6C">
            <w:pPr>
              <w:jc w:val="right"/>
              <w:rPr>
                <w:rFonts w:ascii="標楷體" w:hAnsi="標楷體"/>
                <w:sz w:val="18"/>
                <w:szCs w:val="18"/>
              </w:rPr>
            </w:pPr>
            <w:r w:rsidRPr="00AB3200">
              <w:rPr>
                <w:rFonts w:ascii="標楷體" w:hAnsi="標楷體"/>
                <w:sz w:val="18"/>
                <w:szCs w:val="18"/>
              </w:rPr>
              <w:t xml:space="preserve"> 35</w:t>
            </w:r>
          </w:p>
        </w:tc>
        <w:tc>
          <w:tcPr>
            <w:tcW w:w="708" w:type="dxa"/>
            <w:shd w:val="clear" w:color="auto" w:fill="auto"/>
            <w:vAlign w:val="center"/>
            <w:hideMark/>
          </w:tcPr>
          <w:p w:rsidR="00203F6C" w:rsidRPr="00AB3200" w:rsidRDefault="00203F6C" w:rsidP="00203F6C">
            <w:pPr>
              <w:jc w:val="right"/>
              <w:rPr>
                <w:rFonts w:ascii="標楷體" w:hAnsi="標楷體"/>
                <w:sz w:val="18"/>
                <w:szCs w:val="18"/>
              </w:rPr>
            </w:pPr>
            <w:r w:rsidRPr="00AB3200">
              <w:rPr>
                <w:rFonts w:ascii="標楷體" w:hAnsi="標楷體"/>
                <w:sz w:val="18"/>
                <w:szCs w:val="18"/>
              </w:rPr>
              <w:t xml:space="preserve"> 14</w:t>
            </w:r>
          </w:p>
        </w:tc>
        <w:tc>
          <w:tcPr>
            <w:tcW w:w="709" w:type="dxa"/>
            <w:shd w:val="clear" w:color="auto" w:fill="auto"/>
            <w:vAlign w:val="center"/>
            <w:hideMark/>
          </w:tcPr>
          <w:p w:rsidR="00203F6C" w:rsidRPr="00AB3200" w:rsidRDefault="00203F6C" w:rsidP="00203F6C">
            <w:pPr>
              <w:jc w:val="right"/>
              <w:rPr>
                <w:rFonts w:ascii="標楷體" w:hAnsi="標楷體"/>
                <w:sz w:val="18"/>
                <w:szCs w:val="18"/>
              </w:rPr>
            </w:pPr>
            <w:r w:rsidRPr="00AB3200">
              <w:rPr>
                <w:rFonts w:ascii="標楷體" w:hAnsi="標楷體"/>
                <w:sz w:val="18"/>
                <w:szCs w:val="18"/>
              </w:rPr>
              <w:t xml:space="preserve"> 8</w:t>
            </w:r>
          </w:p>
        </w:tc>
        <w:tc>
          <w:tcPr>
            <w:tcW w:w="709" w:type="dxa"/>
            <w:shd w:val="clear" w:color="auto" w:fill="auto"/>
            <w:vAlign w:val="center"/>
            <w:hideMark/>
          </w:tcPr>
          <w:p w:rsidR="00203F6C" w:rsidRPr="00AB3200" w:rsidRDefault="00203F6C" w:rsidP="00203F6C">
            <w:pPr>
              <w:jc w:val="right"/>
              <w:rPr>
                <w:rFonts w:ascii="新細明體" w:eastAsia="新細明體" w:hAnsi="新細明體" w:cs="新細明體"/>
                <w:sz w:val="18"/>
                <w:szCs w:val="18"/>
              </w:rPr>
            </w:pPr>
            <w:r w:rsidRPr="00AB3200">
              <w:rPr>
                <w:rFonts w:hint="eastAsia"/>
                <w:sz w:val="18"/>
                <w:szCs w:val="18"/>
              </w:rPr>
              <w:t>11</w:t>
            </w:r>
          </w:p>
        </w:tc>
        <w:tc>
          <w:tcPr>
            <w:tcW w:w="704" w:type="dxa"/>
            <w:shd w:val="clear" w:color="auto" w:fill="auto"/>
            <w:vAlign w:val="center"/>
            <w:hideMark/>
          </w:tcPr>
          <w:p w:rsidR="00203F6C" w:rsidRPr="00AB3200" w:rsidRDefault="00203F6C" w:rsidP="00203F6C">
            <w:pPr>
              <w:jc w:val="right"/>
              <w:rPr>
                <w:rFonts w:ascii="標楷體" w:hAnsi="標楷體"/>
                <w:sz w:val="18"/>
                <w:szCs w:val="18"/>
              </w:rPr>
            </w:pPr>
            <w:r w:rsidRPr="00AB3200">
              <w:rPr>
                <w:rFonts w:ascii="標楷體" w:hAnsi="標楷體"/>
                <w:sz w:val="18"/>
                <w:szCs w:val="18"/>
              </w:rPr>
              <w:t>24 269</w:t>
            </w:r>
          </w:p>
        </w:tc>
      </w:tr>
      <w:tr w:rsidR="00203F6C" w:rsidRPr="00AB3200" w:rsidTr="00203F6C">
        <w:trPr>
          <w:trHeight w:val="134"/>
        </w:trPr>
        <w:tc>
          <w:tcPr>
            <w:tcW w:w="709" w:type="dxa"/>
            <w:shd w:val="clear" w:color="auto" w:fill="auto"/>
            <w:noWrap/>
            <w:vAlign w:val="center"/>
            <w:hideMark/>
          </w:tcPr>
          <w:p w:rsidR="00203F6C" w:rsidRPr="00AB3200" w:rsidRDefault="00203F6C" w:rsidP="00203F6C">
            <w:pPr>
              <w:widowControl/>
              <w:rPr>
                <w:rFonts w:ascii="標楷體" w:hAnsi="標楷體"/>
                <w:kern w:val="0"/>
                <w:sz w:val="16"/>
                <w:szCs w:val="16"/>
              </w:rPr>
            </w:pPr>
            <w:r w:rsidRPr="00AB3200">
              <w:rPr>
                <w:rFonts w:ascii="標楷體" w:hAnsi="標楷體"/>
                <w:kern w:val="0"/>
                <w:sz w:val="16"/>
                <w:szCs w:val="16"/>
              </w:rPr>
              <w:t xml:space="preserve">25-44 </w:t>
            </w:r>
          </w:p>
        </w:tc>
        <w:tc>
          <w:tcPr>
            <w:tcW w:w="850" w:type="dxa"/>
            <w:shd w:val="clear" w:color="auto" w:fill="auto"/>
            <w:vAlign w:val="center"/>
            <w:hideMark/>
          </w:tcPr>
          <w:p w:rsidR="00203F6C" w:rsidRPr="00AB3200" w:rsidRDefault="00203F6C" w:rsidP="00203F6C">
            <w:pPr>
              <w:jc w:val="right"/>
              <w:rPr>
                <w:rFonts w:ascii="標楷體" w:hAnsi="標楷體"/>
                <w:sz w:val="18"/>
                <w:szCs w:val="18"/>
              </w:rPr>
            </w:pPr>
            <w:r w:rsidRPr="00AB3200">
              <w:rPr>
                <w:rFonts w:ascii="標楷體" w:hAnsi="標楷體"/>
                <w:sz w:val="18"/>
                <w:szCs w:val="18"/>
              </w:rPr>
              <w:t>5</w:t>
            </w:r>
            <w:r w:rsidRPr="00AB3200">
              <w:rPr>
                <w:rFonts w:ascii="標楷體" w:hAnsi="標楷體" w:hint="eastAsia"/>
                <w:sz w:val="18"/>
                <w:szCs w:val="18"/>
              </w:rPr>
              <w:t>,</w:t>
            </w:r>
            <w:r w:rsidRPr="00AB3200">
              <w:rPr>
                <w:rFonts w:ascii="標楷體" w:hAnsi="標楷體"/>
                <w:sz w:val="18"/>
                <w:szCs w:val="18"/>
              </w:rPr>
              <w:t>204</w:t>
            </w:r>
          </w:p>
        </w:tc>
        <w:tc>
          <w:tcPr>
            <w:tcW w:w="709" w:type="dxa"/>
            <w:shd w:val="clear" w:color="auto" w:fill="auto"/>
            <w:vAlign w:val="center"/>
            <w:hideMark/>
          </w:tcPr>
          <w:p w:rsidR="00203F6C" w:rsidRPr="00AB3200" w:rsidRDefault="00203F6C" w:rsidP="00203F6C">
            <w:pPr>
              <w:jc w:val="right"/>
              <w:rPr>
                <w:rFonts w:ascii="標楷體" w:hAnsi="標楷體"/>
                <w:sz w:val="18"/>
                <w:szCs w:val="18"/>
              </w:rPr>
            </w:pPr>
            <w:r w:rsidRPr="00AB3200">
              <w:rPr>
                <w:rFonts w:ascii="標楷體" w:hAnsi="標楷體"/>
                <w:sz w:val="18"/>
                <w:szCs w:val="18"/>
              </w:rPr>
              <w:t xml:space="preserve"> 67</w:t>
            </w:r>
          </w:p>
        </w:tc>
        <w:tc>
          <w:tcPr>
            <w:tcW w:w="709" w:type="dxa"/>
            <w:shd w:val="clear" w:color="auto" w:fill="auto"/>
            <w:vAlign w:val="center"/>
            <w:hideMark/>
          </w:tcPr>
          <w:p w:rsidR="00203F6C" w:rsidRPr="00AB3200" w:rsidRDefault="00203F6C" w:rsidP="00203F6C">
            <w:pPr>
              <w:jc w:val="right"/>
              <w:rPr>
                <w:rFonts w:ascii="標楷體" w:hAnsi="標楷體"/>
                <w:sz w:val="18"/>
                <w:szCs w:val="18"/>
              </w:rPr>
            </w:pPr>
            <w:r w:rsidRPr="00AB3200">
              <w:rPr>
                <w:rFonts w:ascii="標楷體" w:hAnsi="標楷體"/>
                <w:sz w:val="18"/>
                <w:szCs w:val="18"/>
              </w:rPr>
              <w:t xml:space="preserve"> 165</w:t>
            </w:r>
          </w:p>
        </w:tc>
        <w:tc>
          <w:tcPr>
            <w:tcW w:w="708" w:type="dxa"/>
            <w:shd w:val="clear" w:color="auto" w:fill="auto"/>
            <w:vAlign w:val="center"/>
            <w:hideMark/>
          </w:tcPr>
          <w:p w:rsidR="00203F6C" w:rsidRPr="00AB3200" w:rsidRDefault="00203F6C" w:rsidP="00203F6C">
            <w:pPr>
              <w:jc w:val="right"/>
              <w:rPr>
                <w:rFonts w:ascii="標楷體" w:hAnsi="標楷體"/>
                <w:sz w:val="18"/>
                <w:szCs w:val="18"/>
              </w:rPr>
            </w:pPr>
            <w:r w:rsidRPr="00AB3200">
              <w:rPr>
                <w:rFonts w:ascii="標楷體" w:hAnsi="標楷體"/>
                <w:sz w:val="18"/>
                <w:szCs w:val="18"/>
              </w:rPr>
              <w:t xml:space="preserve"> 652</w:t>
            </w:r>
          </w:p>
        </w:tc>
        <w:tc>
          <w:tcPr>
            <w:tcW w:w="709" w:type="dxa"/>
            <w:shd w:val="clear" w:color="auto" w:fill="auto"/>
            <w:vAlign w:val="center"/>
            <w:hideMark/>
          </w:tcPr>
          <w:p w:rsidR="00203F6C" w:rsidRPr="00AB3200" w:rsidRDefault="00203F6C" w:rsidP="00203F6C">
            <w:pPr>
              <w:jc w:val="right"/>
              <w:rPr>
                <w:rFonts w:ascii="標楷體" w:hAnsi="標楷體"/>
                <w:sz w:val="18"/>
                <w:szCs w:val="18"/>
              </w:rPr>
            </w:pPr>
            <w:r w:rsidRPr="00AB3200">
              <w:rPr>
                <w:rFonts w:ascii="標楷體" w:hAnsi="標楷體"/>
                <w:sz w:val="18"/>
                <w:szCs w:val="18"/>
              </w:rPr>
              <w:t>1 173</w:t>
            </w:r>
          </w:p>
        </w:tc>
        <w:tc>
          <w:tcPr>
            <w:tcW w:w="709" w:type="dxa"/>
            <w:shd w:val="clear" w:color="auto" w:fill="auto"/>
            <w:vAlign w:val="center"/>
            <w:hideMark/>
          </w:tcPr>
          <w:p w:rsidR="00203F6C" w:rsidRPr="00AB3200" w:rsidRDefault="00203F6C" w:rsidP="00203F6C">
            <w:pPr>
              <w:jc w:val="right"/>
              <w:rPr>
                <w:rFonts w:ascii="標楷體" w:hAnsi="標楷體"/>
                <w:sz w:val="18"/>
                <w:szCs w:val="18"/>
              </w:rPr>
            </w:pPr>
            <w:r w:rsidRPr="00AB3200">
              <w:rPr>
                <w:rFonts w:ascii="標楷體" w:hAnsi="標楷體"/>
                <w:sz w:val="18"/>
                <w:szCs w:val="18"/>
              </w:rPr>
              <w:t>1 007</w:t>
            </w:r>
          </w:p>
        </w:tc>
        <w:tc>
          <w:tcPr>
            <w:tcW w:w="709" w:type="dxa"/>
            <w:shd w:val="clear" w:color="auto" w:fill="auto"/>
            <w:vAlign w:val="center"/>
            <w:hideMark/>
          </w:tcPr>
          <w:p w:rsidR="00203F6C" w:rsidRPr="00AB3200" w:rsidRDefault="00203F6C" w:rsidP="00203F6C">
            <w:pPr>
              <w:jc w:val="right"/>
              <w:rPr>
                <w:rFonts w:ascii="標楷體" w:hAnsi="標楷體"/>
                <w:sz w:val="18"/>
                <w:szCs w:val="18"/>
              </w:rPr>
            </w:pPr>
            <w:r w:rsidRPr="00AB3200">
              <w:rPr>
                <w:rFonts w:ascii="標楷體" w:hAnsi="標楷體"/>
                <w:sz w:val="18"/>
                <w:szCs w:val="18"/>
              </w:rPr>
              <w:t xml:space="preserve"> 629</w:t>
            </w:r>
          </w:p>
        </w:tc>
        <w:tc>
          <w:tcPr>
            <w:tcW w:w="708" w:type="dxa"/>
            <w:shd w:val="clear" w:color="auto" w:fill="auto"/>
            <w:vAlign w:val="center"/>
            <w:hideMark/>
          </w:tcPr>
          <w:p w:rsidR="00203F6C" w:rsidRPr="00AB3200" w:rsidRDefault="00203F6C" w:rsidP="00203F6C">
            <w:pPr>
              <w:jc w:val="right"/>
              <w:rPr>
                <w:rFonts w:ascii="標楷體" w:hAnsi="標楷體"/>
                <w:sz w:val="18"/>
                <w:szCs w:val="18"/>
              </w:rPr>
            </w:pPr>
            <w:r w:rsidRPr="00AB3200">
              <w:rPr>
                <w:rFonts w:ascii="標楷體" w:hAnsi="標楷體"/>
                <w:sz w:val="18"/>
                <w:szCs w:val="18"/>
              </w:rPr>
              <w:t xml:space="preserve"> 445</w:t>
            </w:r>
          </w:p>
        </w:tc>
        <w:tc>
          <w:tcPr>
            <w:tcW w:w="709" w:type="dxa"/>
            <w:shd w:val="clear" w:color="auto" w:fill="auto"/>
            <w:vAlign w:val="center"/>
            <w:hideMark/>
          </w:tcPr>
          <w:p w:rsidR="00203F6C" w:rsidRPr="00AB3200" w:rsidRDefault="00203F6C" w:rsidP="00203F6C">
            <w:pPr>
              <w:jc w:val="right"/>
              <w:rPr>
                <w:rFonts w:ascii="標楷體" w:hAnsi="標楷體"/>
                <w:sz w:val="18"/>
                <w:szCs w:val="18"/>
              </w:rPr>
            </w:pPr>
            <w:r w:rsidRPr="00AB3200">
              <w:rPr>
                <w:rFonts w:ascii="標楷體" w:hAnsi="標楷體"/>
                <w:sz w:val="18"/>
                <w:szCs w:val="18"/>
              </w:rPr>
              <w:t xml:space="preserve"> 267</w:t>
            </w:r>
          </w:p>
        </w:tc>
        <w:tc>
          <w:tcPr>
            <w:tcW w:w="709" w:type="dxa"/>
            <w:shd w:val="clear" w:color="auto" w:fill="auto"/>
            <w:vAlign w:val="center"/>
            <w:hideMark/>
          </w:tcPr>
          <w:p w:rsidR="00203F6C" w:rsidRPr="00AB3200" w:rsidRDefault="00203F6C" w:rsidP="00203F6C">
            <w:pPr>
              <w:jc w:val="right"/>
              <w:rPr>
                <w:rFonts w:ascii="新細明體" w:eastAsia="新細明體" w:hAnsi="新細明體" w:cs="新細明體"/>
                <w:sz w:val="18"/>
                <w:szCs w:val="18"/>
              </w:rPr>
            </w:pPr>
            <w:r w:rsidRPr="00AB3200">
              <w:rPr>
                <w:rFonts w:hint="eastAsia"/>
                <w:sz w:val="18"/>
                <w:szCs w:val="18"/>
              </w:rPr>
              <w:t>798</w:t>
            </w:r>
          </w:p>
        </w:tc>
        <w:tc>
          <w:tcPr>
            <w:tcW w:w="704" w:type="dxa"/>
            <w:shd w:val="clear" w:color="auto" w:fill="auto"/>
            <w:vAlign w:val="center"/>
            <w:hideMark/>
          </w:tcPr>
          <w:p w:rsidR="00203F6C" w:rsidRPr="00AB3200" w:rsidRDefault="00203F6C" w:rsidP="00203F6C">
            <w:pPr>
              <w:jc w:val="right"/>
              <w:rPr>
                <w:rFonts w:ascii="標楷體" w:hAnsi="標楷體"/>
                <w:sz w:val="18"/>
                <w:szCs w:val="18"/>
              </w:rPr>
            </w:pPr>
            <w:r w:rsidRPr="00AB3200">
              <w:rPr>
                <w:rFonts w:ascii="標楷體" w:hAnsi="標楷體"/>
                <w:sz w:val="18"/>
                <w:szCs w:val="18"/>
              </w:rPr>
              <w:t>35 265</w:t>
            </w:r>
          </w:p>
        </w:tc>
      </w:tr>
      <w:tr w:rsidR="00203F6C" w:rsidRPr="00AB3200" w:rsidTr="00203F6C">
        <w:trPr>
          <w:trHeight w:val="166"/>
        </w:trPr>
        <w:tc>
          <w:tcPr>
            <w:tcW w:w="709" w:type="dxa"/>
            <w:shd w:val="clear" w:color="auto" w:fill="auto"/>
            <w:noWrap/>
            <w:vAlign w:val="center"/>
            <w:hideMark/>
          </w:tcPr>
          <w:p w:rsidR="00203F6C" w:rsidRPr="00AB3200" w:rsidRDefault="00203F6C" w:rsidP="00203F6C">
            <w:pPr>
              <w:widowControl/>
              <w:rPr>
                <w:rFonts w:ascii="標楷體" w:hAnsi="標楷體"/>
                <w:kern w:val="0"/>
                <w:sz w:val="16"/>
                <w:szCs w:val="16"/>
              </w:rPr>
            </w:pPr>
            <w:r w:rsidRPr="00AB3200">
              <w:rPr>
                <w:rFonts w:ascii="標楷體" w:hAnsi="標楷體" w:hint="eastAsia"/>
                <w:kern w:val="0"/>
                <w:sz w:val="16"/>
                <w:szCs w:val="16"/>
              </w:rPr>
              <w:t xml:space="preserve"> </w:t>
            </w:r>
            <w:r w:rsidRPr="00AB3200">
              <w:rPr>
                <w:rFonts w:ascii="標楷體" w:hAnsi="標楷體"/>
                <w:kern w:val="0"/>
                <w:sz w:val="16"/>
                <w:szCs w:val="16"/>
              </w:rPr>
              <w:t xml:space="preserve">25-29  </w:t>
            </w:r>
          </w:p>
        </w:tc>
        <w:tc>
          <w:tcPr>
            <w:tcW w:w="850" w:type="dxa"/>
            <w:shd w:val="clear" w:color="auto" w:fill="auto"/>
            <w:vAlign w:val="center"/>
            <w:hideMark/>
          </w:tcPr>
          <w:p w:rsidR="00203F6C" w:rsidRPr="00AB3200" w:rsidRDefault="00203F6C" w:rsidP="00203F6C">
            <w:pPr>
              <w:jc w:val="right"/>
              <w:rPr>
                <w:rFonts w:ascii="標楷體" w:hAnsi="標楷體"/>
                <w:sz w:val="18"/>
                <w:szCs w:val="18"/>
              </w:rPr>
            </w:pPr>
            <w:r w:rsidRPr="00AB3200">
              <w:rPr>
                <w:rFonts w:ascii="標楷體" w:hAnsi="標楷體"/>
                <w:sz w:val="18"/>
                <w:szCs w:val="18"/>
              </w:rPr>
              <w:t>1</w:t>
            </w:r>
            <w:r w:rsidRPr="00AB3200">
              <w:rPr>
                <w:rFonts w:ascii="標楷體" w:hAnsi="標楷體" w:hint="eastAsia"/>
                <w:sz w:val="18"/>
                <w:szCs w:val="18"/>
              </w:rPr>
              <w:t>,</w:t>
            </w:r>
            <w:r w:rsidRPr="00AB3200">
              <w:rPr>
                <w:rFonts w:ascii="標楷體" w:hAnsi="標楷體"/>
                <w:sz w:val="18"/>
                <w:szCs w:val="18"/>
              </w:rPr>
              <w:t>284</w:t>
            </w:r>
          </w:p>
        </w:tc>
        <w:tc>
          <w:tcPr>
            <w:tcW w:w="709" w:type="dxa"/>
            <w:shd w:val="clear" w:color="auto" w:fill="auto"/>
            <w:vAlign w:val="center"/>
            <w:hideMark/>
          </w:tcPr>
          <w:p w:rsidR="00203F6C" w:rsidRPr="00AB3200" w:rsidRDefault="00203F6C" w:rsidP="00203F6C">
            <w:pPr>
              <w:jc w:val="right"/>
              <w:rPr>
                <w:rFonts w:ascii="標楷體" w:hAnsi="標楷體"/>
                <w:sz w:val="18"/>
                <w:szCs w:val="18"/>
              </w:rPr>
            </w:pPr>
            <w:r w:rsidRPr="00AB3200">
              <w:rPr>
                <w:rFonts w:ascii="標楷體" w:hAnsi="標楷體"/>
                <w:sz w:val="18"/>
                <w:szCs w:val="18"/>
              </w:rPr>
              <w:t xml:space="preserve"> 14</w:t>
            </w:r>
          </w:p>
        </w:tc>
        <w:tc>
          <w:tcPr>
            <w:tcW w:w="709" w:type="dxa"/>
            <w:shd w:val="clear" w:color="auto" w:fill="auto"/>
            <w:vAlign w:val="center"/>
            <w:hideMark/>
          </w:tcPr>
          <w:p w:rsidR="00203F6C" w:rsidRPr="00AB3200" w:rsidRDefault="00203F6C" w:rsidP="00203F6C">
            <w:pPr>
              <w:jc w:val="right"/>
              <w:rPr>
                <w:rFonts w:ascii="標楷體" w:hAnsi="標楷體"/>
                <w:sz w:val="18"/>
                <w:szCs w:val="18"/>
              </w:rPr>
            </w:pPr>
            <w:r w:rsidRPr="00AB3200">
              <w:rPr>
                <w:rFonts w:ascii="標楷體" w:hAnsi="標楷體"/>
                <w:sz w:val="18"/>
                <w:szCs w:val="18"/>
              </w:rPr>
              <w:t xml:space="preserve"> 39</w:t>
            </w:r>
          </w:p>
        </w:tc>
        <w:tc>
          <w:tcPr>
            <w:tcW w:w="708" w:type="dxa"/>
            <w:shd w:val="clear" w:color="auto" w:fill="auto"/>
            <w:vAlign w:val="center"/>
            <w:hideMark/>
          </w:tcPr>
          <w:p w:rsidR="00203F6C" w:rsidRPr="00AB3200" w:rsidRDefault="00203F6C" w:rsidP="00203F6C">
            <w:pPr>
              <w:jc w:val="right"/>
              <w:rPr>
                <w:rFonts w:ascii="標楷體" w:hAnsi="標楷體"/>
                <w:sz w:val="18"/>
                <w:szCs w:val="18"/>
              </w:rPr>
            </w:pPr>
            <w:r w:rsidRPr="00AB3200">
              <w:rPr>
                <w:rFonts w:ascii="標楷體" w:hAnsi="標楷體"/>
                <w:sz w:val="18"/>
                <w:szCs w:val="18"/>
              </w:rPr>
              <w:t xml:space="preserve"> 208</w:t>
            </w:r>
          </w:p>
        </w:tc>
        <w:tc>
          <w:tcPr>
            <w:tcW w:w="709" w:type="dxa"/>
            <w:shd w:val="clear" w:color="auto" w:fill="auto"/>
            <w:vAlign w:val="center"/>
            <w:hideMark/>
          </w:tcPr>
          <w:p w:rsidR="00203F6C" w:rsidRPr="00AB3200" w:rsidRDefault="00203F6C" w:rsidP="00203F6C">
            <w:pPr>
              <w:jc w:val="right"/>
              <w:rPr>
                <w:rFonts w:ascii="標楷體" w:hAnsi="標楷體"/>
                <w:sz w:val="18"/>
                <w:szCs w:val="18"/>
              </w:rPr>
            </w:pPr>
            <w:r w:rsidRPr="00AB3200">
              <w:rPr>
                <w:rFonts w:ascii="標楷體" w:hAnsi="標楷體"/>
                <w:sz w:val="18"/>
                <w:szCs w:val="18"/>
              </w:rPr>
              <w:t xml:space="preserve"> 395</w:t>
            </w:r>
          </w:p>
        </w:tc>
        <w:tc>
          <w:tcPr>
            <w:tcW w:w="709" w:type="dxa"/>
            <w:shd w:val="clear" w:color="auto" w:fill="auto"/>
            <w:vAlign w:val="center"/>
            <w:hideMark/>
          </w:tcPr>
          <w:p w:rsidR="00203F6C" w:rsidRPr="00AB3200" w:rsidRDefault="00203F6C" w:rsidP="00203F6C">
            <w:pPr>
              <w:jc w:val="right"/>
              <w:rPr>
                <w:rFonts w:ascii="標楷體" w:hAnsi="標楷體"/>
                <w:sz w:val="18"/>
                <w:szCs w:val="18"/>
              </w:rPr>
            </w:pPr>
            <w:r w:rsidRPr="00AB3200">
              <w:rPr>
                <w:rFonts w:ascii="標楷體" w:hAnsi="標楷體"/>
                <w:sz w:val="18"/>
                <w:szCs w:val="18"/>
              </w:rPr>
              <w:t xml:space="preserve"> 270</w:t>
            </w:r>
          </w:p>
        </w:tc>
        <w:tc>
          <w:tcPr>
            <w:tcW w:w="709" w:type="dxa"/>
            <w:shd w:val="clear" w:color="auto" w:fill="auto"/>
            <w:vAlign w:val="center"/>
            <w:hideMark/>
          </w:tcPr>
          <w:p w:rsidR="00203F6C" w:rsidRPr="00AB3200" w:rsidRDefault="00203F6C" w:rsidP="00203F6C">
            <w:pPr>
              <w:jc w:val="right"/>
              <w:rPr>
                <w:rFonts w:ascii="標楷體" w:hAnsi="標楷體"/>
                <w:sz w:val="18"/>
                <w:szCs w:val="18"/>
              </w:rPr>
            </w:pPr>
            <w:r w:rsidRPr="00AB3200">
              <w:rPr>
                <w:rFonts w:ascii="標楷體" w:hAnsi="標楷體"/>
                <w:sz w:val="18"/>
                <w:szCs w:val="18"/>
              </w:rPr>
              <w:t xml:space="preserve"> 147</w:t>
            </w:r>
          </w:p>
        </w:tc>
        <w:tc>
          <w:tcPr>
            <w:tcW w:w="708" w:type="dxa"/>
            <w:shd w:val="clear" w:color="auto" w:fill="auto"/>
            <w:vAlign w:val="center"/>
            <w:hideMark/>
          </w:tcPr>
          <w:p w:rsidR="00203F6C" w:rsidRPr="00AB3200" w:rsidRDefault="00203F6C" w:rsidP="00203F6C">
            <w:pPr>
              <w:jc w:val="right"/>
              <w:rPr>
                <w:rFonts w:ascii="標楷體" w:hAnsi="標楷體"/>
                <w:sz w:val="18"/>
                <w:szCs w:val="18"/>
              </w:rPr>
            </w:pPr>
            <w:r w:rsidRPr="00AB3200">
              <w:rPr>
                <w:rFonts w:ascii="標楷體" w:hAnsi="標楷體"/>
                <w:sz w:val="18"/>
                <w:szCs w:val="18"/>
              </w:rPr>
              <w:t xml:space="preserve"> 78</w:t>
            </w:r>
          </w:p>
        </w:tc>
        <w:tc>
          <w:tcPr>
            <w:tcW w:w="709" w:type="dxa"/>
            <w:shd w:val="clear" w:color="auto" w:fill="auto"/>
            <w:vAlign w:val="center"/>
            <w:hideMark/>
          </w:tcPr>
          <w:p w:rsidR="00203F6C" w:rsidRPr="00AB3200" w:rsidRDefault="00203F6C" w:rsidP="00203F6C">
            <w:pPr>
              <w:jc w:val="right"/>
              <w:rPr>
                <w:rFonts w:ascii="標楷體" w:hAnsi="標楷體"/>
                <w:sz w:val="18"/>
                <w:szCs w:val="18"/>
              </w:rPr>
            </w:pPr>
            <w:r w:rsidRPr="00AB3200">
              <w:rPr>
                <w:rFonts w:ascii="標楷體" w:hAnsi="標楷體"/>
                <w:sz w:val="18"/>
                <w:szCs w:val="18"/>
              </w:rPr>
              <w:t xml:space="preserve"> 48</w:t>
            </w:r>
          </w:p>
        </w:tc>
        <w:tc>
          <w:tcPr>
            <w:tcW w:w="709" w:type="dxa"/>
            <w:shd w:val="clear" w:color="auto" w:fill="auto"/>
            <w:vAlign w:val="center"/>
            <w:hideMark/>
          </w:tcPr>
          <w:p w:rsidR="00203F6C" w:rsidRPr="00AB3200" w:rsidRDefault="00203F6C" w:rsidP="00203F6C">
            <w:pPr>
              <w:jc w:val="right"/>
              <w:rPr>
                <w:rFonts w:ascii="新細明體" w:eastAsia="新細明體" w:hAnsi="新細明體" w:cs="新細明體"/>
                <w:sz w:val="18"/>
                <w:szCs w:val="18"/>
              </w:rPr>
            </w:pPr>
            <w:r w:rsidRPr="00AB3200">
              <w:rPr>
                <w:rFonts w:hint="eastAsia"/>
                <w:sz w:val="18"/>
                <w:szCs w:val="18"/>
              </w:rPr>
              <w:t>86</w:t>
            </w:r>
          </w:p>
        </w:tc>
        <w:tc>
          <w:tcPr>
            <w:tcW w:w="704" w:type="dxa"/>
            <w:shd w:val="clear" w:color="auto" w:fill="auto"/>
            <w:vAlign w:val="center"/>
            <w:hideMark/>
          </w:tcPr>
          <w:p w:rsidR="00203F6C" w:rsidRPr="00AB3200" w:rsidRDefault="00203F6C" w:rsidP="00203F6C">
            <w:pPr>
              <w:jc w:val="right"/>
              <w:rPr>
                <w:rFonts w:ascii="標楷體" w:hAnsi="標楷體"/>
                <w:sz w:val="18"/>
                <w:szCs w:val="18"/>
              </w:rPr>
            </w:pPr>
            <w:r w:rsidRPr="00AB3200">
              <w:rPr>
                <w:rFonts w:ascii="標楷體" w:hAnsi="標楷體"/>
                <w:sz w:val="18"/>
                <w:szCs w:val="18"/>
              </w:rPr>
              <w:t>31 046</w:t>
            </w:r>
          </w:p>
        </w:tc>
      </w:tr>
      <w:tr w:rsidR="00203F6C" w:rsidRPr="00AB3200" w:rsidTr="00203F6C">
        <w:trPr>
          <w:trHeight w:val="212"/>
        </w:trPr>
        <w:tc>
          <w:tcPr>
            <w:tcW w:w="709" w:type="dxa"/>
            <w:shd w:val="clear" w:color="auto" w:fill="auto"/>
            <w:noWrap/>
            <w:vAlign w:val="center"/>
            <w:hideMark/>
          </w:tcPr>
          <w:p w:rsidR="00203F6C" w:rsidRPr="00AB3200" w:rsidRDefault="00203F6C" w:rsidP="00203F6C">
            <w:pPr>
              <w:widowControl/>
              <w:rPr>
                <w:rFonts w:ascii="標楷體" w:hAnsi="標楷體"/>
                <w:kern w:val="0"/>
                <w:sz w:val="16"/>
                <w:szCs w:val="16"/>
              </w:rPr>
            </w:pPr>
            <w:r w:rsidRPr="00AB3200">
              <w:rPr>
                <w:rFonts w:ascii="標楷體" w:hAnsi="標楷體"/>
                <w:kern w:val="0"/>
                <w:sz w:val="16"/>
                <w:szCs w:val="16"/>
              </w:rPr>
              <w:t xml:space="preserve"> 30-34   </w:t>
            </w:r>
          </w:p>
        </w:tc>
        <w:tc>
          <w:tcPr>
            <w:tcW w:w="850" w:type="dxa"/>
            <w:shd w:val="clear" w:color="auto" w:fill="auto"/>
            <w:vAlign w:val="center"/>
            <w:hideMark/>
          </w:tcPr>
          <w:p w:rsidR="00203F6C" w:rsidRPr="00AB3200" w:rsidRDefault="00203F6C" w:rsidP="00203F6C">
            <w:pPr>
              <w:jc w:val="right"/>
              <w:rPr>
                <w:rFonts w:ascii="標楷體" w:hAnsi="標楷體"/>
                <w:sz w:val="18"/>
                <w:szCs w:val="18"/>
              </w:rPr>
            </w:pPr>
            <w:r w:rsidRPr="00AB3200">
              <w:rPr>
                <w:rFonts w:ascii="標楷體" w:hAnsi="標楷體"/>
                <w:sz w:val="18"/>
                <w:szCs w:val="18"/>
              </w:rPr>
              <w:t>1</w:t>
            </w:r>
            <w:r w:rsidRPr="00AB3200">
              <w:rPr>
                <w:rFonts w:ascii="標楷體" w:hAnsi="標楷體" w:hint="eastAsia"/>
                <w:sz w:val="18"/>
                <w:szCs w:val="18"/>
              </w:rPr>
              <w:t>,</w:t>
            </w:r>
            <w:r w:rsidRPr="00AB3200">
              <w:rPr>
                <w:rFonts w:ascii="標楷體" w:hAnsi="標楷體"/>
                <w:sz w:val="18"/>
                <w:szCs w:val="18"/>
              </w:rPr>
              <w:t>480</w:t>
            </w:r>
          </w:p>
        </w:tc>
        <w:tc>
          <w:tcPr>
            <w:tcW w:w="709" w:type="dxa"/>
            <w:shd w:val="clear" w:color="auto" w:fill="auto"/>
            <w:vAlign w:val="center"/>
            <w:hideMark/>
          </w:tcPr>
          <w:p w:rsidR="00203F6C" w:rsidRPr="00AB3200" w:rsidRDefault="00203F6C" w:rsidP="00203F6C">
            <w:pPr>
              <w:jc w:val="right"/>
              <w:rPr>
                <w:rFonts w:ascii="標楷體" w:hAnsi="標楷體"/>
                <w:sz w:val="18"/>
                <w:szCs w:val="18"/>
              </w:rPr>
            </w:pPr>
            <w:r w:rsidRPr="00AB3200">
              <w:rPr>
                <w:rFonts w:ascii="標楷體" w:hAnsi="標楷體"/>
                <w:sz w:val="18"/>
                <w:szCs w:val="18"/>
              </w:rPr>
              <w:t xml:space="preserve"> 19</w:t>
            </w:r>
          </w:p>
        </w:tc>
        <w:tc>
          <w:tcPr>
            <w:tcW w:w="709" w:type="dxa"/>
            <w:shd w:val="clear" w:color="auto" w:fill="auto"/>
            <w:vAlign w:val="center"/>
            <w:hideMark/>
          </w:tcPr>
          <w:p w:rsidR="00203F6C" w:rsidRPr="00AB3200" w:rsidRDefault="00203F6C" w:rsidP="00203F6C">
            <w:pPr>
              <w:jc w:val="right"/>
              <w:rPr>
                <w:rFonts w:ascii="標楷體" w:hAnsi="標楷體"/>
                <w:sz w:val="18"/>
                <w:szCs w:val="18"/>
              </w:rPr>
            </w:pPr>
            <w:r w:rsidRPr="00AB3200">
              <w:rPr>
                <w:rFonts w:ascii="標楷體" w:hAnsi="標楷體"/>
                <w:sz w:val="18"/>
                <w:szCs w:val="18"/>
              </w:rPr>
              <w:t xml:space="preserve"> 38</w:t>
            </w:r>
          </w:p>
        </w:tc>
        <w:tc>
          <w:tcPr>
            <w:tcW w:w="708" w:type="dxa"/>
            <w:shd w:val="clear" w:color="auto" w:fill="auto"/>
            <w:vAlign w:val="center"/>
            <w:hideMark/>
          </w:tcPr>
          <w:p w:rsidR="00203F6C" w:rsidRPr="00AB3200" w:rsidRDefault="00203F6C" w:rsidP="00203F6C">
            <w:pPr>
              <w:jc w:val="right"/>
              <w:rPr>
                <w:rFonts w:ascii="標楷體" w:hAnsi="標楷體"/>
                <w:sz w:val="18"/>
                <w:szCs w:val="18"/>
              </w:rPr>
            </w:pPr>
            <w:r w:rsidRPr="00AB3200">
              <w:rPr>
                <w:rFonts w:ascii="標楷體" w:hAnsi="標楷體"/>
                <w:sz w:val="18"/>
                <w:szCs w:val="18"/>
              </w:rPr>
              <w:t xml:space="preserve"> 176</w:t>
            </w:r>
          </w:p>
        </w:tc>
        <w:tc>
          <w:tcPr>
            <w:tcW w:w="709" w:type="dxa"/>
            <w:shd w:val="clear" w:color="auto" w:fill="auto"/>
            <w:vAlign w:val="center"/>
            <w:hideMark/>
          </w:tcPr>
          <w:p w:rsidR="00203F6C" w:rsidRPr="00AB3200" w:rsidRDefault="00203F6C" w:rsidP="00203F6C">
            <w:pPr>
              <w:jc w:val="right"/>
              <w:rPr>
                <w:rFonts w:ascii="標楷體" w:hAnsi="標楷體"/>
                <w:sz w:val="18"/>
                <w:szCs w:val="18"/>
              </w:rPr>
            </w:pPr>
            <w:r w:rsidRPr="00AB3200">
              <w:rPr>
                <w:rFonts w:ascii="標楷體" w:hAnsi="標楷體"/>
                <w:sz w:val="18"/>
                <w:szCs w:val="18"/>
              </w:rPr>
              <w:t xml:space="preserve"> 327</w:t>
            </w:r>
          </w:p>
        </w:tc>
        <w:tc>
          <w:tcPr>
            <w:tcW w:w="709" w:type="dxa"/>
            <w:shd w:val="clear" w:color="auto" w:fill="auto"/>
            <w:vAlign w:val="center"/>
            <w:hideMark/>
          </w:tcPr>
          <w:p w:rsidR="00203F6C" w:rsidRPr="00AB3200" w:rsidRDefault="00203F6C" w:rsidP="00203F6C">
            <w:pPr>
              <w:jc w:val="right"/>
              <w:rPr>
                <w:rFonts w:ascii="標楷體" w:hAnsi="標楷體"/>
                <w:sz w:val="18"/>
                <w:szCs w:val="18"/>
              </w:rPr>
            </w:pPr>
            <w:r w:rsidRPr="00AB3200">
              <w:rPr>
                <w:rFonts w:ascii="標楷體" w:hAnsi="標楷體"/>
                <w:sz w:val="18"/>
                <w:szCs w:val="18"/>
              </w:rPr>
              <w:t xml:space="preserve"> 309</w:t>
            </w:r>
          </w:p>
        </w:tc>
        <w:tc>
          <w:tcPr>
            <w:tcW w:w="709" w:type="dxa"/>
            <w:shd w:val="clear" w:color="auto" w:fill="auto"/>
            <w:vAlign w:val="center"/>
            <w:hideMark/>
          </w:tcPr>
          <w:p w:rsidR="00203F6C" w:rsidRPr="00AB3200" w:rsidRDefault="00203F6C" w:rsidP="00203F6C">
            <w:pPr>
              <w:jc w:val="right"/>
              <w:rPr>
                <w:rFonts w:ascii="標楷體" w:hAnsi="標楷體"/>
                <w:sz w:val="18"/>
                <w:szCs w:val="18"/>
              </w:rPr>
            </w:pPr>
            <w:r w:rsidRPr="00AB3200">
              <w:rPr>
                <w:rFonts w:ascii="標楷體" w:hAnsi="標楷體"/>
                <w:sz w:val="18"/>
                <w:szCs w:val="18"/>
              </w:rPr>
              <w:t xml:space="preserve"> 196</w:t>
            </w:r>
          </w:p>
        </w:tc>
        <w:tc>
          <w:tcPr>
            <w:tcW w:w="708" w:type="dxa"/>
            <w:shd w:val="clear" w:color="auto" w:fill="auto"/>
            <w:vAlign w:val="center"/>
            <w:hideMark/>
          </w:tcPr>
          <w:p w:rsidR="00203F6C" w:rsidRPr="00AB3200" w:rsidRDefault="00203F6C" w:rsidP="00203F6C">
            <w:pPr>
              <w:jc w:val="right"/>
              <w:rPr>
                <w:rFonts w:ascii="標楷體" w:hAnsi="標楷體"/>
                <w:sz w:val="18"/>
                <w:szCs w:val="18"/>
              </w:rPr>
            </w:pPr>
            <w:r w:rsidRPr="00AB3200">
              <w:rPr>
                <w:rFonts w:ascii="標楷體" w:hAnsi="標楷體"/>
                <w:sz w:val="18"/>
                <w:szCs w:val="18"/>
              </w:rPr>
              <w:t xml:space="preserve"> 130</w:t>
            </w:r>
          </w:p>
        </w:tc>
        <w:tc>
          <w:tcPr>
            <w:tcW w:w="709" w:type="dxa"/>
            <w:shd w:val="clear" w:color="auto" w:fill="auto"/>
            <w:vAlign w:val="center"/>
            <w:hideMark/>
          </w:tcPr>
          <w:p w:rsidR="00203F6C" w:rsidRPr="00AB3200" w:rsidRDefault="00203F6C" w:rsidP="00203F6C">
            <w:pPr>
              <w:jc w:val="right"/>
              <w:rPr>
                <w:rFonts w:ascii="標楷體" w:hAnsi="標楷體"/>
                <w:sz w:val="18"/>
                <w:szCs w:val="18"/>
              </w:rPr>
            </w:pPr>
            <w:r w:rsidRPr="00AB3200">
              <w:rPr>
                <w:rFonts w:ascii="標楷體" w:hAnsi="標楷體"/>
                <w:sz w:val="18"/>
                <w:szCs w:val="18"/>
              </w:rPr>
              <w:t xml:space="preserve"> 85</w:t>
            </w:r>
          </w:p>
        </w:tc>
        <w:tc>
          <w:tcPr>
            <w:tcW w:w="709" w:type="dxa"/>
            <w:shd w:val="clear" w:color="auto" w:fill="auto"/>
            <w:vAlign w:val="center"/>
            <w:hideMark/>
          </w:tcPr>
          <w:p w:rsidR="00203F6C" w:rsidRPr="00AB3200" w:rsidRDefault="00203F6C" w:rsidP="00203F6C">
            <w:pPr>
              <w:jc w:val="right"/>
              <w:rPr>
                <w:rFonts w:ascii="新細明體" w:eastAsia="新細明體" w:hAnsi="新細明體" w:cs="新細明體"/>
                <w:sz w:val="18"/>
                <w:szCs w:val="18"/>
              </w:rPr>
            </w:pPr>
            <w:r w:rsidRPr="00AB3200">
              <w:rPr>
                <w:rFonts w:hint="eastAsia"/>
                <w:sz w:val="18"/>
                <w:szCs w:val="18"/>
              </w:rPr>
              <w:t>200</w:t>
            </w:r>
          </w:p>
        </w:tc>
        <w:tc>
          <w:tcPr>
            <w:tcW w:w="704" w:type="dxa"/>
            <w:shd w:val="clear" w:color="auto" w:fill="auto"/>
            <w:vAlign w:val="center"/>
            <w:hideMark/>
          </w:tcPr>
          <w:p w:rsidR="00203F6C" w:rsidRPr="00AB3200" w:rsidRDefault="00203F6C" w:rsidP="00203F6C">
            <w:pPr>
              <w:jc w:val="right"/>
              <w:rPr>
                <w:rFonts w:ascii="標楷體" w:hAnsi="標楷體"/>
                <w:sz w:val="18"/>
                <w:szCs w:val="18"/>
              </w:rPr>
            </w:pPr>
            <w:r w:rsidRPr="00AB3200">
              <w:rPr>
                <w:rFonts w:ascii="標楷體" w:hAnsi="標楷體"/>
                <w:sz w:val="18"/>
                <w:szCs w:val="18"/>
              </w:rPr>
              <w:t>34 920</w:t>
            </w:r>
          </w:p>
        </w:tc>
      </w:tr>
      <w:tr w:rsidR="00203F6C" w:rsidRPr="00AB3200" w:rsidTr="00203F6C">
        <w:trPr>
          <w:trHeight w:val="187"/>
        </w:trPr>
        <w:tc>
          <w:tcPr>
            <w:tcW w:w="709" w:type="dxa"/>
            <w:shd w:val="clear" w:color="auto" w:fill="auto"/>
            <w:noWrap/>
            <w:vAlign w:val="center"/>
            <w:hideMark/>
          </w:tcPr>
          <w:p w:rsidR="00203F6C" w:rsidRPr="00AB3200" w:rsidRDefault="00203F6C" w:rsidP="00203F6C">
            <w:pPr>
              <w:widowControl/>
              <w:rPr>
                <w:rFonts w:ascii="標楷體" w:hAnsi="標楷體"/>
                <w:kern w:val="0"/>
                <w:sz w:val="16"/>
                <w:szCs w:val="16"/>
              </w:rPr>
            </w:pPr>
            <w:r w:rsidRPr="00AB3200">
              <w:rPr>
                <w:rFonts w:ascii="標楷體" w:hAnsi="標楷體" w:hint="eastAsia"/>
                <w:kern w:val="0"/>
                <w:sz w:val="16"/>
                <w:szCs w:val="16"/>
              </w:rPr>
              <w:t xml:space="preserve"> </w:t>
            </w:r>
            <w:r w:rsidRPr="00AB3200">
              <w:rPr>
                <w:rFonts w:ascii="標楷體" w:hAnsi="標楷體"/>
                <w:kern w:val="0"/>
                <w:sz w:val="16"/>
                <w:szCs w:val="16"/>
              </w:rPr>
              <w:t xml:space="preserve">35-39 </w:t>
            </w:r>
          </w:p>
        </w:tc>
        <w:tc>
          <w:tcPr>
            <w:tcW w:w="850" w:type="dxa"/>
            <w:shd w:val="clear" w:color="auto" w:fill="auto"/>
            <w:vAlign w:val="center"/>
            <w:hideMark/>
          </w:tcPr>
          <w:p w:rsidR="00203F6C" w:rsidRPr="00AB3200" w:rsidRDefault="00203F6C" w:rsidP="00203F6C">
            <w:pPr>
              <w:jc w:val="right"/>
              <w:rPr>
                <w:rFonts w:ascii="標楷體" w:hAnsi="標楷體"/>
                <w:sz w:val="18"/>
                <w:szCs w:val="18"/>
              </w:rPr>
            </w:pPr>
            <w:r w:rsidRPr="00AB3200">
              <w:rPr>
                <w:rFonts w:ascii="標楷體" w:hAnsi="標楷體"/>
                <w:sz w:val="18"/>
                <w:szCs w:val="18"/>
              </w:rPr>
              <w:t>1</w:t>
            </w:r>
            <w:r w:rsidRPr="00AB3200">
              <w:rPr>
                <w:rFonts w:ascii="標楷體" w:hAnsi="標楷體" w:hint="eastAsia"/>
                <w:sz w:val="18"/>
                <w:szCs w:val="18"/>
              </w:rPr>
              <w:t>,</w:t>
            </w:r>
            <w:r w:rsidRPr="00AB3200">
              <w:rPr>
                <w:rFonts w:ascii="標楷體" w:hAnsi="標楷體"/>
                <w:sz w:val="18"/>
                <w:szCs w:val="18"/>
              </w:rPr>
              <w:t>280</w:t>
            </w:r>
          </w:p>
        </w:tc>
        <w:tc>
          <w:tcPr>
            <w:tcW w:w="709" w:type="dxa"/>
            <w:shd w:val="clear" w:color="auto" w:fill="auto"/>
            <w:vAlign w:val="center"/>
            <w:hideMark/>
          </w:tcPr>
          <w:p w:rsidR="00203F6C" w:rsidRPr="00AB3200" w:rsidRDefault="00203F6C" w:rsidP="00203F6C">
            <w:pPr>
              <w:jc w:val="right"/>
              <w:rPr>
                <w:rFonts w:ascii="標楷體" w:hAnsi="標楷體"/>
                <w:sz w:val="18"/>
                <w:szCs w:val="18"/>
              </w:rPr>
            </w:pPr>
            <w:r w:rsidRPr="00AB3200">
              <w:rPr>
                <w:rFonts w:ascii="標楷體" w:hAnsi="標楷體"/>
                <w:sz w:val="18"/>
                <w:szCs w:val="18"/>
              </w:rPr>
              <w:t xml:space="preserve"> 11</w:t>
            </w:r>
          </w:p>
        </w:tc>
        <w:tc>
          <w:tcPr>
            <w:tcW w:w="709" w:type="dxa"/>
            <w:shd w:val="clear" w:color="auto" w:fill="auto"/>
            <w:vAlign w:val="center"/>
            <w:hideMark/>
          </w:tcPr>
          <w:p w:rsidR="00203F6C" w:rsidRPr="00AB3200" w:rsidRDefault="00203F6C" w:rsidP="00203F6C">
            <w:pPr>
              <w:jc w:val="right"/>
              <w:rPr>
                <w:rFonts w:ascii="標楷體" w:hAnsi="標楷體"/>
                <w:sz w:val="18"/>
                <w:szCs w:val="18"/>
              </w:rPr>
            </w:pPr>
            <w:r w:rsidRPr="00AB3200">
              <w:rPr>
                <w:rFonts w:ascii="標楷體" w:hAnsi="標楷體"/>
                <w:sz w:val="18"/>
                <w:szCs w:val="18"/>
              </w:rPr>
              <w:t xml:space="preserve"> 43</w:t>
            </w:r>
          </w:p>
        </w:tc>
        <w:tc>
          <w:tcPr>
            <w:tcW w:w="708" w:type="dxa"/>
            <w:shd w:val="clear" w:color="auto" w:fill="auto"/>
            <w:vAlign w:val="center"/>
            <w:hideMark/>
          </w:tcPr>
          <w:p w:rsidR="00203F6C" w:rsidRPr="00AB3200" w:rsidRDefault="00203F6C" w:rsidP="00203F6C">
            <w:pPr>
              <w:jc w:val="right"/>
              <w:rPr>
                <w:rFonts w:ascii="標楷體" w:hAnsi="標楷體"/>
                <w:sz w:val="18"/>
                <w:szCs w:val="18"/>
              </w:rPr>
            </w:pPr>
            <w:r w:rsidRPr="00AB3200">
              <w:rPr>
                <w:rFonts w:ascii="標楷體" w:hAnsi="標楷體"/>
                <w:sz w:val="18"/>
                <w:szCs w:val="18"/>
              </w:rPr>
              <w:t xml:space="preserve"> 143</w:t>
            </w:r>
          </w:p>
        </w:tc>
        <w:tc>
          <w:tcPr>
            <w:tcW w:w="709" w:type="dxa"/>
            <w:shd w:val="clear" w:color="auto" w:fill="auto"/>
            <w:vAlign w:val="center"/>
            <w:hideMark/>
          </w:tcPr>
          <w:p w:rsidR="00203F6C" w:rsidRPr="00AB3200" w:rsidRDefault="00203F6C" w:rsidP="00203F6C">
            <w:pPr>
              <w:jc w:val="right"/>
              <w:rPr>
                <w:rFonts w:ascii="標楷體" w:hAnsi="標楷體"/>
                <w:sz w:val="18"/>
                <w:szCs w:val="18"/>
              </w:rPr>
            </w:pPr>
            <w:r w:rsidRPr="00AB3200">
              <w:rPr>
                <w:rFonts w:ascii="標楷體" w:hAnsi="標楷體"/>
                <w:sz w:val="18"/>
                <w:szCs w:val="18"/>
              </w:rPr>
              <w:t xml:space="preserve"> 261</w:t>
            </w:r>
          </w:p>
        </w:tc>
        <w:tc>
          <w:tcPr>
            <w:tcW w:w="709" w:type="dxa"/>
            <w:shd w:val="clear" w:color="auto" w:fill="auto"/>
            <w:vAlign w:val="center"/>
            <w:hideMark/>
          </w:tcPr>
          <w:p w:rsidR="00203F6C" w:rsidRPr="00AB3200" w:rsidRDefault="00203F6C" w:rsidP="00203F6C">
            <w:pPr>
              <w:jc w:val="right"/>
              <w:rPr>
                <w:rFonts w:ascii="標楷體" w:hAnsi="標楷體"/>
                <w:sz w:val="18"/>
                <w:szCs w:val="18"/>
              </w:rPr>
            </w:pPr>
            <w:r w:rsidRPr="00AB3200">
              <w:rPr>
                <w:rFonts w:ascii="標楷體" w:hAnsi="標楷體"/>
                <w:sz w:val="18"/>
                <w:szCs w:val="18"/>
              </w:rPr>
              <w:t xml:space="preserve"> 239</w:t>
            </w:r>
          </w:p>
        </w:tc>
        <w:tc>
          <w:tcPr>
            <w:tcW w:w="709" w:type="dxa"/>
            <w:shd w:val="clear" w:color="auto" w:fill="auto"/>
            <w:vAlign w:val="center"/>
            <w:hideMark/>
          </w:tcPr>
          <w:p w:rsidR="00203F6C" w:rsidRPr="00AB3200" w:rsidRDefault="00203F6C" w:rsidP="00203F6C">
            <w:pPr>
              <w:jc w:val="right"/>
              <w:rPr>
                <w:rFonts w:ascii="標楷體" w:hAnsi="標楷體"/>
                <w:sz w:val="18"/>
                <w:szCs w:val="18"/>
              </w:rPr>
            </w:pPr>
            <w:r w:rsidRPr="00AB3200">
              <w:rPr>
                <w:rFonts w:ascii="標楷體" w:hAnsi="標楷體"/>
                <w:sz w:val="18"/>
                <w:szCs w:val="18"/>
              </w:rPr>
              <w:t xml:space="preserve"> 154</w:t>
            </w:r>
          </w:p>
        </w:tc>
        <w:tc>
          <w:tcPr>
            <w:tcW w:w="708" w:type="dxa"/>
            <w:shd w:val="clear" w:color="auto" w:fill="auto"/>
            <w:vAlign w:val="center"/>
            <w:hideMark/>
          </w:tcPr>
          <w:p w:rsidR="00203F6C" w:rsidRPr="00AB3200" w:rsidRDefault="00203F6C" w:rsidP="00203F6C">
            <w:pPr>
              <w:jc w:val="right"/>
              <w:rPr>
                <w:rFonts w:ascii="標楷體" w:hAnsi="標楷體"/>
                <w:sz w:val="18"/>
                <w:szCs w:val="18"/>
              </w:rPr>
            </w:pPr>
            <w:r w:rsidRPr="00AB3200">
              <w:rPr>
                <w:rFonts w:ascii="標楷體" w:hAnsi="標楷體"/>
                <w:sz w:val="18"/>
                <w:szCs w:val="18"/>
              </w:rPr>
              <w:t xml:space="preserve"> 128</w:t>
            </w:r>
          </w:p>
        </w:tc>
        <w:tc>
          <w:tcPr>
            <w:tcW w:w="709" w:type="dxa"/>
            <w:shd w:val="clear" w:color="auto" w:fill="auto"/>
            <w:vAlign w:val="center"/>
            <w:hideMark/>
          </w:tcPr>
          <w:p w:rsidR="00203F6C" w:rsidRPr="00AB3200" w:rsidRDefault="00203F6C" w:rsidP="00203F6C">
            <w:pPr>
              <w:jc w:val="right"/>
              <w:rPr>
                <w:rFonts w:ascii="標楷體" w:hAnsi="標楷體"/>
                <w:sz w:val="18"/>
                <w:szCs w:val="18"/>
              </w:rPr>
            </w:pPr>
            <w:r w:rsidRPr="00AB3200">
              <w:rPr>
                <w:rFonts w:ascii="標楷體" w:hAnsi="標楷體"/>
                <w:sz w:val="18"/>
                <w:szCs w:val="18"/>
              </w:rPr>
              <w:t xml:space="preserve"> 74</w:t>
            </w:r>
          </w:p>
        </w:tc>
        <w:tc>
          <w:tcPr>
            <w:tcW w:w="709" w:type="dxa"/>
            <w:shd w:val="clear" w:color="auto" w:fill="auto"/>
            <w:vAlign w:val="center"/>
            <w:hideMark/>
          </w:tcPr>
          <w:p w:rsidR="00203F6C" w:rsidRPr="00AB3200" w:rsidRDefault="00203F6C" w:rsidP="00203F6C">
            <w:pPr>
              <w:jc w:val="right"/>
              <w:rPr>
                <w:rFonts w:ascii="新細明體" w:eastAsia="新細明體" w:hAnsi="新細明體" w:cs="新細明體"/>
                <w:sz w:val="18"/>
                <w:szCs w:val="18"/>
              </w:rPr>
            </w:pPr>
            <w:r w:rsidRPr="00AB3200">
              <w:rPr>
                <w:rFonts w:hint="eastAsia"/>
                <w:sz w:val="18"/>
                <w:szCs w:val="18"/>
              </w:rPr>
              <w:t>229</w:t>
            </w:r>
          </w:p>
        </w:tc>
        <w:tc>
          <w:tcPr>
            <w:tcW w:w="704" w:type="dxa"/>
            <w:shd w:val="clear" w:color="auto" w:fill="auto"/>
            <w:vAlign w:val="center"/>
            <w:hideMark/>
          </w:tcPr>
          <w:p w:rsidR="00203F6C" w:rsidRPr="00AB3200" w:rsidRDefault="00203F6C" w:rsidP="00203F6C">
            <w:pPr>
              <w:jc w:val="right"/>
              <w:rPr>
                <w:rFonts w:ascii="標楷體" w:hAnsi="標楷體"/>
                <w:sz w:val="18"/>
                <w:szCs w:val="18"/>
              </w:rPr>
            </w:pPr>
            <w:r w:rsidRPr="00AB3200">
              <w:rPr>
                <w:rFonts w:ascii="標楷體" w:hAnsi="標楷體"/>
                <w:sz w:val="18"/>
                <w:szCs w:val="18"/>
              </w:rPr>
              <w:t>36 588</w:t>
            </w:r>
          </w:p>
        </w:tc>
      </w:tr>
      <w:tr w:rsidR="00203F6C" w:rsidRPr="00AB3200" w:rsidTr="00203F6C">
        <w:trPr>
          <w:trHeight w:val="77"/>
        </w:trPr>
        <w:tc>
          <w:tcPr>
            <w:tcW w:w="709" w:type="dxa"/>
            <w:shd w:val="clear" w:color="auto" w:fill="auto"/>
            <w:noWrap/>
            <w:vAlign w:val="center"/>
            <w:hideMark/>
          </w:tcPr>
          <w:p w:rsidR="00203F6C" w:rsidRPr="00AB3200" w:rsidRDefault="00203F6C" w:rsidP="00203F6C">
            <w:pPr>
              <w:widowControl/>
              <w:rPr>
                <w:rFonts w:ascii="標楷體" w:hAnsi="標楷體"/>
                <w:kern w:val="0"/>
                <w:sz w:val="16"/>
                <w:szCs w:val="16"/>
              </w:rPr>
            </w:pPr>
            <w:r w:rsidRPr="00AB3200">
              <w:rPr>
                <w:rFonts w:ascii="標楷體" w:hAnsi="標楷體" w:hint="eastAsia"/>
                <w:kern w:val="0"/>
                <w:sz w:val="16"/>
                <w:szCs w:val="16"/>
              </w:rPr>
              <w:t xml:space="preserve"> </w:t>
            </w:r>
            <w:r w:rsidRPr="00AB3200">
              <w:rPr>
                <w:rFonts w:ascii="標楷體" w:hAnsi="標楷體"/>
                <w:kern w:val="0"/>
                <w:sz w:val="16"/>
                <w:szCs w:val="16"/>
              </w:rPr>
              <w:t xml:space="preserve">40-44    </w:t>
            </w:r>
          </w:p>
        </w:tc>
        <w:tc>
          <w:tcPr>
            <w:tcW w:w="850" w:type="dxa"/>
            <w:shd w:val="clear" w:color="auto" w:fill="auto"/>
            <w:vAlign w:val="center"/>
            <w:hideMark/>
          </w:tcPr>
          <w:p w:rsidR="00203F6C" w:rsidRPr="00AB3200" w:rsidRDefault="00203F6C" w:rsidP="00203F6C">
            <w:pPr>
              <w:jc w:val="right"/>
              <w:rPr>
                <w:rFonts w:ascii="標楷體" w:hAnsi="標楷體"/>
                <w:sz w:val="18"/>
                <w:szCs w:val="18"/>
              </w:rPr>
            </w:pPr>
            <w:r w:rsidRPr="00AB3200">
              <w:rPr>
                <w:rFonts w:ascii="標楷體" w:hAnsi="標楷體"/>
                <w:sz w:val="18"/>
                <w:szCs w:val="18"/>
              </w:rPr>
              <w:t>1</w:t>
            </w:r>
            <w:r w:rsidRPr="00AB3200">
              <w:rPr>
                <w:rFonts w:ascii="標楷體" w:hAnsi="標楷體" w:hint="eastAsia"/>
                <w:sz w:val="18"/>
                <w:szCs w:val="18"/>
              </w:rPr>
              <w:t>,</w:t>
            </w:r>
            <w:r w:rsidRPr="00AB3200">
              <w:rPr>
                <w:rFonts w:ascii="標楷體" w:hAnsi="標楷體"/>
                <w:sz w:val="18"/>
                <w:szCs w:val="18"/>
              </w:rPr>
              <w:t>159</w:t>
            </w:r>
          </w:p>
        </w:tc>
        <w:tc>
          <w:tcPr>
            <w:tcW w:w="709" w:type="dxa"/>
            <w:shd w:val="clear" w:color="auto" w:fill="auto"/>
            <w:vAlign w:val="center"/>
            <w:hideMark/>
          </w:tcPr>
          <w:p w:rsidR="00203F6C" w:rsidRPr="00AB3200" w:rsidRDefault="00203F6C" w:rsidP="00203F6C">
            <w:pPr>
              <w:jc w:val="right"/>
              <w:rPr>
                <w:rFonts w:ascii="標楷體" w:hAnsi="標楷體"/>
                <w:sz w:val="18"/>
                <w:szCs w:val="18"/>
              </w:rPr>
            </w:pPr>
            <w:r w:rsidRPr="00AB3200">
              <w:rPr>
                <w:rFonts w:ascii="標楷體" w:hAnsi="標楷體"/>
                <w:sz w:val="18"/>
                <w:szCs w:val="18"/>
              </w:rPr>
              <w:t xml:space="preserve"> 23</w:t>
            </w:r>
          </w:p>
        </w:tc>
        <w:tc>
          <w:tcPr>
            <w:tcW w:w="709" w:type="dxa"/>
            <w:shd w:val="clear" w:color="auto" w:fill="auto"/>
            <w:vAlign w:val="center"/>
            <w:hideMark/>
          </w:tcPr>
          <w:p w:rsidR="00203F6C" w:rsidRPr="00AB3200" w:rsidRDefault="00203F6C" w:rsidP="00203F6C">
            <w:pPr>
              <w:jc w:val="right"/>
              <w:rPr>
                <w:rFonts w:ascii="標楷體" w:hAnsi="標楷體"/>
                <w:sz w:val="18"/>
                <w:szCs w:val="18"/>
              </w:rPr>
            </w:pPr>
            <w:r w:rsidRPr="00AB3200">
              <w:rPr>
                <w:rFonts w:ascii="標楷體" w:hAnsi="標楷體"/>
                <w:sz w:val="18"/>
                <w:szCs w:val="18"/>
              </w:rPr>
              <w:t xml:space="preserve"> 46</w:t>
            </w:r>
          </w:p>
        </w:tc>
        <w:tc>
          <w:tcPr>
            <w:tcW w:w="708" w:type="dxa"/>
            <w:shd w:val="clear" w:color="auto" w:fill="auto"/>
            <w:vAlign w:val="center"/>
            <w:hideMark/>
          </w:tcPr>
          <w:p w:rsidR="00203F6C" w:rsidRPr="00AB3200" w:rsidRDefault="00203F6C" w:rsidP="00203F6C">
            <w:pPr>
              <w:jc w:val="right"/>
              <w:rPr>
                <w:rFonts w:ascii="標楷體" w:hAnsi="標楷體"/>
                <w:sz w:val="18"/>
                <w:szCs w:val="18"/>
              </w:rPr>
            </w:pPr>
            <w:r w:rsidRPr="00AB3200">
              <w:rPr>
                <w:rFonts w:ascii="標楷體" w:hAnsi="標楷體"/>
                <w:sz w:val="18"/>
                <w:szCs w:val="18"/>
              </w:rPr>
              <w:t xml:space="preserve"> 125</w:t>
            </w:r>
          </w:p>
        </w:tc>
        <w:tc>
          <w:tcPr>
            <w:tcW w:w="709" w:type="dxa"/>
            <w:shd w:val="clear" w:color="auto" w:fill="auto"/>
            <w:vAlign w:val="center"/>
            <w:hideMark/>
          </w:tcPr>
          <w:p w:rsidR="00203F6C" w:rsidRPr="00AB3200" w:rsidRDefault="00203F6C" w:rsidP="00203F6C">
            <w:pPr>
              <w:jc w:val="right"/>
              <w:rPr>
                <w:rFonts w:ascii="標楷體" w:hAnsi="標楷體"/>
                <w:sz w:val="18"/>
                <w:szCs w:val="18"/>
              </w:rPr>
            </w:pPr>
            <w:r w:rsidRPr="00AB3200">
              <w:rPr>
                <w:rFonts w:ascii="標楷體" w:hAnsi="標楷體"/>
                <w:sz w:val="18"/>
                <w:szCs w:val="18"/>
              </w:rPr>
              <w:t xml:space="preserve"> 190</w:t>
            </w:r>
          </w:p>
        </w:tc>
        <w:tc>
          <w:tcPr>
            <w:tcW w:w="709" w:type="dxa"/>
            <w:shd w:val="clear" w:color="auto" w:fill="auto"/>
            <w:vAlign w:val="center"/>
            <w:hideMark/>
          </w:tcPr>
          <w:p w:rsidR="00203F6C" w:rsidRPr="00AB3200" w:rsidRDefault="00203F6C" w:rsidP="00203F6C">
            <w:pPr>
              <w:jc w:val="right"/>
              <w:rPr>
                <w:rFonts w:ascii="標楷體" w:hAnsi="標楷體"/>
                <w:sz w:val="18"/>
                <w:szCs w:val="18"/>
              </w:rPr>
            </w:pPr>
            <w:r w:rsidRPr="00AB3200">
              <w:rPr>
                <w:rFonts w:ascii="標楷體" w:hAnsi="標楷體"/>
                <w:sz w:val="18"/>
                <w:szCs w:val="18"/>
              </w:rPr>
              <w:t xml:space="preserve"> 190</w:t>
            </w:r>
          </w:p>
        </w:tc>
        <w:tc>
          <w:tcPr>
            <w:tcW w:w="709" w:type="dxa"/>
            <w:shd w:val="clear" w:color="auto" w:fill="auto"/>
            <w:vAlign w:val="center"/>
            <w:hideMark/>
          </w:tcPr>
          <w:p w:rsidR="00203F6C" w:rsidRPr="00AB3200" w:rsidRDefault="00203F6C" w:rsidP="00203F6C">
            <w:pPr>
              <w:jc w:val="right"/>
              <w:rPr>
                <w:rFonts w:ascii="標楷體" w:hAnsi="標楷體"/>
                <w:sz w:val="18"/>
                <w:szCs w:val="18"/>
              </w:rPr>
            </w:pPr>
            <w:r w:rsidRPr="00AB3200">
              <w:rPr>
                <w:rFonts w:ascii="標楷體" w:hAnsi="標楷體"/>
                <w:sz w:val="18"/>
                <w:szCs w:val="18"/>
              </w:rPr>
              <w:t xml:space="preserve"> 133</w:t>
            </w:r>
          </w:p>
        </w:tc>
        <w:tc>
          <w:tcPr>
            <w:tcW w:w="708" w:type="dxa"/>
            <w:shd w:val="clear" w:color="auto" w:fill="auto"/>
            <w:vAlign w:val="center"/>
            <w:hideMark/>
          </w:tcPr>
          <w:p w:rsidR="00203F6C" w:rsidRPr="00AB3200" w:rsidRDefault="00203F6C" w:rsidP="00203F6C">
            <w:pPr>
              <w:jc w:val="right"/>
              <w:rPr>
                <w:rFonts w:ascii="標楷體" w:hAnsi="標楷體"/>
                <w:sz w:val="18"/>
                <w:szCs w:val="18"/>
              </w:rPr>
            </w:pPr>
            <w:r w:rsidRPr="00AB3200">
              <w:rPr>
                <w:rFonts w:ascii="標楷體" w:hAnsi="標楷體"/>
                <w:sz w:val="18"/>
                <w:szCs w:val="18"/>
              </w:rPr>
              <w:t xml:space="preserve"> 110</w:t>
            </w:r>
          </w:p>
        </w:tc>
        <w:tc>
          <w:tcPr>
            <w:tcW w:w="709" w:type="dxa"/>
            <w:shd w:val="clear" w:color="auto" w:fill="auto"/>
            <w:vAlign w:val="center"/>
            <w:hideMark/>
          </w:tcPr>
          <w:p w:rsidR="00203F6C" w:rsidRPr="00AB3200" w:rsidRDefault="00203F6C" w:rsidP="00203F6C">
            <w:pPr>
              <w:jc w:val="right"/>
              <w:rPr>
                <w:rFonts w:ascii="標楷體" w:hAnsi="標楷體"/>
                <w:sz w:val="18"/>
                <w:szCs w:val="18"/>
              </w:rPr>
            </w:pPr>
            <w:r w:rsidRPr="00AB3200">
              <w:rPr>
                <w:rFonts w:ascii="標楷體" w:hAnsi="標楷體"/>
                <w:sz w:val="18"/>
                <w:szCs w:val="18"/>
              </w:rPr>
              <w:t xml:space="preserve"> 60</w:t>
            </w:r>
          </w:p>
        </w:tc>
        <w:tc>
          <w:tcPr>
            <w:tcW w:w="709" w:type="dxa"/>
            <w:shd w:val="clear" w:color="auto" w:fill="auto"/>
            <w:vAlign w:val="center"/>
            <w:hideMark/>
          </w:tcPr>
          <w:p w:rsidR="00203F6C" w:rsidRPr="00AB3200" w:rsidRDefault="00203F6C" w:rsidP="00203F6C">
            <w:pPr>
              <w:jc w:val="right"/>
              <w:rPr>
                <w:rFonts w:ascii="新細明體" w:eastAsia="新細明體" w:hAnsi="新細明體" w:cs="新細明體"/>
                <w:sz w:val="18"/>
                <w:szCs w:val="18"/>
              </w:rPr>
            </w:pPr>
            <w:r w:rsidRPr="00AB3200">
              <w:rPr>
                <w:rFonts w:hint="eastAsia"/>
                <w:sz w:val="18"/>
                <w:szCs w:val="18"/>
              </w:rPr>
              <w:t>284</w:t>
            </w:r>
          </w:p>
        </w:tc>
        <w:tc>
          <w:tcPr>
            <w:tcW w:w="704" w:type="dxa"/>
            <w:shd w:val="clear" w:color="auto" w:fill="auto"/>
            <w:vAlign w:val="center"/>
            <w:hideMark/>
          </w:tcPr>
          <w:p w:rsidR="00203F6C" w:rsidRPr="00AB3200" w:rsidRDefault="00203F6C" w:rsidP="00203F6C">
            <w:pPr>
              <w:jc w:val="right"/>
              <w:rPr>
                <w:rFonts w:ascii="標楷體" w:hAnsi="標楷體"/>
                <w:sz w:val="18"/>
                <w:szCs w:val="18"/>
              </w:rPr>
            </w:pPr>
            <w:r w:rsidRPr="00AB3200">
              <w:rPr>
                <w:rFonts w:ascii="標楷體" w:hAnsi="標楷體"/>
                <w:sz w:val="18"/>
                <w:szCs w:val="18"/>
              </w:rPr>
              <w:t>38 919</w:t>
            </w:r>
          </w:p>
        </w:tc>
      </w:tr>
    </w:tbl>
    <w:p w:rsidR="00203F6C" w:rsidRPr="00AB3200" w:rsidRDefault="00203F6C" w:rsidP="00203F6C">
      <w:pPr>
        <w:pStyle w:val="4"/>
        <w:numPr>
          <w:ilvl w:val="0"/>
          <w:numId w:val="0"/>
        </w:numPr>
        <w:spacing w:line="240" w:lineRule="exact"/>
        <w:ind w:firstLineChars="128" w:firstLine="282"/>
        <w:rPr>
          <w:rFonts w:hAnsi="標楷體"/>
          <w:sz w:val="20"/>
          <w:szCs w:val="20"/>
        </w:rPr>
      </w:pPr>
      <w:r w:rsidRPr="00AB3200">
        <w:rPr>
          <w:rFonts w:hAnsi="標楷體"/>
          <w:sz w:val="20"/>
          <w:szCs w:val="20"/>
        </w:rPr>
        <w:t>資料來源:主計總處，102年人力運用調查報告</w:t>
      </w:r>
    </w:p>
    <w:p w:rsidR="00203F6C" w:rsidRPr="00AB3200" w:rsidRDefault="00203F6C" w:rsidP="00203F6C">
      <w:pPr>
        <w:pStyle w:val="4"/>
        <w:numPr>
          <w:ilvl w:val="0"/>
          <w:numId w:val="0"/>
        </w:numPr>
        <w:spacing w:line="240" w:lineRule="exact"/>
        <w:ind w:firstLineChars="128" w:firstLine="282"/>
        <w:rPr>
          <w:rFonts w:hAnsi="標楷體"/>
          <w:sz w:val="20"/>
          <w:szCs w:val="20"/>
        </w:rPr>
      </w:pPr>
    </w:p>
    <w:p w:rsidR="00203F6C" w:rsidRPr="00AB3200" w:rsidRDefault="00203F6C" w:rsidP="00203F6C">
      <w:pPr>
        <w:pStyle w:val="20"/>
        <w:numPr>
          <w:ilvl w:val="0"/>
          <w:numId w:val="0"/>
        </w:numPr>
        <w:spacing w:line="240" w:lineRule="exact"/>
        <w:ind w:left="346" w:rightChars="16" w:right="54"/>
        <w:jc w:val="right"/>
        <w:rPr>
          <w:rFonts w:hAnsi="標楷體"/>
          <w:sz w:val="20"/>
          <w:szCs w:val="20"/>
        </w:rPr>
      </w:pPr>
      <w:bookmarkStart w:id="38" w:name="_Toc393464350"/>
      <w:r w:rsidRPr="00AB3200">
        <w:rPr>
          <w:rFonts w:hAnsi="標楷體"/>
          <w:bCs w:val="0"/>
          <w:sz w:val="20"/>
          <w:szCs w:val="20"/>
        </w:rPr>
        <w:t>單位：千人、%、元</w:t>
      </w:r>
      <w:bookmarkEnd w:id="38"/>
    </w:p>
    <w:tbl>
      <w:tblPr>
        <w:tblW w:w="8788" w:type="dxa"/>
        <w:tblInd w:w="312" w:type="dxa"/>
        <w:tblLayout w:type="fixed"/>
        <w:tblCellMar>
          <w:left w:w="28" w:type="dxa"/>
          <w:right w:w="28" w:type="dxa"/>
        </w:tblCellMar>
        <w:tblLook w:val="0000"/>
      </w:tblPr>
      <w:tblGrid>
        <w:gridCol w:w="1134"/>
        <w:gridCol w:w="709"/>
        <w:gridCol w:w="708"/>
        <w:gridCol w:w="709"/>
        <w:gridCol w:w="1134"/>
        <w:gridCol w:w="709"/>
        <w:gridCol w:w="709"/>
        <w:gridCol w:w="708"/>
        <w:gridCol w:w="993"/>
        <w:gridCol w:w="1275"/>
      </w:tblGrid>
      <w:tr w:rsidR="00203F6C" w:rsidRPr="00AB3200" w:rsidTr="00203F6C">
        <w:trPr>
          <w:trHeight w:val="236"/>
          <w:tblHeader/>
        </w:trPr>
        <w:tc>
          <w:tcPr>
            <w:tcW w:w="1134" w:type="dxa"/>
            <w:vMerge w:val="restart"/>
            <w:tcBorders>
              <w:top w:val="single" w:sz="4" w:space="0" w:color="auto"/>
              <w:left w:val="single" w:sz="4" w:space="0" w:color="auto"/>
              <w:right w:val="single" w:sz="4" w:space="0" w:color="auto"/>
            </w:tcBorders>
            <w:shd w:val="clear" w:color="auto" w:fill="auto"/>
            <w:noWrap/>
            <w:vAlign w:val="center"/>
          </w:tcPr>
          <w:p w:rsidR="00203F6C" w:rsidRPr="00AB3200" w:rsidRDefault="00203F6C" w:rsidP="00203F6C">
            <w:pPr>
              <w:widowControl/>
              <w:spacing w:line="300" w:lineRule="exact"/>
              <w:jc w:val="center"/>
              <w:rPr>
                <w:rFonts w:ascii="標楷體" w:hAnsi="標楷體"/>
                <w:kern w:val="0"/>
                <w:sz w:val="20"/>
              </w:rPr>
            </w:pPr>
            <w:r w:rsidRPr="00AB3200">
              <w:rPr>
                <w:rFonts w:ascii="標楷體" w:hAnsi="標楷體"/>
                <w:kern w:val="0"/>
                <w:sz w:val="20"/>
              </w:rPr>
              <w:t xml:space="preserve">項目別 </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03F6C" w:rsidRPr="00AB3200" w:rsidRDefault="00203F6C" w:rsidP="00203F6C">
            <w:pPr>
              <w:widowControl/>
              <w:spacing w:line="300" w:lineRule="exact"/>
              <w:jc w:val="center"/>
              <w:rPr>
                <w:rFonts w:ascii="標楷體" w:hAnsi="標楷體"/>
                <w:kern w:val="0"/>
                <w:sz w:val="20"/>
              </w:rPr>
            </w:pPr>
            <w:r w:rsidRPr="00AB3200">
              <w:rPr>
                <w:rFonts w:ascii="標楷體" w:hAnsi="標楷體"/>
                <w:kern w:val="0"/>
                <w:sz w:val="20"/>
              </w:rPr>
              <w:t>全體</w:t>
            </w:r>
          </w:p>
        </w:tc>
        <w:tc>
          <w:tcPr>
            <w:tcW w:w="4394"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203F6C" w:rsidRPr="00AB3200" w:rsidRDefault="00203F6C" w:rsidP="00203F6C">
            <w:pPr>
              <w:widowControl/>
              <w:spacing w:line="300" w:lineRule="exact"/>
              <w:jc w:val="center"/>
              <w:rPr>
                <w:rFonts w:ascii="標楷體" w:hAnsi="標楷體"/>
                <w:kern w:val="0"/>
                <w:sz w:val="20"/>
              </w:rPr>
            </w:pPr>
            <w:r w:rsidRPr="00AB3200">
              <w:rPr>
                <w:rFonts w:ascii="標楷體" w:hAnsi="標楷體"/>
                <w:kern w:val="0"/>
                <w:sz w:val="20"/>
              </w:rPr>
              <w:t>青年(</w:t>
            </w:r>
            <w:r w:rsidRPr="00AB3200">
              <w:rPr>
                <w:rFonts w:ascii="標楷體" w:hAnsi="標楷體"/>
                <w:sz w:val="20"/>
              </w:rPr>
              <w:t>15～29歲)</w:t>
            </w:r>
            <w:r w:rsidRPr="00AB3200">
              <w:rPr>
                <w:rFonts w:ascii="標楷體" w:hAnsi="標楷體"/>
                <w:kern w:val="0"/>
                <w:sz w:val="20"/>
              </w:rPr>
              <w:t xml:space="preserve"> </w:t>
            </w:r>
          </w:p>
        </w:tc>
      </w:tr>
      <w:tr w:rsidR="00203F6C" w:rsidRPr="00AB3200" w:rsidTr="00203F6C">
        <w:trPr>
          <w:trHeight w:val="218"/>
          <w:tblHeader/>
        </w:trPr>
        <w:tc>
          <w:tcPr>
            <w:tcW w:w="1134" w:type="dxa"/>
            <w:vMerge/>
            <w:tcBorders>
              <w:left w:val="single" w:sz="4" w:space="0" w:color="auto"/>
              <w:right w:val="single" w:sz="4" w:space="0" w:color="auto"/>
            </w:tcBorders>
            <w:vAlign w:val="center"/>
          </w:tcPr>
          <w:p w:rsidR="00203F6C" w:rsidRPr="00AB3200" w:rsidRDefault="00203F6C" w:rsidP="00203F6C">
            <w:pPr>
              <w:widowControl/>
              <w:spacing w:line="300" w:lineRule="exact"/>
              <w:rPr>
                <w:rFonts w:ascii="標楷體" w:hAnsi="標楷體"/>
                <w:kern w:val="0"/>
                <w:sz w:val="20"/>
              </w:rPr>
            </w:pPr>
          </w:p>
        </w:tc>
        <w:tc>
          <w:tcPr>
            <w:tcW w:w="709" w:type="dxa"/>
            <w:vMerge w:val="restart"/>
            <w:tcBorders>
              <w:top w:val="single" w:sz="4" w:space="0" w:color="auto"/>
              <w:left w:val="single" w:sz="4" w:space="0" w:color="auto"/>
              <w:right w:val="single" w:sz="4" w:space="0" w:color="auto"/>
            </w:tcBorders>
            <w:shd w:val="clear" w:color="auto" w:fill="auto"/>
            <w:vAlign w:val="center"/>
          </w:tcPr>
          <w:p w:rsidR="00203F6C" w:rsidRPr="00AB3200" w:rsidRDefault="00203F6C" w:rsidP="00203F6C">
            <w:pPr>
              <w:widowControl/>
              <w:spacing w:line="300" w:lineRule="exact"/>
              <w:jc w:val="center"/>
              <w:rPr>
                <w:rFonts w:ascii="標楷體" w:hAnsi="標楷體"/>
                <w:kern w:val="0"/>
                <w:sz w:val="20"/>
              </w:rPr>
            </w:pPr>
            <w:r w:rsidRPr="00AB3200">
              <w:rPr>
                <w:rFonts w:ascii="標楷體" w:hAnsi="標楷體"/>
                <w:kern w:val="0"/>
                <w:sz w:val="20"/>
              </w:rPr>
              <w:t>總計</w:t>
            </w:r>
          </w:p>
        </w:tc>
        <w:tc>
          <w:tcPr>
            <w:tcW w:w="1417" w:type="dxa"/>
            <w:gridSpan w:val="2"/>
            <w:tcBorders>
              <w:top w:val="single" w:sz="4" w:space="0" w:color="auto"/>
              <w:left w:val="single" w:sz="4" w:space="0" w:color="auto"/>
              <w:right w:val="single" w:sz="4" w:space="0" w:color="auto"/>
            </w:tcBorders>
            <w:shd w:val="clear" w:color="auto" w:fill="auto"/>
            <w:vAlign w:val="center"/>
          </w:tcPr>
          <w:p w:rsidR="00203F6C" w:rsidRPr="00AB3200" w:rsidRDefault="00203F6C" w:rsidP="00203F6C">
            <w:pPr>
              <w:widowControl/>
              <w:spacing w:line="300" w:lineRule="exact"/>
              <w:ind w:rightChars="-25" w:right="-85"/>
              <w:rPr>
                <w:rFonts w:ascii="標楷體" w:hAnsi="標楷體"/>
                <w:kern w:val="0"/>
                <w:sz w:val="20"/>
              </w:rPr>
            </w:pPr>
            <w:r w:rsidRPr="00AB3200">
              <w:rPr>
                <w:rFonts w:ascii="標楷體" w:hAnsi="標楷體"/>
                <w:kern w:val="0"/>
                <w:sz w:val="20"/>
              </w:rPr>
              <w:t>未滿3</w:t>
            </w:r>
            <w:r w:rsidRPr="00AB3200">
              <w:rPr>
                <w:rFonts w:ascii="標楷體" w:hAnsi="標楷體" w:hint="eastAsia"/>
                <w:kern w:val="0"/>
                <w:sz w:val="20"/>
              </w:rPr>
              <w:t>萬元者</w:t>
            </w:r>
            <w:r w:rsidRPr="00AB3200">
              <w:rPr>
                <w:rFonts w:ascii="標楷體" w:hAnsi="標楷體"/>
                <w:kern w:val="0"/>
                <w:sz w:val="20"/>
              </w:rPr>
              <w:t xml:space="preserve">　</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203F6C" w:rsidRPr="00AB3200" w:rsidRDefault="00203F6C" w:rsidP="00203F6C">
            <w:pPr>
              <w:widowControl/>
              <w:spacing w:line="260" w:lineRule="exact"/>
              <w:ind w:leftChars="-25" w:left="-85" w:rightChars="-50" w:right="-170"/>
              <w:jc w:val="center"/>
              <w:rPr>
                <w:rFonts w:ascii="標楷體" w:hAnsi="標楷體"/>
                <w:kern w:val="0"/>
                <w:sz w:val="20"/>
              </w:rPr>
            </w:pPr>
            <w:r w:rsidRPr="00AB3200">
              <w:rPr>
                <w:rFonts w:ascii="標楷體" w:hAnsi="標楷體"/>
                <w:kern w:val="0"/>
                <w:sz w:val="20"/>
              </w:rPr>
              <w:t>平均每月主</w:t>
            </w:r>
          </w:p>
          <w:p w:rsidR="00203F6C" w:rsidRPr="00AB3200" w:rsidRDefault="00203F6C" w:rsidP="00203F6C">
            <w:pPr>
              <w:widowControl/>
              <w:spacing w:line="260" w:lineRule="exact"/>
              <w:ind w:leftChars="-25" w:left="-85" w:rightChars="-50" w:right="-170"/>
              <w:jc w:val="center"/>
              <w:rPr>
                <w:rFonts w:ascii="標楷體" w:hAnsi="標楷體"/>
                <w:kern w:val="0"/>
                <w:sz w:val="20"/>
              </w:rPr>
            </w:pPr>
            <w:r w:rsidRPr="00AB3200">
              <w:rPr>
                <w:rFonts w:ascii="標楷體" w:hAnsi="標楷體"/>
                <w:kern w:val="0"/>
                <w:sz w:val="20"/>
              </w:rPr>
              <w:t>要工作收入</w:t>
            </w:r>
          </w:p>
        </w:tc>
        <w:tc>
          <w:tcPr>
            <w:tcW w:w="709" w:type="dxa"/>
            <w:vMerge w:val="restart"/>
            <w:tcBorders>
              <w:top w:val="single" w:sz="4" w:space="0" w:color="auto"/>
              <w:left w:val="single" w:sz="4" w:space="0" w:color="auto"/>
              <w:right w:val="single" w:sz="4" w:space="0" w:color="auto"/>
            </w:tcBorders>
            <w:shd w:val="clear" w:color="auto" w:fill="auto"/>
            <w:vAlign w:val="center"/>
          </w:tcPr>
          <w:p w:rsidR="00203F6C" w:rsidRPr="00AB3200" w:rsidRDefault="00203F6C" w:rsidP="00203F6C">
            <w:pPr>
              <w:widowControl/>
              <w:spacing w:line="300" w:lineRule="exact"/>
              <w:jc w:val="center"/>
              <w:rPr>
                <w:rFonts w:ascii="標楷體" w:hAnsi="標楷體"/>
                <w:kern w:val="0"/>
                <w:sz w:val="20"/>
              </w:rPr>
            </w:pPr>
            <w:r w:rsidRPr="00AB3200">
              <w:rPr>
                <w:rFonts w:ascii="標楷體" w:hAnsi="標楷體"/>
                <w:kern w:val="0"/>
                <w:sz w:val="20"/>
              </w:rPr>
              <w:t>總計</w:t>
            </w:r>
          </w:p>
        </w:tc>
        <w:tc>
          <w:tcPr>
            <w:tcW w:w="1417" w:type="dxa"/>
            <w:gridSpan w:val="2"/>
            <w:tcBorders>
              <w:top w:val="single" w:sz="4" w:space="0" w:color="auto"/>
              <w:left w:val="single" w:sz="4" w:space="0" w:color="auto"/>
              <w:right w:val="single" w:sz="4" w:space="0" w:color="auto"/>
            </w:tcBorders>
            <w:shd w:val="clear" w:color="auto" w:fill="auto"/>
            <w:vAlign w:val="center"/>
          </w:tcPr>
          <w:p w:rsidR="00203F6C" w:rsidRPr="00AB3200" w:rsidRDefault="00203F6C" w:rsidP="00203F6C">
            <w:pPr>
              <w:widowControl/>
              <w:spacing w:line="300" w:lineRule="exact"/>
              <w:jc w:val="center"/>
              <w:rPr>
                <w:rFonts w:ascii="標楷體" w:hAnsi="標楷體"/>
                <w:kern w:val="0"/>
                <w:sz w:val="20"/>
              </w:rPr>
            </w:pPr>
            <w:r w:rsidRPr="00AB3200">
              <w:rPr>
                <w:rFonts w:ascii="標楷體" w:hAnsi="標楷體"/>
                <w:kern w:val="0"/>
                <w:sz w:val="20"/>
              </w:rPr>
              <w:t>未滿3</w:t>
            </w:r>
            <w:r w:rsidRPr="00AB3200">
              <w:rPr>
                <w:rFonts w:ascii="標楷體" w:hAnsi="標楷體" w:hint="eastAsia"/>
                <w:kern w:val="0"/>
                <w:sz w:val="20"/>
              </w:rPr>
              <w:t>萬元者</w:t>
            </w:r>
          </w:p>
        </w:tc>
        <w:tc>
          <w:tcPr>
            <w:tcW w:w="2268" w:type="dxa"/>
            <w:gridSpan w:val="2"/>
            <w:tcBorders>
              <w:top w:val="single" w:sz="4" w:space="0" w:color="auto"/>
              <w:left w:val="single" w:sz="4" w:space="0" w:color="auto"/>
              <w:right w:val="single" w:sz="4" w:space="0" w:color="auto"/>
            </w:tcBorders>
            <w:shd w:val="clear" w:color="auto" w:fill="auto"/>
            <w:vAlign w:val="center"/>
          </w:tcPr>
          <w:p w:rsidR="00203F6C" w:rsidRPr="00AB3200" w:rsidRDefault="00203F6C" w:rsidP="00203F6C">
            <w:pPr>
              <w:widowControl/>
              <w:spacing w:line="300" w:lineRule="exact"/>
              <w:ind w:leftChars="-8" w:left="-3" w:rightChars="-16" w:right="-54" w:hangingChars="11" w:hanging="24"/>
              <w:rPr>
                <w:rFonts w:ascii="標楷體" w:hAnsi="標楷體"/>
                <w:kern w:val="0"/>
                <w:sz w:val="20"/>
              </w:rPr>
            </w:pPr>
            <w:r w:rsidRPr="00AB3200">
              <w:rPr>
                <w:rFonts w:ascii="標楷體" w:hAnsi="標楷體"/>
                <w:kern w:val="0"/>
                <w:sz w:val="20"/>
              </w:rPr>
              <w:t>平均每月主要工作收入</w:t>
            </w:r>
          </w:p>
        </w:tc>
      </w:tr>
      <w:tr w:rsidR="00203F6C" w:rsidRPr="00AB3200" w:rsidTr="00203F6C">
        <w:trPr>
          <w:trHeight w:val="63"/>
          <w:tblHeader/>
        </w:trPr>
        <w:tc>
          <w:tcPr>
            <w:tcW w:w="1134" w:type="dxa"/>
            <w:vMerge/>
            <w:tcBorders>
              <w:left w:val="single" w:sz="4" w:space="0" w:color="auto"/>
              <w:bottom w:val="single" w:sz="4" w:space="0" w:color="auto"/>
              <w:right w:val="single" w:sz="4" w:space="0" w:color="auto"/>
            </w:tcBorders>
            <w:vAlign w:val="center"/>
          </w:tcPr>
          <w:p w:rsidR="00203F6C" w:rsidRPr="00AB3200" w:rsidRDefault="00203F6C" w:rsidP="00203F6C">
            <w:pPr>
              <w:widowControl/>
              <w:spacing w:line="300" w:lineRule="exact"/>
              <w:rPr>
                <w:rFonts w:ascii="標楷體" w:hAnsi="標楷體"/>
                <w:kern w:val="0"/>
                <w:sz w:val="20"/>
              </w:rPr>
            </w:pPr>
          </w:p>
        </w:tc>
        <w:tc>
          <w:tcPr>
            <w:tcW w:w="709" w:type="dxa"/>
            <w:vMerge/>
            <w:tcBorders>
              <w:left w:val="single" w:sz="4" w:space="0" w:color="auto"/>
              <w:right w:val="single" w:sz="4" w:space="0" w:color="auto"/>
            </w:tcBorders>
            <w:shd w:val="clear" w:color="auto" w:fill="auto"/>
            <w:vAlign w:val="center"/>
          </w:tcPr>
          <w:p w:rsidR="00203F6C" w:rsidRPr="00AB3200" w:rsidRDefault="00203F6C" w:rsidP="00203F6C">
            <w:pPr>
              <w:widowControl/>
              <w:spacing w:line="300" w:lineRule="exact"/>
              <w:jc w:val="center"/>
              <w:rPr>
                <w:rFonts w:ascii="標楷體" w:hAnsi="標楷體"/>
                <w:kern w:val="0"/>
                <w:sz w:val="20"/>
              </w:rPr>
            </w:pPr>
          </w:p>
        </w:tc>
        <w:tc>
          <w:tcPr>
            <w:tcW w:w="708" w:type="dxa"/>
            <w:tcBorders>
              <w:top w:val="single" w:sz="4" w:space="0" w:color="auto"/>
              <w:left w:val="single" w:sz="4" w:space="0" w:color="auto"/>
              <w:right w:val="single" w:sz="4" w:space="0" w:color="auto"/>
            </w:tcBorders>
            <w:shd w:val="clear" w:color="auto" w:fill="auto"/>
            <w:vAlign w:val="center"/>
          </w:tcPr>
          <w:p w:rsidR="00203F6C" w:rsidRPr="00AB3200" w:rsidRDefault="00203F6C" w:rsidP="00203F6C">
            <w:pPr>
              <w:spacing w:line="300" w:lineRule="exact"/>
              <w:ind w:rightChars="-25" w:right="-85"/>
              <w:jc w:val="center"/>
              <w:rPr>
                <w:rFonts w:ascii="標楷體" w:hAnsi="標楷體"/>
                <w:kern w:val="0"/>
                <w:sz w:val="20"/>
              </w:rPr>
            </w:pPr>
            <w:r w:rsidRPr="00AB3200">
              <w:rPr>
                <w:rFonts w:ascii="標楷體" w:hAnsi="標楷體" w:hint="eastAsia"/>
                <w:kern w:val="0"/>
                <w:sz w:val="20"/>
              </w:rPr>
              <w:t>人數</w:t>
            </w:r>
          </w:p>
        </w:tc>
        <w:tc>
          <w:tcPr>
            <w:tcW w:w="709" w:type="dxa"/>
            <w:tcBorders>
              <w:top w:val="single" w:sz="4" w:space="0" w:color="auto"/>
              <w:left w:val="single" w:sz="4" w:space="0" w:color="auto"/>
              <w:right w:val="single" w:sz="4" w:space="0" w:color="auto"/>
            </w:tcBorders>
            <w:shd w:val="clear" w:color="auto" w:fill="auto"/>
            <w:vAlign w:val="center"/>
          </w:tcPr>
          <w:p w:rsidR="00203F6C" w:rsidRPr="00AB3200" w:rsidRDefault="00203F6C" w:rsidP="00203F6C">
            <w:pPr>
              <w:spacing w:line="300" w:lineRule="exact"/>
              <w:ind w:rightChars="-25" w:right="-85"/>
              <w:jc w:val="center"/>
              <w:rPr>
                <w:rFonts w:ascii="標楷體" w:hAnsi="標楷體"/>
                <w:kern w:val="0"/>
                <w:sz w:val="20"/>
              </w:rPr>
            </w:pPr>
            <w:r w:rsidRPr="00AB3200">
              <w:rPr>
                <w:rFonts w:ascii="標楷體" w:hAnsi="標楷體" w:hint="eastAsia"/>
                <w:kern w:val="0"/>
                <w:sz w:val="20"/>
              </w:rPr>
              <w:t>%</w:t>
            </w:r>
          </w:p>
        </w:tc>
        <w:tc>
          <w:tcPr>
            <w:tcW w:w="1134" w:type="dxa"/>
            <w:vMerge/>
            <w:tcBorders>
              <w:left w:val="single" w:sz="4" w:space="0" w:color="auto"/>
              <w:bottom w:val="single" w:sz="4" w:space="0" w:color="auto"/>
              <w:right w:val="single" w:sz="4" w:space="0" w:color="auto"/>
            </w:tcBorders>
            <w:shd w:val="clear" w:color="auto" w:fill="auto"/>
            <w:vAlign w:val="center"/>
          </w:tcPr>
          <w:p w:rsidR="00203F6C" w:rsidRPr="00AB3200" w:rsidRDefault="00203F6C" w:rsidP="00203F6C">
            <w:pPr>
              <w:widowControl/>
              <w:spacing w:line="300" w:lineRule="exact"/>
              <w:ind w:rightChars="-8" w:right="-27"/>
              <w:jc w:val="center"/>
              <w:rPr>
                <w:rFonts w:ascii="標楷體" w:hAnsi="標楷體"/>
                <w:kern w:val="0"/>
                <w:sz w:val="20"/>
              </w:rPr>
            </w:pPr>
          </w:p>
        </w:tc>
        <w:tc>
          <w:tcPr>
            <w:tcW w:w="709" w:type="dxa"/>
            <w:vMerge/>
            <w:tcBorders>
              <w:left w:val="single" w:sz="4" w:space="0" w:color="auto"/>
              <w:right w:val="single" w:sz="4" w:space="0" w:color="auto"/>
            </w:tcBorders>
            <w:shd w:val="clear" w:color="auto" w:fill="auto"/>
            <w:vAlign w:val="center"/>
          </w:tcPr>
          <w:p w:rsidR="00203F6C" w:rsidRPr="00AB3200" w:rsidRDefault="00203F6C" w:rsidP="00203F6C">
            <w:pPr>
              <w:widowControl/>
              <w:spacing w:line="300" w:lineRule="exact"/>
              <w:jc w:val="center"/>
              <w:rPr>
                <w:rFonts w:ascii="標楷體" w:hAnsi="標楷體"/>
                <w:kern w:val="0"/>
                <w:sz w:val="20"/>
              </w:rPr>
            </w:pPr>
          </w:p>
        </w:tc>
        <w:tc>
          <w:tcPr>
            <w:tcW w:w="709" w:type="dxa"/>
            <w:tcBorders>
              <w:top w:val="single" w:sz="4" w:space="0" w:color="auto"/>
              <w:left w:val="single" w:sz="4" w:space="0" w:color="auto"/>
              <w:right w:val="single" w:sz="4" w:space="0" w:color="auto"/>
            </w:tcBorders>
            <w:shd w:val="clear" w:color="auto" w:fill="auto"/>
            <w:vAlign w:val="center"/>
          </w:tcPr>
          <w:p w:rsidR="00203F6C" w:rsidRPr="00AB3200" w:rsidRDefault="00203F6C" w:rsidP="00203F6C">
            <w:pPr>
              <w:spacing w:line="300" w:lineRule="exact"/>
              <w:jc w:val="center"/>
              <w:rPr>
                <w:rFonts w:ascii="標楷體" w:hAnsi="標楷體"/>
                <w:kern w:val="0"/>
                <w:sz w:val="20"/>
              </w:rPr>
            </w:pPr>
            <w:r w:rsidRPr="00AB3200">
              <w:rPr>
                <w:rFonts w:ascii="標楷體" w:hAnsi="標楷體" w:hint="eastAsia"/>
                <w:kern w:val="0"/>
                <w:sz w:val="20"/>
              </w:rPr>
              <w:t>人數</w:t>
            </w:r>
          </w:p>
        </w:tc>
        <w:tc>
          <w:tcPr>
            <w:tcW w:w="708" w:type="dxa"/>
            <w:tcBorders>
              <w:top w:val="single" w:sz="4" w:space="0" w:color="auto"/>
              <w:left w:val="single" w:sz="4" w:space="0" w:color="auto"/>
              <w:right w:val="single" w:sz="4" w:space="0" w:color="auto"/>
            </w:tcBorders>
            <w:shd w:val="clear" w:color="auto" w:fill="auto"/>
            <w:vAlign w:val="center"/>
          </w:tcPr>
          <w:p w:rsidR="00203F6C" w:rsidRPr="00AB3200" w:rsidRDefault="00203F6C" w:rsidP="00203F6C">
            <w:pPr>
              <w:spacing w:line="300" w:lineRule="exact"/>
              <w:jc w:val="center"/>
              <w:rPr>
                <w:rFonts w:ascii="標楷體" w:hAnsi="標楷體"/>
                <w:kern w:val="0"/>
                <w:sz w:val="20"/>
              </w:rPr>
            </w:pPr>
            <w:r w:rsidRPr="00AB3200">
              <w:rPr>
                <w:rFonts w:ascii="標楷體" w:hAnsi="標楷體" w:hint="eastAsia"/>
                <w:kern w:val="0"/>
                <w:sz w:val="20"/>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03F6C" w:rsidRPr="00AB3200" w:rsidRDefault="00203F6C" w:rsidP="00203F6C">
            <w:pPr>
              <w:spacing w:line="300" w:lineRule="exact"/>
              <w:ind w:rightChars="-44" w:right="-150"/>
              <w:jc w:val="center"/>
              <w:rPr>
                <w:rFonts w:ascii="標楷體" w:hAnsi="標楷體"/>
                <w:kern w:val="0"/>
                <w:sz w:val="20"/>
              </w:rPr>
            </w:pPr>
            <w:r w:rsidRPr="00AB3200">
              <w:rPr>
                <w:rFonts w:ascii="標楷體" w:hAnsi="標楷體" w:hint="eastAsia"/>
                <w:kern w:val="0"/>
                <w:sz w:val="20"/>
              </w:rPr>
              <w:t>金額</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03F6C" w:rsidRPr="00AB3200" w:rsidRDefault="00203F6C" w:rsidP="00203F6C">
            <w:pPr>
              <w:widowControl/>
              <w:spacing w:line="300" w:lineRule="exact"/>
              <w:jc w:val="center"/>
              <w:rPr>
                <w:rFonts w:ascii="標楷體" w:hAnsi="標楷體"/>
                <w:kern w:val="0"/>
                <w:sz w:val="20"/>
              </w:rPr>
            </w:pPr>
            <w:r w:rsidRPr="00AB3200">
              <w:rPr>
                <w:rFonts w:ascii="標楷體" w:hAnsi="標楷體" w:hint="eastAsia"/>
                <w:kern w:val="0"/>
                <w:sz w:val="20"/>
              </w:rPr>
              <w:t>占全體%</w:t>
            </w:r>
          </w:p>
        </w:tc>
      </w:tr>
      <w:tr w:rsidR="00203F6C" w:rsidRPr="00AB3200" w:rsidTr="00203F6C">
        <w:trPr>
          <w:trHeight w:val="63"/>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3F6C" w:rsidRPr="00AB3200" w:rsidRDefault="00203F6C" w:rsidP="00203F6C">
            <w:pPr>
              <w:widowControl/>
              <w:spacing w:line="300" w:lineRule="exact"/>
              <w:ind w:leftChars="-8" w:left="451" w:rightChars="-5" w:right="-17" w:hangingChars="217" w:hanging="478"/>
              <w:jc w:val="center"/>
              <w:rPr>
                <w:rFonts w:ascii="標楷體" w:hAnsi="標楷體"/>
                <w:kern w:val="0"/>
                <w:sz w:val="20"/>
              </w:rPr>
            </w:pPr>
            <w:r w:rsidRPr="00AB3200">
              <w:rPr>
                <w:rFonts w:ascii="標楷體" w:hAnsi="標楷體"/>
                <w:kern w:val="0"/>
                <w:sz w:val="20"/>
              </w:rPr>
              <w:t>96年5</w:t>
            </w:r>
            <w:r w:rsidRPr="00AB3200">
              <w:rPr>
                <w:rFonts w:ascii="標楷體" w:hAnsi="標楷體" w:hint="eastAsia"/>
                <w:kern w:val="0"/>
                <w:sz w:val="20"/>
              </w:rPr>
              <w:t>月</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3F6C" w:rsidRPr="00AB3200" w:rsidRDefault="00203F6C" w:rsidP="00203F6C">
            <w:pPr>
              <w:widowControl/>
              <w:spacing w:line="300" w:lineRule="exact"/>
              <w:jc w:val="right"/>
              <w:rPr>
                <w:rFonts w:ascii="標楷體" w:hAnsi="標楷體"/>
                <w:kern w:val="0"/>
                <w:sz w:val="20"/>
              </w:rPr>
            </w:pPr>
            <w:r w:rsidRPr="00AB3200">
              <w:rPr>
                <w:rFonts w:ascii="標楷體" w:hAnsi="標楷體"/>
                <w:kern w:val="0"/>
                <w:sz w:val="20"/>
              </w:rPr>
              <w:t>7,702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203F6C" w:rsidRPr="00AB3200" w:rsidRDefault="00203F6C" w:rsidP="00203F6C">
            <w:pPr>
              <w:widowControl/>
              <w:spacing w:line="300" w:lineRule="exact"/>
              <w:jc w:val="right"/>
              <w:rPr>
                <w:rFonts w:ascii="標楷體" w:hAnsi="標楷體"/>
                <w:kern w:val="0"/>
                <w:sz w:val="20"/>
              </w:rPr>
            </w:pPr>
            <w:r w:rsidRPr="00AB3200">
              <w:rPr>
                <w:rFonts w:ascii="標楷體" w:hAnsi="標楷體"/>
                <w:kern w:val="0"/>
                <w:sz w:val="20"/>
              </w:rPr>
              <w:t>3,281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03F6C" w:rsidRPr="00AB3200" w:rsidRDefault="00203F6C" w:rsidP="00203F6C">
            <w:pPr>
              <w:widowControl/>
              <w:spacing w:line="300" w:lineRule="exact"/>
              <w:jc w:val="right"/>
              <w:rPr>
                <w:rFonts w:ascii="標楷體" w:hAnsi="標楷體"/>
                <w:kern w:val="0"/>
                <w:sz w:val="20"/>
              </w:rPr>
            </w:pPr>
            <w:r w:rsidRPr="00AB3200">
              <w:rPr>
                <w:rFonts w:ascii="標楷體" w:hAnsi="標楷體"/>
                <w:kern w:val="0"/>
                <w:sz w:val="20"/>
              </w:rPr>
              <w:t>42.61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3F6C" w:rsidRPr="00AB3200" w:rsidRDefault="00203F6C" w:rsidP="00203F6C">
            <w:pPr>
              <w:widowControl/>
              <w:spacing w:line="300" w:lineRule="exact"/>
              <w:jc w:val="right"/>
              <w:rPr>
                <w:rFonts w:ascii="標楷體" w:hAnsi="標楷體"/>
                <w:kern w:val="0"/>
                <w:sz w:val="20"/>
              </w:rPr>
            </w:pPr>
            <w:r w:rsidRPr="00AB3200">
              <w:rPr>
                <w:rFonts w:ascii="標楷體" w:hAnsi="標楷體"/>
                <w:kern w:val="0"/>
                <w:sz w:val="20"/>
              </w:rPr>
              <w:t>34,595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3F6C" w:rsidRPr="00AB3200" w:rsidRDefault="00203F6C" w:rsidP="00203F6C">
            <w:pPr>
              <w:widowControl/>
              <w:spacing w:line="300" w:lineRule="exact"/>
              <w:jc w:val="right"/>
              <w:rPr>
                <w:rFonts w:ascii="標楷體" w:hAnsi="標楷體"/>
                <w:kern w:val="0"/>
                <w:sz w:val="20"/>
              </w:rPr>
            </w:pPr>
            <w:r w:rsidRPr="00AB3200">
              <w:rPr>
                <w:rFonts w:ascii="標楷體" w:hAnsi="標楷體"/>
                <w:kern w:val="0"/>
                <w:sz w:val="20"/>
              </w:rPr>
              <w:t>2,206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3F6C" w:rsidRPr="00AB3200" w:rsidRDefault="00203F6C" w:rsidP="00203F6C">
            <w:pPr>
              <w:widowControl/>
              <w:spacing w:line="300" w:lineRule="exact"/>
              <w:jc w:val="right"/>
              <w:rPr>
                <w:rFonts w:ascii="標楷體" w:hAnsi="標楷體"/>
                <w:kern w:val="0"/>
                <w:sz w:val="20"/>
              </w:rPr>
            </w:pPr>
            <w:r w:rsidRPr="00AB3200">
              <w:rPr>
                <w:rFonts w:ascii="標楷體" w:hAnsi="標楷體"/>
                <w:kern w:val="0"/>
                <w:sz w:val="20"/>
              </w:rPr>
              <w:t>1,342</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3F6C" w:rsidRPr="00AB3200" w:rsidRDefault="00203F6C" w:rsidP="00203F6C">
            <w:pPr>
              <w:widowControl/>
              <w:spacing w:line="300" w:lineRule="exact"/>
              <w:jc w:val="right"/>
              <w:rPr>
                <w:rFonts w:ascii="標楷體" w:hAnsi="標楷體"/>
                <w:kern w:val="0"/>
                <w:sz w:val="20"/>
              </w:rPr>
            </w:pPr>
            <w:r w:rsidRPr="00AB3200">
              <w:rPr>
                <w:rFonts w:ascii="標楷體" w:hAnsi="標楷體"/>
                <w:kern w:val="0"/>
                <w:sz w:val="20"/>
              </w:rPr>
              <w:t>60.84</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3F6C" w:rsidRPr="00AB3200" w:rsidRDefault="00203F6C" w:rsidP="00203F6C">
            <w:pPr>
              <w:widowControl/>
              <w:spacing w:line="300" w:lineRule="exact"/>
              <w:jc w:val="right"/>
              <w:rPr>
                <w:rFonts w:ascii="標楷體" w:hAnsi="標楷體"/>
                <w:kern w:val="0"/>
                <w:sz w:val="20"/>
              </w:rPr>
            </w:pPr>
            <w:r w:rsidRPr="00AB3200">
              <w:rPr>
                <w:rFonts w:ascii="標楷體" w:hAnsi="標楷體"/>
                <w:kern w:val="0"/>
                <w:sz w:val="20"/>
              </w:rPr>
              <w:t>27,615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03F6C" w:rsidRPr="00AB3200" w:rsidRDefault="00203F6C" w:rsidP="00203F6C">
            <w:pPr>
              <w:widowControl/>
              <w:spacing w:line="300" w:lineRule="exact"/>
              <w:ind w:rightChars="63" w:right="214"/>
              <w:jc w:val="right"/>
              <w:rPr>
                <w:rFonts w:ascii="標楷體" w:hAnsi="標楷體"/>
                <w:kern w:val="0"/>
                <w:sz w:val="20"/>
              </w:rPr>
            </w:pPr>
            <w:r w:rsidRPr="00AB3200">
              <w:rPr>
                <w:rFonts w:ascii="標楷體" w:hAnsi="標楷體"/>
                <w:kern w:val="0"/>
                <w:sz w:val="20"/>
              </w:rPr>
              <w:t>79.82</w:t>
            </w:r>
          </w:p>
        </w:tc>
      </w:tr>
      <w:tr w:rsidR="00203F6C" w:rsidRPr="00AB3200" w:rsidTr="00203F6C">
        <w:trPr>
          <w:trHeight w:val="132"/>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3F6C" w:rsidRPr="00AB3200" w:rsidRDefault="00203F6C" w:rsidP="00203F6C">
            <w:pPr>
              <w:widowControl/>
              <w:spacing w:line="300" w:lineRule="exact"/>
              <w:ind w:leftChars="-8" w:left="451" w:rightChars="-5" w:right="-17" w:hangingChars="217" w:hanging="478"/>
              <w:jc w:val="center"/>
              <w:rPr>
                <w:rFonts w:ascii="標楷體" w:hAnsi="標楷體"/>
                <w:kern w:val="0"/>
                <w:sz w:val="20"/>
              </w:rPr>
            </w:pPr>
            <w:r w:rsidRPr="00AB3200">
              <w:rPr>
                <w:rFonts w:ascii="標楷體" w:hAnsi="標楷體"/>
                <w:kern w:val="0"/>
                <w:sz w:val="20"/>
              </w:rPr>
              <w:t>97年5</w:t>
            </w:r>
            <w:r w:rsidRPr="00AB3200">
              <w:rPr>
                <w:rFonts w:ascii="標楷體" w:hAnsi="標楷體" w:hint="eastAsia"/>
                <w:kern w:val="0"/>
                <w:sz w:val="20"/>
              </w:rPr>
              <w:t>月</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3F6C" w:rsidRPr="00AB3200" w:rsidRDefault="00203F6C" w:rsidP="00203F6C">
            <w:pPr>
              <w:widowControl/>
              <w:spacing w:line="300" w:lineRule="exact"/>
              <w:jc w:val="right"/>
              <w:rPr>
                <w:rFonts w:ascii="標楷體" w:hAnsi="標楷體"/>
                <w:kern w:val="0"/>
                <w:sz w:val="20"/>
              </w:rPr>
            </w:pPr>
            <w:r w:rsidRPr="00AB3200">
              <w:rPr>
                <w:rFonts w:ascii="標楷體" w:hAnsi="標楷體"/>
                <w:kern w:val="0"/>
                <w:sz w:val="20"/>
              </w:rPr>
              <w:t>7,903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203F6C" w:rsidRPr="00AB3200" w:rsidRDefault="00203F6C" w:rsidP="00203F6C">
            <w:pPr>
              <w:widowControl/>
              <w:spacing w:line="300" w:lineRule="exact"/>
              <w:jc w:val="right"/>
              <w:rPr>
                <w:rFonts w:ascii="標楷體" w:hAnsi="標楷體"/>
                <w:kern w:val="0"/>
                <w:sz w:val="20"/>
              </w:rPr>
            </w:pPr>
            <w:r w:rsidRPr="00AB3200">
              <w:rPr>
                <w:rFonts w:ascii="標楷體" w:hAnsi="標楷體"/>
                <w:kern w:val="0"/>
                <w:sz w:val="20"/>
              </w:rPr>
              <w:t>3,308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03F6C" w:rsidRPr="00AB3200" w:rsidRDefault="00203F6C" w:rsidP="00203F6C">
            <w:pPr>
              <w:widowControl/>
              <w:spacing w:line="300" w:lineRule="exact"/>
              <w:jc w:val="right"/>
              <w:rPr>
                <w:rFonts w:ascii="標楷體" w:hAnsi="標楷體"/>
                <w:kern w:val="0"/>
                <w:sz w:val="20"/>
              </w:rPr>
            </w:pPr>
            <w:r w:rsidRPr="00AB3200">
              <w:rPr>
                <w:rFonts w:ascii="標楷體" w:hAnsi="標楷體"/>
                <w:kern w:val="0"/>
                <w:sz w:val="20"/>
              </w:rPr>
              <w:t>41.85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3F6C" w:rsidRPr="00AB3200" w:rsidRDefault="00203F6C" w:rsidP="00203F6C">
            <w:pPr>
              <w:widowControl/>
              <w:spacing w:line="300" w:lineRule="exact"/>
              <w:jc w:val="right"/>
              <w:rPr>
                <w:rFonts w:ascii="標楷體" w:hAnsi="標楷體"/>
                <w:kern w:val="0"/>
                <w:sz w:val="20"/>
              </w:rPr>
            </w:pPr>
            <w:r w:rsidRPr="00AB3200">
              <w:rPr>
                <w:rFonts w:ascii="標楷體" w:hAnsi="標楷體"/>
                <w:kern w:val="0"/>
                <w:sz w:val="20"/>
              </w:rPr>
              <w:t>35,001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3F6C" w:rsidRPr="00AB3200" w:rsidRDefault="00203F6C" w:rsidP="00203F6C">
            <w:pPr>
              <w:widowControl/>
              <w:spacing w:line="300" w:lineRule="exact"/>
              <w:jc w:val="right"/>
              <w:rPr>
                <w:rFonts w:ascii="標楷體" w:hAnsi="標楷體"/>
                <w:kern w:val="0"/>
                <w:sz w:val="20"/>
              </w:rPr>
            </w:pPr>
            <w:r w:rsidRPr="00AB3200">
              <w:rPr>
                <w:rFonts w:ascii="標楷體" w:hAnsi="標楷體"/>
                <w:kern w:val="0"/>
                <w:sz w:val="20"/>
              </w:rPr>
              <w:t>2,186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3F6C" w:rsidRPr="00AB3200" w:rsidRDefault="00203F6C" w:rsidP="00203F6C">
            <w:pPr>
              <w:widowControl/>
              <w:spacing w:line="300" w:lineRule="exact"/>
              <w:jc w:val="right"/>
              <w:rPr>
                <w:rFonts w:ascii="標楷體" w:hAnsi="標楷體"/>
                <w:kern w:val="0"/>
                <w:sz w:val="20"/>
              </w:rPr>
            </w:pPr>
            <w:r w:rsidRPr="00AB3200">
              <w:rPr>
                <w:rFonts w:ascii="標楷體" w:hAnsi="標楷體"/>
                <w:kern w:val="0"/>
                <w:sz w:val="20"/>
              </w:rPr>
              <w:t>1,367</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3F6C" w:rsidRPr="00AB3200" w:rsidRDefault="00203F6C" w:rsidP="00203F6C">
            <w:pPr>
              <w:widowControl/>
              <w:spacing w:line="300" w:lineRule="exact"/>
              <w:jc w:val="right"/>
              <w:rPr>
                <w:rFonts w:ascii="標楷體" w:hAnsi="標楷體"/>
                <w:kern w:val="0"/>
                <w:sz w:val="20"/>
              </w:rPr>
            </w:pPr>
            <w:r w:rsidRPr="00AB3200">
              <w:rPr>
                <w:rFonts w:ascii="標楷體" w:hAnsi="標楷體"/>
                <w:kern w:val="0"/>
                <w:sz w:val="20"/>
              </w:rPr>
              <w:t>62.56</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3F6C" w:rsidRPr="00AB3200" w:rsidRDefault="00203F6C" w:rsidP="00203F6C">
            <w:pPr>
              <w:widowControl/>
              <w:spacing w:line="300" w:lineRule="exact"/>
              <w:jc w:val="right"/>
              <w:rPr>
                <w:rFonts w:ascii="標楷體" w:hAnsi="標楷體"/>
                <w:kern w:val="0"/>
                <w:sz w:val="20"/>
              </w:rPr>
            </w:pPr>
            <w:r w:rsidRPr="00AB3200">
              <w:rPr>
                <w:rFonts w:ascii="標楷體" w:hAnsi="標楷體"/>
                <w:kern w:val="0"/>
                <w:sz w:val="20"/>
              </w:rPr>
              <w:t>27,141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03F6C" w:rsidRPr="00AB3200" w:rsidRDefault="00203F6C" w:rsidP="00203F6C">
            <w:pPr>
              <w:widowControl/>
              <w:spacing w:line="300" w:lineRule="exact"/>
              <w:ind w:rightChars="63" w:right="214"/>
              <w:jc w:val="right"/>
              <w:rPr>
                <w:rFonts w:ascii="標楷體" w:hAnsi="標楷體"/>
                <w:kern w:val="0"/>
                <w:sz w:val="20"/>
              </w:rPr>
            </w:pPr>
            <w:r w:rsidRPr="00AB3200">
              <w:rPr>
                <w:rFonts w:ascii="標楷體" w:hAnsi="標楷體"/>
                <w:kern w:val="0"/>
                <w:sz w:val="20"/>
              </w:rPr>
              <w:t>77.54</w:t>
            </w:r>
          </w:p>
        </w:tc>
      </w:tr>
      <w:tr w:rsidR="00203F6C" w:rsidRPr="00AB3200" w:rsidTr="00203F6C">
        <w:trPr>
          <w:trHeight w:val="63"/>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3F6C" w:rsidRPr="00AB3200" w:rsidRDefault="00203F6C" w:rsidP="00203F6C">
            <w:pPr>
              <w:widowControl/>
              <w:spacing w:line="300" w:lineRule="exact"/>
              <w:ind w:leftChars="-8" w:left="451" w:rightChars="-5" w:right="-17" w:hangingChars="217" w:hanging="478"/>
              <w:jc w:val="center"/>
              <w:rPr>
                <w:rFonts w:ascii="標楷體" w:hAnsi="標楷體"/>
                <w:kern w:val="0"/>
                <w:sz w:val="20"/>
              </w:rPr>
            </w:pPr>
            <w:r w:rsidRPr="00AB3200">
              <w:rPr>
                <w:rFonts w:ascii="標楷體" w:hAnsi="標楷體"/>
                <w:kern w:val="0"/>
                <w:sz w:val="20"/>
              </w:rPr>
              <w:t>98年5</w:t>
            </w:r>
            <w:r w:rsidRPr="00AB3200">
              <w:rPr>
                <w:rFonts w:ascii="標楷體" w:hAnsi="標楷體" w:hint="eastAsia"/>
                <w:kern w:val="0"/>
                <w:sz w:val="20"/>
              </w:rPr>
              <w:t>月</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3F6C" w:rsidRPr="00AB3200" w:rsidRDefault="00203F6C" w:rsidP="00203F6C">
            <w:pPr>
              <w:widowControl/>
              <w:spacing w:line="300" w:lineRule="exact"/>
              <w:jc w:val="right"/>
              <w:rPr>
                <w:rFonts w:ascii="標楷體" w:hAnsi="標楷體"/>
                <w:kern w:val="0"/>
                <w:sz w:val="20"/>
              </w:rPr>
            </w:pPr>
            <w:r w:rsidRPr="00AB3200">
              <w:rPr>
                <w:rFonts w:ascii="標楷體" w:hAnsi="標楷體"/>
                <w:kern w:val="0"/>
                <w:sz w:val="20"/>
              </w:rPr>
              <w:t>7,864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203F6C" w:rsidRPr="00AB3200" w:rsidRDefault="00203F6C" w:rsidP="00203F6C">
            <w:pPr>
              <w:widowControl/>
              <w:spacing w:line="300" w:lineRule="exact"/>
              <w:jc w:val="right"/>
              <w:rPr>
                <w:rFonts w:ascii="標楷體" w:hAnsi="標楷體"/>
                <w:kern w:val="0"/>
                <w:sz w:val="20"/>
              </w:rPr>
            </w:pPr>
            <w:r w:rsidRPr="00AB3200">
              <w:rPr>
                <w:rFonts w:ascii="標楷體" w:hAnsi="標楷體"/>
                <w:kern w:val="0"/>
                <w:sz w:val="20"/>
              </w:rPr>
              <w:t>3,648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03F6C" w:rsidRPr="00AB3200" w:rsidRDefault="00203F6C" w:rsidP="00203F6C">
            <w:pPr>
              <w:widowControl/>
              <w:spacing w:line="300" w:lineRule="exact"/>
              <w:jc w:val="right"/>
              <w:rPr>
                <w:rFonts w:ascii="標楷體" w:hAnsi="標楷體"/>
                <w:kern w:val="0"/>
                <w:sz w:val="20"/>
              </w:rPr>
            </w:pPr>
            <w:r w:rsidRPr="00AB3200">
              <w:rPr>
                <w:rFonts w:ascii="標楷體" w:hAnsi="標楷體"/>
                <w:kern w:val="0"/>
                <w:sz w:val="20"/>
              </w:rPr>
              <w:t>46.38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3F6C" w:rsidRPr="00AB3200" w:rsidRDefault="00203F6C" w:rsidP="00203F6C">
            <w:pPr>
              <w:widowControl/>
              <w:spacing w:line="300" w:lineRule="exact"/>
              <w:jc w:val="right"/>
              <w:rPr>
                <w:rFonts w:ascii="標楷體" w:hAnsi="標楷體"/>
                <w:kern w:val="0"/>
                <w:sz w:val="20"/>
              </w:rPr>
            </w:pPr>
            <w:r w:rsidRPr="00AB3200">
              <w:rPr>
                <w:rFonts w:ascii="標楷體" w:hAnsi="標楷體"/>
                <w:kern w:val="0"/>
                <w:sz w:val="20"/>
              </w:rPr>
              <w:t>33,743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3F6C" w:rsidRPr="00AB3200" w:rsidRDefault="00203F6C" w:rsidP="00203F6C">
            <w:pPr>
              <w:widowControl/>
              <w:spacing w:line="300" w:lineRule="exact"/>
              <w:jc w:val="right"/>
              <w:rPr>
                <w:rFonts w:ascii="標楷體" w:hAnsi="標楷體"/>
                <w:kern w:val="0"/>
                <w:sz w:val="20"/>
              </w:rPr>
            </w:pPr>
            <w:r w:rsidRPr="00AB3200">
              <w:rPr>
                <w:rFonts w:ascii="標楷體" w:hAnsi="標楷體"/>
                <w:kern w:val="0"/>
                <w:sz w:val="20"/>
              </w:rPr>
              <w:t>2,084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3F6C" w:rsidRPr="00AB3200" w:rsidRDefault="00203F6C" w:rsidP="00203F6C">
            <w:pPr>
              <w:widowControl/>
              <w:spacing w:line="300" w:lineRule="exact"/>
              <w:jc w:val="right"/>
              <w:rPr>
                <w:rFonts w:ascii="標楷體" w:hAnsi="標楷體"/>
                <w:kern w:val="0"/>
                <w:sz w:val="20"/>
              </w:rPr>
            </w:pPr>
            <w:r w:rsidRPr="00AB3200">
              <w:rPr>
                <w:rFonts w:ascii="標楷體" w:hAnsi="標楷體"/>
                <w:kern w:val="0"/>
                <w:sz w:val="20"/>
              </w:rPr>
              <w:t>1,400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3F6C" w:rsidRPr="00AB3200" w:rsidRDefault="00203F6C" w:rsidP="00203F6C">
            <w:pPr>
              <w:widowControl/>
              <w:spacing w:line="300" w:lineRule="exact"/>
              <w:jc w:val="right"/>
              <w:rPr>
                <w:rFonts w:ascii="標楷體" w:hAnsi="標楷體"/>
                <w:kern w:val="0"/>
                <w:sz w:val="20"/>
              </w:rPr>
            </w:pPr>
            <w:r w:rsidRPr="00AB3200">
              <w:rPr>
                <w:rFonts w:ascii="標楷體" w:hAnsi="標楷體"/>
                <w:kern w:val="0"/>
                <w:sz w:val="20"/>
              </w:rPr>
              <w:t>67.20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3F6C" w:rsidRPr="00AB3200" w:rsidRDefault="00203F6C" w:rsidP="00203F6C">
            <w:pPr>
              <w:widowControl/>
              <w:spacing w:line="300" w:lineRule="exact"/>
              <w:jc w:val="right"/>
              <w:rPr>
                <w:rFonts w:ascii="標楷體" w:hAnsi="標楷體"/>
                <w:kern w:val="0"/>
                <w:sz w:val="20"/>
              </w:rPr>
            </w:pPr>
            <w:r w:rsidRPr="00AB3200">
              <w:rPr>
                <w:rFonts w:ascii="標楷體" w:hAnsi="標楷體"/>
                <w:kern w:val="0"/>
                <w:sz w:val="20"/>
              </w:rPr>
              <w:t>25,970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03F6C" w:rsidRPr="00AB3200" w:rsidRDefault="00203F6C" w:rsidP="00203F6C">
            <w:pPr>
              <w:widowControl/>
              <w:spacing w:line="300" w:lineRule="exact"/>
              <w:ind w:rightChars="63" w:right="214"/>
              <w:jc w:val="right"/>
              <w:rPr>
                <w:rFonts w:ascii="標楷體" w:hAnsi="標楷體"/>
                <w:kern w:val="0"/>
                <w:sz w:val="20"/>
              </w:rPr>
            </w:pPr>
            <w:r w:rsidRPr="00AB3200">
              <w:rPr>
                <w:rFonts w:ascii="標楷體" w:hAnsi="標楷體"/>
                <w:kern w:val="0"/>
                <w:sz w:val="20"/>
              </w:rPr>
              <w:t>76.96</w:t>
            </w:r>
          </w:p>
        </w:tc>
      </w:tr>
      <w:tr w:rsidR="00203F6C" w:rsidRPr="00AB3200" w:rsidTr="00203F6C">
        <w:trPr>
          <w:trHeight w:val="63"/>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3F6C" w:rsidRPr="00AB3200" w:rsidRDefault="00203F6C" w:rsidP="00203F6C">
            <w:pPr>
              <w:widowControl/>
              <w:spacing w:line="300" w:lineRule="exact"/>
              <w:ind w:leftChars="-8" w:left="451" w:rightChars="-5" w:right="-17" w:hangingChars="217" w:hanging="478"/>
              <w:jc w:val="center"/>
              <w:rPr>
                <w:rFonts w:ascii="標楷體" w:hAnsi="標楷體"/>
                <w:kern w:val="0"/>
                <w:sz w:val="20"/>
              </w:rPr>
            </w:pPr>
            <w:r w:rsidRPr="00AB3200">
              <w:rPr>
                <w:rFonts w:ascii="標楷體" w:hAnsi="標楷體"/>
                <w:kern w:val="0"/>
                <w:sz w:val="20"/>
              </w:rPr>
              <w:t>99年5</w:t>
            </w:r>
            <w:r w:rsidRPr="00AB3200">
              <w:rPr>
                <w:rFonts w:ascii="標楷體" w:hAnsi="標楷體" w:hint="eastAsia"/>
                <w:kern w:val="0"/>
                <w:sz w:val="20"/>
              </w:rPr>
              <w:t>月</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3F6C" w:rsidRPr="00AB3200" w:rsidRDefault="00203F6C" w:rsidP="00203F6C">
            <w:pPr>
              <w:widowControl/>
              <w:spacing w:line="300" w:lineRule="exact"/>
              <w:jc w:val="right"/>
              <w:rPr>
                <w:rFonts w:ascii="標楷體" w:hAnsi="標楷體"/>
                <w:kern w:val="0"/>
                <w:sz w:val="20"/>
              </w:rPr>
            </w:pPr>
            <w:r w:rsidRPr="00AB3200">
              <w:rPr>
                <w:rFonts w:ascii="標楷體" w:hAnsi="標楷體"/>
                <w:kern w:val="0"/>
                <w:sz w:val="20"/>
              </w:rPr>
              <w:t>8,066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203F6C" w:rsidRPr="00AB3200" w:rsidRDefault="00203F6C" w:rsidP="00203F6C">
            <w:pPr>
              <w:widowControl/>
              <w:spacing w:line="300" w:lineRule="exact"/>
              <w:jc w:val="right"/>
              <w:rPr>
                <w:rFonts w:ascii="標楷體" w:hAnsi="標楷體"/>
                <w:kern w:val="0"/>
                <w:sz w:val="20"/>
              </w:rPr>
            </w:pPr>
            <w:r w:rsidRPr="00AB3200">
              <w:rPr>
                <w:rFonts w:ascii="標楷體" w:hAnsi="標楷體"/>
                <w:kern w:val="0"/>
                <w:sz w:val="20"/>
              </w:rPr>
              <w:t>3,597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03F6C" w:rsidRPr="00AB3200" w:rsidRDefault="00203F6C" w:rsidP="00203F6C">
            <w:pPr>
              <w:widowControl/>
              <w:spacing w:line="300" w:lineRule="exact"/>
              <w:jc w:val="right"/>
              <w:rPr>
                <w:rFonts w:ascii="標楷體" w:hAnsi="標楷體"/>
                <w:kern w:val="0"/>
                <w:sz w:val="20"/>
              </w:rPr>
            </w:pPr>
            <w:r w:rsidRPr="00AB3200">
              <w:rPr>
                <w:rFonts w:ascii="標楷體" w:hAnsi="標楷體"/>
                <w:kern w:val="0"/>
                <w:sz w:val="20"/>
              </w:rPr>
              <w:t>44.58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3F6C" w:rsidRPr="00AB3200" w:rsidRDefault="00203F6C" w:rsidP="00203F6C">
            <w:pPr>
              <w:widowControl/>
              <w:spacing w:line="300" w:lineRule="exact"/>
              <w:jc w:val="right"/>
              <w:rPr>
                <w:rFonts w:ascii="標楷體" w:hAnsi="標楷體"/>
                <w:kern w:val="0"/>
                <w:sz w:val="20"/>
              </w:rPr>
            </w:pPr>
            <w:r w:rsidRPr="00AB3200">
              <w:rPr>
                <w:rFonts w:ascii="標楷體" w:hAnsi="標楷體"/>
                <w:kern w:val="0"/>
                <w:sz w:val="20"/>
              </w:rPr>
              <w:t>34,431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3F6C" w:rsidRPr="00AB3200" w:rsidRDefault="00203F6C" w:rsidP="00203F6C">
            <w:pPr>
              <w:widowControl/>
              <w:spacing w:line="300" w:lineRule="exact"/>
              <w:jc w:val="right"/>
              <w:rPr>
                <w:rFonts w:ascii="標楷體" w:hAnsi="標楷體"/>
                <w:kern w:val="0"/>
                <w:sz w:val="20"/>
              </w:rPr>
            </w:pPr>
            <w:r w:rsidRPr="00AB3200">
              <w:rPr>
                <w:rFonts w:ascii="標楷體" w:hAnsi="標楷體"/>
                <w:kern w:val="0"/>
                <w:sz w:val="20"/>
              </w:rPr>
              <w:t>2,096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3F6C" w:rsidRPr="00AB3200" w:rsidRDefault="00203F6C" w:rsidP="00203F6C">
            <w:pPr>
              <w:widowControl/>
              <w:spacing w:line="300" w:lineRule="exact"/>
              <w:jc w:val="right"/>
              <w:rPr>
                <w:rFonts w:ascii="標楷體" w:hAnsi="標楷體"/>
                <w:kern w:val="0"/>
                <w:sz w:val="20"/>
              </w:rPr>
            </w:pPr>
            <w:r w:rsidRPr="00AB3200">
              <w:rPr>
                <w:rFonts w:ascii="標楷體" w:hAnsi="標楷體"/>
                <w:kern w:val="0"/>
                <w:sz w:val="20"/>
              </w:rPr>
              <w:t>1,349</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3F6C" w:rsidRPr="00AB3200" w:rsidRDefault="00203F6C" w:rsidP="00203F6C">
            <w:pPr>
              <w:widowControl/>
              <w:spacing w:line="300" w:lineRule="exact"/>
              <w:jc w:val="right"/>
              <w:rPr>
                <w:rFonts w:ascii="標楷體" w:hAnsi="標楷體"/>
                <w:kern w:val="0"/>
                <w:sz w:val="20"/>
              </w:rPr>
            </w:pPr>
            <w:r w:rsidRPr="00AB3200">
              <w:rPr>
                <w:rFonts w:ascii="標楷體" w:hAnsi="標楷體"/>
                <w:kern w:val="0"/>
                <w:sz w:val="20"/>
              </w:rPr>
              <w:t>64.36</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3F6C" w:rsidRPr="00AB3200" w:rsidRDefault="00203F6C" w:rsidP="00203F6C">
            <w:pPr>
              <w:widowControl/>
              <w:spacing w:line="300" w:lineRule="exact"/>
              <w:jc w:val="right"/>
              <w:rPr>
                <w:rFonts w:ascii="標楷體" w:hAnsi="標楷體"/>
                <w:kern w:val="0"/>
                <w:sz w:val="20"/>
              </w:rPr>
            </w:pPr>
            <w:r w:rsidRPr="00AB3200">
              <w:rPr>
                <w:rFonts w:ascii="標楷體" w:hAnsi="標楷體"/>
                <w:kern w:val="0"/>
                <w:sz w:val="20"/>
              </w:rPr>
              <w:t>26,718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03F6C" w:rsidRPr="00AB3200" w:rsidRDefault="00203F6C" w:rsidP="00203F6C">
            <w:pPr>
              <w:widowControl/>
              <w:spacing w:line="300" w:lineRule="exact"/>
              <w:ind w:rightChars="63" w:right="214"/>
              <w:jc w:val="right"/>
              <w:rPr>
                <w:rFonts w:ascii="標楷體" w:hAnsi="標楷體"/>
                <w:kern w:val="0"/>
                <w:sz w:val="20"/>
              </w:rPr>
            </w:pPr>
            <w:r w:rsidRPr="00AB3200">
              <w:rPr>
                <w:rFonts w:ascii="標楷體" w:hAnsi="標楷體"/>
                <w:kern w:val="0"/>
                <w:sz w:val="20"/>
              </w:rPr>
              <w:t>77.60</w:t>
            </w:r>
          </w:p>
        </w:tc>
      </w:tr>
      <w:tr w:rsidR="00203F6C" w:rsidRPr="00AB3200" w:rsidTr="00203F6C">
        <w:trPr>
          <w:trHeight w:val="63"/>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3F6C" w:rsidRPr="00AB3200" w:rsidRDefault="00203F6C" w:rsidP="00203F6C">
            <w:pPr>
              <w:widowControl/>
              <w:spacing w:line="300" w:lineRule="exact"/>
              <w:ind w:leftChars="-8" w:left="451" w:rightChars="-50" w:right="-170" w:hangingChars="217" w:hanging="478"/>
              <w:rPr>
                <w:rFonts w:ascii="標楷體" w:hAnsi="標楷體"/>
                <w:kern w:val="0"/>
                <w:sz w:val="20"/>
              </w:rPr>
            </w:pPr>
            <w:r w:rsidRPr="00AB3200">
              <w:rPr>
                <w:rFonts w:ascii="標楷體" w:hAnsi="標楷體"/>
                <w:kern w:val="0"/>
                <w:sz w:val="20"/>
              </w:rPr>
              <w:t>100年5</w:t>
            </w:r>
            <w:r w:rsidRPr="00AB3200">
              <w:rPr>
                <w:rFonts w:ascii="標楷體" w:hAnsi="標楷體" w:hint="eastAsia"/>
                <w:kern w:val="0"/>
                <w:sz w:val="20"/>
              </w:rPr>
              <w:t>月</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3F6C" w:rsidRPr="00AB3200" w:rsidRDefault="00203F6C" w:rsidP="00203F6C">
            <w:pPr>
              <w:widowControl/>
              <w:spacing w:line="300" w:lineRule="exact"/>
              <w:jc w:val="right"/>
              <w:rPr>
                <w:rFonts w:ascii="標楷體" w:hAnsi="標楷體"/>
                <w:kern w:val="0"/>
                <w:sz w:val="20"/>
              </w:rPr>
            </w:pPr>
            <w:r w:rsidRPr="00AB3200">
              <w:rPr>
                <w:rFonts w:ascii="標楷體" w:hAnsi="標楷體"/>
                <w:kern w:val="0"/>
                <w:sz w:val="20"/>
              </w:rPr>
              <w:t>8,290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203F6C" w:rsidRPr="00AB3200" w:rsidRDefault="00203F6C" w:rsidP="00203F6C">
            <w:pPr>
              <w:widowControl/>
              <w:spacing w:line="300" w:lineRule="exact"/>
              <w:jc w:val="right"/>
              <w:rPr>
                <w:rFonts w:ascii="標楷體" w:hAnsi="標楷體"/>
                <w:kern w:val="0"/>
                <w:sz w:val="20"/>
              </w:rPr>
            </w:pPr>
            <w:r w:rsidRPr="00AB3200">
              <w:rPr>
                <w:rFonts w:ascii="標楷體" w:hAnsi="標楷體"/>
                <w:kern w:val="0"/>
                <w:sz w:val="20"/>
              </w:rPr>
              <w:t>3,551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03F6C" w:rsidRPr="00AB3200" w:rsidRDefault="00203F6C" w:rsidP="00203F6C">
            <w:pPr>
              <w:widowControl/>
              <w:spacing w:line="300" w:lineRule="exact"/>
              <w:jc w:val="right"/>
              <w:rPr>
                <w:rFonts w:ascii="標楷體" w:hAnsi="標楷體"/>
                <w:kern w:val="0"/>
                <w:sz w:val="20"/>
              </w:rPr>
            </w:pPr>
            <w:r w:rsidRPr="00AB3200">
              <w:rPr>
                <w:rFonts w:ascii="標楷體" w:hAnsi="標楷體"/>
                <w:kern w:val="0"/>
                <w:sz w:val="20"/>
              </w:rPr>
              <w:t>42.83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3F6C" w:rsidRPr="00AB3200" w:rsidRDefault="00203F6C" w:rsidP="00203F6C">
            <w:pPr>
              <w:widowControl/>
              <w:spacing w:line="300" w:lineRule="exact"/>
              <w:jc w:val="right"/>
              <w:rPr>
                <w:rFonts w:ascii="標楷體" w:hAnsi="標楷體"/>
                <w:kern w:val="0"/>
                <w:sz w:val="20"/>
              </w:rPr>
            </w:pPr>
            <w:r w:rsidRPr="00AB3200">
              <w:rPr>
                <w:rFonts w:ascii="標楷體" w:hAnsi="標楷體"/>
                <w:kern w:val="0"/>
                <w:sz w:val="20"/>
              </w:rPr>
              <w:t>35,058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3F6C" w:rsidRPr="00AB3200" w:rsidRDefault="00203F6C" w:rsidP="00203F6C">
            <w:pPr>
              <w:widowControl/>
              <w:spacing w:line="300" w:lineRule="exact"/>
              <w:jc w:val="right"/>
              <w:rPr>
                <w:rFonts w:ascii="標楷體" w:hAnsi="標楷體"/>
                <w:kern w:val="0"/>
                <w:sz w:val="20"/>
              </w:rPr>
            </w:pPr>
            <w:r w:rsidRPr="00AB3200">
              <w:rPr>
                <w:rFonts w:ascii="標楷體" w:hAnsi="標楷體"/>
                <w:kern w:val="0"/>
                <w:sz w:val="20"/>
              </w:rPr>
              <w:t>2,079</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3F6C" w:rsidRPr="00AB3200" w:rsidRDefault="00203F6C" w:rsidP="00203F6C">
            <w:pPr>
              <w:widowControl/>
              <w:spacing w:line="300" w:lineRule="exact"/>
              <w:jc w:val="right"/>
              <w:rPr>
                <w:rFonts w:ascii="標楷體" w:hAnsi="標楷體"/>
                <w:kern w:val="0"/>
                <w:sz w:val="20"/>
              </w:rPr>
            </w:pPr>
            <w:r w:rsidRPr="00AB3200">
              <w:rPr>
                <w:rFonts w:ascii="標楷體" w:hAnsi="標楷體"/>
                <w:kern w:val="0"/>
                <w:sz w:val="20"/>
              </w:rPr>
              <w:t>1,307</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3F6C" w:rsidRPr="00AB3200" w:rsidRDefault="00203F6C" w:rsidP="00203F6C">
            <w:pPr>
              <w:widowControl/>
              <w:spacing w:line="300" w:lineRule="exact"/>
              <w:jc w:val="right"/>
              <w:rPr>
                <w:rFonts w:ascii="標楷體" w:hAnsi="標楷體"/>
                <w:kern w:val="0"/>
                <w:sz w:val="20"/>
              </w:rPr>
            </w:pPr>
            <w:r w:rsidRPr="00AB3200">
              <w:rPr>
                <w:rFonts w:ascii="標楷體" w:hAnsi="標楷體"/>
                <w:kern w:val="0"/>
                <w:sz w:val="20"/>
              </w:rPr>
              <w:t>62.88</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3F6C" w:rsidRPr="00AB3200" w:rsidRDefault="00203F6C" w:rsidP="00203F6C">
            <w:pPr>
              <w:widowControl/>
              <w:spacing w:line="300" w:lineRule="exact"/>
              <w:jc w:val="right"/>
              <w:rPr>
                <w:rFonts w:ascii="標楷體" w:hAnsi="標楷體"/>
                <w:kern w:val="0"/>
                <w:sz w:val="20"/>
              </w:rPr>
            </w:pPr>
            <w:r w:rsidRPr="00AB3200">
              <w:rPr>
                <w:rFonts w:ascii="標楷體" w:hAnsi="標楷體"/>
                <w:kern w:val="0"/>
                <w:sz w:val="20"/>
              </w:rPr>
              <w:t>27,271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03F6C" w:rsidRPr="00AB3200" w:rsidRDefault="00203F6C" w:rsidP="00203F6C">
            <w:pPr>
              <w:widowControl/>
              <w:spacing w:line="300" w:lineRule="exact"/>
              <w:ind w:rightChars="63" w:right="214"/>
              <w:jc w:val="right"/>
              <w:rPr>
                <w:rFonts w:ascii="標楷體" w:hAnsi="標楷體"/>
                <w:kern w:val="0"/>
                <w:sz w:val="20"/>
              </w:rPr>
            </w:pPr>
            <w:r w:rsidRPr="00AB3200">
              <w:rPr>
                <w:rFonts w:ascii="標楷體" w:hAnsi="標楷體"/>
                <w:kern w:val="0"/>
                <w:sz w:val="20"/>
              </w:rPr>
              <w:t>77.79</w:t>
            </w:r>
          </w:p>
        </w:tc>
      </w:tr>
      <w:tr w:rsidR="00203F6C" w:rsidRPr="00AB3200" w:rsidTr="00203F6C">
        <w:trPr>
          <w:trHeight w:val="63"/>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3F6C" w:rsidRPr="00AB3200" w:rsidRDefault="00203F6C" w:rsidP="00203F6C">
            <w:pPr>
              <w:widowControl/>
              <w:spacing w:line="300" w:lineRule="exact"/>
              <w:ind w:leftChars="-8" w:left="451" w:rightChars="-50" w:right="-170" w:hangingChars="217" w:hanging="478"/>
              <w:rPr>
                <w:rFonts w:ascii="標楷體" w:hAnsi="標楷體"/>
                <w:kern w:val="0"/>
                <w:sz w:val="20"/>
              </w:rPr>
            </w:pPr>
            <w:r w:rsidRPr="00AB3200">
              <w:rPr>
                <w:rFonts w:ascii="標楷體" w:hAnsi="標楷體"/>
                <w:kern w:val="0"/>
                <w:sz w:val="20"/>
              </w:rPr>
              <w:t>101年5</w:t>
            </w:r>
            <w:r w:rsidRPr="00AB3200">
              <w:rPr>
                <w:rFonts w:ascii="標楷體" w:hAnsi="標楷體" w:hint="eastAsia"/>
                <w:kern w:val="0"/>
                <w:sz w:val="20"/>
              </w:rPr>
              <w:t>月</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3F6C" w:rsidRPr="00AB3200" w:rsidRDefault="00203F6C" w:rsidP="00203F6C">
            <w:pPr>
              <w:widowControl/>
              <w:spacing w:line="300" w:lineRule="exact"/>
              <w:jc w:val="right"/>
              <w:rPr>
                <w:rFonts w:ascii="標楷體" w:hAnsi="標楷體"/>
                <w:kern w:val="0"/>
                <w:sz w:val="20"/>
              </w:rPr>
            </w:pPr>
            <w:r w:rsidRPr="00AB3200">
              <w:rPr>
                <w:rFonts w:ascii="標楷體" w:hAnsi="標楷體"/>
                <w:kern w:val="0"/>
                <w:sz w:val="20"/>
              </w:rPr>
              <w:t>8,464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203F6C" w:rsidRPr="00AB3200" w:rsidRDefault="00203F6C" w:rsidP="00203F6C">
            <w:pPr>
              <w:widowControl/>
              <w:spacing w:line="300" w:lineRule="exact"/>
              <w:jc w:val="right"/>
              <w:rPr>
                <w:rFonts w:ascii="標楷體" w:hAnsi="標楷體"/>
                <w:kern w:val="0"/>
                <w:sz w:val="20"/>
              </w:rPr>
            </w:pPr>
            <w:r w:rsidRPr="00AB3200">
              <w:rPr>
                <w:rFonts w:ascii="標楷體" w:hAnsi="標楷體"/>
                <w:kern w:val="0"/>
                <w:sz w:val="20"/>
              </w:rPr>
              <w:t>3,528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03F6C" w:rsidRPr="00AB3200" w:rsidRDefault="00203F6C" w:rsidP="00203F6C">
            <w:pPr>
              <w:widowControl/>
              <w:spacing w:line="300" w:lineRule="exact"/>
              <w:jc w:val="right"/>
              <w:rPr>
                <w:rFonts w:ascii="標楷體" w:hAnsi="標楷體"/>
                <w:kern w:val="0"/>
                <w:sz w:val="20"/>
              </w:rPr>
            </w:pPr>
            <w:r w:rsidRPr="00AB3200">
              <w:rPr>
                <w:rFonts w:ascii="標楷體" w:hAnsi="標楷體"/>
                <w:kern w:val="0"/>
                <w:sz w:val="20"/>
              </w:rPr>
              <w:t>41.68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3F6C" w:rsidRPr="00AB3200" w:rsidRDefault="00203F6C" w:rsidP="00203F6C">
            <w:pPr>
              <w:widowControl/>
              <w:spacing w:line="300" w:lineRule="exact"/>
              <w:jc w:val="right"/>
              <w:rPr>
                <w:rFonts w:ascii="標楷體" w:hAnsi="標楷體"/>
                <w:kern w:val="0"/>
                <w:sz w:val="20"/>
              </w:rPr>
            </w:pPr>
            <w:r w:rsidRPr="00AB3200">
              <w:rPr>
                <w:rFonts w:ascii="標楷體" w:hAnsi="標楷體"/>
                <w:kern w:val="0"/>
                <w:sz w:val="20"/>
              </w:rPr>
              <w:t>35,376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3F6C" w:rsidRPr="00AB3200" w:rsidRDefault="00203F6C" w:rsidP="00203F6C">
            <w:pPr>
              <w:widowControl/>
              <w:spacing w:line="300" w:lineRule="exact"/>
              <w:jc w:val="right"/>
              <w:rPr>
                <w:rFonts w:ascii="標楷體" w:hAnsi="標楷體"/>
                <w:kern w:val="0"/>
                <w:sz w:val="20"/>
              </w:rPr>
            </w:pPr>
            <w:r w:rsidRPr="00AB3200">
              <w:rPr>
                <w:rFonts w:ascii="標楷體" w:hAnsi="標楷體"/>
                <w:kern w:val="0"/>
                <w:sz w:val="20"/>
              </w:rPr>
              <w:t>2,056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3F6C" w:rsidRPr="00AB3200" w:rsidRDefault="00203F6C" w:rsidP="00203F6C">
            <w:pPr>
              <w:widowControl/>
              <w:spacing w:line="300" w:lineRule="exact"/>
              <w:jc w:val="right"/>
              <w:rPr>
                <w:rFonts w:ascii="標楷體" w:hAnsi="標楷體"/>
                <w:kern w:val="0"/>
                <w:sz w:val="20"/>
              </w:rPr>
            </w:pPr>
            <w:r w:rsidRPr="00AB3200">
              <w:rPr>
                <w:rFonts w:ascii="標楷體" w:hAnsi="標楷體"/>
                <w:kern w:val="0"/>
                <w:sz w:val="20"/>
              </w:rPr>
              <w:t>1,265</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3F6C" w:rsidRPr="00AB3200" w:rsidRDefault="00203F6C" w:rsidP="00203F6C">
            <w:pPr>
              <w:widowControl/>
              <w:spacing w:line="300" w:lineRule="exact"/>
              <w:jc w:val="right"/>
              <w:rPr>
                <w:rFonts w:ascii="標楷體" w:hAnsi="標楷體"/>
                <w:kern w:val="0"/>
                <w:sz w:val="20"/>
              </w:rPr>
            </w:pPr>
            <w:r w:rsidRPr="00AB3200">
              <w:rPr>
                <w:rFonts w:ascii="標楷體" w:hAnsi="標楷體"/>
                <w:kern w:val="0"/>
                <w:sz w:val="20"/>
              </w:rPr>
              <w:t>61.53</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3F6C" w:rsidRPr="00AB3200" w:rsidRDefault="00203F6C" w:rsidP="00203F6C">
            <w:pPr>
              <w:widowControl/>
              <w:spacing w:line="300" w:lineRule="exact"/>
              <w:jc w:val="right"/>
              <w:rPr>
                <w:rFonts w:ascii="標楷體" w:hAnsi="標楷體"/>
                <w:kern w:val="0"/>
                <w:sz w:val="20"/>
              </w:rPr>
            </w:pPr>
            <w:r w:rsidRPr="00AB3200">
              <w:rPr>
                <w:rFonts w:ascii="標楷體" w:hAnsi="標楷體"/>
                <w:kern w:val="0"/>
                <w:sz w:val="20"/>
              </w:rPr>
              <w:t>27,690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03F6C" w:rsidRPr="00AB3200" w:rsidRDefault="00203F6C" w:rsidP="00203F6C">
            <w:pPr>
              <w:widowControl/>
              <w:spacing w:line="300" w:lineRule="exact"/>
              <w:ind w:rightChars="63" w:right="214"/>
              <w:jc w:val="right"/>
              <w:rPr>
                <w:rFonts w:ascii="標楷體" w:hAnsi="標楷體"/>
                <w:kern w:val="0"/>
                <w:sz w:val="20"/>
              </w:rPr>
            </w:pPr>
            <w:r w:rsidRPr="00AB3200">
              <w:rPr>
                <w:rFonts w:ascii="標楷體" w:hAnsi="標楷體"/>
                <w:kern w:val="0"/>
                <w:sz w:val="20"/>
              </w:rPr>
              <w:t>78.27</w:t>
            </w:r>
          </w:p>
        </w:tc>
      </w:tr>
      <w:tr w:rsidR="00203F6C" w:rsidRPr="00AB3200" w:rsidTr="00203F6C">
        <w:trPr>
          <w:trHeight w:val="63"/>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3F6C" w:rsidRPr="00AB3200" w:rsidRDefault="00203F6C" w:rsidP="00203F6C">
            <w:pPr>
              <w:widowControl/>
              <w:spacing w:line="300" w:lineRule="exact"/>
              <w:ind w:leftChars="-8" w:left="451" w:rightChars="-50" w:right="-170" w:hangingChars="217" w:hanging="478"/>
              <w:rPr>
                <w:rFonts w:ascii="標楷體" w:hAnsi="標楷體"/>
                <w:kern w:val="0"/>
                <w:sz w:val="20"/>
              </w:rPr>
            </w:pPr>
            <w:r w:rsidRPr="00AB3200">
              <w:rPr>
                <w:rFonts w:ascii="標楷體" w:hAnsi="標楷體"/>
                <w:kern w:val="0"/>
                <w:sz w:val="20"/>
              </w:rPr>
              <w:t>10</w:t>
            </w:r>
            <w:r w:rsidRPr="00AB3200">
              <w:rPr>
                <w:rFonts w:ascii="標楷體" w:hAnsi="標楷體" w:hint="eastAsia"/>
                <w:kern w:val="0"/>
                <w:sz w:val="20"/>
              </w:rPr>
              <w:t>2</w:t>
            </w:r>
            <w:r w:rsidRPr="00AB3200">
              <w:rPr>
                <w:rFonts w:ascii="標楷體" w:hAnsi="標楷體"/>
                <w:kern w:val="0"/>
                <w:sz w:val="20"/>
              </w:rPr>
              <w:t>年5</w:t>
            </w:r>
            <w:r w:rsidRPr="00AB3200">
              <w:rPr>
                <w:rFonts w:ascii="標楷體" w:hAnsi="標楷體" w:hint="eastAsia"/>
                <w:kern w:val="0"/>
                <w:sz w:val="20"/>
              </w:rPr>
              <w:t>月</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3F6C" w:rsidRPr="00AB3200" w:rsidRDefault="00203F6C" w:rsidP="00203F6C">
            <w:pPr>
              <w:spacing w:line="300" w:lineRule="exact"/>
              <w:jc w:val="right"/>
              <w:rPr>
                <w:rFonts w:ascii="標楷體" w:hAnsi="標楷體"/>
                <w:kern w:val="0"/>
                <w:sz w:val="20"/>
              </w:rPr>
            </w:pPr>
            <w:r w:rsidRPr="00AB3200">
              <w:rPr>
                <w:rFonts w:ascii="標楷體" w:hAnsi="標楷體" w:hint="eastAsia"/>
                <w:kern w:val="0"/>
                <w:sz w:val="20"/>
              </w:rPr>
              <w:t>8,582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203F6C" w:rsidRPr="00AB3200" w:rsidRDefault="00203F6C" w:rsidP="00203F6C">
            <w:pPr>
              <w:spacing w:line="300" w:lineRule="exact"/>
              <w:jc w:val="right"/>
              <w:rPr>
                <w:rFonts w:ascii="標楷體" w:hAnsi="標楷體"/>
                <w:kern w:val="0"/>
                <w:sz w:val="20"/>
              </w:rPr>
            </w:pPr>
            <w:r w:rsidRPr="00AB3200">
              <w:rPr>
                <w:rFonts w:ascii="標楷體" w:hAnsi="標楷體" w:hint="eastAsia"/>
                <w:kern w:val="0"/>
                <w:sz w:val="20"/>
              </w:rPr>
              <w:t>3,571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03F6C" w:rsidRPr="00AB3200" w:rsidRDefault="00203F6C" w:rsidP="00203F6C">
            <w:pPr>
              <w:spacing w:line="300" w:lineRule="exact"/>
              <w:jc w:val="right"/>
              <w:rPr>
                <w:rFonts w:ascii="標楷體" w:hAnsi="標楷體"/>
                <w:kern w:val="0"/>
                <w:sz w:val="20"/>
              </w:rPr>
            </w:pPr>
            <w:r w:rsidRPr="00AB3200">
              <w:rPr>
                <w:rFonts w:ascii="標楷體" w:hAnsi="標楷體" w:hint="eastAsia"/>
                <w:kern w:val="0"/>
                <w:sz w:val="20"/>
              </w:rPr>
              <w:t>41.61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3F6C" w:rsidRPr="00AB3200" w:rsidRDefault="00203F6C" w:rsidP="00203F6C">
            <w:pPr>
              <w:spacing w:line="300" w:lineRule="exact"/>
              <w:jc w:val="right"/>
              <w:rPr>
                <w:rFonts w:ascii="標楷體" w:hAnsi="標楷體"/>
                <w:kern w:val="0"/>
                <w:sz w:val="20"/>
              </w:rPr>
            </w:pPr>
            <w:r w:rsidRPr="00AB3200">
              <w:rPr>
                <w:rFonts w:ascii="標楷體" w:hAnsi="標楷體" w:hint="eastAsia"/>
                <w:kern w:val="0"/>
                <w:sz w:val="20"/>
              </w:rPr>
              <w:t>35,559</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3F6C" w:rsidRPr="00AB3200" w:rsidRDefault="00203F6C" w:rsidP="00203F6C">
            <w:pPr>
              <w:spacing w:line="300" w:lineRule="exact"/>
              <w:jc w:val="right"/>
              <w:rPr>
                <w:rFonts w:ascii="標楷體" w:hAnsi="標楷體"/>
                <w:kern w:val="0"/>
                <w:sz w:val="20"/>
              </w:rPr>
            </w:pPr>
            <w:r w:rsidRPr="00AB3200">
              <w:rPr>
                <w:rFonts w:ascii="標楷體" w:hAnsi="標楷體" w:hint="eastAsia"/>
                <w:kern w:val="0"/>
                <w:sz w:val="20"/>
              </w:rPr>
              <w:t>2,013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3F6C" w:rsidRPr="00AB3200" w:rsidRDefault="00203F6C" w:rsidP="00203F6C">
            <w:pPr>
              <w:spacing w:line="300" w:lineRule="exact"/>
              <w:jc w:val="right"/>
              <w:rPr>
                <w:rFonts w:ascii="標楷體" w:hAnsi="標楷體"/>
                <w:kern w:val="0"/>
                <w:sz w:val="20"/>
              </w:rPr>
            </w:pPr>
            <w:r w:rsidRPr="00AB3200">
              <w:rPr>
                <w:rFonts w:ascii="標楷體" w:hAnsi="標楷體" w:hint="eastAsia"/>
                <w:kern w:val="0"/>
                <w:sz w:val="20"/>
              </w:rPr>
              <w:t>1,234</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3F6C" w:rsidRPr="00AB3200" w:rsidRDefault="00203F6C" w:rsidP="00203F6C">
            <w:pPr>
              <w:spacing w:line="300" w:lineRule="exact"/>
              <w:jc w:val="right"/>
              <w:rPr>
                <w:rFonts w:ascii="標楷體" w:hAnsi="標楷體"/>
                <w:kern w:val="0"/>
                <w:sz w:val="20"/>
              </w:rPr>
            </w:pPr>
            <w:r w:rsidRPr="00AB3200">
              <w:rPr>
                <w:rFonts w:ascii="標楷體" w:hAnsi="標楷體" w:hint="eastAsia"/>
                <w:kern w:val="0"/>
                <w:sz w:val="20"/>
              </w:rPr>
              <w:t>61.30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3F6C" w:rsidRPr="00AB3200" w:rsidRDefault="00203F6C" w:rsidP="00203F6C">
            <w:pPr>
              <w:spacing w:line="300" w:lineRule="exact"/>
              <w:jc w:val="right"/>
              <w:rPr>
                <w:rFonts w:ascii="標楷體" w:hAnsi="標楷體"/>
                <w:kern w:val="0"/>
                <w:sz w:val="20"/>
              </w:rPr>
            </w:pPr>
            <w:r w:rsidRPr="00AB3200">
              <w:rPr>
                <w:rFonts w:ascii="標楷體" w:hAnsi="標楷體" w:hint="eastAsia"/>
                <w:kern w:val="0"/>
                <w:sz w:val="20"/>
              </w:rPr>
              <w:t>28,128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03F6C" w:rsidRPr="00AB3200" w:rsidRDefault="00203F6C" w:rsidP="00203F6C">
            <w:pPr>
              <w:spacing w:line="300" w:lineRule="exact"/>
              <w:ind w:rightChars="63" w:right="214"/>
              <w:jc w:val="right"/>
              <w:rPr>
                <w:rFonts w:ascii="標楷體" w:hAnsi="標楷體"/>
                <w:kern w:val="0"/>
                <w:sz w:val="20"/>
              </w:rPr>
            </w:pPr>
            <w:r w:rsidRPr="00AB3200">
              <w:rPr>
                <w:rFonts w:ascii="標楷體" w:hAnsi="標楷體" w:hint="eastAsia"/>
                <w:kern w:val="0"/>
                <w:sz w:val="20"/>
              </w:rPr>
              <w:t>79.10</w:t>
            </w:r>
          </w:p>
        </w:tc>
      </w:tr>
    </w:tbl>
    <w:p w:rsidR="00203F6C" w:rsidRPr="00AB3200" w:rsidRDefault="00203F6C" w:rsidP="00203F6C">
      <w:pPr>
        <w:pStyle w:val="4"/>
        <w:numPr>
          <w:ilvl w:val="0"/>
          <w:numId w:val="0"/>
        </w:numPr>
        <w:spacing w:line="240" w:lineRule="exact"/>
        <w:ind w:firstLineChars="128" w:firstLine="282"/>
        <w:rPr>
          <w:rFonts w:hAnsi="標楷體"/>
        </w:rPr>
      </w:pPr>
      <w:r w:rsidRPr="00AB3200">
        <w:rPr>
          <w:rFonts w:hAnsi="標楷體"/>
          <w:sz w:val="20"/>
        </w:rPr>
        <w:lastRenderedPageBreak/>
        <w:t>資料來源：勞動部102年8月28日</w:t>
      </w:r>
      <w:proofErr w:type="gramStart"/>
      <w:r w:rsidRPr="00AB3200">
        <w:rPr>
          <w:rFonts w:hAnsi="標楷體"/>
          <w:sz w:val="20"/>
        </w:rPr>
        <w:t>勞</w:t>
      </w:r>
      <w:proofErr w:type="gramEnd"/>
      <w:r w:rsidRPr="00AB3200">
        <w:rPr>
          <w:rFonts w:hAnsi="標楷體"/>
          <w:sz w:val="20"/>
        </w:rPr>
        <w:t>綜4字第1020156007號函</w:t>
      </w:r>
      <w:r w:rsidRPr="00AB3200">
        <w:rPr>
          <w:rFonts w:hAnsi="標楷體" w:hint="eastAsia"/>
          <w:sz w:val="20"/>
        </w:rPr>
        <w:t>及主計總處</w:t>
      </w:r>
    </w:p>
    <w:p w:rsidR="00203F6C" w:rsidRPr="00AB3200" w:rsidRDefault="00203F6C" w:rsidP="00203F6C">
      <w:pPr>
        <w:pStyle w:val="4"/>
        <w:ind w:left="1843" w:hanging="709"/>
        <w:rPr>
          <w:rFonts w:hAnsi="標楷體"/>
        </w:rPr>
      </w:pPr>
      <w:r w:rsidRPr="00AB3200">
        <w:rPr>
          <w:rFonts w:hAnsi="標楷體"/>
        </w:rPr>
        <w:t>102年全年工業及服務業受僱員工實質薪資平均為44,739元，不及15年前(87年為44,798元)水準，主要係因102年薪資較87年雖增加15.86%，惟低於同期間消費者物價指數之增幅16.01%，致實質薪資較87年減少0.13%；另實質經常性薪資為36,710元，亦不及14年前 (88年為37,277元) 水準，主因亦為102年經常性薪資雖較88年增加14.06%，惟低於同期間消費者物價指數之增幅15.82%，致實質經常性薪資較88年減少1.52%。</w:t>
      </w:r>
    </w:p>
    <w:p w:rsidR="00203F6C" w:rsidRPr="00AB3200" w:rsidRDefault="00203F6C" w:rsidP="00203F6C">
      <w:pPr>
        <w:pStyle w:val="4"/>
        <w:ind w:left="1700" w:hanging="566"/>
        <w:rPr>
          <w:rFonts w:hAnsi="標楷體"/>
          <w:lang w:val="zh-TW"/>
        </w:rPr>
      </w:pPr>
      <w:r w:rsidRPr="00AB3200">
        <w:rPr>
          <w:rFonts w:hAnsi="標楷體" w:hint="eastAsia"/>
        </w:rPr>
        <w:t>另依我國</w:t>
      </w:r>
      <w:r w:rsidRPr="00AB3200">
        <w:rPr>
          <w:rFonts w:hAnsi="標楷體"/>
        </w:rPr>
        <w:t>工業及服務業</w:t>
      </w:r>
      <w:r w:rsidRPr="00AB3200">
        <w:rPr>
          <w:rFonts w:hAnsi="標楷體" w:hint="eastAsia"/>
        </w:rPr>
        <w:t>平均</w:t>
      </w:r>
      <w:r w:rsidRPr="00AB3200">
        <w:rPr>
          <w:rFonts w:hAnsi="標楷體"/>
        </w:rPr>
        <w:t>實質薪資</w:t>
      </w:r>
      <w:r w:rsidRPr="00AB3200">
        <w:rPr>
          <w:rFonts w:hAnsi="標楷體" w:hint="eastAsia"/>
        </w:rPr>
        <w:t>年</w:t>
      </w:r>
      <w:r w:rsidRPr="00AB3200">
        <w:rPr>
          <w:rFonts w:hAnsi="標楷體"/>
        </w:rPr>
        <w:t>成長率</w:t>
      </w:r>
      <w:r w:rsidRPr="00AB3200">
        <w:rPr>
          <w:rFonts w:hAnsi="標楷體" w:hint="eastAsia"/>
        </w:rPr>
        <w:t>而言，自</w:t>
      </w:r>
      <w:r w:rsidRPr="00AB3200">
        <w:rPr>
          <w:rFonts w:hAnsi="標楷體"/>
        </w:rPr>
        <w:t>79</w:t>
      </w:r>
      <w:r w:rsidRPr="00AB3200">
        <w:rPr>
          <w:rFonts w:hAnsi="標楷體" w:hint="eastAsia"/>
        </w:rPr>
        <w:t>年至</w:t>
      </w:r>
      <w:r w:rsidRPr="00AB3200">
        <w:rPr>
          <w:rFonts w:hAnsi="標楷體"/>
        </w:rPr>
        <w:t>88</w:t>
      </w:r>
      <w:r w:rsidRPr="00AB3200">
        <w:rPr>
          <w:rFonts w:hAnsi="標楷體" w:hint="eastAsia"/>
        </w:rPr>
        <w:t>年平均</w:t>
      </w:r>
      <w:r w:rsidRPr="00AB3200">
        <w:rPr>
          <w:rFonts w:hAnsi="標楷體"/>
        </w:rPr>
        <w:t>實質薪資</w:t>
      </w:r>
      <w:r w:rsidRPr="00AB3200">
        <w:rPr>
          <w:rFonts w:hAnsi="標楷體" w:hint="eastAsia"/>
        </w:rPr>
        <w:t>年</w:t>
      </w:r>
      <w:r w:rsidRPr="00AB3200">
        <w:rPr>
          <w:rFonts w:hAnsi="標楷體"/>
        </w:rPr>
        <w:t>成長率</w:t>
      </w:r>
      <w:r w:rsidRPr="00AB3200">
        <w:rPr>
          <w:rFonts w:hAnsi="標楷體" w:hint="eastAsia"/>
        </w:rPr>
        <w:t>為</w:t>
      </w:r>
      <w:r w:rsidRPr="00AB3200">
        <w:rPr>
          <w:rFonts w:hAnsi="標楷體"/>
        </w:rPr>
        <w:t>3.8</w:t>
      </w:r>
      <w:r w:rsidRPr="00AB3200">
        <w:rPr>
          <w:rFonts w:hAnsi="標楷體" w:hint="eastAsia"/>
        </w:rPr>
        <w:t>%，然自89年後之</w:t>
      </w:r>
      <w:r w:rsidRPr="00AB3200">
        <w:rPr>
          <w:rFonts w:hAnsi="標楷體"/>
        </w:rPr>
        <w:t>13年</w:t>
      </w:r>
      <w:r w:rsidRPr="00AB3200">
        <w:rPr>
          <w:rFonts w:hAnsi="標楷體" w:hint="eastAsia"/>
        </w:rPr>
        <w:t>間</w:t>
      </w:r>
      <w:r w:rsidRPr="00AB3200">
        <w:rPr>
          <w:rFonts w:hAnsi="標楷體"/>
        </w:rPr>
        <w:t>，平均實質薪資</w:t>
      </w:r>
      <w:r w:rsidRPr="00AB3200">
        <w:rPr>
          <w:rFonts w:hAnsi="標楷體" w:hint="eastAsia"/>
        </w:rPr>
        <w:t>年</w:t>
      </w:r>
      <w:r w:rsidRPr="00AB3200">
        <w:rPr>
          <w:rFonts w:hAnsi="標楷體"/>
        </w:rPr>
        <w:t>成長率</w:t>
      </w:r>
      <w:r w:rsidRPr="00AB3200">
        <w:rPr>
          <w:rFonts w:hAnsi="標楷體" w:hint="eastAsia"/>
        </w:rPr>
        <w:t>降</w:t>
      </w:r>
      <w:r w:rsidRPr="00AB3200">
        <w:rPr>
          <w:rFonts w:hAnsi="標楷體"/>
        </w:rPr>
        <w:t>為-0.18%。</w:t>
      </w:r>
    </w:p>
    <w:p w:rsidR="00203F6C" w:rsidRPr="00AB3200" w:rsidRDefault="00203F6C" w:rsidP="00203F6C">
      <w:pPr>
        <w:pStyle w:val="4"/>
        <w:numPr>
          <w:ilvl w:val="0"/>
          <w:numId w:val="0"/>
        </w:numPr>
        <w:spacing w:line="240" w:lineRule="exact"/>
        <w:ind w:left="1701"/>
        <w:jc w:val="right"/>
        <w:rPr>
          <w:rFonts w:hAnsi="標楷體"/>
          <w:sz w:val="20"/>
          <w:szCs w:val="20"/>
          <w:lang w:val="zh-TW"/>
        </w:rPr>
      </w:pPr>
      <w:r w:rsidRPr="00AB3200">
        <w:rPr>
          <w:rFonts w:hAnsi="標楷體" w:hint="eastAsia"/>
          <w:sz w:val="20"/>
          <w:szCs w:val="20"/>
        </w:rPr>
        <w:t>單位:%</w:t>
      </w:r>
    </w:p>
    <w:tbl>
      <w:tblPr>
        <w:tblW w:w="7797" w:type="dxa"/>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1" w:type="dxa"/>
          <w:right w:w="31" w:type="dxa"/>
        </w:tblCellMar>
        <w:tblLook w:val="0000"/>
      </w:tblPr>
      <w:tblGrid>
        <w:gridCol w:w="1418"/>
        <w:gridCol w:w="1984"/>
        <w:gridCol w:w="2268"/>
        <w:gridCol w:w="1134"/>
        <w:gridCol w:w="993"/>
      </w:tblGrid>
      <w:tr w:rsidR="00203F6C" w:rsidRPr="00AB3200" w:rsidTr="00203F6C">
        <w:trPr>
          <w:trHeight w:val="127"/>
          <w:tblHeader/>
        </w:trPr>
        <w:tc>
          <w:tcPr>
            <w:tcW w:w="1418" w:type="dxa"/>
            <w:vMerge w:val="restart"/>
            <w:shd w:val="clear" w:color="auto" w:fill="auto"/>
            <w:vAlign w:val="center"/>
          </w:tcPr>
          <w:p w:rsidR="00203F6C" w:rsidRPr="00AB3200" w:rsidRDefault="00203F6C" w:rsidP="00203F6C">
            <w:pPr>
              <w:jc w:val="center"/>
              <w:rPr>
                <w:rFonts w:ascii="標楷體" w:hAnsi="標楷體"/>
                <w:sz w:val="20"/>
              </w:rPr>
            </w:pPr>
          </w:p>
        </w:tc>
        <w:tc>
          <w:tcPr>
            <w:tcW w:w="1984" w:type="dxa"/>
          </w:tcPr>
          <w:p w:rsidR="00203F6C" w:rsidRPr="00AB3200" w:rsidRDefault="00203F6C" w:rsidP="00203F6C">
            <w:pPr>
              <w:ind w:leftChars="-6" w:left="-2" w:rightChars="-9" w:right="-31" w:hangingChars="8" w:hanging="18"/>
              <w:rPr>
                <w:rFonts w:ascii="標楷體" w:hAnsi="標楷體"/>
                <w:sz w:val="20"/>
              </w:rPr>
            </w:pPr>
            <w:r w:rsidRPr="00AB3200">
              <w:rPr>
                <w:rFonts w:ascii="標楷體" w:hAnsi="標楷體"/>
                <w:sz w:val="20"/>
              </w:rPr>
              <w:t>國內生產毛額GDP</w:t>
            </w:r>
          </w:p>
        </w:tc>
        <w:tc>
          <w:tcPr>
            <w:tcW w:w="2268" w:type="dxa"/>
          </w:tcPr>
          <w:p w:rsidR="00203F6C" w:rsidRPr="00AB3200" w:rsidRDefault="00203F6C" w:rsidP="00203F6C">
            <w:pPr>
              <w:jc w:val="center"/>
              <w:rPr>
                <w:rFonts w:ascii="標楷體" w:hAnsi="標楷體"/>
                <w:sz w:val="20"/>
              </w:rPr>
            </w:pPr>
            <w:r w:rsidRPr="00AB3200">
              <w:rPr>
                <w:rFonts w:ascii="標楷體" w:hAnsi="標楷體"/>
                <w:sz w:val="20"/>
              </w:rPr>
              <w:t>工業及服務業</w:t>
            </w:r>
          </w:p>
        </w:tc>
        <w:tc>
          <w:tcPr>
            <w:tcW w:w="1134" w:type="dxa"/>
            <w:vMerge w:val="restart"/>
          </w:tcPr>
          <w:p w:rsidR="00203F6C" w:rsidRPr="00AB3200" w:rsidRDefault="00203F6C" w:rsidP="00203F6C">
            <w:pPr>
              <w:jc w:val="center"/>
              <w:rPr>
                <w:rFonts w:ascii="標楷體" w:hAnsi="標楷體"/>
                <w:sz w:val="20"/>
              </w:rPr>
            </w:pPr>
            <w:r w:rsidRPr="00AB3200">
              <w:rPr>
                <w:rFonts w:ascii="標楷體" w:hAnsi="標楷體"/>
                <w:sz w:val="20"/>
              </w:rPr>
              <w:t>CPI上漲率</w:t>
            </w:r>
          </w:p>
        </w:tc>
        <w:tc>
          <w:tcPr>
            <w:tcW w:w="993" w:type="dxa"/>
            <w:vMerge w:val="restart"/>
          </w:tcPr>
          <w:p w:rsidR="00203F6C" w:rsidRPr="00AB3200" w:rsidRDefault="00203F6C" w:rsidP="00203F6C">
            <w:pPr>
              <w:jc w:val="center"/>
              <w:rPr>
                <w:rFonts w:ascii="標楷體" w:hAnsi="標楷體"/>
                <w:sz w:val="20"/>
              </w:rPr>
            </w:pPr>
            <w:r w:rsidRPr="00AB3200">
              <w:rPr>
                <w:rFonts w:ascii="標楷體" w:hAnsi="標楷體"/>
                <w:sz w:val="20"/>
              </w:rPr>
              <w:t>失業率</w:t>
            </w:r>
          </w:p>
        </w:tc>
      </w:tr>
      <w:tr w:rsidR="00203F6C" w:rsidRPr="00AB3200" w:rsidTr="00203F6C">
        <w:trPr>
          <w:trHeight w:val="155"/>
          <w:tblHeader/>
        </w:trPr>
        <w:tc>
          <w:tcPr>
            <w:tcW w:w="1418" w:type="dxa"/>
            <w:vMerge/>
            <w:shd w:val="clear" w:color="auto" w:fill="auto"/>
            <w:vAlign w:val="center"/>
          </w:tcPr>
          <w:p w:rsidR="00203F6C" w:rsidRPr="00AB3200" w:rsidRDefault="00203F6C" w:rsidP="00203F6C">
            <w:pPr>
              <w:jc w:val="center"/>
              <w:rPr>
                <w:rFonts w:ascii="標楷體" w:hAnsi="標楷體"/>
                <w:sz w:val="20"/>
              </w:rPr>
            </w:pPr>
          </w:p>
        </w:tc>
        <w:tc>
          <w:tcPr>
            <w:tcW w:w="1984" w:type="dxa"/>
          </w:tcPr>
          <w:p w:rsidR="00203F6C" w:rsidRPr="00AB3200" w:rsidRDefault="00203F6C" w:rsidP="00203F6C">
            <w:pPr>
              <w:jc w:val="center"/>
              <w:rPr>
                <w:rFonts w:ascii="標楷體" w:hAnsi="標楷體"/>
                <w:sz w:val="20"/>
              </w:rPr>
            </w:pPr>
            <w:r w:rsidRPr="00AB3200">
              <w:rPr>
                <w:rFonts w:ascii="標楷體" w:hAnsi="標楷體"/>
                <w:sz w:val="20"/>
              </w:rPr>
              <w:t>實質成長率</w:t>
            </w:r>
          </w:p>
        </w:tc>
        <w:tc>
          <w:tcPr>
            <w:tcW w:w="2268" w:type="dxa"/>
          </w:tcPr>
          <w:p w:rsidR="00203F6C" w:rsidRPr="00AB3200" w:rsidRDefault="00203F6C" w:rsidP="00203F6C">
            <w:pPr>
              <w:jc w:val="center"/>
              <w:rPr>
                <w:rFonts w:ascii="標楷體" w:hAnsi="標楷體"/>
                <w:sz w:val="20"/>
              </w:rPr>
            </w:pPr>
            <w:r w:rsidRPr="00AB3200">
              <w:rPr>
                <w:rFonts w:ascii="標楷體" w:hAnsi="標楷體"/>
                <w:sz w:val="20"/>
              </w:rPr>
              <w:t>實質平均薪資增加率</w:t>
            </w:r>
          </w:p>
        </w:tc>
        <w:tc>
          <w:tcPr>
            <w:tcW w:w="1134" w:type="dxa"/>
            <w:vMerge/>
          </w:tcPr>
          <w:p w:rsidR="00203F6C" w:rsidRPr="00AB3200" w:rsidRDefault="00203F6C" w:rsidP="00203F6C">
            <w:pPr>
              <w:jc w:val="center"/>
              <w:rPr>
                <w:rFonts w:ascii="標楷體" w:hAnsi="標楷體"/>
                <w:sz w:val="20"/>
              </w:rPr>
            </w:pPr>
          </w:p>
        </w:tc>
        <w:tc>
          <w:tcPr>
            <w:tcW w:w="993" w:type="dxa"/>
            <w:vMerge/>
          </w:tcPr>
          <w:p w:rsidR="00203F6C" w:rsidRPr="00AB3200" w:rsidRDefault="00203F6C" w:rsidP="00203F6C">
            <w:pPr>
              <w:jc w:val="center"/>
              <w:rPr>
                <w:rFonts w:ascii="標楷體" w:hAnsi="標楷體"/>
                <w:sz w:val="20"/>
              </w:rPr>
            </w:pPr>
          </w:p>
        </w:tc>
      </w:tr>
      <w:tr w:rsidR="00203F6C" w:rsidRPr="00AB3200" w:rsidTr="00203F6C">
        <w:trPr>
          <w:trHeight w:val="79"/>
        </w:trPr>
        <w:tc>
          <w:tcPr>
            <w:tcW w:w="1418" w:type="dxa"/>
          </w:tcPr>
          <w:p w:rsidR="00203F6C" w:rsidRPr="00AB3200" w:rsidRDefault="00203F6C" w:rsidP="00203F6C">
            <w:pPr>
              <w:jc w:val="center"/>
              <w:rPr>
                <w:rFonts w:ascii="標楷體" w:hAnsi="標楷體"/>
                <w:sz w:val="20"/>
              </w:rPr>
            </w:pPr>
            <w:r w:rsidRPr="00AB3200">
              <w:rPr>
                <w:rFonts w:ascii="標楷體" w:hAnsi="標楷體"/>
                <w:sz w:val="20"/>
              </w:rPr>
              <w:t>85</w:t>
            </w:r>
          </w:p>
        </w:tc>
        <w:tc>
          <w:tcPr>
            <w:tcW w:w="1984" w:type="dxa"/>
            <w:vAlign w:val="center"/>
          </w:tcPr>
          <w:p w:rsidR="00203F6C" w:rsidRPr="00AB3200" w:rsidRDefault="00203F6C" w:rsidP="00203F6C">
            <w:pPr>
              <w:jc w:val="center"/>
              <w:rPr>
                <w:rFonts w:ascii="標楷體" w:hAnsi="標楷體"/>
                <w:sz w:val="20"/>
              </w:rPr>
            </w:pPr>
            <w:r w:rsidRPr="00AB3200">
              <w:rPr>
                <w:rFonts w:ascii="標楷體" w:hAnsi="標楷體"/>
                <w:sz w:val="20"/>
              </w:rPr>
              <w:t>5.54</w:t>
            </w:r>
          </w:p>
        </w:tc>
        <w:tc>
          <w:tcPr>
            <w:tcW w:w="2268" w:type="dxa"/>
            <w:vAlign w:val="center"/>
          </w:tcPr>
          <w:p w:rsidR="00203F6C" w:rsidRPr="00AB3200" w:rsidRDefault="00203F6C" w:rsidP="00203F6C">
            <w:pPr>
              <w:jc w:val="center"/>
              <w:rPr>
                <w:rFonts w:ascii="標楷體" w:hAnsi="標楷體"/>
                <w:sz w:val="20"/>
              </w:rPr>
            </w:pPr>
            <w:r w:rsidRPr="00AB3200">
              <w:rPr>
                <w:rFonts w:ascii="標楷體" w:hAnsi="標楷體"/>
                <w:sz w:val="20"/>
              </w:rPr>
              <w:t>06.0</w:t>
            </w:r>
          </w:p>
        </w:tc>
        <w:tc>
          <w:tcPr>
            <w:tcW w:w="1134" w:type="dxa"/>
            <w:vAlign w:val="center"/>
          </w:tcPr>
          <w:p w:rsidR="00203F6C" w:rsidRPr="00AB3200" w:rsidRDefault="00203F6C" w:rsidP="00203F6C">
            <w:pPr>
              <w:jc w:val="center"/>
              <w:rPr>
                <w:rFonts w:ascii="標楷體" w:hAnsi="標楷體"/>
                <w:sz w:val="20"/>
              </w:rPr>
            </w:pPr>
            <w:r w:rsidRPr="00AB3200">
              <w:rPr>
                <w:rFonts w:ascii="標楷體" w:hAnsi="標楷體"/>
                <w:sz w:val="20"/>
              </w:rPr>
              <w:t>3.08</w:t>
            </w:r>
          </w:p>
        </w:tc>
        <w:tc>
          <w:tcPr>
            <w:tcW w:w="993" w:type="dxa"/>
            <w:vAlign w:val="bottom"/>
          </w:tcPr>
          <w:p w:rsidR="00203F6C" w:rsidRPr="00AB3200" w:rsidRDefault="00203F6C" w:rsidP="00203F6C">
            <w:pPr>
              <w:jc w:val="center"/>
              <w:rPr>
                <w:rFonts w:ascii="標楷體" w:hAnsi="標楷體"/>
                <w:sz w:val="20"/>
              </w:rPr>
            </w:pPr>
            <w:r w:rsidRPr="00AB3200">
              <w:rPr>
                <w:rFonts w:ascii="標楷體" w:hAnsi="標楷體"/>
                <w:sz w:val="20"/>
              </w:rPr>
              <w:t>2.60</w:t>
            </w:r>
          </w:p>
        </w:tc>
      </w:tr>
      <w:tr w:rsidR="00203F6C" w:rsidRPr="00AB3200" w:rsidTr="00203F6C">
        <w:trPr>
          <w:trHeight w:val="135"/>
        </w:trPr>
        <w:tc>
          <w:tcPr>
            <w:tcW w:w="1418" w:type="dxa"/>
          </w:tcPr>
          <w:p w:rsidR="00203F6C" w:rsidRPr="00AB3200" w:rsidRDefault="00203F6C" w:rsidP="00203F6C">
            <w:pPr>
              <w:jc w:val="center"/>
              <w:rPr>
                <w:rFonts w:ascii="標楷體" w:hAnsi="標楷體"/>
                <w:sz w:val="20"/>
              </w:rPr>
            </w:pPr>
            <w:r w:rsidRPr="00AB3200">
              <w:rPr>
                <w:rFonts w:ascii="標楷體" w:hAnsi="標楷體"/>
                <w:sz w:val="20"/>
              </w:rPr>
              <w:t>86</w:t>
            </w:r>
          </w:p>
        </w:tc>
        <w:tc>
          <w:tcPr>
            <w:tcW w:w="1984" w:type="dxa"/>
            <w:vAlign w:val="center"/>
          </w:tcPr>
          <w:p w:rsidR="00203F6C" w:rsidRPr="00AB3200" w:rsidRDefault="00203F6C" w:rsidP="00203F6C">
            <w:pPr>
              <w:jc w:val="center"/>
              <w:rPr>
                <w:rFonts w:ascii="標楷體" w:hAnsi="標楷體"/>
                <w:sz w:val="20"/>
              </w:rPr>
            </w:pPr>
            <w:r w:rsidRPr="00AB3200">
              <w:rPr>
                <w:rFonts w:ascii="標楷體" w:hAnsi="標楷體"/>
                <w:sz w:val="20"/>
              </w:rPr>
              <w:t>5.48</w:t>
            </w:r>
          </w:p>
        </w:tc>
        <w:tc>
          <w:tcPr>
            <w:tcW w:w="2268" w:type="dxa"/>
            <w:vAlign w:val="center"/>
          </w:tcPr>
          <w:p w:rsidR="00203F6C" w:rsidRPr="00AB3200" w:rsidRDefault="00203F6C" w:rsidP="00203F6C">
            <w:pPr>
              <w:jc w:val="center"/>
              <w:rPr>
                <w:rFonts w:ascii="標楷體" w:hAnsi="標楷體"/>
                <w:sz w:val="20"/>
              </w:rPr>
            </w:pPr>
            <w:r w:rsidRPr="00AB3200">
              <w:rPr>
                <w:rFonts w:ascii="標楷體" w:hAnsi="標楷體"/>
                <w:sz w:val="20"/>
              </w:rPr>
              <w:t>3.94</w:t>
            </w:r>
          </w:p>
        </w:tc>
        <w:tc>
          <w:tcPr>
            <w:tcW w:w="1134" w:type="dxa"/>
            <w:vAlign w:val="center"/>
          </w:tcPr>
          <w:p w:rsidR="00203F6C" w:rsidRPr="00AB3200" w:rsidRDefault="00203F6C" w:rsidP="00203F6C">
            <w:pPr>
              <w:jc w:val="center"/>
              <w:rPr>
                <w:rFonts w:ascii="標楷體" w:hAnsi="標楷體"/>
                <w:sz w:val="20"/>
              </w:rPr>
            </w:pPr>
            <w:r w:rsidRPr="00AB3200">
              <w:rPr>
                <w:rFonts w:ascii="標楷體" w:hAnsi="標楷體"/>
                <w:sz w:val="20"/>
              </w:rPr>
              <w:t>0.90</w:t>
            </w:r>
          </w:p>
        </w:tc>
        <w:tc>
          <w:tcPr>
            <w:tcW w:w="993" w:type="dxa"/>
            <w:vAlign w:val="bottom"/>
          </w:tcPr>
          <w:p w:rsidR="00203F6C" w:rsidRPr="00AB3200" w:rsidRDefault="00203F6C" w:rsidP="00203F6C">
            <w:pPr>
              <w:jc w:val="center"/>
              <w:rPr>
                <w:rFonts w:ascii="標楷體" w:hAnsi="標楷體"/>
                <w:sz w:val="20"/>
              </w:rPr>
            </w:pPr>
            <w:r w:rsidRPr="00AB3200">
              <w:rPr>
                <w:rFonts w:ascii="標楷體" w:hAnsi="標楷體"/>
                <w:sz w:val="20"/>
              </w:rPr>
              <w:t>2.72</w:t>
            </w:r>
          </w:p>
        </w:tc>
      </w:tr>
      <w:tr w:rsidR="00203F6C" w:rsidRPr="00AB3200" w:rsidTr="00203F6C">
        <w:trPr>
          <w:trHeight w:val="113"/>
        </w:trPr>
        <w:tc>
          <w:tcPr>
            <w:tcW w:w="1418" w:type="dxa"/>
          </w:tcPr>
          <w:p w:rsidR="00203F6C" w:rsidRPr="00AB3200" w:rsidRDefault="00203F6C" w:rsidP="00203F6C">
            <w:pPr>
              <w:jc w:val="center"/>
              <w:rPr>
                <w:rFonts w:ascii="標楷體" w:hAnsi="標楷體"/>
                <w:sz w:val="20"/>
              </w:rPr>
            </w:pPr>
            <w:r w:rsidRPr="00AB3200">
              <w:rPr>
                <w:rFonts w:ascii="標楷體" w:hAnsi="標楷體"/>
                <w:sz w:val="20"/>
              </w:rPr>
              <w:t>87</w:t>
            </w:r>
          </w:p>
        </w:tc>
        <w:tc>
          <w:tcPr>
            <w:tcW w:w="1984" w:type="dxa"/>
            <w:vAlign w:val="center"/>
          </w:tcPr>
          <w:p w:rsidR="00203F6C" w:rsidRPr="00AB3200" w:rsidRDefault="00203F6C" w:rsidP="00203F6C">
            <w:pPr>
              <w:jc w:val="center"/>
              <w:rPr>
                <w:rFonts w:ascii="標楷體" w:hAnsi="標楷體"/>
                <w:sz w:val="20"/>
              </w:rPr>
            </w:pPr>
            <w:r w:rsidRPr="00AB3200">
              <w:rPr>
                <w:rFonts w:ascii="標楷體" w:hAnsi="標楷體"/>
                <w:sz w:val="20"/>
              </w:rPr>
              <w:t>3.47</w:t>
            </w:r>
          </w:p>
        </w:tc>
        <w:tc>
          <w:tcPr>
            <w:tcW w:w="2268" w:type="dxa"/>
            <w:vAlign w:val="center"/>
          </w:tcPr>
          <w:p w:rsidR="00203F6C" w:rsidRPr="00AB3200" w:rsidRDefault="00203F6C" w:rsidP="00203F6C">
            <w:pPr>
              <w:jc w:val="center"/>
              <w:rPr>
                <w:rFonts w:ascii="標楷體" w:hAnsi="標楷體"/>
                <w:sz w:val="20"/>
              </w:rPr>
            </w:pPr>
            <w:r w:rsidRPr="00AB3200">
              <w:rPr>
                <w:rFonts w:ascii="標楷體" w:hAnsi="標楷體"/>
                <w:sz w:val="20"/>
              </w:rPr>
              <w:t>1.36</w:t>
            </w:r>
          </w:p>
        </w:tc>
        <w:tc>
          <w:tcPr>
            <w:tcW w:w="1134" w:type="dxa"/>
            <w:vAlign w:val="center"/>
          </w:tcPr>
          <w:p w:rsidR="00203F6C" w:rsidRPr="00AB3200" w:rsidRDefault="00203F6C" w:rsidP="00203F6C">
            <w:pPr>
              <w:jc w:val="center"/>
              <w:rPr>
                <w:rFonts w:ascii="標楷體" w:hAnsi="標楷體"/>
                <w:sz w:val="20"/>
              </w:rPr>
            </w:pPr>
            <w:r w:rsidRPr="00AB3200">
              <w:rPr>
                <w:rFonts w:ascii="標楷體" w:hAnsi="標楷體"/>
                <w:sz w:val="20"/>
              </w:rPr>
              <w:t>1.69</w:t>
            </w:r>
          </w:p>
        </w:tc>
        <w:tc>
          <w:tcPr>
            <w:tcW w:w="993" w:type="dxa"/>
            <w:vAlign w:val="bottom"/>
          </w:tcPr>
          <w:p w:rsidR="00203F6C" w:rsidRPr="00AB3200" w:rsidRDefault="00203F6C" w:rsidP="00203F6C">
            <w:pPr>
              <w:jc w:val="center"/>
              <w:rPr>
                <w:rFonts w:ascii="標楷體" w:hAnsi="標楷體"/>
                <w:sz w:val="20"/>
              </w:rPr>
            </w:pPr>
            <w:r w:rsidRPr="00AB3200">
              <w:rPr>
                <w:rFonts w:ascii="標楷體" w:hAnsi="標楷體"/>
                <w:sz w:val="20"/>
              </w:rPr>
              <w:t>2.69</w:t>
            </w:r>
          </w:p>
        </w:tc>
      </w:tr>
      <w:tr w:rsidR="00203F6C" w:rsidRPr="00AB3200" w:rsidTr="00203F6C">
        <w:trPr>
          <w:trHeight w:val="147"/>
        </w:trPr>
        <w:tc>
          <w:tcPr>
            <w:tcW w:w="1418" w:type="dxa"/>
          </w:tcPr>
          <w:p w:rsidR="00203F6C" w:rsidRPr="00AB3200" w:rsidRDefault="00203F6C" w:rsidP="00203F6C">
            <w:pPr>
              <w:jc w:val="center"/>
              <w:rPr>
                <w:rFonts w:ascii="標楷體" w:hAnsi="標楷體"/>
                <w:sz w:val="20"/>
              </w:rPr>
            </w:pPr>
            <w:r w:rsidRPr="00AB3200">
              <w:rPr>
                <w:rFonts w:ascii="標楷體" w:hAnsi="標楷體"/>
                <w:sz w:val="20"/>
              </w:rPr>
              <w:t>88</w:t>
            </w:r>
          </w:p>
        </w:tc>
        <w:tc>
          <w:tcPr>
            <w:tcW w:w="1984" w:type="dxa"/>
            <w:vAlign w:val="center"/>
          </w:tcPr>
          <w:p w:rsidR="00203F6C" w:rsidRPr="00AB3200" w:rsidRDefault="00203F6C" w:rsidP="00203F6C">
            <w:pPr>
              <w:jc w:val="center"/>
              <w:rPr>
                <w:rFonts w:ascii="標楷體" w:hAnsi="標楷體"/>
                <w:sz w:val="20"/>
              </w:rPr>
            </w:pPr>
            <w:r w:rsidRPr="00AB3200">
              <w:rPr>
                <w:rFonts w:ascii="標楷體" w:hAnsi="標楷體"/>
                <w:sz w:val="20"/>
              </w:rPr>
              <w:t>5.97</w:t>
            </w:r>
          </w:p>
        </w:tc>
        <w:tc>
          <w:tcPr>
            <w:tcW w:w="2268" w:type="dxa"/>
            <w:vAlign w:val="center"/>
          </w:tcPr>
          <w:p w:rsidR="00203F6C" w:rsidRPr="00AB3200" w:rsidRDefault="00203F6C" w:rsidP="00203F6C">
            <w:pPr>
              <w:jc w:val="center"/>
              <w:rPr>
                <w:rFonts w:ascii="標楷體" w:hAnsi="標楷體"/>
                <w:sz w:val="20"/>
              </w:rPr>
            </w:pPr>
            <w:r w:rsidRPr="00AB3200">
              <w:rPr>
                <w:rFonts w:ascii="標楷體" w:hAnsi="標楷體"/>
                <w:sz w:val="20"/>
              </w:rPr>
              <w:t>2.77</w:t>
            </w:r>
          </w:p>
        </w:tc>
        <w:tc>
          <w:tcPr>
            <w:tcW w:w="1134" w:type="dxa"/>
            <w:vAlign w:val="center"/>
          </w:tcPr>
          <w:p w:rsidR="00203F6C" w:rsidRPr="00AB3200" w:rsidRDefault="00203F6C" w:rsidP="00203F6C">
            <w:pPr>
              <w:jc w:val="center"/>
              <w:rPr>
                <w:rFonts w:ascii="標楷體" w:hAnsi="標楷體"/>
                <w:sz w:val="20"/>
              </w:rPr>
            </w:pPr>
            <w:r w:rsidRPr="00AB3200">
              <w:rPr>
                <w:rFonts w:ascii="標楷體" w:hAnsi="標楷體"/>
                <w:sz w:val="20"/>
              </w:rPr>
              <w:t>0.17</w:t>
            </w:r>
          </w:p>
        </w:tc>
        <w:tc>
          <w:tcPr>
            <w:tcW w:w="993" w:type="dxa"/>
            <w:vAlign w:val="bottom"/>
          </w:tcPr>
          <w:p w:rsidR="00203F6C" w:rsidRPr="00AB3200" w:rsidRDefault="00203F6C" w:rsidP="00203F6C">
            <w:pPr>
              <w:jc w:val="center"/>
              <w:rPr>
                <w:rFonts w:ascii="標楷體" w:hAnsi="標楷體"/>
                <w:sz w:val="20"/>
              </w:rPr>
            </w:pPr>
            <w:r w:rsidRPr="00AB3200">
              <w:rPr>
                <w:rFonts w:ascii="標楷體" w:hAnsi="標楷體"/>
                <w:sz w:val="20"/>
              </w:rPr>
              <w:t>2.92</w:t>
            </w:r>
          </w:p>
        </w:tc>
      </w:tr>
      <w:tr w:rsidR="00203F6C" w:rsidRPr="00AB3200" w:rsidTr="00203F6C">
        <w:trPr>
          <w:trHeight w:val="113"/>
        </w:trPr>
        <w:tc>
          <w:tcPr>
            <w:tcW w:w="1418" w:type="dxa"/>
          </w:tcPr>
          <w:p w:rsidR="00203F6C" w:rsidRPr="00AB3200" w:rsidRDefault="00203F6C" w:rsidP="00203F6C">
            <w:pPr>
              <w:jc w:val="center"/>
              <w:rPr>
                <w:rFonts w:ascii="標楷體" w:hAnsi="標楷體"/>
                <w:sz w:val="20"/>
              </w:rPr>
            </w:pPr>
            <w:r w:rsidRPr="00AB3200">
              <w:rPr>
                <w:rFonts w:ascii="標楷體" w:hAnsi="標楷體"/>
                <w:sz w:val="20"/>
              </w:rPr>
              <w:t>89</w:t>
            </w:r>
          </w:p>
        </w:tc>
        <w:tc>
          <w:tcPr>
            <w:tcW w:w="1984" w:type="dxa"/>
            <w:vAlign w:val="center"/>
          </w:tcPr>
          <w:p w:rsidR="00203F6C" w:rsidRPr="00AB3200" w:rsidRDefault="00203F6C" w:rsidP="00203F6C">
            <w:pPr>
              <w:jc w:val="center"/>
              <w:rPr>
                <w:rFonts w:ascii="標楷體" w:hAnsi="標楷體"/>
                <w:sz w:val="20"/>
              </w:rPr>
            </w:pPr>
            <w:r w:rsidRPr="00AB3200">
              <w:rPr>
                <w:rFonts w:ascii="標楷體" w:hAnsi="標楷體"/>
                <w:sz w:val="20"/>
              </w:rPr>
              <w:t>5.80</w:t>
            </w:r>
          </w:p>
        </w:tc>
        <w:tc>
          <w:tcPr>
            <w:tcW w:w="2268" w:type="dxa"/>
            <w:vAlign w:val="center"/>
          </w:tcPr>
          <w:p w:rsidR="00203F6C" w:rsidRPr="00AB3200" w:rsidRDefault="00203F6C" w:rsidP="00203F6C">
            <w:pPr>
              <w:jc w:val="center"/>
              <w:rPr>
                <w:rFonts w:ascii="標楷體" w:hAnsi="標楷體"/>
                <w:sz w:val="20"/>
              </w:rPr>
            </w:pPr>
            <w:r w:rsidRPr="00AB3200">
              <w:rPr>
                <w:rFonts w:ascii="標楷體" w:hAnsi="標楷體"/>
                <w:sz w:val="20"/>
              </w:rPr>
              <w:t>1.23</w:t>
            </w:r>
          </w:p>
        </w:tc>
        <w:tc>
          <w:tcPr>
            <w:tcW w:w="1134" w:type="dxa"/>
            <w:vAlign w:val="center"/>
          </w:tcPr>
          <w:p w:rsidR="00203F6C" w:rsidRPr="00AB3200" w:rsidRDefault="00203F6C" w:rsidP="00203F6C">
            <w:pPr>
              <w:jc w:val="center"/>
              <w:rPr>
                <w:rFonts w:ascii="標楷體" w:hAnsi="標楷體"/>
                <w:sz w:val="20"/>
              </w:rPr>
            </w:pPr>
            <w:r w:rsidRPr="00AB3200">
              <w:rPr>
                <w:rFonts w:ascii="標楷體" w:hAnsi="標楷體"/>
                <w:sz w:val="20"/>
              </w:rPr>
              <w:t>1.25</w:t>
            </w:r>
          </w:p>
        </w:tc>
        <w:tc>
          <w:tcPr>
            <w:tcW w:w="993" w:type="dxa"/>
            <w:vAlign w:val="bottom"/>
          </w:tcPr>
          <w:p w:rsidR="00203F6C" w:rsidRPr="00AB3200" w:rsidRDefault="00203F6C" w:rsidP="00203F6C">
            <w:pPr>
              <w:jc w:val="center"/>
              <w:rPr>
                <w:rFonts w:ascii="標楷體" w:hAnsi="標楷體"/>
                <w:sz w:val="20"/>
              </w:rPr>
            </w:pPr>
            <w:r w:rsidRPr="00AB3200">
              <w:rPr>
                <w:rFonts w:ascii="標楷體" w:hAnsi="標楷體"/>
                <w:sz w:val="20"/>
              </w:rPr>
              <w:t>2.99</w:t>
            </w:r>
          </w:p>
        </w:tc>
      </w:tr>
      <w:tr w:rsidR="00203F6C" w:rsidRPr="00AB3200" w:rsidTr="00203F6C">
        <w:trPr>
          <w:trHeight w:val="267"/>
        </w:trPr>
        <w:tc>
          <w:tcPr>
            <w:tcW w:w="1418" w:type="dxa"/>
          </w:tcPr>
          <w:p w:rsidR="00203F6C" w:rsidRPr="00AB3200" w:rsidRDefault="00203F6C" w:rsidP="00203F6C">
            <w:pPr>
              <w:jc w:val="center"/>
              <w:rPr>
                <w:rFonts w:ascii="標楷體" w:hAnsi="標楷體"/>
                <w:sz w:val="20"/>
              </w:rPr>
            </w:pPr>
            <w:r w:rsidRPr="00AB3200">
              <w:rPr>
                <w:rFonts w:ascii="標楷體" w:hAnsi="標楷體"/>
                <w:sz w:val="20"/>
              </w:rPr>
              <w:t>90</w:t>
            </w:r>
          </w:p>
        </w:tc>
        <w:tc>
          <w:tcPr>
            <w:tcW w:w="1984" w:type="dxa"/>
            <w:vAlign w:val="center"/>
          </w:tcPr>
          <w:p w:rsidR="00203F6C" w:rsidRPr="00AB3200" w:rsidRDefault="00203F6C" w:rsidP="00203F6C">
            <w:pPr>
              <w:jc w:val="center"/>
              <w:rPr>
                <w:rFonts w:ascii="標楷體" w:hAnsi="標楷體"/>
                <w:sz w:val="20"/>
              </w:rPr>
            </w:pPr>
            <w:r w:rsidRPr="00AB3200">
              <w:rPr>
                <w:rFonts w:ascii="標楷體" w:hAnsi="標楷體"/>
                <w:sz w:val="20"/>
              </w:rPr>
              <w:t>-1.65</w:t>
            </w:r>
          </w:p>
        </w:tc>
        <w:tc>
          <w:tcPr>
            <w:tcW w:w="2268" w:type="dxa"/>
            <w:vAlign w:val="center"/>
          </w:tcPr>
          <w:p w:rsidR="00203F6C" w:rsidRPr="00AB3200" w:rsidRDefault="00203F6C" w:rsidP="00203F6C">
            <w:pPr>
              <w:jc w:val="center"/>
              <w:rPr>
                <w:rFonts w:ascii="標楷體" w:hAnsi="標楷體"/>
                <w:sz w:val="20"/>
              </w:rPr>
            </w:pPr>
            <w:r w:rsidRPr="00AB3200">
              <w:rPr>
                <w:rFonts w:ascii="標楷體" w:hAnsi="標楷體"/>
                <w:sz w:val="20"/>
              </w:rPr>
              <w:t>0.24</w:t>
            </w:r>
          </w:p>
        </w:tc>
        <w:tc>
          <w:tcPr>
            <w:tcW w:w="1134" w:type="dxa"/>
            <w:vAlign w:val="center"/>
          </w:tcPr>
          <w:p w:rsidR="00203F6C" w:rsidRPr="00AB3200" w:rsidRDefault="00203F6C" w:rsidP="00203F6C">
            <w:pPr>
              <w:jc w:val="center"/>
              <w:rPr>
                <w:rFonts w:ascii="標楷體" w:hAnsi="標楷體"/>
                <w:sz w:val="20"/>
              </w:rPr>
            </w:pPr>
            <w:r w:rsidRPr="00AB3200">
              <w:rPr>
                <w:rFonts w:ascii="標楷體" w:hAnsi="標楷體"/>
                <w:sz w:val="20"/>
              </w:rPr>
              <w:t>0.00</w:t>
            </w:r>
          </w:p>
        </w:tc>
        <w:tc>
          <w:tcPr>
            <w:tcW w:w="993" w:type="dxa"/>
            <w:vAlign w:val="center"/>
          </w:tcPr>
          <w:p w:rsidR="00203F6C" w:rsidRPr="00AB3200" w:rsidRDefault="00203F6C" w:rsidP="00203F6C">
            <w:pPr>
              <w:jc w:val="center"/>
              <w:rPr>
                <w:rFonts w:ascii="標楷體" w:hAnsi="標楷體"/>
                <w:sz w:val="20"/>
              </w:rPr>
            </w:pPr>
            <w:r w:rsidRPr="00AB3200">
              <w:rPr>
                <w:rFonts w:ascii="標楷體" w:hAnsi="標楷體"/>
                <w:sz w:val="20"/>
              </w:rPr>
              <w:t>4.57</w:t>
            </w:r>
          </w:p>
        </w:tc>
      </w:tr>
      <w:tr w:rsidR="00203F6C" w:rsidRPr="00AB3200" w:rsidTr="00203F6C">
        <w:trPr>
          <w:trHeight w:val="267"/>
        </w:trPr>
        <w:tc>
          <w:tcPr>
            <w:tcW w:w="1418" w:type="dxa"/>
          </w:tcPr>
          <w:p w:rsidR="00203F6C" w:rsidRPr="00AB3200" w:rsidRDefault="00203F6C" w:rsidP="00203F6C">
            <w:pPr>
              <w:jc w:val="center"/>
              <w:rPr>
                <w:rFonts w:ascii="標楷體" w:hAnsi="標楷體"/>
                <w:sz w:val="20"/>
              </w:rPr>
            </w:pPr>
            <w:r w:rsidRPr="00AB3200">
              <w:rPr>
                <w:rFonts w:ascii="標楷體" w:hAnsi="標楷體"/>
                <w:sz w:val="20"/>
              </w:rPr>
              <w:t>91</w:t>
            </w:r>
          </w:p>
        </w:tc>
        <w:tc>
          <w:tcPr>
            <w:tcW w:w="1984" w:type="dxa"/>
            <w:vAlign w:val="center"/>
          </w:tcPr>
          <w:p w:rsidR="00203F6C" w:rsidRPr="00AB3200" w:rsidRDefault="00203F6C" w:rsidP="00203F6C">
            <w:pPr>
              <w:jc w:val="center"/>
              <w:rPr>
                <w:rFonts w:ascii="標楷體" w:hAnsi="標楷體"/>
                <w:sz w:val="20"/>
              </w:rPr>
            </w:pPr>
            <w:r w:rsidRPr="00AB3200">
              <w:rPr>
                <w:rFonts w:ascii="標楷體" w:hAnsi="標楷體"/>
                <w:sz w:val="20"/>
              </w:rPr>
              <w:t>5.26</w:t>
            </w:r>
          </w:p>
        </w:tc>
        <w:tc>
          <w:tcPr>
            <w:tcW w:w="2268" w:type="dxa"/>
            <w:vAlign w:val="center"/>
          </w:tcPr>
          <w:p w:rsidR="00203F6C" w:rsidRPr="00AB3200" w:rsidRDefault="00203F6C" w:rsidP="00203F6C">
            <w:pPr>
              <w:jc w:val="center"/>
              <w:rPr>
                <w:rFonts w:ascii="標楷體" w:hAnsi="標楷體"/>
                <w:sz w:val="20"/>
              </w:rPr>
            </w:pPr>
            <w:r w:rsidRPr="00AB3200">
              <w:rPr>
                <w:rFonts w:ascii="標楷體" w:hAnsi="標楷體"/>
                <w:sz w:val="20"/>
              </w:rPr>
              <w:t>-0.82</w:t>
            </w:r>
          </w:p>
        </w:tc>
        <w:tc>
          <w:tcPr>
            <w:tcW w:w="1134" w:type="dxa"/>
            <w:vAlign w:val="center"/>
          </w:tcPr>
          <w:p w:rsidR="00203F6C" w:rsidRPr="00AB3200" w:rsidRDefault="00203F6C" w:rsidP="00203F6C">
            <w:pPr>
              <w:jc w:val="center"/>
              <w:rPr>
                <w:rFonts w:ascii="標楷體" w:hAnsi="標楷體"/>
                <w:sz w:val="20"/>
              </w:rPr>
            </w:pPr>
            <w:r w:rsidRPr="00AB3200">
              <w:rPr>
                <w:rFonts w:ascii="標楷體" w:hAnsi="標楷體"/>
                <w:sz w:val="20"/>
              </w:rPr>
              <w:t>-0.20</w:t>
            </w:r>
          </w:p>
        </w:tc>
        <w:tc>
          <w:tcPr>
            <w:tcW w:w="993" w:type="dxa"/>
            <w:vAlign w:val="center"/>
          </w:tcPr>
          <w:p w:rsidR="00203F6C" w:rsidRPr="00AB3200" w:rsidRDefault="00203F6C" w:rsidP="00203F6C">
            <w:pPr>
              <w:jc w:val="center"/>
              <w:rPr>
                <w:rFonts w:ascii="標楷體" w:hAnsi="標楷體"/>
                <w:sz w:val="20"/>
              </w:rPr>
            </w:pPr>
            <w:r w:rsidRPr="00AB3200">
              <w:rPr>
                <w:rFonts w:ascii="標楷體" w:hAnsi="標楷體"/>
                <w:sz w:val="20"/>
              </w:rPr>
              <w:t>5.17</w:t>
            </w:r>
          </w:p>
        </w:tc>
      </w:tr>
      <w:tr w:rsidR="00203F6C" w:rsidRPr="00AB3200" w:rsidTr="00203F6C">
        <w:trPr>
          <w:trHeight w:val="267"/>
        </w:trPr>
        <w:tc>
          <w:tcPr>
            <w:tcW w:w="1418" w:type="dxa"/>
          </w:tcPr>
          <w:p w:rsidR="00203F6C" w:rsidRPr="00AB3200" w:rsidRDefault="00203F6C" w:rsidP="00203F6C">
            <w:pPr>
              <w:jc w:val="center"/>
              <w:rPr>
                <w:rFonts w:ascii="標楷體" w:hAnsi="標楷體"/>
                <w:sz w:val="20"/>
              </w:rPr>
            </w:pPr>
            <w:r w:rsidRPr="00AB3200">
              <w:rPr>
                <w:rFonts w:ascii="標楷體" w:hAnsi="標楷體"/>
                <w:sz w:val="20"/>
              </w:rPr>
              <w:t>92</w:t>
            </w:r>
          </w:p>
        </w:tc>
        <w:tc>
          <w:tcPr>
            <w:tcW w:w="1984" w:type="dxa"/>
            <w:vAlign w:val="center"/>
          </w:tcPr>
          <w:p w:rsidR="00203F6C" w:rsidRPr="00AB3200" w:rsidRDefault="00203F6C" w:rsidP="00203F6C">
            <w:pPr>
              <w:jc w:val="center"/>
              <w:rPr>
                <w:rFonts w:ascii="標楷體" w:hAnsi="標楷體"/>
                <w:sz w:val="20"/>
              </w:rPr>
            </w:pPr>
            <w:r w:rsidRPr="00AB3200">
              <w:rPr>
                <w:rFonts w:ascii="標楷體" w:hAnsi="標楷體"/>
                <w:sz w:val="20"/>
              </w:rPr>
              <w:t>3.67</w:t>
            </w:r>
          </w:p>
        </w:tc>
        <w:tc>
          <w:tcPr>
            <w:tcW w:w="2268" w:type="dxa"/>
            <w:vAlign w:val="center"/>
          </w:tcPr>
          <w:p w:rsidR="00203F6C" w:rsidRPr="00AB3200" w:rsidRDefault="00203F6C" w:rsidP="00203F6C">
            <w:pPr>
              <w:jc w:val="center"/>
              <w:rPr>
                <w:rFonts w:ascii="標楷體" w:hAnsi="標楷體"/>
                <w:sz w:val="20"/>
              </w:rPr>
            </w:pPr>
            <w:r w:rsidRPr="00AB3200">
              <w:rPr>
                <w:rFonts w:ascii="標楷體" w:hAnsi="標楷體"/>
                <w:sz w:val="20"/>
              </w:rPr>
              <w:t>1.57</w:t>
            </w:r>
          </w:p>
        </w:tc>
        <w:tc>
          <w:tcPr>
            <w:tcW w:w="1134" w:type="dxa"/>
            <w:vAlign w:val="center"/>
          </w:tcPr>
          <w:p w:rsidR="00203F6C" w:rsidRPr="00AB3200" w:rsidRDefault="00203F6C" w:rsidP="00203F6C">
            <w:pPr>
              <w:jc w:val="center"/>
              <w:rPr>
                <w:rFonts w:ascii="標楷體" w:hAnsi="標楷體"/>
                <w:sz w:val="20"/>
              </w:rPr>
            </w:pPr>
            <w:r w:rsidRPr="00AB3200">
              <w:rPr>
                <w:rFonts w:ascii="標楷體" w:hAnsi="標楷體"/>
                <w:sz w:val="20"/>
              </w:rPr>
              <w:t>-0.28</w:t>
            </w:r>
          </w:p>
        </w:tc>
        <w:tc>
          <w:tcPr>
            <w:tcW w:w="993" w:type="dxa"/>
            <w:vAlign w:val="center"/>
          </w:tcPr>
          <w:p w:rsidR="00203F6C" w:rsidRPr="00AB3200" w:rsidRDefault="00203F6C" w:rsidP="00203F6C">
            <w:pPr>
              <w:jc w:val="center"/>
              <w:rPr>
                <w:rFonts w:ascii="標楷體" w:hAnsi="標楷體"/>
                <w:sz w:val="20"/>
              </w:rPr>
            </w:pPr>
            <w:r w:rsidRPr="00AB3200">
              <w:rPr>
                <w:rFonts w:ascii="標楷體" w:hAnsi="標楷體"/>
                <w:sz w:val="20"/>
              </w:rPr>
              <w:t>4.99</w:t>
            </w:r>
          </w:p>
        </w:tc>
      </w:tr>
      <w:tr w:rsidR="00203F6C" w:rsidRPr="00AB3200" w:rsidTr="00203F6C">
        <w:trPr>
          <w:trHeight w:val="267"/>
        </w:trPr>
        <w:tc>
          <w:tcPr>
            <w:tcW w:w="1418" w:type="dxa"/>
          </w:tcPr>
          <w:p w:rsidR="00203F6C" w:rsidRPr="00AB3200" w:rsidRDefault="00203F6C" w:rsidP="00203F6C">
            <w:pPr>
              <w:jc w:val="center"/>
              <w:rPr>
                <w:rFonts w:ascii="標楷體" w:hAnsi="標楷體"/>
                <w:sz w:val="20"/>
              </w:rPr>
            </w:pPr>
            <w:r w:rsidRPr="00AB3200">
              <w:rPr>
                <w:rFonts w:ascii="標楷體" w:hAnsi="標楷體"/>
                <w:sz w:val="20"/>
              </w:rPr>
              <w:t>93</w:t>
            </w:r>
          </w:p>
        </w:tc>
        <w:tc>
          <w:tcPr>
            <w:tcW w:w="1984" w:type="dxa"/>
            <w:vAlign w:val="center"/>
          </w:tcPr>
          <w:p w:rsidR="00203F6C" w:rsidRPr="00AB3200" w:rsidRDefault="00203F6C" w:rsidP="00203F6C">
            <w:pPr>
              <w:jc w:val="center"/>
              <w:rPr>
                <w:rFonts w:ascii="標楷體" w:hAnsi="標楷體"/>
                <w:sz w:val="20"/>
              </w:rPr>
            </w:pPr>
            <w:r w:rsidRPr="00AB3200">
              <w:rPr>
                <w:rFonts w:ascii="標楷體" w:hAnsi="標楷體"/>
                <w:sz w:val="20"/>
              </w:rPr>
              <w:t>6.19</w:t>
            </w:r>
          </w:p>
        </w:tc>
        <w:tc>
          <w:tcPr>
            <w:tcW w:w="2268" w:type="dxa"/>
            <w:vAlign w:val="center"/>
          </w:tcPr>
          <w:p w:rsidR="00203F6C" w:rsidRPr="00AB3200" w:rsidRDefault="00203F6C" w:rsidP="00203F6C">
            <w:pPr>
              <w:jc w:val="center"/>
              <w:rPr>
                <w:rFonts w:ascii="標楷體" w:hAnsi="標楷體"/>
                <w:sz w:val="20"/>
              </w:rPr>
            </w:pPr>
            <w:r w:rsidRPr="00AB3200">
              <w:rPr>
                <w:rFonts w:ascii="標楷體" w:hAnsi="標楷體"/>
                <w:sz w:val="20"/>
              </w:rPr>
              <w:t>-0.14</w:t>
            </w:r>
          </w:p>
        </w:tc>
        <w:tc>
          <w:tcPr>
            <w:tcW w:w="1134" w:type="dxa"/>
            <w:vAlign w:val="center"/>
          </w:tcPr>
          <w:p w:rsidR="00203F6C" w:rsidRPr="00AB3200" w:rsidRDefault="00203F6C" w:rsidP="00203F6C">
            <w:pPr>
              <w:jc w:val="center"/>
              <w:rPr>
                <w:rFonts w:ascii="標楷體" w:hAnsi="標楷體"/>
                <w:sz w:val="20"/>
              </w:rPr>
            </w:pPr>
            <w:r w:rsidRPr="00AB3200">
              <w:rPr>
                <w:rFonts w:ascii="標楷體" w:hAnsi="標楷體"/>
                <w:sz w:val="20"/>
              </w:rPr>
              <w:t>1.61</w:t>
            </w:r>
          </w:p>
        </w:tc>
        <w:tc>
          <w:tcPr>
            <w:tcW w:w="993" w:type="dxa"/>
            <w:vAlign w:val="center"/>
          </w:tcPr>
          <w:p w:rsidR="00203F6C" w:rsidRPr="00AB3200" w:rsidRDefault="00203F6C" w:rsidP="00203F6C">
            <w:pPr>
              <w:jc w:val="center"/>
              <w:rPr>
                <w:rFonts w:ascii="標楷體" w:hAnsi="標楷體"/>
                <w:sz w:val="20"/>
              </w:rPr>
            </w:pPr>
            <w:r w:rsidRPr="00AB3200">
              <w:rPr>
                <w:rFonts w:ascii="標楷體" w:hAnsi="標楷體"/>
                <w:sz w:val="20"/>
              </w:rPr>
              <w:t>4.44</w:t>
            </w:r>
          </w:p>
        </w:tc>
      </w:tr>
      <w:tr w:rsidR="00203F6C" w:rsidRPr="00AB3200" w:rsidTr="00203F6C">
        <w:trPr>
          <w:trHeight w:val="267"/>
        </w:trPr>
        <w:tc>
          <w:tcPr>
            <w:tcW w:w="1418" w:type="dxa"/>
          </w:tcPr>
          <w:p w:rsidR="00203F6C" w:rsidRPr="00AB3200" w:rsidRDefault="00203F6C" w:rsidP="00203F6C">
            <w:pPr>
              <w:jc w:val="center"/>
              <w:rPr>
                <w:rFonts w:ascii="標楷體" w:hAnsi="標楷體"/>
                <w:sz w:val="20"/>
              </w:rPr>
            </w:pPr>
            <w:r w:rsidRPr="00AB3200">
              <w:rPr>
                <w:rFonts w:ascii="標楷體" w:hAnsi="標楷體"/>
                <w:sz w:val="20"/>
              </w:rPr>
              <w:t>94</w:t>
            </w:r>
          </w:p>
        </w:tc>
        <w:tc>
          <w:tcPr>
            <w:tcW w:w="1984" w:type="dxa"/>
            <w:vAlign w:val="center"/>
          </w:tcPr>
          <w:p w:rsidR="00203F6C" w:rsidRPr="00AB3200" w:rsidRDefault="00203F6C" w:rsidP="00203F6C">
            <w:pPr>
              <w:jc w:val="center"/>
              <w:rPr>
                <w:rFonts w:ascii="標楷體" w:hAnsi="標楷體"/>
                <w:sz w:val="20"/>
              </w:rPr>
            </w:pPr>
            <w:r w:rsidRPr="00AB3200">
              <w:rPr>
                <w:rFonts w:ascii="標楷體" w:hAnsi="標楷體"/>
                <w:sz w:val="20"/>
              </w:rPr>
              <w:t>4.70</w:t>
            </w:r>
          </w:p>
        </w:tc>
        <w:tc>
          <w:tcPr>
            <w:tcW w:w="2268" w:type="dxa"/>
            <w:vAlign w:val="center"/>
          </w:tcPr>
          <w:p w:rsidR="00203F6C" w:rsidRPr="00AB3200" w:rsidRDefault="00203F6C" w:rsidP="00203F6C">
            <w:pPr>
              <w:jc w:val="center"/>
              <w:rPr>
                <w:rFonts w:ascii="標楷體" w:hAnsi="標楷體"/>
                <w:sz w:val="20"/>
              </w:rPr>
            </w:pPr>
            <w:r w:rsidRPr="00AB3200">
              <w:rPr>
                <w:rFonts w:ascii="標楷體" w:hAnsi="標楷體"/>
                <w:sz w:val="20"/>
              </w:rPr>
              <w:t>-1.15</w:t>
            </w:r>
          </w:p>
        </w:tc>
        <w:tc>
          <w:tcPr>
            <w:tcW w:w="1134" w:type="dxa"/>
            <w:vAlign w:val="center"/>
          </w:tcPr>
          <w:p w:rsidR="00203F6C" w:rsidRPr="00AB3200" w:rsidRDefault="00203F6C" w:rsidP="00203F6C">
            <w:pPr>
              <w:jc w:val="center"/>
              <w:rPr>
                <w:rFonts w:ascii="標楷體" w:hAnsi="標楷體"/>
                <w:sz w:val="20"/>
              </w:rPr>
            </w:pPr>
            <w:r w:rsidRPr="00AB3200">
              <w:rPr>
                <w:rFonts w:ascii="標楷體" w:hAnsi="標楷體"/>
                <w:sz w:val="20"/>
              </w:rPr>
              <w:t>2.30</w:t>
            </w:r>
          </w:p>
        </w:tc>
        <w:tc>
          <w:tcPr>
            <w:tcW w:w="993" w:type="dxa"/>
            <w:vAlign w:val="center"/>
          </w:tcPr>
          <w:p w:rsidR="00203F6C" w:rsidRPr="00AB3200" w:rsidRDefault="00203F6C" w:rsidP="00203F6C">
            <w:pPr>
              <w:jc w:val="center"/>
              <w:rPr>
                <w:rFonts w:ascii="標楷體" w:hAnsi="標楷體"/>
                <w:sz w:val="20"/>
              </w:rPr>
            </w:pPr>
            <w:r w:rsidRPr="00AB3200">
              <w:rPr>
                <w:rFonts w:ascii="標楷體" w:hAnsi="標楷體"/>
                <w:sz w:val="20"/>
              </w:rPr>
              <w:t>4.13</w:t>
            </w:r>
          </w:p>
        </w:tc>
      </w:tr>
      <w:tr w:rsidR="00203F6C" w:rsidRPr="00AB3200" w:rsidTr="00203F6C">
        <w:trPr>
          <w:trHeight w:val="267"/>
        </w:trPr>
        <w:tc>
          <w:tcPr>
            <w:tcW w:w="1418" w:type="dxa"/>
          </w:tcPr>
          <w:p w:rsidR="00203F6C" w:rsidRPr="00AB3200" w:rsidRDefault="00203F6C" w:rsidP="00203F6C">
            <w:pPr>
              <w:jc w:val="center"/>
              <w:rPr>
                <w:rFonts w:ascii="標楷體" w:hAnsi="標楷體"/>
                <w:sz w:val="20"/>
              </w:rPr>
            </w:pPr>
            <w:r w:rsidRPr="00AB3200">
              <w:rPr>
                <w:rFonts w:ascii="標楷體" w:hAnsi="標楷體"/>
                <w:sz w:val="20"/>
              </w:rPr>
              <w:t>95</w:t>
            </w:r>
          </w:p>
        </w:tc>
        <w:tc>
          <w:tcPr>
            <w:tcW w:w="1984" w:type="dxa"/>
            <w:vAlign w:val="center"/>
          </w:tcPr>
          <w:p w:rsidR="00203F6C" w:rsidRPr="00AB3200" w:rsidRDefault="00203F6C" w:rsidP="00203F6C">
            <w:pPr>
              <w:jc w:val="center"/>
              <w:rPr>
                <w:rFonts w:ascii="標楷體" w:hAnsi="標楷體"/>
                <w:sz w:val="20"/>
              </w:rPr>
            </w:pPr>
            <w:r w:rsidRPr="00AB3200">
              <w:rPr>
                <w:rFonts w:ascii="標楷體" w:hAnsi="標楷體"/>
                <w:sz w:val="20"/>
              </w:rPr>
              <w:t>5.44</w:t>
            </w:r>
          </w:p>
        </w:tc>
        <w:tc>
          <w:tcPr>
            <w:tcW w:w="2268" w:type="dxa"/>
            <w:vAlign w:val="center"/>
          </w:tcPr>
          <w:p w:rsidR="00203F6C" w:rsidRPr="00AB3200" w:rsidRDefault="00203F6C" w:rsidP="00203F6C">
            <w:pPr>
              <w:jc w:val="center"/>
              <w:rPr>
                <w:rFonts w:ascii="標楷體" w:hAnsi="標楷體"/>
                <w:sz w:val="20"/>
              </w:rPr>
            </w:pPr>
            <w:r w:rsidRPr="00AB3200">
              <w:rPr>
                <w:rFonts w:ascii="標楷體" w:hAnsi="標楷體"/>
                <w:sz w:val="20"/>
              </w:rPr>
              <w:t>0.16</w:t>
            </w:r>
          </w:p>
        </w:tc>
        <w:tc>
          <w:tcPr>
            <w:tcW w:w="1134" w:type="dxa"/>
            <w:vAlign w:val="center"/>
          </w:tcPr>
          <w:p w:rsidR="00203F6C" w:rsidRPr="00AB3200" w:rsidRDefault="00203F6C" w:rsidP="00203F6C">
            <w:pPr>
              <w:jc w:val="center"/>
              <w:rPr>
                <w:rFonts w:ascii="標楷體" w:hAnsi="標楷體"/>
                <w:sz w:val="20"/>
              </w:rPr>
            </w:pPr>
            <w:r w:rsidRPr="00AB3200">
              <w:rPr>
                <w:rFonts w:ascii="標楷體" w:hAnsi="標楷體"/>
                <w:sz w:val="20"/>
              </w:rPr>
              <w:t>0.60</w:t>
            </w:r>
          </w:p>
        </w:tc>
        <w:tc>
          <w:tcPr>
            <w:tcW w:w="993" w:type="dxa"/>
            <w:vAlign w:val="center"/>
          </w:tcPr>
          <w:p w:rsidR="00203F6C" w:rsidRPr="00AB3200" w:rsidRDefault="00203F6C" w:rsidP="00203F6C">
            <w:pPr>
              <w:jc w:val="center"/>
              <w:rPr>
                <w:rFonts w:ascii="標楷體" w:hAnsi="標楷體"/>
                <w:sz w:val="20"/>
              </w:rPr>
            </w:pPr>
            <w:r w:rsidRPr="00AB3200">
              <w:rPr>
                <w:rFonts w:ascii="標楷體" w:hAnsi="標楷體"/>
                <w:sz w:val="20"/>
              </w:rPr>
              <w:t>3.91</w:t>
            </w:r>
          </w:p>
        </w:tc>
      </w:tr>
      <w:tr w:rsidR="00203F6C" w:rsidRPr="00AB3200" w:rsidTr="00203F6C">
        <w:trPr>
          <w:trHeight w:val="267"/>
        </w:trPr>
        <w:tc>
          <w:tcPr>
            <w:tcW w:w="1418" w:type="dxa"/>
          </w:tcPr>
          <w:p w:rsidR="00203F6C" w:rsidRPr="00AB3200" w:rsidRDefault="00203F6C" w:rsidP="00203F6C">
            <w:pPr>
              <w:jc w:val="center"/>
              <w:rPr>
                <w:rFonts w:ascii="標楷體" w:hAnsi="標楷體"/>
                <w:sz w:val="20"/>
              </w:rPr>
            </w:pPr>
            <w:r w:rsidRPr="00AB3200">
              <w:rPr>
                <w:rFonts w:ascii="標楷體" w:hAnsi="標楷體"/>
                <w:sz w:val="20"/>
              </w:rPr>
              <w:t>96</w:t>
            </w:r>
          </w:p>
        </w:tc>
        <w:tc>
          <w:tcPr>
            <w:tcW w:w="1984" w:type="dxa"/>
            <w:vAlign w:val="bottom"/>
          </w:tcPr>
          <w:p w:rsidR="00203F6C" w:rsidRPr="00AB3200" w:rsidRDefault="00203F6C" w:rsidP="00203F6C">
            <w:pPr>
              <w:jc w:val="center"/>
              <w:rPr>
                <w:rFonts w:ascii="標楷體" w:hAnsi="標楷體"/>
                <w:sz w:val="20"/>
              </w:rPr>
            </w:pPr>
            <w:r w:rsidRPr="00AB3200">
              <w:rPr>
                <w:rFonts w:ascii="標楷體" w:hAnsi="標楷體"/>
                <w:sz w:val="20"/>
              </w:rPr>
              <w:t>5.98</w:t>
            </w:r>
          </w:p>
        </w:tc>
        <w:tc>
          <w:tcPr>
            <w:tcW w:w="2268" w:type="dxa"/>
            <w:vAlign w:val="center"/>
          </w:tcPr>
          <w:p w:rsidR="00203F6C" w:rsidRPr="00AB3200" w:rsidRDefault="00203F6C" w:rsidP="00203F6C">
            <w:pPr>
              <w:jc w:val="center"/>
              <w:rPr>
                <w:rFonts w:ascii="標楷體" w:hAnsi="標楷體"/>
                <w:sz w:val="20"/>
              </w:rPr>
            </w:pPr>
            <w:r w:rsidRPr="00AB3200">
              <w:rPr>
                <w:rFonts w:ascii="標楷體" w:hAnsi="標楷體"/>
                <w:sz w:val="20"/>
              </w:rPr>
              <w:t>0.31</w:t>
            </w:r>
          </w:p>
        </w:tc>
        <w:tc>
          <w:tcPr>
            <w:tcW w:w="1134" w:type="dxa"/>
            <w:vAlign w:val="center"/>
          </w:tcPr>
          <w:p w:rsidR="00203F6C" w:rsidRPr="00AB3200" w:rsidRDefault="00203F6C" w:rsidP="00203F6C">
            <w:pPr>
              <w:jc w:val="center"/>
              <w:rPr>
                <w:rFonts w:ascii="標楷體" w:hAnsi="標楷體"/>
                <w:sz w:val="20"/>
              </w:rPr>
            </w:pPr>
            <w:r w:rsidRPr="00AB3200">
              <w:rPr>
                <w:rFonts w:ascii="標楷體" w:hAnsi="標楷體"/>
                <w:sz w:val="20"/>
              </w:rPr>
              <w:t>1.80</w:t>
            </w:r>
          </w:p>
        </w:tc>
        <w:tc>
          <w:tcPr>
            <w:tcW w:w="993" w:type="dxa"/>
            <w:vAlign w:val="center"/>
          </w:tcPr>
          <w:p w:rsidR="00203F6C" w:rsidRPr="00AB3200" w:rsidRDefault="00203F6C" w:rsidP="00203F6C">
            <w:pPr>
              <w:jc w:val="center"/>
              <w:rPr>
                <w:rFonts w:ascii="標楷體" w:hAnsi="標楷體"/>
                <w:sz w:val="20"/>
              </w:rPr>
            </w:pPr>
            <w:r w:rsidRPr="00AB3200">
              <w:rPr>
                <w:rFonts w:ascii="標楷體" w:hAnsi="標楷體"/>
                <w:sz w:val="20"/>
              </w:rPr>
              <w:t>3.91</w:t>
            </w:r>
          </w:p>
        </w:tc>
      </w:tr>
      <w:tr w:rsidR="00203F6C" w:rsidRPr="00AB3200" w:rsidTr="00203F6C">
        <w:trPr>
          <w:trHeight w:val="267"/>
        </w:trPr>
        <w:tc>
          <w:tcPr>
            <w:tcW w:w="1418" w:type="dxa"/>
          </w:tcPr>
          <w:p w:rsidR="00203F6C" w:rsidRPr="00AB3200" w:rsidRDefault="00203F6C" w:rsidP="00203F6C">
            <w:pPr>
              <w:jc w:val="center"/>
              <w:rPr>
                <w:rFonts w:ascii="標楷體" w:hAnsi="標楷體"/>
                <w:sz w:val="20"/>
              </w:rPr>
            </w:pPr>
            <w:r w:rsidRPr="00AB3200">
              <w:rPr>
                <w:rFonts w:ascii="標楷體" w:hAnsi="標楷體"/>
                <w:sz w:val="20"/>
              </w:rPr>
              <w:t>97</w:t>
            </w:r>
          </w:p>
        </w:tc>
        <w:tc>
          <w:tcPr>
            <w:tcW w:w="1984" w:type="dxa"/>
            <w:vAlign w:val="center"/>
          </w:tcPr>
          <w:p w:rsidR="00203F6C" w:rsidRPr="00AB3200" w:rsidRDefault="00203F6C" w:rsidP="00203F6C">
            <w:pPr>
              <w:jc w:val="center"/>
              <w:rPr>
                <w:rFonts w:ascii="標楷體" w:hAnsi="標楷體"/>
                <w:sz w:val="20"/>
              </w:rPr>
            </w:pPr>
            <w:r w:rsidRPr="00AB3200">
              <w:rPr>
                <w:rFonts w:ascii="標楷體" w:hAnsi="標楷體"/>
                <w:sz w:val="20"/>
              </w:rPr>
              <w:t>0.73</w:t>
            </w:r>
          </w:p>
        </w:tc>
        <w:tc>
          <w:tcPr>
            <w:tcW w:w="2268" w:type="dxa"/>
            <w:vAlign w:val="center"/>
          </w:tcPr>
          <w:p w:rsidR="00203F6C" w:rsidRPr="00AB3200" w:rsidRDefault="00203F6C" w:rsidP="00203F6C">
            <w:pPr>
              <w:jc w:val="center"/>
              <w:rPr>
                <w:rFonts w:ascii="標楷體" w:hAnsi="標楷體"/>
                <w:sz w:val="20"/>
              </w:rPr>
            </w:pPr>
            <w:r w:rsidRPr="00AB3200">
              <w:rPr>
                <w:rFonts w:ascii="標楷體" w:hAnsi="標楷體"/>
                <w:sz w:val="20"/>
              </w:rPr>
              <w:t>-3.38</w:t>
            </w:r>
          </w:p>
        </w:tc>
        <w:tc>
          <w:tcPr>
            <w:tcW w:w="1134" w:type="dxa"/>
            <w:vAlign w:val="center"/>
          </w:tcPr>
          <w:p w:rsidR="00203F6C" w:rsidRPr="00AB3200" w:rsidRDefault="00203F6C" w:rsidP="00203F6C">
            <w:pPr>
              <w:jc w:val="center"/>
              <w:rPr>
                <w:rFonts w:ascii="標楷體" w:hAnsi="標楷體"/>
                <w:sz w:val="20"/>
              </w:rPr>
            </w:pPr>
            <w:r w:rsidRPr="00AB3200">
              <w:rPr>
                <w:rFonts w:ascii="標楷體" w:hAnsi="標楷體"/>
                <w:sz w:val="20"/>
              </w:rPr>
              <w:t>3.52</w:t>
            </w:r>
          </w:p>
        </w:tc>
        <w:tc>
          <w:tcPr>
            <w:tcW w:w="993" w:type="dxa"/>
            <w:vAlign w:val="center"/>
          </w:tcPr>
          <w:p w:rsidR="00203F6C" w:rsidRPr="00AB3200" w:rsidRDefault="00203F6C" w:rsidP="00203F6C">
            <w:pPr>
              <w:jc w:val="center"/>
              <w:rPr>
                <w:rFonts w:ascii="標楷體" w:hAnsi="標楷體"/>
                <w:sz w:val="20"/>
              </w:rPr>
            </w:pPr>
            <w:r w:rsidRPr="00AB3200">
              <w:rPr>
                <w:rFonts w:ascii="標楷體" w:hAnsi="標楷體"/>
                <w:sz w:val="20"/>
              </w:rPr>
              <w:t>4.14</w:t>
            </w:r>
          </w:p>
        </w:tc>
      </w:tr>
      <w:tr w:rsidR="00203F6C" w:rsidRPr="00AB3200" w:rsidTr="00203F6C">
        <w:trPr>
          <w:trHeight w:val="143"/>
        </w:trPr>
        <w:tc>
          <w:tcPr>
            <w:tcW w:w="1418" w:type="dxa"/>
          </w:tcPr>
          <w:p w:rsidR="00203F6C" w:rsidRPr="00AB3200" w:rsidRDefault="00203F6C" w:rsidP="00203F6C">
            <w:pPr>
              <w:jc w:val="center"/>
              <w:rPr>
                <w:rFonts w:ascii="標楷體" w:hAnsi="標楷體"/>
                <w:sz w:val="20"/>
              </w:rPr>
            </w:pPr>
            <w:r w:rsidRPr="00AB3200">
              <w:rPr>
                <w:rFonts w:ascii="標楷體" w:hAnsi="標楷體"/>
                <w:sz w:val="20"/>
              </w:rPr>
              <w:t>98</w:t>
            </w:r>
          </w:p>
        </w:tc>
        <w:tc>
          <w:tcPr>
            <w:tcW w:w="1984" w:type="dxa"/>
            <w:vAlign w:val="center"/>
          </w:tcPr>
          <w:p w:rsidR="00203F6C" w:rsidRPr="00AB3200" w:rsidRDefault="00203F6C" w:rsidP="00203F6C">
            <w:pPr>
              <w:jc w:val="center"/>
              <w:rPr>
                <w:rFonts w:ascii="標楷體" w:hAnsi="標楷體"/>
                <w:sz w:val="20"/>
              </w:rPr>
            </w:pPr>
            <w:r w:rsidRPr="00AB3200">
              <w:rPr>
                <w:rFonts w:ascii="標楷體" w:hAnsi="標楷體"/>
                <w:sz w:val="20"/>
              </w:rPr>
              <w:t>-1.81</w:t>
            </w:r>
          </w:p>
        </w:tc>
        <w:tc>
          <w:tcPr>
            <w:tcW w:w="2268" w:type="dxa"/>
            <w:vAlign w:val="center"/>
          </w:tcPr>
          <w:p w:rsidR="00203F6C" w:rsidRPr="00AB3200" w:rsidRDefault="00203F6C" w:rsidP="00203F6C">
            <w:pPr>
              <w:jc w:val="center"/>
              <w:rPr>
                <w:rFonts w:ascii="標楷體" w:hAnsi="標楷體"/>
                <w:sz w:val="20"/>
              </w:rPr>
            </w:pPr>
            <w:r w:rsidRPr="00AB3200">
              <w:rPr>
                <w:rFonts w:ascii="標楷體" w:hAnsi="標楷體"/>
                <w:sz w:val="20"/>
              </w:rPr>
              <w:t>-4.01</w:t>
            </w:r>
          </w:p>
        </w:tc>
        <w:tc>
          <w:tcPr>
            <w:tcW w:w="1134" w:type="dxa"/>
            <w:vAlign w:val="center"/>
          </w:tcPr>
          <w:p w:rsidR="00203F6C" w:rsidRPr="00AB3200" w:rsidRDefault="00203F6C" w:rsidP="00203F6C">
            <w:pPr>
              <w:jc w:val="center"/>
              <w:rPr>
                <w:rFonts w:ascii="標楷體" w:hAnsi="標楷體"/>
                <w:sz w:val="20"/>
              </w:rPr>
            </w:pPr>
            <w:r w:rsidRPr="00AB3200">
              <w:rPr>
                <w:rFonts w:ascii="標楷體" w:hAnsi="標楷體"/>
                <w:sz w:val="20"/>
              </w:rPr>
              <w:t>-0.86</w:t>
            </w:r>
          </w:p>
        </w:tc>
        <w:tc>
          <w:tcPr>
            <w:tcW w:w="993" w:type="dxa"/>
            <w:vAlign w:val="center"/>
          </w:tcPr>
          <w:p w:rsidR="00203F6C" w:rsidRPr="00AB3200" w:rsidRDefault="00203F6C" w:rsidP="00203F6C">
            <w:pPr>
              <w:jc w:val="center"/>
              <w:rPr>
                <w:rFonts w:ascii="標楷體" w:hAnsi="標楷體"/>
                <w:sz w:val="20"/>
              </w:rPr>
            </w:pPr>
            <w:r w:rsidRPr="00AB3200">
              <w:rPr>
                <w:rFonts w:ascii="標楷體" w:hAnsi="標楷體"/>
                <w:sz w:val="20"/>
              </w:rPr>
              <w:t>5.85</w:t>
            </w:r>
          </w:p>
        </w:tc>
      </w:tr>
      <w:tr w:rsidR="00203F6C" w:rsidRPr="00AB3200" w:rsidTr="00203F6C">
        <w:trPr>
          <w:trHeight w:val="119"/>
        </w:trPr>
        <w:tc>
          <w:tcPr>
            <w:tcW w:w="1418" w:type="dxa"/>
          </w:tcPr>
          <w:p w:rsidR="00203F6C" w:rsidRPr="00AB3200" w:rsidRDefault="00203F6C" w:rsidP="00203F6C">
            <w:pPr>
              <w:jc w:val="center"/>
              <w:rPr>
                <w:rFonts w:ascii="標楷體" w:hAnsi="標楷體"/>
                <w:sz w:val="20"/>
              </w:rPr>
            </w:pPr>
            <w:r w:rsidRPr="00AB3200">
              <w:rPr>
                <w:rFonts w:ascii="標楷體" w:hAnsi="標楷體"/>
                <w:sz w:val="20"/>
              </w:rPr>
              <w:t>99</w:t>
            </w:r>
          </w:p>
        </w:tc>
        <w:tc>
          <w:tcPr>
            <w:tcW w:w="1984" w:type="dxa"/>
            <w:vAlign w:val="center"/>
          </w:tcPr>
          <w:p w:rsidR="00203F6C" w:rsidRPr="00AB3200" w:rsidRDefault="00203F6C" w:rsidP="00203F6C">
            <w:pPr>
              <w:jc w:val="center"/>
              <w:rPr>
                <w:rFonts w:ascii="標楷體" w:hAnsi="標楷體"/>
                <w:sz w:val="20"/>
              </w:rPr>
            </w:pPr>
            <w:r w:rsidRPr="00AB3200">
              <w:rPr>
                <w:rFonts w:ascii="標楷體" w:hAnsi="標楷體"/>
                <w:sz w:val="20"/>
              </w:rPr>
              <w:t>10.76</w:t>
            </w:r>
          </w:p>
        </w:tc>
        <w:tc>
          <w:tcPr>
            <w:tcW w:w="2268" w:type="dxa"/>
            <w:vAlign w:val="center"/>
          </w:tcPr>
          <w:p w:rsidR="00203F6C" w:rsidRPr="00AB3200" w:rsidRDefault="00203F6C" w:rsidP="00203F6C">
            <w:pPr>
              <w:jc w:val="center"/>
              <w:rPr>
                <w:rFonts w:ascii="標楷體" w:hAnsi="標楷體"/>
                <w:sz w:val="20"/>
              </w:rPr>
            </w:pPr>
            <w:r w:rsidRPr="00AB3200">
              <w:rPr>
                <w:rFonts w:ascii="標楷體" w:hAnsi="標楷體"/>
                <w:sz w:val="20"/>
              </w:rPr>
              <w:t>4.34</w:t>
            </w:r>
          </w:p>
        </w:tc>
        <w:tc>
          <w:tcPr>
            <w:tcW w:w="1134" w:type="dxa"/>
            <w:vAlign w:val="center"/>
          </w:tcPr>
          <w:p w:rsidR="00203F6C" w:rsidRPr="00AB3200" w:rsidRDefault="00203F6C" w:rsidP="00203F6C">
            <w:pPr>
              <w:jc w:val="center"/>
              <w:rPr>
                <w:rFonts w:ascii="標楷體" w:hAnsi="標楷體"/>
                <w:sz w:val="20"/>
              </w:rPr>
            </w:pPr>
            <w:r w:rsidRPr="00AB3200">
              <w:rPr>
                <w:rFonts w:ascii="標楷體" w:hAnsi="標楷體"/>
                <w:sz w:val="20"/>
              </w:rPr>
              <w:t>0.96</w:t>
            </w:r>
          </w:p>
        </w:tc>
        <w:tc>
          <w:tcPr>
            <w:tcW w:w="993" w:type="dxa"/>
            <w:vAlign w:val="center"/>
          </w:tcPr>
          <w:p w:rsidR="00203F6C" w:rsidRPr="00AB3200" w:rsidRDefault="00203F6C" w:rsidP="00203F6C">
            <w:pPr>
              <w:jc w:val="center"/>
              <w:rPr>
                <w:rFonts w:ascii="標楷體" w:hAnsi="標楷體"/>
                <w:sz w:val="20"/>
              </w:rPr>
            </w:pPr>
            <w:r w:rsidRPr="00AB3200">
              <w:rPr>
                <w:rFonts w:ascii="標楷體" w:hAnsi="標楷體"/>
                <w:sz w:val="20"/>
              </w:rPr>
              <w:t>5.21</w:t>
            </w:r>
          </w:p>
        </w:tc>
      </w:tr>
      <w:tr w:rsidR="00203F6C" w:rsidRPr="00AB3200" w:rsidTr="00203F6C">
        <w:trPr>
          <w:trHeight w:val="169"/>
        </w:trPr>
        <w:tc>
          <w:tcPr>
            <w:tcW w:w="1418" w:type="dxa"/>
          </w:tcPr>
          <w:p w:rsidR="00203F6C" w:rsidRPr="00AB3200" w:rsidRDefault="00203F6C" w:rsidP="00203F6C">
            <w:pPr>
              <w:jc w:val="center"/>
              <w:rPr>
                <w:rFonts w:ascii="標楷體" w:hAnsi="標楷體"/>
                <w:sz w:val="20"/>
              </w:rPr>
            </w:pPr>
            <w:r w:rsidRPr="00AB3200">
              <w:rPr>
                <w:rFonts w:ascii="標楷體" w:hAnsi="標楷體"/>
                <w:sz w:val="20"/>
              </w:rPr>
              <w:t>100</w:t>
            </w:r>
          </w:p>
        </w:tc>
        <w:tc>
          <w:tcPr>
            <w:tcW w:w="1984" w:type="dxa"/>
            <w:vAlign w:val="center"/>
          </w:tcPr>
          <w:p w:rsidR="00203F6C" w:rsidRPr="00AB3200" w:rsidRDefault="00203F6C" w:rsidP="00203F6C">
            <w:pPr>
              <w:jc w:val="center"/>
              <w:rPr>
                <w:rFonts w:ascii="標楷體" w:hAnsi="標楷體"/>
                <w:sz w:val="20"/>
              </w:rPr>
            </w:pPr>
            <w:r w:rsidRPr="00AB3200">
              <w:rPr>
                <w:rFonts w:ascii="標楷體" w:hAnsi="標楷體"/>
                <w:sz w:val="20"/>
              </w:rPr>
              <w:t>4.19</w:t>
            </w:r>
          </w:p>
        </w:tc>
        <w:tc>
          <w:tcPr>
            <w:tcW w:w="2268" w:type="dxa"/>
            <w:vAlign w:val="center"/>
          </w:tcPr>
          <w:p w:rsidR="00203F6C" w:rsidRPr="00AB3200" w:rsidRDefault="00203F6C" w:rsidP="00203F6C">
            <w:pPr>
              <w:jc w:val="center"/>
              <w:rPr>
                <w:rFonts w:ascii="標楷體" w:hAnsi="標楷體"/>
                <w:sz w:val="20"/>
              </w:rPr>
            </w:pPr>
            <w:r w:rsidRPr="00AB3200">
              <w:rPr>
                <w:rFonts w:ascii="標楷體" w:hAnsi="標楷體"/>
                <w:sz w:val="20"/>
              </w:rPr>
              <w:t>1.29</w:t>
            </w:r>
          </w:p>
        </w:tc>
        <w:tc>
          <w:tcPr>
            <w:tcW w:w="1134" w:type="dxa"/>
            <w:vAlign w:val="center"/>
          </w:tcPr>
          <w:p w:rsidR="00203F6C" w:rsidRPr="00AB3200" w:rsidRDefault="00203F6C" w:rsidP="00203F6C">
            <w:pPr>
              <w:jc w:val="center"/>
              <w:rPr>
                <w:rFonts w:ascii="標楷體" w:hAnsi="標楷體"/>
                <w:sz w:val="20"/>
              </w:rPr>
            </w:pPr>
            <w:r w:rsidRPr="00AB3200">
              <w:rPr>
                <w:rFonts w:ascii="標楷體" w:hAnsi="標楷體"/>
                <w:sz w:val="20"/>
              </w:rPr>
              <w:t>1.42</w:t>
            </w:r>
          </w:p>
        </w:tc>
        <w:tc>
          <w:tcPr>
            <w:tcW w:w="993" w:type="dxa"/>
            <w:vAlign w:val="center"/>
          </w:tcPr>
          <w:p w:rsidR="00203F6C" w:rsidRPr="00AB3200" w:rsidRDefault="00203F6C" w:rsidP="00203F6C">
            <w:pPr>
              <w:jc w:val="center"/>
              <w:rPr>
                <w:rFonts w:ascii="標楷體" w:hAnsi="標楷體"/>
                <w:sz w:val="20"/>
              </w:rPr>
            </w:pPr>
            <w:r w:rsidRPr="00AB3200">
              <w:rPr>
                <w:rFonts w:ascii="標楷體" w:hAnsi="標楷體"/>
                <w:sz w:val="20"/>
              </w:rPr>
              <w:t>4.39</w:t>
            </w:r>
          </w:p>
        </w:tc>
      </w:tr>
      <w:tr w:rsidR="00203F6C" w:rsidRPr="00AB3200" w:rsidTr="00203F6C">
        <w:trPr>
          <w:trHeight w:val="147"/>
        </w:trPr>
        <w:tc>
          <w:tcPr>
            <w:tcW w:w="1418" w:type="dxa"/>
          </w:tcPr>
          <w:p w:rsidR="00203F6C" w:rsidRPr="00AB3200" w:rsidRDefault="00203F6C" w:rsidP="00203F6C">
            <w:pPr>
              <w:jc w:val="center"/>
              <w:rPr>
                <w:rFonts w:ascii="標楷體" w:hAnsi="標楷體"/>
                <w:sz w:val="20"/>
              </w:rPr>
            </w:pPr>
            <w:r w:rsidRPr="00AB3200">
              <w:rPr>
                <w:rFonts w:ascii="標楷體" w:hAnsi="標楷體"/>
                <w:sz w:val="20"/>
              </w:rPr>
              <w:t>101</w:t>
            </w:r>
          </w:p>
        </w:tc>
        <w:tc>
          <w:tcPr>
            <w:tcW w:w="1984" w:type="dxa"/>
            <w:vAlign w:val="center"/>
          </w:tcPr>
          <w:p w:rsidR="00203F6C" w:rsidRPr="00AB3200" w:rsidRDefault="00203F6C" w:rsidP="00203F6C">
            <w:pPr>
              <w:jc w:val="center"/>
              <w:rPr>
                <w:rFonts w:ascii="標楷體" w:hAnsi="標楷體"/>
                <w:sz w:val="20"/>
              </w:rPr>
            </w:pPr>
            <w:r w:rsidRPr="00AB3200">
              <w:rPr>
                <w:rFonts w:ascii="標楷體" w:hAnsi="標楷體"/>
                <w:sz w:val="20"/>
              </w:rPr>
              <w:t>1.48</w:t>
            </w:r>
          </w:p>
        </w:tc>
        <w:tc>
          <w:tcPr>
            <w:tcW w:w="2268" w:type="dxa"/>
            <w:vAlign w:val="center"/>
          </w:tcPr>
          <w:p w:rsidR="00203F6C" w:rsidRPr="00AB3200" w:rsidRDefault="00203F6C" w:rsidP="00203F6C">
            <w:pPr>
              <w:jc w:val="center"/>
              <w:rPr>
                <w:rFonts w:ascii="標楷體" w:hAnsi="標楷體"/>
                <w:sz w:val="20"/>
              </w:rPr>
            </w:pPr>
            <w:r w:rsidRPr="00AB3200">
              <w:rPr>
                <w:rFonts w:ascii="標楷體" w:hAnsi="標楷體"/>
                <w:sz w:val="20"/>
              </w:rPr>
              <w:t>-1.60</w:t>
            </w:r>
          </w:p>
        </w:tc>
        <w:tc>
          <w:tcPr>
            <w:tcW w:w="1134" w:type="dxa"/>
            <w:vAlign w:val="center"/>
          </w:tcPr>
          <w:p w:rsidR="00203F6C" w:rsidRPr="00AB3200" w:rsidRDefault="00203F6C" w:rsidP="00203F6C">
            <w:pPr>
              <w:jc w:val="center"/>
              <w:rPr>
                <w:rFonts w:ascii="標楷體" w:hAnsi="標楷體"/>
                <w:sz w:val="20"/>
              </w:rPr>
            </w:pPr>
            <w:r w:rsidRPr="00AB3200">
              <w:rPr>
                <w:rFonts w:ascii="標楷體" w:hAnsi="標楷體"/>
                <w:sz w:val="20"/>
              </w:rPr>
              <w:t>1.93</w:t>
            </w:r>
          </w:p>
        </w:tc>
        <w:tc>
          <w:tcPr>
            <w:tcW w:w="993" w:type="dxa"/>
            <w:vAlign w:val="center"/>
          </w:tcPr>
          <w:p w:rsidR="00203F6C" w:rsidRPr="00AB3200" w:rsidRDefault="00203F6C" w:rsidP="00203F6C">
            <w:pPr>
              <w:jc w:val="center"/>
              <w:rPr>
                <w:rFonts w:ascii="標楷體" w:hAnsi="標楷體"/>
                <w:sz w:val="20"/>
              </w:rPr>
            </w:pPr>
            <w:r w:rsidRPr="00AB3200">
              <w:rPr>
                <w:rFonts w:ascii="標楷體" w:hAnsi="標楷體"/>
                <w:sz w:val="20"/>
              </w:rPr>
              <w:t>4.24</w:t>
            </w:r>
          </w:p>
        </w:tc>
      </w:tr>
      <w:tr w:rsidR="00203F6C" w:rsidRPr="00AB3200" w:rsidTr="00203F6C">
        <w:trPr>
          <w:trHeight w:val="101"/>
        </w:trPr>
        <w:tc>
          <w:tcPr>
            <w:tcW w:w="1418" w:type="dxa"/>
          </w:tcPr>
          <w:p w:rsidR="00203F6C" w:rsidRPr="00AB3200" w:rsidRDefault="00203F6C" w:rsidP="00203F6C">
            <w:pPr>
              <w:jc w:val="center"/>
              <w:rPr>
                <w:rFonts w:ascii="標楷體" w:hAnsi="標楷體"/>
                <w:sz w:val="20"/>
              </w:rPr>
            </w:pPr>
            <w:r w:rsidRPr="00AB3200">
              <w:rPr>
                <w:rFonts w:ascii="標楷體" w:hAnsi="標楷體"/>
                <w:sz w:val="20"/>
              </w:rPr>
              <w:t>102</w:t>
            </w:r>
          </w:p>
        </w:tc>
        <w:tc>
          <w:tcPr>
            <w:tcW w:w="1984" w:type="dxa"/>
            <w:vAlign w:val="center"/>
          </w:tcPr>
          <w:p w:rsidR="00203F6C" w:rsidRPr="00AB3200" w:rsidRDefault="00203F6C" w:rsidP="00203F6C">
            <w:pPr>
              <w:jc w:val="center"/>
              <w:rPr>
                <w:rFonts w:ascii="標楷體" w:hAnsi="標楷體"/>
                <w:sz w:val="20"/>
              </w:rPr>
            </w:pPr>
            <w:r w:rsidRPr="00AB3200">
              <w:rPr>
                <w:rFonts w:ascii="標楷體" w:hAnsi="標楷體"/>
                <w:sz w:val="20"/>
              </w:rPr>
              <w:t>2.</w:t>
            </w:r>
            <w:r w:rsidRPr="00AB3200">
              <w:rPr>
                <w:rFonts w:ascii="標楷體" w:hAnsi="標楷體" w:hint="eastAsia"/>
                <w:sz w:val="20"/>
              </w:rPr>
              <w:t>09</w:t>
            </w:r>
          </w:p>
        </w:tc>
        <w:tc>
          <w:tcPr>
            <w:tcW w:w="2268" w:type="dxa"/>
            <w:vAlign w:val="center"/>
          </w:tcPr>
          <w:p w:rsidR="00203F6C" w:rsidRPr="00AB3200" w:rsidRDefault="00203F6C" w:rsidP="00203F6C">
            <w:pPr>
              <w:jc w:val="center"/>
              <w:rPr>
                <w:rFonts w:ascii="標楷體" w:hAnsi="標楷體"/>
                <w:sz w:val="20"/>
              </w:rPr>
            </w:pPr>
            <w:r w:rsidRPr="00AB3200">
              <w:rPr>
                <w:rFonts w:ascii="標楷體" w:hAnsi="標楷體"/>
                <w:sz w:val="20"/>
              </w:rPr>
              <w:t>-0.62</w:t>
            </w:r>
          </w:p>
        </w:tc>
        <w:tc>
          <w:tcPr>
            <w:tcW w:w="1134" w:type="dxa"/>
            <w:vAlign w:val="center"/>
          </w:tcPr>
          <w:p w:rsidR="00203F6C" w:rsidRPr="00AB3200" w:rsidRDefault="00203F6C" w:rsidP="00203F6C">
            <w:pPr>
              <w:jc w:val="center"/>
              <w:rPr>
                <w:rFonts w:ascii="標楷體" w:hAnsi="標楷體"/>
                <w:sz w:val="20"/>
              </w:rPr>
            </w:pPr>
            <w:r w:rsidRPr="00AB3200">
              <w:rPr>
                <w:rFonts w:ascii="標楷體" w:hAnsi="標楷體"/>
                <w:sz w:val="20"/>
              </w:rPr>
              <w:t>0.79</w:t>
            </w:r>
          </w:p>
        </w:tc>
        <w:tc>
          <w:tcPr>
            <w:tcW w:w="993" w:type="dxa"/>
            <w:vAlign w:val="center"/>
          </w:tcPr>
          <w:p w:rsidR="00203F6C" w:rsidRPr="00AB3200" w:rsidRDefault="00203F6C" w:rsidP="00203F6C">
            <w:pPr>
              <w:jc w:val="center"/>
              <w:rPr>
                <w:rFonts w:ascii="標楷體" w:hAnsi="標楷體"/>
                <w:sz w:val="20"/>
              </w:rPr>
            </w:pPr>
            <w:r w:rsidRPr="00AB3200">
              <w:rPr>
                <w:rFonts w:ascii="標楷體" w:hAnsi="標楷體"/>
                <w:sz w:val="20"/>
              </w:rPr>
              <w:t>4.18</w:t>
            </w:r>
          </w:p>
        </w:tc>
      </w:tr>
      <w:tr w:rsidR="00203F6C" w:rsidRPr="00AB3200" w:rsidTr="00203F6C">
        <w:trPr>
          <w:trHeight w:val="267"/>
        </w:trPr>
        <w:tc>
          <w:tcPr>
            <w:tcW w:w="1418" w:type="dxa"/>
          </w:tcPr>
          <w:p w:rsidR="00203F6C" w:rsidRPr="00AB3200" w:rsidRDefault="00203F6C" w:rsidP="00203F6C">
            <w:pPr>
              <w:jc w:val="center"/>
              <w:rPr>
                <w:rFonts w:ascii="標楷體" w:hAnsi="標楷體"/>
                <w:sz w:val="20"/>
              </w:rPr>
            </w:pPr>
            <w:r w:rsidRPr="00AB3200">
              <w:rPr>
                <w:rFonts w:ascii="標楷體" w:hAnsi="標楷體"/>
                <w:sz w:val="20"/>
              </w:rPr>
              <w:t>79-88平均</w:t>
            </w:r>
          </w:p>
        </w:tc>
        <w:tc>
          <w:tcPr>
            <w:tcW w:w="1984" w:type="dxa"/>
            <w:vAlign w:val="center"/>
          </w:tcPr>
          <w:p w:rsidR="00203F6C" w:rsidRPr="00AB3200" w:rsidRDefault="00203F6C" w:rsidP="00203F6C">
            <w:pPr>
              <w:jc w:val="center"/>
              <w:rPr>
                <w:rFonts w:ascii="標楷體" w:hAnsi="標楷體"/>
                <w:sz w:val="20"/>
              </w:rPr>
            </w:pPr>
            <w:r w:rsidRPr="00AB3200">
              <w:rPr>
                <w:rFonts w:ascii="標楷體" w:hAnsi="標楷體"/>
                <w:sz w:val="20"/>
              </w:rPr>
              <w:t>6.3</w:t>
            </w:r>
          </w:p>
        </w:tc>
        <w:tc>
          <w:tcPr>
            <w:tcW w:w="2268" w:type="dxa"/>
            <w:vAlign w:val="center"/>
          </w:tcPr>
          <w:p w:rsidR="00203F6C" w:rsidRPr="00AB3200" w:rsidRDefault="00203F6C" w:rsidP="00203F6C">
            <w:pPr>
              <w:jc w:val="center"/>
              <w:rPr>
                <w:rFonts w:ascii="標楷體" w:hAnsi="標楷體"/>
                <w:sz w:val="20"/>
              </w:rPr>
            </w:pPr>
            <w:r w:rsidRPr="00AB3200">
              <w:rPr>
                <w:rFonts w:ascii="標楷體" w:hAnsi="標楷體"/>
                <w:sz w:val="20"/>
              </w:rPr>
              <w:t>3.8</w:t>
            </w:r>
          </w:p>
        </w:tc>
        <w:tc>
          <w:tcPr>
            <w:tcW w:w="1134" w:type="dxa"/>
            <w:vAlign w:val="center"/>
          </w:tcPr>
          <w:p w:rsidR="00203F6C" w:rsidRPr="00AB3200" w:rsidRDefault="00203F6C" w:rsidP="00203F6C">
            <w:pPr>
              <w:jc w:val="center"/>
              <w:rPr>
                <w:rFonts w:ascii="標楷體" w:hAnsi="標楷體"/>
                <w:sz w:val="20"/>
              </w:rPr>
            </w:pPr>
            <w:r w:rsidRPr="00AB3200">
              <w:rPr>
                <w:rFonts w:ascii="標楷體" w:hAnsi="標楷體"/>
                <w:sz w:val="20"/>
              </w:rPr>
              <w:t>2.87</w:t>
            </w:r>
          </w:p>
        </w:tc>
        <w:tc>
          <w:tcPr>
            <w:tcW w:w="993" w:type="dxa"/>
            <w:vAlign w:val="center"/>
          </w:tcPr>
          <w:p w:rsidR="00203F6C" w:rsidRPr="00AB3200" w:rsidRDefault="00203F6C" w:rsidP="00203F6C">
            <w:pPr>
              <w:jc w:val="center"/>
              <w:rPr>
                <w:rFonts w:ascii="標楷體" w:hAnsi="標楷體"/>
                <w:sz w:val="20"/>
              </w:rPr>
            </w:pPr>
            <w:r w:rsidRPr="00AB3200">
              <w:rPr>
                <w:rFonts w:ascii="標楷體" w:hAnsi="標楷體"/>
                <w:sz w:val="20"/>
              </w:rPr>
              <w:t>2.0</w:t>
            </w:r>
          </w:p>
        </w:tc>
      </w:tr>
      <w:tr w:rsidR="00203F6C" w:rsidRPr="00AB3200" w:rsidTr="00203F6C">
        <w:trPr>
          <w:trHeight w:val="267"/>
        </w:trPr>
        <w:tc>
          <w:tcPr>
            <w:tcW w:w="1418" w:type="dxa"/>
          </w:tcPr>
          <w:p w:rsidR="00203F6C" w:rsidRPr="00AB3200" w:rsidRDefault="00203F6C" w:rsidP="00203F6C">
            <w:pPr>
              <w:jc w:val="center"/>
              <w:rPr>
                <w:rFonts w:ascii="標楷體" w:hAnsi="標楷體"/>
                <w:sz w:val="20"/>
              </w:rPr>
            </w:pPr>
            <w:r w:rsidRPr="00AB3200">
              <w:rPr>
                <w:rFonts w:ascii="標楷體" w:hAnsi="標楷體"/>
                <w:sz w:val="20"/>
              </w:rPr>
              <w:t>89-102平均</w:t>
            </w:r>
          </w:p>
        </w:tc>
        <w:tc>
          <w:tcPr>
            <w:tcW w:w="1984" w:type="dxa"/>
            <w:vAlign w:val="center"/>
          </w:tcPr>
          <w:p w:rsidR="00203F6C" w:rsidRPr="00AB3200" w:rsidRDefault="00203F6C" w:rsidP="00203F6C">
            <w:pPr>
              <w:jc w:val="center"/>
              <w:rPr>
                <w:rFonts w:ascii="標楷體" w:hAnsi="標楷體"/>
                <w:sz w:val="20"/>
              </w:rPr>
            </w:pPr>
            <w:r w:rsidRPr="00AB3200">
              <w:rPr>
                <w:rFonts w:ascii="標楷體" w:hAnsi="標楷體"/>
                <w:sz w:val="20"/>
              </w:rPr>
              <w:t>3.78</w:t>
            </w:r>
          </w:p>
        </w:tc>
        <w:tc>
          <w:tcPr>
            <w:tcW w:w="2268" w:type="dxa"/>
            <w:vAlign w:val="center"/>
          </w:tcPr>
          <w:p w:rsidR="00203F6C" w:rsidRPr="00AB3200" w:rsidRDefault="00203F6C" w:rsidP="00203F6C">
            <w:pPr>
              <w:jc w:val="center"/>
              <w:rPr>
                <w:rFonts w:ascii="標楷體" w:hAnsi="標楷體"/>
                <w:sz w:val="20"/>
              </w:rPr>
            </w:pPr>
            <w:r w:rsidRPr="00AB3200">
              <w:rPr>
                <w:rFonts w:ascii="標楷體" w:hAnsi="標楷體"/>
                <w:sz w:val="20"/>
              </w:rPr>
              <w:t>-0.18</w:t>
            </w:r>
          </w:p>
        </w:tc>
        <w:tc>
          <w:tcPr>
            <w:tcW w:w="1134" w:type="dxa"/>
            <w:vAlign w:val="center"/>
          </w:tcPr>
          <w:p w:rsidR="00203F6C" w:rsidRPr="00AB3200" w:rsidRDefault="00203F6C" w:rsidP="00203F6C">
            <w:pPr>
              <w:jc w:val="center"/>
              <w:rPr>
                <w:rFonts w:ascii="標楷體" w:hAnsi="標楷體"/>
                <w:sz w:val="20"/>
              </w:rPr>
            </w:pPr>
            <w:r w:rsidRPr="00AB3200">
              <w:rPr>
                <w:rFonts w:ascii="標楷體" w:hAnsi="標楷體"/>
                <w:sz w:val="20"/>
              </w:rPr>
              <w:t>1.06</w:t>
            </w:r>
          </w:p>
        </w:tc>
        <w:tc>
          <w:tcPr>
            <w:tcW w:w="993" w:type="dxa"/>
            <w:vAlign w:val="center"/>
          </w:tcPr>
          <w:p w:rsidR="00203F6C" w:rsidRPr="00AB3200" w:rsidRDefault="00203F6C" w:rsidP="00203F6C">
            <w:pPr>
              <w:jc w:val="center"/>
              <w:rPr>
                <w:rFonts w:ascii="標楷體" w:hAnsi="標楷體"/>
                <w:sz w:val="20"/>
              </w:rPr>
            </w:pPr>
            <w:r w:rsidRPr="00AB3200">
              <w:rPr>
                <w:rFonts w:ascii="標楷體" w:hAnsi="標楷體"/>
                <w:sz w:val="20"/>
              </w:rPr>
              <w:t>4.44</w:t>
            </w:r>
          </w:p>
        </w:tc>
      </w:tr>
    </w:tbl>
    <w:p w:rsidR="00203F6C" w:rsidRPr="00AB3200" w:rsidRDefault="00203F6C" w:rsidP="00203F6C">
      <w:pPr>
        <w:pStyle w:val="4"/>
        <w:ind w:left="1843" w:hanging="709"/>
        <w:rPr>
          <w:rFonts w:hAnsi="標楷體"/>
        </w:rPr>
      </w:pPr>
      <w:r w:rsidRPr="00AB3200">
        <w:rPr>
          <w:rFonts w:hAnsi="標楷體"/>
        </w:rPr>
        <w:t>依行政院主計總處「國民所得統計」，我國受</w:t>
      </w:r>
      <w:proofErr w:type="gramStart"/>
      <w:r w:rsidRPr="00AB3200">
        <w:rPr>
          <w:rFonts w:hAnsi="標楷體"/>
        </w:rPr>
        <w:t>僱</w:t>
      </w:r>
      <w:proofErr w:type="gramEnd"/>
      <w:r w:rsidRPr="00AB3200">
        <w:rPr>
          <w:rFonts w:hAnsi="標楷體"/>
        </w:rPr>
        <w:t>人員報酬占GDP之比重，由81年之51.69%降至</w:t>
      </w:r>
      <w:r w:rsidRPr="00AB3200">
        <w:rPr>
          <w:rFonts w:hAnsi="標楷體"/>
        </w:rPr>
        <w:lastRenderedPageBreak/>
        <w:t>101年之46.17%(減少5.52</w:t>
      </w:r>
      <w:r w:rsidRPr="00AB3200">
        <w:rPr>
          <w:rFonts w:hAnsi="標楷體" w:hint="eastAsia"/>
        </w:rPr>
        <w:t>%</w:t>
      </w:r>
      <w:r w:rsidRPr="00AB3200">
        <w:rPr>
          <w:rFonts w:hAnsi="標楷體"/>
        </w:rPr>
        <w:t>)，同期間營業盈餘占GDP比率，則由29.27%上升至32.98%(增加3.71</w:t>
      </w:r>
      <w:r w:rsidRPr="00AB3200">
        <w:rPr>
          <w:rFonts w:hAnsi="標楷體" w:hint="eastAsia"/>
        </w:rPr>
        <w:t>個%</w:t>
      </w:r>
      <w:r w:rsidRPr="00AB3200">
        <w:rPr>
          <w:rFonts w:hAnsi="標楷體"/>
        </w:rPr>
        <w:t>)</w:t>
      </w:r>
      <w:r w:rsidRPr="00AB3200">
        <w:rPr>
          <w:rFonts w:hAnsi="標楷體"/>
          <w:szCs w:val="24"/>
        </w:rPr>
        <w:t>。</w:t>
      </w:r>
    </w:p>
    <w:p w:rsidR="00203F6C" w:rsidRPr="00AB3200" w:rsidRDefault="00203F6C" w:rsidP="00203F6C">
      <w:pPr>
        <w:pStyle w:val="4"/>
        <w:numPr>
          <w:ilvl w:val="0"/>
          <w:numId w:val="0"/>
        </w:numPr>
        <w:ind w:left="1418" w:firstLineChars="208" w:firstLine="708"/>
        <w:rPr>
          <w:rFonts w:hAnsi="標楷體"/>
        </w:rPr>
      </w:pPr>
      <w:r w:rsidRPr="00AB3200">
        <w:rPr>
          <w:rFonts w:hAnsi="標楷體"/>
          <w:szCs w:val="24"/>
        </w:rPr>
        <w:t>由上</w:t>
      </w:r>
      <w:r w:rsidRPr="00AB3200">
        <w:rPr>
          <w:rFonts w:hAnsi="標楷體"/>
        </w:rPr>
        <w:t>顯示，</w:t>
      </w:r>
      <w:r w:rsidRPr="00AB3200">
        <w:rPr>
          <w:rFonts w:hAnsi="標楷體" w:hint="eastAsia"/>
        </w:rPr>
        <w:t>我國除</w:t>
      </w:r>
      <w:r w:rsidRPr="00AB3200">
        <w:rPr>
          <w:rFonts w:hAnsi="標楷體"/>
        </w:rPr>
        <w:t>青年</w:t>
      </w:r>
      <w:r w:rsidRPr="00AB3200">
        <w:rPr>
          <w:rFonts w:hAnsi="標楷體" w:hint="eastAsia"/>
        </w:rPr>
        <w:t>失業嚴重，青年即便就業，亦因整體就業市場員工實質薪資倒退，面臨薪資偏低問題，102年</w:t>
      </w:r>
      <w:r w:rsidRPr="00AB3200">
        <w:rPr>
          <w:rFonts w:hAnsi="標楷體"/>
        </w:rPr>
        <w:t>主要工作收入未達3萬元者高達123餘萬人，</w:t>
      </w:r>
      <w:r w:rsidRPr="00AB3200">
        <w:rPr>
          <w:rFonts w:hAnsi="標楷體" w:hint="eastAsia"/>
        </w:rPr>
        <w:t>占</w:t>
      </w:r>
      <w:r w:rsidRPr="00AB3200">
        <w:rPr>
          <w:rFonts w:hAnsi="標楷體"/>
        </w:rPr>
        <w:t>該等年齡層</w:t>
      </w:r>
      <w:proofErr w:type="gramStart"/>
      <w:r w:rsidRPr="00AB3200">
        <w:rPr>
          <w:rFonts w:hAnsi="標楷體"/>
        </w:rPr>
        <w:t>有酬就</w:t>
      </w:r>
      <w:proofErr w:type="gramEnd"/>
      <w:r w:rsidRPr="00AB3200">
        <w:rPr>
          <w:rFonts w:hAnsi="標楷體"/>
        </w:rPr>
        <w:t>業者201.3萬人之61.3%</w:t>
      </w:r>
      <w:r w:rsidRPr="00AB3200">
        <w:rPr>
          <w:rFonts w:hAnsi="標楷體" w:hint="eastAsia"/>
        </w:rPr>
        <w:t>，對青年連帶產生無力負擔房價、不敢婚育等負面影響。另亦因國內薪資難以大幅成長，甚而引發優秀人才外流，追求較佳之工作待遇，不利我國國家競爭力之提升。</w:t>
      </w:r>
      <w:r w:rsidRPr="00AB3200">
        <w:rPr>
          <w:rFonts w:hAnsi="標楷體"/>
        </w:rPr>
        <w:t>然</w:t>
      </w:r>
      <w:proofErr w:type="gramStart"/>
      <w:r w:rsidRPr="00AB3200">
        <w:rPr>
          <w:rFonts w:hAnsi="標楷體"/>
          <w:szCs w:val="24"/>
        </w:rPr>
        <w:t>近十年來</w:t>
      </w:r>
      <w:proofErr w:type="gramEnd"/>
      <w:r w:rsidRPr="00AB3200">
        <w:rPr>
          <w:rFonts w:hAnsi="標楷體"/>
          <w:szCs w:val="24"/>
        </w:rPr>
        <w:t>，我國GDP成長果實分配到企業主的</w:t>
      </w:r>
      <w:r w:rsidRPr="00AB3200">
        <w:rPr>
          <w:rFonts w:hAnsi="標楷體" w:hint="eastAsia"/>
          <w:szCs w:val="24"/>
        </w:rPr>
        <w:t>「</w:t>
      </w:r>
      <w:r w:rsidRPr="00AB3200">
        <w:rPr>
          <w:rFonts w:hAnsi="標楷體"/>
          <w:szCs w:val="24"/>
        </w:rPr>
        <w:t>營業盈餘</w:t>
      </w:r>
      <w:r w:rsidRPr="00AB3200">
        <w:rPr>
          <w:rFonts w:hAnsi="標楷體" w:hint="eastAsia"/>
          <w:szCs w:val="24"/>
        </w:rPr>
        <w:t>」</w:t>
      </w:r>
      <w:r w:rsidRPr="00AB3200">
        <w:rPr>
          <w:rFonts w:hAnsi="標楷體"/>
          <w:szCs w:val="24"/>
        </w:rPr>
        <w:t>比重提高，分配到勞動者的</w:t>
      </w:r>
      <w:r w:rsidRPr="00AB3200">
        <w:rPr>
          <w:rFonts w:hAnsi="標楷體" w:hint="eastAsia"/>
          <w:szCs w:val="24"/>
        </w:rPr>
        <w:t>「</w:t>
      </w:r>
      <w:r w:rsidRPr="00AB3200">
        <w:rPr>
          <w:rFonts w:hAnsi="標楷體"/>
          <w:szCs w:val="24"/>
        </w:rPr>
        <w:t>受</w:t>
      </w:r>
      <w:proofErr w:type="gramStart"/>
      <w:r w:rsidRPr="00AB3200">
        <w:rPr>
          <w:rFonts w:hAnsi="標楷體"/>
          <w:szCs w:val="24"/>
        </w:rPr>
        <w:t>僱</w:t>
      </w:r>
      <w:proofErr w:type="gramEnd"/>
      <w:r w:rsidRPr="00AB3200">
        <w:rPr>
          <w:rFonts w:hAnsi="標楷體"/>
          <w:szCs w:val="24"/>
        </w:rPr>
        <w:t>人員報酬</w:t>
      </w:r>
      <w:r w:rsidRPr="00AB3200">
        <w:rPr>
          <w:rFonts w:hAnsi="標楷體" w:hint="eastAsia"/>
          <w:szCs w:val="24"/>
        </w:rPr>
        <w:t>」</w:t>
      </w:r>
      <w:r w:rsidRPr="00AB3200">
        <w:rPr>
          <w:rFonts w:hAnsi="標楷體"/>
          <w:szCs w:val="24"/>
        </w:rPr>
        <w:t>逐年下滑，且</w:t>
      </w:r>
      <w:r w:rsidRPr="00AB3200">
        <w:rPr>
          <w:rFonts w:hAnsi="標楷體"/>
        </w:rPr>
        <w:t>實質薪資更呈現下滑情形，行政院允應確實督導所屬，策定方</w:t>
      </w:r>
      <w:r w:rsidRPr="00AB3200">
        <w:rPr>
          <w:rFonts w:hAnsi="標楷體"/>
          <w:szCs w:val="32"/>
        </w:rPr>
        <w:t>案，提高企業為受雇者加薪之誘因</w:t>
      </w:r>
      <w:r w:rsidRPr="00AB3200">
        <w:rPr>
          <w:rFonts w:hAnsi="標楷體"/>
        </w:rPr>
        <w:t>。</w:t>
      </w:r>
    </w:p>
    <w:p w:rsidR="00203F6C" w:rsidRPr="00AB3200" w:rsidRDefault="00203F6C" w:rsidP="00203F6C">
      <w:pPr>
        <w:pStyle w:val="3"/>
        <w:ind w:left="1360" w:hanging="680"/>
        <w:rPr>
          <w:rFonts w:hAnsi="標楷體"/>
          <w:szCs w:val="32"/>
        </w:rPr>
      </w:pPr>
      <w:bookmarkStart w:id="39" w:name="_Toc393464351"/>
      <w:r w:rsidRPr="00AB3200">
        <w:rPr>
          <w:rFonts w:hAnsi="標楷體"/>
          <w:szCs w:val="32"/>
        </w:rPr>
        <w:t>行政院於101年7月4日以院</w:t>
      </w:r>
      <w:proofErr w:type="gramStart"/>
      <w:r w:rsidRPr="00AB3200">
        <w:rPr>
          <w:rFonts w:hAnsi="標楷體"/>
          <w:szCs w:val="32"/>
        </w:rPr>
        <w:t>臺經字</w:t>
      </w:r>
      <w:proofErr w:type="gramEnd"/>
      <w:r w:rsidRPr="00AB3200">
        <w:rPr>
          <w:rFonts w:hAnsi="標楷體"/>
          <w:szCs w:val="32"/>
        </w:rPr>
        <w:t>第1010031641號函核定之「縮短</w:t>
      </w:r>
      <w:proofErr w:type="gramStart"/>
      <w:r w:rsidRPr="00AB3200">
        <w:rPr>
          <w:rFonts w:hAnsi="標楷體"/>
          <w:szCs w:val="32"/>
        </w:rPr>
        <w:t>學訓考</w:t>
      </w:r>
      <w:proofErr w:type="gramEnd"/>
      <w:r w:rsidRPr="00AB3200">
        <w:rPr>
          <w:rFonts w:hAnsi="標楷體"/>
          <w:szCs w:val="32"/>
        </w:rPr>
        <w:t>用落差方案」指出，西元</w:t>
      </w:r>
      <w:proofErr w:type="gramStart"/>
      <w:r w:rsidRPr="00AB3200">
        <w:rPr>
          <w:rFonts w:hAnsi="標楷體"/>
          <w:szCs w:val="32"/>
        </w:rPr>
        <w:t>1990</w:t>
      </w:r>
      <w:proofErr w:type="gramEnd"/>
      <w:r w:rsidRPr="00AB3200">
        <w:rPr>
          <w:rFonts w:hAnsi="標楷體"/>
          <w:szCs w:val="32"/>
        </w:rPr>
        <w:t>年代至今，除了知識經濟之發展外，全球化、數位化潮流更見風起雲湧，我國陸續推動:</w:t>
      </w:r>
      <w:bookmarkEnd w:id="39"/>
    </w:p>
    <w:p w:rsidR="00203F6C" w:rsidRPr="00AB3200" w:rsidRDefault="00203F6C" w:rsidP="00203F6C">
      <w:pPr>
        <w:pStyle w:val="4"/>
        <w:ind w:left="1843" w:hanging="709"/>
        <w:rPr>
          <w:rFonts w:hAnsi="標楷體"/>
        </w:rPr>
      </w:pPr>
      <w:r w:rsidRPr="00AB3200">
        <w:rPr>
          <w:rFonts w:hAnsi="標楷體"/>
        </w:rPr>
        <w:t>傳統產業高附加價值化。</w:t>
      </w:r>
    </w:p>
    <w:p w:rsidR="00203F6C" w:rsidRPr="00AB3200" w:rsidRDefault="00203F6C" w:rsidP="00203F6C">
      <w:pPr>
        <w:pStyle w:val="4"/>
        <w:ind w:left="1843" w:hanging="709"/>
        <w:rPr>
          <w:rFonts w:hAnsi="標楷體"/>
        </w:rPr>
      </w:pPr>
      <w:r w:rsidRPr="00AB3200">
        <w:rPr>
          <w:rFonts w:hAnsi="標楷體"/>
        </w:rPr>
        <w:t>發展六大新興產業(生物技術、精緻農業、醫療照護、觀光旅遊、綠色能源及文化創意)。</w:t>
      </w:r>
    </w:p>
    <w:p w:rsidR="00203F6C" w:rsidRPr="00AB3200" w:rsidRDefault="00203F6C" w:rsidP="00203F6C">
      <w:pPr>
        <w:pStyle w:val="4"/>
        <w:ind w:left="1843" w:hanging="709"/>
        <w:rPr>
          <w:rFonts w:hAnsi="標楷體"/>
        </w:rPr>
      </w:pPr>
      <w:r w:rsidRPr="00AB3200">
        <w:rPr>
          <w:rFonts w:hAnsi="標楷體"/>
        </w:rPr>
        <w:t>發展四項智慧型產業(雲端運算、智慧電動車、發明專利產業化、智慧綠建築)。</w:t>
      </w:r>
    </w:p>
    <w:p w:rsidR="00203F6C" w:rsidRPr="00AB3200" w:rsidRDefault="00203F6C" w:rsidP="00203F6C">
      <w:pPr>
        <w:pStyle w:val="4"/>
        <w:ind w:left="1843" w:hanging="709"/>
        <w:rPr>
          <w:rFonts w:hAnsi="標楷體"/>
        </w:rPr>
      </w:pPr>
      <w:r w:rsidRPr="00AB3200">
        <w:rPr>
          <w:rFonts w:hAnsi="標楷體"/>
        </w:rPr>
        <w:t>發展十大重點服務業(美食國際化、國際醫療、音樂及數位內容、會展產業、國際物流、高科技及創新產業籌資中心、都市更新、WiMax產業、華文電子商務及高等教育輸出)。</w:t>
      </w:r>
    </w:p>
    <w:p w:rsidR="00203F6C" w:rsidRPr="00AB3200" w:rsidRDefault="00203F6C" w:rsidP="00203F6C">
      <w:pPr>
        <w:pStyle w:val="4"/>
        <w:ind w:left="1843" w:hanging="709"/>
        <w:rPr>
          <w:rFonts w:hAnsi="標楷體"/>
        </w:rPr>
      </w:pPr>
      <w:r w:rsidRPr="00AB3200">
        <w:rPr>
          <w:rFonts w:hAnsi="標楷體"/>
        </w:rPr>
        <w:t>另政府為營造有利於企業經營環境，推動許多協助企業提升競爭力、改善投資環境之措施，如：</w:t>
      </w:r>
    </w:p>
    <w:p w:rsidR="00203F6C" w:rsidRPr="00AB3200" w:rsidRDefault="00203F6C" w:rsidP="00203F6C">
      <w:pPr>
        <w:pStyle w:val="5"/>
        <w:ind w:left="2127" w:hanging="709"/>
        <w:rPr>
          <w:rFonts w:hAnsi="標楷體"/>
        </w:rPr>
      </w:pPr>
      <w:r w:rsidRPr="00AB3200">
        <w:rPr>
          <w:rFonts w:hAnsi="標楷體"/>
        </w:rPr>
        <w:lastRenderedPageBreak/>
        <w:t>促進產業升級條例(79年12月29日公布施行，99年5月12日廢止)。</w:t>
      </w:r>
    </w:p>
    <w:p w:rsidR="00203F6C" w:rsidRPr="00AB3200" w:rsidRDefault="00203F6C" w:rsidP="00203F6C">
      <w:pPr>
        <w:pStyle w:val="5"/>
        <w:ind w:left="2127"/>
        <w:rPr>
          <w:rFonts w:hAnsi="標楷體"/>
        </w:rPr>
      </w:pPr>
      <w:r w:rsidRPr="00AB3200">
        <w:rPr>
          <w:rFonts w:hAnsi="標楷體"/>
        </w:rPr>
        <w:t>產業創新條例(99年5月12公布施行)規定，企業投資於特定項目(如：研究發展及人才培訓支出等)可享有不同程度之租稅減免抵減。</w:t>
      </w:r>
    </w:p>
    <w:p w:rsidR="00203F6C" w:rsidRPr="00AB3200" w:rsidRDefault="00203F6C" w:rsidP="00203F6C">
      <w:pPr>
        <w:pStyle w:val="5"/>
        <w:ind w:left="2127"/>
        <w:rPr>
          <w:rFonts w:hAnsi="標楷體"/>
        </w:rPr>
      </w:pPr>
      <w:r w:rsidRPr="00AB3200">
        <w:rPr>
          <w:rFonts w:hAnsi="標楷體"/>
        </w:rPr>
        <w:t>99年5月28日修正所得稅法第5條，營利事業所得稅稅率自99年度起，由25％調降為17％。</w:t>
      </w:r>
    </w:p>
    <w:p w:rsidR="00203F6C" w:rsidRPr="00AB3200" w:rsidRDefault="00203F6C" w:rsidP="00203F6C">
      <w:pPr>
        <w:pStyle w:val="5"/>
        <w:numPr>
          <w:ilvl w:val="0"/>
          <w:numId w:val="0"/>
        </w:numPr>
        <w:ind w:left="1418" w:firstLineChars="199" w:firstLine="677"/>
        <w:rPr>
          <w:rFonts w:hAnsi="標楷體"/>
        </w:rPr>
      </w:pPr>
      <w:r w:rsidRPr="00AB3200">
        <w:rPr>
          <w:rFonts w:hAnsi="標楷體"/>
        </w:rPr>
        <w:t>以上各項措施及後續政府推動之方案，</w:t>
      </w:r>
      <w:proofErr w:type="gramStart"/>
      <w:r w:rsidRPr="00AB3200">
        <w:rPr>
          <w:rFonts w:hAnsi="標楷體"/>
        </w:rPr>
        <w:t>均期能</w:t>
      </w:r>
      <w:proofErr w:type="gramEnd"/>
      <w:r w:rsidRPr="00AB3200">
        <w:rPr>
          <w:rFonts w:hAnsi="標楷體"/>
        </w:rPr>
        <w:t>強化企業競爭力，促使產業升級，以協助企業獲取更多利潤，而政府之相關努力確使</w:t>
      </w:r>
      <w:r w:rsidRPr="00AB3200">
        <w:rPr>
          <w:rFonts w:hAnsi="標楷體"/>
          <w:szCs w:val="24"/>
        </w:rPr>
        <w:t>我國要素成本條件、稅賦條件普遍優於亞太國家，但效益並未反應在投資能量上，故在投資動能與勞動需求不足的情況下，薪資亦難獲</w:t>
      </w:r>
      <w:r w:rsidRPr="00AB3200">
        <w:rPr>
          <w:rFonts w:hAnsi="標楷體" w:hint="eastAsia"/>
          <w:szCs w:val="24"/>
        </w:rPr>
        <w:t>有</w:t>
      </w:r>
      <w:r w:rsidRPr="00AB3200">
        <w:rPr>
          <w:rFonts w:hAnsi="標楷體"/>
          <w:szCs w:val="24"/>
        </w:rPr>
        <w:t>成長的動力，經濟部雖稱未來國內外人才質量、法規體制環境、以及創投條件等與新產業發展</w:t>
      </w:r>
      <w:proofErr w:type="gramStart"/>
      <w:r w:rsidRPr="00AB3200">
        <w:rPr>
          <w:rFonts w:hAnsi="標楷體"/>
          <w:szCs w:val="24"/>
        </w:rPr>
        <w:t>攸</w:t>
      </w:r>
      <w:proofErr w:type="gramEnd"/>
      <w:r w:rsidRPr="00AB3200">
        <w:rPr>
          <w:rFonts w:hAnsi="標楷體"/>
          <w:szCs w:val="24"/>
        </w:rPr>
        <w:t>關的軟實力因素，可能才是未來台灣投資環境優化的重要方向，惟政府所提供各項強化企業競爭力措施，</w:t>
      </w:r>
      <w:proofErr w:type="gramStart"/>
      <w:r w:rsidRPr="00AB3200">
        <w:rPr>
          <w:rFonts w:hAnsi="標楷體"/>
          <w:szCs w:val="24"/>
        </w:rPr>
        <w:t>並</w:t>
      </w:r>
      <w:r w:rsidRPr="00AB3200">
        <w:rPr>
          <w:rFonts w:hAnsi="標楷體"/>
        </w:rPr>
        <w:t>非均能積極</w:t>
      </w:r>
      <w:proofErr w:type="gramEnd"/>
      <w:r w:rsidRPr="00AB3200">
        <w:rPr>
          <w:rFonts w:hAnsi="標楷體"/>
        </w:rPr>
        <w:t>帶動受</w:t>
      </w:r>
      <w:proofErr w:type="gramStart"/>
      <w:r w:rsidRPr="00AB3200">
        <w:rPr>
          <w:rFonts w:hAnsi="標楷體"/>
        </w:rPr>
        <w:t>僱</w:t>
      </w:r>
      <w:proofErr w:type="gramEnd"/>
      <w:r w:rsidRPr="00AB3200">
        <w:rPr>
          <w:rFonts w:hAnsi="標楷體"/>
        </w:rPr>
        <w:t>者薪資成長，卻</w:t>
      </w:r>
      <w:r w:rsidRPr="00AB3200">
        <w:rPr>
          <w:rFonts w:hAnsi="標楷體"/>
          <w:szCs w:val="24"/>
        </w:rPr>
        <w:t>僅提升企業主之利潤，</w:t>
      </w:r>
      <w:r w:rsidRPr="00AB3200">
        <w:rPr>
          <w:rFonts w:hAnsi="標楷體"/>
        </w:rPr>
        <w:t>行政院允應</w:t>
      </w:r>
      <w:proofErr w:type="gramStart"/>
      <w:r w:rsidRPr="00AB3200">
        <w:rPr>
          <w:rFonts w:hAnsi="標楷體"/>
        </w:rPr>
        <w:t>研</w:t>
      </w:r>
      <w:proofErr w:type="gramEnd"/>
      <w:r w:rsidRPr="00AB3200">
        <w:rPr>
          <w:rFonts w:hAnsi="標楷體"/>
        </w:rPr>
        <w:t>議，於提出各項強化產業競爭力方案時，評估是否應納入加薪及增聘員工機制，</w:t>
      </w:r>
      <w:r w:rsidRPr="00AB3200">
        <w:rPr>
          <w:rFonts w:hAnsi="標楷體" w:hint="eastAsia"/>
        </w:rPr>
        <w:t>以</w:t>
      </w:r>
      <w:r w:rsidRPr="00AB3200">
        <w:rPr>
          <w:rFonts w:hAnsi="標楷體"/>
        </w:rPr>
        <w:t>期勞方可分享部分因政府強化企業競爭力所產生之企業經營成果。</w:t>
      </w:r>
    </w:p>
    <w:p w:rsidR="00203F6C" w:rsidRPr="00AB3200" w:rsidRDefault="00203F6C" w:rsidP="00203F6C">
      <w:pPr>
        <w:pStyle w:val="3"/>
        <w:ind w:left="1418" w:hanging="709"/>
        <w:rPr>
          <w:rFonts w:hAnsi="標楷體"/>
          <w:b/>
        </w:rPr>
      </w:pPr>
      <w:bookmarkStart w:id="40" w:name="_Toc393464352"/>
      <w:r w:rsidRPr="00AB3200">
        <w:rPr>
          <w:rFonts w:hAnsi="標楷體"/>
        </w:rPr>
        <w:t>查政府雖意識到我國就業市場受薪階級薪資成長停滯問題，欲以政策工具鼓勵企業提高受</w:t>
      </w:r>
      <w:proofErr w:type="gramStart"/>
      <w:r w:rsidRPr="00AB3200">
        <w:rPr>
          <w:rFonts w:hAnsi="標楷體"/>
        </w:rPr>
        <w:t>僱</w:t>
      </w:r>
      <w:proofErr w:type="gramEnd"/>
      <w:r w:rsidRPr="00AB3200">
        <w:rPr>
          <w:rFonts w:hAnsi="標楷體"/>
        </w:rPr>
        <w:t>者薪資，如：經濟部將加薪納為部分補助計畫申請業者之評選項目；行政院金融監督管理委員會宣示，為鼓勵企業加薪，將編列「高薪100指數」，挑選100家獲利佳、公司治理好、獲利適度回饋給員工的上市公司</w:t>
      </w:r>
      <w:proofErr w:type="gramStart"/>
      <w:r w:rsidRPr="00AB3200">
        <w:rPr>
          <w:rFonts w:hAnsi="標楷體"/>
        </w:rPr>
        <w:t>做成分股</w:t>
      </w:r>
      <w:proofErr w:type="gramEnd"/>
      <w:r w:rsidRPr="00AB3200">
        <w:rPr>
          <w:rFonts w:hAnsi="標楷體"/>
        </w:rPr>
        <w:t>，引導外資、法人做長期投資，藉此帶動企業加薪，預計103年8月底前完成；勞動</w:t>
      </w:r>
      <w:r w:rsidRPr="00AB3200">
        <w:rPr>
          <w:rFonts w:hAnsi="標楷體"/>
        </w:rPr>
        <w:lastRenderedPageBreak/>
        <w:t>部將修改採購公共工程評選標準，將加薪等指標納入採購案加分項目；臺北市政府亦調高臨時人員薪資，</w:t>
      </w:r>
      <w:proofErr w:type="gramStart"/>
      <w:r w:rsidRPr="00AB3200">
        <w:rPr>
          <w:rFonts w:hAnsi="標楷體"/>
        </w:rPr>
        <w:t>且擴及</w:t>
      </w:r>
      <w:proofErr w:type="gramEnd"/>
      <w:r w:rsidRPr="00AB3200">
        <w:rPr>
          <w:rFonts w:hAnsi="標楷體"/>
        </w:rPr>
        <w:t>委外之保全、清潔人員</w:t>
      </w:r>
      <w:r w:rsidRPr="00AB3200">
        <w:rPr>
          <w:rStyle w:val="af7"/>
          <w:rFonts w:hAnsi="標楷體"/>
          <w:szCs w:val="32"/>
        </w:rPr>
        <w:footnoteReference w:id="3"/>
      </w:r>
      <w:r w:rsidRPr="00AB3200">
        <w:rPr>
          <w:rFonts w:hAnsi="標楷體"/>
        </w:rPr>
        <w:t>等。政府推動相關加薪之努力應予肯定，惟政府仍應審慎選擇政策工具，逐步引導企業檢視經營成本結構，增加企業提高受雇者薪資誘因，以營造兼顧企業利潤及員工生計(薪資、就業機會)之優良產業經營環境。</w:t>
      </w:r>
      <w:bookmarkEnd w:id="40"/>
    </w:p>
    <w:p w:rsidR="00203F6C" w:rsidRPr="00AB3200" w:rsidRDefault="00203F6C" w:rsidP="00203F6C">
      <w:pPr>
        <w:pStyle w:val="3"/>
        <w:ind w:left="1418" w:hanging="680"/>
        <w:rPr>
          <w:rFonts w:hAnsi="標楷體"/>
          <w:szCs w:val="32"/>
          <w:u w:val="single"/>
        </w:rPr>
      </w:pPr>
      <w:bookmarkStart w:id="41" w:name="_Toc393464353"/>
      <w:r w:rsidRPr="00AB3200">
        <w:rPr>
          <w:rFonts w:hAnsi="標楷體"/>
        </w:rPr>
        <w:t>綜上，</w:t>
      </w:r>
      <w:r w:rsidRPr="00AB3200">
        <w:rPr>
          <w:rFonts w:hAnsi="標楷體"/>
          <w:szCs w:val="32"/>
        </w:rPr>
        <w:t>我國</w:t>
      </w:r>
      <w:r w:rsidRPr="00AB3200">
        <w:rPr>
          <w:rFonts w:hAnsi="標楷體" w:hint="eastAsia"/>
          <w:szCs w:val="32"/>
        </w:rPr>
        <w:t>近十五年</w:t>
      </w:r>
      <w:r w:rsidRPr="00AB3200">
        <w:rPr>
          <w:rFonts w:hAnsi="標楷體"/>
          <w:szCs w:val="32"/>
        </w:rPr>
        <w:t>實質薪資不升反降，</w:t>
      </w:r>
      <w:r w:rsidRPr="00AB3200">
        <w:rPr>
          <w:rFonts w:hAnsi="標楷體" w:hint="eastAsia"/>
          <w:szCs w:val="32"/>
        </w:rPr>
        <w:t>且</w:t>
      </w:r>
      <w:r w:rsidRPr="00AB3200">
        <w:rPr>
          <w:rFonts w:hAnsi="標楷體"/>
          <w:szCs w:val="32"/>
        </w:rPr>
        <w:t>青年</w:t>
      </w:r>
      <w:r w:rsidRPr="00AB3200">
        <w:rPr>
          <w:rFonts w:hAnsi="標楷體" w:hint="eastAsia"/>
          <w:szCs w:val="32"/>
        </w:rPr>
        <w:t>低薪情形嚴重，主要工作收入未滿3萬元者，高達123萬餘人，占整體青年工作收入者61.3%，連帶產生青年無力負擔房價、不敢婚育等負面影響，甚而引發優秀人才外流問題。</w:t>
      </w:r>
      <w:r w:rsidRPr="00AB3200">
        <w:rPr>
          <w:rFonts w:hAnsi="標楷體"/>
          <w:szCs w:val="32"/>
        </w:rPr>
        <w:t>行政院</w:t>
      </w:r>
      <w:proofErr w:type="gramStart"/>
      <w:r w:rsidRPr="00AB3200">
        <w:rPr>
          <w:rFonts w:hAnsi="標楷體"/>
          <w:szCs w:val="32"/>
        </w:rPr>
        <w:t>允</w:t>
      </w:r>
      <w:r w:rsidRPr="00AB3200">
        <w:rPr>
          <w:rFonts w:hAnsi="標楷體" w:hint="eastAsia"/>
          <w:szCs w:val="32"/>
        </w:rPr>
        <w:t>宜</w:t>
      </w:r>
      <w:r w:rsidRPr="00AB3200">
        <w:rPr>
          <w:rFonts w:hAnsi="標楷體"/>
          <w:szCs w:val="32"/>
        </w:rPr>
        <w:t>策定</w:t>
      </w:r>
      <w:proofErr w:type="gramEnd"/>
      <w:r w:rsidRPr="00AB3200">
        <w:rPr>
          <w:rFonts w:hAnsi="標楷體"/>
          <w:szCs w:val="32"/>
        </w:rPr>
        <w:t>方案，提高企業為受雇者加薪之誘因，並對所提各項強化產業或企業競爭力之方案，</w:t>
      </w:r>
      <w:proofErr w:type="gramStart"/>
      <w:r w:rsidRPr="00AB3200">
        <w:rPr>
          <w:rFonts w:hAnsi="標楷體"/>
          <w:szCs w:val="32"/>
        </w:rPr>
        <w:t>研</w:t>
      </w:r>
      <w:proofErr w:type="gramEnd"/>
      <w:r w:rsidRPr="00AB3200">
        <w:rPr>
          <w:rFonts w:hAnsi="標楷體"/>
          <w:szCs w:val="32"/>
        </w:rPr>
        <w:t>議附加增聘員工或加薪機制，以營造</w:t>
      </w:r>
      <w:r w:rsidRPr="00AB3200">
        <w:rPr>
          <w:rFonts w:hAnsi="標楷體" w:hint="eastAsia"/>
          <w:szCs w:val="32"/>
        </w:rPr>
        <w:t>兼顧</w:t>
      </w:r>
      <w:r w:rsidRPr="00AB3200">
        <w:rPr>
          <w:rFonts w:hAnsi="標楷體"/>
          <w:szCs w:val="32"/>
        </w:rPr>
        <w:t>企業</w:t>
      </w:r>
      <w:r w:rsidRPr="00AB3200">
        <w:rPr>
          <w:rFonts w:hAnsi="標楷體" w:hint="eastAsia"/>
          <w:szCs w:val="32"/>
        </w:rPr>
        <w:t>利潤</w:t>
      </w:r>
      <w:r w:rsidRPr="00AB3200">
        <w:rPr>
          <w:rFonts w:hAnsi="標楷體"/>
          <w:szCs w:val="32"/>
        </w:rPr>
        <w:t>及員工生計之環境。</w:t>
      </w:r>
      <w:bookmarkEnd w:id="41"/>
    </w:p>
    <w:p w:rsidR="00203F6C" w:rsidRPr="00AB3200" w:rsidRDefault="00203F6C" w:rsidP="00203F6C">
      <w:pPr>
        <w:pStyle w:val="20"/>
        <w:ind w:left="1020" w:hanging="680"/>
        <w:rPr>
          <w:rFonts w:hAnsi="標楷體"/>
          <w:b/>
          <w:szCs w:val="32"/>
          <w:u w:val="single"/>
        </w:rPr>
      </w:pPr>
      <w:bookmarkStart w:id="42" w:name="_Toc393464354"/>
      <w:r w:rsidRPr="00AB3200">
        <w:rPr>
          <w:rFonts w:hAnsi="標楷體"/>
          <w:b/>
          <w:szCs w:val="32"/>
        </w:rPr>
        <w:t>國內就業市場之環境及薪資待遇欠佳，人才流失有日益嚴重</w:t>
      </w:r>
      <w:r w:rsidRPr="00AB3200">
        <w:rPr>
          <w:rFonts w:hAnsi="標楷體" w:hint="eastAsia"/>
          <w:b/>
          <w:szCs w:val="32"/>
        </w:rPr>
        <w:t>之</w:t>
      </w:r>
      <w:r w:rsidRPr="00AB3200">
        <w:rPr>
          <w:rFonts w:hAnsi="標楷體"/>
          <w:b/>
          <w:szCs w:val="32"/>
        </w:rPr>
        <w:t>趨勢，行政院允</w:t>
      </w:r>
      <w:r w:rsidRPr="00AB3200">
        <w:rPr>
          <w:rFonts w:hAnsi="標楷體" w:hint="eastAsia"/>
          <w:b/>
          <w:szCs w:val="32"/>
        </w:rPr>
        <w:t>宜</w:t>
      </w:r>
      <w:r w:rsidRPr="00AB3200">
        <w:rPr>
          <w:rFonts w:hAnsi="標楷體"/>
          <w:b/>
          <w:szCs w:val="32"/>
        </w:rPr>
        <w:t>儘速督促相關部會，建立適當機制確實掌握人才流動情形，建置人才資料庫，作為政府人才政策規劃及擬訂方向之參考</w:t>
      </w:r>
      <w:r w:rsidRPr="00AB3200">
        <w:rPr>
          <w:rFonts w:hAnsi="標楷體" w:hint="eastAsia"/>
          <w:b/>
          <w:szCs w:val="32"/>
        </w:rPr>
        <w:t>，並應對赴海外工作之青年人提供相關資訊及必要協助。</w:t>
      </w:r>
      <w:bookmarkEnd w:id="42"/>
    </w:p>
    <w:p w:rsidR="00203F6C" w:rsidRPr="00AB3200" w:rsidRDefault="00203F6C" w:rsidP="00203F6C">
      <w:pPr>
        <w:pStyle w:val="3"/>
        <w:ind w:left="1360" w:hanging="680"/>
        <w:rPr>
          <w:rFonts w:hAnsi="標楷體"/>
          <w:szCs w:val="32"/>
        </w:rPr>
      </w:pPr>
      <w:bookmarkStart w:id="43" w:name="_Toc393464355"/>
      <w:r w:rsidRPr="00AB3200">
        <w:rPr>
          <w:rFonts w:hAnsi="標楷體"/>
          <w:szCs w:val="32"/>
        </w:rPr>
        <w:t>查全球化的趨勢下，人才流動愈趨頻繁，且知識經濟及創新經濟之競爭力關鍵即為人才，世界各國都透過各種優渥的條件，積極爭取優秀的師資及人才，以提升競爭力。各國近年來在國際上積極延攬人才，紛紛提出策略，如中國大陸早於「十一五規劃」，宣稱要吸引台灣、香港、澳門200萬名國際專業人才，新加坡亦針對非居住民人才，提供5年所得稅</w:t>
      </w:r>
      <w:r w:rsidRPr="00AB3200">
        <w:rPr>
          <w:rFonts w:hAnsi="標楷體"/>
          <w:szCs w:val="32"/>
        </w:rPr>
        <w:lastRenderedPageBreak/>
        <w:t>率優惠；我國因為各項法規面的限制及缺乏完善的配套措施，與鄰近國家相較，除於延攬國際優秀人才的環境及誘因，缺乏競爭力及吸引力外，更因整體經濟環境不佳，面臨人才流失危機</w:t>
      </w:r>
      <w:r w:rsidRPr="00AB3200">
        <w:rPr>
          <w:rStyle w:val="af7"/>
          <w:rFonts w:hAnsi="標楷體"/>
          <w:szCs w:val="32"/>
        </w:rPr>
        <w:footnoteReference w:id="4"/>
      </w:r>
      <w:r w:rsidRPr="00AB3200">
        <w:rPr>
          <w:rFonts w:hAnsi="標楷體"/>
          <w:szCs w:val="32"/>
        </w:rPr>
        <w:t>。</w:t>
      </w:r>
      <w:bookmarkEnd w:id="43"/>
    </w:p>
    <w:p w:rsidR="00203F6C" w:rsidRPr="00AB3200" w:rsidRDefault="00203F6C" w:rsidP="00203F6C">
      <w:pPr>
        <w:pStyle w:val="3"/>
        <w:ind w:left="1360" w:hanging="680"/>
        <w:rPr>
          <w:rFonts w:hAnsi="標楷體"/>
          <w:szCs w:val="32"/>
        </w:rPr>
      </w:pPr>
      <w:bookmarkStart w:id="44" w:name="_Toc393464356"/>
      <w:r w:rsidRPr="00AB3200">
        <w:rPr>
          <w:rFonts w:hAnsi="標楷體"/>
          <w:szCs w:val="32"/>
        </w:rPr>
        <w:t>查</w:t>
      </w:r>
      <w:r w:rsidRPr="00AB3200">
        <w:rPr>
          <w:rFonts w:hAnsi="標楷體"/>
          <w:bCs w:val="0"/>
          <w:szCs w:val="32"/>
        </w:rPr>
        <w:t>近年來</w:t>
      </w:r>
      <w:r w:rsidRPr="00AB3200">
        <w:rPr>
          <w:rFonts w:hAnsi="標楷體"/>
          <w:szCs w:val="32"/>
        </w:rPr>
        <w:t>我國人才流失有日益嚴重趨勢，工業技術研究院知識經濟與競爭力中心主任杜紫宸於103年4月3日聯合報撰文表示，我國人才外流已是事實，國內產業許多不錯的人才被中國大陸挖角，科技產業普遍出現35歲至45歲中階人才真空危機，對臺灣產業發生影響，政府必須重視並補救；Oxford Economics(英國經濟研究機構牛津經濟公司)和美洲國家組織及多家跨國企業合作的研究「Global Talent 2021」，預估至2021年時，由於國內人才外流，又吸引不到人才進入，臺灣將成為是全球主要國家中人才最缺乏的地區。而人才移動是自由市場正常現象，但若相對方向的人才移動差距過於懸殊，就會產生排擠效果；人才密度是國家競爭力重要指標，為了找到人才，企業會往人才多的地方聚集。如果臺灣人才密度比鄰近國家高，外國投資就會向國內集中，只要臺灣能留住人才，就能增加外商來台的投資意願。在全球化競爭下，人才流動已無國界，人才持續輸出，若無相對應之人才輸入，對國家競爭力將造成負面之影響，</w:t>
      </w:r>
      <w:proofErr w:type="gramStart"/>
      <w:r w:rsidRPr="00AB3200">
        <w:rPr>
          <w:rFonts w:hAnsi="標楷體"/>
          <w:szCs w:val="32"/>
        </w:rPr>
        <w:t>爰</w:t>
      </w:r>
      <w:proofErr w:type="gramEnd"/>
      <w:r w:rsidRPr="00AB3200">
        <w:rPr>
          <w:rFonts w:hAnsi="標楷體"/>
          <w:szCs w:val="32"/>
        </w:rPr>
        <w:t>國人赴海外工作人數、性質及相關權益保障機制，應確實掌握，</w:t>
      </w:r>
      <w:proofErr w:type="gramStart"/>
      <w:r w:rsidRPr="00AB3200">
        <w:rPr>
          <w:rFonts w:hAnsi="標楷體"/>
          <w:szCs w:val="32"/>
        </w:rPr>
        <w:t>俾</w:t>
      </w:r>
      <w:proofErr w:type="gramEnd"/>
      <w:r w:rsidRPr="00AB3200">
        <w:rPr>
          <w:rFonts w:hAnsi="標楷體"/>
          <w:szCs w:val="32"/>
        </w:rPr>
        <w:t>作為政府人才政策規劃及擬訂方向。</w:t>
      </w:r>
      <w:bookmarkEnd w:id="44"/>
    </w:p>
    <w:p w:rsidR="00203F6C" w:rsidRPr="00AB3200" w:rsidRDefault="00203F6C" w:rsidP="00203F6C">
      <w:pPr>
        <w:pStyle w:val="3"/>
        <w:ind w:left="1360" w:hanging="680"/>
        <w:rPr>
          <w:rFonts w:hAnsi="標楷體"/>
          <w:szCs w:val="32"/>
        </w:rPr>
      </w:pPr>
      <w:bookmarkStart w:id="45" w:name="_Toc393464357"/>
      <w:r w:rsidRPr="00AB3200">
        <w:rPr>
          <w:rFonts w:ascii="Times New Roman" w:hAnsi="Times New Roman" w:hint="eastAsia"/>
          <w:szCs w:val="32"/>
        </w:rPr>
        <w:t>據相關機關到院稱</w:t>
      </w:r>
      <w:proofErr w:type="gramStart"/>
      <w:r w:rsidRPr="00AB3200">
        <w:rPr>
          <w:rFonts w:ascii="Times New Roman" w:hAnsi="Times New Roman" w:hint="eastAsia"/>
          <w:szCs w:val="32"/>
        </w:rPr>
        <w:t>以</w:t>
      </w:r>
      <w:proofErr w:type="gramEnd"/>
      <w:r w:rsidRPr="00AB3200">
        <w:rPr>
          <w:rFonts w:ascii="Times New Roman" w:hAnsi="Times New Roman" w:hint="eastAsia"/>
          <w:szCs w:val="32"/>
        </w:rPr>
        <w:t>，行政院查</w:t>
      </w:r>
      <w:r w:rsidRPr="00AB3200">
        <w:rPr>
          <w:rFonts w:ascii="Times New Roman" w:hAnsi="Times New Roman" w:hint="eastAsia"/>
          <w:szCs w:val="32"/>
        </w:rPr>
        <w:t>102</w:t>
      </w:r>
      <w:r w:rsidRPr="00AB3200">
        <w:rPr>
          <w:rFonts w:ascii="Times New Roman" w:hAnsi="Times New Roman" w:hint="eastAsia"/>
          <w:szCs w:val="32"/>
        </w:rPr>
        <w:t>年從事仲介本國人至海外工作之仲介公司計</w:t>
      </w:r>
      <w:r w:rsidRPr="00AB3200">
        <w:rPr>
          <w:rFonts w:ascii="Times New Roman" w:hAnsi="Times New Roman" w:hint="eastAsia"/>
          <w:szCs w:val="32"/>
        </w:rPr>
        <w:t xml:space="preserve">16 </w:t>
      </w:r>
      <w:r w:rsidRPr="00AB3200">
        <w:rPr>
          <w:rFonts w:ascii="Times New Roman" w:hAnsi="Times New Roman" w:hint="eastAsia"/>
          <w:szCs w:val="32"/>
        </w:rPr>
        <w:t>家，仲介公司依規定自行呈報之求職求才狀況季報表統計仲介國人</w:t>
      </w:r>
      <w:r w:rsidRPr="00AB3200">
        <w:rPr>
          <w:rFonts w:ascii="Times New Roman" w:hAnsi="Times New Roman" w:hint="eastAsia"/>
          <w:szCs w:val="32"/>
        </w:rPr>
        <w:lastRenderedPageBreak/>
        <w:t>至海外就業數據，其中</w:t>
      </w:r>
      <w:proofErr w:type="gramStart"/>
      <w:r w:rsidRPr="00AB3200">
        <w:rPr>
          <w:rFonts w:ascii="Times New Roman" w:hAnsi="Times New Roman" w:hint="eastAsia"/>
          <w:szCs w:val="32"/>
        </w:rPr>
        <w:t>102</w:t>
      </w:r>
      <w:proofErr w:type="gramEnd"/>
      <w:r w:rsidRPr="00AB3200">
        <w:rPr>
          <w:rFonts w:ascii="Times New Roman" w:hAnsi="Times New Roman" w:hint="eastAsia"/>
          <w:szCs w:val="32"/>
        </w:rPr>
        <w:t>年度求職人數有</w:t>
      </w:r>
      <w:r w:rsidRPr="00AB3200">
        <w:rPr>
          <w:rFonts w:ascii="Times New Roman" w:hAnsi="Times New Roman" w:hint="eastAsia"/>
          <w:szCs w:val="32"/>
        </w:rPr>
        <w:t>28,990</w:t>
      </w:r>
      <w:r w:rsidRPr="00AB3200">
        <w:rPr>
          <w:rFonts w:ascii="Times New Roman" w:hAnsi="Times New Roman" w:hint="eastAsia"/>
          <w:szCs w:val="32"/>
        </w:rPr>
        <w:t>人</w:t>
      </w:r>
      <w:r w:rsidRPr="00AB3200">
        <w:rPr>
          <w:rFonts w:ascii="Times New Roman" w:hAnsi="Times New Roman" w:hint="eastAsia"/>
          <w:szCs w:val="32"/>
        </w:rPr>
        <w:t>(</w:t>
      </w:r>
      <w:r w:rsidRPr="00AB3200">
        <w:rPr>
          <w:rFonts w:ascii="Times New Roman" w:hAnsi="Times New Roman" w:hint="eastAsia"/>
          <w:szCs w:val="32"/>
        </w:rPr>
        <w:t>次</w:t>
      </w:r>
      <w:r w:rsidRPr="00AB3200">
        <w:rPr>
          <w:rFonts w:ascii="Times New Roman" w:hAnsi="Times New Roman" w:hint="eastAsia"/>
          <w:szCs w:val="32"/>
        </w:rPr>
        <w:t>)</w:t>
      </w:r>
      <w:r w:rsidRPr="00AB3200">
        <w:rPr>
          <w:rFonts w:ascii="Times New Roman" w:hAnsi="Times New Roman" w:hint="eastAsia"/>
          <w:szCs w:val="32"/>
        </w:rPr>
        <w:t>，求才人數</w:t>
      </w:r>
      <w:r w:rsidRPr="00AB3200">
        <w:rPr>
          <w:rFonts w:ascii="Times New Roman" w:hAnsi="Times New Roman" w:hint="eastAsia"/>
          <w:spacing w:val="-6"/>
          <w:szCs w:val="32"/>
        </w:rPr>
        <w:t>有</w:t>
      </w:r>
      <w:r w:rsidRPr="00AB3200">
        <w:rPr>
          <w:rFonts w:ascii="Times New Roman" w:hAnsi="Times New Roman" w:hint="eastAsia"/>
          <w:spacing w:val="-6"/>
          <w:szCs w:val="32"/>
        </w:rPr>
        <w:t>13,379</w:t>
      </w:r>
      <w:r w:rsidRPr="00AB3200">
        <w:rPr>
          <w:rFonts w:ascii="Times New Roman" w:hAnsi="Times New Roman" w:hint="eastAsia"/>
          <w:spacing w:val="-6"/>
          <w:szCs w:val="32"/>
        </w:rPr>
        <w:t>人</w:t>
      </w:r>
      <w:r w:rsidRPr="00AB3200">
        <w:rPr>
          <w:rFonts w:ascii="Times New Roman" w:hAnsi="Times New Roman" w:hint="eastAsia"/>
          <w:spacing w:val="-6"/>
          <w:szCs w:val="32"/>
        </w:rPr>
        <w:t>(</w:t>
      </w:r>
      <w:r w:rsidRPr="00AB3200">
        <w:rPr>
          <w:rFonts w:ascii="Times New Roman" w:hAnsi="Times New Roman" w:hint="eastAsia"/>
          <w:spacing w:val="-6"/>
          <w:szCs w:val="32"/>
        </w:rPr>
        <w:t>次</w:t>
      </w:r>
      <w:r w:rsidRPr="00AB3200">
        <w:rPr>
          <w:rFonts w:ascii="Times New Roman" w:hAnsi="Times New Roman" w:hint="eastAsia"/>
          <w:spacing w:val="-6"/>
          <w:szCs w:val="32"/>
        </w:rPr>
        <w:t>)</w:t>
      </w:r>
      <w:r w:rsidRPr="00AB3200">
        <w:rPr>
          <w:rFonts w:ascii="Times New Roman" w:hAnsi="Times New Roman" w:hint="eastAsia"/>
          <w:spacing w:val="-6"/>
          <w:szCs w:val="32"/>
        </w:rPr>
        <w:t>，推</w:t>
      </w:r>
      <w:proofErr w:type="gramStart"/>
      <w:r w:rsidRPr="00AB3200">
        <w:rPr>
          <w:rFonts w:ascii="Times New Roman" w:hAnsi="Times New Roman" w:hint="eastAsia"/>
          <w:spacing w:val="-6"/>
          <w:szCs w:val="32"/>
        </w:rPr>
        <w:t>介</w:t>
      </w:r>
      <w:proofErr w:type="gramEnd"/>
      <w:r w:rsidRPr="00AB3200">
        <w:rPr>
          <w:rFonts w:ascii="Times New Roman" w:hAnsi="Times New Roman" w:hint="eastAsia"/>
          <w:spacing w:val="-6"/>
          <w:szCs w:val="32"/>
        </w:rPr>
        <w:t>就業人數為</w:t>
      </w:r>
      <w:r w:rsidRPr="00AB3200">
        <w:rPr>
          <w:rFonts w:ascii="Times New Roman" w:hAnsi="Times New Roman" w:hint="eastAsia"/>
          <w:spacing w:val="-6"/>
          <w:szCs w:val="32"/>
        </w:rPr>
        <w:t>1,376</w:t>
      </w:r>
      <w:r w:rsidRPr="00AB3200">
        <w:rPr>
          <w:rFonts w:ascii="Times New Roman" w:hAnsi="Times New Roman" w:hint="eastAsia"/>
          <w:spacing w:val="-6"/>
          <w:szCs w:val="32"/>
        </w:rPr>
        <w:t>人</w:t>
      </w:r>
      <w:r w:rsidRPr="00AB3200">
        <w:rPr>
          <w:rFonts w:ascii="Times New Roman" w:hAnsi="Times New Roman" w:hint="eastAsia"/>
          <w:spacing w:val="-6"/>
          <w:szCs w:val="32"/>
        </w:rPr>
        <w:t>(</w:t>
      </w:r>
      <w:r w:rsidRPr="00AB3200">
        <w:rPr>
          <w:rFonts w:ascii="Times New Roman" w:hAnsi="Times New Roman" w:hint="eastAsia"/>
          <w:spacing w:val="-6"/>
          <w:szCs w:val="32"/>
        </w:rPr>
        <w:t>次</w:t>
      </w:r>
      <w:r w:rsidRPr="00AB3200">
        <w:rPr>
          <w:rFonts w:ascii="Times New Roman" w:hAnsi="Times New Roman" w:hint="eastAsia"/>
          <w:spacing w:val="-6"/>
          <w:szCs w:val="32"/>
        </w:rPr>
        <w:t>)</w:t>
      </w:r>
      <w:r w:rsidRPr="00AB3200">
        <w:rPr>
          <w:rFonts w:ascii="Times New Roman" w:hAnsi="Times New Roman" w:hint="eastAsia"/>
          <w:spacing w:val="-6"/>
          <w:szCs w:val="32"/>
        </w:rPr>
        <w:t>。</w:t>
      </w:r>
      <w:r w:rsidRPr="00AB3200">
        <w:rPr>
          <w:rFonts w:ascii="Times New Roman" w:hAnsi="Times New Roman" w:hint="eastAsia"/>
          <w:szCs w:val="32"/>
        </w:rPr>
        <w:t>因國人赴海外就業之目的各</w:t>
      </w:r>
      <w:proofErr w:type="gramStart"/>
      <w:r w:rsidRPr="00AB3200">
        <w:rPr>
          <w:rFonts w:ascii="Times New Roman" w:hAnsi="Times New Roman" w:hint="eastAsia"/>
          <w:szCs w:val="32"/>
        </w:rPr>
        <w:t>異及態樣</w:t>
      </w:r>
      <w:proofErr w:type="gramEnd"/>
      <w:r w:rsidRPr="00AB3200">
        <w:rPr>
          <w:rFonts w:ascii="Times New Roman" w:hAnsi="Times New Roman" w:hint="eastAsia"/>
          <w:szCs w:val="32"/>
        </w:rPr>
        <w:t>多元，且</w:t>
      </w:r>
      <w:proofErr w:type="gramStart"/>
      <w:r w:rsidRPr="00AB3200">
        <w:rPr>
          <w:rFonts w:ascii="Times New Roman" w:hAnsi="Times New Roman" w:hint="eastAsia"/>
          <w:szCs w:val="32"/>
        </w:rPr>
        <w:t>國人非皆透過</w:t>
      </w:r>
      <w:proofErr w:type="gramEnd"/>
      <w:r w:rsidRPr="00AB3200">
        <w:rPr>
          <w:rFonts w:ascii="Times New Roman" w:hAnsi="Times New Roman" w:hint="eastAsia"/>
          <w:szCs w:val="32"/>
        </w:rPr>
        <w:t>仲介機構前往海外就業，亦有學生海外實習、青年度假打工、遊學提供勞務換取膳宿等方式，且國人除自行前往海外之外，亦透過其他單位，</w:t>
      </w:r>
      <w:proofErr w:type="gramStart"/>
      <w:r w:rsidRPr="00AB3200">
        <w:rPr>
          <w:rFonts w:ascii="Times New Roman" w:hAnsi="Times New Roman" w:hint="eastAsia"/>
          <w:szCs w:val="32"/>
        </w:rPr>
        <w:t>如留遊學</w:t>
      </w:r>
      <w:proofErr w:type="gramEnd"/>
      <w:r w:rsidRPr="00AB3200">
        <w:rPr>
          <w:rFonts w:ascii="Times New Roman" w:hAnsi="Times New Roman" w:hint="eastAsia"/>
          <w:szCs w:val="32"/>
        </w:rPr>
        <w:t>機構、代辦機構赴海外自行尋職，且國人赴海外就業，尚無法規規定應予通報前往國別、工作性質等資訊之義務，故無法掌握國人實際赴海外就業之整體情形。依據非正式推估（海基會長期與</w:t>
      </w:r>
      <w:proofErr w:type="gramStart"/>
      <w:r w:rsidRPr="00AB3200">
        <w:rPr>
          <w:rFonts w:ascii="Times New Roman" w:hAnsi="Times New Roman" w:hint="eastAsia"/>
          <w:szCs w:val="32"/>
        </w:rPr>
        <w:t>臺</w:t>
      </w:r>
      <w:proofErr w:type="gramEnd"/>
      <w:r w:rsidRPr="00AB3200">
        <w:rPr>
          <w:rFonts w:ascii="Times New Roman" w:hAnsi="Times New Roman" w:hint="eastAsia"/>
          <w:szCs w:val="32"/>
        </w:rPr>
        <w:t>商協會會長等重要幹部瞭解所得到），常駐大陸地區之</w:t>
      </w:r>
      <w:proofErr w:type="gramStart"/>
      <w:r w:rsidRPr="00AB3200">
        <w:rPr>
          <w:rFonts w:ascii="Times New Roman" w:hAnsi="Times New Roman" w:hint="eastAsia"/>
          <w:szCs w:val="32"/>
        </w:rPr>
        <w:t>臺</w:t>
      </w:r>
      <w:proofErr w:type="gramEnd"/>
      <w:r w:rsidRPr="00AB3200">
        <w:rPr>
          <w:rFonts w:ascii="Times New Roman" w:hAnsi="Times New Roman" w:hint="eastAsia"/>
          <w:szCs w:val="32"/>
        </w:rPr>
        <w:t>商、</w:t>
      </w:r>
      <w:proofErr w:type="gramStart"/>
      <w:r w:rsidRPr="00AB3200">
        <w:rPr>
          <w:rFonts w:ascii="Times New Roman" w:hAnsi="Times New Roman" w:hint="eastAsia"/>
          <w:szCs w:val="32"/>
        </w:rPr>
        <w:t>臺務</w:t>
      </w:r>
      <w:proofErr w:type="gramEnd"/>
      <w:r w:rsidRPr="00AB3200">
        <w:rPr>
          <w:rFonts w:ascii="Times New Roman" w:hAnsi="Times New Roman" w:hint="eastAsia"/>
          <w:szCs w:val="32"/>
        </w:rPr>
        <w:t>幹部與眷屬約有</w:t>
      </w:r>
      <w:r w:rsidRPr="00AB3200">
        <w:rPr>
          <w:rFonts w:ascii="Times New Roman" w:hAnsi="Times New Roman" w:hint="eastAsia"/>
          <w:szCs w:val="32"/>
        </w:rPr>
        <w:t>85</w:t>
      </w:r>
      <w:r w:rsidRPr="00AB3200">
        <w:rPr>
          <w:rFonts w:ascii="Times New Roman" w:hAnsi="Times New Roman" w:hint="eastAsia"/>
          <w:szCs w:val="32"/>
        </w:rPr>
        <w:t>萬人次。</w:t>
      </w:r>
      <w:r w:rsidRPr="00AB3200">
        <w:rPr>
          <w:rFonts w:hAnsi="標楷體"/>
          <w:szCs w:val="32"/>
        </w:rPr>
        <w:t>是</w:t>
      </w:r>
      <w:proofErr w:type="gramStart"/>
      <w:r w:rsidRPr="00AB3200">
        <w:rPr>
          <w:rFonts w:hAnsi="標楷體"/>
          <w:szCs w:val="32"/>
        </w:rPr>
        <w:t>以</w:t>
      </w:r>
      <w:proofErr w:type="gramEnd"/>
      <w:r w:rsidRPr="00AB3200">
        <w:rPr>
          <w:rFonts w:hAnsi="標楷體"/>
          <w:szCs w:val="32"/>
        </w:rPr>
        <w:t>，政府對國內具有國際移動能力之專業人才，並未建置相關資料庫，人才流動統計資訊付之闕如，相較於勞動部定期統計許可引進外國人(基層外籍勞工及中高階外籍專業人士)來</w:t>
      </w:r>
      <w:proofErr w:type="gramStart"/>
      <w:r w:rsidRPr="00AB3200">
        <w:rPr>
          <w:rFonts w:hAnsi="標楷體"/>
          <w:szCs w:val="32"/>
        </w:rPr>
        <w:t>臺</w:t>
      </w:r>
      <w:proofErr w:type="gramEnd"/>
      <w:r w:rsidRPr="00AB3200">
        <w:rPr>
          <w:rFonts w:hAnsi="標楷體"/>
          <w:szCs w:val="32"/>
        </w:rPr>
        <w:t>工作人數，我國對於人才輸出情形，尚乏完整統計。</w:t>
      </w:r>
      <w:bookmarkEnd w:id="45"/>
    </w:p>
    <w:p w:rsidR="00203F6C" w:rsidRPr="00AB3200" w:rsidRDefault="00203F6C" w:rsidP="00203F6C">
      <w:pPr>
        <w:pStyle w:val="3"/>
        <w:ind w:left="1360" w:hanging="680"/>
        <w:rPr>
          <w:rFonts w:hAnsi="標楷體"/>
          <w:szCs w:val="32"/>
        </w:rPr>
      </w:pPr>
      <w:bookmarkStart w:id="46" w:name="_Toc393464358"/>
      <w:r w:rsidRPr="00AB3200">
        <w:rPr>
          <w:rFonts w:hAnsi="標楷體" w:hint="eastAsia"/>
          <w:szCs w:val="32"/>
        </w:rPr>
        <w:t>又本院諮詢專家學者指出，</w:t>
      </w:r>
      <w:r w:rsidRPr="00AB3200">
        <w:rPr>
          <w:rFonts w:hAnsi="標楷體"/>
          <w:szCs w:val="32"/>
        </w:rPr>
        <w:t>政府</w:t>
      </w:r>
      <w:r w:rsidRPr="00AB3200">
        <w:rPr>
          <w:rFonts w:hAnsi="標楷體" w:hint="eastAsia"/>
          <w:szCs w:val="32"/>
        </w:rPr>
        <w:t>目前</w:t>
      </w:r>
      <w:r w:rsidRPr="00AB3200">
        <w:rPr>
          <w:rFonts w:hAnsi="標楷體"/>
          <w:szCs w:val="32"/>
        </w:rPr>
        <w:t>對於海外台商沒有任何輔導，同樣對於海外工作的台灣人也</w:t>
      </w:r>
      <w:r w:rsidRPr="00AB3200">
        <w:rPr>
          <w:rFonts w:hAnsi="標楷體" w:hint="eastAsia"/>
          <w:szCs w:val="32"/>
        </w:rPr>
        <w:t>缺乏</w:t>
      </w:r>
      <w:r w:rsidRPr="00AB3200">
        <w:rPr>
          <w:rFonts w:hAnsi="標楷體"/>
          <w:szCs w:val="32"/>
        </w:rPr>
        <w:t>具體</w:t>
      </w:r>
      <w:r w:rsidRPr="00AB3200">
        <w:rPr>
          <w:rFonts w:hAnsi="標楷體" w:hint="eastAsia"/>
          <w:szCs w:val="32"/>
        </w:rPr>
        <w:t>政</w:t>
      </w:r>
      <w:r w:rsidRPr="00AB3200">
        <w:rPr>
          <w:rFonts w:hAnsi="標楷體"/>
          <w:szCs w:val="32"/>
        </w:rPr>
        <w:t>策</w:t>
      </w:r>
      <w:r w:rsidRPr="00AB3200">
        <w:rPr>
          <w:rFonts w:hAnsi="標楷體" w:hint="eastAsia"/>
          <w:szCs w:val="32"/>
        </w:rPr>
        <w:t>；政府</w:t>
      </w:r>
      <w:r w:rsidRPr="00AB3200">
        <w:rPr>
          <w:rFonts w:hAnsi="標楷體"/>
          <w:szCs w:val="32"/>
        </w:rPr>
        <w:t>應主動輔導年青人到海外就業，對於在國內找不到工作的人，</w:t>
      </w:r>
      <w:r w:rsidRPr="00AB3200">
        <w:rPr>
          <w:rFonts w:hAnsi="標楷體" w:hint="eastAsia"/>
          <w:szCs w:val="32"/>
        </w:rPr>
        <w:t>先</w:t>
      </w:r>
      <w:r w:rsidRPr="00AB3200">
        <w:rPr>
          <w:rFonts w:hAnsi="標楷體"/>
          <w:szCs w:val="32"/>
        </w:rPr>
        <w:t>給</w:t>
      </w:r>
      <w:r w:rsidRPr="00AB3200">
        <w:rPr>
          <w:rFonts w:hAnsi="標楷體" w:hint="eastAsia"/>
          <w:szCs w:val="32"/>
        </w:rPr>
        <w:t>予</w:t>
      </w:r>
      <w:r w:rsidRPr="00AB3200">
        <w:rPr>
          <w:rFonts w:hAnsi="標楷體"/>
          <w:szCs w:val="32"/>
        </w:rPr>
        <w:t>半年到</w:t>
      </w:r>
      <w:r w:rsidRPr="00AB3200">
        <w:rPr>
          <w:rFonts w:hAnsi="標楷體" w:hint="eastAsia"/>
          <w:szCs w:val="32"/>
        </w:rPr>
        <w:t>1</w:t>
      </w:r>
      <w:r w:rsidRPr="00AB3200">
        <w:rPr>
          <w:rFonts w:hAnsi="標楷體"/>
          <w:szCs w:val="32"/>
        </w:rPr>
        <w:t>年的訓練，訓練完</w:t>
      </w:r>
      <w:r w:rsidRPr="00AB3200">
        <w:rPr>
          <w:rFonts w:hAnsi="標楷體" w:hint="eastAsia"/>
          <w:szCs w:val="32"/>
        </w:rPr>
        <w:t>成後</w:t>
      </w:r>
      <w:r w:rsidRPr="00AB3200">
        <w:rPr>
          <w:rFonts w:hAnsi="標楷體"/>
          <w:szCs w:val="32"/>
        </w:rPr>
        <w:t>，</w:t>
      </w:r>
      <w:r w:rsidRPr="00AB3200">
        <w:rPr>
          <w:rFonts w:hAnsi="標楷體" w:hint="eastAsia"/>
          <w:szCs w:val="32"/>
        </w:rPr>
        <w:t>於</w:t>
      </w:r>
      <w:r w:rsidRPr="00AB3200">
        <w:rPr>
          <w:rFonts w:hAnsi="標楷體"/>
          <w:szCs w:val="32"/>
        </w:rPr>
        <w:t>網站</w:t>
      </w:r>
      <w:r w:rsidRPr="00AB3200">
        <w:rPr>
          <w:rFonts w:hAnsi="標楷體" w:hint="eastAsia"/>
          <w:szCs w:val="32"/>
        </w:rPr>
        <w:t>建置相關資料</w:t>
      </w:r>
      <w:r w:rsidRPr="00AB3200">
        <w:rPr>
          <w:rFonts w:hAnsi="標楷體"/>
          <w:szCs w:val="32"/>
        </w:rPr>
        <w:t>，讓外國企業來</w:t>
      </w:r>
      <w:r w:rsidRPr="00AB3200">
        <w:rPr>
          <w:rFonts w:hAnsi="標楷體" w:hint="eastAsia"/>
          <w:szCs w:val="32"/>
        </w:rPr>
        <w:t>尋找適當</w:t>
      </w:r>
      <w:r w:rsidRPr="00AB3200">
        <w:rPr>
          <w:rFonts w:hAnsi="標楷體"/>
          <w:szCs w:val="32"/>
        </w:rPr>
        <w:t>人</w:t>
      </w:r>
      <w:r w:rsidRPr="00AB3200">
        <w:rPr>
          <w:rFonts w:hAnsi="標楷體" w:hint="eastAsia"/>
          <w:szCs w:val="32"/>
        </w:rPr>
        <w:t>力</w:t>
      </w:r>
      <w:r w:rsidRPr="00AB3200">
        <w:rPr>
          <w:rFonts w:hAnsi="標楷體"/>
          <w:szCs w:val="32"/>
        </w:rPr>
        <w:t>，</w:t>
      </w:r>
      <w:r w:rsidRPr="00AB3200">
        <w:rPr>
          <w:rFonts w:hAnsi="標楷體" w:hint="eastAsia"/>
          <w:szCs w:val="32"/>
        </w:rPr>
        <w:t>尤其目前</w:t>
      </w:r>
      <w:r w:rsidRPr="00AB3200">
        <w:rPr>
          <w:rFonts w:hAnsi="標楷體"/>
          <w:szCs w:val="32"/>
        </w:rPr>
        <w:t>海外</w:t>
      </w:r>
      <w:r w:rsidRPr="00AB3200">
        <w:rPr>
          <w:rFonts w:hAnsi="標楷體" w:hint="eastAsia"/>
          <w:szCs w:val="32"/>
        </w:rPr>
        <w:t>台商</w:t>
      </w:r>
      <w:r w:rsidRPr="00AB3200">
        <w:rPr>
          <w:rFonts w:hAnsi="標楷體"/>
          <w:szCs w:val="32"/>
        </w:rPr>
        <w:t>面臨人才斷層問題，</w:t>
      </w:r>
      <w:r w:rsidRPr="00AB3200">
        <w:rPr>
          <w:rFonts w:hAnsi="標楷體" w:hint="eastAsia"/>
          <w:szCs w:val="32"/>
        </w:rPr>
        <w:t>可以利用此網站平台進行媒合</w:t>
      </w:r>
      <w:r w:rsidRPr="00AB3200">
        <w:rPr>
          <w:rFonts w:hAnsi="標楷體"/>
          <w:szCs w:val="32"/>
        </w:rPr>
        <w:t>。</w:t>
      </w:r>
      <w:proofErr w:type="gramStart"/>
      <w:r w:rsidRPr="00AB3200">
        <w:rPr>
          <w:rFonts w:hAnsi="標楷體" w:hint="eastAsia"/>
          <w:szCs w:val="32"/>
        </w:rPr>
        <w:t>鑑</w:t>
      </w:r>
      <w:proofErr w:type="gramEnd"/>
      <w:r w:rsidRPr="00AB3200">
        <w:rPr>
          <w:rFonts w:hAnsi="標楷體" w:hint="eastAsia"/>
          <w:szCs w:val="32"/>
        </w:rPr>
        <w:t>於國人赴海外(如：中國大陸、澳洲、新加坡等)就業日趨頻繁，不論係屬高階白領工作者或基層藍領勞工，海外工作權益問題應予重視，</w:t>
      </w:r>
      <w:r w:rsidRPr="00AB3200">
        <w:rPr>
          <w:rFonts w:hAnsi="標楷體"/>
          <w:szCs w:val="32"/>
        </w:rPr>
        <w:t>行政院允</w:t>
      </w:r>
      <w:r w:rsidRPr="00AB3200">
        <w:rPr>
          <w:rFonts w:hAnsi="標楷體" w:hint="eastAsia"/>
          <w:szCs w:val="32"/>
        </w:rPr>
        <w:t>宜</w:t>
      </w:r>
      <w:r w:rsidRPr="00AB3200">
        <w:rPr>
          <w:rFonts w:hAnsi="標楷體"/>
          <w:szCs w:val="32"/>
        </w:rPr>
        <w:t>評估應否統合各部會，規劃建置</w:t>
      </w:r>
      <w:r w:rsidRPr="00AB3200">
        <w:rPr>
          <w:rFonts w:hAnsi="標楷體" w:hint="eastAsia"/>
          <w:szCs w:val="32"/>
        </w:rPr>
        <w:t>海外企業與國人赴海外就業之網站媒合平台、</w:t>
      </w:r>
      <w:r w:rsidRPr="00AB3200">
        <w:rPr>
          <w:rFonts w:hAnsi="標楷體"/>
          <w:szCs w:val="32"/>
        </w:rPr>
        <w:t>國內流出人才資料庫，掌握我國人才移動情形</w:t>
      </w:r>
      <w:r w:rsidRPr="00AB3200">
        <w:rPr>
          <w:rFonts w:hAnsi="標楷體" w:hint="eastAsia"/>
          <w:szCs w:val="32"/>
        </w:rPr>
        <w:t>(尤以高階人才外流資料庫之建置)</w:t>
      </w:r>
      <w:r w:rsidRPr="00AB3200">
        <w:rPr>
          <w:rFonts w:hAnsi="標楷體"/>
          <w:szCs w:val="32"/>
        </w:rPr>
        <w:t>，</w:t>
      </w:r>
      <w:r w:rsidRPr="00AB3200">
        <w:rPr>
          <w:rFonts w:hAnsi="標楷體"/>
          <w:szCs w:val="32"/>
        </w:rPr>
        <w:lastRenderedPageBreak/>
        <w:t>以強化國內與流出人才之連</w:t>
      </w:r>
      <w:proofErr w:type="gramStart"/>
      <w:r w:rsidRPr="00AB3200">
        <w:rPr>
          <w:rFonts w:hAnsi="標楷體"/>
          <w:szCs w:val="32"/>
        </w:rPr>
        <w:t>繫</w:t>
      </w:r>
      <w:proofErr w:type="gramEnd"/>
      <w:r w:rsidRPr="00AB3200">
        <w:rPr>
          <w:rFonts w:hAnsi="標楷體"/>
          <w:szCs w:val="32"/>
        </w:rPr>
        <w:t>管道，</w:t>
      </w:r>
      <w:r w:rsidRPr="00AB3200">
        <w:rPr>
          <w:rFonts w:hAnsi="標楷體" w:hint="eastAsia"/>
          <w:szCs w:val="32"/>
        </w:rPr>
        <w:t>並</w:t>
      </w:r>
      <w:r w:rsidRPr="00AB3200">
        <w:rPr>
          <w:rFonts w:hAnsi="標楷體"/>
          <w:szCs w:val="32"/>
        </w:rPr>
        <w:t>擬訂適當因應措施，強化海外就業權益保障及求助管道功能，暨日後回國之後續回流就業機制，以配合各項政府所推動強化產業之財經政策，於改善產業體質提升待遇後，除能延攬國外專業人才外，更能優先引導我國外流人才回國效力。</w:t>
      </w:r>
      <w:bookmarkEnd w:id="46"/>
    </w:p>
    <w:p w:rsidR="00203F6C" w:rsidRPr="00AB3200" w:rsidRDefault="00203F6C" w:rsidP="00203F6C">
      <w:pPr>
        <w:pStyle w:val="3"/>
        <w:ind w:left="1360" w:hanging="680"/>
        <w:rPr>
          <w:rFonts w:hAnsi="標楷體"/>
          <w:szCs w:val="32"/>
        </w:rPr>
      </w:pPr>
      <w:bookmarkStart w:id="47" w:name="_Toc393464359"/>
      <w:r w:rsidRPr="00AB3200">
        <w:rPr>
          <w:rFonts w:hAnsi="標楷體" w:hint="eastAsia"/>
          <w:szCs w:val="32"/>
        </w:rPr>
        <w:t>台灣青年人赴澳洲打工者，日益增多，不時有遭剝削、</w:t>
      </w:r>
      <w:proofErr w:type="gramStart"/>
      <w:r w:rsidRPr="00AB3200">
        <w:rPr>
          <w:rFonts w:hAnsi="標楷體" w:hint="eastAsia"/>
          <w:szCs w:val="32"/>
        </w:rPr>
        <w:t>性侵或</w:t>
      </w:r>
      <w:proofErr w:type="gramEnd"/>
      <w:r w:rsidRPr="00AB3200">
        <w:rPr>
          <w:rFonts w:hAnsi="標楷體" w:hint="eastAsia"/>
          <w:szCs w:val="32"/>
        </w:rPr>
        <w:t>發生職災之情形，亦有赴新加坡工作者遭欺騙剝削之情事發生。為防青年人因資訊不足而受害，政府實有整合相關資源，加強宣導之必要，遇有遭剝削傷害等情事，亦應提供必要協助。本院</w:t>
      </w:r>
      <w:r w:rsidR="005A74D5" w:rsidRPr="00AB3200">
        <w:rPr>
          <w:rFonts w:hAnsi="標楷體" w:hint="eastAsia"/>
          <w:szCs w:val="32"/>
        </w:rPr>
        <w:t>前</w:t>
      </w:r>
      <w:r w:rsidRPr="00AB3200">
        <w:rPr>
          <w:rFonts w:hAnsi="標楷體" w:hint="eastAsia"/>
          <w:szCs w:val="32"/>
        </w:rPr>
        <w:t>於</w:t>
      </w:r>
      <w:r w:rsidR="005A74D5" w:rsidRPr="00AB3200">
        <w:rPr>
          <w:rFonts w:hAnsi="標楷體" w:hint="eastAsia"/>
          <w:szCs w:val="32"/>
        </w:rPr>
        <w:t>103年4月21日以院</w:t>
      </w:r>
      <w:proofErr w:type="gramStart"/>
      <w:r w:rsidR="005A74D5" w:rsidRPr="00AB3200">
        <w:rPr>
          <w:rFonts w:hAnsi="標楷體" w:hint="eastAsia"/>
          <w:szCs w:val="32"/>
        </w:rPr>
        <w:t>台調壹字</w:t>
      </w:r>
      <w:proofErr w:type="gramEnd"/>
      <w:r w:rsidR="005A74D5" w:rsidRPr="00AB3200">
        <w:rPr>
          <w:rFonts w:hAnsi="標楷體" w:hint="eastAsia"/>
          <w:szCs w:val="32"/>
        </w:rPr>
        <w:t>1030800076號以「打工度假」所產生安全與急難救助等問題進行調查，並通過「</w:t>
      </w:r>
      <w:r w:rsidR="005A74D5" w:rsidRPr="00AB3200">
        <w:rPr>
          <w:rFonts w:ascii="Times New Roman" w:hAnsi="Times New Roman"/>
        </w:rPr>
        <w:t>目前國內各機關對於國人從事打工度假相關宣導作為過少且流於分散，對於打工度假相關風險與提醒仍有不足，相關宣導措施與平</w:t>
      </w:r>
      <w:proofErr w:type="gramStart"/>
      <w:r w:rsidR="005A74D5" w:rsidRPr="00AB3200">
        <w:rPr>
          <w:rFonts w:ascii="Times New Roman" w:hAnsi="Times New Roman"/>
        </w:rPr>
        <w:t>臺</w:t>
      </w:r>
      <w:proofErr w:type="gramEnd"/>
      <w:r w:rsidR="005A74D5" w:rsidRPr="00AB3200">
        <w:rPr>
          <w:rFonts w:ascii="Times New Roman" w:hAnsi="Times New Roman"/>
        </w:rPr>
        <w:t>允宜整合，</w:t>
      </w:r>
      <w:proofErr w:type="gramStart"/>
      <w:r w:rsidR="005A74D5" w:rsidRPr="00AB3200">
        <w:rPr>
          <w:rFonts w:ascii="Times New Roman" w:hAnsi="Times New Roman"/>
        </w:rPr>
        <w:t>俾</w:t>
      </w:r>
      <w:proofErr w:type="gramEnd"/>
      <w:r w:rsidR="005A74D5" w:rsidRPr="00AB3200">
        <w:rPr>
          <w:rFonts w:ascii="Times New Roman" w:hAnsi="Times New Roman"/>
        </w:rPr>
        <w:t>供欲從事打工度假青年及其家屬審慎考量</w:t>
      </w:r>
      <w:proofErr w:type="gramStart"/>
      <w:r w:rsidR="005A74D5" w:rsidRPr="00AB3200">
        <w:rPr>
          <w:rFonts w:ascii="Times New Roman" w:hAnsi="Times New Roman"/>
        </w:rPr>
        <w:t>之參據</w:t>
      </w:r>
      <w:proofErr w:type="gramEnd"/>
      <w:r w:rsidR="005A74D5" w:rsidRPr="00AB3200">
        <w:rPr>
          <w:rFonts w:hAnsi="標楷體" w:hint="eastAsia"/>
          <w:szCs w:val="32"/>
        </w:rPr>
        <w:t>」、</w:t>
      </w:r>
      <w:r w:rsidRPr="00AB3200">
        <w:rPr>
          <w:rFonts w:hAnsi="標楷體" w:hint="eastAsia"/>
          <w:szCs w:val="32"/>
        </w:rPr>
        <w:t>「</w:t>
      </w:r>
      <w:proofErr w:type="gramStart"/>
      <w:r w:rsidR="005A74D5" w:rsidRPr="00AB3200">
        <w:rPr>
          <w:rFonts w:ascii="Times New Roman" w:hAnsi="Times New Roman"/>
        </w:rPr>
        <w:t>鑑</w:t>
      </w:r>
      <w:proofErr w:type="gramEnd"/>
      <w:r w:rsidR="005A74D5" w:rsidRPr="00AB3200">
        <w:rPr>
          <w:rFonts w:ascii="Times New Roman" w:hAnsi="Times New Roman"/>
        </w:rPr>
        <w:t>於赴海外打工度假之人數漸增，外交部允宜會同有關部會強化對於打工度假國人之聯繫網絡建置、掌握國人赴海外打工度假之趨勢分析、類型分析、風險評估、成效評估等，以作為就業、教育、文化交流等與外交政策結合之政策分析依據，以利我國活路外交之整體推動</w:t>
      </w:r>
      <w:r w:rsidRPr="00AB3200">
        <w:rPr>
          <w:rFonts w:hAnsi="標楷體" w:hint="eastAsia"/>
          <w:szCs w:val="32"/>
        </w:rPr>
        <w:t>」</w:t>
      </w:r>
      <w:r w:rsidR="005A74D5" w:rsidRPr="00AB3200">
        <w:rPr>
          <w:rFonts w:hAnsi="標楷體" w:hint="eastAsia"/>
          <w:szCs w:val="32"/>
        </w:rPr>
        <w:t>等調查意見，行政院亦應參酌該等意見，改善青年</w:t>
      </w:r>
      <w:r w:rsidR="00107C69" w:rsidRPr="00AB3200">
        <w:rPr>
          <w:rFonts w:hAnsi="標楷體" w:hint="eastAsia"/>
          <w:szCs w:val="32"/>
        </w:rPr>
        <w:t>赴海外工</w:t>
      </w:r>
      <w:r w:rsidR="00656822" w:rsidRPr="00AB3200">
        <w:rPr>
          <w:rFonts w:hAnsi="標楷體" w:hint="eastAsia"/>
          <w:szCs w:val="32"/>
        </w:rPr>
        <w:t>作</w:t>
      </w:r>
      <w:r w:rsidR="00107C69" w:rsidRPr="00AB3200">
        <w:rPr>
          <w:rFonts w:hAnsi="標楷體" w:hint="eastAsia"/>
          <w:szCs w:val="32"/>
        </w:rPr>
        <w:t>所面對之問題</w:t>
      </w:r>
      <w:r w:rsidRPr="00AB3200">
        <w:rPr>
          <w:rFonts w:hAnsi="標楷體" w:hint="eastAsia"/>
          <w:szCs w:val="32"/>
        </w:rPr>
        <w:t>。</w:t>
      </w:r>
      <w:bookmarkEnd w:id="47"/>
    </w:p>
    <w:p w:rsidR="00203F6C" w:rsidRPr="00AB3200" w:rsidRDefault="00203F6C" w:rsidP="00203F6C">
      <w:pPr>
        <w:pStyle w:val="3"/>
        <w:ind w:left="1418" w:hanging="709"/>
      </w:pPr>
      <w:bookmarkStart w:id="48" w:name="_Toc393464360"/>
      <w:r w:rsidRPr="00AB3200">
        <w:t>綜上，國內就業市場之環境及薪資待遇欠佳，人才流失有日益嚴重趨勢，行政院允</w:t>
      </w:r>
      <w:r w:rsidRPr="00AB3200">
        <w:rPr>
          <w:rFonts w:hint="eastAsia"/>
        </w:rPr>
        <w:t>宜</w:t>
      </w:r>
      <w:r w:rsidRPr="00AB3200">
        <w:t>儘速督促相關部會，建立適當機制確實掌握人才流動情形，建置人才資料庫，作為政府人才政策規劃及擬訂方向之參考。</w:t>
      </w:r>
      <w:bookmarkEnd w:id="48"/>
    </w:p>
    <w:p w:rsidR="003A213D" w:rsidRPr="00AB3200" w:rsidRDefault="003A213D" w:rsidP="003A213D">
      <w:pPr>
        <w:pStyle w:val="20"/>
        <w:ind w:left="1020" w:hanging="680"/>
        <w:rPr>
          <w:rFonts w:hAnsi="標楷體"/>
          <w:b/>
        </w:rPr>
      </w:pPr>
      <w:bookmarkStart w:id="49" w:name="_Toc393464361"/>
      <w:bookmarkEnd w:id="20"/>
      <w:bookmarkEnd w:id="21"/>
      <w:bookmarkEnd w:id="22"/>
      <w:r w:rsidRPr="00AB3200">
        <w:rPr>
          <w:rFonts w:hAnsi="標楷體" w:hint="eastAsia"/>
          <w:b/>
        </w:rPr>
        <w:lastRenderedPageBreak/>
        <w:t>我國勞動市場已存在人力供需失衡結構性現象，</w:t>
      </w:r>
      <w:r w:rsidRPr="00AB3200">
        <w:rPr>
          <w:rFonts w:hAnsi="標楷體"/>
          <w:b/>
        </w:rPr>
        <w:t>國發會肩負我國人力供需預測及分析之責，且為協調各中央目的事業主管機關辦理重點產業人才供需調查及推估之專責單位，然該會以人力需求推估，各部會多依其專業</w:t>
      </w:r>
      <w:r w:rsidRPr="00AB3200">
        <w:rPr>
          <w:rFonts w:hAnsi="標楷體" w:hint="eastAsia"/>
          <w:b/>
        </w:rPr>
        <w:t>職</w:t>
      </w:r>
      <w:r w:rsidRPr="00AB3200">
        <w:rPr>
          <w:rFonts w:hAnsi="標楷體"/>
          <w:b/>
        </w:rPr>
        <w:t>掌自行規劃政策，</w:t>
      </w:r>
      <w:r w:rsidRPr="00AB3200">
        <w:rPr>
          <w:rFonts w:hAnsi="標楷體" w:hint="eastAsia"/>
          <w:b/>
        </w:rPr>
        <w:t>惟</w:t>
      </w:r>
      <w:r w:rsidRPr="00AB3200">
        <w:rPr>
          <w:rFonts w:hAnsi="標楷體"/>
          <w:b/>
        </w:rPr>
        <w:t>未能</w:t>
      </w:r>
      <w:r w:rsidRPr="00AB3200">
        <w:rPr>
          <w:rFonts w:hAnsi="標楷體" w:hint="eastAsia"/>
          <w:b/>
        </w:rPr>
        <w:t>有效協調整合各部會之</w:t>
      </w:r>
      <w:r w:rsidRPr="00AB3200">
        <w:rPr>
          <w:rFonts w:hAnsi="標楷體"/>
          <w:b/>
        </w:rPr>
        <w:t>執行</w:t>
      </w:r>
      <w:r w:rsidR="00B9278A" w:rsidRPr="00AB3200">
        <w:rPr>
          <w:rFonts w:hAnsi="標楷體" w:hint="eastAsia"/>
          <w:b/>
        </w:rPr>
        <w:t>，</w:t>
      </w:r>
      <w:r w:rsidRPr="00AB3200">
        <w:rPr>
          <w:rFonts w:hAnsi="標楷體" w:hint="eastAsia"/>
          <w:b/>
        </w:rPr>
        <w:t>以作為</w:t>
      </w:r>
      <w:r w:rsidR="00B9278A" w:rsidRPr="00AB3200">
        <w:rPr>
          <w:rFonts w:hAnsi="標楷體" w:hint="eastAsia"/>
          <w:b/>
        </w:rPr>
        <w:t>國家</w:t>
      </w:r>
      <w:r w:rsidRPr="00AB3200">
        <w:rPr>
          <w:rFonts w:hAnsi="標楷體" w:hint="eastAsia"/>
          <w:b/>
        </w:rPr>
        <w:t>人力政策</w:t>
      </w:r>
      <w:r w:rsidR="00B9278A" w:rsidRPr="00AB3200">
        <w:rPr>
          <w:rFonts w:hAnsi="標楷體" w:hint="eastAsia"/>
          <w:b/>
        </w:rPr>
        <w:t>之方向</w:t>
      </w:r>
      <w:r w:rsidRPr="00AB3200">
        <w:rPr>
          <w:rFonts w:hAnsi="標楷體"/>
          <w:b/>
        </w:rPr>
        <w:t>，</w:t>
      </w:r>
      <w:r w:rsidRPr="00AB3200">
        <w:rPr>
          <w:rFonts w:hAnsi="標楷體" w:hint="eastAsia"/>
          <w:b/>
        </w:rPr>
        <w:t>亦無法提供學生、家長或社會有關人力供需之資訊，致教育體系各系所人才培育無法與產業發展需求相對應，導致人才培育長期供需失衡及產學落差現象，允宜檢討改進</w:t>
      </w:r>
      <w:r w:rsidRPr="00AB3200">
        <w:rPr>
          <w:rFonts w:hAnsi="標楷體"/>
          <w:b/>
        </w:rPr>
        <w:t>。</w:t>
      </w:r>
      <w:bookmarkEnd w:id="49"/>
    </w:p>
    <w:p w:rsidR="009A6770" w:rsidRPr="00AB3200" w:rsidRDefault="009A6770" w:rsidP="007D23A3">
      <w:pPr>
        <w:pStyle w:val="3"/>
        <w:ind w:left="1418" w:hanging="709"/>
        <w:rPr>
          <w:rFonts w:ascii="Times New Roman" w:hAnsi="Times New Roman"/>
          <w:szCs w:val="32"/>
        </w:rPr>
      </w:pPr>
      <w:bookmarkStart w:id="50" w:name="_Toc392764824"/>
      <w:bookmarkStart w:id="51" w:name="_Toc393464362"/>
      <w:bookmarkStart w:id="52" w:name="_Toc392764823"/>
      <w:bookmarkStart w:id="53" w:name="_Toc357431690"/>
      <w:r w:rsidRPr="00AB3200">
        <w:rPr>
          <w:rFonts w:hAnsi="標楷體"/>
        </w:rPr>
        <w:t>按</w:t>
      </w:r>
      <w:r w:rsidRPr="00AB3200">
        <w:rPr>
          <w:rFonts w:hAnsi="標楷體"/>
          <w:bCs w:val="0"/>
        </w:rPr>
        <w:t>國家發展委員會組織法</w:t>
      </w:r>
      <w:r w:rsidRPr="00AB3200">
        <w:rPr>
          <w:rFonts w:hAnsi="標楷體"/>
        </w:rPr>
        <w:t>第1條規定：「行政院為辦理國家發展之規劃、協調、審議、資源分配業務，特設國家發展委員會」，另按國家發展委員會處</w:t>
      </w:r>
      <w:proofErr w:type="gramStart"/>
      <w:r w:rsidRPr="00AB3200">
        <w:rPr>
          <w:rFonts w:hAnsi="標楷體"/>
        </w:rPr>
        <w:t>務</w:t>
      </w:r>
      <w:proofErr w:type="gramEnd"/>
      <w:r w:rsidRPr="00AB3200">
        <w:rPr>
          <w:rFonts w:hAnsi="標楷體"/>
        </w:rPr>
        <w:t>規程第10條規定：「人力</w:t>
      </w:r>
      <w:proofErr w:type="gramStart"/>
      <w:r w:rsidRPr="00AB3200">
        <w:rPr>
          <w:rFonts w:hAnsi="標楷體"/>
        </w:rPr>
        <w:t>發展處掌理事</w:t>
      </w:r>
      <w:proofErr w:type="gramEnd"/>
      <w:r w:rsidRPr="00AB3200">
        <w:rPr>
          <w:rFonts w:hAnsi="標楷體"/>
        </w:rPr>
        <w:t>項如下：一、人力發展政策與計畫之</w:t>
      </w:r>
      <w:proofErr w:type="gramStart"/>
      <w:r w:rsidRPr="00AB3200">
        <w:rPr>
          <w:rFonts w:hAnsi="標楷體"/>
        </w:rPr>
        <w:t>研</w:t>
      </w:r>
      <w:proofErr w:type="gramEnd"/>
      <w:r w:rsidRPr="00AB3200">
        <w:rPr>
          <w:rFonts w:hAnsi="標楷體"/>
        </w:rPr>
        <w:t>擬及審議。二、</w:t>
      </w:r>
      <w:proofErr w:type="gramStart"/>
      <w:r w:rsidRPr="00AB3200">
        <w:rPr>
          <w:rFonts w:hAnsi="標楷體"/>
        </w:rPr>
        <w:t>人口推計</w:t>
      </w:r>
      <w:proofErr w:type="gramEnd"/>
      <w:r w:rsidRPr="00AB3200">
        <w:rPr>
          <w:rFonts w:hAnsi="標楷體"/>
        </w:rPr>
        <w:t>、人力供需預測及分析。三、人力資源之教育與職業訓練之研究及分析。四、就業市場與勞動法制之研究及分析。五、國際人力資源與人才引進業務之協調及推動。六、老年經濟安全制度與所得分配政策之研究及分析。七、其他有關人力發展事項。」；次按產業創新條例第17條規定：「為強化產業發展所需人才，行政院應指定專責機關建立產業人才資源發展之協調整合機制，推動下列事項：一、協調各中央目的事業主管機關辦理重點產業人才供需調查及推估。二、整合產業人才供需資訊，訂定產業人才資源發展策略。三、協調產業人才資源發展之推動事宜。四、推動產業、學術、研究及職業訓練機構合作之規劃。」</w:t>
      </w:r>
      <w:r w:rsidRPr="00AB3200">
        <w:rPr>
          <w:rFonts w:hAnsi="標楷體" w:hint="eastAsia"/>
        </w:rPr>
        <w:t>，</w:t>
      </w:r>
      <w:r w:rsidRPr="00AB3200">
        <w:rPr>
          <w:rFonts w:hAnsi="標楷體"/>
          <w:szCs w:val="32"/>
        </w:rPr>
        <w:t>行政院業於99年10月指定國發會為推動辦理產業創新條例第17條規定事項之專責機關</w:t>
      </w:r>
      <w:r w:rsidRPr="00AB3200">
        <w:rPr>
          <w:rFonts w:hAnsi="標楷體" w:hint="eastAsia"/>
          <w:szCs w:val="32"/>
        </w:rPr>
        <w:t>，是</w:t>
      </w:r>
      <w:proofErr w:type="gramStart"/>
      <w:r w:rsidRPr="00AB3200">
        <w:rPr>
          <w:rFonts w:hAnsi="標楷體" w:hint="eastAsia"/>
          <w:szCs w:val="32"/>
        </w:rPr>
        <w:t>以</w:t>
      </w:r>
      <w:proofErr w:type="gramEnd"/>
      <w:r w:rsidRPr="00AB3200">
        <w:rPr>
          <w:rFonts w:hAnsi="標楷體" w:hint="eastAsia"/>
          <w:szCs w:val="32"/>
        </w:rPr>
        <w:t>，國發會</w:t>
      </w:r>
      <w:r w:rsidRPr="00AB3200">
        <w:rPr>
          <w:rFonts w:hAnsi="標楷體"/>
        </w:rPr>
        <w:t>肩負我國人力</w:t>
      </w:r>
      <w:r w:rsidRPr="00AB3200">
        <w:rPr>
          <w:rFonts w:hAnsi="標楷體"/>
        </w:rPr>
        <w:lastRenderedPageBreak/>
        <w:t>供需預測及分析之責</w:t>
      </w:r>
      <w:r w:rsidRPr="00AB3200">
        <w:rPr>
          <w:rFonts w:hAnsi="標楷體"/>
          <w:szCs w:val="32"/>
        </w:rPr>
        <w:t>。</w:t>
      </w:r>
      <w:bookmarkEnd w:id="50"/>
      <w:bookmarkEnd w:id="51"/>
    </w:p>
    <w:p w:rsidR="0097459C" w:rsidRPr="00AB3200" w:rsidRDefault="009A6770" w:rsidP="007D23A3">
      <w:pPr>
        <w:pStyle w:val="3"/>
        <w:ind w:left="1418" w:hanging="709"/>
        <w:rPr>
          <w:rFonts w:ascii="Times New Roman" w:hAnsi="Times New Roman"/>
          <w:szCs w:val="32"/>
        </w:rPr>
      </w:pPr>
      <w:bookmarkStart w:id="54" w:name="_Toc393464363"/>
      <w:r w:rsidRPr="00AB3200">
        <w:rPr>
          <w:rFonts w:ascii="Times New Roman" w:hAnsi="標楷體" w:hint="eastAsia"/>
          <w:bCs w:val="0"/>
          <w:szCs w:val="32"/>
        </w:rPr>
        <w:t>查</w:t>
      </w:r>
      <w:r w:rsidR="007D23A3" w:rsidRPr="00AB3200">
        <w:rPr>
          <w:rFonts w:ascii="Times New Roman" w:hAnsi="標楷體" w:hint="eastAsia"/>
          <w:bCs w:val="0"/>
          <w:szCs w:val="32"/>
        </w:rPr>
        <w:t>我國整體失業人數約為</w:t>
      </w:r>
      <w:r w:rsidR="007D23A3" w:rsidRPr="00AB3200">
        <w:rPr>
          <w:rFonts w:ascii="Times New Roman" w:hAnsi="標楷體" w:hint="eastAsia"/>
          <w:bCs w:val="0"/>
          <w:szCs w:val="32"/>
        </w:rPr>
        <w:t>46.1</w:t>
      </w:r>
      <w:r w:rsidR="007D23A3" w:rsidRPr="00AB3200">
        <w:rPr>
          <w:rFonts w:ascii="Times New Roman" w:hAnsi="標楷體" w:hint="eastAsia"/>
          <w:bCs w:val="0"/>
          <w:szCs w:val="32"/>
        </w:rPr>
        <w:t>萬人，然廠商缺工人數卻高達</w:t>
      </w:r>
      <w:r w:rsidR="007D23A3" w:rsidRPr="00AB3200">
        <w:rPr>
          <w:rFonts w:ascii="Times New Roman" w:hAnsi="標楷體" w:hint="eastAsia"/>
          <w:bCs w:val="0"/>
          <w:szCs w:val="32"/>
        </w:rPr>
        <w:t>26.34</w:t>
      </w:r>
      <w:r w:rsidR="007D23A3" w:rsidRPr="00AB3200">
        <w:rPr>
          <w:rFonts w:ascii="Times New Roman" w:hAnsi="標楷體" w:hint="eastAsia"/>
          <w:bCs w:val="0"/>
          <w:szCs w:val="32"/>
        </w:rPr>
        <w:t>萬</w:t>
      </w:r>
      <w:r w:rsidR="0097459C" w:rsidRPr="00AB3200">
        <w:rPr>
          <w:rFonts w:ascii="Times New Roman" w:hAnsi="標楷體" w:hint="eastAsia"/>
          <w:bCs w:val="0"/>
          <w:szCs w:val="32"/>
        </w:rPr>
        <w:t>餘</w:t>
      </w:r>
      <w:r w:rsidR="007D23A3" w:rsidRPr="00AB3200">
        <w:rPr>
          <w:rFonts w:ascii="Times New Roman" w:hAnsi="標楷體" w:hint="eastAsia"/>
          <w:bCs w:val="0"/>
          <w:szCs w:val="32"/>
        </w:rPr>
        <w:t>人</w:t>
      </w:r>
      <w:r w:rsidR="0097459C" w:rsidRPr="00AB3200">
        <w:rPr>
          <w:rFonts w:ascii="Times New Roman" w:hAnsi="標楷體" w:hint="eastAsia"/>
          <w:bCs w:val="0"/>
          <w:szCs w:val="32"/>
        </w:rPr>
        <w:t>，顯國內人力共需呈現結構性失衡現象。</w:t>
      </w:r>
      <w:bookmarkEnd w:id="54"/>
    </w:p>
    <w:p w:rsidR="007D23A3" w:rsidRPr="00AB3200" w:rsidRDefault="00842698" w:rsidP="0097459C">
      <w:pPr>
        <w:pStyle w:val="4"/>
        <w:ind w:left="1843" w:hanging="709"/>
        <w:rPr>
          <w:rFonts w:hAnsi="Times New Roman"/>
        </w:rPr>
      </w:pPr>
      <w:r w:rsidRPr="00AB3200">
        <w:rPr>
          <w:rFonts w:hint="eastAsia"/>
          <w:kern w:val="0"/>
        </w:rPr>
        <w:t>廠商缺</w:t>
      </w:r>
      <w:proofErr w:type="gramStart"/>
      <w:r w:rsidRPr="00AB3200">
        <w:rPr>
          <w:rFonts w:hint="eastAsia"/>
          <w:kern w:val="0"/>
        </w:rPr>
        <w:t>工人數係指</w:t>
      </w:r>
      <w:proofErr w:type="gramEnd"/>
      <w:r w:rsidR="007D23A3" w:rsidRPr="00AB3200">
        <w:rPr>
          <w:kern w:val="0"/>
        </w:rPr>
        <w:t>實際具有該項工作機會或職缺，但尚未找到適當人員就任之人數，如企業擴大營運、增設生產線尚待增</w:t>
      </w:r>
      <w:proofErr w:type="gramStart"/>
      <w:r w:rsidR="007D23A3" w:rsidRPr="00AB3200">
        <w:rPr>
          <w:kern w:val="0"/>
        </w:rPr>
        <w:t>僱</w:t>
      </w:r>
      <w:proofErr w:type="gramEnd"/>
      <w:r w:rsidR="007D23A3" w:rsidRPr="00AB3200">
        <w:rPr>
          <w:kern w:val="0"/>
        </w:rPr>
        <w:t>，或有人員退出時等待補充之人數，但</w:t>
      </w:r>
      <w:proofErr w:type="gramStart"/>
      <w:r w:rsidR="007D23A3" w:rsidRPr="00AB3200">
        <w:rPr>
          <w:kern w:val="0"/>
        </w:rPr>
        <w:t>不含遇缺</w:t>
      </w:r>
      <w:proofErr w:type="gramEnd"/>
      <w:r w:rsidR="007D23A3" w:rsidRPr="00AB3200">
        <w:rPr>
          <w:kern w:val="0"/>
        </w:rPr>
        <w:t>不補之員額，廠商已僱用員工數與空缺人數之合計能反映各行業勞動需求之多寡，通常受僱員工人數較多之行業，其空缺人數亦較多，亦即求職者於該行業就業機會亦多。</w:t>
      </w:r>
    </w:p>
    <w:p w:rsidR="007D23A3" w:rsidRPr="00AB3200" w:rsidRDefault="007D23A3" w:rsidP="0097459C">
      <w:pPr>
        <w:pStyle w:val="4"/>
        <w:ind w:left="1843" w:hanging="709"/>
        <w:rPr>
          <w:rFonts w:hAnsi="Times New Roman"/>
        </w:rPr>
      </w:pPr>
      <w:r w:rsidRPr="00AB3200">
        <w:rPr>
          <w:kern w:val="0"/>
        </w:rPr>
        <w:t>缺工及失業皆係勞動市場未達平衡之結果，並於實際經濟社會中同時發生，表示廠商空缺之職位與失業者存在職類、教育程度、薪資、年齡或訊息、地域上之差距，</w:t>
      </w:r>
      <w:proofErr w:type="gramStart"/>
      <w:r w:rsidRPr="00AB3200">
        <w:rPr>
          <w:kern w:val="0"/>
        </w:rPr>
        <w:t>此外，</w:t>
      </w:r>
      <w:proofErr w:type="gramEnd"/>
      <w:r w:rsidRPr="00AB3200">
        <w:rPr>
          <w:kern w:val="0"/>
        </w:rPr>
        <w:t>廠商缺工亦與經濟景氣波動、產業結構改變、就業媒合問題、員工流動情形等因素息息相關。</w:t>
      </w:r>
    </w:p>
    <w:p w:rsidR="007D23A3" w:rsidRPr="00AB3200" w:rsidRDefault="007D23A3" w:rsidP="0097459C">
      <w:pPr>
        <w:pStyle w:val="4"/>
        <w:ind w:left="1843" w:hanging="709"/>
        <w:rPr>
          <w:rFonts w:hAnsi="Times New Roman"/>
        </w:rPr>
      </w:pPr>
      <w:r w:rsidRPr="00AB3200">
        <w:rPr>
          <w:kern w:val="0"/>
        </w:rPr>
        <w:t>空缺率及失業率為解釋勞動市場變遷之指標，缺工表示勞動供給不足，失業表示勞動供過於求，兩者大致呈現反向走勢，景氣熱絡時，失業率下降，空缺率上升，反之則失業率上升，空缺率下降。</w:t>
      </w:r>
    </w:p>
    <w:p w:rsidR="007D23A3" w:rsidRPr="00AB3200" w:rsidRDefault="007D23A3" w:rsidP="00842698">
      <w:pPr>
        <w:pStyle w:val="4"/>
        <w:ind w:left="1843" w:hanging="709"/>
        <w:rPr>
          <w:rFonts w:hAnsi="Times New Roman"/>
        </w:rPr>
      </w:pPr>
      <w:r w:rsidRPr="00AB3200">
        <w:rPr>
          <w:kern w:val="0"/>
        </w:rPr>
        <w:t>廠商空缺員工概況</w:t>
      </w:r>
      <w:r w:rsidR="00842698" w:rsidRPr="00AB3200">
        <w:rPr>
          <w:rFonts w:hint="eastAsia"/>
          <w:kern w:val="0"/>
        </w:rPr>
        <w:t>如下，102年8月合計缺工人數為26萬3,433人。</w:t>
      </w:r>
      <w:r w:rsidRPr="00AB3200">
        <w:rPr>
          <w:rFonts w:hAnsi="Times New Roman"/>
          <w:kern w:val="0"/>
        </w:rPr>
        <w:t>:</w:t>
      </w:r>
    </w:p>
    <w:p w:rsidR="0097459C" w:rsidRPr="00AB3200" w:rsidRDefault="0097459C" w:rsidP="0097459C">
      <w:pPr>
        <w:pStyle w:val="20"/>
        <w:numPr>
          <w:ilvl w:val="0"/>
          <w:numId w:val="0"/>
        </w:numPr>
        <w:spacing w:line="300" w:lineRule="exact"/>
        <w:ind w:left="346"/>
        <w:jc w:val="center"/>
        <w:rPr>
          <w:rFonts w:ascii="Times New Roman" w:hAnsi="Times New Roman"/>
          <w:sz w:val="24"/>
          <w:szCs w:val="24"/>
        </w:rPr>
      </w:pPr>
      <w:bookmarkStart w:id="55" w:name="_Toc393464364"/>
      <w:r w:rsidRPr="00AB3200">
        <w:rPr>
          <w:rFonts w:ascii="Times New Roman" w:hAnsi="Times New Roman"/>
          <w:sz w:val="24"/>
          <w:szCs w:val="24"/>
        </w:rPr>
        <w:t>工業及服務業廠商空缺員工概況</w:t>
      </w:r>
      <w:r w:rsidRPr="00AB3200">
        <w:rPr>
          <w:rFonts w:ascii="Times New Roman" w:hAnsi="Times New Roman"/>
          <w:sz w:val="24"/>
          <w:szCs w:val="24"/>
        </w:rPr>
        <w:t>:102.</w:t>
      </w:r>
      <w:r w:rsidRPr="00AB3200">
        <w:rPr>
          <w:rFonts w:ascii="Times New Roman" w:hAnsi="Times New Roman" w:hint="eastAsia"/>
          <w:sz w:val="24"/>
          <w:szCs w:val="24"/>
        </w:rPr>
        <w:t>8</w:t>
      </w:r>
      <w:bookmarkEnd w:id="55"/>
    </w:p>
    <w:p w:rsidR="0097459C" w:rsidRPr="00AB3200" w:rsidRDefault="0097459C" w:rsidP="0097459C">
      <w:pPr>
        <w:pStyle w:val="20"/>
        <w:numPr>
          <w:ilvl w:val="0"/>
          <w:numId w:val="0"/>
        </w:numPr>
        <w:spacing w:line="240" w:lineRule="exact"/>
        <w:ind w:left="346"/>
        <w:jc w:val="right"/>
        <w:rPr>
          <w:rFonts w:ascii="Times New Roman" w:hAnsi="Times New Roman"/>
          <w:sz w:val="20"/>
          <w:szCs w:val="20"/>
        </w:rPr>
      </w:pPr>
      <w:bookmarkStart w:id="56" w:name="_Toc393464365"/>
      <w:r w:rsidRPr="00AB3200">
        <w:rPr>
          <w:rFonts w:ascii="Times New Roman" w:hAnsi="Times New Roman"/>
          <w:sz w:val="20"/>
          <w:szCs w:val="20"/>
        </w:rPr>
        <w:t>單位：人；％</w:t>
      </w:r>
      <w:bookmarkEnd w:id="56"/>
    </w:p>
    <w:tbl>
      <w:tblPr>
        <w:tblW w:w="7478" w:type="dxa"/>
        <w:tblInd w:w="1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3242"/>
        <w:gridCol w:w="1694"/>
        <w:gridCol w:w="1694"/>
        <w:gridCol w:w="848"/>
      </w:tblGrid>
      <w:tr w:rsidR="0097459C" w:rsidRPr="00AB3200" w:rsidTr="0097459C">
        <w:trPr>
          <w:trHeight w:val="67"/>
          <w:tblHeader/>
        </w:trPr>
        <w:tc>
          <w:tcPr>
            <w:tcW w:w="3242" w:type="dxa"/>
          </w:tcPr>
          <w:p w:rsidR="0097459C" w:rsidRPr="00AB3200" w:rsidRDefault="0097459C" w:rsidP="0097459C">
            <w:pPr>
              <w:jc w:val="center"/>
              <w:rPr>
                <w:sz w:val="20"/>
              </w:rPr>
            </w:pPr>
            <w:r w:rsidRPr="00AB3200">
              <w:rPr>
                <w:sz w:val="20"/>
              </w:rPr>
              <w:t>行業別</w:t>
            </w:r>
          </w:p>
        </w:tc>
        <w:tc>
          <w:tcPr>
            <w:tcW w:w="1694" w:type="dxa"/>
          </w:tcPr>
          <w:p w:rsidR="0097459C" w:rsidRPr="00AB3200" w:rsidRDefault="0097459C" w:rsidP="0097459C">
            <w:pPr>
              <w:jc w:val="center"/>
              <w:rPr>
                <w:sz w:val="20"/>
              </w:rPr>
            </w:pPr>
            <w:r w:rsidRPr="00AB3200">
              <w:rPr>
                <w:sz w:val="20"/>
              </w:rPr>
              <w:t>受雇員工人數</w:t>
            </w:r>
          </w:p>
        </w:tc>
        <w:tc>
          <w:tcPr>
            <w:tcW w:w="1694" w:type="dxa"/>
          </w:tcPr>
          <w:p w:rsidR="0097459C" w:rsidRPr="00AB3200" w:rsidRDefault="0097459C" w:rsidP="0097459C">
            <w:pPr>
              <w:jc w:val="center"/>
              <w:rPr>
                <w:sz w:val="20"/>
              </w:rPr>
            </w:pPr>
            <w:r w:rsidRPr="00AB3200">
              <w:rPr>
                <w:sz w:val="20"/>
              </w:rPr>
              <w:t>空缺員工人數</w:t>
            </w:r>
          </w:p>
        </w:tc>
        <w:tc>
          <w:tcPr>
            <w:tcW w:w="848" w:type="dxa"/>
          </w:tcPr>
          <w:p w:rsidR="0097459C" w:rsidRPr="00AB3200" w:rsidRDefault="0097459C" w:rsidP="0097459C">
            <w:pPr>
              <w:jc w:val="center"/>
              <w:rPr>
                <w:sz w:val="20"/>
              </w:rPr>
            </w:pPr>
            <w:r w:rsidRPr="00AB3200">
              <w:rPr>
                <w:sz w:val="20"/>
              </w:rPr>
              <w:t>空缺率</w:t>
            </w:r>
          </w:p>
        </w:tc>
      </w:tr>
      <w:tr w:rsidR="0097459C" w:rsidRPr="00AB3200" w:rsidTr="0097459C">
        <w:trPr>
          <w:trHeight w:val="67"/>
        </w:trPr>
        <w:tc>
          <w:tcPr>
            <w:tcW w:w="3242" w:type="dxa"/>
            <w:vAlign w:val="center"/>
          </w:tcPr>
          <w:p w:rsidR="0097459C" w:rsidRPr="00AB3200" w:rsidRDefault="0097459C" w:rsidP="00B9278A">
            <w:pPr>
              <w:spacing w:line="230" w:lineRule="exact"/>
              <w:jc w:val="both"/>
              <w:rPr>
                <w:sz w:val="20"/>
              </w:rPr>
            </w:pPr>
            <w:r w:rsidRPr="00AB3200">
              <w:rPr>
                <w:sz w:val="20"/>
              </w:rPr>
              <w:t>101</w:t>
            </w:r>
            <w:r w:rsidRPr="00AB3200">
              <w:rPr>
                <w:sz w:val="20"/>
              </w:rPr>
              <w:t>年</w:t>
            </w:r>
            <w:r w:rsidRPr="00AB3200">
              <w:rPr>
                <w:rFonts w:hint="eastAsia"/>
                <w:sz w:val="20"/>
              </w:rPr>
              <w:t>8</w:t>
            </w:r>
            <w:r w:rsidRPr="00AB3200">
              <w:rPr>
                <w:sz w:val="20"/>
              </w:rPr>
              <w:t>月底統計</w:t>
            </w:r>
          </w:p>
        </w:tc>
        <w:tc>
          <w:tcPr>
            <w:tcW w:w="1694" w:type="dxa"/>
            <w:vAlign w:val="center"/>
          </w:tcPr>
          <w:p w:rsidR="0097459C" w:rsidRPr="00AB3200" w:rsidRDefault="0097459C" w:rsidP="00B9278A">
            <w:pPr>
              <w:spacing w:line="230" w:lineRule="exact"/>
              <w:jc w:val="right"/>
              <w:rPr>
                <w:sz w:val="20"/>
              </w:rPr>
            </w:pPr>
            <w:r w:rsidRPr="00AB3200">
              <w:rPr>
                <w:sz w:val="20"/>
              </w:rPr>
              <w:t>6,945,463</w:t>
            </w:r>
          </w:p>
        </w:tc>
        <w:tc>
          <w:tcPr>
            <w:tcW w:w="1694" w:type="dxa"/>
            <w:vAlign w:val="center"/>
          </w:tcPr>
          <w:p w:rsidR="0097459C" w:rsidRPr="00AB3200" w:rsidRDefault="0097459C" w:rsidP="00B9278A">
            <w:pPr>
              <w:spacing w:line="230" w:lineRule="exact"/>
              <w:jc w:val="right"/>
              <w:rPr>
                <w:sz w:val="20"/>
              </w:rPr>
            </w:pPr>
            <w:r w:rsidRPr="00AB3200">
              <w:rPr>
                <w:sz w:val="20"/>
              </w:rPr>
              <w:t xml:space="preserve">175,845 </w:t>
            </w:r>
          </w:p>
        </w:tc>
        <w:tc>
          <w:tcPr>
            <w:tcW w:w="848" w:type="dxa"/>
            <w:vAlign w:val="center"/>
          </w:tcPr>
          <w:p w:rsidR="0097459C" w:rsidRPr="00AB3200" w:rsidRDefault="0097459C" w:rsidP="00B9278A">
            <w:pPr>
              <w:spacing w:line="230" w:lineRule="exact"/>
              <w:jc w:val="right"/>
              <w:rPr>
                <w:sz w:val="20"/>
              </w:rPr>
            </w:pPr>
            <w:r w:rsidRPr="00AB3200">
              <w:rPr>
                <w:sz w:val="20"/>
              </w:rPr>
              <w:t>2.</w:t>
            </w:r>
            <w:r w:rsidRPr="00AB3200">
              <w:rPr>
                <w:rFonts w:hint="eastAsia"/>
                <w:sz w:val="20"/>
              </w:rPr>
              <w:t>47</w:t>
            </w:r>
          </w:p>
        </w:tc>
      </w:tr>
      <w:tr w:rsidR="0097459C" w:rsidRPr="00AB3200" w:rsidTr="0097459C">
        <w:trPr>
          <w:trHeight w:val="67"/>
        </w:trPr>
        <w:tc>
          <w:tcPr>
            <w:tcW w:w="3242" w:type="dxa"/>
            <w:vAlign w:val="center"/>
          </w:tcPr>
          <w:p w:rsidR="0097459C" w:rsidRPr="00AB3200" w:rsidRDefault="0097459C" w:rsidP="00B9278A">
            <w:pPr>
              <w:spacing w:line="230" w:lineRule="exact"/>
              <w:jc w:val="both"/>
              <w:rPr>
                <w:sz w:val="20"/>
              </w:rPr>
            </w:pPr>
            <w:r w:rsidRPr="00AB3200">
              <w:rPr>
                <w:sz w:val="20"/>
              </w:rPr>
              <w:t>10</w:t>
            </w:r>
            <w:r w:rsidRPr="00AB3200">
              <w:rPr>
                <w:rFonts w:hint="eastAsia"/>
                <w:sz w:val="20"/>
              </w:rPr>
              <w:t>2</w:t>
            </w:r>
            <w:r w:rsidRPr="00AB3200">
              <w:rPr>
                <w:sz w:val="20"/>
              </w:rPr>
              <w:t>年</w:t>
            </w:r>
            <w:r w:rsidRPr="00AB3200">
              <w:rPr>
                <w:rFonts w:hint="eastAsia"/>
                <w:sz w:val="20"/>
              </w:rPr>
              <w:t>2</w:t>
            </w:r>
            <w:r w:rsidRPr="00AB3200">
              <w:rPr>
                <w:sz w:val="20"/>
              </w:rPr>
              <w:t>月底統計</w:t>
            </w:r>
          </w:p>
        </w:tc>
        <w:tc>
          <w:tcPr>
            <w:tcW w:w="1694" w:type="dxa"/>
            <w:vAlign w:val="center"/>
          </w:tcPr>
          <w:p w:rsidR="0097459C" w:rsidRPr="00AB3200" w:rsidRDefault="0097459C" w:rsidP="00B9278A">
            <w:pPr>
              <w:spacing w:line="230" w:lineRule="exact"/>
              <w:jc w:val="right"/>
              <w:rPr>
                <w:sz w:val="20"/>
              </w:rPr>
            </w:pPr>
            <w:r w:rsidRPr="00AB3200">
              <w:rPr>
                <w:sz w:val="20"/>
              </w:rPr>
              <w:t>6,950,263</w:t>
            </w:r>
          </w:p>
        </w:tc>
        <w:tc>
          <w:tcPr>
            <w:tcW w:w="1694" w:type="dxa"/>
            <w:vAlign w:val="center"/>
          </w:tcPr>
          <w:p w:rsidR="0097459C" w:rsidRPr="00AB3200" w:rsidRDefault="0097459C" w:rsidP="00B9278A">
            <w:pPr>
              <w:spacing w:line="230" w:lineRule="exact"/>
              <w:jc w:val="right"/>
              <w:rPr>
                <w:sz w:val="20"/>
              </w:rPr>
            </w:pPr>
            <w:r w:rsidRPr="00AB3200">
              <w:rPr>
                <w:sz w:val="20"/>
              </w:rPr>
              <w:t>185,528</w:t>
            </w:r>
          </w:p>
        </w:tc>
        <w:tc>
          <w:tcPr>
            <w:tcW w:w="848" w:type="dxa"/>
            <w:vAlign w:val="center"/>
          </w:tcPr>
          <w:p w:rsidR="0097459C" w:rsidRPr="00AB3200" w:rsidRDefault="0097459C" w:rsidP="00B9278A">
            <w:pPr>
              <w:spacing w:line="230" w:lineRule="exact"/>
              <w:jc w:val="right"/>
              <w:rPr>
                <w:sz w:val="20"/>
              </w:rPr>
            </w:pPr>
            <w:r w:rsidRPr="00AB3200">
              <w:rPr>
                <w:rFonts w:hint="eastAsia"/>
                <w:sz w:val="20"/>
              </w:rPr>
              <w:t>2.60</w:t>
            </w:r>
          </w:p>
        </w:tc>
      </w:tr>
      <w:tr w:rsidR="0097459C" w:rsidRPr="00AB3200" w:rsidTr="0097459C">
        <w:trPr>
          <w:trHeight w:val="169"/>
        </w:trPr>
        <w:tc>
          <w:tcPr>
            <w:tcW w:w="3242" w:type="dxa"/>
            <w:vAlign w:val="center"/>
          </w:tcPr>
          <w:p w:rsidR="0097459C" w:rsidRPr="00AB3200" w:rsidRDefault="0097459C" w:rsidP="00B9278A">
            <w:pPr>
              <w:spacing w:line="230" w:lineRule="exact"/>
              <w:jc w:val="both"/>
              <w:rPr>
                <w:sz w:val="20"/>
              </w:rPr>
            </w:pPr>
            <w:r w:rsidRPr="00AB3200">
              <w:rPr>
                <w:bCs/>
                <w:kern w:val="0"/>
                <w:sz w:val="20"/>
              </w:rPr>
              <w:t>102</w:t>
            </w:r>
            <w:r w:rsidRPr="00AB3200">
              <w:rPr>
                <w:kern w:val="0"/>
                <w:sz w:val="20"/>
              </w:rPr>
              <w:t>年</w:t>
            </w:r>
            <w:r w:rsidRPr="00AB3200">
              <w:rPr>
                <w:rFonts w:hint="eastAsia"/>
                <w:bCs/>
                <w:kern w:val="0"/>
                <w:sz w:val="20"/>
              </w:rPr>
              <w:t>8</w:t>
            </w:r>
            <w:r w:rsidRPr="00AB3200">
              <w:rPr>
                <w:kern w:val="0"/>
                <w:sz w:val="20"/>
              </w:rPr>
              <w:t>月底統計</w:t>
            </w:r>
          </w:p>
        </w:tc>
        <w:tc>
          <w:tcPr>
            <w:tcW w:w="1694" w:type="dxa"/>
            <w:vAlign w:val="center"/>
          </w:tcPr>
          <w:p w:rsidR="0097459C" w:rsidRPr="00AB3200" w:rsidRDefault="0097459C" w:rsidP="00B9278A">
            <w:pPr>
              <w:spacing w:line="230" w:lineRule="exact"/>
              <w:jc w:val="right"/>
              <w:rPr>
                <w:sz w:val="20"/>
              </w:rPr>
            </w:pPr>
            <w:r w:rsidRPr="00AB3200">
              <w:rPr>
                <w:sz w:val="20"/>
              </w:rPr>
              <w:t>7,036,676</w:t>
            </w:r>
          </w:p>
        </w:tc>
        <w:tc>
          <w:tcPr>
            <w:tcW w:w="1694" w:type="dxa"/>
            <w:vAlign w:val="center"/>
          </w:tcPr>
          <w:p w:rsidR="0097459C" w:rsidRPr="00AB3200" w:rsidRDefault="0097459C" w:rsidP="00B9278A">
            <w:pPr>
              <w:spacing w:line="230" w:lineRule="exact"/>
              <w:jc w:val="right"/>
              <w:rPr>
                <w:sz w:val="20"/>
              </w:rPr>
            </w:pPr>
            <w:r w:rsidRPr="00AB3200">
              <w:rPr>
                <w:sz w:val="20"/>
              </w:rPr>
              <w:t>186,942</w:t>
            </w:r>
          </w:p>
        </w:tc>
        <w:tc>
          <w:tcPr>
            <w:tcW w:w="848" w:type="dxa"/>
            <w:vAlign w:val="center"/>
          </w:tcPr>
          <w:p w:rsidR="0097459C" w:rsidRPr="00AB3200" w:rsidRDefault="0097459C" w:rsidP="00B9278A">
            <w:pPr>
              <w:spacing w:line="230" w:lineRule="exact"/>
              <w:jc w:val="right"/>
              <w:rPr>
                <w:sz w:val="20"/>
              </w:rPr>
            </w:pPr>
            <w:r w:rsidRPr="00AB3200">
              <w:rPr>
                <w:rFonts w:hint="eastAsia"/>
                <w:sz w:val="20"/>
              </w:rPr>
              <w:t>2.59</w:t>
            </w:r>
          </w:p>
        </w:tc>
      </w:tr>
      <w:tr w:rsidR="0097459C" w:rsidRPr="00AB3200" w:rsidTr="0097459C">
        <w:trPr>
          <w:trHeight w:val="67"/>
        </w:trPr>
        <w:tc>
          <w:tcPr>
            <w:tcW w:w="3242" w:type="dxa"/>
            <w:vAlign w:val="center"/>
          </w:tcPr>
          <w:p w:rsidR="0097459C" w:rsidRPr="00AB3200" w:rsidRDefault="0097459C" w:rsidP="00B9278A">
            <w:pPr>
              <w:spacing w:line="230" w:lineRule="exact"/>
              <w:jc w:val="both"/>
              <w:rPr>
                <w:sz w:val="20"/>
              </w:rPr>
            </w:pPr>
            <w:r w:rsidRPr="00AB3200">
              <w:rPr>
                <w:sz w:val="20"/>
              </w:rPr>
              <w:t>工業部門</w:t>
            </w:r>
          </w:p>
        </w:tc>
        <w:tc>
          <w:tcPr>
            <w:tcW w:w="1694" w:type="dxa"/>
            <w:vAlign w:val="center"/>
          </w:tcPr>
          <w:p w:rsidR="0097459C" w:rsidRPr="00AB3200" w:rsidRDefault="0097459C" w:rsidP="00B9278A">
            <w:pPr>
              <w:spacing w:line="230" w:lineRule="exact"/>
              <w:jc w:val="right"/>
              <w:rPr>
                <w:sz w:val="20"/>
              </w:rPr>
            </w:pPr>
            <w:r w:rsidRPr="00AB3200">
              <w:rPr>
                <w:sz w:val="20"/>
              </w:rPr>
              <w:t>3,189,843</w:t>
            </w:r>
          </w:p>
        </w:tc>
        <w:tc>
          <w:tcPr>
            <w:tcW w:w="1694" w:type="dxa"/>
            <w:vAlign w:val="center"/>
          </w:tcPr>
          <w:p w:rsidR="0097459C" w:rsidRPr="00AB3200" w:rsidRDefault="0097459C" w:rsidP="00B9278A">
            <w:pPr>
              <w:spacing w:line="230" w:lineRule="exact"/>
              <w:jc w:val="right"/>
              <w:rPr>
                <w:sz w:val="20"/>
              </w:rPr>
            </w:pPr>
            <w:r w:rsidRPr="00AB3200">
              <w:rPr>
                <w:sz w:val="20"/>
              </w:rPr>
              <w:t>88,708</w:t>
            </w:r>
          </w:p>
        </w:tc>
        <w:tc>
          <w:tcPr>
            <w:tcW w:w="848" w:type="dxa"/>
            <w:vAlign w:val="center"/>
          </w:tcPr>
          <w:p w:rsidR="0097459C" w:rsidRPr="00AB3200" w:rsidRDefault="0097459C" w:rsidP="00B9278A">
            <w:pPr>
              <w:spacing w:line="230" w:lineRule="exact"/>
              <w:jc w:val="right"/>
              <w:rPr>
                <w:sz w:val="20"/>
              </w:rPr>
            </w:pPr>
            <w:r w:rsidRPr="00AB3200">
              <w:rPr>
                <w:rFonts w:hint="eastAsia"/>
                <w:sz w:val="20"/>
              </w:rPr>
              <w:t>2.71</w:t>
            </w:r>
          </w:p>
        </w:tc>
      </w:tr>
      <w:tr w:rsidR="0097459C" w:rsidRPr="00AB3200" w:rsidTr="0097459C">
        <w:trPr>
          <w:trHeight w:val="67"/>
        </w:trPr>
        <w:tc>
          <w:tcPr>
            <w:tcW w:w="3242" w:type="dxa"/>
            <w:vAlign w:val="center"/>
          </w:tcPr>
          <w:p w:rsidR="0097459C" w:rsidRPr="00AB3200" w:rsidRDefault="0097459C" w:rsidP="00B9278A">
            <w:pPr>
              <w:spacing w:line="230" w:lineRule="exact"/>
              <w:jc w:val="both"/>
              <w:rPr>
                <w:sz w:val="20"/>
              </w:rPr>
            </w:pPr>
            <w:r w:rsidRPr="00AB3200">
              <w:rPr>
                <w:sz w:val="20"/>
              </w:rPr>
              <w:t xml:space="preserve">   </w:t>
            </w:r>
            <w:r w:rsidRPr="00AB3200">
              <w:rPr>
                <w:sz w:val="20"/>
              </w:rPr>
              <w:t>製造業</w:t>
            </w:r>
          </w:p>
        </w:tc>
        <w:tc>
          <w:tcPr>
            <w:tcW w:w="1694" w:type="dxa"/>
            <w:vAlign w:val="center"/>
          </w:tcPr>
          <w:p w:rsidR="0097459C" w:rsidRPr="00AB3200" w:rsidRDefault="0097459C" w:rsidP="00B9278A">
            <w:pPr>
              <w:spacing w:line="230" w:lineRule="exact"/>
              <w:jc w:val="right"/>
              <w:rPr>
                <w:sz w:val="20"/>
              </w:rPr>
            </w:pPr>
            <w:r w:rsidRPr="00AB3200">
              <w:rPr>
                <w:sz w:val="20"/>
              </w:rPr>
              <w:t>2,682,649</w:t>
            </w:r>
          </w:p>
        </w:tc>
        <w:tc>
          <w:tcPr>
            <w:tcW w:w="1694" w:type="dxa"/>
            <w:vAlign w:val="center"/>
          </w:tcPr>
          <w:p w:rsidR="0097459C" w:rsidRPr="00AB3200" w:rsidRDefault="0097459C" w:rsidP="00B9278A">
            <w:pPr>
              <w:spacing w:line="230" w:lineRule="exact"/>
              <w:jc w:val="right"/>
              <w:rPr>
                <w:sz w:val="20"/>
              </w:rPr>
            </w:pPr>
            <w:r w:rsidRPr="00AB3200">
              <w:rPr>
                <w:sz w:val="20"/>
              </w:rPr>
              <w:t>76,491</w:t>
            </w:r>
          </w:p>
        </w:tc>
        <w:tc>
          <w:tcPr>
            <w:tcW w:w="848" w:type="dxa"/>
            <w:vAlign w:val="center"/>
          </w:tcPr>
          <w:p w:rsidR="0097459C" w:rsidRPr="00AB3200" w:rsidRDefault="0097459C" w:rsidP="00B9278A">
            <w:pPr>
              <w:spacing w:line="230" w:lineRule="exact"/>
              <w:jc w:val="right"/>
              <w:rPr>
                <w:sz w:val="20"/>
              </w:rPr>
            </w:pPr>
            <w:r w:rsidRPr="00AB3200">
              <w:rPr>
                <w:rFonts w:hint="eastAsia"/>
                <w:sz w:val="20"/>
              </w:rPr>
              <w:t>2.77</w:t>
            </w:r>
          </w:p>
        </w:tc>
      </w:tr>
      <w:tr w:rsidR="0097459C" w:rsidRPr="00AB3200" w:rsidTr="0097459C">
        <w:trPr>
          <w:trHeight w:val="67"/>
        </w:trPr>
        <w:tc>
          <w:tcPr>
            <w:tcW w:w="3242" w:type="dxa"/>
            <w:vAlign w:val="center"/>
          </w:tcPr>
          <w:p w:rsidR="0097459C" w:rsidRPr="00AB3200" w:rsidRDefault="0097459C" w:rsidP="0097459C">
            <w:pPr>
              <w:spacing w:line="230" w:lineRule="exact"/>
              <w:ind w:leftChars="114" w:left="392" w:hangingChars="2" w:hanging="4"/>
              <w:jc w:val="both"/>
              <w:rPr>
                <w:sz w:val="20"/>
              </w:rPr>
            </w:pPr>
            <w:r w:rsidRPr="00AB3200">
              <w:rPr>
                <w:rFonts w:hint="eastAsia"/>
                <w:sz w:val="20"/>
              </w:rPr>
              <w:t>礦業及土石採取業</w:t>
            </w:r>
          </w:p>
        </w:tc>
        <w:tc>
          <w:tcPr>
            <w:tcW w:w="1694" w:type="dxa"/>
            <w:vAlign w:val="center"/>
          </w:tcPr>
          <w:p w:rsidR="0097459C" w:rsidRPr="00AB3200" w:rsidRDefault="0097459C" w:rsidP="00B9278A">
            <w:pPr>
              <w:spacing w:line="230" w:lineRule="exact"/>
              <w:jc w:val="right"/>
              <w:rPr>
                <w:sz w:val="20"/>
              </w:rPr>
            </w:pPr>
            <w:r w:rsidRPr="00AB3200">
              <w:rPr>
                <w:sz w:val="20"/>
              </w:rPr>
              <w:t>3,716</w:t>
            </w:r>
          </w:p>
        </w:tc>
        <w:tc>
          <w:tcPr>
            <w:tcW w:w="1694" w:type="dxa"/>
            <w:vAlign w:val="center"/>
          </w:tcPr>
          <w:p w:rsidR="0097459C" w:rsidRPr="00AB3200" w:rsidRDefault="0097459C" w:rsidP="00B9278A">
            <w:pPr>
              <w:spacing w:line="230" w:lineRule="exact"/>
              <w:jc w:val="right"/>
              <w:rPr>
                <w:sz w:val="20"/>
              </w:rPr>
            </w:pPr>
            <w:r w:rsidRPr="00AB3200">
              <w:rPr>
                <w:rFonts w:hint="eastAsia"/>
                <w:sz w:val="20"/>
              </w:rPr>
              <w:t>52</w:t>
            </w:r>
          </w:p>
        </w:tc>
        <w:tc>
          <w:tcPr>
            <w:tcW w:w="848" w:type="dxa"/>
            <w:vAlign w:val="center"/>
          </w:tcPr>
          <w:p w:rsidR="0097459C" w:rsidRPr="00AB3200" w:rsidRDefault="0097459C" w:rsidP="00B9278A">
            <w:pPr>
              <w:spacing w:line="230" w:lineRule="exact"/>
              <w:jc w:val="right"/>
              <w:rPr>
                <w:sz w:val="20"/>
              </w:rPr>
            </w:pPr>
            <w:r w:rsidRPr="00AB3200">
              <w:rPr>
                <w:rFonts w:hint="eastAsia"/>
                <w:sz w:val="20"/>
              </w:rPr>
              <w:t>1.38</w:t>
            </w:r>
          </w:p>
        </w:tc>
      </w:tr>
      <w:tr w:rsidR="0097459C" w:rsidRPr="00AB3200" w:rsidTr="0097459C">
        <w:trPr>
          <w:trHeight w:val="246"/>
        </w:trPr>
        <w:tc>
          <w:tcPr>
            <w:tcW w:w="3242" w:type="dxa"/>
            <w:vAlign w:val="center"/>
          </w:tcPr>
          <w:p w:rsidR="0097459C" w:rsidRPr="00AB3200" w:rsidRDefault="0097459C" w:rsidP="0097459C">
            <w:pPr>
              <w:spacing w:line="230" w:lineRule="exact"/>
              <w:ind w:leftChars="114" w:left="392" w:hangingChars="2" w:hanging="4"/>
              <w:jc w:val="both"/>
              <w:rPr>
                <w:sz w:val="20"/>
              </w:rPr>
            </w:pPr>
            <w:r w:rsidRPr="00AB3200">
              <w:rPr>
                <w:rFonts w:hint="eastAsia"/>
                <w:sz w:val="20"/>
              </w:rPr>
              <w:lastRenderedPageBreak/>
              <w:t>電力及燃氣供應業</w:t>
            </w:r>
          </w:p>
        </w:tc>
        <w:tc>
          <w:tcPr>
            <w:tcW w:w="1694" w:type="dxa"/>
            <w:vAlign w:val="center"/>
          </w:tcPr>
          <w:p w:rsidR="0097459C" w:rsidRPr="00AB3200" w:rsidRDefault="0097459C" w:rsidP="00B9278A">
            <w:pPr>
              <w:spacing w:line="230" w:lineRule="exact"/>
              <w:jc w:val="right"/>
              <w:rPr>
                <w:sz w:val="20"/>
              </w:rPr>
            </w:pPr>
            <w:r w:rsidRPr="00AB3200">
              <w:rPr>
                <w:sz w:val="20"/>
              </w:rPr>
              <w:t>29,714</w:t>
            </w:r>
          </w:p>
        </w:tc>
        <w:tc>
          <w:tcPr>
            <w:tcW w:w="1694" w:type="dxa"/>
            <w:vAlign w:val="center"/>
          </w:tcPr>
          <w:p w:rsidR="0097459C" w:rsidRPr="00AB3200" w:rsidRDefault="0097459C" w:rsidP="00B9278A">
            <w:pPr>
              <w:spacing w:line="230" w:lineRule="exact"/>
              <w:jc w:val="right"/>
              <w:rPr>
                <w:sz w:val="20"/>
              </w:rPr>
            </w:pPr>
            <w:r w:rsidRPr="00AB3200">
              <w:rPr>
                <w:rFonts w:hint="eastAsia"/>
                <w:sz w:val="20"/>
              </w:rPr>
              <w:t>44</w:t>
            </w:r>
          </w:p>
        </w:tc>
        <w:tc>
          <w:tcPr>
            <w:tcW w:w="848" w:type="dxa"/>
            <w:vAlign w:val="center"/>
          </w:tcPr>
          <w:p w:rsidR="0097459C" w:rsidRPr="00AB3200" w:rsidRDefault="0097459C" w:rsidP="00B9278A">
            <w:pPr>
              <w:spacing w:line="230" w:lineRule="exact"/>
              <w:jc w:val="right"/>
              <w:rPr>
                <w:sz w:val="20"/>
              </w:rPr>
            </w:pPr>
            <w:r w:rsidRPr="00AB3200">
              <w:rPr>
                <w:rFonts w:hint="eastAsia"/>
                <w:sz w:val="20"/>
              </w:rPr>
              <w:t>0.15</w:t>
            </w:r>
          </w:p>
        </w:tc>
      </w:tr>
      <w:tr w:rsidR="0097459C" w:rsidRPr="00AB3200" w:rsidTr="0097459C">
        <w:trPr>
          <w:trHeight w:val="67"/>
        </w:trPr>
        <w:tc>
          <w:tcPr>
            <w:tcW w:w="3242" w:type="dxa"/>
            <w:vAlign w:val="center"/>
          </w:tcPr>
          <w:p w:rsidR="0097459C" w:rsidRPr="00AB3200" w:rsidRDefault="0097459C" w:rsidP="0097459C">
            <w:pPr>
              <w:spacing w:line="230" w:lineRule="exact"/>
              <w:ind w:leftChars="114" w:left="392" w:hangingChars="2" w:hanging="4"/>
              <w:jc w:val="both"/>
              <w:rPr>
                <w:sz w:val="20"/>
              </w:rPr>
            </w:pPr>
            <w:r w:rsidRPr="00AB3200">
              <w:rPr>
                <w:rFonts w:hint="eastAsia"/>
                <w:sz w:val="20"/>
              </w:rPr>
              <w:t>用水供應及污染整治業</w:t>
            </w:r>
          </w:p>
        </w:tc>
        <w:tc>
          <w:tcPr>
            <w:tcW w:w="1694" w:type="dxa"/>
            <w:vAlign w:val="center"/>
          </w:tcPr>
          <w:p w:rsidR="0097459C" w:rsidRPr="00AB3200" w:rsidRDefault="0097459C" w:rsidP="00B9278A">
            <w:pPr>
              <w:spacing w:line="230" w:lineRule="exact"/>
              <w:jc w:val="right"/>
              <w:rPr>
                <w:sz w:val="20"/>
              </w:rPr>
            </w:pPr>
            <w:r w:rsidRPr="00AB3200">
              <w:rPr>
                <w:sz w:val="20"/>
              </w:rPr>
              <w:t>27,145</w:t>
            </w:r>
          </w:p>
        </w:tc>
        <w:tc>
          <w:tcPr>
            <w:tcW w:w="1694" w:type="dxa"/>
            <w:vAlign w:val="center"/>
          </w:tcPr>
          <w:p w:rsidR="0097459C" w:rsidRPr="00AB3200" w:rsidRDefault="0097459C" w:rsidP="00B9278A">
            <w:pPr>
              <w:spacing w:line="230" w:lineRule="exact"/>
              <w:jc w:val="right"/>
              <w:rPr>
                <w:sz w:val="20"/>
              </w:rPr>
            </w:pPr>
            <w:r w:rsidRPr="00AB3200">
              <w:rPr>
                <w:rFonts w:hint="eastAsia"/>
                <w:sz w:val="20"/>
              </w:rPr>
              <w:t>500</w:t>
            </w:r>
          </w:p>
        </w:tc>
        <w:tc>
          <w:tcPr>
            <w:tcW w:w="848" w:type="dxa"/>
            <w:vAlign w:val="center"/>
          </w:tcPr>
          <w:p w:rsidR="0097459C" w:rsidRPr="00AB3200" w:rsidRDefault="0097459C" w:rsidP="00B9278A">
            <w:pPr>
              <w:spacing w:line="230" w:lineRule="exact"/>
              <w:jc w:val="right"/>
              <w:rPr>
                <w:sz w:val="20"/>
              </w:rPr>
            </w:pPr>
            <w:r w:rsidRPr="00AB3200">
              <w:rPr>
                <w:rFonts w:hint="eastAsia"/>
                <w:sz w:val="20"/>
              </w:rPr>
              <w:t>1.81</w:t>
            </w:r>
          </w:p>
        </w:tc>
      </w:tr>
      <w:tr w:rsidR="0097459C" w:rsidRPr="00AB3200" w:rsidTr="0097459C">
        <w:trPr>
          <w:trHeight w:val="67"/>
        </w:trPr>
        <w:tc>
          <w:tcPr>
            <w:tcW w:w="3242" w:type="dxa"/>
            <w:vAlign w:val="center"/>
          </w:tcPr>
          <w:p w:rsidR="0097459C" w:rsidRPr="00AB3200" w:rsidRDefault="0097459C" w:rsidP="00B9278A">
            <w:pPr>
              <w:spacing w:line="230" w:lineRule="exact"/>
              <w:jc w:val="both"/>
              <w:rPr>
                <w:sz w:val="20"/>
              </w:rPr>
            </w:pPr>
            <w:r w:rsidRPr="00AB3200">
              <w:rPr>
                <w:sz w:val="20"/>
              </w:rPr>
              <w:t xml:space="preserve">   </w:t>
            </w:r>
            <w:r w:rsidRPr="00AB3200">
              <w:rPr>
                <w:sz w:val="20"/>
              </w:rPr>
              <w:t>營造業</w:t>
            </w:r>
          </w:p>
        </w:tc>
        <w:tc>
          <w:tcPr>
            <w:tcW w:w="1694" w:type="dxa"/>
            <w:vAlign w:val="center"/>
          </w:tcPr>
          <w:p w:rsidR="0097459C" w:rsidRPr="00AB3200" w:rsidRDefault="0097459C" w:rsidP="00B9278A">
            <w:pPr>
              <w:spacing w:line="230" w:lineRule="exact"/>
              <w:jc w:val="right"/>
              <w:rPr>
                <w:sz w:val="20"/>
              </w:rPr>
            </w:pPr>
            <w:r w:rsidRPr="00AB3200">
              <w:rPr>
                <w:sz w:val="20"/>
              </w:rPr>
              <w:t>446,619</w:t>
            </w:r>
          </w:p>
        </w:tc>
        <w:tc>
          <w:tcPr>
            <w:tcW w:w="1694" w:type="dxa"/>
            <w:vAlign w:val="center"/>
          </w:tcPr>
          <w:p w:rsidR="0097459C" w:rsidRPr="00AB3200" w:rsidRDefault="0097459C" w:rsidP="00B9278A">
            <w:pPr>
              <w:spacing w:line="230" w:lineRule="exact"/>
              <w:jc w:val="right"/>
              <w:rPr>
                <w:sz w:val="20"/>
              </w:rPr>
            </w:pPr>
            <w:r w:rsidRPr="00AB3200">
              <w:rPr>
                <w:sz w:val="20"/>
              </w:rPr>
              <w:t>11,621</w:t>
            </w:r>
          </w:p>
        </w:tc>
        <w:tc>
          <w:tcPr>
            <w:tcW w:w="848" w:type="dxa"/>
            <w:vAlign w:val="center"/>
          </w:tcPr>
          <w:p w:rsidR="0097459C" w:rsidRPr="00AB3200" w:rsidRDefault="0097459C" w:rsidP="00B9278A">
            <w:pPr>
              <w:spacing w:line="230" w:lineRule="exact"/>
              <w:jc w:val="right"/>
              <w:rPr>
                <w:sz w:val="20"/>
              </w:rPr>
            </w:pPr>
            <w:r w:rsidRPr="00AB3200">
              <w:rPr>
                <w:rFonts w:hint="eastAsia"/>
                <w:sz w:val="20"/>
              </w:rPr>
              <w:t>2.54</w:t>
            </w:r>
          </w:p>
        </w:tc>
      </w:tr>
      <w:tr w:rsidR="0097459C" w:rsidRPr="00AB3200" w:rsidTr="0097459C">
        <w:trPr>
          <w:trHeight w:val="67"/>
        </w:trPr>
        <w:tc>
          <w:tcPr>
            <w:tcW w:w="3242" w:type="dxa"/>
            <w:vAlign w:val="center"/>
          </w:tcPr>
          <w:p w:rsidR="0097459C" w:rsidRPr="00AB3200" w:rsidRDefault="0097459C" w:rsidP="00B9278A">
            <w:pPr>
              <w:spacing w:line="230" w:lineRule="exact"/>
              <w:jc w:val="both"/>
              <w:rPr>
                <w:sz w:val="20"/>
              </w:rPr>
            </w:pPr>
            <w:r w:rsidRPr="00AB3200">
              <w:rPr>
                <w:sz w:val="20"/>
              </w:rPr>
              <w:t>服務業部門</w:t>
            </w:r>
          </w:p>
        </w:tc>
        <w:tc>
          <w:tcPr>
            <w:tcW w:w="1694" w:type="dxa"/>
            <w:vAlign w:val="center"/>
          </w:tcPr>
          <w:p w:rsidR="0097459C" w:rsidRPr="00AB3200" w:rsidRDefault="0097459C" w:rsidP="00B9278A">
            <w:pPr>
              <w:spacing w:line="230" w:lineRule="exact"/>
              <w:jc w:val="right"/>
              <w:rPr>
                <w:sz w:val="20"/>
              </w:rPr>
            </w:pPr>
            <w:r w:rsidRPr="00AB3200">
              <w:rPr>
                <w:sz w:val="20"/>
              </w:rPr>
              <w:t>3,846,833</w:t>
            </w:r>
          </w:p>
        </w:tc>
        <w:tc>
          <w:tcPr>
            <w:tcW w:w="1694" w:type="dxa"/>
            <w:vAlign w:val="center"/>
          </w:tcPr>
          <w:p w:rsidR="0097459C" w:rsidRPr="00AB3200" w:rsidRDefault="0097459C" w:rsidP="00B9278A">
            <w:pPr>
              <w:spacing w:line="230" w:lineRule="exact"/>
              <w:jc w:val="right"/>
              <w:rPr>
                <w:sz w:val="20"/>
              </w:rPr>
            </w:pPr>
            <w:r w:rsidRPr="00AB3200">
              <w:rPr>
                <w:sz w:val="20"/>
              </w:rPr>
              <w:t>98,234</w:t>
            </w:r>
          </w:p>
        </w:tc>
        <w:tc>
          <w:tcPr>
            <w:tcW w:w="848" w:type="dxa"/>
            <w:vAlign w:val="center"/>
          </w:tcPr>
          <w:p w:rsidR="0097459C" w:rsidRPr="00AB3200" w:rsidRDefault="0097459C" w:rsidP="00B9278A">
            <w:pPr>
              <w:spacing w:line="230" w:lineRule="exact"/>
              <w:jc w:val="right"/>
              <w:rPr>
                <w:sz w:val="20"/>
              </w:rPr>
            </w:pPr>
            <w:r w:rsidRPr="00AB3200">
              <w:rPr>
                <w:rFonts w:hint="eastAsia"/>
                <w:sz w:val="20"/>
              </w:rPr>
              <w:t>2.49</w:t>
            </w:r>
          </w:p>
        </w:tc>
      </w:tr>
      <w:tr w:rsidR="0097459C" w:rsidRPr="00AB3200" w:rsidTr="0097459C">
        <w:trPr>
          <w:trHeight w:val="67"/>
        </w:trPr>
        <w:tc>
          <w:tcPr>
            <w:tcW w:w="3242" w:type="dxa"/>
            <w:vAlign w:val="center"/>
          </w:tcPr>
          <w:p w:rsidR="0097459C" w:rsidRPr="00AB3200" w:rsidRDefault="0097459C" w:rsidP="00B9278A">
            <w:pPr>
              <w:spacing w:line="230" w:lineRule="exact"/>
              <w:jc w:val="both"/>
              <w:rPr>
                <w:sz w:val="20"/>
              </w:rPr>
            </w:pPr>
            <w:r w:rsidRPr="00AB3200">
              <w:rPr>
                <w:sz w:val="20"/>
              </w:rPr>
              <w:t xml:space="preserve">   </w:t>
            </w:r>
            <w:r w:rsidRPr="00AB3200">
              <w:rPr>
                <w:sz w:val="20"/>
              </w:rPr>
              <w:t>批發及零售業</w:t>
            </w:r>
          </w:p>
        </w:tc>
        <w:tc>
          <w:tcPr>
            <w:tcW w:w="1694" w:type="dxa"/>
            <w:vAlign w:val="center"/>
          </w:tcPr>
          <w:p w:rsidR="0097459C" w:rsidRPr="00AB3200" w:rsidRDefault="0097459C" w:rsidP="00B9278A">
            <w:pPr>
              <w:spacing w:line="230" w:lineRule="exact"/>
              <w:jc w:val="right"/>
              <w:rPr>
                <w:sz w:val="20"/>
              </w:rPr>
            </w:pPr>
            <w:r w:rsidRPr="00AB3200">
              <w:rPr>
                <w:sz w:val="20"/>
              </w:rPr>
              <w:t>1,534,585</w:t>
            </w:r>
          </w:p>
        </w:tc>
        <w:tc>
          <w:tcPr>
            <w:tcW w:w="1694" w:type="dxa"/>
            <w:vAlign w:val="center"/>
          </w:tcPr>
          <w:p w:rsidR="0097459C" w:rsidRPr="00AB3200" w:rsidRDefault="0097459C" w:rsidP="00B9278A">
            <w:pPr>
              <w:spacing w:line="230" w:lineRule="exact"/>
              <w:jc w:val="right"/>
              <w:rPr>
                <w:sz w:val="20"/>
              </w:rPr>
            </w:pPr>
            <w:r w:rsidRPr="00AB3200">
              <w:rPr>
                <w:sz w:val="20"/>
              </w:rPr>
              <w:t>36,223</w:t>
            </w:r>
          </w:p>
        </w:tc>
        <w:tc>
          <w:tcPr>
            <w:tcW w:w="848" w:type="dxa"/>
            <w:vAlign w:val="center"/>
          </w:tcPr>
          <w:p w:rsidR="0097459C" w:rsidRPr="00AB3200" w:rsidRDefault="0097459C" w:rsidP="00B9278A">
            <w:pPr>
              <w:spacing w:line="230" w:lineRule="exact"/>
              <w:jc w:val="right"/>
              <w:rPr>
                <w:sz w:val="20"/>
              </w:rPr>
            </w:pPr>
            <w:r w:rsidRPr="00AB3200">
              <w:rPr>
                <w:rFonts w:hint="eastAsia"/>
                <w:sz w:val="20"/>
              </w:rPr>
              <w:t>2.31</w:t>
            </w:r>
          </w:p>
        </w:tc>
      </w:tr>
      <w:tr w:rsidR="0097459C" w:rsidRPr="00AB3200" w:rsidTr="0097459C">
        <w:trPr>
          <w:trHeight w:val="67"/>
        </w:trPr>
        <w:tc>
          <w:tcPr>
            <w:tcW w:w="3242" w:type="dxa"/>
            <w:vAlign w:val="center"/>
          </w:tcPr>
          <w:p w:rsidR="0097459C" w:rsidRPr="00AB3200" w:rsidRDefault="0097459C" w:rsidP="00B9278A">
            <w:pPr>
              <w:spacing w:line="230" w:lineRule="exact"/>
              <w:jc w:val="both"/>
              <w:rPr>
                <w:sz w:val="20"/>
              </w:rPr>
            </w:pPr>
            <w:r w:rsidRPr="00AB3200">
              <w:rPr>
                <w:sz w:val="20"/>
              </w:rPr>
              <w:t xml:space="preserve">   </w:t>
            </w:r>
            <w:r w:rsidRPr="00AB3200">
              <w:rPr>
                <w:sz w:val="20"/>
              </w:rPr>
              <w:t>運輸及倉儲業</w:t>
            </w:r>
          </w:p>
        </w:tc>
        <w:tc>
          <w:tcPr>
            <w:tcW w:w="1694" w:type="dxa"/>
            <w:vAlign w:val="center"/>
          </w:tcPr>
          <w:p w:rsidR="0097459C" w:rsidRPr="00AB3200" w:rsidRDefault="0097459C" w:rsidP="00B9278A">
            <w:pPr>
              <w:spacing w:line="230" w:lineRule="exact"/>
              <w:jc w:val="right"/>
              <w:rPr>
                <w:sz w:val="20"/>
              </w:rPr>
            </w:pPr>
            <w:r w:rsidRPr="00AB3200">
              <w:rPr>
                <w:sz w:val="20"/>
              </w:rPr>
              <w:t>271,306</w:t>
            </w:r>
          </w:p>
        </w:tc>
        <w:tc>
          <w:tcPr>
            <w:tcW w:w="1694" w:type="dxa"/>
            <w:vAlign w:val="center"/>
          </w:tcPr>
          <w:p w:rsidR="0097459C" w:rsidRPr="00AB3200" w:rsidRDefault="0097459C" w:rsidP="00B9278A">
            <w:pPr>
              <w:spacing w:line="230" w:lineRule="exact"/>
              <w:jc w:val="right"/>
              <w:rPr>
                <w:sz w:val="20"/>
              </w:rPr>
            </w:pPr>
            <w:r w:rsidRPr="00AB3200">
              <w:rPr>
                <w:sz w:val="20"/>
              </w:rPr>
              <w:t>5,065</w:t>
            </w:r>
          </w:p>
        </w:tc>
        <w:tc>
          <w:tcPr>
            <w:tcW w:w="848" w:type="dxa"/>
            <w:vAlign w:val="center"/>
          </w:tcPr>
          <w:p w:rsidR="0097459C" w:rsidRPr="00AB3200" w:rsidRDefault="0097459C" w:rsidP="00B9278A">
            <w:pPr>
              <w:spacing w:line="230" w:lineRule="exact"/>
              <w:jc w:val="right"/>
              <w:rPr>
                <w:sz w:val="20"/>
              </w:rPr>
            </w:pPr>
            <w:r w:rsidRPr="00AB3200">
              <w:rPr>
                <w:rFonts w:hint="eastAsia"/>
                <w:sz w:val="20"/>
              </w:rPr>
              <w:t>1.83</w:t>
            </w:r>
          </w:p>
        </w:tc>
      </w:tr>
      <w:tr w:rsidR="0097459C" w:rsidRPr="00AB3200" w:rsidTr="0097459C">
        <w:trPr>
          <w:trHeight w:val="67"/>
        </w:trPr>
        <w:tc>
          <w:tcPr>
            <w:tcW w:w="3242" w:type="dxa"/>
            <w:vAlign w:val="center"/>
          </w:tcPr>
          <w:p w:rsidR="0097459C" w:rsidRPr="00AB3200" w:rsidRDefault="0097459C" w:rsidP="00B9278A">
            <w:pPr>
              <w:spacing w:line="230" w:lineRule="exact"/>
              <w:jc w:val="both"/>
              <w:rPr>
                <w:sz w:val="20"/>
              </w:rPr>
            </w:pPr>
            <w:r w:rsidRPr="00AB3200">
              <w:rPr>
                <w:sz w:val="20"/>
              </w:rPr>
              <w:t xml:space="preserve">   </w:t>
            </w:r>
            <w:r w:rsidRPr="00AB3200">
              <w:rPr>
                <w:sz w:val="20"/>
              </w:rPr>
              <w:t>住宿及餐飲業</w:t>
            </w:r>
          </w:p>
        </w:tc>
        <w:tc>
          <w:tcPr>
            <w:tcW w:w="1694" w:type="dxa"/>
            <w:vAlign w:val="center"/>
          </w:tcPr>
          <w:p w:rsidR="0097459C" w:rsidRPr="00AB3200" w:rsidRDefault="0097459C" w:rsidP="00B9278A">
            <w:pPr>
              <w:spacing w:line="230" w:lineRule="exact"/>
              <w:jc w:val="right"/>
              <w:rPr>
                <w:sz w:val="20"/>
              </w:rPr>
            </w:pPr>
            <w:r w:rsidRPr="00AB3200">
              <w:rPr>
                <w:sz w:val="20"/>
              </w:rPr>
              <w:t>315,932</w:t>
            </w:r>
          </w:p>
        </w:tc>
        <w:tc>
          <w:tcPr>
            <w:tcW w:w="1694" w:type="dxa"/>
            <w:vAlign w:val="center"/>
          </w:tcPr>
          <w:p w:rsidR="0097459C" w:rsidRPr="00AB3200" w:rsidRDefault="0097459C" w:rsidP="00B9278A">
            <w:pPr>
              <w:spacing w:line="230" w:lineRule="exact"/>
              <w:jc w:val="right"/>
              <w:rPr>
                <w:sz w:val="20"/>
              </w:rPr>
            </w:pPr>
            <w:r w:rsidRPr="00AB3200">
              <w:rPr>
                <w:rFonts w:hint="eastAsia"/>
                <w:sz w:val="20"/>
              </w:rPr>
              <w:t>11,919</w:t>
            </w:r>
          </w:p>
        </w:tc>
        <w:tc>
          <w:tcPr>
            <w:tcW w:w="848" w:type="dxa"/>
            <w:vAlign w:val="center"/>
          </w:tcPr>
          <w:p w:rsidR="0097459C" w:rsidRPr="00AB3200" w:rsidRDefault="0097459C" w:rsidP="00B9278A">
            <w:pPr>
              <w:spacing w:line="230" w:lineRule="exact"/>
              <w:jc w:val="right"/>
              <w:rPr>
                <w:sz w:val="20"/>
              </w:rPr>
            </w:pPr>
            <w:r w:rsidRPr="00AB3200">
              <w:rPr>
                <w:rFonts w:hint="eastAsia"/>
                <w:sz w:val="20"/>
              </w:rPr>
              <w:t>3.64</w:t>
            </w:r>
          </w:p>
        </w:tc>
      </w:tr>
      <w:tr w:rsidR="0097459C" w:rsidRPr="00AB3200" w:rsidTr="0097459C">
        <w:trPr>
          <w:trHeight w:val="67"/>
        </w:trPr>
        <w:tc>
          <w:tcPr>
            <w:tcW w:w="3242" w:type="dxa"/>
            <w:vAlign w:val="center"/>
          </w:tcPr>
          <w:p w:rsidR="0097459C" w:rsidRPr="00AB3200" w:rsidRDefault="0097459C" w:rsidP="00B9278A">
            <w:pPr>
              <w:spacing w:line="230" w:lineRule="exact"/>
              <w:jc w:val="both"/>
              <w:rPr>
                <w:sz w:val="20"/>
              </w:rPr>
            </w:pPr>
            <w:r w:rsidRPr="00AB3200">
              <w:rPr>
                <w:sz w:val="20"/>
              </w:rPr>
              <w:t xml:space="preserve">   </w:t>
            </w:r>
            <w:r w:rsidRPr="00AB3200">
              <w:rPr>
                <w:kern w:val="0"/>
                <w:sz w:val="20"/>
              </w:rPr>
              <w:t>資訊及通訊傳播業</w:t>
            </w:r>
          </w:p>
        </w:tc>
        <w:tc>
          <w:tcPr>
            <w:tcW w:w="1694" w:type="dxa"/>
            <w:vAlign w:val="center"/>
          </w:tcPr>
          <w:p w:rsidR="0097459C" w:rsidRPr="00AB3200" w:rsidRDefault="0097459C" w:rsidP="00B9278A">
            <w:pPr>
              <w:spacing w:line="230" w:lineRule="exact"/>
              <w:jc w:val="right"/>
              <w:rPr>
                <w:sz w:val="20"/>
              </w:rPr>
            </w:pPr>
            <w:r w:rsidRPr="00AB3200">
              <w:rPr>
                <w:sz w:val="20"/>
              </w:rPr>
              <w:t>189,935</w:t>
            </w:r>
          </w:p>
        </w:tc>
        <w:tc>
          <w:tcPr>
            <w:tcW w:w="1694" w:type="dxa"/>
            <w:vAlign w:val="center"/>
          </w:tcPr>
          <w:p w:rsidR="0097459C" w:rsidRPr="00AB3200" w:rsidRDefault="0097459C" w:rsidP="00B9278A">
            <w:pPr>
              <w:spacing w:line="230" w:lineRule="exact"/>
              <w:jc w:val="right"/>
              <w:rPr>
                <w:sz w:val="20"/>
              </w:rPr>
            </w:pPr>
            <w:r w:rsidRPr="00AB3200">
              <w:rPr>
                <w:rFonts w:hint="eastAsia"/>
                <w:sz w:val="20"/>
              </w:rPr>
              <w:t>5,112</w:t>
            </w:r>
          </w:p>
        </w:tc>
        <w:tc>
          <w:tcPr>
            <w:tcW w:w="848" w:type="dxa"/>
            <w:vAlign w:val="center"/>
          </w:tcPr>
          <w:p w:rsidR="0097459C" w:rsidRPr="00AB3200" w:rsidRDefault="0097459C" w:rsidP="00B9278A">
            <w:pPr>
              <w:spacing w:line="230" w:lineRule="exact"/>
              <w:jc w:val="right"/>
              <w:rPr>
                <w:sz w:val="20"/>
              </w:rPr>
            </w:pPr>
            <w:r w:rsidRPr="00AB3200">
              <w:rPr>
                <w:rFonts w:hint="eastAsia"/>
                <w:sz w:val="20"/>
              </w:rPr>
              <w:t>2.62</w:t>
            </w:r>
          </w:p>
        </w:tc>
      </w:tr>
      <w:tr w:rsidR="0097459C" w:rsidRPr="00AB3200" w:rsidTr="0097459C">
        <w:trPr>
          <w:trHeight w:val="246"/>
        </w:trPr>
        <w:tc>
          <w:tcPr>
            <w:tcW w:w="3242" w:type="dxa"/>
            <w:vAlign w:val="center"/>
          </w:tcPr>
          <w:p w:rsidR="0097459C" w:rsidRPr="00AB3200" w:rsidRDefault="0097459C" w:rsidP="00B9278A">
            <w:pPr>
              <w:spacing w:line="230" w:lineRule="exact"/>
              <w:jc w:val="both"/>
              <w:rPr>
                <w:sz w:val="20"/>
              </w:rPr>
            </w:pPr>
            <w:r w:rsidRPr="00AB3200">
              <w:rPr>
                <w:sz w:val="20"/>
              </w:rPr>
              <w:t xml:space="preserve">   </w:t>
            </w:r>
            <w:r w:rsidRPr="00AB3200">
              <w:rPr>
                <w:kern w:val="0"/>
                <w:sz w:val="20"/>
              </w:rPr>
              <w:t>金融及保險業</w:t>
            </w:r>
          </w:p>
        </w:tc>
        <w:tc>
          <w:tcPr>
            <w:tcW w:w="1694" w:type="dxa"/>
            <w:vAlign w:val="center"/>
          </w:tcPr>
          <w:p w:rsidR="0097459C" w:rsidRPr="00AB3200" w:rsidRDefault="0097459C" w:rsidP="00B9278A">
            <w:pPr>
              <w:spacing w:line="230" w:lineRule="exact"/>
              <w:jc w:val="right"/>
              <w:rPr>
                <w:sz w:val="20"/>
              </w:rPr>
            </w:pPr>
            <w:r w:rsidRPr="00AB3200">
              <w:rPr>
                <w:sz w:val="20"/>
              </w:rPr>
              <w:t>360,780</w:t>
            </w:r>
          </w:p>
        </w:tc>
        <w:tc>
          <w:tcPr>
            <w:tcW w:w="1694" w:type="dxa"/>
            <w:vAlign w:val="center"/>
          </w:tcPr>
          <w:p w:rsidR="0097459C" w:rsidRPr="00AB3200" w:rsidRDefault="0097459C" w:rsidP="00B9278A">
            <w:pPr>
              <w:spacing w:line="230" w:lineRule="exact"/>
              <w:jc w:val="right"/>
              <w:rPr>
                <w:sz w:val="20"/>
              </w:rPr>
            </w:pPr>
            <w:r w:rsidRPr="00AB3200">
              <w:rPr>
                <w:rFonts w:hint="eastAsia"/>
                <w:sz w:val="20"/>
              </w:rPr>
              <w:t>6,019</w:t>
            </w:r>
          </w:p>
        </w:tc>
        <w:tc>
          <w:tcPr>
            <w:tcW w:w="848" w:type="dxa"/>
            <w:vAlign w:val="center"/>
          </w:tcPr>
          <w:p w:rsidR="0097459C" w:rsidRPr="00AB3200" w:rsidRDefault="0097459C" w:rsidP="00B9278A">
            <w:pPr>
              <w:spacing w:line="230" w:lineRule="exact"/>
              <w:jc w:val="right"/>
              <w:rPr>
                <w:sz w:val="20"/>
              </w:rPr>
            </w:pPr>
            <w:r w:rsidRPr="00AB3200">
              <w:rPr>
                <w:rFonts w:hint="eastAsia"/>
                <w:sz w:val="20"/>
              </w:rPr>
              <w:t>1.64</w:t>
            </w:r>
          </w:p>
        </w:tc>
      </w:tr>
      <w:tr w:rsidR="0097459C" w:rsidRPr="00AB3200" w:rsidTr="0097459C">
        <w:trPr>
          <w:trHeight w:val="67"/>
        </w:trPr>
        <w:tc>
          <w:tcPr>
            <w:tcW w:w="3242" w:type="dxa"/>
            <w:vAlign w:val="center"/>
          </w:tcPr>
          <w:p w:rsidR="0097459C" w:rsidRPr="00AB3200" w:rsidRDefault="0097459C" w:rsidP="00B9278A">
            <w:pPr>
              <w:spacing w:line="230" w:lineRule="exact"/>
              <w:jc w:val="both"/>
              <w:rPr>
                <w:sz w:val="20"/>
              </w:rPr>
            </w:pPr>
            <w:r w:rsidRPr="00AB3200">
              <w:rPr>
                <w:sz w:val="20"/>
              </w:rPr>
              <w:t xml:space="preserve">   </w:t>
            </w:r>
            <w:r w:rsidRPr="00AB3200">
              <w:rPr>
                <w:kern w:val="0"/>
                <w:sz w:val="20"/>
              </w:rPr>
              <w:t>不動產業</w:t>
            </w:r>
          </w:p>
        </w:tc>
        <w:tc>
          <w:tcPr>
            <w:tcW w:w="1694" w:type="dxa"/>
            <w:vAlign w:val="center"/>
          </w:tcPr>
          <w:p w:rsidR="0097459C" w:rsidRPr="00AB3200" w:rsidRDefault="0097459C" w:rsidP="00B9278A">
            <w:pPr>
              <w:spacing w:line="230" w:lineRule="exact"/>
              <w:jc w:val="right"/>
              <w:rPr>
                <w:sz w:val="20"/>
              </w:rPr>
            </w:pPr>
            <w:r w:rsidRPr="00AB3200">
              <w:rPr>
                <w:sz w:val="20"/>
              </w:rPr>
              <w:t>103,870</w:t>
            </w:r>
          </w:p>
        </w:tc>
        <w:tc>
          <w:tcPr>
            <w:tcW w:w="1694" w:type="dxa"/>
            <w:vAlign w:val="center"/>
          </w:tcPr>
          <w:p w:rsidR="0097459C" w:rsidRPr="00AB3200" w:rsidRDefault="0097459C" w:rsidP="00B9278A">
            <w:pPr>
              <w:spacing w:line="230" w:lineRule="exact"/>
              <w:jc w:val="right"/>
              <w:rPr>
                <w:sz w:val="20"/>
              </w:rPr>
            </w:pPr>
            <w:r w:rsidRPr="00AB3200">
              <w:rPr>
                <w:sz w:val="20"/>
              </w:rPr>
              <w:t>4,327</w:t>
            </w:r>
          </w:p>
        </w:tc>
        <w:tc>
          <w:tcPr>
            <w:tcW w:w="848" w:type="dxa"/>
            <w:vAlign w:val="center"/>
          </w:tcPr>
          <w:p w:rsidR="0097459C" w:rsidRPr="00AB3200" w:rsidRDefault="0097459C" w:rsidP="00B9278A">
            <w:pPr>
              <w:spacing w:line="230" w:lineRule="exact"/>
              <w:jc w:val="right"/>
              <w:rPr>
                <w:sz w:val="20"/>
              </w:rPr>
            </w:pPr>
            <w:r w:rsidRPr="00AB3200">
              <w:rPr>
                <w:rFonts w:hint="eastAsia"/>
                <w:sz w:val="20"/>
              </w:rPr>
              <w:t>4.00</w:t>
            </w:r>
          </w:p>
        </w:tc>
      </w:tr>
      <w:tr w:rsidR="0097459C" w:rsidRPr="00AB3200" w:rsidTr="0097459C">
        <w:trPr>
          <w:trHeight w:val="246"/>
        </w:trPr>
        <w:tc>
          <w:tcPr>
            <w:tcW w:w="3242" w:type="dxa"/>
            <w:vAlign w:val="center"/>
          </w:tcPr>
          <w:p w:rsidR="0097459C" w:rsidRPr="00AB3200" w:rsidRDefault="0097459C" w:rsidP="00B9278A">
            <w:pPr>
              <w:spacing w:line="230" w:lineRule="exact"/>
              <w:jc w:val="both"/>
              <w:rPr>
                <w:sz w:val="20"/>
              </w:rPr>
            </w:pPr>
            <w:r w:rsidRPr="00AB3200">
              <w:rPr>
                <w:sz w:val="20"/>
              </w:rPr>
              <w:t xml:space="preserve">   </w:t>
            </w:r>
            <w:r w:rsidRPr="00AB3200">
              <w:rPr>
                <w:sz w:val="20"/>
              </w:rPr>
              <w:t>專業、科學及技術服務業</w:t>
            </w:r>
          </w:p>
        </w:tc>
        <w:tc>
          <w:tcPr>
            <w:tcW w:w="1694" w:type="dxa"/>
            <w:vAlign w:val="center"/>
          </w:tcPr>
          <w:p w:rsidR="0097459C" w:rsidRPr="00AB3200" w:rsidRDefault="0097459C" w:rsidP="00B9278A">
            <w:pPr>
              <w:spacing w:line="230" w:lineRule="exact"/>
              <w:jc w:val="right"/>
              <w:rPr>
                <w:sz w:val="20"/>
              </w:rPr>
            </w:pPr>
            <w:r w:rsidRPr="00AB3200">
              <w:rPr>
                <w:sz w:val="20"/>
              </w:rPr>
              <w:t>218,776</w:t>
            </w:r>
          </w:p>
        </w:tc>
        <w:tc>
          <w:tcPr>
            <w:tcW w:w="1694" w:type="dxa"/>
            <w:vAlign w:val="center"/>
          </w:tcPr>
          <w:p w:rsidR="0097459C" w:rsidRPr="00AB3200" w:rsidRDefault="0097459C" w:rsidP="00B9278A">
            <w:pPr>
              <w:spacing w:line="230" w:lineRule="exact"/>
              <w:jc w:val="right"/>
              <w:rPr>
                <w:sz w:val="20"/>
              </w:rPr>
            </w:pPr>
            <w:r w:rsidRPr="00AB3200">
              <w:rPr>
                <w:sz w:val="20"/>
              </w:rPr>
              <w:t>5,931</w:t>
            </w:r>
          </w:p>
        </w:tc>
        <w:tc>
          <w:tcPr>
            <w:tcW w:w="848" w:type="dxa"/>
            <w:vAlign w:val="center"/>
          </w:tcPr>
          <w:p w:rsidR="0097459C" w:rsidRPr="00AB3200" w:rsidRDefault="0097459C" w:rsidP="00B9278A">
            <w:pPr>
              <w:spacing w:line="230" w:lineRule="exact"/>
              <w:jc w:val="right"/>
              <w:rPr>
                <w:sz w:val="20"/>
              </w:rPr>
            </w:pPr>
            <w:r w:rsidRPr="00AB3200">
              <w:rPr>
                <w:rFonts w:hint="eastAsia"/>
                <w:sz w:val="20"/>
              </w:rPr>
              <w:t>2.64</w:t>
            </w:r>
          </w:p>
        </w:tc>
      </w:tr>
      <w:tr w:rsidR="0097459C" w:rsidRPr="00AB3200" w:rsidTr="0097459C">
        <w:trPr>
          <w:trHeight w:val="67"/>
        </w:trPr>
        <w:tc>
          <w:tcPr>
            <w:tcW w:w="3242" w:type="dxa"/>
            <w:vAlign w:val="center"/>
          </w:tcPr>
          <w:p w:rsidR="0097459C" w:rsidRPr="00AB3200" w:rsidRDefault="0097459C" w:rsidP="00B9278A">
            <w:pPr>
              <w:spacing w:line="230" w:lineRule="exact"/>
              <w:jc w:val="both"/>
              <w:rPr>
                <w:sz w:val="20"/>
              </w:rPr>
            </w:pPr>
            <w:r w:rsidRPr="00AB3200">
              <w:rPr>
                <w:sz w:val="20"/>
              </w:rPr>
              <w:t xml:space="preserve">   </w:t>
            </w:r>
            <w:r w:rsidRPr="00AB3200">
              <w:rPr>
                <w:sz w:val="20"/>
              </w:rPr>
              <w:t>支援服務業</w:t>
            </w:r>
          </w:p>
        </w:tc>
        <w:tc>
          <w:tcPr>
            <w:tcW w:w="1694" w:type="dxa"/>
            <w:vAlign w:val="center"/>
          </w:tcPr>
          <w:p w:rsidR="0097459C" w:rsidRPr="00AB3200" w:rsidRDefault="0097459C" w:rsidP="00B9278A">
            <w:pPr>
              <w:spacing w:line="230" w:lineRule="exact"/>
              <w:jc w:val="right"/>
              <w:rPr>
                <w:sz w:val="20"/>
              </w:rPr>
            </w:pPr>
            <w:r w:rsidRPr="00AB3200">
              <w:rPr>
                <w:sz w:val="20"/>
              </w:rPr>
              <w:t>311,992</w:t>
            </w:r>
          </w:p>
        </w:tc>
        <w:tc>
          <w:tcPr>
            <w:tcW w:w="1694" w:type="dxa"/>
            <w:vAlign w:val="center"/>
          </w:tcPr>
          <w:p w:rsidR="0097459C" w:rsidRPr="00AB3200" w:rsidRDefault="0097459C" w:rsidP="00B9278A">
            <w:pPr>
              <w:spacing w:line="230" w:lineRule="exact"/>
              <w:jc w:val="right"/>
              <w:rPr>
                <w:sz w:val="20"/>
              </w:rPr>
            </w:pPr>
            <w:r w:rsidRPr="00AB3200">
              <w:rPr>
                <w:sz w:val="20"/>
              </w:rPr>
              <w:t>8,524</w:t>
            </w:r>
          </w:p>
        </w:tc>
        <w:tc>
          <w:tcPr>
            <w:tcW w:w="848" w:type="dxa"/>
            <w:vAlign w:val="center"/>
          </w:tcPr>
          <w:p w:rsidR="0097459C" w:rsidRPr="00AB3200" w:rsidRDefault="0097459C" w:rsidP="00B9278A">
            <w:pPr>
              <w:spacing w:line="230" w:lineRule="exact"/>
              <w:jc w:val="right"/>
              <w:rPr>
                <w:sz w:val="20"/>
              </w:rPr>
            </w:pPr>
            <w:r w:rsidRPr="00AB3200">
              <w:rPr>
                <w:rFonts w:hint="eastAsia"/>
                <w:sz w:val="20"/>
              </w:rPr>
              <w:t>2.66</w:t>
            </w:r>
          </w:p>
        </w:tc>
      </w:tr>
      <w:tr w:rsidR="0097459C" w:rsidRPr="00AB3200" w:rsidTr="0097459C">
        <w:trPr>
          <w:trHeight w:val="263"/>
        </w:trPr>
        <w:tc>
          <w:tcPr>
            <w:tcW w:w="3242" w:type="dxa"/>
            <w:vAlign w:val="center"/>
          </w:tcPr>
          <w:p w:rsidR="0097459C" w:rsidRPr="00AB3200" w:rsidRDefault="0097459C" w:rsidP="00B9278A">
            <w:pPr>
              <w:spacing w:line="230" w:lineRule="exact"/>
              <w:jc w:val="both"/>
              <w:rPr>
                <w:sz w:val="20"/>
              </w:rPr>
            </w:pPr>
            <w:r w:rsidRPr="00AB3200">
              <w:rPr>
                <w:rFonts w:hint="eastAsia"/>
                <w:sz w:val="20"/>
              </w:rPr>
              <w:t xml:space="preserve">   </w:t>
            </w:r>
            <w:r w:rsidRPr="00AB3200">
              <w:rPr>
                <w:rFonts w:hint="eastAsia"/>
                <w:sz w:val="20"/>
              </w:rPr>
              <w:t>教育服務業</w:t>
            </w:r>
          </w:p>
        </w:tc>
        <w:tc>
          <w:tcPr>
            <w:tcW w:w="1694" w:type="dxa"/>
            <w:vAlign w:val="center"/>
          </w:tcPr>
          <w:p w:rsidR="0097459C" w:rsidRPr="00AB3200" w:rsidRDefault="0097459C" w:rsidP="00B9278A">
            <w:pPr>
              <w:spacing w:line="230" w:lineRule="exact"/>
              <w:jc w:val="right"/>
              <w:rPr>
                <w:sz w:val="20"/>
              </w:rPr>
            </w:pPr>
            <w:r w:rsidRPr="00AB3200">
              <w:rPr>
                <w:sz w:val="20"/>
              </w:rPr>
              <w:t>76,025</w:t>
            </w:r>
          </w:p>
        </w:tc>
        <w:tc>
          <w:tcPr>
            <w:tcW w:w="1694" w:type="dxa"/>
            <w:vAlign w:val="center"/>
          </w:tcPr>
          <w:p w:rsidR="0097459C" w:rsidRPr="00AB3200" w:rsidRDefault="0097459C" w:rsidP="00B9278A">
            <w:pPr>
              <w:spacing w:line="230" w:lineRule="exact"/>
              <w:jc w:val="right"/>
              <w:rPr>
                <w:sz w:val="20"/>
              </w:rPr>
            </w:pPr>
            <w:r w:rsidRPr="00AB3200">
              <w:rPr>
                <w:sz w:val="20"/>
              </w:rPr>
              <w:t>1,878</w:t>
            </w:r>
          </w:p>
        </w:tc>
        <w:tc>
          <w:tcPr>
            <w:tcW w:w="848" w:type="dxa"/>
            <w:vAlign w:val="center"/>
          </w:tcPr>
          <w:p w:rsidR="0097459C" w:rsidRPr="00AB3200" w:rsidRDefault="0097459C" w:rsidP="00B9278A">
            <w:pPr>
              <w:spacing w:line="230" w:lineRule="exact"/>
              <w:jc w:val="right"/>
              <w:rPr>
                <w:sz w:val="20"/>
              </w:rPr>
            </w:pPr>
            <w:r w:rsidRPr="00AB3200">
              <w:rPr>
                <w:rFonts w:hint="eastAsia"/>
                <w:sz w:val="20"/>
              </w:rPr>
              <w:t>2.41</w:t>
            </w:r>
          </w:p>
        </w:tc>
      </w:tr>
      <w:tr w:rsidR="0097459C" w:rsidRPr="00AB3200" w:rsidTr="0097459C">
        <w:trPr>
          <w:trHeight w:val="263"/>
        </w:trPr>
        <w:tc>
          <w:tcPr>
            <w:tcW w:w="3242" w:type="dxa"/>
            <w:vAlign w:val="center"/>
          </w:tcPr>
          <w:p w:rsidR="0097459C" w:rsidRPr="00AB3200" w:rsidRDefault="0097459C" w:rsidP="00B9278A">
            <w:pPr>
              <w:spacing w:line="230" w:lineRule="exact"/>
              <w:jc w:val="both"/>
              <w:rPr>
                <w:sz w:val="20"/>
              </w:rPr>
            </w:pPr>
            <w:r w:rsidRPr="00AB3200">
              <w:rPr>
                <w:sz w:val="20"/>
              </w:rPr>
              <w:t xml:space="preserve">   </w:t>
            </w:r>
            <w:r w:rsidRPr="00AB3200">
              <w:rPr>
                <w:sz w:val="20"/>
              </w:rPr>
              <w:t>醫療保健服務業</w:t>
            </w:r>
          </w:p>
        </w:tc>
        <w:tc>
          <w:tcPr>
            <w:tcW w:w="1694" w:type="dxa"/>
            <w:vAlign w:val="center"/>
          </w:tcPr>
          <w:p w:rsidR="0097459C" w:rsidRPr="00AB3200" w:rsidRDefault="0097459C" w:rsidP="00B9278A">
            <w:pPr>
              <w:spacing w:line="230" w:lineRule="exact"/>
              <w:jc w:val="right"/>
              <w:rPr>
                <w:sz w:val="20"/>
              </w:rPr>
            </w:pPr>
            <w:r w:rsidRPr="00AB3200">
              <w:rPr>
                <w:sz w:val="20"/>
              </w:rPr>
              <w:t>330,834</w:t>
            </w:r>
          </w:p>
        </w:tc>
        <w:tc>
          <w:tcPr>
            <w:tcW w:w="1694" w:type="dxa"/>
            <w:vAlign w:val="center"/>
          </w:tcPr>
          <w:p w:rsidR="0097459C" w:rsidRPr="00AB3200" w:rsidRDefault="0097459C" w:rsidP="00B9278A">
            <w:pPr>
              <w:spacing w:line="230" w:lineRule="exact"/>
              <w:jc w:val="right"/>
              <w:rPr>
                <w:sz w:val="20"/>
              </w:rPr>
            </w:pPr>
            <w:r w:rsidRPr="00AB3200">
              <w:rPr>
                <w:sz w:val="20"/>
              </w:rPr>
              <w:t>7,990</w:t>
            </w:r>
          </w:p>
        </w:tc>
        <w:tc>
          <w:tcPr>
            <w:tcW w:w="848" w:type="dxa"/>
            <w:vAlign w:val="center"/>
          </w:tcPr>
          <w:p w:rsidR="0097459C" w:rsidRPr="00AB3200" w:rsidRDefault="0097459C" w:rsidP="00B9278A">
            <w:pPr>
              <w:spacing w:line="230" w:lineRule="exact"/>
              <w:jc w:val="right"/>
              <w:rPr>
                <w:sz w:val="20"/>
              </w:rPr>
            </w:pPr>
            <w:r w:rsidRPr="00AB3200">
              <w:rPr>
                <w:rFonts w:hint="eastAsia"/>
                <w:sz w:val="20"/>
              </w:rPr>
              <w:t>2.36</w:t>
            </w:r>
          </w:p>
        </w:tc>
      </w:tr>
      <w:tr w:rsidR="0097459C" w:rsidRPr="00AB3200" w:rsidTr="0097459C">
        <w:trPr>
          <w:trHeight w:val="283"/>
        </w:trPr>
        <w:tc>
          <w:tcPr>
            <w:tcW w:w="3242" w:type="dxa"/>
            <w:vAlign w:val="center"/>
          </w:tcPr>
          <w:p w:rsidR="0097459C" w:rsidRPr="00AB3200" w:rsidRDefault="0097459C" w:rsidP="00B9278A">
            <w:pPr>
              <w:spacing w:line="230" w:lineRule="exact"/>
              <w:jc w:val="both"/>
              <w:rPr>
                <w:sz w:val="20"/>
              </w:rPr>
            </w:pPr>
            <w:r w:rsidRPr="00AB3200">
              <w:rPr>
                <w:rFonts w:hint="eastAsia"/>
                <w:sz w:val="20"/>
              </w:rPr>
              <w:t xml:space="preserve">   </w:t>
            </w:r>
            <w:r w:rsidRPr="00AB3200">
              <w:rPr>
                <w:rFonts w:hint="eastAsia"/>
                <w:sz w:val="20"/>
              </w:rPr>
              <w:t>藝術、娛樂及休閒服務</w:t>
            </w:r>
          </w:p>
        </w:tc>
        <w:tc>
          <w:tcPr>
            <w:tcW w:w="1694" w:type="dxa"/>
            <w:vAlign w:val="center"/>
          </w:tcPr>
          <w:p w:rsidR="0097459C" w:rsidRPr="00AB3200" w:rsidRDefault="0097459C" w:rsidP="00B9278A">
            <w:pPr>
              <w:spacing w:line="230" w:lineRule="exact"/>
              <w:jc w:val="right"/>
              <w:rPr>
                <w:sz w:val="20"/>
              </w:rPr>
            </w:pPr>
            <w:r w:rsidRPr="00AB3200">
              <w:rPr>
                <w:sz w:val="20"/>
              </w:rPr>
              <w:t>48,790</w:t>
            </w:r>
          </w:p>
        </w:tc>
        <w:tc>
          <w:tcPr>
            <w:tcW w:w="1694" w:type="dxa"/>
            <w:vAlign w:val="center"/>
          </w:tcPr>
          <w:p w:rsidR="0097459C" w:rsidRPr="00AB3200" w:rsidRDefault="0097459C" w:rsidP="00B9278A">
            <w:pPr>
              <w:spacing w:line="230" w:lineRule="exact"/>
              <w:jc w:val="right"/>
              <w:rPr>
                <w:sz w:val="20"/>
              </w:rPr>
            </w:pPr>
            <w:r w:rsidRPr="00AB3200">
              <w:rPr>
                <w:sz w:val="20"/>
              </w:rPr>
              <w:t>1,618</w:t>
            </w:r>
          </w:p>
        </w:tc>
        <w:tc>
          <w:tcPr>
            <w:tcW w:w="848" w:type="dxa"/>
            <w:vAlign w:val="center"/>
          </w:tcPr>
          <w:p w:rsidR="0097459C" w:rsidRPr="00AB3200" w:rsidRDefault="0097459C" w:rsidP="00B9278A">
            <w:pPr>
              <w:spacing w:line="230" w:lineRule="exact"/>
              <w:jc w:val="right"/>
              <w:rPr>
                <w:sz w:val="20"/>
              </w:rPr>
            </w:pPr>
            <w:r w:rsidRPr="00AB3200">
              <w:rPr>
                <w:rFonts w:hint="eastAsia"/>
                <w:sz w:val="20"/>
              </w:rPr>
              <w:t>3.21</w:t>
            </w:r>
          </w:p>
        </w:tc>
      </w:tr>
      <w:tr w:rsidR="0097459C" w:rsidRPr="00AB3200" w:rsidTr="0097459C">
        <w:trPr>
          <w:trHeight w:val="283"/>
        </w:trPr>
        <w:tc>
          <w:tcPr>
            <w:tcW w:w="3242" w:type="dxa"/>
            <w:vAlign w:val="center"/>
          </w:tcPr>
          <w:p w:rsidR="0097459C" w:rsidRPr="00AB3200" w:rsidRDefault="0097459C" w:rsidP="00B9278A">
            <w:pPr>
              <w:spacing w:line="230" w:lineRule="exact"/>
              <w:jc w:val="both"/>
              <w:rPr>
                <w:sz w:val="20"/>
              </w:rPr>
            </w:pPr>
            <w:r w:rsidRPr="00AB3200">
              <w:rPr>
                <w:sz w:val="20"/>
              </w:rPr>
              <w:t xml:space="preserve">   </w:t>
            </w:r>
            <w:r w:rsidRPr="00AB3200">
              <w:rPr>
                <w:sz w:val="20"/>
              </w:rPr>
              <w:t>其他</w:t>
            </w:r>
            <w:r w:rsidRPr="00AB3200">
              <w:rPr>
                <w:rFonts w:hint="eastAsia"/>
                <w:sz w:val="20"/>
              </w:rPr>
              <w:t>服務業</w:t>
            </w:r>
          </w:p>
        </w:tc>
        <w:tc>
          <w:tcPr>
            <w:tcW w:w="1694" w:type="dxa"/>
            <w:vAlign w:val="center"/>
          </w:tcPr>
          <w:p w:rsidR="0097459C" w:rsidRPr="00AB3200" w:rsidRDefault="0097459C" w:rsidP="00B9278A">
            <w:pPr>
              <w:spacing w:line="230" w:lineRule="exact"/>
              <w:jc w:val="right"/>
              <w:rPr>
                <w:sz w:val="20"/>
              </w:rPr>
            </w:pPr>
            <w:r w:rsidRPr="00AB3200">
              <w:rPr>
                <w:sz w:val="20"/>
              </w:rPr>
              <w:t>84,008</w:t>
            </w:r>
          </w:p>
        </w:tc>
        <w:tc>
          <w:tcPr>
            <w:tcW w:w="1694" w:type="dxa"/>
            <w:vAlign w:val="center"/>
          </w:tcPr>
          <w:p w:rsidR="0097459C" w:rsidRPr="00AB3200" w:rsidRDefault="0097459C" w:rsidP="00B9278A">
            <w:pPr>
              <w:spacing w:line="230" w:lineRule="exact"/>
              <w:jc w:val="right"/>
              <w:rPr>
                <w:sz w:val="20"/>
              </w:rPr>
            </w:pPr>
            <w:r w:rsidRPr="00AB3200">
              <w:rPr>
                <w:sz w:val="20"/>
              </w:rPr>
              <w:t>3,628</w:t>
            </w:r>
          </w:p>
        </w:tc>
        <w:tc>
          <w:tcPr>
            <w:tcW w:w="848" w:type="dxa"/>
            <w:vAlign w:val="center"/>
          </w:tcPr>
          <w:p w:rsidR="0097459C" w:rsidRPr="00AB3200" w:rsidRDefault="0097459C" w:rsidP="00B9278A">
            <w:pPr>
              <w:spacing w:line="230" w:lineRule="exact"/>
              <w:jc w:val="right"/>
              <w:rPr>
                <w:sz w:val="20"/>
              </w:rPr>
            </w:pPr>
            <w:r w:rsidRPr="00AB3200">
              <w:rPr>
                <w:rFonts w:hint="eastAsia"/>
                <w:sz w:val="20"/>
              </w:rPr>
              <w:t>4.14</w:t>
            </w:r>
          </w:p>
        </w:tc>
      </w:tr>
    </w:tbl>
    <w:p w:rsidR="0097459C" w:rsidRPr="00AB3200" w:rsidRDefault="0097459C" w:rsidP="0097459C">
      <w:pPr>
        <w:pStyle w:val="20"/>
        <w:numPr>
          <w:ilvl w:val="0"/>
          <w:numId w:val="0"/>
        </w:numPr>
        <w:spacing w:line="200" w:lineRule="exact"/>
        <w:ind w:left="1418"/>
        <w:rPr>
          <w:rFonts w:ascii="Times New Roman" w:hAnsi="Times New Roman"/>
          <w:sz w:val="20"/>
          <w:szCs w:val="20"/>
        </w:rPr>
      </w:pPr>
      <w:bookmarkStart w:id="57" w:name="_Toc393464366"/>
      <w:r w:rsidRPr="00AB3200">
        <w:rPr>
          <w:rFonts w:ascii="Times New Roman" w:hAnsi="Times New Roman"/>
          <w:sz w:val="20"/>
          <w:szCs w:val="20"/>
        </w:rPr>
        <w:t>資料來源</w:t>
      </w:r>
      <w:r w:rsidRPr="00AB3200">
        <w:rPr>
          <w:rFonts w:ascii="Times New Roman" w:hAnsi="Times New Roman"/>
          <w:sz w:val="20"/>
          <w:szCs w:val="20"/>
        </w:rPr>
        <w:t>:</w:t>
      </w:r>
      <w:r w:rsidRPr="00AB3200">
        <w:rPr>
          <w:rFonts w:ascii="Times New Roman" w:hAnsi="Times New Roman" w:hint="eastAsia"/>
          <w:sz w:val="20"/>
          <w:szCs w:val="20"/>
        </w:rPr>
        <w:t>行政院</w:t>
      </w:r>
      <w:r w:rsidRPr="00AB3200">
        <w:rPr>
          <w:rFonts w:ascii="Times New Roman" w:hAnsi="Times New Roman"/>
          <w:sz w:val="20"/>
          <w:szCs w:val="20"/>
        </w:rPr>
        <w:t>主計總處</w:t>
      </w:r>
      <w:r w:rsidRPr="00AB3200">
        <w:rPr>
          <w:rFonts w:ascii="Times New Roman" w:hAnsi="Times New Roman" w:hint="eastAsia"/>
          <w:sz w:val="20"/>
          <w:szCs w:val="20"/>
        </w:rPr>
        <w:t>，</w:t>
      </w:r>
      <w:r w:rsidRPr="00AB3200">
        <w:rPr>
          <w:bCs w:val="0"/>
          <w:sz w:val="20"/>
        </w:rPr>
        <w:t>102</w:t>
      </w:r>
      <w:r w:rsidRPr="00AB3200">
        <w:rPr>
          <w:rFonts w:hint="eastAsia"/>
          <w:bCs w:val="0"/>
          <w:sz w:val="20"/>
        </w:rPr>
        <w:t>年事業人力僱用狀況調查結果綜合分析，</w:t>
      </w:r>
      <w:hyperlink r:id="rId10" w:history="1">
        <w:r w:rsidRPr="00AB3200">
          <w:rPr>
            <w:rFonts w:ascii="Times New Roman" w:hAnsi="Times New Roman"/>
            <w:sz w:val="20"/>
            <w:szCs w:val="20"/>
          </w:rPr>
          <w:t>http://www.stat.gov.tw/public/Data/31225164554N4GQ42NS.pdf</w:t>
        </w:r>
      </w:hyperlink>
      <w:r w:rsidRPr="00AB3200">
        <w:rPr>
          <w:rFonts w:ascii="Times New Roman" w:hAnsi="Times New Roman" w:hint="eastAsia"/>
          <w:sz w:val="20"/>
          <w:szCs w:val="20"/>
        </w:rPr>
        <w:t>。</w:t>
      </w:r>
      <w:bookmarkEnd w:id="57"/>
    </w:p>
    <w:p w:rsidR="0097459C" w:rsidRPr="00AB3200" w:rsidRDefault="0097459C" w:rsidP="0097459C">
      <w:pPr>
        <w:pStyle w:val="20"/>
        <w:numPr>
          <w:ilvl w:val="0"/>
          <w:numId w:val="0"/>
        </w:numPr>
        <w:spacing w:line="240" w:lineRule="exact"/>
        <w:ind w:left="346" w:rightChars="-317" w:right="-1078" w:firstLineChars="487" w:firstLine="1072"/>
        <w:jc w:val="center"/>
        <w:rPr>
          <w:rFonts w:ascii="Times New Roman" w:hAnsi="Times New Roman"/>
          <w:sz w:val="24"/>
          <w:szCs w:val="24"/>
        </w:rPr>
      </w:pPr>
      <w:bookmarkStart w:id="58" w:name="_Toc393464367"/>
      <w:r w:rsidRPr="00AB3200">
        <w:rPr>
          <w:rFonts w:ascii="Times New Roman" w:hAnsi="Times New Roman"/>
          <w:sz w:val="20"/>
          <w:szCs w:val="20"/>
        </w:rPr>
        <w:t>空缺率之計算公式為：空缺率</w:t>
      </w:r>
      <w:r w:rsidRPr="00AB3200">
        <w:rPr>
          <w:rFonts w:ascii="Times New Roman" w:hAnsi="Times New Roman"/>
          <w:sz w:val="20"/>
          <w:szCs w:val="20"/>
        </w:rPr>
        <w:t xml:space="preserve"> </w:t>
      </w:r>
      <w:r w:rsidRPr="00AB3200">
        <w:rPr>
          <w:rFonts w:ascii="Times New Roman" w:hAnsi="Times New Roman"/>
          <w:sz w:val="20"/>
          <w:szCs w:val="20"/>
        </w:rPr>
        <w:t>＝〔</w:t>
      </w:r>
      <w:r w:rsidRPr="00AB3200">
        <w:rPr>
          <w:rFonts w:ascii="Times New Roman" w:hAnsi="Times New Roman"/>
          <w:sz w:val="20"/>
          <w:szCs w:val="20"/>
        </w:rPr>
        <w:t xml:space="preserve"> </w:t>
      </w:r>
      <w:r w:rsidRPr="00AB3200">
        <w:rPr>
          <w:rFonts w:ascii="Times New Roman" w:hAnsi="Times New Roman"/>
          <w:sz w:val="20"/>
          <w:szCs w:val="20"/>
        </w:rPr>
        <w:t>空缺人數</w:t>
      </w:r>
      <w:r w:rsidRPr="00AB3200">
        <w:rPr>
          <w:rFonts w:ascii="Times New Roman" w:hAnsi="Times New Roman"/>
          <w:sz w:val="20"/>
          <w:szCs w:val="20"/>
        </w:rPr>
        <w:t xml:space="preserve"> </w:t>
      </w:r>
      <w:r w:rsidRPr="00AB3200">
        <w:rPr>
          <w:rFonts w:ascii="Times New Roman" w:hAnsi="Times New Roman"/>
          <w:sz w:val="20"/>
          <w:szCs w:val="20"/>
        </w:rPr>
        <w:t>／</w:t>
      </w:r>
      <w:r w:rsidRPr="00AB3200">
        <w:rPr>
          <w:rFonts w:ascii="Times New Roman" w:hAnsi="Times New Roman"/>
          <w:sz w:val="20"/>
          <w:szCs w:val="20"/>
        </w:rPr>
        <w:t>(</w:t>
      </w:r>
      <w:r w:rsidRPr="00AB3200">
        <w:rPr>
          <w:rFonts w:ascii="Times New Roman" w:hAnsi="Times New Roman"/>
          <w:sz w:val="20"/>
          <w:szCs w:val="20"/>
        </w:rPr>
        <w:t>空缺人數＋受僱員工人數</w:t>
      </w:r>
      <w:r w:rsidRPr="00AB3200">
        <w:rPr>
          <w:rFonts w:ascii="Times New Roman" w:hAnsi="Times New Roman"/>
          <w:sz w:val="20"/>
          <w:szCs w:val="20"/>
        </w:rPr>
        <w:t>)</w:t>
      </w:r>
      <w:r w:rsidRPr="00AB3200">
        <w:rPr>
          <w:rFonts w:ascii="Times New Roman" w:hAnsi="Times New Roman"/>
          <w:sz w:val="20"/>
          <w:szCs w:val="20"/>
        </w:rPr>
        <w:t>〕</w:t>
      </w:r>
      <w:r w:rsidRPr="00AB3200">
        <w:rPr>
          <w:rFonts w:ascii="Times New Roman" w:hAnsi="Times New Roman"/>
          <w:sz w:val="20"/>
          <w:szCs w:val="20"/>
        </w:rPr>
        <w:t>*100</w:t>
      </w:r>
      <w:r w:rsidRPr="00AB3200">
        <w:rPr>
          <w:rFonts w:ascii="Times New Roman" w:hAnsi="Times New Roman"/>
          <w:sz w:val="20"/>
          <w:szCs w:val="20"/>
        </w:rPr>
        <w:t>％。</w:t>
      </w:r>
      <w:bookmarkEnd w:id="58"/>
    </w:p>
    <w:p w:rsidR="00842698" w:rsidRPr="00AB3200" w:rsidRDefault="00842698" w:rsidP="0097459C">
      <w:pPr>
        <w:pStyle w:val="20"/>
        <w:numPr>
          <w:ilvl w:val="0"/>
          <w:numId w:val="0"/>
        </w:numPr>
        <w:spacing w:line="300" w:lineRule="exact"/>
        <w:ind w:left="346"/>
        <w:jc w:val="center"/>
        <w:rPr>
          <w:rFonts w:ascii="Times New Roman" w:hAnsi="Times New Roman"/>
          <w:sz w:val="24"/>
          <w:szCs w:val="24"/>
        </w:rPr>
      </w:pPr>
      <w:bookmarkStart w:id="59" w:name="_Toc393464368"/>
    </w:p>
    <w:p w:rsidR="00842698" w:rsidRPr="00AB3200" w:rsidRDefault="00842698" w:rsidP="0097459C">
      <w:pPr>
        <w:pStyle w:val="20"/>
        <w:numPr>
          <w:ilvl w:val="0"/>
          <w:numId w:val="0"/>
        </w:numPr>
        <w:spacing w:line="300" w:lineRule="exact"/>
        <w:ind w:left="346"/>
        <w:jc w:val="center"/>
        <w:rPr>
          <w:rFonts w:ascii="Times New Roman" w:hAnsi="Times New Roman"/>
          <w:sz w:val="24"/>
          <w:szCs w:val="24"/>
        </w:rPr>
      </w:pPr>
    </w:p>
    <w:p w:rsidR="00842698" w:rsidRPr="00AB3200" w:rsidRDefault="00842698" w:rsidP="0097459C">
      <w:pPr>
        <w:pStyle w:val="20"/>
        <w:numPr>
          <w:ilvl w:val="0"/>
          <w:numId w:val="0"/>
        </w:numPr>
        <w:spacing w:line="300" w:lineRule="exact"/>
        <w:ind w:left="346"/>
        <w:jc w:val="center"/>
        <w:rPr>
          <w:rFonts w:ascii="Times New Roman" w:hAnsi="Times New Roman"/>
          <w:sz w:val="24"/>
          <w:szCs w:val="24"/>
        </w:rPr>
      </w:pPr>
    </w:p>
    <w:p w:rsidR="0097459C" w:rsidRPr="00AB3200" w:rsidRDefault="0097459C" w:rsidP="0097459C">
      <w:pPr>
        <w:pStyle w:val="20"/>
        <w:numPr>
          <w:ilvl w:val="0"/>
          <w:numId w:val="0"/>
        </w:numPr>
        <w:spacing w:line="300" w:lineRule="exact"/>
        <w:ind w:left="346"/>
        <w:jc w:val="center"/>
        <w:rPr>
          <w:rFonts w:ascii="Times New Roman" w:hAnsi="Times New Roman"/>
          <w:sz w:val="24"/>
          <w:szCs w:val="24"/>
        </w:rPr>
      </w:pPr>
      <w:r w:rsidRPr="00AB3200">
        <w:rPr>
          <w:rFonts w:ascii="Times New Roman" w:hAnsi="Times New Roman"/>
          <w:sz w:val="24"/>
          <w:szCs w:val="24"/>
        </w:rPr>
        <w:t>製造業廠商空缺員工概況</w:t>
      </w:r>
      <w:r w:rsidRPr="00AB3200">
        <w:rPr>
          <w:rFonts w:ascii="Times New Roman" w:hAnsi="Times New Roman"/>
          <w:sz w:val="24"/>
          <w:szCs w:val="24"/>
        </w:rPr>
        <w:t>-102.</w:t>
      </w:r>
      <w:r w:rsidRPr="00AB3200">
        <w:rPr>
          <w:rFonts w:ascii="Times New Roman" w:hAnsi="Times New Roman" w:hint="eastAsia"/>
          <w:sz w:val="24"/>
          <w:szCs w:val="24"/>
        </w:rPr>
        <w:t>8</w:t>
      </w:r>
      <w:bookmarkEnd w:id="59"/>
    </w:p>
    <w:p w:rsidR="0097459C" w:rsidRPr="00AB3200" w:rsidRDefault="0097459C" w:rsidP="0097459C">
      <w:pPr>
        <w:pStyle w:val="20"/>
        <w:numPr>
          <w:ilvl w:val="0"/>
          <w:numId w:val="0"/>
        </w:numPr>
        <w:spacing w:line="240" w:lineRule="exact"/>
        <w:ind w:left="346"/>
        <w:jc w:val="right"/>
        <w:rPr>
          <w:rFonts w:ascii="Times New Roman" w:hAnsi="Times New Roman"/>
          <w:sz w:val="20"/>
          <w:szCs w:val="20"/>
        </w:rPr>
      </w:pPr>
      <w:bookmarkStart w:id="60" w:name="_Toc393464369"/>
      <w:r w:rsidRPr="00AB3200">
        <w:rPr>
          <w:rFonts w:ascii="Times New Roman" w:hAnsi="Times New Roman"/>
          <w:sz w:val="20"/>
          <w:szCs w:val="20"/>
        </w:rPr>
        <w:t>單位：人；％</w:t>
      </w:r>
      <w:bookmarkEnd w:id="60"/>
    </w:p>
    <w:tbl>
      <w:tblPr>
        <w:tblW w:w="7513" w:type="dxa"/>
        <w:tblInd w:w="1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3260"/>
        <w:gridCol w:w="1843"/>
        <w:gridCol w:w="1559"/>
        <w:gridCol w:w="851"/>
      </w:tblGrid>
      <w:tr w:rsidR="0097459C" w:rsidRPr="00AB3200" w:rsidTr="009A6770">
        <w:trPr>
          <w:trHeight w:val="274"/>
          <w:tblHeader/>
        </w:trPr>
        <w:tc>
          <w:tcPr>
            <w:tcW w:w="3260" w:type="dxa"/>
          </w:tcPr>
          <w:p w:rsidR="0097459C" w:rsidRPr="00AB3200" w:rsidRDefault="0097459C" w:rsidP="009A6770">
            <w:pPr>
              <w:jc w:val="center"/>
              <w:rPr>
                <w:sz w:val="20"/>
              </w:rPr>
            </w:pPr>
            <w:r w:rsidRPr="00AB3200">
              <w:rPr>
                <w:sz w:val="20"/>
              </w:rPr>
              <w:t>行業別</w:t>
            </w:r>
          </w:p>
        </w:tc>
        <w:tc>
          <w:tcPr>
            <w:tcW w:w="1843" w:type="dxa"/>
          </w:tcPr>
          <w:p w:rsidR="0097459C" w:rsidRPr="00AB3200" w:rsidRDefault="0097459C" w:rsidP="009A6770">
            <w:pPr>
              <w:jc w:val="center"/>
              <w:rPr>
                <w:sz w:val="20"/>
              </w:rPr>
            </w:pPr>
            <w:r w:rsidRPr="00AB3200">
              <w:rPr>
                <w:sz w:val="20"/>
              </w:rPr>
              <w:t>受雇員工人數</w:t>
            </w:r>
          </w:p>
        </w:tc>
        <w:tc>
          <w:tcPr>
            <w:tcW w:w="1559" w:type="dxa"/>
          </w:tcPr>
          <w:p w:rsidR="0097459C" w:rsidRPr="00AB3200" w:rsidRDefault="0097459C" w:rsidP="009A6770">
            <w:pPr>
              <w:jc w:val="center"/>
              <w:rPr>
                <w:sz w:val="20"/>
              </w:rPr>
            </w:pPr>
            <w:r w:rsidRPr="00AB3200">
              <w:rPr>
                <w:sz w:val="20"/>
              </w:rPr>
              <w:t>空缺員工人數</w:t>
            </w:r>
          </w:p>
        </w:tc>
        <w:tc>
          <w:tcPr>
            <w:tcW w:w="851" w:type="dxa"/>
          </w:tcPr>
          <w:p w:rsidR="0097459C" w:rsidRPr="00AB3200" w:rsidRDefault="0097459C" w:rsidP="009A6770">
            <w:pPr>
              <w:jc w:val="center"/>
              <w:rPr>
                <w:sz w:val="20"/>
              </w:rPr>
            </w:pPr>
            <w:r w:rsidRPr="00AB3200">
              <w:rPr>
                <w:sz w:val="20"/>
              </w:rPr>
              <w:t>空缺率</w:t>
            </w:r>
          </w:p>
        </w:tc>
      </w:tr>
      <w:tr w:rsidR="0097459C" w:rsidRPr="00AB3200" w:rsidTr="0097459C">
        <w:trPr>
          <w:trHeight w:val="67"/>
        </w:trPr>
        <w:tc>
          <w:tcPr>
            <w:tcW w:w="3260" w:type="dxa"/>
          </w:tcPr>
          <w:p w:rsidR="0097459C" w:rsidRPr="00AB3200" w:rsidRDefault="0097459C" w:rsidP="00B9278A">
            <w:pPr>
              <w:rPr>
                <w:sz w:val="20"/>
              </w:rPr>
            </w:pPr>
            <w:r w:rsidRPr="00AB3200">
              <w:rPr>
                <w:sz w:val="20"/>
              </w:rPr>
              <w:t>製造業</w:t>
            </w:r>
          </w:p>
        </w:tc>
        <w:tc>
          <w:tcPr>
            <w:tcW w:w="1843" w:type="dxa"/>
          </w:tcPr>
          <w:p w:rsidR="0097459C" w:rsidRPr="00AB3200" w:rsidRDefault="0097459C" w:rsidP="00B9278A">
            <w:pPr>
              <w:jc w:val="right"/>
              <w:rPr>
                <w:sz w:val="20"/>
              </w:rPr>
            </w:pPr>
            <w:r w:rsidRPr="00AB3200">
              <w:rPr>
                <w:sz w:val="20"/>
              </w:rPr>
              <w:t>2,682,649</w:t>
            </w:r>
          </w:p>
        </w:tc>
        <w:tc>
          <w:tcPr>
            <w:tcW w:w="1559" w:type="dxa"/>
          </w:tcPr>
          <w:p w:rsidR="0097459C" w:rsidRPr="00AB3200" w:rsidRDefault="0097459C" w:rsidP="00B9278A">
            <w:pPr>
              <w:jc w:val="right"/>
              <w:rPr>
                <w:sz w:val="20"/>
              </w:rPr>
            </w:pPr>
            <w:r w:rsidRPr="00AB3200">
              <w:rPr>
                <w:sz w:val="20"/>
              </w:rPr>
              <w:t>76,491</w:t>
            </w:r>
          </w:p>
        </w:tc>
        <w:tc>
          <w:tcPr>
            <w:tcW w:w="851" w:type="dxa"/>
          </w:tcPr>
          <w:p w:rsidR="0097459C" w:rsidRPr="00AB3200" w:rsidRDefault="0097459C" w:rsidP="00B9278A">
            <w:pPr>
              <w:jc w:val="right"/>
              <w:rPr>
                <w:sz w:val="20"/>
              </w:rPr>
            </w:pPr>
            <w:r w:rsidRPr="00AB3200">
              <w:rPr>
                <w:sz w:val="20"/>
              </w:rPr>
              <w:t>2.77</w:t>
            </w:r>
          </w:p>
        </w:tc>
      </w:tr>
      <w:tr w:rsidR="0097459C" w:rsidRPr="00AB3200" w:rsidTr="0097459C">
        <w:trPr>
          <w:trHeight w:val="67"/>
        </w:trPr>
        <w:tc>
          <w:tcPr>
            <w:tcW w:w="3260" w:type="dxa"/>
          </w:tcPr>
          <w:p w:rsidR="0097459C" w:rsidRPr="00AB3200" w:rsidRDefault="0097459C" w:rsidP="0097459C">
            <w:pPr>
              <w:rPr>
                <w:sz w:val="20"/>
              </w:rPr>
            </w:pPr>
            <w:r w:rsidRPr="00AB3200">
              <w:rPr>
                <w:sz w:val="20"/>
              </w:rPr>
              <w:t xml:space="preserve">  </w:t>
            </w:r>
            <w:r w:rsidRPr="00AB3200">
              <w:rPr>
                <w:sz w:val="20"/>
              </w:rPr>
              <w:t>食品製造業</w:t>
            </w:r>
          </w:p>
        </w:tc>
        <w:tc>
          <w:tcPr>
            <w:tcW w:w="1843" w:type="dxa"/>
          </w:tcPr>
          <w:p w:rsidR="0097459C" w:rsidRPr="00AB3200" w:rsidRDefault="0097459C" w:rsidP="00B9278A">
            <w:pPr>
              <w:jc w:val="right"/>
              <w:rPr>
                <w:sz w:val="20"/>
              </w:rPr>
            </w:pPr>
            <w:r w:rsidRPr="00AB3200">
              <w:rPr>
                <w:sz w:val="20"/>
              </w:rPr>
              <w:t>107,432</w:t>
            </w:r>
          </w:p>
        </w:tc>
        <w:tc>
          <w:tcPr>
            <w:tcW w:w="1559" w:type="dxa"/>
          </w:tcPr>
          <w:p w:rsidR="0097459C" w:rsidRPr="00AB3200" w:rsidRDefault="0097459C" w:rsidP="00B9278A">
            <w:pPr>
              <w:jc w:val="right"/>
              <w:rPr>
                <w:sz w:val="20"/>
              </w:rPr>
            </w:pPr>
            <w:r w:rsidRPr="00AB3200">
              <w:rPr>
                <w:sz w:val="20"/>
              </w:rPr>
              <w:t>2,608</w:t>
            </w:r>
          </w:p>
        </w:tc>
        <w:tc>
          <w:tcPr>
            <w:tcW w:w="851" w:type="dxa"/>
          </w:tcPr>
          <w:p w:rsidR="0097459C" w:rsidRPr="00AB3200" w:rsidRDefault="0097459C" w:rsidP="00B9278A">
            <w:pPr>
              <w:jc w:val="right"/>
              <w:rPr>
                <w:sz w:val="20"/>
              </w:rPr>
            </w:pPr>
            <w:r w:rsidRPr="00AB3200">
              <w:rPr>
                <w:sz w:val="20"/>
              </w:rPr>
              <w:t>2.</w:t>
            </w:r>
            <w:r w:rsidRPr="00AB3200">
              <w:rPr>
                <w:rFonts w:hint="eastAsia"/>
                <w:sz w:val="20"/>
              </w:rPr>
              <w:t>37</w:t>
            </w:r>
          </w:p>
        </w:tc>
      </w:tr>
      <w:tr w:rsidR="0097459C" w:rsidRPr="00AB3200" w:rsidTr="0097459C">
        <w:trPr>
          <w:trHeight w:val="67"/>
        </w:trPr>
        <w:tc>
          <w:tcPr>
            <w:tcW w:w="3260" w:type="dxa"/>
          </w:tcPr>
          <w:p w:rsidR="0097459C" w:rsidRPr="00AB3200" w:rsidRDefault="0097459C" w:rsidP="0097459C">
            <w:pPr>
              <w:rPr>
                <w:sz w:val="20"/>
              </w:rPr>
            </w:pPr>
            <w:r w:rsidRPr="00AB3200">
              <w:rPr>
                <w:sz w:val="20"/>
              </w:rPr>
              <w:t xml:space="preserve">  </w:t>
            </w:r>
            <w:r w:rsidRPr="00AB3200">
              <w:rPr>
                <w:sz w:val="20"/>
              </w:rPr>
              <w:t>紡織業</w:t>
            </w:r>
          </w:p>
        </w:tc>
        <w:tc>
          <w:tcPr>
            <w:tcW w:w="1843" w:type="dxa"/>
          </w:tcPr>
          <w:p w:rsidR="0097459C" w:rsidRPr="00AB3200" w:rsidRDefault="0097459C" w:rsidP="00B9278A">
            <w:pPr>
              <w:jc w:val="right"/>
              <w:rPr>
                <w:sz w:val="20"/>
              </w:rPr>
            </w:pPr>
            <w:r w:rsidRPr="00AB3200">
              <w:rPr>
                <w:sz w:val="20"/>
              </w:rPr>
              <w:t>109,854</w:t>
            </w:r>
          </w:p>
        </w:tc>
        <w:tc>
          <w:tcPr>
            <w:tcW w:w="1559" w:type="dxa"/>
          </w:tcPr>
          <w:p w:rsidR="0097459C" w:rsidRPr="00AB3200" w:rsidRDefault="0097459C" w:rsidP="00B9278A">
            <w:pPr>
              <w:jc w:val="right"/>
              <w:rPr>
                <w:sz w:val="20"/>
              </w:rPr>
            </w:pPr>
            <w:r w:rsidRPr="00AB3200">
              <w:rPr>
                <w:sz w:val="20"/>
              </w:rPr>
              <w:t>3,559</w:t>
            </w:r>
          </w:p>
        </w:tc>
        <w:tc>
          <w:tcPr>
            <w:tcW w:w="851" w:type="dxa"/>
          </w:tcPr>
          <w:p w:rsidR="0097459C" w:rsidRPr="00AB3200" w:rsidRDefault="0097459C" w:rsidP="00B9278A">
            <w:pPr>
              <w:jc w:val="right"/>
              <w:rPr>
                <w:sz w:val="20"/>
              </w:rPr>
            </w:pPr>
            <w:r w:rsidRPr="00AB3200">
              <w:rPr>
                <w:sz w:val="20"/>
              </w:rPr>
              <w:t>3.14</w:t>
            </w:r>
          </w:p>
        </w:tc>
      </w:tr>
      <w:tr w:rsidR="0097459C" w:rsidRPr="00AB3200" w:rsidTr="0097459C">
        <w:trPr>
          <w:trHeight w:val="67"/>
        </w:trPr>
        <w:tc>
          <w:tcPr>
            <w:tcW w:w="3260" w:type="dxa"/>
          </w:tcPr>
          <w:p w:rsidR="0097459C" w:rsidRPr="00AB3200" w:rsidRDefault="0097459C" w:rsidP="0097459C">
            <w:pPr>
              <w:rPr>
                <w:sz w:val="20"/>
              </w:rPr>
            </w:pPr>
            <w:r w:rsidRPr="00AB3200">
              <w:rPr>
                <w:sz w:val="20"/>
              </w:rPr>
              <w:t xml:space="preserve">  </w:t>
            </w:r>
            <w:r w:rsidRPr="00AB3200">
              <w:rPr>
                <w:sz w:val="20"/>
              </w:rPr>
              <w:t>塑膠製品製造業</w:t>
            </w:r>
          </w:p>
        </w:tc>
        <w:tc>
          <w:tcPr>
            <w:tcW w:w="1843" w:type="dxa"/>
          </w:tcPr>
          <w:p w:rsidR="0097459C" w:rsidRPr="00AB3200" w:rsidRDefault="0097459C" w:rsidP="00B9278A">
            <w:pPr>
              <w:jc w:val="right"/>
              <w:rPr>
                <w:sz w:val="20"/>
              </w:rPr>
            </w:pPr>
            <w:r w:rsidRPr="00AB3200">
              <w:rPr>
                <w:sz w:val="20"/>
              </w:rPr>
              <w:t>140,484</w:t>
            </w:r>
          </w:p>
        </w:tc>
        <w:tc>
          <w:tcPr>
            <w:tcW w:w="1559" w:type="dxa"/>
          </w:tcPr>
          <w:p w:rsidR="0097459C" w:rsidRPr="00AB3200" w:rsidRDefault="0097459C" w:rsidP="00B9278A">
            <w:pPr>
              <w:jc w:val="right"/>
              <w:rPr>
                <w:sz w:val="20"/>
              </w:rPr>
            </w:pPr>
            <w:r w:rsidRPr="00AB3200">
              <w:rPr>
                <w:sz w:val="20"/>
              </w:rPr>
              <w:t>3,821</w:t>
            </w:r>
          </w:p>
        </w:tc>
        <w:tc>
          <w:tcPr>
            <w:tcW w:w="851" w:type="dxa"/>
          </w:tcPr>
          <w:p w:rsidR="0097459C" w:rsidRPr="00AB3200" w:rsidRDefault="0097459C" w:rsidP="00B9278A">
            <w:pPr>
              <w:jc w:val="right"/>
              <w:rPr>
                <w:sz w:val="20"/>
              </w:rPr>
            </w:pPr>
            <w:r w:rsidRPr="00AB3200">
              <w:rPr>
                <w:rFonts w:hint="eastAsia"/>
                <w:sz w:val="20"/>
              </w:rPr>
              <w:t>2.65</w:t>
            </w:r>
          </w:p>
        </w:tc>
      </w:tr>
      <w:tr w:rsidR="0097459C" w:rsidRPr="00AB3200" w:rsidTr="0097459C">
        <w:trPr>
          <w:trHeight w:val="67"/>
        </w:trPr>
        <w:tc>
          <w:tcPr>
            <w:tcW w:w="3260" w:type="dxa"/>
          </w:tcPr>
          <w:p w:rsidR="0097459C" w:rsidRPr="00AB3200" w:rsidRDefault="0097459C" w:rsidP="0097459C">
            <w:pPr>
              <w:rPr>
                <w:sz w:val="20"/>
              </w:rPr>
            </w:pPr>
            <w:r w:rsidRPr="00AB3200">
              <w:rPr>
                <w:sz w:val="20"/>
              </w:rPr>
              <w:t xml:space="preserve">  </w:t>
            </w:r>
            <w:r w:rsidRPr="00AB3200">
              <w:rPr>
                <w:sz w:val="20"/>
              </w:rPr>
              <w:t>基本金屬工業</w:t>
            </w:r>
          </w:p>
        </w:tc>
        <w:tc>
          <w:tcPr>
            <w:tcW w:w="1843" w:type="dxa"/>
          </w:tcPr>
          <w:p w:rsidR="0097459C" w:rsidRPr="00AB3200" w:rsidRDefault="0097459C" w:rsidP="00B9278A">
            <w:pPr>
              <w:jc w:val="right"/>
              <w:rPr>
                <w:sz w:val="20"/>
              </w:rPr>
            </w:pPr>
            <w:r w:rsidRPr="00AB3200">
              <w:rPr>
                <w:sz w:val="20"/>
              </w:rPr>
              <w:t>106,322</w:t>
            </w:r>
          </w:p>
        </w:tc>
        <w:tc>
          <w:tcPr>
            <w:tcW w:w="1559" w:type="dxa"/>
          </w:tcPr>
          <w:p w:rsidR="0097459C" w:rsidRPr="00AB3200" w:rsidRDefault="0097459C" w:rsidP="00B9278A">
            <w:pPr>
              <w:jc w:val="right"/>
              <w:rPr>
                <w:sz w:val="20"/>
              </w:rPr>
            </w:pPr>
            <w:r w:rsidRPr="00AB3200">
              <w:rPr>
                <w:sz w:val="20"/>
              </w:rPr>
              <w:t>3,580</w:t>
            </w:r>
          </w:p>
        </w:tc>
        <w:tc>
          <w:tcPr>
            <w:tcW w:w="851" w:type="dxa"/>
          </w:tcPr>
          <w:p w:rsidR="0097459C" w:rsidRPr="00AB3200" w:rsidRDefault="0097459C" w:rsidP="00B9278A">
            <w:pPr>
              <w:jc w:val="right"/>
              <w:rPr>
                <w:sz w:val="20"/>
              </w:rPr>
            </w:pPr>
            <w:r w:rsidRPr="00AB3200">
              <w:rPr>
                <w:sz w:val="20"/>
              </w:rPr>
              <w:t>3.26</w:t>
            </w:r>
          </w:p>
        </w:tc>
      </w:tr>
      <w:tr w:rsidR="0097459C" w:rsidRPr="00AB3200" w:rsidTr="0097459C">
        <w:trPr>
          <w:trHeight w:val="156"/>
        </w:trPr>
        <w:tc>
          <w:tcPr>
            <w:tcW w:w="3260" w:type="dxa"/>
          </w:tcPr>
          <w:p w:rsidR="0097459C" w:rsidRPr="00AB3200" w:rsidRDefault="0097459C" w:rsidP="0097459C">
            <w:pPr>
              <w:ind w:leftChars="-5" w:left="373" w:hangingChars="177" w:hanging="390"/>
              <w:rPr>
                <w:sz w:val="20"/>
              </w:rPr>
            </w:pPr>
            <w:r w:rsidRPr="00AB3200">
              <w:rPr>
                <w:sz w:val="20"/>
              </w:rPr>
              <w:t xml:space="preserve">  </w:t>
            </w:r>
            <w:r w:rsidRPr="00AB3200">
              <w:rPr>
                <w:sz w:val="20"/>
              </w:rPr>
              <w:t>金屬製品製造業</w:t>
            </w:r>
          </w:p>
        </w:tc>
        <w:tc>
          <w:tcPr>
            <w:tcW w:w="1843" w:type="dxa"/>
          </w:tcPr>
          <w:p w:rsidR="0097459C" w:rsidRPr="00AB3200" w:rsidRDefault="0097459C" w:rsidP="00B9278A">
            <w:pPr>
              <w:jc w:val="right"/>
              <w:rPr>
                <w:sz w:val="20"/>
              </w:rPr>
            </w:pPr>
            <w:r w:rsidRPr="00AB3200">
              <w:rPr>
                <w:sz w:val="20"/>
              </w:rPr>
              <w:t>328,579</w:t>
            </w:r>
          </w:p>
        </w:tc>
        <w:tc>
          <w:tcPr>
            <w:tcW w:w="1559" w:type="dxa"/>
          </w:tcPr>
          <w:p w:rsidR="0097459C" w:rsidRPr="00AB3200" w:rsidRDefault="0097459C" w:rsidP="00B9278A">
            <w:pPr>
              <w:jc w:val="right"/>
              <w:rPr>
                <w:sz w:val="20"/>
              </w:rPr>
            </w:pPr>
            <w:r w:rsidRPr="00AB3200">
              <w:rPr>
                <w:sz w:val="20"/>
              </w:rPr>
              <w:t>8,896</w:t>
            </w:r>
          </w:p>
        </w:tc>
        <w:tc>
          <w:tcPr>
            <w:tcW w:w="851" w:type="dxa"/>
          </w:tcPr>
          <w:p w:rsidR="0097459C" w:rsidRPr="00AB3200" w:rsidRDefault="0097459C" w:rsidP="00B9278A">
            <w:pPr>
              <w:jc w:val="right"/>
              <w:rPr>
                <w:sz w:val="20"/>
              </w:rPr>
            </w:pPr>
            <w:r w:rsidRPr="00AB3200">
              <w:rPr>
                <w:rFonts w:hint="eastAsia"/>
                <w:sz w:val="20"/>
              </w:rPr>
              <w:t>2.64</w:t>
            </w:r>
          </w:p>
        </w:tc>
      </w:tr>
      <w:tr w:rsidR="0097459C" w:rsidRPr="00AB3200" w:rsidTr="0097459C">
        <w:trPr>
          <w:trHeight w:val="67"/>
        </w:trPr>
        <w:tc>
          <w:tcPr>
            <w:tcW w:w="3260" w:type="dxa"/>
          </w:tcPr>
          <w:p w:rsidR="0097459C" w:rsidRPr="00AB3200" w:rsidRDefault="0097459C" w:rsidP="0097459C">
            <w:pPr>
              <w:rPr>
                <w:sz w:val="20"/>
              </w:rPr>
            </w:pPr>
            <w:r w:rsidRPr="00AB3200">
              <w:rPr>
                <w:sz w:val="20"/>
              </w:rPr>
              <w:t xml:space="preserve">  </w:t>
            </w:r>
            <w:r w:rsidRPr="00AB3200">
              <w:rPr>
                <w:sz w:val="20"/>
              </w:rPr>
              <w:t>電子零組件製造業</w:t>
            </w:r>
          </w:p>
        </w:tc>
        <w:tc>
          <w:tcPr>
            <w:tcW w:w="1843" w:type="dxa"/>
          </w:tcPr>
          <w:p w:rsidR="0097459C" w:rsidRPr="00AB3200" w:rsidRDefault="0097459C" w:rsidP="00B9278A">
            <w:pPr>
              <w:jc w:val="right"/>
              <w:rPr>
                <w:sz w:val="20"/>
              </w:rPr>
            </w:pPr>
            <w:r w:rsidRPr="00AB3200">
              <w:rPr>
                <w:sz w:val="20"/>
              </w:rPr>
              <w:t>568,639</w:t>
            </w:r>
          </w:p>
        </w:tc>
        <w:tc>
          <w:tcPr>
            <w:tcW w:w="1559" w:type="dxa"/>
          </w:tcPr>
          <w:p w:rsidR="0097459C" w:rsidRPr="00AB3200" w:rsidRDefault="0097459C" w:rsidP="00B9278A">
            <w:pPr>
              <w:jc w:val="right"/>
              <w:rPr>
                <w:sz w:val="20"/>
              </w:rPr>
            </w:pPr>
            <w:r w:rsidRPr="00AB3200">
              <w:rPr>
                <w:rFonts w:hint="eastAsia"/>
                <w:sz w:val="20"/>
              </w:rPr>
              <w:t>16,565</w:t>
            </w:r>
          </w:p>
        </w:tc>
        <w:tc>
          <w:tcPr>
            <w:tcW w:w="851" w:type="dxa"/>
          </w:tcPr>
          <w:p w:rsidR="0097459C" w:rsidRPr="00AB3200" w:rsidRDefault="0097459C" w:rsidP="00B9278A">
            <w:pPr>
              <w:jc w:val="right"/>
              <w:rPr>
                <w:sz w:val="20"/>
              </w:rPr>
            </w:pPr>
            <w:r w:rsidRPr="00AB3200">
              <w:rPr>
                <w:sz w:val="20"/>
              </w:rPr>
              <w:t>2.83</w:t>
            </w:r>
          </w:p>
        </w:tc>
      </w:tr>
      <w:tr w:rsidR="0097459C" w:rsidRPr="00AB3200" w:rsidTr="0097459C">
        <w:trPr>
          <w:trHeight w:val="67"/>
        </w:trPr>
        <w:tc>
          <w:tcPr>
            <w:tcW w:w="3260" w:type="dxa"/>
          </w:tcPr>
          <w:p w:rsidR="0097459C" w:rsidRPr="00AB3200" w:rsidRDefault="0097459C" w:rsidP="0097459C">
            <w:pPr>
              <w:rPr>
                <w:sz w:val="20"/>
              </w:rPr>
            </w:pPr>
            <w:r w:rsidRPr="00AB3200">
              <w:rPr>
                <w:sz w:val="20"/>
              </w:rPr>
              <w:t xml:space="preserve">  </w:t>
            </w:r>
            <w:r w:rsidRPr="00AB3200">
              <w:rPr>
                <w:sz w:val="20"/>
              </w:rPr>
              <w:t>電腦、電子、光學製品製造業</w:t>
            </w:r>
          </w:p>
        </w:tc>
        <w:tc>
          <w:tcPr>
            <w:tcW w:w="1843" w:type="dxa"/>
          </w:tcPr>
          <w:p w:rsidR="0097459C" w:rsidRPr="00AB3200" w:rsidRDefault="0097459C" w:rsidP="00B9278A">
            <w:pPr>
              <w:jc w:val="right"/>
              <w:rPr>
                <w:sz w:val="20"/>
              </w:rPr>
            </w:pPr>
            <w:r w:rsidRPr="00AB3200">
              <w:rPr>
                <w:sz w:val="20"/>
              </w:rPr>
              <w:t>204,778</w:t>
            </w:r>
          </w:p>
        </w:tc>
        <w:tc>
          <w:tcPr>
            <w:tcW w:w="1559" w:type="dxa"/>
          </w:tcPr>
          <w:p w:rsidR="0097459C" w:rsidRPr="00AB3200" w:rsidRDefault="0097459C" w:rsidP="00B9278A">
            <w:pPr>
              <w:jc w:val="right"/>
              <w:rPr>
                <w:sz w:val="20"/>
              </w:rPr>
            </w:pPr>
            <w:r w:rsidRPr="00AB3200">
              <w:rPr>
                <w:sz w:val="20"/>
              </w:rPr>
              <w:t>7,162</w:t>
            </w:r>
          </w:p>
        </w:tc>
        <w:tc>
          <w:tcPr>
            <w:tcW w:w="851" w:type="dxa"/>
          </w:tcPr>
          <w:p w:rsidR="0097459C" w:rsidRPr="00AB3200" w:rsidRDefault="0097459C" w:rsidP="00B9278A">
            <w:pPr>
              <w:jc w:val="right"/>
              <w:rPr>
                <w:sz w:val="20"/>
              </w:rPr>
            </w:pPr>
            <w:r w:rsidRPr="00AB3200">
              <w:rPr>
                <w:rFonts w:hint="eastAsia"/>
                <w:sz w:val="20"/>
              </w:rPr>
              <w:t>3.38</w:t>
            </w:r>
          </w:p>
        </w:tc>
      </w:tr>
      <w:tr w:rsidR="0097459C" w:rsidRPr="00AB3200" w:rsidTr="0097459C">
        <w:trPr>
          <w:trHeight w:val="67"/>
        </w:trPr>
        <w:tc>
          <w:tcPr>
            <w:tcW w:w="3260" w:type="dxa"/>
          </w:tcPr>
          <w:p w:rsidR="0097459C" w:rsidRPr="00AB3200" w:rsidRDefault="0097459C" w:rsidP="0097459C">
            <w:pPr>
              <w:rPr>
                <w:sz w:val="20"/>
              </w:rPr>
            </w:pPr>
            <w:r w:rsidRPr="00AB3200">
              <w:rPr>
                <w:sz w:val="20"/>
              </w:rPr>
              <w:t xml:space="preserve">  </w:t>
            </w:r>
            <w:r w:rsidRPr="00AB3200">
              <w:rPr>
                <w:sz w:val="20"/>
              </w:rPr>
              <w:t>電力設備製造業</w:t>
            </w:r>
          </w:p>
        </w:tc>
        <w:tc>
          <w:tcPr>
            <w:tcW w:w="1843" w:type="dxa"/>
          </w:tcPr>
          <w:p w:rsidR="0097459C" w:rsidRPr="00AB3200" w:rsidRDefault="0097459C" w:rsidP="00B9278A">
            <w:pPr>
              <w:jc w:val="right"/>
              <w:rPr>
                <w:sz w:val="20"/>
              </w:rPr>
            </w:pPr>
            <w:r w:rsidRPr="00AB3200">
              <w:rPr>
                <w:sz w:val="20"/>
              </w:rPr>
              <w:t>129,472</w:t>
            </w:r>
          </w:p>
        </w:tc>
        <w:tc>
          <w:tcPr>
            <w:tcW w:w="1559" w:type="dxa"/>
          </w:tcPr>
          <w:p w:rsidR="0097459C" w:rsidRPr="00AB3200" w:rsidRDefault="0097459C" w:rsidP="00B9278A">
            <w:pPr>
              <w:jc w:val="right"/>
              <w:rPr>
                <w:sz w:val="20"/>
              </w:rPr>
            </w:pPr>
            <w:r w:rsidRPr="00AB3200">
              <w:rPr>
                <w:sz w:val="20"/>
              </w:rPr>
              <w:t>3,585</w:t>
            </w:r>
          </w:p>
        </w:tc>
        <w:tc>
          <w:tcPr>
            <w:tcW w:w="851" w:type="dxa"/>
          </w:tcPr>
          <w:p w:rsidR="0097459C" w:rsidRPr="00AB3200" w:rsidRDefault="0097459C" w:rsidP="00B9278A">
            <w:pPr>
              <w:jc w:val="right"/>
              <w:rPr>
                <w:sz w:val="20"/>
              </w:rPr>
            </w:pPr>
            <w:r w:rsidRPr="00AB3200">
              <w:rPr>
                <w:rFonts w:hint="eastAsia"/>
                <w:sz w:val="20"/>
              </w:rPr>
              <w:t>2.69</w:t>
            </w:r>
          </w:p>
        </w:tc>
      </w:tr>
      <w:tr w:rsidR="0097459C" w:rsidRPr="00AB3200" w:rsidTr="0097459C">
        <w:trPr>
          <w:trHeight w:val="216"/>
        </w:trPr>
        <w:tc>
          <w:tcPr>
            <w:tcW w:w="3260" w:type="dxa"/>
          </w:tcPr>
          <w:p w:rsidR="0097459C" w:rsidRPr="00AB3200" w:rsidRDefault="0097459C" w:rsidP="0097459C">
            <w:pPr>
              <w:rPr>
                <w:sz w:val="20"/>
              </w:rPr>
            </w:pPr>
            <w:r w:rsidRPr="00AB3200">
              <w:rPr>
                <w:sz w:val="20"/>
              </w:rPr>
              <w:t xml:space="preserve">  </w:t>
            </w:r>
            <w:r w:rsidRPr="00AB3200">
              <w:rPr>
                <w:sz w:val="20"/>
              </w:rPr>
              <w:t>機械設備製造業</w:t>
            </w:r>
          </w:p>
        </w:tc>
        <w:tc>
          <w:tcPr>
            <w:tcW w:w="1843" w:type="dxa"/>
          </w:tcPr>
          <w:p w:rsidR="0097459C" w:rsidRPr="00AB3200" w:rsidRDefault="0097459C" w:rsidP="00B9278A">
            <w:pPr>
              <w:jc w:val="right"/>
              <w:rPr>
                <w:sz w:val="20"/>
              </w:rPr>
            </w:pPr>
            <w:r w:rsidRPr="00AB3200">
              <w:rPr>
                <w:sz w:val="20"/>
              </w:rPr>
              <w:t>213,002</w:t>
            </w:r>
          </w:p>
        </w:tc>
        <w:tc>
          <w:tcPr>
            <w:tcW w:w="1559" w:type="dxa"/>
          </w:tcPr>
          <w:p w:rsidR="0097459C" w:rsidRPr="00AB3200" w:rsidRDefault="0097459C" w:rsidP="00B9278A">
            <w:pPr>
              <w:jc w:val="right"/>
              <w:rPr>
                <w:sz w:val="20"/>
              </w:rPr>
            </w:pPr>
            <w:r w:rsidRPr="00AB3200">
              <w:rPr>
                <w:sz w:val="20"/>
              </w:rPr>
              <w:t>6,993</w:t>
            </w:r>
          </w:p>
        </w:tc>
        <w:tc>
          <w:tcPr>
            <w:tcW w:w="851" w:type="dxa"/>
          </w:tcPr>
          <w:p w:rsidR="0097459C" w:rsidRPr="00AB3200" w:rsidRDefault="0097459C" w:rsidP="00B9278A">
            <w:pPr>
              <w:jc w:val="right"/>
              <w:rPr>
                <w:sz w:val="20"/>
              </w:rPr>
            </w:pPr>
            <w:r w:rsidRPr="00AB3200">
              <w:rPr>
                <w:rFonts w:hint="eastAsia"/>
                <w:sz w:val="20"/>
              </w:rPr>
              <w:t>3.18</w:t>
            </w:r>
          </w:p>
        </w:tc>
      </w:tr>
      <w:tr w:rsidR="0097459C" w:rsidRPr="00AB3200" w:rsidTr="0097459C">
        <w:trPr>
          <w:trHeight w:val="67"/>
        </w:trPr>
        <w:tc>
          <w:tcPr>
            <w:tcW w:w="3260" w:type="dxa"/>
          </w:tcPr>
          <w:p w:rsidR="0097459C" w:rsidRPr="00AB3200" w:rsidRDefault="0097459C" w:rsidP="0097459C">
            <w:pPr>
              <w:rPr>
                <w:sz w:val="20"/>
              </w:rPr>
            </w:pPr>
            <w:r w:rsidRPr="00AB3200">
              <w:rPr>
                <w:sz w:val="20"/>
              </w:rPr>
              <w:t xml:space="preserve">  </w:t>
            </w:r>
            <w:r w:rsidRPr="00AB3200">
              <w:rPr>
                <w:sz w:val="20"/>
              </w:rPr>
              <w:t>其他</w:t>
            </w:r>
          </w:p>
        </w:tc>
        <w:tc>
          <w:tcPr>
            <w:tcW w:w="1843" w:type="dxa"/>
          </w:tcPr>
          <w:p w:rsidR="0097459C" w:rsidRPr="00AB3200" w:rsidRDefault="0097459C" w:rsidP="00B9278A">
            <w:pPr>
              <w:jc w:val="right"/>
              <w:rPr>
                <w:sz w:val="20"/>
              </w:rPr>
            </w:pPr>
            <w:r w:rsidRPr="00AB3200">
              <w:rPr>
                <w:rFonts w:hint="eastAsia"/>
                <w:sz w:val="20"/>
              </w:rPr>
              <w:t>774,087</w:t>
            </w:r>
          </w:p>
        </w:tc>
        <w:tc>
          <w:tcPr>
            <w:tcW w:w="1559" w:type="dxa"/>
          </w:tcPr>
          <w:p w:rsidR="0097459C" w:rsidRPr="00AB3200" w:rsidRDefault="0097459C" w:rsidP="00B9278A">
            <w:pPr>
              <w:jc w:val="right"/>
              <w:rPr>
                <w:sz w:val="20"/>
              </w:rPr>
            </w:pPr>
            <w:r w:rsidRPr="00AB3200">
              <w:rPr>
                <w:rFonts w:hint="eastAsia"/>
                <w:sz w:val="20"/>
              </w:rPr>
              <w:t>19,722</w:t>
            </w:r>
          </w:p>
        </w:tc>
        <w:tc>
          <w:tcPr>
            <w:tcW w:w="851" w:type="dxa"/>
          </w:tcPr>
          <w:p w:rsidR="0097459C" w:rsidRPr="00AB3200" w:rsidRDefault="0097459C" w:rsidP="00B9278A">
            <w:pPr>
              <w:jc w:val="right"/>
              <w:rPr>
                <w:sz w:val="20"/>
              </w:rPr>
            </w:pPr>
            <w:r w:rsidRPr="00AB3200">
              <w:rPr>
                <w:rFonts w:hint="eastAsia"/>
                <w:sz w:val="20"/>
              </w:rPr>
              <w:t>2.48</w:t>
            </w:r>
          </w:p>
        </w:tc>
      </w:tr>
    </w:tbl>
    <w:p w:rsidR="0097459C" w:rsidRPr="00AB3200" w:rsidRDefault="0097459C" w:rsidP="0097459C">
      <w:pPr>
        <w:pStyle w:val="20"/>
        <w:numPr>
          <w:ilvl w:val="0"/>
          <w:numId w:val="0"/>
        </w:numPr>
        <w:spacing w:line="200" w:lineRule="exact"/>
        <w:ind w:left="1418"/>
        <w:rPr>
          <w:rFonts w:ascii="Times New Roman" w:hAnsi="Times New Roman"/>
          <w:sz w:val="20"/>
          <w:szCs w:val="20"/>
        </w:rPr>
      </w:pPr>
      <w:bookmarkStart w:id="61" w:name="_Toc393464370"/>
      <w:r w:rsidRPr="00AB3200">
        <w:rPr>
          <w:rFonts w:ascii="Times New Roman" w:hAnsi="Times New Roman"/>
          <w:sz w:val="20"/>
          <w:szCs w:val="20"/>
        </w:rPr>
        <w:t>資料來源</w:t>
      </w:r>
      <w:r w:rsidRPr="00AB3200">
        <w:rPr>
          <w:rFonts w:ascii="Times New Roman" w:hAnsi="Times New Roman"/>
          <w:sz w:val="20"/>
          <w:szCs w:val="20"/>
        </w:rPr>
        <w:t>:</w:t>
      </w:r>
      <w:r w:rsidRPr="00AB3200">
        <w:rPr>
          <w:rFonts w:ascii="Times New Roman" w:hAnsi="Times New Roman" w:hint="eastAsia"/>
          <w:sz w:val="20"/>
          <w:szCs w:val="20"/>
        </w:rPr>
        <w:t>行政院</w:t>
      </w:r>
      <w:r w:rsidRPr="00AB3200">
        <w:rPr>
          <w:rFonts w:ascii="Times New Roman" w:hAnsi="Times New Roman"/>
          <w:sz w:val="20"/>
          <w:szCs w:val="20"/>
        </w:rPr>
        <w:t>主計總處</w:t>
      </w:r>
      <w:r w:rsidRPr="00AB3200">
        <w:rPr>
          <w:rFonts w:ascii="Times New Roman" w:hAnsi="Times New Roman" w:hint="eastAsia"/>
          <w:sz w:val="20"/>
          <w:szCs w:val="20"/>
        </w:rPr>
        <w:t>，</w:t>
      </w:r>
      <w:r w:rsidRPr="00AB3200">
        <w:rPr>
          <w:bCs w:val="0"/>
          <w:sz w:val="20"/>
        </w:rPr>
        <w:t>102</w:t>
      </w:r>
      <w:r w:rsidRPr="00AB3200">
        <w:rPr>
          <w:rFonts w:hint="eastAsia"/>
          <w:bCs w:val="0"/>
          <w:sz w:val="20"/>
        </w:rPr>
        <w:t>年事業人力僱用狀況調查結果綜合分析，</w:t>
      </w:r>
      <w:hyperlink r:id="rId11" w:history="1">
        <w:r w:rsidRPr="00AB3200">
          <w:rPr>
            <w:rStyle w:val="ab"/>
            <w:rFonts w:ascii="Times New Roman" w:hAnsi="Times New Roman"/>
            <w:color w:val="auto"/>
            <w:sz w:val="20"/>
            <w:szCs w:val="20"/>
          </w:rPr>
          <w:t>http://www.stat.gov.tw/public/Data/31225164554N4GQ42NS.pdf</w:t>
        </w:r>
      </w:hyperlink>
      <w:r w:rsidRPr="00AB3200">
        <w:rPr>
          <w:rFonts w:ascii="Times New Roman" w:hAnsi="Times New Roman" w:hint="eastAsia"/>
          <w:sz w:val="20"/>
          <w:szCs w:val="20"/>
        </w:rPr>
        <w:t>。</w:t>
      </w:r>
      <w:bookmarkEnd w:id="61"/>
    </w:p>
    <w:p w:rsidR="0097459C" w:rsidRPr="00AB3200" w:rsidRDefault="0097459C" w:rsidP="0097459C">
      <w:pPr>
        <w:pStyle w:val="20"/>
        <w:numPr>
          <w:ilvl w:val="0"/>
          <w:numId w:val="0"/>
        </w:numPr>
        <w:spacing w:line="240" w:lineRule="exact"/>
        <w:ind w:left="346" w:firstLineChars="487" w:firstLine="1072"/>
        <w:jc w:val="left"/>
        <w:rPr>
          <w:rFonts w:ascii="Times New Roman" w:hAnsi="Times New Roman"/>
          <w:sz w:val="20"/>
          <w:szCs w:val="20"/>
        </w:rPr>
      </w:pPr>
      <w:bookmarkStart w:id="62" w:name="_Toc393464371"/>
      <w:r w:rsidRPr="00AB3200">
        <w:rPr>
          <w:rFonts w:ascii="Times New Roman" w:hAnsi="Times New Roman"/>
          <w:sz w:val="20"/>
          <w:szCs w:val="20"/>
        </w:rPr>
        <w:t>其他</w:t>
      </w:r>
      <w:r w:rsidRPr="00AB3200">
        <w:rPr>
          <w:rFonts w:ascii="Times New Roman" w:hAnsi="Times New Roman"/>
          <w:sz w:val="20"/>
          <w:szCs w:val="20"/>
        </w:rPr>
        <w:t>:</w:t>
      </w:r>
      <w:r w:rsidRPr="00AB3200">
        <w:rPr>
          <w:rFonts w:ascii="Times New Roman" w:hAnsi="Times New Roman"/>
          <w:sz w:val="20"/>
          <w:szCs w:val="20"/>
        </w:rPr>
        <w:t>受雇人數</w:t>
      </w:r>
      <w:r w:rsidRPr="00AB3200">
        <w:rPr>
          <w:rFonts w:ascii="Times New Roman" w:hAnsi="Times New Roman"/>
          <w:sz w:val="20"/>
          <w:szCs w:val="20"/>
        </w:rPr>
        <w:t>10</w:t>
      </w:r>
      <w:r w:rsidRPr="00AB3200">
        <w:rPr>
          <w:rFonts w:ascii="Times New Roman" w:hAnsi="Times New Roman"/>
          <w:sz w:val="20"/>
          <w:szCs w:val="20"/>
        </w:rPr>
        <w:t>萬人以下之業別</w:t>
      </w:r>
      <w:bookmarkEnd w:id="62"/>
    </w:p>
    <w:p w:rsidR="007D23A3" w:rsidRPr="00AB3200" w:rsidRDefault="007D23A3" w:rsidP="003A213D">
      <w:pPr>
        <w:pStyle w:val="3"/>
        <w:ind w:left="1360" w:hanging="680"/>
        <w:rPr>
          <w:rFonts w:hAnsi="標楷體"/>
        </w:rPr>
      </w:pPr>
      <w:bookmarkStart w:id="63" w:name="_Toc393464372"/>
      <w:r w:rsidRPr="00AB3200">
        <w:rPr>
          <w:rFonts w:hAnsi="標楷體" w:hint="eastAsia"/>
        </w:rPr>
        <w:t>有關我國勞動市場人力供需失衡原因，據教育部、</w:t>
      </w:r>
      <w:proofErr w:type="gramStart"/>
      <w:r w:rsidRPr="00AB3200">
        <w:rPr>
          <w:rFonts w:hAnsi="標楷體" w:hint="eastAsia"/>
        </w:rPr>
        <w:t>勞動部及國發會函復本院</w:t>
      </w:r>
      <w:proofErr w:type="gramEnd"/>
      <w:r w:rsidRPr="00AB3200">
        <w:rPr>
          <w:rFonts w:hAnsi="標楷體" w:hint="eastAsia"/>
        </w:rPr>
        <w:t>資料</w:t>
      </w:r>
      <w:proofErr w:type="gramStart"/>
      <w:r w:rsidRPr="00AB3200">
        <w:rPr>
          <w:rFonts w:hAnsi="標楷體" w:hint="eastAsia"/>
        </w:rPr>
        <w:t>綜整略以</w:t>
      </w:r>
      <w:proofErr w:type="gramEnd"/>
      <w:r w:rsidRPr="00AB3200">
        <w:rPr>
          <w:rFonts w:hAnsi="標楷體" w:hint="eastAsia"/>
        </w:rPr>
        <w:t>：</w:t>
      </w:r>
      <w:bookmarkEnd w:id="52"/>
      <w:bookmarkEnd w:id="63"/>
    </w:p>
    <w:p w:rsidR="007D23A3" w:rsidRPr="00AB3200" w:rsidRDefault="007D23A3" w:rsidP="003A213D">
      <w:pPr>
        <w:pStyle w:val="4"/>
        <w:ind w:left="1843" w:hanging="709"/>
        <w:rPr>
          <w:rFonts w:hAnsi="標楷體"/>
        </w:rPr>
      </w:pPr>
      <w:r w:rsidRPr="00AB3200">
        <w:rPr>
          <w:rFonts w:hAnsi="標楷體"/>
        </w:rPr>
        <w:t>產業升級速度及就業市場之供給不及人力資源教育程度結構之變化。</w:t>
      </w:r>
    </w:p>
    <w:p w:rsidR="007D23A3" w:rsidRPr="00AB3200" w:rsidRDefault="007D23A3" w:rsidP="003A213D">
      <w:pPr>
        <w:pStyle w:val="4"/>
        <w:ind w:left="1843" w:hanging="709"/>
        <w:rPr>
          <w:rFonts w:hAnsi="標楷體"/>
        </w:rPr>
      </w:pPr>
      <w:r w:rsidRPr="00AB3200">
        <w:rPr>
          <w:rFonts w:hAnsi="標楷體"/>
        </w:rPr>
        <w:t>缺工產業為基層服務業及高科技業第一線生產者，此類工作以往皆為高中畢業程度者從事</w:t>
      </w:r>
      <w:r w:rsidRPr="00AB3200">
        <w:rPr>
          <w:rFonts w:hAnsi="標楷體" w:hint="eastAsia"/>
        </w:rPr>
        <w:t>；現今大專生人數</w:t>
      </w:r>
      <w:proofErr w:type="gramStart"/>
      <w:r w:rsidRPr="00AB3200">
        <w:rPr>
          <w:rFonts w:hAnsi="標楷體" w:hint="eastAsia"/>
        </w:rPr>
        <w:t>眾多，</w:t>
      </w:r>
      <w:proofErr w:type="gramEnd"/>
      <w:r w:rsidRPr="00AB3200">
        <w:rPr>
          <w:rFonts w:hAnsi="標楷體" w:hint="eastAsia"/>
        </w:rPr>
        <w:t>而高中畢業者較以往為少</w:t>
      </w:r>
      <w:r w:rsidRPr="00AB3200">
        <w:rPr>
          <w:rFonts w:hAnsi="標楷體"/>
        </w:rPr>
        <w:t>。</w:t>
      </w:r>
    </w:p>
    <w:p w:rsidR="007D23A3" w:rsidRPr="00AB3200" w:rsidRDefault="007D23A3" w:rsidP="003A213D">
      <w:pPr>
        <w:pStyle w:val="4"/>
        <w:ind w:left="1843" w:hanging="709"/>
        <w:rPr>
          <w:rFonts w:hAnsi="標楷體"/>
        </w:rPr>
      </w:pPr>
      <w:r w:rsidRPr="00AB3200">
        <w:rPr>
          <w:rFonts w:hAnsi="標楷體"/>
        </w:rPr>
        <w:lastRenderedPageBreak/>
        <w:t>青年失業者希望從事工作呈減少趨勢，致就業市場吸納失業青年之效果不如以往。</w:t>
      </w:r>
    </w:p>
    <w:p w:rsidR="007D23A3" w:rsidRPr="00AB3200" w:rsidRDefault="007D23A3" w:rsidP="003A213D">
      <w:pPr>
        <w:pStyle w:val="4"/>
        <w:ind w:left="1843" w:hanging="709"/>
        <w:rPr>
          <w:rFonts w:hAnsi="標楷體"/>
        </w:rPr>
      </w:pPr>
      <w:r w:rsidRPr="00AB3200">
        <w:rPr>
          <w:rFonts w:hAnsi="標楷體"/>
        </w:rPr>
        <w:t>現行教育體系較難培育業界所需專業人才，而企業對中高階人才的在職培育投入亦不足。</w:t>
      </w:r>
    </w:p>
    <w:p w:rsidR="007D23A3" w:rsidRPr="00AB3200" w:rsidRDefault="007D23A3" w:rsidP="003A213D">
      <w:pPr>
        <w:pStyle w:val="4"/>
        <w:ind w:left="1843" w:hanging="709"/>
        <w:rPr>
          <w:rFonts w:hAnsi="標楷體"/>
        </w:rPr>
      </w:pPr>
      <w:r w:rsidRPr="00AB3200">
        <w:rPr>
          <w:rFonts w:hAnsi="標楷體"/>
        </w:rPr>
        <w:t>廠商空缺人力所需學歷條件，以高中(職)教育程度者最高，顯然青年人才供給與產業需求之間存有結構性落差，造成部分青年在就業機會有限的狀況下，任職於僅須高中職教育程度之職缺。</w:t>
      </w:r>
    </w:p>
    <w:p w:rsidR="00BE53CE" w:rsidRPr="00AB3200" w:rsidRDefault="003A213D" w:rsidP="00BE53CE">
      <w:pPr>
        <w:pStyle w:val="3"/>
        <w:ind w:left="1418" w:hanging="709"/>
        <w:rPr>
          <w:rFonts w:hAnsi="標楷體"/>
        </w:rPr>
      </w:pPr>
      <w:bookmarkStart w:id="64" w:name="_Toc393464373"/>
      <w:bookmarkStart w:id="65" w:name="_Toc392764825"/>
      <w:bookmarkEnd w:id="53"/>
      <w:r w:rsidRPr="00AB3200">
        <w:t>查</w:t>
      </w:r>
      <w:r w:rsidR="00BE53CE" w:rsidRPr="00AB3200">
        <w:rPr>
          <w:rFonts w:hAnsi="標楷體"/>
        </w:rPr>
        <w:t>國發會</w:t>
      </w:r>
      <w:r w:rsidR="00BE53CE" w:rsidRPr="00AB3200">
        <w:rPr>
          <w:rFonts w:hAnsi="標楷體" w:hint="eastAsia"/>
        </w:rPr>
        <w:t>本</w:t>
      </w:r>
      <w:r w:rsidR="00BE53CE" w:rsidRPr="00AB3200">
        <w:rPr>
          <w:rFonts w:hAnsi="標楷體"/>
        </w:rPr>
        <w:t>應協調各中央目的事業主管機關辦理重點產業人才供需調查及推估，</w:t>
      </w:r>
      <w:r w:rsidR="00BE53CE" w:rsidRPr="00AB3200">
        <w:rPr>
          <w:rFonts w:hAnsi="標楷體" w:hint="eastAsia"/>
        </w:rPr>
        <w:t>且據</w:t>
      </w:r>
      <w:r w:rsidR="00BE53CE" w:rsidRPr="00AB3200">
        <w:rPr>
          <w:rFonts w:hAnsi="標楷體"/>
        </w:rPr>
        <w:t>行政院核定之「縮短</w:t>
      </w:r>
      <w:proofErr w:type="gramStart"/>
      <w:r w:rsidR="00BE53CE" w:rsidRPr="00AB3200">
        <w:rPr>
          <w:rFonts w:hAnsi="標楷體"/>
        </w:rPr>
        <w:t>學訓考</w:t>
      </w:r>
      <w:proofErr w:type="gramEnd"/>
      <w:r w:rsidR="00BE53CE" w:rsidRPr="00AB3200">
        <w:rPr>
          <w:rFonts w:hAnsi="標楷體"/>
        </w:rPr>
        <w:t>用落差方案」，相關部會應依據辦理重點產業人才供需調查及推估結果，</w:t>
      </w:r>
      <w:proofErr w:type="gramStart"/>
      <w:r w:rsidR="00BE53CE" w:rsidRPr="00AB3200">
        <w:rPr>
          <w:rFonts w:hAnsi="標楷體"/>
        </w:rPr>
        <w:t>研</w:t>
      </w:r>
      <w:proofErr w:type="gramEnd"/>
      <w:r w:rsidR="00BE53CE" w:rsidRPr="00AB3200">
        <w:rPr>
          <w:rFonts w:hAnsi="標楷體"/>
        </w:rPr>
        <w:t>提與該方案有關之推動策略或措施，再由該會整合修正納入該方案，</w:t>
      </w:r>
      <w:proofErr w:type="gramStart"/>
      <w:r w:rsidR="00BE53CE" w:rsidRPr="00AB3200">
        <w:rPr>
          <w:rFonts w:hAnsi="標楷體"/>
        </w:rPr>
        <w:t>俾</w:t>
      </w:r>
      <w:proofErr w:type="gramEnd"/>
      <w:r w:rsidR="00BE53CE" w:rsidRPr="00AB3200">
        <w:rPr>
          <w:rFonts w:hAnsi="標楷體"/>
        </w:rPr>
        <w:t>改善人才供需失衡問題。在調查方法上，該會將請各重點產業主管機關考量不同產業之屬性，酌予調整調查方法，並應加強人才職類內涵及技能需求調查之精確度，以避免與業界認知有差距。惟本院調查各部會辦理人才推估情形，發現:</w:t>
      </w:r>
      <w:bookmarkEnd w:id="64"/>
    </w:p>
    <w:p w:rsidR="00BE53CE" w:rsidRPr="00AB3200" w:rsidRDefault="00BE53CE" w:rsidP="00BE53CE">
      <w:pPr>
        <w:pStyle w:val="4"/>
        <w:ind w:left="1843" w:hanging="709"/>
        <w:rPr>
          <w:rFonts w:hAnsi="標楷體"/>
        </w:rPr>
      </w:pPr>
      <w:r w:rsidRPr="00AB3200">
        <w:rPr>
          <w:rFonts w:hAnsi="標楷體"/>
        </w:rPr>
        <w:t>教育部</w:t>
      </w:r>
      <w:r w:rsidRPr="00AB3200">
        <w:rPr>
          <w:rFonts w:hAnsi="標楷體" w:hint="eastAsia"/>
        </w:rPr>
        <w:t>稱其</w:t>
      </w:r>
      <w:r w:rsidRPr="00AB3200">
        <w:rPr>
          <w:rFonts w:hAnsi="標楷體"/>
        </w:rPr>
        <w:t>非屬各事業主管機關，尚難準確預測勞動市場人力供需，故教育部於核定學校總量業務時，</w:t>
      </w:r>
      <w:proofErr w:type="gramStart"/>
      <w:r w:rsidRPr="00AB3200">
        <w:rPr>
          <w:rFonts w:hAnsi="標楷體"/>
        </w:rPr>
        <w:t>均請各</w:t>
      </w:r>
      <w:proofErr w:type="gramEnd"/>
      <w:r w:rsidRPr="00AB3200">
        <w:rPr>
          <w:rFonts w:hAnsi="標楷體"/>
        </w:rPr>
        <w:t>相關部會共同審查及與會出席，就勞動市場人力供需部分提供具體意見，</w:t>
      </w:r>
      <w:proofErr w:type="gramStart"/>
      <w:r w:rsidRPr="00AB3200">
        <w:rPr>
          <w:rFonts w:hAnsi="標楷體"/>
        </w:rPr>
        <w:t>俾</w:t>
      </w:r>
      <w:proofErr w:type="gramEnd"/>
      <w:r w:rsidRPr="00AB3200">
        <w:rPr>
          <w:rFonts w:hAnsi="標楷體"/>
        </w:rPr>
        <w:t>利全盤審核技專校院總量名額。另</w:t>
      </w:r>
      <w:r w:rsidRPr="00AB3200">
        <w:rPr>
          <w:rFonts w:hAnsi="標楷體"/>
          <w:bCs/>
          <w:szCs w:val="32"/>
        </w:rPr>
        <w:t>為縮短學用落差，且考量如由</w:t>
      </w:r>
      <w:r w:rsidRPr="00AB3200">
        <w:rPr>
          <w:rFonts w:hAnsi="標楷體" w:hint="eastAsia"/>
          <w:bCs/>
          <w:szCs w:val="32"/>
        </w:rPr>
        <w:t>該</w:t>
      </w:r>
      <w:r w:rsidRPr="00AB3200">
        <w:rPr>
          <w:rFonts w:hAnsi="標楷體"/>
          <w:bCs/>
          <w:szCs w:val="32"/>
        </w:rPr>
        <w:t>部進行人力需求推估可能因專業性不足而遭受各界挑戰，因此</w:t>
      </w:r>
      <w:r w:rsidRPr="00AB3200">
        <w:rPr>
          <w:rFonts w:hAnsi="標楷體" w:hint="eastAsia"/>
          <w:bCs/>
          <w:szCs w:val="32"/>
        </w:rPr>
        <w:t>該</w:t>
      </w:r>
      <w:r w:rsidRPr="00AB3200">
        <w:rPr>
          <w:rFonts w:hAnsi="標楷體"/>
          <w:bCs/>
          <w:szCs w:val="32"/>
        </w:rPr>
        <w:t>部</w:t>
      </w:r>
      <w:proofErr w:type="gramStart"/>
      <w:r w:rsidRPr="00AB3200">
        <w:rPr>
          <w:rFonts w:hAnsi="標楷體"/>
          <w:bCs/>
          <w:szCs w:val="32"/>
        </w:rPr>
        <w:t>特別</w:t>
      </w:r>
      <w:proofErr w:type="gramEnd"/>
      <w:r w:rsidRPr="00AB3200">
        <w:rPr>
          <w:rFonts w:hAnsi="標楷體"/>
          <w:bCs/>
          <w:szCs w:val="32"/>
        </w:rPr>
        <w:t>自101學年度起主動邀請國發會及各產業人力需求之相關部會，共同參與大學增設、調整院系所學位學程及招生名額審查作業。</w:t>
      </w:r>
    </w:p>
    <w:p w:rsidR="00BE53CE" w:rsidRPr="00AB3200" w:rsidRDefault="00BE53CE" w:rsidP="00BE53CE">
      <w:pPr>
        <w:pStyle w:val="4"/>
        <w:ind w:left="1843" w:hanging="709"/>
        <w:rPr>
          <w:rFonts w:hAnsi="標楷體"/>
        </w:rPr>
      </w:pPr>
      <w:proofErr w:type="gramStart"/>
      <w:r w:rsidRPr="00AB3200">
        <w:rPr>
          <w:rFonts w:hAnsi="標楷體"/>
        </w:rPr>
        <w:t>勞動部為適</w:t>
      </w:r>
      <w:proofErr w:type="gramEnd"/>
      <w:r w:rsidRPr="00AB3200">
        <w:rPr>
          <w:rFonts w:hAnsi="標楷體"/>
        </w:rPr>
        <w:t>切評估未來經濟發展對勞動供需的可能影響，於97年曾委託學者研究就業人口預</w:t>
      </w:r>
      <w:r w:rsidRPr="00AB3200">
        <w:rPr>
          <w:rFonts w:hAnsi="標楷體"/>
        </w:rPr>
        <w:lastRenderedPageBreak/>
        <w:t>測，推估未來5年各行業就業人口的變動趨勢。推估97至101年未來5年之勞動力、各行業之職類別之就業人數。</w:t>
      </w:r>
      <w:proofErr w:type="gramStart"/>
      <w:r w:rsidRPr="00AB3200">
        <w:rPr>
          <w:rFonts w:hAnsi="標楷體"/>
        </w:rPr>
        <w:t>惟</w:t>
      </w:r>
      <w:proofErr w:type="gramEnd"/>
      <w:r w:rsidRPr="00AB3200">
        <w:rPr>
          <w:rFonts w:hAnsi="標楷體"/>
        </w:rPr>
        <w:t>當時適遇全球金融風暴，影響層面廣泛，產業變化與景氣波動甚大，與研究結果有些出入，委員建議</w:t>
      </w:r>
      <w:proofErr w:type="gramStart"/>
      <w:r w:rsidRPr="00AB3200">
        <w:rPr>
          <w:rFonts w:hAnsi="標楷體"/>
        </w:rPr>
        <w:t>勞動</w:t>
      </w:r>
      <w:r w:rsidRPr="00AB3200">
        <w:rPr>
          <w:rFonts w:hAnsi="標楷體" w:hint="eastAsia"/>
        </w:rPr>
        <w:t>部</w:t>
      </w:r>
      <w:r w:rsidRPr="00AB3200">
        <w:rPr>
          <w:rFonts w:hAnsi="標楷體"/>
        </w:rPr>
        <w:t>在相關</w:t>
      </w:r>
      <w:proofErr w:type="gramEnd"/>
      <w:r w:rsidRPr="00AB3200">
        <w:rPr>
          <w:rFonts w:hAnsi="標楷體"/>
        </w:rPr>
        <w:t>統計預測評估上以及預測結果是否對外發布，宜保守審慎應對，故前揭完成之預測結果僅供內部參考，嗣後勞動</w:t>
      </w:r>
      <w:r w:rsidRPr="00AB3200">
        <w:rPr>
          <w:rFonts w:hAnsi="標楷體" w:hint="eastAsia"/>
        </w:rPr>
        <w:t>部</w:t>
      </w:r>
      <w:r w:rsidRPr="00AB3200">
        <w:rPr>
          <w:rFonts w:hAnsi="標楷體"/>
        </w:rPr>
        <w:t>並未再進行相關預測工作。該部目前尚無對未來10年我國勞動（就業）市場人力供需相關預測。</w:t>
      </w:r>
    </w:p>
    <w:p w:rsidR="009A6770" w:rsidRPr="00AB3200" w:rsidRDefault="009557EA" w:rsidP="009A6770">
      <w:pPr>
        <w:pStyle w:val="3"/>
        <w:ind w:leftChars="208" w:left="1416" w:hangingChars="208" w:hanging="708"/>
      </w:pPr>
      <w:bookmarkStart w:id="66" w:name="_Toc393464374"/>
      <w:r w:rsidRPr="00AB3200">
        <w:rPr>
          <w:rFonts w:hint="eastAsia"/>
        </w:rPr>
        <w:t>再查</w:t>
      </w:r>
      <w:r w:rsidR="003A213D" w:rsidRPr="00AB3200">
        <w:t>國發會於55年辦理第1期人力發展計畫，將人力資源發展納入經濟建設中期計畫規劃體系，以因應科技進步、產業升級及就業結構轉變等，適時調整人力資源相關政策，人力發展計畫之內容係配合各期經濟建設計畫所訂之總體目標，就人力發展部門訂定具體工作項目與預定進度，以整合相關部會資源，分工配合推動實施，每年並對執行情形加以檢討，以使計畫落實執行，促進人力資源之發展與有效運用</w:t>
      </w:r>
      <w:r w:rsidR="009A6770" w:rsidRPr="00AB3200">
        <w:rPr>
          <w:rFonts w:hint="eastAsia"/>
        </w:rPr>
        <w:t>，惟</w:t>
      </w:r>
      <w:bookmarkStart w:id="67" w:name="_Toc392764826"/>
      <w:bookmarkEnd w:id="65"/>
      <w:r w:rsidR="009A6770" w:rsidRPr="00AB3200">
        <w:rPr>
          <w:rFonts w:hint="eastAsia"/>
        </w:rPr>
        <w:t>:</w:t>
      </w:r>
      <w:bookmarkEnd w:id="66"/>
    </w:p>
    <w:p w:rsidR="009A6770" w:rsidRPr="00AB3200" w:rsidRDefault="00914A36" w:rsidP="009A6770">
      <w:pPr>
        <w:pStyle w:val="4"/>
        <w:ind w:left="1843" w:hanging="709"/>
      </w:pPr>
      <w:r w:rsidRPr="00AB3200">
        <w:rPr>
          <w:rFonts w:hint="eastAsia"/>
        </w:rPr>
        <w:t>國發</w:t>
      </w:r>
      <w:r w:rsidR="009A6770" w:rsidRPr="00AB3200">
        <w:rPr>
          <w:rFonts w:hint="eastAsia"/>
        </w:rPr>
        <w:t>會</w:t>
      </w:r>
      <w:r w:rsidR="009A6770" w:rsidRPr="00AB3200">
        <w:t>歷次辦理人力發展計畫及執行情形報告之主要流程為：計畫及報告完成後，提報該會委員會會議，如相關機關首長非委員會成員時，亦另函邀請與會，相關計畫及報告經該委員會議通過後，函報行政院，</w:t>
      </w:r>
      <w:proofErr w:type="gramStart"/>
      <w:r w:rsidR="009A6770" w:rsidRPr="00AB3200">
        <w:t>於奉准核</w:t>
      </w:r>
      <w:proofErr w:type="gramEnd"/>
      <w:r w:rsidR="009A6770" w:rsidRPr="00AB3200">
        <w:t>備後，再將獲致結論及報告另函送相關部會查照辦理，並進行後續執行檢討。</w:t>
      </w:r>
      <w:proofErr w:type="gramStart"/>
      <w:r w:rsidR="009A6770" w:rsidRPr="00AB3200">
        <w:t>惟</w:t>
      </w:r>
      <w:proofErr w:type="gramEnd"/>
      <w:r w:rsidRPr="00AB3200">
        <w:rPr>
          <w:rFonts w:hint="eastAsia"/>
        </w:rPr>
        <w:t>國發會於本院約</w:t>
      </w:r>
      <w:proofErr w:type="gramStart"/>
      <w:r w:rsidRPr="00AB3200">
        <w:rPr>
          <w:rFonts w:hint="eastAsia"/>
        </w:rPr>
        <w:t>詢</w:t>
      </w:r>
      <w:proofErr w:type="gramEnd"/>
      <w:r w:rsidRPr="00AB3200">
        <w:rPr>
          <w:rFonts w:hint="eastAsia"/>
        </w:rPr>
        <w:t>後，</w:t>
      </w:r>
      <w:proofErr w:type="gramStart"/>
      <w:r w:rsidRPr="00AB3200">
        <w:rPr>
          <w:rFonts w:hint="eastAsia"/>
        </w:rPr>
        <w:t>函復本院</w:t>
      </w:r>
      <w:proofErr w:type="gramEnd"/>
      <w:r w:rsidRPr="00AB3200">
        <w:rPr>
          <w:rFonts w:hint="eastAsia"/>
        </w:rPr>
        <w:t>補充資料時稱近</w:t>
      </w:r>
      <w:r w:rsidR="009A6770" w:rsidRPr="00AB3200">
        <w:t>年教育部多以「大學自主」為各校發展趨勢，另「所學為所用」之假設，與現今勞動市場對跨領域專業人才之實際需求已相違背，且高等教育擴張影響，新增人力供給大於需求數</w:t>
      </w:r>
      <w:r w:rsidR="009A6770" w:rsidRPr="00AB3200">
        <w:lastRenderedPageBreak/>
        <w:t>量，實務上增加推估困難</w:t>
      </w:r>
      <w:r w:rsidR="009557EA" w:rsidRPr="00AB3200">
        <w:rPr>
          <w:rFonts w:hint="eastAsia"/>
        </w:rPr>
        <w:t>等因素</w:t>
      </w:r>
      <w:r w:rsidR="009A6770" w:rsidRPr="00AB3200">
        <w:t>，該會</w:t>
      </w:r>
      <w:proofErr w:type="gramStart"/>
      <w:r w:rsidR="009A6770" w:rsidRPr="00AB3200">
        <w:t>爰</w:t>
      </w:r>
      <w:proofErr w:type="gramEnd"/>
      <w:r w:rsidR="009A6770" w:rsidRPr="00AB3200">
        <w:t>自98年起停辦科技人力供需推估，且停辦相關人力發展計畫，另由各部會依其職掌自行規劃推動，惟仍保留配合每4年之國家建設計畫，辦理中長期人力</w:t>
      </w:r>
      <w:proofErr w:type="gramStart"/>
      <w:r w:rsidR="009A6770" w:rsidRPr="00AB3200">
        <w:t>供需推計</w:t>
      </w:r>
      <w:proofErr w:type="gramEnd"/>
      <w:r w:rsidR="009A6770" w:rsidRPr="00AB3200">
        <w:t>，供相關部會參考。</w:t>
      </w:r>
    </w:p>
    <w:p w:rsidR="009557EA" w:rsidRPr="00AB3200" w:rsidRDefault="009A6770" w:rsidP="009A6770">
      <w:pPr>
        <w:pStyle w:val="4"/>
        <w:ind w:left="1843" w:hanging="709"/>
      </w:pPr>
      <w:r w:rsidRPr="00AB3200">
        <w:t>另該會為使各界瞭解未來勞動市場可能發展趨勢， 99、102年參考美國勞動統計局(Bureau of Labor Statistics, BLS)推估架構，進行中長期勞動市場人力需求推估，該供需預測中包括增補人力</w:t>
      </w:r>
      <w:proofErr w:type="gramStart"/>
      <w:r w:rsidRPr="00AB3200">
        <w:t>之推計</w:t>
      </w:r>
      <w:proofErr w:type="gramEnd"/>
      <w:r w:rsidRPr="00AB3200">
        <w:t>，因增補人力係配合勞動生命表估算，並無實際資料可供評估，故不易檢視其推估精確度。</w:t>
      </w:r>
    </w:p>
    <w:p w:rsidR="009557EA" w:rsidRPr="00AB3200" w:rsidRDefault="00BE53CE" w:rsidP="009557EA">
      <w:pPr>
        <w:pStyle w:val="3"/>
        <w:ind w:left="1418" w:hanging="709"/>
        <w:rPr>
          <w:rFonts w:hAnsi="標楷體"/>
        </w:rPr>
      </w:pPr>
      <w:bookmarkStart w:id="68" w:name="_Toc393464375"/>
      <w:bookmarkEnd w:id="67"/>
      <w:r w:rsidRPr="00AB3200">
        <w:rPr>
          <w:rFonts w:hAnsi="標楷體" w:hint="eastAsia"/>
        </w:rPr>
        <w:t>我國勞動市場已存在人力供需失衡結構性現象，</w:t>
      </w:r>
      <w:proofErr w:type="gramStart"/>
      <w:r w:rsidRPr="00AB3200">
        <w:t>人口推計</w:t>
      </w:r>
      <w:proofErr w:type="gramEnd"/>
      <w:r w:rsidRPr="00AB3200">
        <w:t>、人力供需預測及分析關乎國家產業及教育等方面之走向，</w:t>
      </w:r>
      <w:r w:rsidRPr="00AB3200">
        <w:rPr>
          <w:rFonts w:hint="eastAsia"/>
        </w:rPr>
        <w:t>人力發展政策</w:t>
      </w:r>
      <w:r w:rsidRPr="00AB3200">
        <w:t>對</w:t>
      </w:r>
      <w:r w:rsidRPr="00AB3200">
        <w:rPr>
          <w:rFonts w:hint="eastAsia"/>
        </w:rPr>
        <w:t>國家未來</w:t>
      </w:r>
      <w:r w:rsidRPr="00AB3200">
        <w:t>發展影響至大，</w:t>
      </w:r>
      <w:r w:rsidRPr="00AB3200">
        <w:rPr>
          <w:rFonts w:hint="eastAsia"/>
        </w:rPr>
        <w:t>且據勞動部函覆本院資料，現今人才供需失衡主因，係</w:t>
      </w:r>
      <w:r w:rsidRPr="00AB3200">
        <w:t>青年失業者希望從事</w:t>
      </w:r>
      <w:r w:rsidRPr="00AB3200">
        <w:rPr>
          <w:rFonts w:hint="eastAsia"/>
        </w:rPr>
        <w:t>之</w:t>
      </w:r>
      <w:r w:rsidRPr="00AB3200">
        <w:t>工作</w:t>
      </w:r>
      <w:r w:rsidRPr="00AB3200">
        <w:rPr>
          <w:rFonts w:hint="eastAsia"/>
        </w:rPr>
        <w:t>職缺，</w:t>
      </w:r>
      <w:r w:rsidRPr="00AB3200">
        <w:t>呈減少趨勢，致就業市場吸納失業青年之效果不如以往</w:t>
      </w:r>
      <w:r w:rsidRPr="00AB3200">
        <w:rPr>
          <w:rFonts w:hint="eastAsia"/>
        </w:rPr>
        <w:t>，且</w:t>
      </w:r>
      <w:r w:rsidRPr="00AB3200">
        <w:t>現行教育體系較難培育業界所需專業人才，而企業對中高階人才的在職培育投入亦不足</w:t>
      </w:r>
      <w:r w:rsidRPr="00AB3200">
        <w:rPr>
          <w:rFonts w:hint="eastAsia"/>
        </w:rPr>
        <w:t>，足見，有效之勞動力之推估，可事先引導人力資源趨向與產業未來發展方向，減少因勞工技術及產業需求等原因所產生之勞動結構失衡情形，因此，</w:t>
      </w:r>
      <w:proofErr w:type="gramStart"/>
      <w:r w:rsidRPr="00AB3200">
        <w:rPr>
          <w:rFonts w:hint="eastAsia"/>
        </w:rPr>
        <w:t>國內</w:t>
      </w:r>
      <w:r w:rsidRPr="00AB3200">
        <w:rPr>
          <w:rFonts w:hAnsi="標楷體" w:hint="eastAsia"/>
        </w:rPr>
        <w:t>亟</w:t>
      </w:r>
      <w:proofErr w:type="gramEnd"/>
      <w:r w:rsidRPr="00AB3200">
        <w:rPr>
          <w:rFonts w:hAnsi="標楷體" w:hint="eastAsia"/>
        </w:rPr>
        <w:t>須進行人力供需預測，以改善</w:t>
      </w:r>
      <w:r w:rsidR="00977C21" w:rsidRPr="00AB3200">
        <w:rPr>
          <w:rFonts w:hAnsi="標楷體" w:hint="eastAsia"/>
        </w:rPr>
        <w:t>勞動</w:t>
      </w:r>
      <w:r w:rsidRPr="00AB3200">
        <w:rPr>
          <w:rFonts w:hAnsi="標楷體" w:hint="eastAsia"/>
        </w:rPr>
        <w:t>結構失衡現象，</w:t>
      </w:r>
      <w:r w:rsidRPr="00AB3200">
        <w:rPr>
          <w:rFonts w:hAnsi="標楷體"/>
          <w:szCs w:val="32"/>
        </w:rPr>
        <w:t>基此，國發</w:t>
      </w:r>
      <w:r w:rsidRPr="00AB3200">
        <w:rPr>
          <w:rFonts w:hAnsi="標楷體"/>
        </w:rPr>
        <w:t>會負有我國人力供需預測、政策與計畫</w:t>
      </w:r>
      <w:proofErr w:type="gramStart"/>
      <w:r w:rsidRPr="00AB3200">
        <w:rPr>
          <w:rFonts w:hAnsi="標楷體"/>
        </w:rPr>
        <w:t>研</w:t>
      </w:r>
      <w:proofErr w:type="gramEnd"/>
      <w:r w:rsidRPr="00AB3200">
        <w:rPr>
          <w:rFonts w:hAnsi="標楷體"/>
        </w:rPr>
        <w:t>擬及審議之責，然長期功能未</w:t>
      </w:r>
      <w:r w:rsidRPr="00AB3200">
        <w:rPr>
          <w:rFonts w:hAnsi="標楷體" w:hint="eastAsia"/>
        </w:rPr>
        <w:t>能</w:t>
      </w:r>
      <w:r w:rsidRPr="00AB3200">
        <w:rPr>
          <w:rFonts w:hAnsi="標楷體"/>
        </w:rPr>
        <w:t>發揮，時值我國人口結構快速變遷，少子女化現象益趨惡化</w:t>
      </w:r>
      <w:r w:rsidRPr="00AB3200">
        <w:rPr>
          <w:rFonts w:hAnsi="標楷體" w:hint="eastAsia"/>
        </w:rPr>
        <w:t>之際</w:t>
      </w:r>
      <w:r w:rsidRPr="00AB3200">
        <w:rPr>
          <w:rFonts w:hAnsi="標楷體"/>
        </w:rPr>
        <w:t>，</w:t>
      </w:r>
      <w:r w:rsidRPr="00AB3200">
        <w:rPr>
          <w:rFonts w:hAnsi="標楷體" w:hint="eastAsia"/>
        </w:rPr>
        <w:t>允宜</w:t>
      </w:r>
      <w:proofErr w:type="gramStart"/>
      <w:r w:rsidRPr="00AB3200">
        <w:rPr>
          <w:rFonts w:hAnsi="標楷體" w:hint="eastAsia"/>
        </w:rPr>
        <w:t>研</w:t>
      </w:r>
      <w:proofErr w:type="gramEnd"/>
      <w:r w:rsidRPr="00AB3200">
        <w:rPr>
          <w:rFonts w:hAnsi="標楷體" w:hint="eastAsia"/>
        </w:rPr>
        <w:t>擬</w:t>
      </w:r>
      <w:r w:rsidRPr="00AB3200">
        <w:rPr>
          <w:rFonts w:hAnsi="標楷體"/>
        </w:rPr>
        <w:t>資源整合</w:t>
      </w:r>
      <w:r w:rsidRPr="00AB3200">
        <w:rPr>
          <w:rFonts w:hAnsi="標楷體" w:hint="eastAsia"/>
        </w:rPr>
        <w:t>機制</w:t>
      </w:r>
      <w:r w:rsidRPr="00AB3200">
        <w:rPr>
          <w:rFonts w:hAnsi="標楷體"/>
        </w:rPr>
        <w:t>，</w:t>
      </w:r>
      <w:r w:rsidRPr="00AB3200">
        <w:rPr>
          <w:rFonts w:hAnsi="標楷體" w:hint="eastAsia"/>
        </w:rPr>
        <w:t>並</w:t>
      </w:r>
      <w:r w:rsidRPr="00AB3200">
        <w:rPr>
          <w:rFonts w:hAnsi="標楷體"/>
        </w:rPr>
        <w:t>對相關部會有關人才供需資訊進行</w:t>
      </w:r>
      <w:r w:rsidRPr="00AB3200">
        <w:rPr>
          <w:rFonts w:hAnsi="標楷體" w:hint="eastAsia"/>
        </w:rPr>
        <w:t>滾動調整方式</w:t>
      </w:r>
      <w:r w:rsidRPr="00AB3200">
        <w:rPr>
          <w:rFonts w:hAnsi="標楷體"/>
        </w:rPr>
        <w:t>，</w:t>
      </w:r>
      <w:r w:rsidRPr="00AB3200">
        <w:rPr>
          <w:rFonts w:hAnsi="標楷體" w:hint="eastAsia"/>
        </w:rPr>
        <w:t>以確切掌握我國整體就業市場相關產業人力供需及趨勢之變化，</w:t>
      </w:r>
      <w:proofErr w:type="gramStart"/>
      <w:r w:rsidRPr="00AB3200">
        <w:rPr>
          <w:rFonts w:hAnsi="標楷體" w:hint="eastAsia"/>
        </w:rPr>
        <w:t>復而間接</w:t>
      </w:r>
      <w:proofErr w:type="gramEnd"/>
      <w:r w:rsidRPr="00AB3200">
        <w:rPr>
          <w:rFonts w:hAnsi="標楷體" w:hint="eastAsia"/>
        </w:rPr>
        <w:t>影</w:t>
      </w:r>
      <w:r w:rsidRPr="00AB3200">
        <w:rPr>
          <w:rFonts w:hAnsi="標楷體" w:hint="eastAsia"/>
        </w:rPr>
        <w:lastRenderedPageBreak/>
        <w:t>響教育體系各系所人才培育，以減少產學落差現象，並提供學生家長充分人力供需資訊，作為選讀科系參考，避免因缺乏資訊，致學生選讀科系之就業市場嚴重飽和，而加劇供需失衡情形</w:t>
      </w:r>
      <w:r w:rsidRPr="00AB3200">
        <w:rPr>
          <w:rFonts w:hAnsi="標楷體"/>
        </w:rPr>
        <w:t>。</w:t>
      </w:r>
      <w:bookmarkEnd w:id="68"/>
    </w:p>
    <w:p w:rsidR="003A213D" w:rsidRPr="00AB3200" w:rsidRDefault="003A213D" w:rsidP="00914A36">
      <w:pPr>
        <w:pStyle w:val="3"/>
        <w:ind w:left="1418" w:hanging="709"/>
        <w:rPr>
          <w:rFonts w:hAnsi="標楷體"/>
        </w:rPr>
      </w:pPr>
      <w:bookmarkStart w:id="69" w:name="_Toc392764828"/>
      <w:bookmarkStart w:id="70" w:name="_Toc393464376"/>
      <w:r w:rsidRPr="00AB3200">
        <w:rPr>
          <w:rFonts w:hAnsi="標楷體"/>
        </w:rPr>
        <w:t>綜上，</w:t>
      </w:r>
      <w:bookmarkEnd w:id="69"/>
      <w:r w:rsidR="00B9278A" w:rsidRPr="00AB3200">
        <w:rPr>
          <w:rFonts w:hAnsi="標楷體" w:hint="eastAsia"/>
        </w:rPr>
        <w:t>我國勞動市場已存在人力供需失衡結構性現象，</w:t>
      </w:r>
      <w:r w:rsidR="00B9278A" w:rsidRPr="00AB3200">
        <w:rPr>
          <w:rFonts w:hAnsi="標楷體"/>
        </w:rPr>
        <w:t>國發會肩負我國人力供需預測及分析之責，且為協調各中央目的事業主管機關辦理重點產業人才供需調查及推估之專責單位，然該會以人力需求推估，各部會多依其專業</w:t>
      </w:r>
      <w:r w:rsidR="00B9278A" w:rsidRPr="00AB3200">
        <w:rPr>
          <w:rFonts w:hAnsi="標楷體" w:hint="eastAsia"/>
        </w:rPr>
        <w:t>職</w:t>
      </w:r>
      <w:r w:rsidR="00B9278A" w:rsidRPr="00AB3200">
        <w:rPr>
          <w:rFonts w:hAnsi="標楷體"/>
        </w:rPr>
        <w:t>掌自行規劃政策，</w:t>
      </w:r>
      <w:r w:rsidR="00B9278A" w:rsidRPr="00AB3200">
        <w:rPr>
          <w:rFonts w:hAnsi="標楷體" w:hint="eastAsia"/>
        </w:rPr>
        <w:t>惟</w:t>
      </w:r>
      <w:r w:rsidR="00B9278A" w:rsidRPr="00AB3200">
        <w:rPr>
          <w:rFonts w:hAnsi="標楷體"/>
        </w:rPr>
        <w:t>未能</w:t>
      </w:r>
      <w:r w:rsidR="00B9278A" w:rsidRPr="00AB3200">
        <w:rPr>
          <w:rFonts w:hAnsi="標楷體" w:hint="eastAsia"/>
        </w:rPr>
        <w:t>有效協調整合各部會之</w:t>
      </w:r>
      <w:r w:rsidR="00B9278A" w:rsidRPr="00AB3200">
        <w:rPr>
          <w:rFonts w:hAnsi="標楷體"/>
        </w:rPr>
        <w:t>執行</w:t>
      </w:r>
      <w:r w:rsidR="00B9278A" w:rsidRPr="00AB3200">
        <w:rPr>
          <w:rFonts w:hAnsi="標楷體" w:hint="eastAsia"/>
        </w:rPr>
        <w:t>，以作為國家人力政策之方向</w:t>
      </w:r>
      <w:r w:rsidR="00B9278A" w:rsidRPr="00AB3200">
        <w:rPr>
          <w:rFonts w:hAnsi="標楷體"/>
        </w:rPr>
        <w:t>，</w:t>
      </w:r>
      <w:r w:rsidR="00B9278A" w:rsidRPr="00AB3200">
        <w:rPr>
          <w:rFonts w:hAnsi="標楷體" w:hint="eastAsia"/>
        </w:rPr>
        <w:t>亦無法提供學生、家長或社會有關人力供需之資訊，致教育體系各系所人才培育無法與產業發展需求相對應，導致人才培育長期供需失衡及產學落差現象，允宜檢討改進</w:t>
      </w:r>
      <w:r w:rsidR="00B9278A" w:rsidRPr="00AB3200">
        <w:rPr>
          <w:rFonts w:hAnsi="標楷體"/>
        </w:rPr>
        <w:t>。</w:t>
      </w:r>
      <w:bookmarkEnd w:id="70"/>
    </w:p>
    <w:p w:rsidR="003A213D" w:rsidRPr="00AB3200" w:rsidRDefault="003A213D" w:rsidP="003A213D">
      <w:pPr>
        <w:pStyle w:val="20"/>
        <w:ind w:left="1020" w:hanging="680"/>
        <w:rPr>
          <w:rFonts w:hAnsi="標楷體"/>
          <w:b/>
        </w:rPr>
      </w:pPr>
      <w:bookmarkStart w:id="71" w:name="_Toc393464377"/>
      <w:r w:rsidRPr="00AB3200">
        <w:rPr>
          <w:rFonts w:hAnsi="標楷體"/>
          <w:b/>
          <w:szCs w:val="32"/>
        </w:rPr>
        <w:t>創業係積極創造就業方式之一，中小企業吸納近八成就業人口，惟中小企業規模小，資源不足，經營能力有限，無力長久經營，經濟部雖已推出各</w:t>
      </w:r>
      <w:r w:rsidRPr="00AB3200">
        <w:rPr>
          <w:rFonts w:hAnsi="標楷體" w:hint="eastAsia"/>
          <w:b/>
          <w:szCs w:val="32"/>
        </w:rPr>
        <w:t>項</w:t>
      </w:r>
      <w:r w:rsidRPr="00AB3200">
        <w:rPr>
          <w:rFonts w:hAnsi="標楷體"/>
          <w:b/>
          <w:szCs w:val="32"/>
        </w:rPr>
        <w:t>協助青年創業之方案，仍應協助中小企業強化經營體質，提升競爭能力</w:t>
      </w:r>
      <w:r w:rsidR="00977C21" w:rsidRPr="00AB3200">
        <w:rPr>
          <w:rFonts w:hAnsi="標楷體" w:hint="eastAsia"/>
          <w:b/>
          <w:szCs w:val="32"/>
        </w:rPr>
        <w:t>，</w:t>
      </w:r>
      <w:proofErr w:type="gramStart"/>
      <w:r w:rsidR="00977C21" w:rsidRPr="00AB3200">
        <w:rPr>
          <w:rFonts w:hAnsi="標楷體" w:hint="eastAsia"/>
          <w:b/>
          <w:szCs w:val="32"/>
        </w:rPr>
        <w:t>俾</w:t>
      </w:r>
      <w:proofErr w:type="gramEnd"/>
      <w:r w:rsidR="00977C21" w:rsidRPr="00AB3200">
        <w:rPr>
          <w:rFonts w:hAnsi="標楷體" w:hint="eastAsia"/>
          <w:b/>
          <w:szCs w:val="32"/>
        </w:rPr>
        <w:t>以提供穩定之就業機會。</w:t>
      </w:r>
      <w:bookmarkEnd w:id="71"/>
    </w:p>
    <w:p w:rsidR="003A213D" w:rsidRPr="00AB3200" w:rsidRDefault="003A213D" w:rsidP="003A213D">
      <w:pPr>
        <w:pStyle w:val="3"/>
        <w:ind w:left="1360" w:hanging="680"/>
        <w:rPr>
          <w:rFonts w:hAnsi="標楷體"/>
          <w:szCs w:val="32"/>
        </w:rPr>
      </w:pPr>
      <w:bookmarkStart w:id="72" w:name="_Toc392764830"/>
      <w:bookmarkStart w:id="73" w:name="_Toc393464378"/>
      <w:r w:rsidRPr="00AB3200">
        <w:rPr>
          <w:rFonts w:hAnsi="標楷體"/>
          <w:szCs w:val="32"/>
        </w:rPr>
        <w:t>按經濟部組織法第1條規定：「經濟部主管全國經濟行政及經濟建設事務」，是</w:t>
      </w:r>
      <w:proofErr w:type="gramStart"/>
      <w:r w:rsidRPr="00AB3200">
        <w:rPr>
          <w:rFonts w:hAnsi="標楷體"/>
          <w:szCs w:val="32"/>
        </w:rPr>
        <w:t>以</w:t>
      </w:r>
      <w:proofErr w:type="gramEnd"/>
      <w:r w:rsidRPr="00AB3200">
        <w:rPr>
          <w:rFonts w:hAnsi="標楷體"/>
          <w:szCs w:val="32"/>
        </w:rPr>
        <w:t>，該部產業政策方向</w:t>
      </w:r>
      <w:proofErr w:type="gramStart"/>
      <w:r w:rsidRPr="00AB3200">
        <w:rPr>
          <w:rFonts w:hAnsi="標楷體"/>
          <w:szCs w:val="32"/>
        </w:rPr>
        <w:t>攸</w:t>
      </w:r>
      <w:proofErr w:type="gramEnd"/>
      <w:r w:rsidRPr="00AB3200">
        <w:rPr>
          <w:rFonts w:hAnsi="標楷體"/>
          <w:szCs w:val="32"/>
        </w:rPr>
        <w:t>關我國經濟建設長遠發展甚</w:t>
      </w:r>
      <w:proofErr w:type="gramStart"/>
      <w:r w:rsidRPr="00AB3200">
        <w:rPr>
          <w:rFonts w:hAnsi="標楷體"/>
          <w:szCs w:val="32"/>
        </w:rPr>
        <w:t>鉅</w:t>
      </w:r>
      <w:proofErr w:type="gramEnd"/>
      <w:r w:rsidRPr="00AB3200">
        <w:rPr>
          <w:rFonts w:hAnsi="標楷體"/>
          <w:szCs w:val="32"/>
        </w:rPr>
        <w:t>。</w:t>
      </w:r>
      <w:bookmarkEnd w:id="72"/>
      <w:bookmarkEnd w:id="73"/>
    </w:p>
    <w:p w:rsidR="003A213D" w:rsidRPr="00AB3200" w:rsidRDefault="003A213D" w:rsidP="003A213D">
      <w:pPr>
        <w:pStyle w:val="3"/>
        <w:ind w:left="1360" w:hanging="680"/>
        <w:rPr>
          <w:rFonts w:hAnsi="標楷體"/>
        </w:rPr>
      </w:pPr>
      <w:bookmarkStart w:id="74" w:name="_Toc392764831"/>
      <w:bookmarkStart w:id="75" w:name="_Toc393464379"/>
      <w:r w:rsidRPr="00AB3200">
        <w:rPr>
          <w:rFonts w:hAnsi="標楷體"/>
          <w:szCs w:val="32"/>
        </w:rPr>
        <w:t>查我國企業結構中，中小企業占有極重之比率:</w:t>
      </w:r>
      <w:bookmarkEnd w:id="74"/>
      <w:bookmarkEnd w:id="75"/>
    </w:p>
    <w:p w:rsidR="00F844EA" w:rsidRPr="00AB3200" w:rsidRDefault="003A213D" w:rsidP="003A213D">
      <w:pPr>
        <w:pStyle w:val="4"/>
        <w:ind w:left="1843"/>
        <w:rPr>
          <w:rFonts w:hAnsi="標楷體"/>
        </w:rPr>
      </w:pPr>
      <w:r w:rsidRPr="00AB3200">
        <w:rPr>
          <w:rFonts w:hAnsi="標楷體" w:hint="eastAsia"/>
        </w:rPr>
        <w:t>依據經濟部所公布「</w:t>
      </w:r>
      <w:r w:rsidRPr="00AB3200">
        <w:rPr>
          <w:rFonts w:hAnsi="標楷體"/>
        </w:rPr>
        <w:t>10</w:t>
      </w:r>
      <w:r w:rsidRPr="00AB3200">
        <w:rPr>
          <w:rFonts w:hAnsi="標楷體" w:hint="eastAsia"/>
        </w:rPr>
        <w:t>2</w:t>
      </w:r>
      <w:r w:rsidRPr="00AB3200">
        <w:rPr>
          <w:rFonts w:hAnsi="標楷體"/>
        </w:rPr>
        <w:t>年中小企業重要統計表</w:t>
      </w:r>
      <w:r w:rsidRPr="00AB3200">
        <w:rPr>
          <w:rFonts w:hAnsi="標楷體" w:hint="eastAsia"/>
        </w:rPr>
        <w:t>」資料，我國102年底全部企業家數1,363,393家，其中中小企業</w:t>
      </w:r>
      <w:r w:rsidRPr="00AB3200">
        <w:rPr>
          <w:rStyle w:val="af7"/>
          <w:rFonts w:hAnsi="標楷體"/>
          <w:szCs w:val="32"/>
        </w:rPr>
        <w:footnoteReference w:id="5"/>
      </w:r>
      <w:r w:rsidRPr="00AB3200">
        <w:rPr>
          <w:rFonts w:hAnsi="標楷體" w:hint="eastAsia"/>
        </w:rPr>
        <w:t>1,331,182家，比率97.64%；</w:t>
      </w:r>
      <w:r w:rsidRPr="00AB3200">
        <w:rPr>
          <w:rFonts w:hAnsi="標楷體" w:hint="eastAsia"/>
        </w:rPr>
        <w:lastRenderedPageBreak/>
        <w:t>全部企業就業人數10,967千人，其中中小企業8,588千人，比率78.30%；全部企業年度銷售額38,460,894百萬元，其中中小企業11,321,842百萬元，比率29.44%；全部企業出口額9,836,367百萬元，其中中小企業1,424,225百萬元，比率14.48%。</w:t>
      </w:r>
    </w:p>
    <w:p w:rsidR="003A213D" w:rsidRPr="00AB3200" w:rsidRDefault="003A213D" w:rsidP="003A213D">
      <w:pPr>
        <w:pStyle w:val="4"/>
        <w:ind w:left="1843"/>
        <w:rPr>
          <w:rFonts w:hAnsi="標楷體"/>
        </w:rPr>
      </w:pPr>
      <w:r w:rsidRPr="00AB3200">
        <w:rPr>
          <w:rFonts w:hAnsi="標楷體" w:hint="eastAsia"/>
        </w:rPr>
        <w:t>我國企業高達97.64%</w:t>
      </w:r>
      <w:proofErr w:type="gramStart"/>
      <w:r w:rsidRPr="00AB3200">
        <w:rPr>
          <w:rFonts w:hAnsi="標楷體" w:hint="eastAsia"/>
        </w:rPr>
        <w:t>均為中小企業</w:t>
      </w:r>
      <w:proofErr w:type="gramEnd"/>
      <w:r w:rsidRPr="00AB3200">
        <w:rPr>
          <w:rFonts w:hAnsi="標楷體" w:hint="eastAsia"/>
        </w:rPr>
        <w:t>，雖因規模不如大型企業，年度銷售額及出口額亦僅占全部企業之29.44%及14.48%，</w:t>
      </w:r>
      <w:r w:rsidR="00B9278A" w:rsidRPr="00AB3200">
        <w:rPr>
          <w:rFonts w:hAnsi="標楷體" w:hint="eastAsia"/>
        </w:rPr>
        <w:t>然</w:t>
      </w:r>
      <w:r w:rsidRPr="00AB3200">
        <w:rPr>
          <w:rFonts w:hAnsi="標楷體" w:hint="eastAsia"/>
        </w:rPr>
        <w:t>中小企業就業人數占全部就業人數高達78.30%，</w:t>
      </w:r>
      <w:bookmarkStart w:id="76" w:name="_Toc392764832"/>
      <w:r w:rsidR="00B9278A" w:rsidRPr="00AB3200">
        <w:rPr>
          <w:rFonts w:hAnsi="標楷體" w:hint="eastAsia"/>
        </w:rPr>
        <w:t>其經營穩定度及經營實績</w:t>
      </w:r>
      <w:proofErr w:type="gramStart"/>
      <w:r w:rsidR="00B9278A" w:rsidRPr="00AB3200">
        <w:rPr>
          <w:rFonts w:hAnsi="標楷體" w:hint="eastAsia"/>
        </w:rPr>
        <w:t>攸</w:t>
      </w:r>
      <w:proofErr w:type="gramEnd"/>
      <w:r w:rsidR="00B9278A" w:rsidRPr="00AB3200">
        <w:rPr>
          <w:rFonts w:hAnsi="標楷體" w:hint="eastAsia"/>
        </w:rPr>
        <w:t>關近</w:t>
      </w:r>
      <w:proofErr w:type="gramStart"/>
      <w:r w:rsidR="00B9278A" w:rsidRPr="00AB3200">
        <w:rPr>
          <w:rFonts w:hAnsi="標楷體" w:hint="eastAsia"/>
        </w:rPr>
        <w:t>8成</w:t>
      </w:r>
      <w:proofErr w:type="gramEnd"/>
      <w:r w:rsidR="00B9278A" w:rsidRPr="00AB3200">
        <w:rPr>
          <w:rFonts w:hAnsi="標楷體" w:hint="eastAsia"/>
        </w:rPr>
        <w:t>就業市場員工之民生經濟，影響層面</w:t>
      </w:r>
      <w:proofErr w:type="gramStart"/>
      <w:r w:rsidR="00B9278A" w:rsidRPr="00AB3200">
        <w:rPr>
          <w:rFonts w:hAnsi="標楷體" w:hint="eastAsia"/>
        </w:rPr>
        <w:t>相當</w:t>
      </w:r>
      <w:proofErr w:type="gramEnd"/>
      <w:r w:rsidR="00B9278A" w:rsidRPr="00AB3200">
        <w:rPr>
          <w:rFonts w:hAnsi="標楷體" w:hint="eastAsia"/>
        </w:rPr>
        <w:t>廣大，惟</w:t>
      </w:r>
      <w:r w:rsidR="00B9278A" w:rsidRPr="00AB3200">
        <w:t>101年中小企業經營未滿5年之家數，占全部中小企業家數之比率為30.58%，顯示中小企業因規模小，資源不足，經營能力有限，無力長久經營。經濟部</w:t>
      </w:r>
      <w:proofErr w:type="gramStart"/>
      <w:r w:rsidR="00B9278A" w:rsidRPr="00AB3200">
        <w:rPr>
          <w:rFonts w:hint="eastAsia"/>
        </w:rPr>
        <w:t>允</w:t>
      </w:r>
      <w:r w:rsidR="00B9278A" w:rsidRPr="00AB3200">
        <w:t>應策定</w:t>
      </w:r>
      <w:proofErr w:type="gramEnd"/>
      <w:r w:rsidR="00B9278A" w:rsidRPr="00AB3200">
        <w:t>相關方案，以協助中小企業強化經營體質，提升競爭能力。</w:t>
      </w:r>
      <w:bookmarkEnd w:id="76"/>
    </w:p>
    <w:p w:rsidR="00F844EA" w:rsidRPr="00AB3200" w:rsidRDefault="00F844EA" w:rsidP="00F844EA">
      <w:pPr>
        <w:pStyle w:val="3"/>
        <w:ind w:left="1418" w:hanging="709"/>
      </w:pPr>
      <w:bookmarkStart w:id="77" w:name="_Toc393464380"/>
      <w:r w:rsidRPr="00AB3200">
        <w:rPr>
          <w:rFonts w:hAnsi="標楷體"/>
          <w:szCs w:val="32"/>
        </w:rPr>
        <w:t>創業是積極創造就業的一種方式，而創業能力本屬國人之強項</w:t>
      </w:r>
      <w:r w:rsidRPr="00AB3200">
        <w:rPr>
          <w:rFonts w:hAnsi="標楷體" w:hint="eastAsia"/>
          <w:szCs w:val="32"/>
        </w:rPr>
        <w:t>，</w:t>
      </w:r>
      <w:r w:rsidRPr="00AB3200">
        <w:rPr>
          <w:rFonts w:hAnsi="標楷體"/>
        </w:rPr>
        <w:t>依據經濟部中小企業處資料顯示，創業年齡傾向兩級化，一群創業者年齡約在25至45歲之青壯年，另外則是中年失業者透過創業開創第二春，是</w:t>
      </w:r>
      <w:proofErr w:type="gramStart"/>
      <w:r w:rsidRPr="00AB3200">
        <w:rPr>
          <w:rFonts w:hAnsi="標楷體"/>
        </w:rPr>
        <w:t>以</w:t>
      </w:r>
      <w:proofErr w:type="gramEnd"/>
      <w:r w:rsidRPr="00AB3200">
        <w:rPr>
          <w:rFonts w:hAnsi="標楷體"/>
        </w:rPr>
        <w:t>，青年創業亦</w:t>
      </w:r>
      <w:r w:rsidRPr="00AB3200">
        <w:rPr>
          <w:rFonts w:hAnsi="標楷體" w:hint="eastAsia"/>
        </w:rPr>
        <w:t>屬</w:t>
      </w:r>
      <w:r w:rsidRPr="00AB3200">
        <w:rPr>
          <w:rFonts w:hAnsi="標楷體"/>
        </w:rPr>
        <w:t>積極創造就業之方式，經濟部協助青年</w:t>
      </w:r>
      <w:proofErr w:type="gramStart"/>
      <w:r w:rsidRPr="00AB3200">
        <w:rPr>
          <w:rFonts w:hAnsi="標楷體"/>
        </w:rPr>
        <w:t>創業摘述如下</w:t>
      </w:r>
      <w:proofErr w:type="gramEnd"/>
      <w:r w:rsidRPr="00AB3200">
        <w:rPr>
          <w:rFonts w:hAnsi="標楷體"/>
        </w:rPr>
        <w:t>:</w:t>
      </w:r>
      <w:bookmarkEnd w:id="77"/>
    </w:p>
    <w:p w:rsidR="003A213D" w:rsidRPr="00AB3200" w:rsidRDefault="003A213D" w:rsidP="003A213D">
      <w:pPr>
        <w:pStyle w:val="4"/>
        <w:ind w:left="1843"/>
        <w:rPr>
          <w:rFonts w:hAnsi="標楷體"/>
        </w:rPr>
      </w:pPr>
      <w:r w:rsidRPr="00AB3200">
        <w:rPr>
          <w:rFonts w:hAnsi="標楷體"/>
        </w:rPr>
        <w:t>依據經濟部中小企業處資料顯示，創業年齡傾向兩級化，一群創業者年齡約在25至45歲之青壯年，另外則是中年失業者透過創業開創第二春，是</w:t>
      </w:r>
      <w:proofErr w:type="gramStart"/>
      <w:r w:rsidRPr="00AB3200">
        <w:rPr>
          <w:rFonts w:hAnsi="標楷體"/>
        </w:rPr>
        <w:t>以</w:t>
      </w:r>
      <w:proofErr w:type="gramEnd"/>
      <w:r w:rsidRPr="00AB3200">
        <w:rPr>
          <w:rFonts w:hAnsi="標楷體"/>
        </w:rPr>
        <w:t>，青年創業亦</w:t>
      </w:r>
      <w:r w:rsidRPr="00AB3200">
        <w:rPr>
          <w:rFonts w:hAnsi="標楷體" w:hint="eastAsia"/>
        </w:rPr>
        <w:t>屬</w:t>
      </w:r>
      <w:r w:rsidRPr="00AB3200">
        <w:rPr>
          <w:rFonts w:hAnsi="標楷體"/>
        </w:rPr>
        <w:t>積極創造就業之方式，經濟部協助青年</w:t>
      </w:r>
      <w:proofErr w:type="gramStart"/>
      <w:r w:rsidRPr="00AB3200">
        <w:rPr>
          <w:rFonts w:hAnsi="標楷體"/>
        </w:rPr>
        <w:t>創業摘述如下</w:t>
      </w:r>
      <w:proofErr w:type="gramEnd"/>
      <w:r w:rsidRPr="00AB3200">
        <w:rPr>
          <w:rFonts w:hAnsi="標楷體"/>
        </w:rPr>
        <w:t>:</w:t>
      </w:r>
    </w:p>
    <w:p w:rsidR="003A213D" w:rsidRPr="00AB3200" w:rsidRDefault="003A213D" w:rsidP="00F844EA">
      <w:pPr>
        <w:pStyle w:val="4"/>
        <w:ind w:left="1843" w:hanging="709"/>
      </w:pPr>
      <w:r w:rsidRPr="00AB3200">
        <w:t>依新創青年各階段需求，提供</w:t>
      </w:r>
      <w:proofErr w:type="gramStart"/>
      <w:r w:rsidRPr="00AB3200">
        <w:t>適</w:t>
      </w:r>
      <w:proofErr w:type="gramEnd"/>
      <w:r w:rsidRPr="00AB3200">
        <w:t>創業青年籌設階段所需準備金及開辦費用，對具產業特色及創新</w:t>
      </w:r>
      <w:r w:rsidRPr="00AB3200">
        <w:lastRenderedPageBreak/>
        <w:t>型之創業貸款額度最高200萬元，讓創業青年更能取得資金協助。</w:t>
      </w:r>
    </w:p>
    <w:p w:rsidR="003A213D" w:rsidRPr="00AB3200" w:rsidRDefault="003A213D" w:rsidP="00F844EA">
      <w:pPr>
        <w:pStyle w:val="4"/>
        <w:ind w:left="1843" w:hanging="709"/>
      </w:pPr>
      <w:r w:rsidRPr="00AB3200">
        <w:t>結合產、官、學、</w:t>
      </w:r>
      <w:proofErr w:type="gramStart"/>
      <w:r w:rsidRPr="00AB3200">
        <w:t>研</w:t>
      </w:r>
      <w:proofErr w:type="gramEnd"/>
      <w:r w:rsidRPr="00AB3200">
        <w:t>等各界資源鼓勵設立育成中心，提供企業在空間、設備、技術、諮詢等多方協助，降低中小企業在創業及研發初期之成本與風險，藉由打造優良的培育環境，維持並創造青年多元的就業機會。</w:t>
      </w:r>
    </w:p>
    <w:p w:rsidR="003A213D" w:rsidRPr="00AB3200" w:rsidRDefault="003A213D" w:rsidP="00F844EA">
      <w:pPr>
        <w:pStyle w:val="4"/>
        <w:ind w:left="1843" w:hanging="709"/>
      </w:pPr>
      <w:r w:rsidRPr="00AB3200">
        <w:t>辦理「微型及個人事業支援與輔導計畫」，依青年經營事業之需求，提供政府與民間資源諮詢與轉</w:t>
      </w:r>
      <w:proofErr w:type="gramStart"/>
      <w:r w:rsidRPr="00AB3200">
        <w:t>介</w:t>
      </w:r>
      <w:proofErr w:type="gramEnd"/>
      <w:r w:rsidRPr="00AB3200">
        <w:t>、</w:t>
      </w:r>
      <w:proofErr w:type="gramStart"/>
      <w:r w:rsidRPr="00AB3200">
        <w:t>定期線上值班</w:t>
      </w:r>
      <w:proofErr w:type="gramEnd"/>
      <w:r w:rsidRPr="00AB3200">
        <w:t>專家顧問、顧問陪伴輔導、數位學習課程及行銷推廣商機媒合等協助，以強化微型及個人事業經營體質，並扶植青年事業經營之能力。</w:t>
      </w:r>
    </w:p>
    <w:p w:rsidR="003A213D" w:rsidRPr="00AB3200" w:rsidRDefault="00B9278A" w:rsidP="00F844EA">
      <w:pPr>
        <w:pStyle w:val="3"/>
        <w:ind w:left="1418"/>
      </w:pPr>
      <w:bookmarkStart w:id="78" w:name="_Toc393464381"/>
      <w:r w:rsidRPr="00AB3200">
        <w:rPr>
          <w:rFonts w:hAnsi="標楷體" w:hint="eastAsia"/>
          <w:szCs w:val="32"/>
        </w:rPr>
        <w:t>綜上，</w:t>
      </w:r>
      <w:r w:rsidRPr="00AB3200">
        <w:rPr>
          <w:rFonts w:hAnsi="標楷體"/>
          <w:szCs w:val="32"/>
        </w:rPr>
        <w:t>創業係積極創造就業方式之一，中小企業吸納近八成就業人口，惟中小企業規模小，資源不足，經營能力有限，無力長久經營，經濟部雖已推出各</w:t>
      </w:r>
      <w:r w:rsidRPr="00AB3200">
        <w:rPr>
          <w:rFonts w:hAnsi="標楷體" w:hint="eastAsia"/>
          <w:szCs w:val="32"/>
        </w:rPr>
        <w:t>項</w:t>
      </w:r>
      <w:r w:rsidRPr="00AB3200">
        <w:rPr>
          <w:rFonts w:hAnsi="標楷體"/>
          <w:szCs w:val="32"/>
        </w:rPr>
        <w:t>協助青年創業之方案，仍應協助中小企業強化經營體質，提升競爭能力</w:t>
      </w:r>
      <w:r w:rsidRPr="00AB3200">
        <w:rPr>
          <w:rFonts w:hAnsi="標楷體" w:hint="eastAsia"/>
          <w:szCs w:val="32"/>
        </w:rPr>
        <w:t>，</w:t>
      </w:r>
      <w:proofErr w:type="gramStart"/>
      <w:r w:rsidRPr="00AB3200">
        <w:rPr>
          <w:rFonts w:hAnsi="標楷體" w:hint="eastAsia"/>
          <w:szCs w:val="32"/>
        </w:rPr>
        <w:t>俾</w:t>
      </w:r>
      <w:proofErr w:type="gramEnd"/>
      <w:r w:rsidRPr="00AB3200">
        <w:rPr>
          <w:rFonts w:hAnsi="標楷體" w:hint="eastAsia"/>
          <w:szCs w:val="32"/>
        </w:rPr>
        <w:t>以提供穩定之就業機會。</w:t>
      </w:r>
      <w:bookmarkEnd w:id="78"/>
    </w:p>
    <w:p w:rsidR="00893E25" w:rsidRPr="00AB3200" w:rsidRDefault="00893E25" w:rsidP="00B9278A">
      <w:pPr>
        <w:pStyle w:val="20"/>
        <w:ind w:left="993" w:hanging="709"/>
      </w:pPr>
      <w:bookmarkStart w:id="79" w:name="_Toc393464382"/>
      <w:bookmarkStart w:id="80" w:name="_Toc392764833"/>
      <w:r w:rsidRPr="00AB3200">
        <w:rPr>
          <w:rFonts w:hAnsi="標楷體" w:hint="eastAsia"/>
          <w:b/>
          <w:szCs w:val="32"/>
        </w:rPr>
        <w:t>企業</w:t>
      </w:r>
      <w:r w:rsidRPr="00AB3200">
        <w:rPr>
          <w:rFonts w:hAnsi="標楷體"/>
          <w:b/>
          <w:szCs w:val="32"/>
        </w:rPr>
        <w:t>投資海外比重</w:t>
      </w:r>
      <w:r w:rsidRPr="00AB3200">
        <w:rPr>
          <w:rFonts w:hAnsi="標楷體" w:hint="eastAsia"/>
          <w:b/>
          <w:szCs w:val="32"/>
        </w:rPr>
        <w:t>日益</w:t>
      </w:r>
      <w:r w:rsidRPr="00AB3200">
        <w:rPr>
          <w:rFonts w:hAnsi="標楷體"/>
          <w:b/>
          <w:szCs w:val="32"/>
        </w:rPr>
        <w:t>提高，致大量生產外移，</w:t>
      </w:r>
      <w:r w:rsidRPr="00AB3200">
        <w:rPr>
          <w:rFonts w:hAnsi="標楷體" w:hint="eastAsia"/>
          <w:b/>
          <w:szCs w:val="32"/>
        </w:rPr>
        <w:t>衝擊國內就業機會，</w:t>
      </w:r>
      <w:r w:rsidRPr="00AB3200">
        <w:rPr>
          <w:rFonts w:hAnsi="標楷體"/>
          <w:b/>
          <w:szCs w:val="32"/>
        </w:rPr>
        <w:t>經濟部允</w:t>
      </w:r>
      <w:proofErr w:type="gramStart"/>
      <w:r w:rsidRPr="00AB3200">
        <w:rPr>
          <w:rFonts w:hAnsi="標楷體" w:hint="eastAsia"/>
          <w:b/>
          <w:szCs w:val="32"/>
        </w:rPr>
        <w:t>宜</w:t>
      </w:r>
      <w:r w:rsidRPr="00AB3200">
        <w:rPr>
          <w:rFonts w:hAnsi="標楷體"/>
          <w:b/>
          <w:szCs w:val="24"/>
        </w:rPr>
        <w:t>策定短</w:t>
      </w:r>
      <w:proofErr w:type="gramEnd"/>
      <w:r w:rsidRPr="00AB3200">
        <w:rPr>
          <w:rFonts w:hAnsi="標楷體"/>
          <w:b/>
          <w:szCs w:val="24"/>
        </w:rPr>
        <w:t>、中、長期計畫，以有效改善國內投資環境，</w:t>
      </w:r>
      <w:r w:rsidRPr="00AB3200">
        <w:rPr>
          <w:rFonts w:hAnsi="標楷體" w:hint="eastAsia"/>
          <w:b/>
          <w:szCs w:val="24"/>
        </w:rPr>
        <w:t>提升</w:t>
      </w:r>
      <w:r w:rsidRPr="00AB3200">
        <w:rPr>
          <w:rFonts w:hAnsi="標楷體"/>
          <w:b/>
          <w:szCs w:val="24"/>
        </w:rPr>
        <w:t>廠商</w:t>
      </w:r>
      <w:r w:rsidRPr="00AB3200">
        <w:rPr>
          <w:rFonts w:hAnsi="標楷體" w:hint="eastAsia"/>
          <w:b/>
          <w:szCs w:val="24"/>
        </w:rPr>
        <w:t>投資國內之意願，</w:t>
      </w:r>
      <w:r w:rsidRPr="00AB3200">
        <w:rPr>
          <w:rFonts w:hAnsi="標楷體"/>
          <w:b/>
          <w:szCs w:val="24"/>
        </w:rPr>
        <w:t>創造就業機會。</w:t>
      </w:r>
      <w:bookmarkEnd w:id="79"/>
    </w:p>
    <w:p w:rsidR="003A213D" w:rsidRPr="00AB3200" w:rsidRDefault="00893E25" w:rsidP="003A213D">
      <w:pPr>
        <w:pStyle w:val="3"/>
        <w:ind w:left="1360" w:hanging="680"/>
        <w:rPr>
          <w:rFonts w:hAnsi="標楷體"/>
          <w:szCs w:val="32"/>
        </w:rPr>
      </w:pPr>
      <w:bookmarkStart w:id="81" w:name="_Toc393464383"/>
      <w:r w:rsidRPr="00AB3200">
        <w:rPr>
          <w:rFonts w:hAnsi="標楷體" w:hint="eastAsia"/>
          <w:szCs w:val="32"/>
        </w:rPr>
        <w:t>我國</w:t>
      </w:r>
      <w:r w:rsidRPr="00AB3200">
        <w:rPr>
          <w:rFonts w:hAnsi="標楷體"/>
          <w:szCs w:val="32"/>
        </w:rPr>
        <w:t>屬海島型經濟體，內銷並無法支撐經濟之發展，</w:t>
      </w:r>
      <w:r w:rsidRPr="00AB3200">
        <w:rPr>
          <w:rFonts w:hAnsi="標楷體" w:hint="eastAsia"/>
          <w:szCs w:val="32"/>
        </w:rPr>
        <w:t>又因全球</w:t>
      </w:r>
      <w:r w:rsidRPr="00AB3200">
        <w:rPr>
          <w:rFonts w:hAnsi="標楷體"/>
          <w:szCs w:val="32"/>
        </w:rPr>
        <w:t>化影響</w:t>
      </w:r>
      <w:r w:rsidRPr="00AB3200">
        <w:rPr>
          <w:rFonts w:hAnsi="標楷體" w:hint="eastAsia"/>
          <w:szCs w:val="32"/>
        </w:rPr>
        <w:t>，</w:t>
      </w:r>
      <w:r w:rsidR="0046167E" w:rsidRPr="00AB3200">
        <w:rPr>
          <w:rFonts w:hAnsi="標楷體" w:hint="eastAsia"/>
          <w:szCs w:val="32"/>
        </w:rPr>
        <w:t>在</w:t>
      </w:r>
      <w:r w:rsidR="0046167E" w:rsidRPr="00AB3200">
        <w:t>經營環境快速變動下，</w:t>
      </w:r>
      <w:r w:rsidRPr="00AB3200">
        <w:rPr>
          <w:rFonts w:hAnsi="標楷體" w:hint="eastAsia"/>
          <w:szCs w:val="32"/>
        </w:rPr>
        <w:t>國內接單海外生產比重增加，</w:t>
      </w:r>
      <w:r w:rsidR="0046167E" w:rsidRPr="00AB3200">
        <w:rPr>
          <w:rFonts w:hAnsi="標楷體" w:hint="eastAsia"/>
          <w:szCs w:val="32"/>
        </w:rPr>
        <w:t>甚至因</w:t>
      </w:r>
      <w:r w:rsidRPr="00AB3200">
        <w:rPr>
          <w:rFonts w:hAnsi="標楷體" w:hint="eastAsia"/>
          <w:szCs w:val="32"/>
        </w:rPr>
        <w:t>產業外移，使企業經營型態發生改變，</w:t>
      </w:r>
      <w:r w:rsidRPr="00AB3200">
        <w:rPr>
          <w:rFonts w:hAnsi="標楷體"/>
          <w:szCs w:val="32"/>
        </w:rPr>
        <w:t>進而肇致國內青年之高失業率與低薪資之狀況:</w:t>
      </w:r>
      <w:bookmarkEnd w:id="80"/>
      <w:bookmarkEnd w:id="81"/>
    </w:p>
    <w:p w:rsidR="003A213D" w:rsidRPr="00AB3200" w:rsidRDefault="003A213D" w:rsidP="003A213D">
      <w:pPr>
        <w:pStyle w:val="4"/>
        <w:ind w:left="1843" w:hanging="709"/>
        <w:rPr>
          <w:rFonts w:hAnsi="標楷體"/>
          <w:szCs w:val="32"/>
        </w:rPr>
      </w:pPr>
      <w:r w:rsidRPr="00AB3200">
        <w:rPr>
          <w:rFonts w:hAnsi="標楷體"/>
          <w:szCs w:val="32"/>
        </w:rPr>
        <w:t>我國產業型態已逐漸走向資本密集及知識密集，因此提高品質與效率的自動化機械與資通訊設</w:t>
      </w:r>
      <w:r w:rsidRPr="00AB3200">
        <w:rPr>
          <w:rFonts w:hAnsi="標楷體"/>
          <w:szCs w:val="32"/>
        </w:rPr>
        <w:lastRenderedPageBreak/>
        <w:t>備成為製造業及服務業必要的投資，也使得企業需藉由盈餘來轉投入資本。該等投入多非勞工之付出，而係資本之形成，致企業盈餘分配於勞動報酬逐漸下滑，勞工薪資未能</w:t>
      </w:r>
      <w:r w:rsidRPr="00AB3200">
        <w:rPr>
          <w:rFonts w:hAnsi="標楷體" w:hint="eastAsia"/>
          <w:szCs w:val="32"/>
        </w:rPr>
        <w:t>隨</w:t>
      </w:r>
      <w:r w:rsidRPr="00AB3200">
        <w:rPr>
          <w:rFonts w:hAnsi="標楷體"/>
          <w:szCs w:val="32"/>
        </w:rPr>
        <w:t>企業利潤增加而提升。</w:t>
      </w:r>
      <w:proofErr w:type="gramStart"/>
      <w:r w:rsidRPr="00AB3200">
        <w:rPr>
          <w:rFonts w:hAnsi="標楷體"/>
          <w:szCs w:val="32"/>
        </w:rPr>
        <w:t>再者，</w:t>
      </w:r>
      <w:proofErr w:type="gramEnd"/>
      <w:r w:rsidRPr="00AB3200">
        <w:rPr>
          <w:rFonts w:hAnsi="標楷體"/>
          <w:szCs w:val="32"/>
        </w:rPr>
        <w:t>亦因勞動生產力成長趨緩、臨時性員工、非典型就業之增加等原因亦對提高勞工薪資有負面之影響。</w:t>
      </w:r>
    </w:p>
    <w:p w:rsidR="00893E25" w:rsidRPr="00AB3200" w:rsidRDefault="003A213D" w:rsidP="003A213D">
      <w:pPr>
        <w:pStyle w:val="4"/>
        <w:ind w:left="1843" w:hanging="709"/>
        <w:rPr>
          <w:rFonts w:hAnsi="標楷體"/>
        </w:rPr>
      </w:pPr>
      <w:r w:rsidRPr="00AB3200">
        <w:rPr>
          <w:rFonts w:hAnsi="標楷體"/>
          <w:szCs w:val="32"/>
        </w:rPr>
        <w:t>國際貿易活動日趨頻繁，全球產業分工精細化及企業追求成本降低下，國內薪資受勞動報酬之要素價格均等化影響，薪資調整受到明顯限制，且企業藉由海外生產情形大幅提高，企業營業盈餘之絕對數字與相對</w:t>
      </w:r>
      <w:proofErr w:type="gramStart"/>
      <w:r w:rsidRPr="00AB3200">
        <w:rPr>
          <w:rFonts w:hAnsi="標楷體"/>
          <w:szCs w:val="32"/>
        </w:rPr>
        <w:t>比重均有成長</w:t>
      </w:r>
      <w:proofErr w:type="gramEnd"/>
      <w:r w:rsidRPr="00AB3200">
        <w:rPr>
          <w:rFonts w:hAnsi="標楷體"/>
          <w:szCs w:val="32"/>
        </w:rPr>
        <w:t>，並優於勞動報酬之成長，經濟部雖稱此係企業全球化經營成果，而非僅是單純的企業獲利未能回饋於勞動報酬，且我國主力產業，所生產製造產品多屬成熟市場之泛用產品，故產業無法創造高附加價值，亦無法展現出勞務差異化。</w:t>
      </w:r>
    </w:p>
    <w:p w:rsidR="003A213D" w:rsidRPr="00AB3200" w:rsidRDefault="0046167E" w:rsidP="00893E25">
      <w:pPr>
        <w:pStyle w:val="3"/>
        <w:ind w:left="1418" w:hanging="709"/>
      </w:pPr>
      <w:bookmarkStart w:id="82" w:name="_Toc393464384"/>
      <w:r w:rsidRPr="00AB3200">
        <w:rPr>
          <w:rFonts w:hint="eastAsia"/>
        </w:rPr>
        <w:t>查</w:t>
      </w:r>
      <w:r w:rsidR="003A213D" w:rsidRPr="00AB3200">
        <w:t>我</w:t>
      </w:r>
      <w:r w:rsidRPr="00AB3200">
        <w:rPr>
          <w:rFonts w:hint="eastAsia"/>
        </w:rPr>
        <w:t>國</w:t>
      </w:r>
      <w:r w:rsidR="003A213D" w:rsidRPr="00AB3200">
        <w:t>外銷接單與出口</w:t>
      </w:r>
      <w:proofErr w:type="gramStart"/>
      <w:r w:rsidR="003A213D" w:rsidRPr="00AB3200">
        <w:t>實績迭有成長</w:t>
      </w:r>
      <w:proofErr w:type="gramEnd"/>
      <w:r w:rsidR="003A213D" w:rsidRPr="00AB3200">
        <w:t>，惟觀察兩者差距</w:t>
      </w:r>
      <w:r w:rsidRPr="00AB3200">
        <w:rPr>
          <w:rFonts w:hint="eastAsia"/>
        </w:rPr>
        <w:t>，</w:t>
      </w:r>
      <w:r w:rsidRPr="00AB3200">
        <w:rPr>
          <w:rFonts w:hAnsi="標楷體"/>
        </w:rPr>
        <w:t>86年以前兩者差幅皆小於3%，87年亞洲金融風暴，廠商為降低衝擊，配合全球運籌策略，致差額擴大為7.0%，爾後逐年亦步亦趨之態勢已漸不存在，至90年差額為94.0億美元，96年達990.9億美元，短短7年內兩者</w:t>
      </w:r>
      <w:proofErr w:type="gramStart"/>
      <w:r w:rsidRPr="00AB3200">
        <w:rPr>
          <w:rFonts w:hAnsi="標楷體"/>
        </w:rPr>
        <w:t>差額便劇增</w:t>
      </w:r>
      <w:proofErr w:type="gramEnd"/>
      <w:r w:rsidRPr="00AB3200">
        <w:rPr>
          <w:rFonts w:hAnsi="標楷體"/>
        </w:rPr>
        <w:t>了10倍，至102年兩者差距再擴增至1,548.8億美元。</w:t>
      </w:r>
      <w:bookmarkEnd w:id="82"/>
    </w:p>
    <w:p w:rsidR="003A213D" w:rsidRPr="00AB3200" w:rsidRDefault="003A213D" w:rsidP="0046167E">
      <w:pPr>
        <w:pStyle w:val="4"/>
        <w:ind w:left="1985" w:hanging="709"/>
      </w:pPr>
      <w:r w:rsidRPr="00AB3200">
        <w:t>外銷接單與出口實績兩者之差距日見擴增，主因在於全球運籌生產模式盛行，出現「國內接單，海外生產」之三角貿易(指國內接單後，委託第三國生產或供應，貨物不經臺灣通關直接運送國外客戶)方式所致。在全球化的浪潮下，企業將生產、行銷、研發等部門各自配置於全</w:t>
      </w:r>
      <w:r w:rsidRPr="00AB3200">
        <w:lastRenderedPageBreak/>
        <w:t>球最有利市場之布局方式，已成趨勢，就生產面言，基於減低生產成本或接近需求市場等之考量，近年來台商多將生產基地移往中國大陸及東南亞等地區，因此「台灣接單，國外出貨」之三角貿易情形日盛一日，並進一步影響到我國之出進口實績表現。</w:t>
      </w:r>
    </w:p>
    <w:p w:rsidR="003A213D" w:rsidRPr="00AB3200" w:rsidRDefault="003A213D" w:rsidP="0046167E">
      <w:pPr>
        <w:pStyle w:val="4"/>
        <w:ind w:left="1985"/>
      </w:pPr>
      <w:r w:rsidRPr="00AB3200">
        <w:t>從91年起「外銷訂單海外生產比」為19.3%，爾後每年快速成長，92年為24.0%，95年達42.3%，之後並屢創新高，截至99年首度突破50%達50.4%，至101年達50.9%，102年51.5%，顯示</w:t>
      </w:r>
      <w:r w:rsidR="00EE5122" w:rsidRPr="00AB3200">
        <w:rPr>
          <w:rFonts w:hint="eastAsia"/>
        </w:rPr>
        <w:t>，</w:t>
      </w:r>
      <w:r w:rsidRPr="00AB3200">
        <w:t>99年起我外銷訂單中有近半</w:t>
      </w:r>
      <w:r w:rsidR="00EE5122" w:rsidRPr="00AB3200">
        <w:rPr>
          <w:rFonts w:hint="eastAsia"/>
        </w:rPr>
        <w:t>數</w:t>
      </w:r>
      <w:r w:rsidRPr="00AB3200">
        <w:t>係由海外生產，三角貿易收入比重仍將居高不下。</w:t>
      </w:r>
    </w:p>
    <w:p w:rsidR="003A213D" w:rsidRPr="00AB3200" w:rsidRDefault="003A213D" w:rsidP="0046167E">
      <w:pPr>
        <w:pStyle w:val="4"/>
        <w:ind w:left="1985"/>
      </w:pPr>
      <w:r w:rsidRPr="00AB3200">
        <w:t>行政院主計總處102年5月公布之「100年工商及服務業普查」資料，100年我國製造業與批發及零售業從事三角貿易之收入達11兆2,702億元，較95年增加5兆3,710億元，增加幅度91.05%，毛利為5,134億元，5年間亦增976億元，增幅達23.47%；100年製造業全體營業收入為26兆6,743億元，其中三角貿易之營業收入為9兆6,044億元，占營業收入36.01%，5年間增加11.63個百分點。顯示我國產業倚重全球化產銷模式之程度日深，三角貿易對於營收之影響程度日益加重。</w:t>
      </w:r>
    </w:p>
    <w:p w:rsidR="003A213D" w:rsidRPr="00AB3200" w:rsidRDefault="00EE5122" w:rsidP="00EE5122">
      <w:pPr>
        <w:pStyle w:val="3"/>
        <w:ind w:left="1418" w:hanging="709"/>
      </w:pPr>
      <w:bookmarkStart w:id="83" w:name="_Toc393464385"/>
      <w:r w:rsidRPr="00AB3200">
        <w:rPr>
          <w:rFonts w:hint="eastAsia"/>
        </w:rPr>
        <w:t>基於</w:t>
      </w:r>
      <w:r w:rsidR="003A213D" w:rsidRPr="00AB3200">
        <w:t>全球產業分工及企業生產成本之考量，</w:t>
      </w:r>
      <w:r w:rsidRPr="00AB3200">
        <w:rPr>
          <w:rFonts w:hint="eastAsia"/>
        </w:rPr>
        <w:t>我國</w:t>
      </w:r>
      <w:r w:rsidR="003A213D" w:rsidRPr="00AB3200">
        <w:t>三角貿易收入比重日益提高，雖對我國GDP雖產生貢獻，然企業海外投資加重，將壓縮國內投資金額，連帶導致國內工作機會減少，衍生相關就業及失業問題，經濟部雖稱此乃廠商因應經貿全球化、國際分工下之自然經濟現象，係商品貿易延伸之型態，政府目前所推動的加入區域經濟整合，</w:t>
      </w:r>
      <w:proofErr w:type="gramStart"/>
      <w:r w:rsidR="003A213D" w:rsidRPr="00AB3200">
        <w:t>如洽簽</w:t>
      </w:r>
      <w:proofErr w:type="gramEnd"/>
      <w:r w:rsidR="003A213D" w:rsidRPr="00AB3200">
        <w:t>FTA、</w:t>
      </w:r>
      <w:r w:rsidR="003A213D" w:rsidRPr="00AB3200">
        <w:lastRenderedPageBreak/>
        <w:t>洽談TPP及RCEP等，</w:t>
      </w:r>
      <w:proofErr w:type="gramStart"/>
      <w:r w:rsidR="003A213D" w:rsidRPr="00AB3200">
        <w:t>均是重要</w:t>
      </w:r>
      <w:proofErr w:type="gramEnd"/>
      <w:r w:rsidR="003A213D" w:rsidRPr="00AB3200">
        <w:t>的方向，除有助於產業結構的調整，更可排除國內廠商面對的貿易障礙(若貿易障礙較高，廠商將外移，亦不易吸引外資來台投資)，且三角貿易雖是運用國外的勞動力，但是三角貿易淨收入高，也是顯示台灣廠商的全球運籌能力良好，可以進行全球生產及存貨的調配與銷售。</w:t>
      </w:r>
      <w:proofErr w:type="gramStart"/>
      <w:r w:rsidR="003A213D" w:rsidRPr="00AB3200">
        <w:t>惟</w:t>
      </w:r>
      <w:proofErr w:type="gramEnd"/>
      <w:r w:rsidR="003A213D" w:rsidRPr="00AB3200">
        <w:t>三角貿易雖可提升GDP，強化企業全球運籌能力，但將使企業減少對國內之投資，且該等產業結構亦不利創造就業機會，顯示國內產業結構有待調整、投資環境未能吸引企業投資，且我國歐肯係數約在0.10~0.16</w:t>
      </w:r>
      <w:proofErr w:type="gramStart"/>
      <w:r w:rsidR="003A213D" w:rsidRPr="00AB3200">
        <w:t>之間，</w:t>
      </w:r>
      <w:proofErr w:type="gramEnd"/>
      <w:r w:rsidR="003A213D" w:rsidRPr="00AB3200">
        <w:t xml:space="preserve"> </w:t>
      </w:r>
      <w:hyperlink r:id="rId12" w:tooltip="GDP" w:history="1">
        <w:r w:rsidR="003A213D" w:rsidRPr="00AB3200">
          <w:t>GDP</w:t>
        </w:r>
      </w:hyperlink>
      <w:r w:rsidR="003A213D" w:rsidRPr="00AB3200">
        <w:t>成長對改善失業成效有限，為四小龍之末，經濟部所提改善投資環境方案，均有賴整體環境及國際情勢之改變始能達成，</w:t>
      </w:r>
      <w:proofErr w:type="gramStart"/>
      <w:r w:rsidR="003A213D" w:rsidRPr="00AB3200">
        <w:t>該部仍應</w:t>
      </w:r>
      <w:proofErr w:type="gramEnd"/>
      <w:r w:rsidR="003A213D" w:rsidRPr="00AB3200">
        <w:t>統整各項方案，確實</w:t>
      </w:r>
      <w:proofErr w:type="gramStart"/>
      <w:r w:rsidR="003A213D" w:rsidRPr="00AB3200">
        <w:t>策定短中</w:t>
      </w:r>
      <w:proofErr w:type="gramEnd"/>
      <w:r w:rsidR="003A213D" w:rsidRPr="00AB3200">
        <w:t>長期之計畫，以有效改善產業結構及國內投資環境，增加廠商對內投資，創造就業機會。</w:t>
      </w:r>
      <w:bookmarkEnd w:id="83"/>
    </w:p>
    <w:p w:rsidR="003A213D" w:rsidRPr="00AB3200" w:rsidRDefault="003A213D" w:rsidP="003A213D">
      <w:pPr>
        <w:pStyle w:val="3"/>
        <w:ind w:left="1360" w:hanging="680"/>
        <w:rPr>
          <w:rFonts w:hAnsi="標楷體"/>
        </w:rPr>
      </w:pPr>
      <w:bookmarkStart w:id="84" w:name="_Toc392764834"/>
      <w:bookmarkStart w:id="85" w:name="_Toc393464386"/>
      <w:r w:rsidRPr="00AB3200">
        <w:rPr>
          <w:rFonts w:hAnsi="標楷體"/>
          <w:szCs w:val="32"/>
        </w:rPr>
        <w:t>綜上，</w:t>
      </w:r>
      <w:bookmarkEnd w:id="84"/>
      <w:r w:rsidR="00EE5122" w:rsidRPr="00AB3200">
        <w:rPr>
          <w:rFonts w:hAnsi="標楷體" w:hint="eastAsia"/>
          <w:szCs w:val="32"/>
        </w:rPr>
        <w:t>企業</w:t>
      </w:r>
      <w:r w:rsidR="00EE5122" w:rsidRPr="00AB3200">
        <w:rPr>
          <w:rFonts w:hAnsi="標楷體"/>
          <w:szCs w:val="32"/>
        </w:rPr>
        <w:t>投資海外比重</w:t>
      </w:r>
      <w:r w:rsidR="00EE5122" w:rsidRPr="00AB3200">
        <w:rPr>
          <w:rFonts w:hAnsi="標楷體" w:hint="eastAsia"/>
          <w:szCs w:val="32"/>
        </w:rPr>
        <w:t>日益</w:t>
      </w:r>
      <w:r w:rsidR="00EE5122" w:rsidRPr="00AB3200">
        <w:rPr>
          <w:rFonts w:hAnsi="標楷體"/>
          <w:szCs w:val="32"/>
        </w:rPr>
        <w:t>提高，致大量生產外移，</w:t>
      </w:r>
      <w:r w:rsidR="00EE5122" w:rsidRPr="00AB3200">
        <w:rPr>
          <w:rFonts w:hAnsi="標楷體" w:hint="eastAsia"/>
          <w:szCs w:val="32"/>
        </w:rPr>
        <w:t>衝擊國內就業機會，</w:t>
      </w:r>
      <w:r w:rsidR="00EE5122" w:rsidRPr="00AB3200">
        <w:rPr>
          <w:rFonts w:hAnsi="標楷體"/>
          <w:szCs w:val="32"/>
        </w:rPr>
        <w:t>經濟部允</w:t>
      </w:r>
      <w:proofErr w:type="gramStart"/>
      <w:r w:rsidR="00EE5122" w:rsidRPr="00AB3200">
        <w:rPr>
          <w:rFonts w:hAnsi="標楷體" w:hint="eastAsia"/>
          <w:szCs w:val="32"/>
        </w:rPr>
        <w:t>宜</w:t>
      </w:r>
      <w:r w:rsidR="00EE5122" w:rsidRPr="00AB3200">
        <w:rPr>
          <w:rFonts w:hAnsi="標楷體"/>
          <w:szCs w:val="24"/>
        </w:rPr>
        <w:t>策定短</w:t>
      </w:r>
      <w:proofErr w:type="gramEnd"/>
      <w:r w:rsidR="00EE5122" w:rsidRPr="00AB3200">
        <w:rPr>
          <w:rFonts w:hAnsi="標楷體"/>
          <w:szCs w:val="24"/>
        </w:rPr>
        <w:t>、中、長期計畫，以有效改善國內投資環境，</w:t>
      </w:r>
      <w:r w:rsidR="00EE5122" w:rsidRPr="00AB3200">
        <w:rPr>
          <w:rFonts w:hAnsi="標楷體" w:hint="eastAsia"/>
          <w:szCs w:val="24"/>
        </w:rPr>
        <w:t>提升</w:t>
      </w:r>
      <w:r w:rsidR="00EE5122" w:rsidRPr="00AB3200">
        <w:rPr>
          <w:rFonts w:hAnsi="標楷體"/>
          <w:szCs w:val="24"/>
        </w:rPr>
        <w:t>廠商</w:t>
      </w:r>
      <w:r w:rsidR="00EE5122" w:rsidRPr="00AB3200">
        <w:rPr>
          <w:rFonts w:hAnsi="標楷體" w:hint="eastAsia"/>
          <w:szCs w:val="24"/>
        </w:rPr>
        <w:t>投資國內之意願，</w:t>
      </w:r>
      <w:r w:rsidR="00EE5122" w:rsidRPr="00AB3200">
        <w:rPr>
          <w:rFonts w:hAnsi="標楷體"/>
          <w:szCs w:val="24"/>
        </w:rPr>
        <w:t>創造就業機會。</w:t>
      </w:r>
      <w:bookmarkEnd w:id="85"/>
    </w:p>
    <w:p w:rsidR="003A213D" w:rsidRPr="00AB3200" w:rsidRDefault="003A213D" w:rsidP="003A213D">
      <w:pPr>
        <w:pStyle w:val="20"/>
        <w:ind w:left="1020" w:hanging="680"/>
        <w:rPr>
          <w:rFonts w:hAnsi="標楷體"/>
          <w:b/>
        </w:rPr>
      </w:pPr>
      <w:bookmarkStart w:id="86" w:name="_Toc393464387"/>
      <w:r w:rsidRPr="00AB3200">
        <w:rPr>
          <w:rFonts w:hAnsi="標楷體"/>
          <w:b/>
          <w:szCs w:val="32"/>
        </w:rPr>
        <w:t>經濟部為提升產業人才素質，推動人才扎根及培訓計畫</w:t>
      </w:r>
      <w:r w:rsidR="00EE5122" w:rsidRPr="00AB3200">
        <w:rPr>
          <w:rFonts w:hAnsi="標楷體" w:hint="eastAsia"/>
          <w:b/>
          <w:szCs w:val="32"/>
        </w:rPr>
        <w:t>，但</w:t>
      </w:r>
      <w:r w:rsidRPr="00AB3200">
        <w:rPr>
          <w:rFonts w:hAnsi="標楷體"/>
          <w:b/>
          <w:szCs w:val="32"/>
        </w:rPr>
        <w:t>成效有待提升，且該部</w:t>
      </w:r>
      <w:r w:rsidRPr="00AB3200">
        <w:rPr>
          <w:rFonts w:hAnsi="標楷體"/>
          <w:b/>
        </w:rPr>
        <w:t>建置之產業職能基準及能力鑑定機制，亦未獲廣泛運用，</w:t>
      </w:r>
      <w:proofErr w:type="gramStart"/>
      <w:r w:rsidRPr="00AB3200">
        <w:rPr>
          <w:rFonts w:hAnsi="標楷體"/>
          <w:b/>
        </w:rPr>
        <w:t>該部允</w:t>
      </w:r>
      <w:r w:rsidRPr="00AB3200">
        <w:rPr>
          <w:rFonts w:hAnsi="標楷體" w:hint="eastAsia"/>
          <w:b/>
        </w:rPr>
        <w:t>宜</w:t>
      </w:r>
      <w:proofErr w:type="gramEnd"/>
      <w:r w:rsidRPr="00AB3200">
        <w:rPr>
          <w:rFonts w:hAnsi="標楷體"/>
          <w:b/>
        </w:rPr>
        <w:t>強化人才培訓及職能鑑定機制執行效能，以有效提升青年就業能力</w:t>
      </w:r>
      <w:r w:rsidR="00EE5122" w:rsidRPr="00AB3200">
        <w:rPr>
          <w:rFonts w:hAnsi="標楷體" w:hint="eastAsia"/>
          <w:b/>
        </w:rPr>
        <w:t>及就業率</w:t>
      </w:r>
      <w:r w:rsidRPr="00AB3200">
        <w:rPr>
          <w:rFonts w:hAnsi="標楷體"/>
          <w:b/>
          <w:szCs w:val="32"/>
        </w:rPr>
        <w:t>。</w:t>
      </w:r>
      <w:bookmarkEnd w:id="86"/>
    </w:p>
    <w:p w:rsidR="003A213D" w:rsidRPr="00AB3200" w:rsidRDefault="003A213D" w:rsidP="003A213D">
      <w:pPr>
        <w:pStyle w:val="3"/>
        <w:ind w:left="1360" w:hanging="680"/>
        <w:rPr>
          <w:rFonts w:hAnsi="標楷體"/>
        </w:rPr>
      </w:pPr>
      <w:bookmarkStart w:id="87" w:name="_Toc392764836"/>
      <w:bookmarkStart w:id="88" w:name="_Toc393464388"/>
      <w:r w:rsidRPr="00AB3200">
        <w:rPr>
          <w:rFonts w:hAnsi="標楷體" w:hint="eastAsia"/>
          <w:szCs w:val="32"/>
        </w:rPr>
        <w:t>查</w:t>
      </w:r>
      <w:r w:rsidRPr="00AB3200">
        <w:rPr>
          <w:rFonts w:hAnsi="標楷體"/>
          <w:szCs w:val="32"/>
        </w:rPr>
        <w:t>經濟部為提升產業人才素質、</w:t>
      </w:r>
      <w:proofErr w:type="gramStart"/>
      <w:r w:rsidRPr="00AB3200">
        <w:rPr>
          <w:rFonts w:hAnsi="標楷體"/>
          <w:szCs w:val="32"/>
        </w:rPr>
        <w:t>弭平學</w:t>
      </w:r>
      <w:proofErr w:type="gramEnd"/>
      <w:r w:rsidRPr="00AB3200">
        <w:rPr>
          <w:rFonts w:hAnsi="標楷體"/>
          <w:szCs w:val="32"/>
        </w:rPr>
        <w:t>用落差及營造優質創業環境，推動產業人才扎根</w:t>
      </w:r>
      <w:r w:rsidRPr="00AB3200">
        <w:rPr>
          <w:rFonts w:hAnsi="標楷體" w:hint="eastAsia"/>
          <w:szCs w:val="32"/>
        </w:rPr>
        <w:t>、培訓計畫，</w:t>
      </w:r>
      <w:r w:rsidRPr="00AB3200">
        <w:rPr>
          <w:rFonts w:hAnsi="標楷體"/>
          <w:szCs w:val="32"/>
        </w:rPr>
        <w:t>措施</w:t>
      </w:r>
      <w:r w:rsidRPr="00AB3200">
        <w:rPr>
          <w:rFonts w:hAnsi="標楷體" w:hint="eastAsia"/>
          <w:szCs w:val="32"/>
        </w:rPr>
        <w:t>略</w:t>
      </w:r>
      <w:proofErr w:type="gramStart"/>
      <w:r w:rsidRPr="00AB3200">
        <w:rPr>
          <w:rFonts w:hAnsi="標楷體" w:hint="eastAsia"/>
          <w:szCs w:val="32"/>
        </w:rPr>
        <w:t>以</w:t>
      </w:r>
      <w:proofErr w:type="gramEnd"/>
      <w:r w:rsidRPr="00AB3200">
        <w:rPr>
          <w:rFonts w:hAnsi="標楷體"/>
          <w:szCs w:val="32"/>
        </w:rPr>
        <w:t>：</w:t>
      </w:r>
      <w:bookmarkEnd w:id="87"/>
      <w:bookmarkEnd w:id="88"/>
    </w:p>
    <w:p w:rsidR="003A213D" w:rsidRPr="00AB3200" w:rsidRDefault="003A213D" w:rsidP="004B009D">
      <w:pPr>
        <w:pStyle w:val="4"/>
        <w:ind w:hanging="1265"/>
        <w:rPr>
          <w:rFonts w:hAnsi="標楷體"/>
        </w:rPr>
      </w:pPr>
      <w:r w:rsidRPr="00AB3200">
        <w:rPr>
          <w:rFonts w:hAnsi="標楷體"/>
          <w:szCs w:val="32"/>
        </w:rPr>
        <w:t>推動產業人才扎根計畫：</w:t>
      </w:r>
    </w:p>
    <w:p w:rsidR="003A213D" w:rsidRPr="00AB3200" w:rsidRDefault="003A213D" w:rsidP="00372F31">
      <w:pPr>
        <w:pStyle w:val="5"/>
        <w:ind w:left="2127" w:hanging="709"/>
        <w:rPr>
          <w:rFonts w:hAnsi="標楷體"/>
        </w:rPr>
      </w:pPr>
      <w:r w:rsidRPr="00AB3200">
        <w:rPr>
          <w:rFonts w:hAnsi="標楷體"/>
        </w:rPr>
        <w:t>針對精密機械、模具、表面處理及紡織等4大</w:t>
      </w:r>
      <w:r w:rsidRPr="00AB3200">
        <w:rPr>
          <w:rFonts w:hAnsi="標楷體"/>
        </w:rPr>
        <w:lastRenderedPageBreak/>
        <w:t>領域基礎產業，推動產業人才扎根計畫，透過產學合作模式，加強運用學校資源與產業設備環境，開設符合業界需求之專業課程及實務習作，並配合業界師資入校指導及學生赴廠實習，強化學生專業知能與就業技能，並引導其進入基礎產業。</w:t>
      </w:r>
    </w:p>
    <w:p w:rsidR="003A213D" w:rsidRPr="00AB3200" w:rsidRDefault="003A213D" w:rsidP="00372F31">
      <w:pPr>
        <w:pStyle w:val="5"/>
        <w:ind w:left="2127" w:hanging="709"/>
        <w:rPr>
          <w:rFonts w:hAnsi="標楷體"/>
        </w:rPr>
      </w:pPr>
      <w:r w:rsidRPr="00AB3200">
        <w:rPr>
          <w:rFonts w:hAnsi="標楷體"/>
          <w:szCs w:val="32"/>
        </w:rPr>
        <w:t>100學年度(100年8月至101年7月)促成產學合作案56案，修課人數達2,006人，參與計畫學生就業率67.3%，高於一般大學生畢業後1年之平均就業率63%。又經訪談畢業生所任職之41家企業主管，認為參與本計畫之畢業生進入職場後，在專業知識的表現優於其他新進員工占56%、表現一樣者占42%、較低者占2%，對改善基礎產業實務專業技術人才缺工問題，及協助學生縮短學用落差有相當成效，101學年度(101年8月至102年7月)促成產學合作案</w:t>
      </w:r>
      <w:r w:rsidRPr="00AB3200">
        <w:rPr>
          <w:rFonts w:hAnsi="標楷體" w:hint="eastAsia"/>
          <w:szCs w:val="32"/>
        </w:rPr>
        <w:t>60</w:t>
      </w:r>
      <w:r w:rsidRPr="00AB3200">
        <w:rPr>
          <w:rFonts w:hAnsi="標楷體"/>
          <w:szCs w:val="32"/>
        </w:rPr>
        <w:t>案，</w:t>
      </w:r>
      <w:r w:rsidRPr="00AB3200">
        <w:rPr>
          <w:rFonts w:hAnsi="標楷體" w:hint="eastAsia"/>
          <w:szCs w:val="32"/>
        </w:rPr>
        <w:t>並於102年7月完成基礎產業專業人才培育計1,942人，並於103年4月進行就業流向及合作廠商滿意度調查，刻正辦理中</w:t>
      </w:r>
      <w:r w:rsidRPr="00AB3200">
        <w:rPr>
          <w:rFonts w:hAnsi="標楷體"/>
          <w:szCs w:val="32"/>
        </w:rPr>
        <w:t>。</w:t>
      </w:r>
    </w:p>
    <w:p w:rsidR="003A213D" w:rsidRPr="00AB3200" w:rsidRDefault="003A213D" w:rsidP="004B009D">
      <w:pPr>
        <w:pStyle w:val="4"/>
        <w:ind w:hanging="1265"/>
        <w:rPr>
          <w:rFonts w:hAnsi="標楷體"/>
        </w:rPr>
      </w:pPr>
      <w:r w:rsidRPr="00AB3200">
        <w:rPr>
          <w:rFonts w:hAnsi="標楷體"/>
          <w:szCs w:val="32"/>
        </w:rPr>
        <w:t>推動產業人才培訓計畫：</w:t>
      </w:r>
    </w:p>
    <w:p w:rsidR="003A213D" w:rsidRPr="00AB3200" w:rsidRDefault="003A213D" w:rsidP="00372F31">
      <w:pPr>
        <w:pStyle w:val="5"/>
        <w:ind w:left="2127" w:hanging="709"/>
        <w:rPr>
          <w:rFonts w:hAnsi="標楷體"/>
        </w:rPr>
      </w:pPr>
      <w:r w:rsidRPr="00AB3200">
        <w:rPr>
          <w:rFonts w:hAnsi="標楷體"/>
        </w:rPr>
        <w:t>依據產業結構優化需求，推動智慧電子、數位內容、資訊應用服務、機械、紡織、製藥、</w:t>
      </w:r>
      <w:proofErr w:type="gramStart"/>
      <w:r w:rsidRPr="00AB3200">
        <w:rPr>
          <w:rFonts w:hAnsi="標楷體"/>
        </w:rPr>
        <w:t>醫</w:t>
      </w:r>
      <w:proofErr w:type="gramEnd"/>
      <w:r w:rsidRPr="00AB3200">
        <w:rPr>
          <w:rFonts w:hAnsi="標楷體"/>
        </w:rPr>
        <w:t>材等產業人才培訓計畫，辦理專業技術、知識等短期訓練，以及中長期能力養成訓練。</w:t>
      </w:r>
    </w:p>
    <w:p w:rsidR="003A213D" w:rsidRPr="00AB3200" w:rsidRDefault="003A213D" w:rsidP="00372F31">
      <w:pPr>
        <w:pStyle w:val="5"/>
        <w:ind w:left="2127" w:hanging="709"/>
        <w:rPr>
          <w:rFonts w:hAnsi="標楷體"/>
        </w:rPr>
      </w:pPr>
      <w:r w:rsidRPr="00AB3200">
        <w:rPr>
          <w:rFonts w:hAnsi="標楷體"/>
        </w:rPr>
        <w:t>產業人才培訓計畫辦理類型分為在職班及養成班，</w:t>
      </w:r>
      <w:proofErr w:type="gramStart"/>
      <w:r w:rsidRPr="00AB3200">
        <w:rPr>
          <w:rFonts w:hAnsi="標楷體"/>
        </w:rPr>
        <w:t>在職班係配合</w:t>
      </w:r>
      <w:proofErr w:type="gramEnd"/>
      <w:r w:rsidRPr="00AB3200">
        <w:rPr>
          <w:rFonts w:hAnsi="標楷體"/>
        </w:rPr>
        <w:t>產業發展趨勢及企業需求，提供在職人員專業技術、知識等短期人才培訓；養成班則為彌補產業專業人才缺口，提供待業(轉業)者中長期專業人才能力養成訓練，</w:t>
      </w:r>
      <w:r w:rsidRPr="00AB3200">
        <w:rPr>
          <w:rFonts w:hAnsi="標楷體"/>
        </w:rPr>
        <w:lastRenderedPageBreak/>
        <w:t>以協助就業為培訓目的，分為兩類作法，其一為</w:t>
      </w:r>
      <w:proofErr w:type="gramStart"/>
      <w:r w:rsidRPr="00AB3200">
        <w:rPr>
          <w:rFonts w:hAnsi="標楷體"/>
        </w:rPr>
        <w:t>先訓後聘</w:t>
      </w:r>
      <w:proofErr w:type="gramEnd"/>
      <w:r w:rsidRPr="00AB3200">
        <w:rPr>
          <w:rFonts w:hAnsi="標楷體"/>
        </w:rPr>
        <w:t>(學員原為待業，透過本計畫培訓後，</w:t>
      </w:r>
      <w:proofErr w:type="gramStart"/>
      <w:r w:rsidRPr="00AB3200">
        <w:rPr>
          <w:rFonts w:hAnsi="標楷體"/>
        </w:rPr>
        <w:t>媒合至相關</w:t>
      </w:r>
      <w:proofErr w:type="gramEnd"/>
      <w:r w:rsidRPr="00AB3200">
        <w:rPr>
          <w:rFonts w:hAnsi="標楷體"/>
        </w:rPr>
        <w:t>企業就業)，其二為先</w:t>
      </w:r>
      <w:proofErr w:type="gramStart"/>
      <w:r w:rsidRPr="00AB3200">
        <w:rPr>
          <w:rFonts w:hAnsi="標楷體"/>
        </w:rPr>
        <w:t>聘後訓</w:t>
      </w:r>
      <w:proofErr w:type="gramEnd"/>
      <w:r w:rsidRPr="00AB3200">
        <w:rPr>
          <w:rFonts w:hAnsi="標楷體"/>
        </w:rPr>
        <w:t>(學員為該企業服務未滿3個月之新進員工，由本計畫培訓後，留任至原企業工作)</w:t>
      </w:r>
      <w:r w:rsidRPr="00AB3200">
        <w:rPr>
          <w:rFonts w:hAnsi="標楷體" w:hint="eastAsia"/>
        </w:rPr>
        <w:t>。</w:t>
      </w:r>
    </w:p>
    <w:p w:rsidR="003A213D" w:rsidRPr="00AB3200" w:rsidRDefault="003A213D" w:rsidP="00372F31">
      <w:pPr>
        <w:pStyle w:val="5"/>
        <w:ind w:left="2127" w:hanging="709"/>
        <w:rPr>
          <w:rFonts w:hAnsi="標楷體"/>
        </w:rPr>
      </w:pPr>
      <w:r w:rsidRPr="00AB3200">
        <w:rPr>
          <w:rFonts w:hAnsi="標楷體" w:hint="eastAsia"/>
          <w:szCs w:val="24"/>
        </w:rPr>
        <w:t>近</w:t>
      </w:r>
      <w:r w:rsidRPr="00AB3200">
        <w:rPr>
          <w:rFonts w:hAnsi="標楷體"/>
          <w:szCs w:val="24"/>
        </w:rPr>
        <w:t>3年(</w:t>
      </w:r>
      <w:r w:rsidRPr="00AB3200">
        <w:rPr>
          <w:rFonts w:hAnsi="標楷體"/>
        </w:rPr>
        <w:t>100</w:t>
      </w:r>
      <w:r w:rsidRPr="00AB3200">
        <w:rPr>
          <w:rFonts w:hAnsi="標楷體"/>
          <w:szCs w:val="24"/>
        </w:rPr>
        <w:t>至102年)累計培訓43,429人次，其中養成班(</w:t>
      </w:r>
      <w:proofErr w:type="gramStart"/>
      <w:r w:rsidRPr="00AB3200">
        <w:rPr>
          <w:rFonts w:hAnsi="標楷體"/>
          <w:szCs w:val="24"/>
        </w:rPr>
        <w:t>先訓後聘</w:t>
      </w:r>
      <w:proofErr w:type="gramEnd"/>
      <w:r w:rsidRPr="00AB3200">
        <w:rPr>
          <w:rFonts w:hAnsi="標楷體"/>
          <w:szCs w:val="24"/>
        </w:rPr>
        <w:t>)累計養成1,152人，截至102年12月底就業率為76.2%(878人)。</w:t>
      </w:r>
    </w:p>
    <w:p w:rsidR="003A213D" w:rsidRPr="00AB3200" w:rsidRDefault="003A213D" w:rsidP="003A213D">
      <w:pPr>
        <w:pStyle w:val="3"/>
        <w:ind w:left="1360" w:hanging="680"/>
        <w:rPr>
          <w:rFonts w:hAnsi="標楷體"/>
        </w:rPr>
      </w:pPr>
      <w:bookmarkStart w:id="89" w:name="_Toc392764837"/>
      <w:bookmarkStart w:id="90" w:name="_Toc393464389"/>
      <w:proofErr w:type="gramStart"/>
      <w:r w:rsidRPr="00AB3200">
        <w:rPr>
          <w:rFonts w:hAnsi="標楷體"/>
          <w:szCs w:val="32"/>
        </w:rPr>
        <w:t>惟查</w:t>
      </w:r>
      <w:proofErr w:type="gramEnd"/>
      <w:r w:rsidRPr="00AB3200">
        <w:rPr>
          <w:rFonts w:hAnsi="標楷體" w:hint="eastAsia"/>
          <w:szCs w:val="32"/>
        </w:rPr>
        <w:t>，經濟部</w:t>
      </w:r>
      <w:r w:rsidRPr="00AB3200">
        <w:rPr>
          <w:rFonts w:hAnsi="標楷體"/>
          <w:szCs w:val="32"/>
        </w:rPr>
        <w:t>推動</w:t>
      </w:r>
      <w:r w:rsidRPr="00AB3200">
        <w:rPr>
          <w:rFonts w:hAnsi="標楷體" w:hint="eastAsia"/>
          <w:szCs w:val="32"/>
        </w:rPr>
        <w:t>之</w:t>
      </w:r>
      <w:r w:rsidRPr="00AB3200">
        <w:rPr>
          <w:rFonts w:hAnsi="標楷體"/>
          <w:szCs w:val="32"/>
        </w:rPr>
        <w:t>產業人才扎根</w:t>
      </w:r>
      <w:r w:rsidRPr="00AB3200">
        <w:rPr>
          <w:rFonts w:hAnsi="標楷體" w:hint="eastAsia"/>
          <w:szCs w:val="32"/>
        </w:rPr>
        <w:t>、培訓計畫</w:t>
      </w:r>
      <w:r w:rsidRPr="00AB3200">
        <w:rPr>
          <w:rFonts w:hAnsi="標楷體"/>
          <w:szCs w:val="32"/>
        </w:rPr>
        <w:t>未能達到提升產業人才素質、</w:t>
      </w:r>
      <w:proofErr w:type="gramStart"/>
      <w:r w:rsidRPr="00AB3200">
        <w:rPr>
          <w:rFonts w:hAnsi="標楷體"/>
          <w:szCs w:val="32"/>
        </w:rPr>
        <w:t>弭平學</w:t>
      </w:r>
      <w:proofErr w:type="gramEnd"/>
      <w:r w:rsidRPr="00AB3200">
        <w:rPr>
          <w:rFonts w:hAnsi="標楷體"/>
          <w:szCs w:val="32"/>
        </w:rPr>
        <w:t>用落差之目標</w:t>
      </w:r>
      <w:r w:rsidRPr="00AB3200">
        <w:rPr>
          <w:rFonts w:hAnsi="標楷體" w:hint="eastAsia"/>
          <w:szCs w:val="32"/>
        </w:rPr>
        <w:t>，缺失如下：</w:t>
      </w:r>
      <w:bookmarkEnd w:id="89"/>
      <w:bookmarkEnd w:id="90"/>
    </w:p>
    <w:p w:rsidR="003A213D" w:rsidRPr="00AB3200" w:rsidRDefault="003A213D" w:rsidP="003A213D">
      <w:pPr>
        <w:pStyle w:val="4"/>
        <w:numPr>
          <w:ilvl w:val="3"/>
          <w:numId w:val="28"/>
        </w:numPr>
        <w:ind w:left="1843" w:hanging="709"/>
        <w:rPr>
          <w:rFonts w:hAnsi="標楷體"/>
        </w:rPr>
      </w:pPr>
      <w:r w:rsidRPr="00AB3200">
        <w:rPr>
          <w:rFonts w:hAnsi="標楷體"/>
        </w:rPr>
        <w:t>依據經濟部「產業人才扎根網」資料，產業人才扎根計畫係針對有缺工需求企業及大學校院有就業意願之大四學生共同參與，透過產學合作模式，評估學生現有能力與就業能力之差距，就課程整體教學目標、設備、師資及內容，開設符合業界需求之專業課程及實務習作，以達成縮短學用落差及填補人力缺口之目的，導引學生順利進入職場就業。惟100學年度參與計畫之學生畢業後就業率67.3%(101學年度尚在統計中)，僅較一般大學生平均就業率63%，高出4.3</w:t>
      </w:r>
      <w:r w:rsidRPr="00AB3200">
        <w:rPr>
          <w:rFonts w:hAnsi="標楷體" w:hint="eastAsia"/>
        </w:rPr>
        <w:t>個百分點</w:t>
      </w:r>
      <w:r w:rsidRPr="00AB3200">
        <w:rPr>
          <w:rFonts w:hAnsi="標楷體"/>
        </w:rPr>
        <w:t>，且部分學生畢業後選擇繼續升學，未進入就業市場，核與欲藉由強化有就業意願之大四學生專業知能與就業技能，達成填補產業人力缺口之目的不符，減損計畫執行效益。另經濟部訪談參與計畫學生所任職之41家企業主管，參與計畫學生進入職場後，在專業知識表現與其他新進員工一樣或較差者，仍高達44%，顯</w:t>
      </w:r>
      <w:r w:rsidR="00EE5122" w:rsidRPr="00AB3200">
        <w:rPr>
          <w:rFonts w:hAnsi="標楷體" w:hint="eastAsia"/>
        </w:rPr>
        <w:t>見</w:t>
      </w:r>
      <w:r w:rsidRPr="00AB3200">
        <w:rPr>
          <w:rFonts w:hAnsi="標楷體"/>
        </w:rPr>
        <w:t>藉由計畫提升職場應具備專業知能</w:t>
      </w:r>
      <w:r w:rsidR="00EE5122" w:rsidRPr="00AB3200">
        <w:rPr>
          <w:rFonts w:hAnsi="標楷體" w:hint="eastAsia"/>
        </w:rPr>
        <w:t>之成效有限。</w:t>
      </w:r>
    </w:p>
    <w:p w:rsidR="003A213D" w:rsidRPr="00AB3200" w:rsidRDefault="003A213D" w:rsidP="003A213D">
      <w:pPr>
        <w:pStyle w:val="4"/>
        <w:ind w:left="1843" w:hanging="709"/>
        <w:rPr>
          <w:rFonts w:hAnsi="標楷體"/>
        </w:rPr>
      </w:pPr>
      <w:r w:rsidRPr="00AB3200">
        <w:rPr>
          <w:rFonts w:hAnsi="標楷體"/>
        </w:rPr>
        <w:t>經濟部辦理產業人才培訓計畫，在養成班部分，</w:t>
      </w:r>
      <w:r w:rsidRPr="00AB3200">
        <w:rPr>
          <w:rFonts w:hAnsi="標楷體"/>
        </w:rPr>
        <w:lastRenderedPageBreak/>
        <w:t>係為彌補產業專業人才缺口，提供待業(轉業)者中長期專業人才能力養成訓練，以協助就業為培訓目的，</w:t>
      </w:r>
      <w:proofErr w:type="gramStart"/>
      <w:r w:rsidRPr="00AB3200">
        <w:rPr>
          <w:rFonts w:hAnsi="標楷體" w:hint="eastAsia"/>
        </w:rPr>
        <w:t>惟</w:t>
      </w:r>
      <w:r w:rsidRPr="00AB3200">
        <w:rPr>
          <w:rFonts w:hAnsi="標楷體"/>
        </w:rPr>
        <w:t>先訓後聘</w:t>
      </w:r>
      <w:proofErr w:type="gramEnd"/>
      <w:r w:rsidRPr="00AB3200">
        <w:rPr>
          <w:rFonts w:hAnsi="標楷體"/>
        </w:rPr>
        <w:t>部分</w:t>
      </w:r>
      <w:r w:rsidRPr="00AB3200">
        <w:rPr>
          <w:rFonts w:hAnsi="標楷體" w:hint="eastAsia"/>
        </w:rPr>
        <w:t>(</w:t>
      </w:r>
      <w:proofErr w:type="gramStart"/>
      <w:r w:rsidRPr="00AB3200">
        <w:rPr>
          <w:rFonts w:hAnsi="標楷體"/>
        </w:rPr>
        <w:t>學員均為待業</w:t>
      </w:r>
      <w:proofErr w:type="gramEnd"/>
      <w:r w:rsidRPr="00AB3200">
        <w:rPr>
          <w:rFonts w:hAnsi="標楷體"/>
        </w:rPr>
        <w:t>人士</w:t>
      </w:r>
      <w:r w:rsidRPr="00AB3200">
        <w:rPr>
          <w:rFonts w:hAnsi="標楷體" w:hint="eastAsia"/>
        </w:rPr>
        <w:t>)</w:t>
      </w:r>
      <w:r w:rsidRPr="00AB3200">
        <w:rPr>
          <w:rFonts w:hAnsi="標楷體"/>
        </w:rPr>
        <w:t>，雖透過人才培訓計畫，強化專業能力之養成，惟近3年(100至102年度)累計培訓1,152人，截至102年12月底就業率為76.22%(878人)，近</w:t>
      </w:r>
      <w:proofErr w:type="gramStart"/>
      <w:r w:rsidRPr="00AB3200">
        <w:rPr>
          <w:rFonts w:hAnsi="標楷體"/>
        </w:rPr>
        <w:t>2成</w:t>
      </w:r>
      <w:proofErr w:type="gramEnd"/>
      <w:r w:rsidR="0007010A" w:rsidRPr="00AB3200">
        <w:rPr>
          <w:rFonts w:hAnsi="標楷體" w:hint="eastAsia"/>
        </w:rPr>
        <w:t>4</w:t>
      </w:r>
      <w:r w:rsidRPr="00AB3200">
        <w:rPr>
          <w:rFonts w:hAnsi="標楷體"/>
        </w:rPr>
        <w:t>學員未能</w:t>
      </w:r>
      <w:proofErr w:type="gramStart"/>
      <w:r w:rsidRPr="00AB3200">
        <w:rPr>
          <w:rFonts w:hAnsi="標楷體"/>
        </w:rPr>
        <w:t>媒合至企業</w:t>
      </w:r>
      <w:proofErr w:type="gramEnd"/>
      <w:r w:rsidRPr="00AB3200">
        <w:rPr>
          <w:rFonts w:hAnsi="標楷體"/>
        </w:rPr>
        <w:t>就業</w:t>
      </w:r>
      <w:r w:rsidR="00EE5122" w:rsidRPr="00AB3200">
        <w:rPr>
          <w:rFonts w:hAnsi="標楷體" w:hint="eastAsia"/>
        </w:rPr>
        <w:t>。本</w:t>
      </w:r>
      <w:r w:rsidRPr="00AB3200">
        <w:rPr>
          <w:rFonts w:hAnsi="標楷體"/>
        </w:rPr>
        <w:t>計畫協助就業之目的</w:t>
      </w:r>
      <w:r w:rsidR="00EE5122" w:rsidRPr="00AB3200">
        <w:rPr>
          <w:rFonts w:hAnsi="標楷體" w:hint="eastAsia"/>
        </w:rPr>
        <w:t>及</w:t>
      </w:r>
      <w:proofErr w:type="gramStart"/>
      <w:r w:rsidRPr="00AB3200">
        <w:rPr>
          <w:rFonts w:hAnsi="標楷體"/>
        </w:rPr>
        <w:t>弭</w:t>
      </w:r>
      <w:proofErr w:type="gramEnd"/>
      <w:r w:rsidRPr="00AB3200">
        <w:rPr>
          <w:rFonts w:hAnsi="標楷體"/>
        </w:rPr>
        <w:t>平</w:t>
      </w:r>
      <w:r w:rsidR="00EE5122" w:rsidRPr="00AB3200">
        <w:rPr>
          <w:rFonts w:hAnsi="標楷體" w:hint="eastAsia"/>
        </w:rPr>
        <w:t>成效有限，效能仍有待提升</w:t>
      </w:r>
      <w:r w:rsidRPr="00AB3200">
        <w:rPr>
          <w:rFonts w:hAnsi="標楷體"/>
        </w:rPr>
        <w:t>。</w:t>
      </w:r>
    </w:p>
    <w:p w:rsidR="003A213D" w:rsidRPr="00AB3200" w:rsidRDefault="003A213D" w:rsidP="003A213D">
      <w:pPr>
        <w:pStyle w:val="3"/>
        <w:numPr>
          <w:ilvl w:val="0"/>
          <w:numId w:val="0"/>
        </w:numPr>
        <w:ind w:left="1360" w:firstLineChars="183" w:firstLine="622"/>
        <w:rPr>
          <w:rFonts w:hAnsi="標楷體"/>
        </w:rPr>
      </w:pPr>
      <w:bookmarkStart w:id="91" w:name="_Toc392764838"/>
      <w:bookmarkStart w:id="92" w:name="_Toc393464390"/>
      <w:r w:rsidRPr="00AB3200">
        <w:rPr>
          <w:rFonts w:hAnsi="標楷體"/>
          <w:szCs w:val="32"/>
        </w:rPr>
        <w:t>由上顯示，經濟部為提升產業人才素質、</w:t>
      </w:r>
      <w:proofErr w:type="gramStart"/>
      <w:r w:rsidRPr="00AB3200">
        <w:rPr>
          <w:rFonts w:hAnsi="標楷體"/>
          <w:szCs w:val="32"/>
        </w:rPr>
        <w:t>弭平學</w:t>
      </w:r>
      <w:proofErr w:type="gramEnd"/>
      <w:r w:rsidRPr="00AB3200">
        <w:rPr>
          <w:rFonts w:hAnsi="標楷體"/>
          <w:szCs w:val="32"/>
        </w:rPr>
        <w:t>用落差及營造優質創業環境，雖推動產業人才扎根計畫及產業人才培訓計畫，惟執行結果，參與計畫之學生畢業後就業率與一般大學生平均就業率差異不大；間有</w:t>
      </w:r>
      <w:proofErr w:type="gramStart"/>
      <w:r w:rsidRPr="00AB3200">
        <w:rPr>
          <w:rFonts w:hAnsi="標楷體"/>
          <w:szCs w:val="32"/>
        </w:rPr>
        <w:t>4成</w:t>
      </w:r>
      <w:proofErr w:type="gramEnd"/>
      <w:r w:rsidRPr="00AB3200">
        <w:rPr>
          <w:rFonts w:hAnsi="標楷體"/>
          <w:szCs w:val="32"/>
        </w:rPr>
        <w:t>以上學生在專業知識表現與其他新進員工一樣或較差，或</w:t>
      </w:r>
      <w:proofErr w:type="gramStart"/>
      <w:r w:rsidR="0007010A" w:rsidRPr="00AB3200">
        <w:rPr>
          <w:rFonts w:hAnsi="標楷體" w:hint="eastAsia"/>
          <w:szCs w:val="32"/>
        </w:rPr>
        <w:t>2</w:t>
      </w:r>
      <w:r w:rsidRPr="00AB3200">
        <w:rPr>
          <w:rFonts w:hAnsi="標楷體"/>
          <w:szCs w:val="32"/>
        </w:rPr>
        <w:t>成</w:t>
      </w:r>
      <w:proofErr w:type="gramEnd"/>
      <w:r w:rsidR="0007010A" w:rsidRPr="00AB3200">
        <w:rPr>
          <w:rFonts w:hAnsi="標楷體" w:hint="eastAsia"/>
          <w:szCs w:val="32"/>
        </w:rPr>
        <w:t>4</w:t>
      </w:r>
      <w:r w:rsidRPr="00AB3200">
        <w:rPr>
          <w:rFonts w:hAnsi="標楷體"/>
          <w:szCs w:val="32"/>
        </w:rPr>
        <w:t>待業人士經培訓後，未能</w:t>
      </w:r>
      <w:proofErr w:type="gramStart"/>
      <w:r w:rsidRPr="00AB3200">
        <w:rPr>
          <w:rFonts w:hAnsi="標楷體"/>
          <w:szCs w:val="32"/>
        </w:rPr>
        <w:t>媒合至企業</w:t>
      </w:r>
      <w:proofErr w:type="gramEnd"/>
      <w:r w:rsidRPr="00AB3200">
        <w:rPr>
          <w:rFonts w:hAnsi="標楷體"/>
          <w:szCs w:val="32"/>
        </w:rPr>
        <w:t>就業，未能達到提升產業人才素質、</w:t>
      </w:r>
      <w:proofErr w:type="gramStart"/>
      <w:r w:rsidRPr="00AB3200">
        <w:rPr>
          <w:rFonts w:hAnsi="標楷體"/>
          <w:szCs w:val="32"/>
        </w:rPr>
        <w:t>弭平學</w:t>
      </w:r>
      <w:proofErr w:type="gramEnd"/>
      <w:r w:rsidRPr="00AB3200">
        <w:rPr>
          <w:rFonts w:hAnsi="標楷體"/>
          <w:szCs w:val="32"/>
        </w:rPr>
        <w:t>用落差之目標。</w:t>
      </w:r>
      <w:bookmarkEnd w:id="91"/>
      <w:bookmarkEnd w:id="92"/>
    </w:p>
    <w:p w:rsidR="003A213D" w:rsidRPr="00AB3200" w:rsidRDefault="003A213D" w:rsidP="003A213D">
      <w:pPr>
        <w:pStyle w:val="3"/>
        <w:ind w:left="1418" w:hanging="709"/>
        <w:rPr>
          <w:rFonts w:hAnsi="標楷體"/>
          <w:b/>
        </w:rPr>
      </w:pPr>
      <w:bookmarkStart w:id="93" w:name="_Toc392764839"/>
      <w:bookmarkStart w:id="94" w:name="_Toc393464391"/>
      <w:r w:rsidRPr="00AB3200">
        <w:rPr>
          <w:rFonts w:hAnsi="標楷體"/>
        </w:rPr>
        <w:t>再查經濟部為提升產業人才素質，解決產業人才職能缺口與學用落差問題，建置之產業職能基準及能力鑑定機制:</w:t>
      </w:r>
      <w:bookmarkEnd w:id="93"/>
      <w:bookmarkEnd w:id="94"/>
    </w:p>
    <w:p w:rsidR="003A213D" w:rsidRPr="00AB3200" w:rsidRDefault="003A213D" w:rsidP="003A213D">
      <w:pPr>
        <w:pStyle w:val="4"/>
        <w:ind w:left="1843" w:hanging="709"/>
        <w:rPr>
          <w:rFonts w:hAnsi="標楷體"/>
          <w:b/>
        </w:rPr>
      </w:pPr>
      <w:r w:rsidRPr="00AB3200">
        <w:rPr>
          <w:rFonts w:hAnsi="標楷體"/>
        </w:rPr>
        <w:t>依據95年台灣經濟永續發展會議，推動「配合產業發展，建立職能認證機制」，以提升產業競爭力之具體結論，針對亟需人才之多項重點產業，邀集產官學專家，發展產業職能基準，提供各界依其內涵辦理培訓課程及規劃能力鑑定機制。</w:t>
      </w:r>
    </w:p>
    <w:p w:rsidR="003A213D" w:rsidRPr="00AB3200" w:rsidRDefault="003A213D" w:rsidP="003A213D">
      <w:pPr>
        <w:pStyle w:val="4"/>
        <w:ind w:left="1843" w:hanging="709"/>
        <w:rPr>
          <w:rFonts w:hAnsi="標楷體"/>
          <w:b/>
        </w:rPr>
      </w:pPr>
      <w:r w:rsidRPr="00AB3200">
        <w:rPr>
          <w:rFonts w:hAnsi="標楷體"/>
        </w:rPr>
        <w:t>104年經濟發展願景第一階段三年衝刺計畫(96至98年)產業人力套案，將產業專業人才培訓計畫有關開發專業認證課程等推動工作，</w:t>
      </w:r>
      <w:proofErr w:type="gramStart"/>
      <w:r w:rsidRPr="00AB3200">
        <w:rPr>
          <w:rFonts w:hAnsi="標楷體"/>
        </w:rPr>
        <w:t>納入子項計畫</w:t>
      </w:r>
      <w:proofErr w:type="gramEnd"/>
      <w:r w:rsidRPr="00AB3200">
        <w:rPr>
          <w:rFonts w:hAnsi="標楷體"/>
        </w:rPr>
        <w:t>二「發展重點產業職能培訓」中，由經濟部負責推動；首項示範案例係針對政策上積極輔導升級轉型之機械產業，於95年度發展機械設計</w:t>
      </w:r>
      <w:r w:rsidRPr="00AB3200">
        <w:rPr>
          <w:rFonts w:hAnsi="標楷體"/>
        </w:rPr>
        <w:lastRenderedPageBreak/>
        <w:t>工程師及電控系統工程師2項關鍵職業職能基準，並於96年度起推動職能相關應用及能力鑑定之規劃</w:t>
      </w:r>
      <w:r w:rsidRPr="00AB3200">
        <w:rPr>
          <w:rStyle w:val="af7"/>
          <w:rFonts w:hAnsi="標楷體"/>
        </w:rPr>
        <w:footnoteReference w:id="6"/>
      </w:r>
      <w:r w:rsidRPr="00AB3200">
        <w:rPr>
          <w:rFonts w:hAnsi="標楷體"/>
        </w:rPr>
        <w:t>。</w:t>
      </w:r>
    </w:p>
    <w:p w:rsidR="003A213D" w:rsidRPr="00AB3200" w:rsidRDefault="003A213D" w:rsidP="003A213D">
      <w:pPr>
        <w:pStyle w:val="4"/>
        <w:ind w:left="1843" w:hanging="709"/>
        <w:rPr>
          <w:rFonts w:hAnsi="標楷體"/>
          <w:b/>
        </w:rPr>
      </w:pPr>
      <w:r w:rsidRPr="00AB3200">
        <w:rPr>
          <w:rFonts w:hAnsi="標楷體"/>
        </w:rPr>
        <w:t>99年5月12日公布施行產業創新條例第18條規定，略</w:t>
      </w:r>
      <w:proofErr w:type="gramStart"/>
      <w:r w:rsidRPr="00AB3200">
        <w:rPr>
          <w:rFonts w:hAnsi="標楷體"/>
        </w:rPr>
        <w:t>以</w:t>
      </w:r>
      <w:proofErr w:type="gramEnd"/>
      <w:r w:rsidRPr="00AB3200">
        <w:rPr>
          <w:rFonts w:hAnsi="標楷體"/>
        </w:rPr>
        <w:t>，各中央目的事業主管機關</w:t>
      </w:r>
      <w:r w:rsidR="0007010A" w:rsidRPr="00AB3200">
        <w:rPr>
          <w:rFonts w:hAnsi="標楷體"/>
        </w:rPr>
        <w:t>得依產業發展需要，訂定產業人才職能基準及核發能力鑑定證明。</w:t>
      </w:r>
      <w:r w:rsidRPr="00AB3200">
        <w:rPr>
          <w:rFonts w:hAnsi="標楷體"/>
        </w:rPr>
        <w:t>經濟部</w:t>
      </w:r>
      <w:r w:rsidR="0007010A" w:rsidRPr="00AB3200">
        <w:rPr>
          <w:rFonts w:hAnsi="標楷體" w:hint="eastAsia"/>
        </w:rPr>
        <w:t>亦</w:t>
      </w:r>
      <w:r w:rsidRPr="00AB3200">
        <w:rPr>
          <w:rFonts w:hAnsi="標楷體"/>
        </w:rPr>
        <w:t>自95年起推動之產業職能基準，及針對不易找到人才之產業，結合產業共同建置之產業人才能力鑑定機制，係該部近年重要推動政策項目，期提供客觀選才及評核能力之功能，以提升產業人才素質，縮短產業人才之職能缺口與學用落差問題。</w:t>
      </w:r>
    </w:p>
    <w:p w:rsidR="003A213D" w:rsidRPr="00AB3200" w:rsidRDefault="003A213D" w:rsidP="003A213D">
      <w:pPr>
        <w:pStyle w:val="3"/>
        <w:ind w:left="1418" w:hanging="709"/>
        <w:rPr>
          <w:rFonts w:hAnsi="標楷體"/>
          <w:b/>
        </w:rPr>
      </w:pPr>
      <w:bookmarkStart w:id="95" w:name="_Toc392764840"/>
      <w:bookmarkStart w:id="96" w:name="_Toc393464392"/>
      <w:proofErr w:type="gramStart"/>
      <w:r w:rsidRPr="00AB3200">
        <w:rPr>
          <w:rFonts w:hAnsi="標楷體" w:hint="eastAsia"/>
          <w:szCs w:val="32"/>
        </w:rPr>
        <w:t>然查</w:t>
      </w:r>
      <w:proofErr w:type="gramEnd"/>
      <w:r w:rsidRPr="00AB3200">
        <w:rPr>
          <w:rFonts w:hAnsi="標楷體" w:hint="eastAsia"/>
          <w:szCs w:val="32"/>
        </w:rPr>
        <w:t>，</w:t>
      </w:r>
      <w:r w:rsidRPr="00AB3200">
        <w:rPr>
          <w:rFonts w:hAnsi="標楷體"/>
          <w:szCs w:val="32"/>
        </w:rPr>
        <w:t>經濟部推動各項產業之職能基準及能力鑑定，</w:t>
      </w:r>
      <w:r w:rsidRPr="00AB3200">
        <w:rPr>
          <w:rFonts w:hAnsi="標楷體"/>
          <w:szCs w:val="24"/>
        </w:rPr>
        <w:t>截至102年底止</w:t>
      </w:r>
      <w:r w:rsidRPr="00AB3200">
        <w:rPr>
          <w:rFonts w:hAnsi="標楷體"/>
          <w:szCs w:val="32"/>
        </w:rPr>
        <w:t>:</w:t>
      </w:r>
      <w:bookmarkEnd w:id="95"/>
      <w:bookmarkEnd w:id="96"/>
    </w:p>
    <w:p w:rsidR="003A213D" w:rsidRPr="00AB3200" w:rsidRDefault="003A213D" w:rsidP="003A213D">
      <w:pPr>
        <w:pStyle w:val="4"/>
        <w:ind w:left="1843" w:hanging="709"/>
        <w:rPr>
          <w:rFonts w:hAnsi="標楷體"/>
          <w:b/>
        </w:rPr>
      </w:pPr>
      <w:r w:rsidRPr="00AB3200">
        <w:rPr>
          <w:rFonts w:hAnsi="標楷體"/>
          <w:szCs w:val="24"/>
        </w:rPr>
        <w:t>經濟部共建置20項產業對應之168項職能基準及45項能力鑑定，及提供產業職能基準與能力鑑定相關資料供教育部參考，教育部並列為補助技專校院辦理師生實務增能實施要點之指定參考文件。</w:t>
      </w:r>
      <w:r w:rsidRPr="00AB3200">
        <w:rPr>
          <w:rFonts w:hAnsi="標楷體"/>
        </w:rPr>
        <w:t>105個學校系所參考已建置LED光電、保健食品及塑膠等3項產業之6項職能基準，調整教學內容，惟其餘17項產業對應之162項職能基準，</w:t>
      </w:r>
      <w:proofErr w:type="gramStart"/>
      <w:r w:rsidRPr="00AB3200">
        <w:rPr>
          <w:rFonts w:hAnsi="標楷體"/>
        </w:rPr>
        <w:t>均無學校</w:t>
      </w:r>
      <w:proofErr w:type="gramEnd"/>
      <w:r w:rsidRPr="00AB3200">
        <w:rPr>
          <w:rFonts w:hAnsi="標楷體"/>
        </w:rPr>
        <w:t>採用作為教學內容之設計及調整，顯示經濟部推動之20項產業及168項職能基準，經學校採用以調整教學之比率，分別僅15%、3.57%。另統計105個學校系所，分屬74所大專校院，占全部161所大專校院之45.96%，仍有近</w:t>
      </w:r>
      <w:proofErr w:type="gramStart"/>
      <w:r w:rsidRPr="00AB3200">
        <w:rPr>
          <w:rFonts w:hAnsi="標楷體"/>
        </w:rPr>
        <w:t>5成</w:t>
      </w:r>
      <w:proofErr w:type="gramEnd"/>
      <w:r w:rsidRPr="00AB3200">
        <w:rPr>
          <w:rFonts w:hAnsi="標楷體"/>
        </w:rPr>
        <w:t>5大專校院未採用，推廣成效</w:t>
      </w:r>
      <w:proofErr w:type="gramStart"/>
      <w:r w:rsidRPr="00AB3200">
        <w:rPr>
          <w:rFonts w:hAnsi="標楷體"/>
        </w:rPr>
        <w:t>不</w:t>
      </w:r>
      <w:proofErr w:type="gramEnd"/>
      <w:r w:rsidRPr="00AB3200">
        <w:rPr>
          <w:rFonts w:hAnsi="標楷體"/>
        </w:rPr>
        <w:t>彰。</w:t>
      </w:r>
    </w:p>
    <w:p w:rsidR="003A213D" w:rsidRPr="00AB3200" w:rsidRDefault="003A213D" w:rsidP="003A213D">
      <w:pPr>
        <w:pStyle w:val="4"/>
        <w:ind w:left="1843" w:hanging="709"/>
        <w:rPr>
          <w:rFonts w:hAnsi="標楷體"/>
          <w:b/>
        </w:rPr>
      </w:pPr>
      <w:r w:rsidRPr="00AB3200">
        <w:rPr>
          <w:rFonts w:hAnsi="標楷體"/>
        </w:rPr>
        <w:lastRenderedPageBreak/>
        <w:t>341家企業承諾優先面試或聘用能力鑑定合格者，成效不佳，未符建置之產業職能基準及能力鑑定機制，擬透過職能基準之專業化及標準化，協助業界制訂相關產業人才應具備之職能及能力，提供客觀選才及評核能力之功能，解決產業人才之職能缺口與學用落差問題之目的。</w:t>
      </w:r>
    </w:p>
    <w:p w:rsidR="003A213D" w:rsidRPr="00AB3200" w:rsidRDefault="003A213D" w:rsidP="005B58D5">
      <w:pPr>
        <w:pStyle w:val="4"/>
        <w:numPr>
          <w:ilvl w:val="0"/>
          <w:numId w:val="0"/>
        </w:numPr>
        <w:ind w:leftChars="416" w:left="1415" w:firstLineChars="209" w:firstLine="711"/>
        <w:rPr>
          <w:rFonts w:hAnsi="標楷體"/>
        </w:rPr>
      </w:pPr>
      <w:r w:rsidRPr="00AB3200">
        <w:rPr>
          <w:rFonts w:hAnsi="標楷體"/>
          <w:szCs w:val="32"/>
        </w:rPr>
        <w:t>由上顯示，經濟部為提升產業人才素質，解決產業人才職能缺口與學用落差問題，推動產業職能基準及能力鑑定機制，截至102年底，雖發展20個產業、168項職能基準，及45項能力鑑定，惟僅45.96%之大專校院參考LED光電、保健食品及塑膠等3項產業之6項職能基準，調整相關教學內容，其餘17項產業對應之162項職能基準，</w:t>
      </w:r>
      <w:proofErr w:type="gramStart"/>
      <w:r w:rsidRPr="00AB3200">
        <w:rPr>
          <w:rFonts w:hAnsi="標楷體"/>
          <w:szCs w:val="32"/>
        </w:rPr>
        <w:t>均無學校</w:t>
      </w:r>
      <w:proofErr w:type="gramEnd"/>
      <w:r w:rsidRPr="00AB3200">
        <w:rPr>
          <w:rFonts w:hAnsi="標楷體"/>
          <w:szCs w:val="32"/>
        </w:rPr>
        <w:t>採用以作為教學內容之設計及調整；又僅341家企業承諾優先面試或聘用能力鑑定合格者，成效</w:t>
      </w:r>
      <w:proofErr w:type="gramStart"/>
      <w:r w:rsidRPr="00AB3200">
        <w:rPr>
          <w:rFonts w:hAnsi="標楷體"/>
          <w:szCs w:val="32"/>
        </w:rPr>
        <w:t>不</w:t>
      </w:r>
      <w:proofErr w:type="gramEnd"/>
      <w:r w:rsidRPr="00AB3200">
        <w:rPr>
          <w:rFonts w:hAnsi="標楷體"/>
          <w:szCs w:val="32"/>
        </w:rPr>
        <w:t>彰，未符建置之產業職能基準及能力鑑定機制，原擬協助業界制訂相關產業人才應具備之職能及能力，</w:t>
      </w:r>
      <w:r w:rsidRPr="00AB3200">
        <w:rPr>
          <w:rFonts w:hAnsi="標楷體"/>
        </w:rPr>
        <w:t>提供客觀選才及評核能力之功能，</w:t>
      </w:r>
      <w:r w:rsidRPr="00AB3200">
        <w:rPr>
          <w:rFonts w:hAnsi="標楷體"/>
          <w:szCs w:val="32"/>
        </w:rPr>
        <w:t>以解決產業人才之職能缺口與學用落差問題之目的。</w:t>
      </w:r>
    </w:p>
    <w:p w:rsidR="003A213D" w:rsidRPr="00AB3200" w:rsidRDefault="003A213D" w:rsidP="003A213D">
      <w:pPr>
        <w:pStyle w:val="3"/>
        <w:ind w:leftChars="208" w:left="1416" w:hangingChars="208" w:hanging="708"/>
        <w:rPr>
          <w:rFonts w:hAnsi="標楷體"/>
          <w:b/>
          <w:szCs w:val="48"/>
        </w:rPr>
      </w:pPr>
      <w:bookmarkStart w:id="97" w:name="_Toc392764841"/>
      <w:bookmarkStart w:id="98" w:name="_Toc393464393"/>
      <w:r w:rsidRPr="00AB3200">
        <w:rPr>
          <w:rFonts w:hAnsi="標楷體"/>
        </w:rPr>
        <w:t>綜上，</w:t>
      </w:r>
      <w:bookmarkEnd w:id="97"/>
      <w:r w:rsidR="00EE5122" w:rsidRPr="00AB3200">
        <w:rPr>
          <w:rFonts w:hAnsi="標楷體"/>
          <w:szCs w:val="32"/>
        </w:rPr>
        <w:t>經濟部為提升產業人才素質，推動人才扎根及培訓計畫</w:t>
      </w:r>
      <w:r w:rsidR="00EE5122" w:rsidRPr="00AB3200">
        <w:rPr>
          <w:rFonts w:hAnsi="標楷體" w:hint="eastAsia"/>
          <w:szCs w:val="32"/>
        </w:rPr>
        <w:t>，但</w:t>
      </w:r>
      <w:r w:rsidR="00EE5122" w:rsidRPr="00AB3200">
        <w:rPr>
          <w:rFonts w:hAnsi="標楷體"/>
          <w:szCs w:val="32"/>
        </w:rPr>
        <w:t>成效有待提升，且該部</w:t>
      </w:r>
      <w:r w:rsidR="00EE5122" w:rsidRPr="00AB3200">
        <w:rPr>
          <w:rFonts w:hAnsi="標楷體"/>
        </w:rPr>
        <w:t>建置之產業職能基準及能力鑑定機制，亦未獲廣泛運用，</w:t>
      </w:r>
      <w:proofErr w:type="gramStart"/>
      <w:r w:rsidR="00EE5122" w:rsidRPr="00AB3200">
        <w:rPr>
          <w:rFonts w:hAnsi="標楷體"/>
        </w:rPr>
        <w:t>該部允</w:t>
      </w:r>
      <w:r w:rsidR="00EE5122" w:rsidRPr="00AB3200">
        <w:rPr>
          <w:rFonts w:hAnsi="標楷體" w:hint="eastAsia"/>
        </w:rPr>
        <w:t>宜</w:t>
      </w:r>
      <w:proofErr w:type="gramEnd"/>
      <w:r w:rsidR="00EE5122" w:rsidRPr="00AB3200">
        <w:rPr>
          <w:rFonts w:hAnsi="標楷體"/>
        </w:rPr>
        <w:t>強化人才培訓及職能鑑定機制執行效能，以有效提升青年就業能力</w:t>
      </w:r>
      <w:r w:rsidR="00EE5122" w:rsidRPr="00AB3200">
        <w:rPr>
          <w:rFonts w:hAnsi="標楷體" w:hint="eastAsia"/>
        </w:rPr>
        <w:t>及就業率</w:t>
      </w:r>
      <w:r w:rsidR="00EE5122" w:rsidRPr="00AB3200">
        <w:rPr>
          <w:rFonts w:hAnsi="標楷體"/>
          <w:szCs w:val="32"/>
        </w:rPr>
        <w:t>。</w:t>
      </w:r>
      <w:bookmarkEnd w:id="98"/>
    </w:p>
    <w:p w:rsidR="003A213D" w:rsidRPr="00AB3200" w:rsidRDefault="003A213D" w:rsidP="003A213D">
      <w:pPr>
        <w:pStyle w:val="20"/>
        <w:ind w:left="1020" w:hanging="680"/>
        <w:rPr>
          <w:rFonts w:hAnsi="標楷體"/>
          <w:b/>
        </w:rPr>
      </w:pPr>
      <w:bookmarkStart w:id="99" w:name="_Toc393464394"/>
      <w:r w:rsidRPr="00AB3200">
        <w:rPr>
          <w:rFonts w:hAnsi="標楷體"/>
          <w:b/>
          <w:szCs w:val="32"/>
        </w:rPr>
        <w:t>教育部逐年編列預算辦理畢業學生就業流向調查，然該等調查所得資訊未能公開透明，並妥善運用，</w:t>
      </w:r>
      <w:r w:rsidRPr="00AB3200">
        <w:rPr>
          <w:rFonts w:hAnsi="標楷體" w:hint="eastAsia"/>
          <w:b/>
          <w:bCs w:val="0"/>
          <w:szCs w:val="32"/>
        </w:rPr>
        <w:t>未能降低學生錯誤選擇就讀科系之風險，且無法協助學生明瞭部分科系就業困難之事實，</w:t>
      </w:r>
      <w:proofErr w:type="gramStart"/>
      <w:r w:rsidRPr="00AB3200">
        <w:rPr>
          <w:rFonts w:hAnsi="標楷體"/>
          <w:b/>
          <w:szCs w:val="32"/>
        </w:rPr>
        <w:t>該部允</w:t>
      </w:r>
      <w:r w:rsidRPr="00AB3200">
        <w:rPr>
          <w:rFonts w:hAnsi="標楷體" w:hint="eastAsia"/>
          <w:b/>
          <w:szCs w:val="32"/>
        </w:rPr>
        <w:t>宜</w:t>
      </w:r>
      <w:proofErr w:type="gramEnd"/>
      <w:r w:rsidRPr="00AB3200">
        <w:rPr>
          <w:rFonts w:hAnsi="標楷體"/>
          <w:b/>
          <w:szCs w:val="32"/>
        </w:rPr>
        <w:t>妥善運用</w:t>
      </w:r>
      <w:proofErr w:type="gramStart"/>
      <w:r w:rsidRPr="00AB3200">
        <w:rPr>
          <w:rFonts w:hAnsi="標楷體"/>
          <w:b/>
          <w:szCs w:val="32"/>
        </w:rPr>
        <w:t>勞動部</w:t>
      </w:r>
      <w:r w:rsidR="005B58D5" w:rsidRPr="00AB3200">
        <w:rPr>
          <w:rFonts w:hAnsi="標楷體" w:hint="eastAsia"/>
          <w:b/>
          <w:szCs w:val="32"/>
        </w:rPr>
        <w:t>所</w:t>
      </w:r>
      <w:r w:rsidRPr="00AB3200">
        <w:rPr>
          <w:rFonts w:hAnsi="標楷體"/>
          <w:b/>
          <w:szCs w:val="32"/>
        </w:rPr>
        <w:t>建置</w:t>
      </w:r>
      <w:proofErr w:type="gramEnd"/>
      <w:r w:rsidRPr="00AB3200">
        <w:rPr>
          <w:rFonts w:hAnsi="標楷體"/>
          <w:b/>
          <w:szCs w:val="32"/>
        </w:rPr>
        <w:t>之大專畢業生就業追蹤系統，</w:t>
      </w:r>
      <w:r w:rsidR="000A7BC9" w:rsidRPr="00AB3200">
        <w:rPr>
          <w:rFonts w:hAnsi="標楷體" w:hint="eastAsia"/>
          <w:b/>
          <w:szCs w:val="32"/>
        </w:rPr>
        <w:t>除</w:t>
      </w:r>
      <w:r w:rsidR="005B58D5" w:rsidRPr="00AB3200">
        <w:rPr>
          <w:rFonts w:hAnsi="標楷體" w:hint="eastAsia"/>
          <w:b/>
          <w:szCs w:val="32"/>
        </w:rPr>
        <w:t>請各</w:t>
      </w:r>
      <w:r w:rsidRPr="00AB3200">
        <w:rPr>
          <w:rFonts w:hAnsi="標楷體"/>
          <w:b/>
          <w:szCs w:val="32"/>
        </w:rPr>
        <w:t>校系</w:t>
      </w:r>
      <w:r w:rsidRPr="00AB3200">
        <w:rPr>
          <w:rFonts w:hAnsi="標楷體" w:hint="eastAsia"/>
          <w:b/>
          <w:szCs w:val="32"/>
        </w:rPr>
        <w:t>將</w:t>
      </w:r>
      <w:r w:rsidR="005B58D5" w:rsidRPr="00AB3200">
        <w:rPr>
          <w:rFonts w:hAnsi="標楷體" w:hint="eastAsia"/>
          <w:b/>
          <w:szCs w:val="32"/>
        </w:rPr>
        <w:t>其</w:t>
      </w:r>
      <w:r w:rsidRPr="00AB3200">
        <w:rPr>
          <w:rFonts w:hAnsi="標楷體"/>
          <w:b/>
          <w:szCs w:val="32"/>
        </w:rPr>
        <w:t>就業</w:t>
      </w:r>
      <w:r w:rsidRPr="00AB3200">
        <w:rPr>
          <w:rFonts w:hAnsi="標楷體" w:hint="eastAsia"/>
          <w:b/>
          <w:szCs w:val="32"/>
        </w:rPr>
        <w:t>相關</w:t>
      </w:r>
      <w:r w:rsidRPr="00AB3200">
        <w:rPr>
          <w:rFonts w:hAnsi="標楷體"/>
          <w:b/>
          <w:szCs w:val="32"/>
        </w:rPr>
        <w:t>資訊透明化</w:t>
      </w:r>
      <w:r w:rsidR="000A7BC9" w:rsidRPr="00AB3200">
        <w:rPr>
          <w:rFonts w:hAnsi="標楷體" w:hint="eastAsia"/>
          <w:b/>
          <w:szCs w:val="32"/>
        </w:rPr>
        <w:t>外</w:t>
      </w:r>
      <w:r w:rsidR="005B58D5" w:rsidRPr="00AB3200">
        <w:rPr>
          <w:rFonts w:hAnsi="標楷體" w:hint="eastAsia"/>
          <w:b/>
          <w:szCs w:val="32"/>
        </w:rPr>
        <w:t>，且允應</w:t>
      </w:r>
      <w:proofErr w:type="gramStart"/>
      <w:r w:rsidR="005B58D5" w:rsidRPr="00AB3200">
        <w:rPr>
          <w:rFonts w:hAnsi="標楷體" w:hint="eastAsia"/>
          <w:b/>
          <w:szCs w:val="32"/>
        </w:rPr>
        <w:t>研</w:t>
      </w:r>
      <w:proofErr w:type="gramEnd"/>
      <w:r w:rsidR="005B58D5" w:rsidRPr="00AB3200">
        <w:rPr>
          <w:rFonts w:hAnsi="標楷體" w:hint="eastAsia"/>
          <w:b/>
          <w:szCs w:val="32"/>
        </w:rPr>
        <w:t>議公佈機制，</w:t>
      </w:r>
      <w:r w:rsidRPr="00AB3200">
        <w:rPr>
          <w:rFonts w:hAnsi="標楷體"/>
          <w:b/>
          <w:szCs w:val="32"/>
        </w:rPr>
        <w:lastRenderedPageBreak/>
        <w:t>以利</w:t>
      </w:r>
      <w:r w:rsidRPr="00AB3200">
        <w:rPr>
          <w:rFonts w:hAnsi="標楷體" w:hint="eastAsia"/>
          <w:b/>
          <w:szCs w:val="32"/>
        </w:rPr>
        <w:t>各界運用</w:t>
      </w:r>
      <w:r w:rsidR="005B58D5" w:rsidRPr="00AB3200">
        <w:rPr>
          <w:rFonts w:hAnsi="標楷體" w:hint="eastAsia"/>
          <w:b/>
          <w:szCs w:val="32"/>
        </w:rPr>
        <w:t>，並減少學生及家長因資訊不足，產生科系選擇之誤判</w:t>
      </w:r>
      <w:r w:rsidRPr="00AB3200">
        <w:rPr>
          <w:rFonts w:hAnsi="標楷體"/>
          <w:b/>
          <w:szCs w:val="32"/>
        </w:rPr>
        <w:t>。</w:t>
      </w:r>
      <w:bookmarkEnd w:id="99"/>
    </w:p>
    <w:p w:rsidR="003A213D" w:rsidRPr="00AB3200" w:rsidRDefault="003A213D" w:rsidP="003A213D">
      <w:pPr>
        <w:pStyle w:val="3"/>
        <w:ind w:left="1418" w:hanging="709"/>
        <w:rPr>
          <w:rFonts w:hAnsi="標楷體"/>
        </w:rPr>
      </w:pPr>
      <w:bookmarkStart w:id="100" w:name="_Toc392764843"/>
      <w:bookmarkStart w:id="101" w:name="_Toc393464395"/>
      <w:r w:rsidRPr="00AB3200">
        <w:rPr>
          <w:rFonts w:hAnsi="標楷體"/>
          <w:szCs w:val="32"/>
        </w:rPr>
        <w:t>按大學法第12條規定：「大學之學生人數規模應與大學之資源條件相符，其標準由教育部定之；並得作為各大學規劃增設及調整院、系、所、學程與招生名額之審酌依據。」同法第39條規定：「大學對校務資訊，除依法應予保密者外，以主動公開為原則，並得應人民</w:t>
      </w:r>
      <w:r w:rsidRPr="00AB3200">
        <w:rPr>
          <w:rFonts w:hAnsi="標楷體"/>
          <w:noProof/>
          <w:szCs w:val="32"/>
        </w:rPr>
        <w:t>申請提供之。</w:t>
      </w:r>
      <w:r w:rsidRPr="00AB3200">
        <w:rPr>
          <w:rFonts w:hAnsi="標楷體"/>
          <w:szCs w:val="32"/>
        </w:rPr>
        <w:t>」專科學校法第3條規定：「專科學校設立標準，由教育部定之；其變更及停辦程序，</w:t>
      </w:r>
      <w:proofErr w:type="gramStart"/>
      <w:r w:rsidRPr="00AB3200">
        <w:rPr>
          <w:rFonts w:hAnsi="標楷體"/>
          <w:szCs w:val="32"/>
        </w:rPr>
        <w:t>準</w:t>
      </w:r>
      <w:proofErr w:type="gramEnd"/>
      <w:r w:rsidRPr="00AB3200">
        <w:rPr>
          <w:rFonts w:hAnsi="標楷體"/>
          <w:szCs w:val="32"/>
        </w:rPr>
        <w:t>用前條第二項之規定。」</w:t>
      </w:r>
      <w:proofErr w:type="gramStart"/>
      <w:r w:rsidRPr="00AB3200">
        <w:rPr>
          <w:rFonts w:hAnsi="標楷體"/>
          <w:szCs w:val="32"/>
        </w:rPr>
        <w:t>另</w:t>
      </w:r>
      <w:proofErr w:type="gramEnd"/>
      <w:r w:rsidRPr="00AB3200">
        <w:rPr>
          <w:rFonts w:hAnsi="標楷體"/>
          <w:szCs w:val="32"/>
        </w:rPr>
        <w:t>，專科以上學校總量發展規模與資源條件標準(原為大學總量發展規模與資源條件標準)第3條規定：「教育部應依國家整體人才培育政策、社會發展需求、學校資源條件、師資專長、總量發展規模、新生註冊率及畢業學生就業等面向，徵詢相關產業之目的事業主管機關意見後，核定專科以上學校增設、調整院、所、系、科與學位學程及招生名額總量。」</w:t>
      </w:r>
      <w:bookmarkEnd w:id="100"/>
      <w:bookmarkEnd w:id="101"/>
    </w:p>
    <w:p w:rsidR="003A213D" w:rsidRPr="00AB3200" w:rsidRDefault="003A213D" w:rsidP="003A213D">
      <w:pPr>
        <w:pStyle w:val="3"/>
        <w:ind w:left="1418"/>
        <w:rPr>
          <w:rFonts w:hAnsi="標楷體"/>
        </w:rPr>
      </w:pPr>
      <w:bookmarkStart w:id="102" w:name="_Toc392764844"/>
      <w:bookmarkStart w:id="103" w:name="_Toc393464396"/>
      <w:r w:rsidRPr="00AB3200">
        <w:rPr>
          <w:rFonts w:hAnsi="標楷體"/>
        </w:rPr>
        <w:t>教育部自95年</w:t>
      </w:r>
      <w:r w:rsidR="00036610" w:rsidRPr="00AB3200">
        <w:rPr>
          <w:rFonts w:hAnsi="標楷體" w:hint="eastAsia"/>
        </w:rPr>
        <w:t>起</w:t>
      </w:r>
      <w:r w:rsidRPr="00AB3200">
        <w:rPr>
          <w:rFonts w:hAnsi="標楷體"/>
        </w:rPr>
        <w:t>共耗費4千930萬元辦理大專校院畢業生流向資訊平台，其計畫目標係蒐集大專畢業生生涯發展之資料，藉此了解各類人才培育狀況以及大學與社會職場供需之配合度，做為科系規劃與評鑑及教學課程設計與改進之依據。查該系統之調查結果，該部並未要求學校主動公布於網路，僅部分學校會公布於該校網頁，</w:t>
      </w:r>
      <w:proofErr w:type="gramStart"/>
      <w:r w:rsidRPr="00AB3200">
        <w:rPr>
          <w:rFonts w:hAnsi="標楷體"/>
        </w:rPr>
        <w:t>然未見</w:t>
      </w:r>
      <w:proofErr w:type="gramEnd"/>
      <w:r w:rsidRPr="00AB3200">
        <w:rPr>
          <w:rFonts w:hAnsi="標楷體"/>
        </w:rPr>
        <w:t>教育部督促學校作為系所增設調整及招生名額規劃之參考依據，僅透過獎勵大學教學卓越計畫來引導學校重視學生就業競爭力。足見，教育部雖藉此調查得知大學與社會職場供需之配合度，</w:t>
      </w:r>
      <w:proofErr w:type="gramStart"/>
      <w:r w:rsidRPr="00AB3200">
        <w:rPr>
          <w:rFonts w:hAnsi="標楷體"/>
        </w:rPr>
        <w:t>卻未衡酌</w:t>
      </w:r>
      <w:proofErr w:type="gramEnd"/>
      <w:r w:rsidRPr="00AB3200">
        <w:rPr>
          <w:rFonts w:hAnsi="標楷體"/>
        </w:rPr>
        <w:t>畢業生就業面而督促各系</w:t>
      </w:r>
      <w:proofErr w:type="gramStart"/>
      <w:r w:rsidRPr="00AB3200">
        <w:rPr>
          <w:rFonts w:hAnsi="標楷體"/>
        </w:rPr>
        <w:t>系</w:t>
      </w:r>
      <w:proofErr w:type="gramEnd"/>
      <w:r w:rsidRPr="00AB3200">
        <w:rPr>
          <w:rFonts w:hAnsi="標楷體"/>
        </w:rPr>
        <w:t>所調整，亦未考量社會發展需求，導</w:t>
      </w:r>
      <w:r w:rsidRPr="00AB3200">
        <w:rPr>
          <w:rFonts w:hAnsi="標楷體"/>
        </w:rPr>
        <w:lastRenderedPageBreak/>
        <w:t>致大學只重招生，未重視學生生涯發展。</w:t>
      </w:r>
      <w:bookmarkEnd w:id="102"/>
      <w:bookmarkEnd w:id="103"/>
    </w:p>
    <w:p w:rsidR="003A213D" w:rsidRPr="00AB3200" w:rsidRDefault="003A213D" w:rsidP="003A213D">
      <w:pPr>
        <w:pStyle w:val="3"/>
        <w:ind w:left="1418"/>
        <w:rPr>
          <w:rFonts w:hAnsi="標楷體"/>
        </w:rPr>
      </w:pPr>
      <w:bookmarkStart w:id="104" w:name="_Toc392764845"/>
      <w:bookmarkStart w:id="105" w:name="_Toc393464397"/>
      <w:r w:rsidRPr="00AB3200">
        <w:rPr>
          <w:rFonts w:hAnsi="標楷體"/>
          <w:szCs w:val="32"/>
        </w:rPr>
        <w:t>近來企業界不斷提出建言表示高等教育培育之人才與企業所需人才產生明顯脫節現象，學用落差問題日漸嚴重，顯示各大學系所與課程內容應即刻檢視並進行調整，以使高等教育課程內容更能符合社會所需並與產業接軌，各界期待教育部在教育制度上能強化人才形塑之供需均衡。然教育部每年編列</w:t>
      </w:r>
      <w:r w:rsidR="00036610" w:rsidRPr="00AB3200">
        <w:rPr>
          <w:rFonts w:hAnsi="標楷體" w:hint="eastAsia"/>
          <w:szCs w:val="32"/>
        </w:rPr>
        <w:t>近千萬元</w:t>
      </w:r>
      <w:r w:rsidRPr="00AB3200">
        <w:rPr>
          <w:rFonts w:hAnsi="標楷體"/>
          <w:szCs w:val="32"/>
        </w:rPr>
        <w:t>調查各大專院校畢業生流向，雖建置資料庫供各校參考，僅部分學校會將部分調查結果公布於該校網頁，多數新生</w:t>
      </w:r>
      <w:r w:rsidRPr="00AB3200">
        <w:rPr>
          <w:rFonts w:hAnsi="標楷體"/>
          <w:bCs w:val="0"/>
          <w:szCs w:val="32"/>
        </w:rPr>
        <w:t>入學前未能有充分資訊評估其入學系所之未來發展性，且</w:t>
      </w:r>
      <w:r w:rsidRPr="00AB3200">
        <w:rPr>
          <w:rFonts w:hAnsi="標楷體"/>
          <w:szCs w:val="32"/>
        </w:rPr>
        <w:t>各校未善加使用此畢業生流向調查系統，將畢業生回饋意見納入課程改善機制，以提升學生未來就業力，使得該畢業生流向資料之建置僅用於學術研究或政府機關參考，對於各校調整系所、解決學用落差問題毫無實質幫助，</w:t>
      </w:r>
      <w:r w:rsidRPr="00AB3200">
        <w:rPr>
          <w:rFonts w:hAnsi="標楷體" w:hint="eastAsia"/>
          <w:szCs w:val="32"/>
        </w:rPr>
        <w:t>且因資訊未公開透明，</w:t>
      </w:r>
      <w:r w:rsidRPr="00AB3200">
        <w:rPr>
          <w:rFonts w:hAnsi="標楷體" w:hint="eastAsia"/>
          <w:bCs w:val="0"/>
          <w:szCs w:val="32"/>
        </w:rPr>
        <w:t>增加錯誤選擇就讀科系之高度風險，對於「名校」部分科系就業困難，</w:t>
      </w:r>
      <w:r w:rsidR="00036610" w:rsidRPr="00AB3200">
        <w:rPr>
          <w:rFonts w:hAnsi="標楷體" w:hint="eastAsia"/>
          <w:bCs w:val="0"/>
          <w:szCs w:val="32"/>
        </w:rPr>
        <w:t>仍無所悉，對於打破</w:t>
      </w:r>
      <w:r w:rsidRPr="00AB3200">
        <w:rPr>
          <w:rFonts w:hAnsi="標楷體" w:hint="eastAsia"/>
          <w:bCs w:val="0"/>
          <w:szCs w:val="32"/>
        </w:rPr>
        <w:t>學生及家長</w:t>
      </w:r>
      <w:r w:rsidR="00036610" w:rsidRPr="00AB3200">
        <w:rPr>
          <w:rFonts w:hAnsi="標楷體" w:hint="eastAsia"/>
          <w:bCs w:val="0"/>
          <w:szCs w:val="32"/>
        </w:rPr>
        <w:t>之</w:t>
      </w:r>
      <w:r w:rsidRPr="00AB3200">
        <w:rPr>
          <w:rFonts w:hAnsi="標楷體" w:hint="eastAsia"/>
          <w:bCs w:val="0"/>
          <w:szCs w:val="32"/>
        </w:rPr>
        <w:t>「名校迷思」情節，亦無實質幫助</w:t>
      </w:r>
      <w:r w:rsidRPr="00AB3200">
        <w:rPr>
          <w:rFonts w:hAnsi="標楷體"/>
          <w:szCs w:val="32"/>
        </w:rPr>
        <w:t>。基此，教育部長期未妥善運用畢業學生就業流向之調查，督導學校改進並做為檢視系所設置之合宜性，以致於人才形塑之供需失衡。</w:t>
      </w:r>
      <w:bookmarkEnd w:id="104"/>
      <w:bookmarkEnd w:id="105"/>
    </w:p>
    <w:p w:rsidR="003A213D" w:rsidRPr="00AB3200" w:rsidRDefault="003A213D" w:rsidP="003A213D">
      <w:pPr>
        <w:pStyle w:val="3"/>
        <w:ind w:left="1418"/>
        <w:rPr>
          <w:rFonts w:hAnsi="標楷體"/>
        </w:rPr>
      </w:pPr>
      <w:bookmarkStart w:id="106" w:name="_Toc392764846"/>
      <w:bookmarkStart w:id="107" w:name="_Toc393464398"/>
      <w:r w:rsidRPr="00AB3200">
        <w:rPr>
          <w:rFonts w:hAnsi="標楷體" w:hint="eastAsia"/>
        </w:rPr>
        <w:t>另查，</w:t>
      </w:r>
      <w:r w:rsidRPr="00AB3200">
        <w:rPr>
          <w:rFonts w:hAnsi="標楷體"/>
        </w:rPr>
        <w:t>勞動部</w:t>
      </w:r>
      <w:r w:rsidRPr="00AB3200">
        <w:rPr>
          <w:rFonts w:hAnsi="標楷體" w:hint="eastAsia"/>
        </w:rPr>
        <w:t>將</w:t>
      </w:r>
      <w:r w:rsidRPr="00AB3200">
        <w:rPr>
          <w:rFonts w:hAnsi="標楷體"/>
          <w:szCs w:val="32"/>
          <w:lang w:val="zh-TW"/>
        </w:rPr>
        <w:t>透過與教育部的合作，由學校將該年度畢業生資料匯入至勞動部大專畢業生資料</w:t>
      </w:r>
      <w:proofErr w:type="gramStart"/>
      <w:r w:rsidRPr="00AB3200">
        <w:rPr>
          <w:rFonts w:hAnsi="標楷體"/>
          <w:szCs w:val="32"/>
          <w:lang w:val="zh-TW"/>
        </w:rPr>
        <w:t>介</w:t>
      </w:r>
      <w:proofErr w:type="gramEnd"/>
      <w:r w:rsidRPr="00AB3200">
        <w:rPr>
          <w:rFonts w:hAnsi="標楷體"/>
          <w:szCs w:val="32"/>
          <w:lang w:val="zh-TW"/>
        </w:rPr>
        <w:t>接系統，藉由與軍、公、</w:t>
      </w:r>
      <w:proofErr w:type="gramStart"/>
      <w:r w:rsidRPr="00AB3200">
        <w:rPr>
          <w:rFonts w:hAnsi="標楷體"/>
          <w:szCs w:val="32"/>
          <w:lang w:val="zh-TW"/>
        </w:rPr>
        <w:t>勞</w:t>
      </w:r>
      <w:proofErr w:type="gramEnd"/>
      <w:r w:rsidRPr="00AB3200">
        <w:rPr>
          <w:rFonts w:hAnsi="標楷體"/>
          <w:szCs w:val="32"/>
          <w:lang w:val="zh-TW"/>
        </w:rPr>
        <w:t>、農保各種保險及學生學籍資料勾</w:t>
      </w:r>
      <w:proofErr w:type="gramStart"/>
      <w:r w:rsidRPr="00AB3200">
        <w:rPr>
          <w:rFonts w:hAnsi="標楷體"/>
          <w:szCs w:val="32"/>
          <w:lang w:val="zh-TW"/>
        </w:rPr>
        <w:t>稽</w:t>
      </w:r>
      <w:proofErr w:type="gramEnd"/>
      <w:r w:rsidRPr="00AB3200">
        <w:rPr>
          <w:rFonts w:hAnsi="標楷體"/>
          <w:szCs w:val="32"/>
          <w:lang w:val="zh-TW"/>
        </w:rPr>
        <w:t>，排除在學</w:t>
      </w:r>
      <w:r w:rsidRPr="00AB3200">
        <w:rPr>
          <w:rFonts w:hAnsi="標楷體" w:hint="eastAsia"/>
          <w:szCs w:val="32"/>
          <w:lang w:val="zh-TW"/>
        </w:rPr>
        <w:t>之學生</w:t>
      </w:r>
      <w:r w:rsidRPr="00AB3200">
        <w:rPr>
          <w:rFonts w:hAnsi="標楷體"/>
          <w:szCs w:val="32"/>
          <w:lang w:val="zh-TW"/>
        </w:rPr>
        <w:t>後，篩出青年就業行業別與未就業者，該等系統</w:t>
      </w:r>
      <w:r w:rsidRPr="00AB3200">
        <w:rPr>
          <w:rFonts w:hAnsi="標楷體" w:hint="eastAsia"/>
          <w:szCs w:val="32"/>
          <w:lang w:val="zh-TW"/>
        </w:rPr>
        <w:t>較</w:t>
      </w:r>
      <w:r w:rsidRPr="00AB3200">
        <w:rPr>
          <w:rFonts w:hAnsi="標楷體"/>
          <w:szCs w:val="32"/>
          <w:lang w:val="zh-TW"/>
        </w:rPr>
        <w:t>能充分知悉畢業生畢業後，在學及就業狀況及相關投保薪資等資訊</w:t>
      </w:r>
      <w:r w:rsidRPr="00AB3200">
        <w:rPr>
          <w:rFonts w:hAnsi="標楷體"/>
          <w:szCs w:val="32"/>
        </w:rPr>
        <w:t>。</w:t>
      </w:r>
      <w:bookmarkEnd w:id="106"/>
      <w:r w:rsidR="00036610" w:rsidRPr="00AB3200">
        <w:rPr>
          <w:rFonts w:hAnsi="標楷體" w:hint="eastAsia"/>
          <w:szCs w:val="32"/>
        </w:rPr>
        <w:t>教育部允宜充分運用該等資料，協助學生及家長正確選擇就讀科系，以避免產生日後之就業問題。</w:t>
      </w:r>
      <w:bookmarkEnd w:id="107"/>
    </w:p>
    <w:p w:rsidR="003A213D" w:rsidRPr="00AB3200" w:rsidRDefault="003A213D" w:rsidP="003A213D">
      <w:pPr>
        <w:pStyle w:val="3"/>
        <w:ind w:left="1418"/>
        <w:rPr>
          <w:rFonts w:hAnsi="標楷體"/>
        </w:rPr>
      </w:pPr>
      <w:bookmarkStart w:id="108" w:name="_Toc392764847"/>
      <w:bookmarkStart w:id="109" w:name="_Toc393464399"/>
      <w:r w:rsidRPr="00AB3200">
        <w:rPr>
          <w:rFonts w:hAnsi="標楷體"/>
          <w:szCs w:val="32"/>
        </w:rPr>
        <w:t>綜上，</w:t>
      </w:r>
      <w:bookmarkEnd w:id="108"/>
      <w:r w:rsidR="005B58D5" w:rsidRPr="00AB3200">
        <w:rPr>
          <w:rFonts w:hAnsi="標楷體"/>
          <w:szCs w:val="32"/>
        </w:rPr>
        <w:t>教育部逐年編列預算辦理畢業學生就業流向</w:t>
      </w:r>
      <w:r w:rsidR="005B58D5" w:rsidRPr="00AB3200">
        <w:rPr>
          <w:rFonts w:hAnsi="標楷體"/>
          <w:szCs w:val="32"/>
        </w:rPr>
        <w:lastRenderedPageBreak/>
        <w:t>調查，然該等調查所得資訊未能公開透明，並妥善運用，</w:t>
      </w:r>
      <w:r w:rsidR="005B58D5" w:rsidRPr="00AB3200">
        <w:rPr>
          <w:rFonts w:hAnsi="標楷體" w:hint="eastAsia"/>
          <w:bCs w:val="0"/>
          <w:szCs w:val="32"/>
        </w:rPr>
        <w:t>未能降低學生錯誤選擇就讀科系之風險，且無法協助學生明瞭部分科系就業困難之事實，</w:t>
      </w:r>
      <w:proofErr w:type="gramStart"/>
      <w:r w:rsidR="005B58D5" w:rsidRPr="00AB3200">
        <w:rPr>
          <w:rFonts w:hAnsi="標楷體"/>
          <w:szCs w:val="32"/>
        </w:rPr>
        <w:t>該部允</w:t>
      </w:r>
      <w:r w:rsidR="005B58D5" w:rsidRPr="00AB3200">
        <w:rPr>
          <w:rFonts w:hAnsi="標楷體" w:hint="eastAsia"/>
          <w:szCs w:val="32"/>
        </w:rPr>
        <w:t>宜</w:t>
      </w:r>
      <w:proofErr w:type="gramEnd"/>
      <w:r w:rsidR="005B58D5" w:rsidRPr="00AB3200">
        <w:rPr>
          <w:rFonts w:hAnsi="標楷體"/>
          <w:szCs w:val="32"/>
        </w:rPr>
        <w:t>妥善運用</w:t>
      </w:r>
      <w:proofErr w:type="gramStart"/>
      <w:r w:rsidR="005B58D5" w:rsidRPr="00AB3200">
        <w:rPr>
          <w:rFonts w:hAnsi="標楷體"/>
          <w:szCs w:val="32"/>
        </w:rPr>
        <w:t>勞動部</w:t>
      </w:r>
      <w:r w:rsidR="005B58D5" w:rsidRPr="00AB3200">
        <w:rPr>
          <w:rFonts w:hAnsi="標楷體" w:hint="eastAsia"/>
          <w:szCs w:val="32"/>
        </w:rPr>
        <w:t>所</w:t>
      </w:r>
      <w:r w:rsidR="005B58D5" w:rsidRPr="00AB3200">
        <w:rPr>
          <w:rFonts w:hAnsi="標楷體"/>
          <w:szCs w:val="32"/>
        </w:rPr>
        <w:t>建置</w:t>
      </w:r>
      <w:proofErr w:type="gramEnd"/>
      <w:r w:rsidR="005B58D5" w:rsidRPr="00AB3200">
        <w:rPr>
          <w:rFonts w:hAnsi="標楷體"/>
          <w:szCs w:val="32"/>
        </w:rPr>
        <w:t>之大專畢業生就業追蹤系統，</w:t>
      </w:r>
      <w:r w:rsidR="0028262A" w:rsidRPr="00AB3200">
        <w:rPr>
          <w:rFonts w:hAnsi="標楷體" w:hint="eastAsia"/>
          <w:szCs w:val="32"/>
        </w:rPr>
        <w:t>除</w:t>
      </w:r>
      <w:r w:rsidR="005B58D5" w:rsidRPr="00AB3200">
        <w:rPr>
          <w:rFonts w:hAnsi="標楷體" w:hint="eastAsia"/>
          <w:szCs w:val="32"/>
        </w:rPr>
        <w:t>請各</w:t>
      </w:r>
      <w:r w:rsidR="005B58D5" w:rsidRPr="00AB3200">
        <w:rPr>
          <w:rFonts w:hAnsi="標楷體"/>
          <w:szCs w:val="32"/>
        </w:rPr>
        <w:t>校系</w:t>
      </w:r>
      <w:r w:rsidR="005B58D5" w:rsidRPr="00AB3200">
        <w:rPr>
          <w:rFonts w:hAnsi="標楷體" w:hint="eastAsia"/>
          <w:szCs w:val="32"/>
        </w:rPr>
        <w:t>將其</w:t>
      </w:r>
      <w:r w:rsidR="005B58D5" w:rsidRPr="00AB3200">
        <w:rPr>
          <w:rFonts w:hAnsi="標楷體"/>
          <w:szCs w:val="32"/>
        </w:rPr>
        <w:t>就業</w:t>
      </w:r>
      <w:r w:rsidR="005B58D5" w:rsidRPr="00AB3200">
        <w:rPr>
          <w:rFonts w:hAnsi="標楷體" w:hint="eastAsia"/>
          <w:szCs w:val="32"/>
        </w:rPr>
        <w:t>相關</w:t>
      </w:r>
      <w:r w:rsidR="005B58D5" w:rsidRPr="00AB3200">
        <w:rPr>
          <w:rFonts w:hAnsi="標楷體"/>
          <w:szCs w:val="32"/>
        </w:rPr>
        <w:t>資訊透明化</w:t>
      </w:r>
      <w:r w:rsidR="0028262A" w:rsidRPr="00AB3200">
        <w:rPr>
          <w:rFonts w:hAnsi="標楷體" w:hint="eastAsia"/>
          <w:szCs w:val="32"/>
        </w:rPr>
        <w:t>外，</w:t>
      </w:r>
      <w:r w:rsidR="005B58D5" w:rsidRPr="00AB3200">
        <w:rPr>
          <w:rFonts w:hAnsi="標楷體" w:hint="eastAsia"/>
          <w:szCs w:val="32"/>
        </w:rPr>
        <w:t>允應</w:t>
      </w:r>
      <w:proofErr w:type="gramStart"/>
      <w:r w:rsidR="005B58D5" w:rsidRPr="00AB3200">
        <w:rPr>
          <w:rFonts w:hAnsi="標楷體" w:hint="eastAsia"/>
          <w:szCs w:val="32"/>
        </w:rPr>
        <w:t>研</w:t>
      </w:r>
      <w:proofErr w:type="gramEnd"/>
      <w:r w:rsidR="005B58D5" w:rsidRPr="00AB3200">
        <w:rPr>
          <w:rFonts w:hAnsi="標楷體" w:hint="eastAsia"/>
          <w:szCs w:val="32"/>
        </w:rPr>
        <w:t>議公佈機制，</w:t>
      </w:r>
      <w:r w:rsidR="005B58D5" w:rsidRPr="00AB3200">
        <w:rPr>
          <w:rFonts w:hAnsi="標楷體"/>
          <w:szCs w:val="32"/>
        </w:rPr>
        <w:t>以利</w:t>
      </w:r>
      <w:r w:rsidR="005B58D5" w:rsidRPr="00AB3200">
        <w:rPr>
          <w:rFonts w:hAnsi="標楷體" w:hint="eastAsia"/>
          <w:szCs w:val="32"/>
        </w:rPr>
        <w:t>各界運用，並減少學生及家長因資訊不足，產生科系選擇之誤判</w:t>
      </w:r>
      <w:r w:rsidR="005B58D5" w:rsidRPr="00AB3200">
        <w:rPr>
          <w:rFonts w:hAnsi="標楷體"/>
          <w:szCs w:val="32"/>
        </w:rPr>
        <w:t>。</w:t>
      </w:r>
      <w:bookmarkEnd w:id="109"/>
    </w:p>
    <w:p w:rsidR="003A213D" w:rsidRPr="00AB3200" w:rsidRDefault="00036610" w:rsidP="003A213D">
      <w:pPr>
        <w:pStyle w:val="20"/>
        <w:ind w:left="1020" w:hanging="680"/>
        <w:rPr>
          <w:rFonts w:hAnsi="標楷體"/>
          <w:b/>
        </w:rPr>
      </w:pPr>
      <w:bookmarkStart w:id="110" w:name="_Toc393464400"/>
      <w:r w:rsidRPr="00AB3200">
        <w:rPr>
          <w:rFonts w:hAnsi="標楷體" w:hint="eastAsia"/>
          <w:b/>
          <w:szCs w:val="32"/>
        </w:rPr>
        <w:t>目前青年普遍存有職</w:t>
      </w:r>
      <w:proofErr w:type="gramStart"/>
      <w:r w:rsidRPr="00AB3200">
        <w:rPr>
          <w:rFonts w:hAnsi="標楷體" w:hint="eastAsia"/>
          <w:b/>
          <w:szCs w:val="32"/>
        </w:rPr>
        <w:t>涯</w:t>
      </w:r>
      <w:proofErr w:type="gramEnd"/>
      <w:r w:rsidRPr="00AB3200">
        <w:rPr>
          <w:rFonts w:hAnsi="標楷體" w:hint="eastAsia"/>
          <w:b/>
          <w:szCs w:val="32"/>
        </w:rPr>
        <w:t>迷惘情形，</w:t>
      </w:r>
      <w:r w:rsidRPr="00AB3200">
        <w:rPr>
          <w:rFonts w:hAnsi="標楷體"/>
          <w:b/>
          <w:szCs w:val="32"/>
        </w:rPr>
        <w:t>教育部為協助學生瞭解</w:t>
      </w:r>
      <w:r w:rsidRPr="00AB3200">
        <w:rPr>
          <w:rFonts w:hAnsi="標楷體" w:hint="eastAsia"/>
          <w:b/>
          <w:szCs w:val="32"/>
        </w:rPr>
        <w:t>本身</w:t>
      </w:r>
      <w:r w:rsidRPr="00AB3200">
        <w:rPr>
          <w:rFonts w:hAnsi="標楷體"/>
          <w:b/>
          <w:szCs w:val="32"/>
        </w:rPr>
        <w:t>職</w:t>
      </w:r>
      <w:proofErr w:type="gramStart"/>
      <w:r w:rsidRPr="00AB3200">
        <w:rPr>
          <w:rFonts w:hAnsi="標楷體"/>
          <w:b/>
          <w:szCs w:val="32"/>
        </w:rPr>
        <w:t>涯</w:t>
      </w:r>
      <w:proofErr w:type="gramEnd"/>
      <w:r w:rsidRPr="00AB3200">
        <w:rPr>
          <w:rFonts w:hAnsi="標楷體"/>
          <w:b/>
          <w:szCs w:val="32"/>
        </w:rPr>
        <w:t>發展方向，以提升就業職能，</w:t>
      </w:r>
      <w:r w:rsidRPr="00AB3200">
        <w:rPr>
          <w:rFonts w:hAnsi="標楷體" w:hint="eastAsia"/>
          <w:b/>
          <w:szCs w:val="32"/>
        </w:rPr>
        <w:t>雖</w:t>
      </w:r>
      <w:r w:rsidRPr="00AB3200">
        <w:rPr>
          <w:rFonts w:hAnsi="標楷體"/>
          <w:b/>
          <w:szCs w:val="32"/>
        </w:rPr>
        <w:t>建置大專校院就業職能平台，惟</w:t>
      </w:r>
      <w:r w:rsidRPr="00AB3200">
        <w:rPr>
          <w:rFonts w:hAnsi="標楷體" w:hint="eastAsia"/>
          <w:b/>
          <w:szCs w:val="32"/>
        </w:rPr>
        <w:t>學生未廣泛運用，且</w:t>
      </w:r>
      <w:r w:rsidRPr="00AB3200">
        <w:rPr>
          <w:rFonts w:hAnsi="標楷體"/>
          <w:b/>
          <w:szCs w:val="32"/>
        </w:rPr>
        <w:t>系統功能未能與學校相關學習課程相結合，相關配套措施亦未周延，</w:t>
      </w:r>
      <w:r w:rsidRPr="00AB3200">
        <w:rPr>
          <w:rFonts w:hAnsi="標楷體" w:hint="eastAsia"/>
          <w:b/>
          <w:szCs w:val="32"/>
        </w:rPr>
        <w:t>有待強化</w:t>
      </w:r>
      <w:r w:rsidRPr="00AB3200">
        <w:rPr>
          <w:rFonts w:hAnsi="標楷體"/>
          <w:b/>
          <w:szCs w:val="32"/>
        </w:rPr>
        <w:t>平台</w:t>
      </w:r>
      <w:r w:rsidRPr="00AB3200">
        <w:rPr>
          <w:rFonts w:hAnsi="標楷體" w:hint="eastAsia"/>
          <w:b/>
          <w:szCs w:val="32"/>
        </w:rPr>
        <w:t>功能，並結合學校現行其他職</w:t>
      </w:r>
      <w:proofErr w:type="gramStart"/>
      <w:r w:rsidRPr="00AB3200">
        <w:rPr>
          <w:rFonts w:hAnsi="標楷體" w:hint="eastAsia"/>
          <w:b/>
          <w:szCs w:val="32"/>
        </w:rPr>
        <w:t>涯</w:t>
      </w:r>
      <w:proofErr w:type="gramEnd"/>
      <w:r w:rsidRPr="00AB3200">
        <w:rPr>
          <w:rFonts w:hAnsi="標楷體" w:hint="eastAsia"/>
          <w:b/>
          <w:szCs w:val="32"/>
        </w:rPr>
        <w:t>諮商輔導工具，以完備輔導機制，擴大輔導成效。</w:t>
      </w:r>
      <w:bookmarkEnd w:id="110"/>
    </w:p>
    <w:p w:rsidR="003A213D" w:rsidRPr="00AB3200" w:rsidRDefault="003A213D" w:rsidP="003A213D">
      <w:pPr>
        <w:pStyle w:val="3"/>
        <w:ind w:left="1360" w:hanging="680"/>
        <w:rPr>
          <w:rFonts w:hAnsi="標楷體"/>
        </w:rPr>
      </w:pPr>
      <w:bookmarkStart w:id="111" w:name="_Toc392764849"/>
      <w:bookmarkStart w:id="112" w:name="_Toc393464401"/>
      <w:r w:rsidRPr="00AB3200">
        <w:rPr>
          <w:rFonts w:hAnsi="標楷體" w:hint="eastAsia"/>
          <w:szCs w:val="32"/>
        </w:rPr>
        <w:t>據</w:t>
      </w:r>
      <w:r w:rsidRPr="00AB3200">
        <w:rPr>
          <w:rFonts w:hAnsi="標楷體"/>
          <w:szCs w:val="32"/>
        </w:rPr>
        <w:t>前行政院青年輔導委員會100年10月「提升青年就業力計畫成效評估暨就業力調查研究報告」指出，大專校院有45.8％的在校生及44.1％的畢業青年，如果有機會重新選擇，不會再選擇目前就讀的科系。</w:t>
      </w:r>
      <w:r w:rsidRPr="00AB3200">
        <w:rPr>
          <w:rFonts w:hAnsi="標楷體" w:hint="eastAsia"/>
          <w:szCs w:val="32"/>
        </w:rPr>
        <w:t>另</w:t>
      </w:r>
      <w:r w:rsidRPr="00AB3200">
        <w:rPr>
          <w:rFonts w:hAnsi="標楷體"/>
          <w:szCs w:val="32"/>
        </w:rPr>
        <w:t>查勞動部「15-29歲青年勞工就業狀況提要分析」報告(資料時間：101年10月)，</w:t>
      </w:r>
      <w:r w:rsidRPr="00AB3200">
        <w:rPr>
          <w:rFonts w:hAnsi="標楷體" w:hint="eastAsia"/>
          <w:b/>
          <w:szCs w:val="32"/>
        </w:rPr>
        <w:t>青年</w:t>
      </w:r>
      <w:r w:rsidRPr="00AB3200">
        <w:rPr>
          <w:rFonts w:hAnsi="標楷體"/>
          <w:b/>
          <w:szCs w:val="32"/>
        </w:rPr>
        <w:t>勞工初次求職遇到困難，「不知道自己適合哪方面工作」占33.6％，「求職面試技巧不足或不會寫履歷」占16.0％，兩者合計近</w:t>
      </w:r>
      <w:proofErr w:type="gramStart"/>
      <w:r w:rsidRPr="00AB3200">
        <w:rPr>
          <w:rFonts w:hAnsi="標楷體"/>
          <w:b/>
          <w:szCs w:val="32"/>
        </w:rPr>
        <w:t>5成</w:t>
      </w:r>
      <w:proofErr w:type="gramEnd"/>
      <w:r w:rsidRPr="00AB3200">
        <w:rPr>
          <w:rFonts w:hAnsi="標楷體"/>
          <w:b/>
          <w:szCs w:val="32"/>
        </w:rPr>
        <w:t>；青年勞工初次尋職前，「沒有做準備」者，高達41.7％</w:t>
      </w:r>
      <w:r w:rsidRPr="00AB3200">
        <w:rPr>
          <w:rFonts w:hAnsi="標楷體" w:hint="eastAsia"/>
          <w:b/>
          <w:szCs w:val="32"/>
        </w:rPr>
        <w:t>。</w:t>
      </w:r>
      <w:r w:rsidRPr="00AB3200">
        <w:rPr>
          <w:rFonts w:hAnsi="標楷體" w:hint="eastAsia"/>
          <w:szCs w:val="32"/>
        </w:rPr>
        <w:t>顯示當前</w:t>
      </w:r>
      <w:r w:rsidRPr="00AB3200">
        <w:rPr>
          <w:rFonts w:hAnsi="標楷體"/>
          <w:szCs w:val="32"/>
        </w:rPr>
        <w:t>青年對於自己的職業生涯規劃</w:t>
      </w:r>
      <w:r w:rsidRPr="00AB3200">
        <w:rPr>
          <w:rFonts w:hAnsi="標楷體" w:hint="eastAsia"/>
          <w:szCs w:val="32"/>
        </w:rPr>
        <w:t>，欠缺清楚認知，存有職</w:t>
      </w:r>
      <w:proofErr w:type="gramStart"/>
      <w:r w:rsidRPr="00AB3200">
        <w:rPr>
          <w:rFonts w:hAnsi="標楷體" w:hint="eastAsia"/>
          <w:szCs w:val="32"/>
        </w:rPr>
        <w:t>涯</w:t>
      </w:r>
      <w:proofErr w:type="gramEnd"/>
      <w:r w:rsidRPr="00AB3200">
        <w:rPr>
          <w:rFonts w:hAnsi="標楷體" w:hint="eastAsia"/>
          <w:szCs w:val="32"/>
        </w:rPr>
        <w:t>迷惘現象。</w:t>
      </w:r>
      <w:bookmarkEnd w:id="111"/>
      <w:bookmarkEnd w:id="112"/>
    </w:p>
    <w:p w:rsidR="00036610" w:rsidRPr="00AB3200" w:rsidRDefault="00036610" w:rsidP="00036610">
      <w:pPr>
        <w:spacing w:line="300" w:lineRule="exact"/>
        <w:jc w:val="center"/>
        <w:rPr>
          <w:kern w:val="0"/>
          <w:sz w:val="24"/>
          <w:szCs w:val="24"/>
        </w:rPr>
      </w:pPr>
      <w:r w:rsidRPr="00AB3200">
        <w:rPr>
          <w:sz w:val="24"/>
          <w:szCs w:val="24"/>
        </w:rPr>
        <w:t>青年勞工初次求職遇到困難情形</w:t>
      </w:r>
      <w:r w:rsidRPr="00AB3200">
        <w:rPr>
          <w:sz w:val="24"/>
          <w:szCs w:val="24"/>
        </w:rPr>
        <w:t>:</w:t>
      </w:r>
      <w:r w:rsidRPr="00AB3200">
        <w:rPr>
          <w:kern w:val="0"/>
          <w:sz w:val="24"/>
          <w:szCs w:val="24"/>
        </w:rPr>
        <w:t>101.10</w:t>
      </w:r>
    </w:p>
    <w:p w:rsidR="00036610" w:rsidRPr="00AB3200" w:rsidRDefault="00036610" w:rsidP="00036610">
      <w:pPr>
        <w:spacing w:line="240" w:lineRule="exact"/>
        <w:ind w:rightChars="-108" w:right="-367"/>
        <w:jc w:val="right"/>
        <w:rPr>
          <w:b/>
          <w:sz w:val="20"/>
        </w:rPr>
      </w:pPr>
      <w:r w:rsidRPr="00AB3200">
        <w:rPr>
          <w:kern w:val="0"/>
          <w:sz w:val="20"/>
        </w:rPr>
        <w:t>單位：</w:t>
      </w:r>
      <w:r w:rsidRPr="00AB3200">
        <w:rPr>
          <w:kern w:val="0"/>
          <w:sz w:val="20"/>
        </w:rPr>
        <w:t>%</w:t>
      </w:r>
    </w:p>
    <w:tbl>
      <w:tblPr>
        <w:tblpPr w:leftFromText="180" w:rightFromText="180" w:vertAnchor="text" w:horzAnchor="margin" w:tblpY="16"/>
        <w:tblOverlap w:val="never"/>
        <w:tblW w:w="52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303"/>
        <w:gridCol w:w="851"/>
        <w:gridCol w:w="1414"/>
        <w:gridCol w:w="852"/>
        <w:gridCol w:w="1174"/>
        <w:gridCol w:w="577"/>
        <w:gridCol w:w="577"/>
        <w:gridCol w:w="577"/>
        <w:gridCol w:w="577"/>
        <w:gridCol w:w="608"/>
        <w:gridCol w:w="789"/>
      </w:tblGrid>
      <w:tr w:rsidR="00036610" w:rsidRPr="00AB3200" w:rsidTr="00036610">
        <w:trPr>
          <w:trHeight w:val="170"/>
        </w:trPr>
        <w:tc>
          <w:tcPr>
            <w:tcW w:w="701" w:type="pct"/>
            <w:vMerge w:val="restart"/>
            <w:shd w:val="clear" w:color="auto" w:fill="auto"/>
            <w:noWrap/>
            <w:vAlign w:val="center"/>
          </w:tcPr>
          <w:p w:rsidR="00036610" w:rsidRPr="00AB3200" w:rsidRDefault="00036610" w:rsidP="00036610">
            <w:pPr>
              <w:widowControl/>
              <w:spacing w:line="240" w:lineRule="exact"/>
              <w:jc w:val="center"/>
              <w:rPr>
                <w:kern w:val="0"/>
                <w:sz w:val="20"/>
              </w:rPr>
            </w:pPr>
            <w:r w:rsidRPr="00AB3200">
              <w:rPr>
                <w:kern w:val="0"/>
                <w:sz w:val="20"/>
              </w:rPr>
              <w:t>項目別</w:t>
            </w:r>
          </w:p>
        </w:tc>
        <w:tc>
          <w:tcPr>
            <w:tcW w:w="3875" w:type="pct"/>
            <w:gridSpan w:val="9"/>
            <w:shd w:val="clear" w:color="auto" w:fill="auto"/>
            <w:vAlign w:val="center"/>
          </w:tcPr>
          <w:p w:rsidR="00036610" w:rsidRPr="00AB3200" w:rsidRDefault="00036610" w:rsidP="00036610">
            <w:pPr>
              <w:widowControl/>
              <w:spacing w:line="280" w:lineRule="exact"/>
              <w:jc w:val="center"/>
              <w:rPr>
                <w:kern w:val="0"/>
                <w:sz w:val="20"/>
              </w:rPr>
            </w:pPr>
            <w:r w:rsidRPr="00AB3200">
              <w:rPr>
                <w:kern w:val="0"/>
                <w:sz w:val="20"/>
              </w:rPr>
              <w:t>有遇到困難</w:t>
            </w:r>
          </w:p>
        </w:tc>
        <w:tc>
          <w:tcPr>
            <w:tcW w:w="424" w:type="pct"/>
            <w:vMerge w:val="restart"/>
            <w:shd w:val="clear" w:color="auto" w:fill="auto"/>
            <w:vAlign w:val="center"/>
          </w:tcPr>
          <w:p w:rsidR="00036610" w:rsidRPr="00AB3200" w:rsidRDefault="00036610" w:rsidP="00036610">
            <w:pPr>
              <w:spacing w:line="280" w:lineRule="exact"/>
              <w:jc w:val="center"/>
              <w:rPr>
                <w:kern w:val="0"/>
                <w:sz w:val="20"/>
              </w:rPr>
            </w:pPr>
            <w:r w:rsidRPr="00AB3200">
              <w:rPr>
                <w:kern w:val="0"/>
                <w:sz w:val="20"/>
              </w:rPr>
              <w:t>沒有遇到困難</w:t>
            </w:r>
          </w:p>
        </w:tc>
      </w:tr>
      <w:tr w:rsidR="00036610" w:rsidRPr="00AB3200" w:rsidTr="00036610">
        <w:trPr>
          <w:trHeight w:val="549"/>
        </w:trPr>
        <w:tc>
          <w:tcPr>
            <w:tcW w:w="701" w:type="pct"/>
            <w:vMerge/>
            <w:vAlign w:val="center"/>
          </w:tcPr>
          <w:p w:rsidR="00036610" w:rsidRPr="00AB3200" w:rsidRDefault="00036610" w:rsidP="00036610">
            <w:pPr>
              <w:widowControl/>
              <w:spacing w:line="240" w:lineRule="exact"/>
              <w:rPr>
                <w:kern w:val="0"/>
                <w:sz w:val="20"/>
              </w:rPr>
            </w:pPr>
          </w:p>
        </w:tc>
        <w:tc>
          <w:tcPr>
            <w:tcW w:w="458" w:type="pct"/>
            <w:shd w:val="clear" w:color="auto" w:fill="auto"/>
            <w:vAlign w:val="center"/>
          </w:tcPr>
          <w:p w:rsidR="00036610" w:rsidRPr="00AB3200" w:rsidRDefault="00036610" w:rsidP="00036610">
            <w:pPr>
              <w:widowControl/>
              <w:spacing w:line="280" w:lineRule="exact"/>
              <w:jc w:val="center"/>
              <w:rPr>
                <w:kern w:val="0"/>
                <w:sz w:val="20"/>
              </w:rPr>
            </w:pPr>
            <w:r w:rsidRPr="00AB3200">
              <w:rPr>
                <w:kern w:val="0"/>
                <w:sz w:val="20"/>
              </w:rPr>
              <w:t>求職管道不足</w:t>
            </w:r>
          </w:p>
        </w:tc>
        <w:tc>
          <w:tcPr>
            <w:tcW w:w="761" w:type="pct"/>
            <w:shd w:val="clear" w:color="auto" w:fill="auto"/>
            <w:vAlign w:val="center"/>
          </w:tcPr>
          <w:p w:rsidR="00036610" w:rsidRPr="00AB3200" w:rsidRDefault="00036610" w:rsidP="00036610">
            <w:pPr>
              <w:widowControl/>
              <w:spacing w:line="280" w:lineRule="exact"/>
              <w:jc w:val="center"/>
              <w:rPr>
                <w:kern w:val="0"/>
                <w:sz w:val="20"/>
              </w:rPr>
            </w:pPr>
            <w:r w:rsidRPr="00AB3200">
              <w:rPr>
                <w:kern w:val="0"/>
                <w:sz w:val="20"/>
              </w:rPr>
              <w:t>求職面試技巧不足或不會寫履歷</w:t>
            </w:r>
          </w:p>
        </w:tc>
        <w:tc>
          <w:tcPr>
            <w:tcW w:w="458" w:type="pct"/>
            <w:shd w:val="clear" w:color="auto" w:fill="auto"/>
            <w:vAlign w:val="center"/>
          </w:tcPr>
          <w:p w:rsidR="00036610" w:rsidRPr="00AB3200" w:rsidRDefault="00036610" w:rsidP="00036610">
            <w:pPr>
              <w:widowControl/>
              <w:spacing w:line="280" w:lineRule="exact"/>
              <w:jc w:val="center"/>
              <w:rPr>
                <w:kern w:val="0"/>
                <w:sz w:val="20"/>
              </w:rPr>
            </w:pPr>
            <w:r w:rsidRPr="00AB3200">
              <w:rPr>
                <w:kern w:val="0"/>
                <w:sz w:val="20"/>
              </w:rPr>
              <w:t>工作內容要求</w:t>
            </w:r>
            <w:proofErr w:type="gramStart"/>
            <w:r w:rsidRPr="00AB3200">
              <w:rPr>
                <w:kern w:val="0"/>
                <w:sz w:val="20"/>
              </w:rPr>
              <w:t>不</w:t>
            </w:r>
            <w:proofErr w:type="gramEnd"/>
            <w:r w:rsidRPr="00AB3200">
              <w:rPr>
                <w:kern w:val="0"/>
                <w:sz w:val="20"/>
              </w:rPr>
              <w:t>瞭解</w:t>
            </w:r>
          </w:p>
        </w:tc>
        <w:tc>
          <w:tcPr>
            <w:tcW w:w="631" w:type="pct"/>
            <w:shd w:val="clear" w:color="auto" w:fill="auto"/>
            <w:vAlign w:val="center"/>
          </w:tcPr>
          <w:p w:rsidR="00036610" w:rsidRPr="00AB3200" w:rsidRDefault="00036610" w:rsidP="00036610">
            <w:pPr>
              <w:widowControl/>
              <w:spacing w:line="280" w:lineRule="exact"/>
              <w:jc w:val="center"/>
              <w:rPr>
                <w:kern w:val="0"/>
                <w:sz w:val="20"/>
              </w:rPr>
            </w:pPr>
            <w:r w:rsidRPr="00AB3200">
              <w:rPr>
                <w:kern w:val="0"/>
                <w:sz w:val="20"/>
              </w:rPr>
              <w:t>不知道自己適合哪方面工作</w:t>
            </w:r>
          </w:p>
        </w:tc>
        <w:tc>
          <w:tcPr>
            <w:tcW w:w="310" w:type="pct"/>
            <w:shd w:val="clear" w:color="auto" w:fill="auto"/>
            <w:vAlign w:val="center"/>
          </w:tcPr>
          <w:p w:rsidR="00036610" w:rsidRPr="00AB3200" w:rsidRDefault="00036610" w:rsidP="00036610">
            <w:pPr>
              <w:widowControl/>
              <w:spacing w:line="280" w:lineRule="exact"/>
              <w:jc w:val="center"/>
              <w:rPr>
                <w:kern w:val="0"/>
                <w:sz w:val="20"/>
              </w:rPr>
            </w:pPr>
            <w:r w:rsidRPr="00AB3200">
              <w:rPr>
                <w:kern w:val="0"/>
                <w:sz w:val="20"/>
              </w:rPr>
              <w:t>技能</w:t>
            </w:r>
          </w:p>
          <w:p w:rsidR="00036610" w:rsidRPr="00AB3200" w:rsidRDefault="00036610" w:rsidP="00036610">
            <w:pPr>
              <w:widowControl/>
              <w:spacing w:line="280" w:lineRule="exact"/>
              <w:jc w:val="center"/>
              <w:rPr>
                <w:kern w:val="0"/>
                <w:sz w:val="20"/>
              </w:rPr>
            </w:pPr>
            <w:r w:rsidRPr="00AB3200">
              <w:rPr>
                <w:kern w:val="0"/>
                <w:sz w:val="20"/>
              </w:rPr>
              <w:t>不足</w:t>
            </w:r>
          </w:p>
        </w:tc>
        <w:tc>
          <w:tcPr>
            <w:tcW w:w="310" w:type="pct"/>
            <w:shd w:val="clear" w:color="auto" w:fill="auto"/>
            <w:vAlign w:val="center"/>
          </w:tcPr>
          <w:p w:rsidR="00036610" w:rsidRPr="00AB3200" w:rsidRDefault="00036610" w:rsidP="00036610">
            <w:pPr>
              <w:widowControl/>
              <w:spacing w:line="280" w:lineRule="exact"/>
              <w:jc w:val="center"/>
              <w:rPr>
                <w:kern w:val="0"/>
                <w:sz w:val="20"/>
              </w:rPr>
            </w:pPr>
            <w:r w:rsidRPr="00AB3200">
              <w:rPr>
                <w:kern w:val="0"/>
                <w:sz w:val="20"/>
              </w:rPr>
              <w:t>學歷</w:t>
            </w:r>
          </w:p>
          <w:p w:rsidR="00036610" w:rsidRPr="00AB3200" w:rsidRDefault="00036610" w:rsidP="00036610">
            <w:pPr>
              <w:widowControl/>
              <w:spacing w:line="280" w:lineRule="exact"/>
              <w:jc w:val="center"/>
              <w:rPr>
                <w:kern w:val="0"/>
                <w:sz w:val="20"/>
              </w:rPr>
            </w:pPr>
            <w:r w:rsidRPr="00AB3200">
              <w:rPr>
                <w:kern w:val="0"/>
                <w:sz w:val="20"/>
              </w:rPr>
              <w:t>不足</w:t>
            </w:r>
          </w:p>
        </w:tc>
        <w:tc>
          <w:tcPr>
            <w:tcW w:w="310" w:type="pct"/>
            <w:shd w:val="clear" w:color="auto" w:fill="auto"/>
            <w:vAlign w:val="center"/>
          </w:tcPr>
          <w:p w:rsidR="00036610" w:rsidRPr="00AB3200" w:rsidRDefault="00036610" w:rsidP="00036610">
            <w:pPr>
              <w:widowControl/>
              <w:spacing w:line="280" w:lineRule="exact"/>
              <w:jc w:val="center"/>
              <w:rPr>
                <w:kern w:val="0"/>
                <w:sz w:val="20"/>
              </w:rPr>
            </w:pPr>
            <w:r w:rsidRPr="00AB3200">
              <w:rPr>
                <w:kern w:val="0"/>
                <w:sz w:val="20"/>
              </w:rPr>
              <w:t>經歷</w:t>
            </w:r>
          </w:p>
          <w:p w:rsidR="00036610" w:rsidRPr="00AB3200" w:rsidRDefault="00036610" w:rsidP="00036610">
            <w:pPr>
              <w:widowControl/>
              <w:spacing w:line="280" w:lineRule="exact"/>
              <w:jc w:val="center"/>
              <w:rPr>
                <w:kern w:val="0"/>
                <w:sz w:val="20"/>
              </w:rPr>
            </w:pPr>
            <w:r w:rsidRPr="00AB3200">
              <w:rPr>
                <w:kern w:val="0"/>
                <w:sz w:val="20"/>
              </w:rPr>
              <w:t>不足</w:t>
            </w:r>
          </w:p>
        </w:tc>
        <w:tc>
          <w:tcPr>
            <w:tcW w:w="310" w:type="pct"/>
            <w:shd w:val="clear" w:color="auto" w:fill="auto"/>
            <w:vAlign w:val="center"/>
          </w:tcPr>
          <w:p w:rsidR="00036610" w:rsidRPr="00AB3200" w:rsidRDefault="00036610" w:rsidP="00036610">
            <w:pPr>
              <w:widowControl/>
              <w:spacing w:line="280" w:lineRule="exact"/>
              <w:jc w:val="center"/>
              <w:rPr>
                <w:kern w:val="0"/>
                <w:sz w:val="20"/>
              </w:rPr>
            </w:pPr>
            <w:r w:rsidRPr="00AB3200">
              <w:rPr>
                <w:kern w:val="0"/>
                <w:sz w:val="20"/>
              </w:rPr>
              <w:t>適合的職缺少</w:t>
            </w:r>
          </w:p>
        </w:tc>
        <w:tc>
          <w:tcPr>
            <w:tcW w:w="326" w:type="pct"/>
            <w:vAlign w:val="center"/>
          </w:tcPr>
          <w:p w:rsidR="00036610" w:rsidRPr="00AB3200" w:rsidRDefault="00036610" w:rsidP="00036610">
            <w:pPr>
              <w:widowControl/>
              <w:spacing w:line="280" w:lineRule="exact"/>
              <w:jc w:val="center"/>
              <w:rPr>
                <w:kern w:val="0"/>
                <w:sz w:val="20"/>
              </w:rPr>
            </w:pPr>
            <w:r w:rsidRPr="00AB3200">
              <w:rPr>
                <w:kern w:val="0"/>
                <w:sz w:val="20"/>
              </w:rPr>
              <w:t>其他</w:t>
            </w:r>
          </w:p>
        </w:tc>
        <w:tc>
          <w:tcPr>
            <w:tcW w:w="424" w:type="pct"/>
            <w:vMerge/>
            <w:shd w:val="clear" w:color="auto" w:fill="auto"/>
            <w:vAlign w:val="center"/>
          </w:tcPr>
          <w:p w:rsidR="00036610" w:rsidRPr="00AB3200" w:rsidRDefault="00036610" w:rsidP="00036610">
            <w:pPr>
              <w:widowControl/>
              <w:spacing w:line="280" w:lineRule="exact"/>
              <w:rPr>
                <w:kern w:val="0"/>
                <w:sz w:val="20"/>
              </w:rPr>
            </w:pPr>
          </w:p>
        </w:tc>
      </w:tr>
      <w:tr w:rsidR="00036610" w:rsidRPr="00AB3200" w:rsidTr="00036610">
        <w:trPr>
          <w:trHeight w:val="67"/>
        </w:trPr>
        <w:tc>
          <w:tcPr>
            <w:tcW w:w="701" w:type="pct"/>
            <w:shd w:val="clear" w:color="auto" w:fill="auto"/>
            <w:noWrap/>
            <w:vAlign w:val="center"/>
          </w:tcPr>
          <w:p w:rsidR="00036610" w:rsidRPr="00AB3200" w:rsidRDefault="00036610" w:rsidP="00036610">
            <w:pPr>
              <w:widowControl/>
              <w:spacing w:line="220" w:lineRule="exact"/>
              <w:ind w:firstLineChars="100" w:firstLine="220"/>
              <w:rPr>
                <w:kern w:val="0"/>
                <w:sz w:val="20"/>
              </w:rPr>
            </w:pPr>
            <w:r w:rsidRPr="00AB3200">
              <w:rPr>
                <w:kern w:val="0"/>
                <w:sz w:val="20"/>
              </w:rPr>
              <w:t>15~18</w:t>
            </w:r>
            <w:r w:rsidRPr="00AB3200">
              <w:rPr>
                <w:kern w:val="0"/>
                <w:sz w:val="20"/>
              </w:rPr>
              <w:t>歲</w:t>
            </w:r>
          </w:p>
        </w:tc>
        <w:tc>
          <w:tcPr>
            <w:tcW w:w="458" w:type="pct"/>
            <w:shd w:val="clear" w:color="auto" w:fill="auto"/>
            <w:noWrap/>
            <w:vAlign w:val="center"/>
          </w:tcPr>
          <w:p w:rsidR="00036610" w:rsidRPr="00AB3200" w:rsidRDefault="00036610" w:rsidP="00036610">
            <w:pPr>
              <w:spacing w:line="220" w:lineRule="exact"/>
              <w:jc w:val="right"/>
              <w:rPr>
                <w:sz w:val="20"/>
              </w:rPr>
            </w:pPr>
            <w:r w:rsidRPr="00AB3200">
              <w:rPr>
                <w:sz w:val="20"/>
              </w:rPr>
              <w:t>7.9</w:t>
            </w:r>
          </w:p>
        </w:tc>
        <w:tc>
          <w:tcPr>
            <w:tcW w:w="761" w:type="pct"/>
            <w:shd w:val="clear" w:color="auto" w:fill="auto"/>
            <w:noWrap/>
            <w:vAlign w:val="center"/>
          </w:tcPr>
          <w:p w:rsidR="00036610" w:rsidRPr="00AB3200" w:rsidRDefault="00036610" w:rsidP="00036610">
            <w:pPr>
              <w:spacing w:line="220" w:lineRule="exact"/>
              <w:jc w:val="right"/>
              <w:rPr>
                <w:sz w:val="20"/>
              </w:rPr>
            </w:pPr>
            <w:r w:rsidRPr="00AB3200">
              <w:rPr>
                <w:sz w:val="20"/>
              </w:rPr>
              <w:t>10.3</w:t>
            </w:r>
          </w:p>
        </w:tc>
        <w:tc>
          <w:tcPr>
            <w:tcW w:w="458" w:type="pct"/>
            <w:shd w:val="clear" w:color="auto" w:fill="auto"/>
            <w:noWrap/>
            <w:vAlign w:val="center"/>
          </w:tcPr>
          <w:p w:rsidR="00036610" w:rsidRPr="00AB3200" w:rsidRDefault="00036610" w:rsidP="00036610">
            <w:pPr>
              <w:spacing w:line="220" w:lineRule="exact"/>
              <w:jc w:val="right"/>
              <w:rPr>
                <w:sz w:val="20"/>
              </w:rPr>
            </w:pPr>
            <w:r w:rsidRPr="00AB3200">
              <w:rPr>
                <w:sz w:val="20"/>
              </w:rPr>
              <w:t>8.2</w:t>
            </w:r>
          </w:p>
        </w:tc>
        <w:tc>
          <w:tcPr>
            <w:tcW w:w="631" w:type="pct"/>
            <w:shd w:val="clear" w:color="auto" w:fill="auto"/>
            <w:noWrap/>
            <w:vAlign w:val="center"/>
          </w:tcPr>
          <w:p w:rsidR="00036610" w:rsidRPr="00AB3200" w:rsidRDefault="00036610" w:rsidP="00036610">
            <w:pPr>
              <w:spacing w:line="220" w:lineRule="exact"/>
              <w:jc w:val="right"/>
              <w:rPr>
                <w:sz w:val="20"/>
              </w:rPr>
            </w:pPr>
            <w:r w:rsidRPr="00AB3200">
              <w:rPr>
                <w:sz w:val="20"/>
              </w:rPr>
              <w:t>30.4</w:t>
            </w:r>
          </w:p>
        </w:tc>
        <w:tc>
          <w:tcPr>
            <w:tcW w:w="310" w:type="pct"/>
            <w:shd w:val="clear" w:color="auto" w:fill="auto"/>
            <w:noWrap/>
            <w:vAlign w:val="center"/>
          </w:tcPr>
          <w:p w:rsidR="00036610" w:rsidRPr="00AB3200" w:rsidRDefault="00036610" w:rsidP="00036610">
            <w:pPr>
              <w:spacing w:line="220" w:lineRule="exact"/>
              <w:jc w:val="right"/>
              <w:rPr>
                <w:sz w:val="20"/>
              </w:rPr>
            </w:pPr>
            <w:r w:rsidRPr="00AB3200">
              <w:rPr>
                <w:sz w:val="20"/>
              </w:rPr>
              <w:t>17.7</w:t>
            </w:r>
          </w:p>
        </w:tc>
        <w:tc>
          <w:tcPr>
            <w:tcW w:w="310" w:type="pct"/>
            <w:shd w:val="clear" w:color="auto" w:fill="auto"/>
            <w:noWrap/>
            <w:vAlign w:val="center"/>
          </w:tcPr>
          <w:p w:rsidR="00036610" w:rsidRPr="00AB3200" w:rsidRDefault="00036610" w:rsidP="00036610">
            <w:pPr>
              <w:spacing w:line="220" w:lineRule="exact"/>
              <w:jc w:val="right"/>
              <w:rPr>
                <w:sz w:val="20"/>
              </w:rPr>
            </w:pPr>
            <w:r w:rsidRPr="00AB3200">
              <w:rPr>
                <w:sz w:val="20"/>
              </w:rPr>
              <w:t>16.8</w:t>
            </w:r>
          </w:p>
        </w:tc>
        <w:tc>
          <w:tcPr>
            <w:tcW w:w="310" w:type="pct"/>
            <w:shd w:val="clear" w:color="auto" w:fill="auto"/>
            <w:noWrap/>
            <w:vAlign w:val="center"/>
          </w:tcPr>
          <w:p w:rsidR="00036610" w:rsidRPr="00AB3200" w:rsidRDefault="00036610" w:rsidP="00036610">
            <w:pPr>
              <w:spacing w:line="220" w:lineRule="exact"/>
              <w:jc w:val="right"/>
              <w:rPr>
                <w:sz w:val="20"/>
              </w:rPr>
            </w:pPr>
            <w:r w:rsidRPr="00AB3200">
              <w:rPr>
                <w:sz w:val="20"/>
              </w:rPr>
              <w:t>27.4</w:t>
            </w:r>
          </w:p>
        </w:tc>
        <w:tc>
          <w:tcPr>
            <w:tcW w:w="310" w:type="pct"/>
            <w:shd w:val="clear" w:color="auto" w:fill="auto"/>
            <w:noWrap/>
            <w:vAlign w:val="center"/>
          </w:tcPr>
          <w:p w:rsidR="00036610" w:rsidRPr="00AB3200" w:rsidRDefault="00036610" w:rsidP="00036610">
            <w:pPr>
              <w:spacing w:line="220" w:lineRule="exact"/>
              <w:jc w:val="right"/>
              <w:rPr>
                <w:sz w:val="20"/>
              </w:rPr>
            </w:pPr>
            <w:r w:rsidRPr="00AB3200">
              <w:rPr>
                <w:sz w:val="20"/>
              </w:rPr>
              <w:t>10.7</w:t>
            </w:r>
          </w:p>
        </w:tc>
        <w:tc>
          <w:tcPr>
            <w:tcW w:w="326" w:type="pct"/>
            <w:vAlign w:val="center"/>
          </w:tcPr>
          <w:p w:rsidR="00036610" w:rsidRPr="00AB3200" w:rsidRDefault="00036610" w:rsidP="00036610">
            <w:pPr>
              <w:spacing w:line="220" w:lineRule="exact"/>
              <w:jc w:val="right"/>
              <w:rPr>
                <w:sz w:val="20"/>
              </w:rPr>
            </w:pPr>
            <w:r w:rsidRPr="00AB3200">
              <w:rPr>
                <w:sz w:val="20"/>
              </w:rPr>
              <w:t>0.3</w:t>
            </w:r>
          </w:p>
        </w:tc>
        <w:tc>
          <w:tcPr>
            <w:tcW w:w="424" w:type="pct"/>
            <w:shd w:val="clear" w:color="auto" w:fill="auto"/>
            <w:noWrap/>
            <w:vAlign w:val="center"/>
          </w:tcPr>
          <w:p w:rsidR="00036610" w:rsidRPr="00AB3200" w:rsidRDefault="00036610" w:rsidP="00036610">
            <w:pPr>
              <w:spacing w:line="220" w:lineRule="exact"/>
              <w:jc w:val="right"/>
              <w:rPr>
                <w:sz w:val="20"/>
              </w:rPr>
            </w:pPr>
            <w:r w:rsidRPr="00AB3200">
              <w:rPr>
                <w:sz w:val="20"/>
              </w:rPr>
              <w:t>45.9</w:t>
            </w:r>
          </w:p>
        </w:tc>
      </w:tr>
      <w:tr w:rsidR="00036610" w:rsidRPr="00AB3200" w:rsidTr="00036610">
        <w:trPr>
          <w:trHeight w:val="67"/>
        </w:trPr>
        <w:tc>
          <w:tcPr>
            <w:tcW w:w="701" w:type="pct"/>
            <w:shd w:val="clear" w:color="auto" w:fill="auto"/>
            <w:noWrap/>
            <w:vAlign w:val="center"/>
          </w:tcPr>
          <w:p w:rsidR="00036610" w:rsidRPr="00AB3200" w:rsidRDefault="00036610" w:rsidP="00036610">
            <w:pPr>
              <w:widowControl/>
              <w:spacing w:line="220" w:lineRule="exact"/>
              <w:ind w:firstLineChars="100" w:firstLine="220"/>
              <w:rPr>
                <w:kern w:val="0"/>
                <w:sz w:val="20"/>
              </w:rPr>
            </w:pPr>
            <w:r w:rsidRPr="00AB3200">
              <w:rPr>
                <w:kern w:val="0"/>
                <w:sz w:val="20"/>
              </w:rPr>
              <w:t>19~21</w:t>
            </w:r>
            <w:r w:rsidRPr="00AB3200">
              <w:rPr>
                <w:kern w:val="0"/>
                <w:sz w:val="20"/>
              </w:rPr>
              <w:t>歲</w:t>
            </w:r>
          </w:p>
        </w:tc>
        <w:tc>
          <w:tcPr>
            <w:tcW w:w="458" w:type="pct"/>
            <w:shd w:val="clear" w:color="auto" w:fill="auto"/>
            <w:noWrap/>
            <w:vAlign w:val="center"/>
          </w:tcPr>
          <w:p w:rsidR="00036610" w:rsidRPr="00AB3200" w:rsidRDefault="00036610" w:rsidP="00036610">
            <w:pPr>
              <w:spacing w:line="220" w:lineRule="exact"/>
              <w:jc w:val="right"/>
              <w:rPr>
                <w:sz w:val="20"/>
              </w:rPr>
            </w:pPr>
            <w:r w:rsidRPr="00AB3200">
              <w:rPr>
                <w:sz w:val="20"/>
              </w:rPr>
              <w:t>6.9</w:t>
            </w:r>
          </w:p>
        </w:tc>
        <w:tc>
          <w:tcPr>
            <w:tcW w:w="761" w:type="pct"/>
            <w:shd w:val="clear" w:color="auto" w:fill="auto"/>
            <w:noWrap/>
            <w:vAlign w:val="center"/>
          </w:tcPr>
          <w:p w:rsidR="00036610" w:rsidRPr="00AB3200" w:rsidRDefault="00036610" w:rsidP="00036610">
            <w:pPr>
              <w:spacing w:line="220" w:lineRule="exact"/>
              <w:jc w:val="right"/>
              <w:rPr>
                <w:sz w:val="20"/>
              </w:rPr>
            </w:pPr>
            <w:r w:rsidRPr="00AB3200">
              <w:rPr>
                <w:sz w:val="20"/>
              </w:rPr>
              <w:t>13.2</w:t>
            </w:r>
          </w:p>
        </w:tc>
        <w:tc>
          <w:tcPr>
            <w:tcW w:w="458" w:type="pct"/>
            <w:shd w:val="clear" w:color="auto" w:fill="auto"/>
            <w:noWrap/>
            <w:vAlign w:val="center"/>
          </w:tcPr>
          <w:p w:rsidR="00036610" w:rsidRPr="00AB3200" w:rsidRDefault="00036610" w:rsidP="00036610">
            <w:pPr>
              <w:spacing w:line="220" w:lineRule="exact"/>
              <w:jc w:val="right"/>
              <w:rPr>
                <w:sz w:val="20"/>
              </w:rPr>
            </w:pPr>
            <w:r w:rsidRPr="00AB3200">
              <w:rPr>
                <w:sz w:val="20"/>
              </w:rPr>
              <w:t>9.8</w:t>
            </w:r>
          </w:p>
        </w:tc>
        <w:tc>
          <w:tcPr>
            <w:tcW w:w="631" w:type="pct"/>
            <w:shd w:val="clear" w:color="auto" w:fill="auto"/>
            <w:noWrap/>
            <w:vAlign w:val="center"/>
          </w:tcPr>
          <w:p w:rsidR="00036610" w:rsidRPr="00AB3200" w:rsidRDefault="00036610" w:rsidP="00036610">
            <w:pPr>
              <w:spacing w:line="220" w:lineRule="exact"/>
              <w:jc w:val="right"/>
              <w:rPr>
                <w:sz w:val="20"/>
              </w:rPr>
            </w:pPr>
            <w:r w:rsidRPr="00AB3200">
              <w:rPr>
                <w:sz w:val="20"/>
              </w:rPr>
              <w:t>34.5</w:t>
            </w:r>
          </w:p>
        </w:tc>
        <w:tc>
          <w:tcPr>
            <w:tcW w:w="310" w:type="pct"/>
            <w:shd w:val="clear" w:color="auto" w:fill="auto"/>
            <w:noWrap/>
            <w:vAlign w:val="center"/>
          </w:tcPr>
          <w:p w:rsidR="00036610" w:rsidRPr="00AB3200" w:rsidRDefault="00036610" w:rsidP="00036610">
            <w:pPr>
              <w:spacing w:line="220" w:lineRule="exact"/>
              <w:jc w:val="right"/>
              <w:rPr>
                <w:sz w:val="20"/>
              </w:rPr>
            </w:pPr>
            <w:r w:rsidRPr="00AB3200">
              <w:rPr>
                <w:sz w:val="20"/>
              </w:rPr>
              <w:t>16.9</w:t>
            </w:r>
          </w:p>
        </w:tc>
        <w:tc>
          <w:tcPr>
            <w:tcW w:w="310" w:type="pct"/>
            <w:shd w:val="clear" w:color="auto" w:fill="auto"/>
            <w:noWrap/>
            <w:vAlign w:val="center"/>
          </w:tcPr>
          <w:p w:rsidR="00036610" w:rsidRPr="00AB3200" w:rsidRDefault="00036610" w:rsidP="00036610">
            <w:pPr>
              <w:spacing w:line="220" w:lineRule="exact"/>
              <w:jc w:val="right"/>
              <w:rPr>
                <w:sz w:val="20"/>
              </w:rPr>
            </w:pPr>
            <w:r w:rsidRPr="00AB3200">
              <w:rPr>
                <w:sz w:val="20"/>
              </w:rPr>
              <w:t>13.4</w:t>
            </w:r>
          </w:p>
        </w:tc>
        <w:tc>
          <w:tcPr>
            <w:tcW w:w="310" w:type="pct"/>
            <w:shd w:val="clear" w:color="auto" w:fill="auto"/>
            <w:noWrap/>
            <w:vAlign w:val="center"/>
          </w:tcPr>
          <w:p w:rsidR="00036610" w:rsidRPr="00AB3200" w:rsidRDefault="00036610" w:rsidP="00036610">
            <w:pPr>
              <w:spacing w:line="220" w:lineRule="exact"/>
              <w:jc w:val="right"/>
              <w:rPr>
                <w:sz w:val="20"/>
              </w:rPr>
            </w:pPr>
            <w:r w:rsidRPr="00AB3200">
              <w:rPr>
                <w:sz w:val="20"/>
              </w:rPr>
              <w:t>37.9</w:t>
            </w:r>
          </w:p>
        </w:tc>
        <w:tc>
          <w:tcPr>
            <w:tcW w:w="310" w:type="pct"/>
            <w:shd w:val="clear" w:color="auto" w:fill="auto"/>
            <w:noWrap/>
            <w:vAlign w:val="center"/>
          </w:tcPr>
          <w:p w:rsidR="00036610" w:rsidRPr="00AB3200" w:rsidRDefault="00036610" w:rsidP="00036610">
            <w:pPr>
              <w:spacing w:line="220" w:lineRule="exact"/>
              <w:jc w:val="right"/>
              <w:rPr>
                <w:sz w:val="20"/>
              </w:rPr>
            </w:pPr>
            <w:r w:rsidRPr="00AB3200">
              <w:rPr>
                <w:sz w:val="20"/>
              </w:rPr>
              <w:t>13.8</w:t>
            </w:r>
          </w:p>
        </w:tc>
        <w:tc>
          <w:tcPr>
            <w:tcW w:w="326" w:type="pct"/>
            <w:vAlign w:val="center"/>
          </w:tcPr>
          <w:p w:rsidR="00036610" w:rsidRPr="00AB3200" w:rsidRDefault="00036610" w:rsidP="00036610">
            <w:pPr>
              <w:spacing w:line="220" w:lineRule="exact"/>
              <w:jc w:val="right"/>
              <w:rPr>
                <w:sz w:val="20"/>
              </w:rPr>
            </w:pPr>
            <w:r w:rsidRPr="00AB3200">
              <w:rPr>
                <w:sz w:val="20"/>
              </w:rPr>
              <w:t>0.3</w:t>
            </w:r>
          </w:p>
        </w:tc>
        <w:tc>
          <w:tcPr>
            <w:tcW w:w="424" w:type="pct"/>
            <w:shd w:val="clear" w:color="auto" w:fill="auto"/>
            <w:noWrap/>
            <w:vAlign w:val="center"/>
          </w:tcPr>
          <w:p w:rsidR="00036610" w:rsidRPr="00AB3200" w:rsidRDefault="00036610" w:rsidP="00036610">
            <w:pPr>
              <w:spacing w:line="220" w:lineRule="exact"/>
              <w:jc w:val="right"/>
              <w:rPr>
                <w:sz w:val="20"/>
              </w:rPr>
            </w:pPr>
            <w:r w:rsidRPr="00AB3200">
              <w:rPr>
                <w:sz w:val="20"/>
              </w:rPr>
              <w:t>36.4</w:t>
            </w:r>
          </w:p>
        </w:tc>
      </w:tr>
      <w:tr w:rsidR="00036610" w:rsidRPr="00AB3200" w:rsidTr="00036610">
        <w:trPr>
          <w:trHeight w:val="67"/>
        </w:trPr>
        <w:tc>
          <w:tcPr>
            <w:tcW w:w="701" w:type="pct"/>
            <w:shd w:val="clear" w:color="auto" w:fill="auto"/>
            <w:noWrap/>
            <w:vAlign w:val="center"/>
          </w:tcPr>
          <w:p w:rsidR="00036610" w:rsidRPr="00AB3200" w:rsidRDefault="00036610" w:rsidP="00036610">
            <w:pPr>
              <w:widowControl/>
              <w:spacing w:line="220" w:lineRule="exact"/>
              <w:ind w:firstLineChars="100" w:firstLine="220"/>
              <w:rPr>
                <w:kern w:val="0"/>
                <w:sz w:val="20"/>
              </w:rPr>
            </w:pPr>
            <w:r w:rsidRPr="00AB3200">
              <w:rPr>
                <w:kern w:val="0"/>
                <w:sz w:val="20"/>
              </w:rPr>
              <w:t>22~25</w:t>
            </w:r>
            <w:r w:rsidRPr="00AB3200">
              <w:rPr>
                <w:kern w:val="0"/>
                <w:sz w:val="20"/>
              </w:rPr>
              <w:t>歲</w:t>
            </w:r>
          </w:p>
        </w:tc>
        <w:tc>
          <w:tcPr>
            <w:tcW w:w="458" w:type="pct"/>
            <w:shd w:val="clear" w:color="auto" w:fill="auto"/>
            <w:noWrap/>
            <w:vAlign w:val="center"/>
          </w:tcPr>
          <w:p w:rsidR="00036610" w:rsidRPr="00AB3200" w:rsidRDefault="00036610" w:rsidP="00036610">
            <w:pPr>
              <w:spacing w:line="220" w:lineRule="exact"/>
              <w:jc w:val="right"/>
              <w:rPr>
                <w:sz w:val="20"/>
              </w:rPr>
            </w:pPr>
            <w:r w:rsidRPr="00AB3200">
              <w:rPr>
                <w:sz w:val="20"/>
              </w:rPr>
              <w:t>8.0</w:t>
            </w:r>
          </w:p>
        </w:tc>
        <w:tc>
          <w:tcPr>
            <w:tcW w:w="761" w:type="pct"/>
            <w:shd w:val="clear" w:color="auto" w:fill="auto"/>
            <w:noWrap/>
            <w:vAlign w:val="center"/>
          </w:tcPr>
          <w:p w:rsidR="00036610" w:rsidRPr="00AB3200" w:rsidRDefault="00036610" w:rsidP="00036610">
            <w:pPr>
              <w:spacing w:line="220" w:lineRule="exact"/>
              <w:jc w:val="right"/>
              <w:rPr>
                <w:sz w:val="20"/>
              </w:rPr>
            </w:pPr>
            <w:r w:rsidRPr="00AB3200">
              <w:rPr>
                <w:sz w:val="20"/>
              </w:rPr>
              <w:t>19.7</w:t>
            </w:r>
          </w:p>
        </w:tc>
        <w:tc>
          <w:tcPr>
            <w:tcW w:w="458" w:type="pct"/>
            <w:shd w:val="clear" w:color="auto" w:fill="auto"/>
            <w:noWrap/>
            <w:vAlign w:val="center"/>
          </w:tcPr>
          <w:p w:rsidR="00036610" w:rsidRPr="00AB3200" w:rsidRDefault="00036610" w:rsidP="00036610">
            <w:pPr>
              <w:spacing w:line="220" w:lineRule="exact"/>
              <w:jc w:val="right"/>
              <w:rPr>
                <w:sz w:val="20"/>
              </w:rPr>
            </w:pPr>
            <w:r w:rsidRPr="00AB3200">
              <w:rPr>
                <w:sz w:val="20"/>
              </w:rPr>
              <w:t>14.4</w:t>
            </w:r>
          </w:p>
        </w:tc>
        <w:tc>
          <w:tcPr>
            <w:tcW w:w="631" w:type="pct"/>
            <w:shd w:val="clear" w:color="auto" w:fill="auto"/>
            <w:noWrap/>
            <w:vAlign w:val="center"/>
          </w:tcPr>
          <w:p w:rsidR="00036610" w:rsidRPr="00AB3200" w:rsidRDefault="00036610" w:rsidP="00036610">
            <w:pPr>
              <w:spacing w:line="220" w:lineRule="exact"/>
              <w:jc w:val="right"/>
              <w:rPr>
                <w:sz w:val="20"/>
              </w:rPr>
            </w:pPr>
            <w:r w:rsidRPr="00AB3200">
              <w:rPr>
                <w:sz w:val="20"/>
              </w:rPr>
              <w:t>35.0</w:t>
            </w:r>
          </w:p>
        </w:tc>
        <w:tc>
          <w:tcPr>
            <w:tcW w:w="310" w:type="pct"/>
            <w:shd w:val="clear" w:color="auto" w:fill="auto"/>
            <w:noWrap/>
            <w:vAlign w:val="center"/>
          </w:tcPr>
          <w:p w:rsidR="00036610" w:rsidRPr="00AB3200" w:rsidRDefault="00036610" w:rsidP="00036610">
            <w:pPr>
              <w:spacing w:line="220" w:lineRule="exact"/>
              <w:jc w:val="right"/>
              <w:rPr>
                <w:sz w:val="20"/>
              </w:rPr>
            </w:pPr>
            <w:r w:rsidRPr="00AB3200">
              <w:rPr>
                <w:sz w:val="20"/>
              </w:rPr>
              <w:t>19.6</w:t>
            </w:r>
          </w:p>
        </w:tc>
        <w:tc>
          <w:tcPr>
            <w:tcW w:w="310" w:type="pct"/>
            <w:shd w:val="clear" w:color="auto" w:fill="auto"/>
            <w:noWrap/>
            <w:vAlign w:val="center"/>
          </w:tcPr>
          <w:p w:rsidR="00036610" w:rsidRPr="00AB3200" w:rsidRDefault="00036610" w:rsidP="00036610">
            <w:pPr>
              <w:spacing w:line="220" w:lineRule="exact"/>
              <w:jc w:val="right"/>
              <w:rPr>
                <w:sz w:val="20"/>
              </w:rPr>
            </w:pPr>
            <w:r w:rsidRPr="00AB3200">
              <w:rPr>
                <w:sz w:val="20"/>
              </w:rPr>
              <w:t>5.5</w:t>
            </w:r>
          </w:p>
        </w:tc>
        <w:tc>
          <w:tcPr>
            <w:tcW w:w="310" w:type="pct"/>
            <w:shd w:val="clear" w:color="auto" w:fill="auto"/>
            <w:noWrap/>
            <w:vAlign w:val="center"/>
          </w:tcPr>
          <w:p w:rsidR="00036610" w:rsidRPr="00AB3200" w:rsidRDefault="00036610" w:rsidP="00036610">
            <w:pPr>
              <w:spacing w:line="220" w:lineRule="exact"/>
              <w:jc w:val="right"/>
              <w:rPr>
                <w:sz w:val="20"/>
              </w:rPr>
            </w:pPr>
            <w:r w:rsidRPr="00AB3200">
              <w:rPr>
                <w:sz w:val="20"/>
              </w:rPr>
              <w:t>39.5</w:t>
            </w:r>
          </w:p>
        </w:tc>
        <w:tc>
          <w:tcPr>
            <w:tcW w:w="310" w:type="pct"/>
            <w:shd w:val="clear" w:color="auto" w:fill="auto"/>
            <w:noWrap/>
            <w:vAlign w:val="center"/>
          </w:tcPr>
          <w:p w:rsidR="00036610" w:rsidRPr="00AB3200" w:rsidRDefault="00036610" w:rsidP="00036610">
            <w:pPr>
              <w:spacing w:line="220" w:lineRule="exact"/>
              <w:jc w:val="right"/>
              <w:rPr>
                <w:sz w:val="20"/>
              </w:rPr>
            </w:pPr>
            <w:r w:rsidRPr="00AB3200">
              <w:rPr>
                <w:sz w:val="20"/>
              </w:rPr>
              <w:t>16.8</w:t>
            </w:r>
          </w:p>
        </w:tc>
        <w:tc>
          <w:tcPr>
            <w:tcW w:w="326" w:type="pct"/>
            <w:vAlign w:val="center"/>
          </w:tcPr>
          <w:p w:rsidR="00036610" w:rsidRPr="00AB3200" w:rsidRDefault="00036610" w:rsidP="00036610">
            <w:pPr>
              <w:spacing w:line="220" w:lineRule="exact"/>
              <w:jc w:val="right"/>
              <w:rPr>
                <w:sz w:val="20"/>
              </w:rPr>
            </w:pPr>
            <w:r w:rsidRPr="00AB3200">
              <w:rPr>
                <w:sz w:val="20"/>
              </w:rPr>
              <w:t>0.6</w:t>
            </w:r>
          </w:p>
        </w:tc>
        <w:tc>
          <w:tcPr>
            <w:tcW w:w="424" w:type="pct"/>
            <w:shd w:val="clear" w:color="auto" w:fill="auto"/>
            <w:noWrap/>
            <w:vAlign w:val="center"/>
          </w:tcPr>
          <w:p w:rsidR="00036610" w:rsidRPr="00AB3200" w:rsidRDefault="00036610" w:rsidP="00036610">
            <w:pPr>
              <w:spacing w:line="220" w:lineRule="exact"/>
              <w:jc w:val="right"/>
              <w:rPr>
                <w:sz w:val="20"/>
              </w:rPr>
            </w:pPr>
            <w:r w:rsidRPr="00AB3200">
              <w:rPr>
                <w:sz w:val="20"/>
              </w:rPr>
              <w:t>34.5</w:t>
            </w:r>
          </w:p>
        </w:tc>
      </w:tr>
      <w:tr w:rsidR="00036610" w:rsidRPr="00AB3200" w:rsidTr="00036610">
        <w:trPr>
          <w:trHeight w:val="67"/>
        </w:trPr>
        <w:tc>
          <w:tcPr>
            <w:tcW w:w="701" w:type="pct"/>
            <w:shd w:val="clear" w:color="auto" w:fill="auto"/>
            <w:noWrap/>
            <w:vAlign w:val="center"/>
          </w:tcPr>
          <w:p w:rsidR="00036610" w:rsidRPr="00AB3200" w:rsidRDefault="00036610" w:rsidP="00036610">
            <w:pPr>
              <w:widowControl/>
              <w:spacing w:line="220" w:lineRule="exact"/>
              <w:ind w:firstLineChars="100" w:firstLine="220"/>
              <w:rPr>
                <w:kern w:val="0"/>
                <w:sz w:val="20"/>
              </w:rPr>
            </w:pPr>
            <w:r w:rsidRPr="00AB3200">
              <w:rPr>
                <w:kern w:val="0"/>
                <w:sz w:val="20"/>
              </w:rPr>
              <w:lastRenderedPageBreak/>
              <w:t>26~29</w:t>
            </w:r>
            <w:r w:rsidRPr="00AB3200">
              <w:rPr>
                <w:kern w:val="0"/>
                <w:sz w:val="20"/>
              </w:rPr>
              <w:t>歲</w:t>
            </w:r>
          </w:p>
        </w:tc>
        <w:tc>
          <w:tcPr>
            <w:tcW w:w="458" w:type="pct"/>
            <w:shd w:val="clear" w:color="auto" w:fill="auto"/>
            <w:noWrap/>
            <w:vAlign w:val="center"/>
          </w:tcPr>
          <w:p w:rsidR="00036610" w:rsidRPr="00AB3200" w:rsidRDefault="00036610" w:rsidP="00036610">
            <w:pPr>
              <w:spacing w:line="220" w:lineRule="exact"/>
              <w:jc w:val="right"/>
              <w:rPr>
                <w:sz w:val="20"/>
              </w:rPr>
            </w:pPr>
            <w:r w:rsidRPr="00AB3200">
              <w:rPr>
                <w:sz w:val="20"/>
              </w:rPr>
              <w:t>8.1</w:t>
            </w:r>
          </w:p>
        </w:tc>
        <w:tc>
          <w:tcPr>
            <w:tcW w:w="761" w:type="pct"/>
            <w:shd w:val="clear" w:color="auto" w:fill="auto"/>
            <w:noWrap/>
            <w:vAlign w:val="center"/>
          </w:tcPr>
          <w:p w:rsidR="00036610" w:rsidRPr="00AB3200" w:rsidRDefault="00036610" w:rsidP="00036610">
            <w:pPr>
              <w:spacing w:line="220" w:lineRule="exact"/>
              <w:jc w:val="right"/>
              <w:rPr>
                <w:sz w:val="20"/>
              </w:rPr>
            </w:pPr>
            <w:r w:rsidRPr="00AB3200">
              <w:rPr>
                <w:sz w:val="20"/>
              </w:rPr>
              <w:t>19.0</w:t>
            </w:r>
          </w:p>
        </w:tc>
        <w:tc>
          <w:tcPr>
            <w:tcW w:w="458" w:type="pct"/>
            <w:shd w:val="clear" w:color="auto" w:fill="auto"/>
            <w:noWrap/>
            <w:vAlign w:val="center"/>
          </w:tcPr>
          <w:p w:rsidR="00036610" w:rsidRPr="00AB3200" w:rsidRDefault="00036610" w:rsidP="00036610">
            <w:pPr>
              <w:spacing w:line="220" w:lineRule="exact"/>
              <w:jc w:val="right"/>
              <w:rPr>
                <w:sz w:val="20"/>
              </w:rPr>
            </w:pPr>
            <w:r w:rsidRPr="00AB3200">
              <w:rPr>
                <w:sz w:val="20"/>
              </w:rPr>
              <w:t>22.1</w:t>
            </w:r>
          </w:p>
        </w:tc>
        <w:tc>
          <w:tcPr>
            <w:tcW w:w="631" w:type="pct"/>
            <w:shd w:val="clear" w:color="auto" w:fill="auto"/>
            <w:noWrap/>
            <w:vAlign w:val="center"/>
          </w:tcPr>
          <w:p w:rsidR="00036610" w:rsidRPr="00AB3200" w:rsidRDefault="00036610" w:rsidP="00036610">
            <w:pPr>
              <w:spacing w:line="220" w:lineRule="exact"/>
              <w:jc w:val="right"/>
              <w:rPr>
                <w:sz w:val="20"/>
              </w:rPr>
            </w:pPr>
            <w:r w:rsidRPr="00AB3200">
              <w:rPr>
                <w:sz w:val="20"/>
              </w:rPr>
              <w:t>34.2</w:t>
            </w:r>
          </w:p>
        </w:tc>
        <w:tc>
          <w:tcPr>
            <w:tcW w:w="310" w:type="pct"/>
            <w:shd w:val="clear" w:color="auto" w:fill="auto"/>
            <w:noWrap/>
            <w:vAlign w:val="center"/>
          </w:tcPr>
          <w:p w:rsidR="00036610" w:rsidRPr="00AB3200" w:rsidRDefault="00036610" w:rsidP="00036610">
            <w:pPr>
              <w:spacing w:line="220" w:lineRule="exact"/>
              <w:jc w:val="right"/>
              <w:rPr>
                <w:sz w:val="20"/>
              </w:rPr>
            </w:pPr>
            <w:r w:rsidRPr="00AB3200">
              <w:rPr>
                <w:sz w:val="20"/>
              </w:rPr>
              <w:t>21.0</w:t>
            </w:r>
          </w:p>
        </w:tc>
        <w:tc>
          <w:tcPr>
            <w:tcW w:w="310" w:type="pct"/>
            <w:shd w:val="clear" w:color="auto" w:fill="auto"/>
            <w:noWrap/>
            <w:vAlign w:val="center"/>
          </w:tcPr>
          <w:p w:rsidR="00036610" w:rsidRPr="00AB3200" w:rsidRDefault="00036610" w:rsidP="00036610">
            <w:pPr>
              <w:spacing w:line="220" w:lineRule="exact"/>
              <w:jc w:val="right"/>
              <w:rPr>
                <w:sz w:val="20"/>
              </w:rPr>
            </w:pPr>
            <w:r w:rsidRPr="00AB3200">
              <w:rPr>
                <w:sz w:val="20"/>
              </w:rPr>
              <w:t>7.2</w:t>
            </w:r>
          </w:p>
        </w:tc>
        <w:tc>
          <w:tcPr>
            <w:tcW w:w="310" w:type="pct"/>
            <w:shd w:val="clear" w:color="auto" w:fill="auto"/>
            <w:noWrap/>
            <w:vAlign w:val="center"/>
          </w:tcPr>
          <w:p w:rsidR="00036610" w:rsidRPr="00AB3200" w:rsidRDefault="00036610" w:rsidP="00036610">
            <w:pPr>
              <w:spacing w:line="220" w:lineRule="exact"/>
              <w:jc w:val="right"/>
              <w:rPr>
                <w:sz w:val="20"/>
              </w:rPr>
            </w:pPr>
            <w:r w:rsidRPr="00AB3200">
              <w:rPr>
                <w:sz w:val="20"/>
              </w:rPr>
              <w:t>50.5</w:t>
            </w:r>
          </w:p>
        </w:tc>
        <w:tc>
          <w:tcPr>
            <w:tcW w:w="310" w:type="pct"/>
            <w:shd w:val="clear" w:color="auto" w:fill="auto"/>
            <w:noWrap/>
            <w:vAlign w:val="center"/>
          </w:tcPr>
          <w:p w:rsidR="00036610" w:rsidRPr="00AB3200" w:rsidRDefault="00036610" w:rsidP="00036610">
            <w:pPr>
              <w:spacing w:line="220" w:lineRule="exact"/>
              <w:jc w:val="right"/>
              <w:rPr>
                <w:sz w:val="20"/>
              </w:rPr>
            </w:pPr>
            <w:r w:rsidRPr="00AB3200">
              <w:rPr>
                <w:sz w:val="20"/>
              </w:rPr>
              <w:t>21.7</w:t>
            </w:r>
          </w:p>
        </w:tc>
        <w:tc>
          <w:tcPr>
            <w:tcW w:w="326" w:type="pct"/>
            <w:vAlign w:val="center"/>
          </w:tcPr>
          <w:p w:rsidR="00036610" w:rsidRPr="00AB3200" w:rsidRDefault="00036610" w:rsidP="00036610">
            <w:pPr>
              <w:spacing w:line="220" w:lineRule="exact"/>
              <w:jc w:val="right"/>
              <w:rPr>
                <w:sz w:val="20"/>
              </w:rPr>
            </w:pPr>
            <w:r w:rsidRPr="00AB3200">
              <w:rPr>
                <w:sz w:val="20"/>
              </w:rPr>
              <w:t>0.5</w:t>
            </w:r>
          </w:p>
        </w:tc>
        <w:tc>
          <w:tcPr>
            <w:tcW w:w="424" w:type="pct"/>
            <w:shd w:val="clear" w:color="auto" w:fill="auto"/>
            <w:noWrap/>
            <w:vAlign w:val="center"/>
          </w:tcPr>
          <w:p w:rsidR="00036610" w:rsidRPr="00AB3200" w:rsidRDefault="00036610" w:rsidP="00036610">
            <w:pPr>
              <w:spacing w:line="220" w:lineRule="exact"/>
              <w:jc w:val="right"/>
              <w:rPr>
                <w:sz w:val="20"/>
              </w:rPr>
            </w:pPr>
            <w:r w:rsidRPr="00AB3200">
              <w:rPr>
                <w:sz w:val="20"/>
              </w:rPr>
              <w:t>26.6</w:t>
            </w:r>
          </w:p>
        </w:tc>
      </w:tr>
      <w:tr w:rsidR="00036610" w:rsidRPr="00AB3200" w:rsidTr="00036610">
        <w:trPr>
          <w:trHeight w:val="148"/>
        </w:trPr>
        <w:tc>
          <w:tcPr>
            <w:tcW w:w="701" w:type="pct"/>
            <w:shd w:val="clear" w:color="auto" w:fill="auto"/>
            <w:noWrap/>
            <w:vAlign w:val="center"/>
          </w:tcPr>
          <w:p w:rsidR="00036610" w:rsidRPr="00AB3200" w:rsidRDefault="00036610" w:rsidP="00036610">
            <w:pPr>
              <w:widowControl/>
              <w:spacing w:line="220" w:lineRule="exact"/>
              <w:ind w:rightChars="62" w:right="211" w:firstLineChars="47" w:firstLine="103"/>
              <w:jc w:val="center"/>
              <w:rPr>
                <w:bCs/>
                <w:kern w:val="0"/>
                <w:sz w:val="20"/>
              </w:rPr>
            </w:pPr>
            <w:r w:rsidRPr="00AB3200">
              <w:rPr>
                <w:bCs/>
                <w:kern w:val="0"/>
                <w:sz w:val="20"/>
              </w:rPr>
              <w:t>總計</w:t>
            </w:r>
          </w:p>
        </w:tc>
        <w:tc>
          <w:tcPr>
            <w:tcW w:w="458" w:type="pct"/>
            <w:shd w:val="clear" w:color="auto" w:fill="auto"/>
            <w:noWrap/>
            <w:vAlign w:val="center"/>
          </w:tcPr>
          <w:p w:rsidR="00036610" w:rsidRPr="00AB3200" w:rsidRDefault="00036610" w:rsidP="00036610">
            <w:pPr>
              <w:spacing w:line="220" w:lineRule="exact"/>
              <w:jc w:val="right"/>
              <w:rPr>
                <w:sz w:val="20"/>
              </w:rPr>
            </w:pPr>
            <w:r w:rsidRPr="00AB3200">
              <w:rPr>
                <w:sz w:val="20"/>
              </w:rPr>
              <w:t>7.8</w:t>
            </w:r>
          </w:p>
        </w:tc>
        <w:tc>
          <w:tcPr>
            <w:tcW w:w="761" w:type="pct"/>
            <w:shd w:val="clear" w:color="auto" w:fill="auto"/>
            <w:noWrap/>
            <w:vAlign w:val="center"/>
          </w:tcPr>
          <w:p w:rsidR="00036610" w:rsidRPr="00AB3200" w:rsidRDefault="00036610" w:rsidP="00036610">
            <w:pPr>
              <w:spacing w:line="220" w:lineRule="exact"/>
              <w:jc w:val="right"/>
              <w:rPr>
                <w:sz w:val="20"/>
              </w:rPr>
            </w:pPr>
            <w:r w:rsidRPr="00AB3200">
              <w:rPr>
                <w:sz w:val="20"/>
              </w:rPr>
              <w:t>16.0</w:t>
            </w:r>
          </w:p>
        </w:tc>
        <w:tc>
          <w:tcPr>
            <w:tcW w:w="458" w:type="pct"/>
            <w:shd w:val="clear" w:color="auto" w:fill="auto"/>
            <w:noWrap/>
            <w:vAlign w:val="center"/>
          </w:tcPr>
          <w:p w:rsidR="00036610" w:rsidRPr="00AB3200" w:rsidRDefault="00036610" w:rsidP="00036610">
            <w:pPr>
              <w:spacing w:line="220" w:lineRule="exact"/>
              <w:jc w:val="right"/>
              <w:rPr>
                <w:sz w:val="20"/>
              </w:rPr>
            </w:pPr>
            <w:r w:rsidRPr="00AB3200">
              <w:rPr>
                <w:sz w:val="20"/>
              </w:rPr>
              <w:t>12.5</w:t>
            </w:r>
          </w:p>
        </w:tc>
        <w:tc>
          <w:tcPr>
            <w:tcW w:w="631" w:type="pct"/>
            <w:shd w:val="clear" w:color="auto" w:fill="auto"/>
            <w:noWrap/>
            <w:vAlign w:val="center"/>
          </w:tcPr>
          <w:p w:rsidR="00036610" w:rsidRPr="00AB3200" w:rsidRDefault="00036610" w:rsidP="00036610">
            <w:pPr>
              <w:spacing w:line="220" w:lineRule="exact"/>
              <w:jc w:val="right"/>
              <w:rPr>
                <w:sz w:val="20"/>
              </w:rPr>
            </w:pPr>
            <w:r w:rsidRPr="00AB3200">
              <w:rPr>
                <w:sz w:val="20"/>
              </w:rPr>
              <w:t>33.6</w:t>
            </w:r>
          </w:p>
        </w:tc>
        <w:tc>
          <w:tcPr>
            <w:tcW w:w="310" w:type="pct"/>
            <w:shd w:val="clear" w:color="auto" w:fill="auto"/>
            <w:noWrap/>
            <w:vAlign w:val="center"/>
          </w:tcPr>
          <w:p w:rsidR="00036610" w:rsidRPr="00AB3200" w:rsidRDefault="00036610" w:rsidP="00036610">
            <w:pPr>
              <w:spacing w:line="220" w:lineRule="exact"/>
              <w:jc w:val="right"/>
              <w:rPr>
                <w:sz w:val="20"/>
              </w:rPr>
            </w:pPr>
            <w:r w:rsidRPr="00AB3200">
              <w:rPr>
                <w:sz w:val="20"/>
              </w:rPr>
              <w:t>18.8</w:t>
            </w:r>
          </w:p>
        </w:tc>
        <w:tc>
          <w:tcPr>
            <w:tcW w:w="310" w:type="pct"/>
            <w:shd w:val="clear" w:color="auto" w:fill="auto"/>
            <w:noWrap/>
            <w:vAlign w:val="center"/>
          </w:tcPr>
          <w:p w:rsidR="00036610" w:rsidRPr="00AB3200" w:rsidRDefault="00036610" w:rsidP="00036610">
            <w:pPr>
              <w:spacing w:line="220" w:lineRule="exact"/>
              <w:jc w:val="right"/>
              <w:rPr>
                <w:sz w:val="20"/>
              </w:rPr>
            </w:pPr>
            <w:r w:rsidRPr="00AB3200">
              <w:rPr>
                <w:sz w:val="20"/>
              </w:rPr>
              <w:t>10.0</w:t>
            </w:r>
          </w:p>
        </w:tc>
        <w:tc>
          <w:tcPr>
            <w:tcW w:w="310" w:type="pct"/>
            <w:shd w:val="clear" w:color="auto" w:fill="auto"/>
            <w:noWrap/>
            <w:vAlign w:val="center"/>
          </w:tcPr>
          <w:p w:rsidR="00036610" w:rsidRPr="00AB3200" w:rsidRDefault="00036610" w:rsidP="00036610">
            <w:pPr>
              <w:spacing w:line="220" w:lineRule="exact"/>
              <w:jc w:val="right"/>
              <w:rPr>
                <w:sz w:val="20"/>
              </w:rPr>
            </w:pPr>
            <w:r w:rsidRPr="00AB3200">
              <w:rPr>
                <w:sz w:val="20"/>
              </w:rPr>
              <w:t>36.6</w:t>
            </w:r>
          </w:p>
        </w:tc>
        <w:tc>
          <w:tcPr>
            <w:tcW w:w="310" w:type="pct"/>
            <w:shd w:val="clear" w:color="auto" w:fill="auto"/>
            <w:noWrap/>
            <w:vAlign w:val="center"/>
          </w:tcPr>
          <w:p w:rsidR="00036610" w:rsidRPr="00AB3200" w:rsidRDefault="00036610" w:rsidP="00036610">
            <w:pPr>
              <w:spacing w:line="220" w:lineRule="exact"/>
              <w:jc w:val="right"/>
              <w:rPr>
                <w:sz w:val="20"/>
              </w:rPr>
            </w:pPr>
            <w:r w:rsidRPr="00AB3200">
              <w:rPr>
                <w:sz w:val="20"/>
              </w:rPr>
              <w:t>15.0</w:t>
            </w:r>
          </w:p>
        </w:tc>
        <w:tc>
          <w:tcPr>
            <w:tcW w:w="326" w:type="pct"/>
            <w:vAlign w:val="center"/>
          </w:tcPr>
          <w:p w:rsidR="00036610" w:rsidRPr="00AB3200" w:rsidRDefault="00036610" w:rsidP="00036610">
            <w:pPr>
              <w:spacing w:line="220" w:lineRule="exact"/>
              <w:jc w:val="right"/>
              <w:rPr>
                <w:sz w:val="20"/>
              </w:rPr>
            </w:pPr>
            <w:r w:rsidRPr="00AB3200">
              <w:rPr>
                <w:sz w:val="20"/>
              </w:rPr>
              <w:t>0.5</w:t>
            </w:r>
          </w:p>
        </w:tc>
        <w:tc>
          <w:tcPr>
            <w:tcW w:w="424" w:type="pct"/>
            <w:shd w:val="clear" w:color="auto" w:fill="auto"/>
            <w:noWrap/>
            <w:vAlign w:val="center"/>
          </w:tcPr>
          <w:p w:rsidR="00036610" w:rsidRPr="00AB3200" w:rsidRDefault="00036610" w:rsidP="00036610">
            <w:pPr>
              <w:spacing w:line="220" w:lineRule="exact"/>
              <w:jc w:val="right"/>
              <w:rPr>
                <w:sz w:val="20"/>
              </w:rPr>
            </w:pPr>
            <w:r w:rsidRPr="00AB3200">
              <w:rPr>
                <w:sz w:val="20"/>
              </w:rPr>
              <w:t>37.5</w:t>
            </w:r>
          </w:p>
        </w:tc>
      </w:tr>
    </w:tbl>
    <w:p w:rsidR="00036610" w:rsidRPr="00AB3200" w:rsidRDefault="00036610" w:rsidP="00036610">
      <w:pPr>
        <w:spacing w:line="240" w:lineRule="exact"/>
        <w:ind w:leftChars="-46" w:left="-156" w:firstLineChars="70" w:firstLine="154"/>
        <w:rPr>
          <w:kern w:val="0"/>
          <w:sz w:val="20"/>
        </w:rPr>
      </w:pPr>
      <w:r w:rsidRPr="00AB3200">
        <w:rPr>
          <w:kern w:val="0"/>
          <w:sz w:val="20"/>
        </w:rPr>
        <w:t>說明：遭遇困難情形可複選，</w:t>
      </w:r>
      <w:proofErr w:type="gramStart"/>
      <w:r w:rsidRPr="00AB3200">
        <w:rPr>
          <w:kern w:val="0"/>
          <w:sz w:val="20"/>
        </w:rPr>
        <w:t>故細項</w:t>
      </w:r>
      <w:proofErr w:type="gramEnd"/>
      <w:r w:rsidRPr="00AB3200">
        <w:rPr>
          <w:kern w:val="0"/>
          <w:sz w:val="20"/>
        </w:rPr>
        <w:t>合計大於等於合計欄。</w:t>
      </w:r>
    </w:p>
    <w:p w:rsidR="00036610" w:rsidRPr="00AB3200" w:rsidRDefault="00036610" w:rsidP="00036610">
      <w:pPr>
        <w:pStyle w:val="3"/>
        <w:numPr>
          <w:ilvl w:val="0"/>
          <w:numId w:val="0"/>
        </w:numPr>
        <w:spacing w:line="240" w:lineRule="exact"/>
        <w:rPr>
          <w:rFonts w:hAnsi="標楷體"/>
        </w:rPr>
      </w:pPr>
      <w:bookmarkStart w:id="113" w:name="_Toc393464402"/>
      <w:r w:rsidRPr="00AB3200">
        <w:rPr>
          <w:sz w:val="20"/>
        </w:rPr>
        <w:t>資料來源:勞動部</w:t>
      </w:r>
      <w:bookmarkEnd w:id="113"/>
    </w:p>
    <w:p w:rsidR="003A213D" w:rsidRPr="00AB3200" w:rsidRDefault="003A213D" w:rsidP="003A213D">
      <w:pPr>
        <w:pStyle w:val="3"/>
        <w:ind w:left="1360" w:hanging="680"/>
        <w:rPr>
          <w:rFonts w:hAnsi="標楷體"/>
        </w:rPr>
      </w:pPr>
      <w:bookmarkStart w:id="114" w:name="_Toc392764850"/>
      <w:bookmarkStart w:id="115" w:name="_Toc393464403"/>
      <w:r w:rsidRPr="00AB3200">
        <w:rPr>
          <w:rFonts w:hAnsi="標楷體"/>
          <w:szCs w:val="32"/>
        </w:rPr>
        <w:t>教育部</w:t>
      </w:r>
      <w:r w:rsidRPr="00AB3200">
        <w:rPr>
          <w:rFonts w:hAnsi="標楷體"/>
          <w:bCs w:val="0"/>
          <w:szCs w:val="32"/>
        </w:rPr>
        <w:t>為協助學生於求學階段探索並瞭解職</w:t>
      </w:r>
      <w:proofErr w:type="gramStart"/>
      <w:r w:rsidRPr="00AB3200">
        <w:rPr>
          <w:rFonts w:hAnsi="標楷體"/>
          <w:bCs w:val="0"/>
          <w:szCs w:val="32"/>
        </w:rPr>
        <w:t>涯</w:t>
      </w:r>
      <w:proofErr w:type="gramEnd"/>
      <w:r w:rsidRPr="00AB3200">
        <w:rPr>
          <w:rFonts w:hAnsi="標楷體"/>
          <w:bCs w:val="0"/>
          <w:szCs w:val="32"/>
        </w:rPr>
        <w:t>發展方向，於98年建置涵蓋職能診斷、指導諮詢、就業能力培養三個層次概念的「大專校院就業職能平台(University Career and Competency Assessment Network)，簡稱UCAN」，針對不同職</w:t>
      </w:r>
      <w:proofErr w:type="gramStart"/>
      <w:r w:rsidRPr="00AB3200">
        <w:rPr>
          <w:rFonts w:hAnsi="標楷體"/>
          <w:bCs w:val="0"/>
          <w:szCs w:val="32"/>
        </w:rPr>
        <w:t>涯</w:t>
      </w:r>
      <w:proofErr w:type="gramEnd"/>
      <w:r w:rsidRPr="00AB3200">
        <w:rPr>
          <w:rFonts w:hAnsi="標楷體"/>
          <w:bCs w:val="0"/>
          <w:szCs w:val="32"/>
        </w:rPr>
        <w:t>類型的特色、各種工作所需具備的技能及其相關職業，幫助學生依照職業興趣與專業職能進行自我評量，提早規劃自我能力養成計畫，以具備符合產業界需求的職能。</w:t>
      </w:r>
      <w:bookmarkEnd w:id="114"/>
      <w:bookmarkEnd w:id="115"/>
    </w:p>
    <w:p w:rsidR="003A213D" w:rsidRPr="00AB3200" w:rsidRDefault="003A213D" w:rsidP="003A213D">
      <w:pPr>
        <w:pStyle w:val="3"/>
        <w:ind w:left="1360" w:hanging="680"/>
        <w:rPr>
          <w:rFonts w:hAnsi="標楷體"/>
        </w:rPr>
      </w:pPr>
      <w:bookmarkStart w:id="116" w:name="_Toc392764851"/>
      <w:bookmarkStart w:id="117" w:name="_Toc393464404"/>
      <w:r w:rsidRPr="00AB3200">
        <w:rPr>
          <w:rFonts w:hAnsi="標楷體"/>
          <w:szCs w:val="32"/>
        </w:rPr>
        <w:t>依教育部「大專校院就業職能平台－UCAN」網站資料，UCAN平台主要功能包含職業查詢、職業興趣探索、職場共通職能診斷、專業職能診斷、能力養成計畫、診斷諮詢服務及檔案紀錄，學生可利用此平台，進行職業興趣探索，瞭解個人較感興趣之職業類型，再根據職業診斷結果，依平台建議之職</w:t>
      </w:r>
      <w:proofErr w:type="gramStart"/>
      <w:r w:rsidRPr="00AB3200">
        <w:rPr>
          <w:rFonts w:hAnsi="標楷體"/>
          <w:szCs w:val="32"/>
        </w:rPr>
        <w:t>涯</w:t>
      </w:r>
      <w:proofErr w:type="gramEnd"/>
      <w:r w:rsidRPr="00AB3200">
        <w:rPr>
          <w:rFonts w:hAnsi="標楷體"/>
          <w:szCs w:val="32"/>
        </w:rPr>
        <w:t>類型，進一步透過職場「共通職能」與「專業職能」兩大診斷區塊之自我職能評估，協助瞭解個人能力強弱。另平台提供學校匯入各項職能相關課程及學習活動之功能，</w:t>
      </w:r>
      <w:proofErr w:type="gramStart"/>
      <w:r w:rsidRPr="00AB3200">
        <w:rPr>
          <w:rFonts w:hAnsi="標楷體"/>
          <w:szCs w:val="32"/>
        </w:rPr>
        <w:t>爰</w:t>
      </w:r>
      <w:proofErr w:type="gramEnd"/>
      <w:r w:rsidRPr="00AB3200">
        <w:rPr>
          <w:rFonts w:hAnsi="標楷體"/>
          <w:szCs w:val="32"/>
        </w:rPr>
        <w:t>學生職能診斷結果，對於</w:t>
      </w:r>
      <w:proofErr w:type="gramStart"/>
      <w:r w:rsidRPr="00AB3200">
        <w:rPr>
          <w:rFonts w:hAnsi="標楷體"/>
          <w:szCs w:val="32"/>
        </w:rPr>
        <w:t>各種「</w:t>
      </w:r>
      <w:proofErr w:type="gramEnd"/>
      <w:r w:rsidRPr="00AB3200">
        <w:rPr>
          <w:rFonts w:hAnsi="標楷體"/>
          <w:szCs w:val="32"/>
        </w:rPr>
        <w:t>共通職能」與「專業職能」，列出評估分數(1至5分)，學生可針對要加強之職能，規劃個人能力養成計畫，進行相關課程學習活動。透過選擇養成項目(課程項目)、規劃及管理能力養成計畫的歷程，協助學生規劃、養成所需職能。同時，可點選「診斷諮詢服務」，即時向學校師長或UCAN系統管理人員提問，解決各項關於平台診斷結果或職</w:t>
      </w:r>
      <w:proofErr w:type="gramStart"/>
      <w:r w:rsidRPr="00AB3200">
        <w:rPr>
          <w:rFonts w:hAnsi="標楷體"/>
          <w:szCs w:val="32"/>
        </w:rPr>
        <w:t>涯</w:t>
      </w:r>
      <w:proofErr w:type="gramEnd"/>
      <w:r w:rsidRPr="00AB3200">
        <w:rPr>
          <w:rFonts w:hAnsi="標楷體"/>
          <w:szCs w:val="32"/>
        </w:rPr>
        <w:t>規劃相關問題。另該平台提供有關學生職</w:t>
      </w:r>
      <w:proofErr w:type="gramStart"/>
      <w:r w:rsidRPr="00AB3200">
        <w:rPr>
          <w:rFonts w:hAnsi="標楷體"/>
          <w:szCs w:val="32"/>
        </w:rPr>
        <w:t>涯</w:t>
      </w:r>
      <w:proofErr w:type="gramEnd"/>
      <w:r w:rsidRPr="00AB3200">
        <w:rPr>
          <w:rFonts w:hAnsi="標楷體"/>
          <w:szCs w:val="32"/>
        </w:rPr>
        <w:t>診斷、職能分析結果等統計報表，惟學校權責人員須先對報表內容進</w:t>
      </w:r>
      <w:r w:rsidRPr="00AB3200">
        <w:rPr>
          <w:rFonts w:hAnsi="標楷體"/>
          <w:szCs w:val="32"/>
        </w:rPr>
        <w:lastRenderedPageBreak/>
        <w:t>行分析，對於學生自我評估共通職能與專業職能分數過低者，憑藉自身專業判斷，自行篩選最須輔導學生，進行相關職</w:t>
      </w:r>
      <w:proofErr w:type="gramStart"/>
      <w:r w:rsidRPr="00AB3200">
        <w:rPr>
          <w:rFonts w:hAnsi="標楷體"/>
          <w:szCs w:val="32"/>
        </w:rPr>
        <w:t>涯</w:t>
      </w:r>
      <w:proofErr w:type="gramEnd"/>
      <w:r w:rsidRPr="00AB3200">
        <w:rPr>
          <w:rFonts w:hAnsi="標楷體"/>
          <w:szCs w:val="32"/>
        </w:rPr>
        <w:t>輔導。</w:t>
      </w:r>
      <w:bookmarkEnd w:id="116"/>
      <w:bookmarkEnd w:id="117"/>
    </w:p>
    <w:p w:rsidR="003A213D" w:rsidRPr="00AB3200" w:rsidRDefault="003A213D" w:rsidP="003A213D">
      <w:pPr>
        <w:pStyle w:val="3"/>
        <w:ind w:left="1360" w:hanging="680"/>
        <w:rPr>
          <w:rFonts w:hAnsi="標楷體"/>
        </w:rPr>
      </w:pPr>
      <w:bookmarkStart w:id="118" w:name="_Toc392764852"/>
      <w:bookmarkStart w:id="119" w:name="_Toc393464405"/>
      <w:r w:rsidRPr="00AB3200">
        <w:rPr>
          <w:rFonts w:hAnsi="標楷體"/>
          <w:szCs w:val="32"/>
        </w:rPr>
        <w:t>據教育部函稱，自98年度建置UCAN平台，迄102年底建置及維護經費6,590萬餘元，係提供使用者有關未來就業之相關參考資訊及建議，並進行自我職能評估及養成，非屬強制性推動之項目，且因各校發展特色以及使用者對自我之能力評估及能力養成各不相同，針對學生能力缺口之追蹤輔導，係由學校依實際情形予以規劃與利用。該平台</w:t>
      </w:r>
      <w:r w:rsidRPr="00AB3200">
        <w:rPr>
          <w:rFonts w:hAnsi="標楷體"/>
          <w:bCs w:val="0"/>
          <w:szCs w:val="32"/>
        </w:rPr>
        <w:t>已普及於各大學校院運用，103年2月底註冊帳號計</w:t>
      </w:r>
      <w:r w:rsidRPr="00AB3200">
        <w:rPr>
          <w:rFonts w:hAnsi="標楷體"/>
          <w:szCs w:val="32"/>
        </w:rPr>
        <w:t>1,772,512</w:t>
      </w:r>
      <w:r w:rsidRPr="00AB3200">
        <w:rPr>
          <w:rFonts w:hAnsi="標楷體"/>
          <w:bCs w:val="0"/>
          <w:szCs w:val="32"/>
        </w:rPr>
        <w:t>人次。</w:t>
      </w:r>
      <w:proofErr w:type="gramStart"/>
      <w:r w:rsidRPr="00AB3200">
        <w:rPr>
          <w:rFonts w:hAnsi="標楷體"/>
          <w:bCs w:val="0"/>
          <w:szCs w:val="32"/>
        </w:rPr>
        <w:t>惟查各</w:t>
      </w:r>
      <w:proofErr w:type="gramEnd"/>
      <w:r w:rsidRPr="00AB3200">
        <w:rPr>
          <w:rFonts w:hAnsi="標楷體"/>
          <w:bCs w:val="0"/>
          <w:szCs w:val="32"/>
        </w:rPr>
        <w:t>校使用情形，</w:t>
      </w:r>
      <w:r w:rsidRPr="00AB3200">
        <w:rPr>
          <w:rFonts w:hAnsi="標楷體" w:hint="eastAsia"/>
          <w:bCs w:val="0"/>
          <w:szCs w:val="32"/>
        </w:rPr>
        <w:t>缺失計</w:t>
      </w:r>
      <w:r w:rsidRPr="00AB3200">
        <w:rPr>
          <w:rFonts w:hAnsi="標楷體"/>
          <w:bCs w:val="0"/>
          <w:szCs w:val="32"/>
        </w:rPr>
        <w:t>有：</w:t>
      </w:r>
      <w:bookmarkEnd w:id="118"/>
      <w:bookmarkEnd w:id="119"/>
    </w:p>
    <w:p w:rsidR="003A213D" w:rsidRPr="00AB3200" w:rsidRDefault="003A213D" w:rsidP="003A213D">
      <w:pPr>
        <w:pStyle w:val="4"/>
        <w:ind w:left="1843" w:hanging="709"/>
        <w:rPr>
          <w:rFonts w:hAnsi="標楷體"/>
          <w:bCs/>
        </w:rPr>
      </w:pPr>
      <w:r w:rsidRPr="00AB3200">
        <w:rPr>
          <w:rFonts w:hAnsi="標楷體"/>
          <w:szCs w:val="32"/>
        </w:rPr>
        <w:t>學生申請帳號後，從未運用平台功能進行職業興趣探索、共通職能診斷及專業職能診斷者，計有411,662個帳號(分屬69校)，占所有申請帳號之23.22％，其中未作探索及診斷之比率高於</w:t>
      </w:r>
      <w:proofErr w:type="gramStart"/>
      <w:r w:rsidRPr="00AB3200">
        <w:rPr>
          <w:rFonts w:hAnsi="標楷體"/>
          <w:szCs w:val="32"/>
        </w:rPr>
        <w:t>5成</w:t>
      </w:r>
      <w:proofErr w:type="gramEnd"/>
      <w:r w:rsidRPr="00AB3200">
        <w:rPr>
          <w:rFonts w:hAnsi="標楷體"/>
          <w:szCs w:val="32"/>
        </w:rPr>
        <w:t>者，計有34校，亟待加強推廣。</w:t>
      </w:r>
    </w:p>
    <w:p w:rsidR="003A213D" w:rsidRPr="00AB3200" w:rsidRDefault="003A213D" w:rsidP="003A213D">
      <w:pPr>
        <w:pStyle w:val="4"/>
        <w:ind w:left="1843" w:hanging="709"/>
        <w:rPr>
          <w:rFonts w:hAnsi="標楷體"/>
        </w:rPr>
      </w:pPr>
      <w:r w:rsidRPr="00AB3200">
        <w:rPr>
          <w:rFonts w:hAnsi="標楷體"/>
          <w:bCs/>
          <w:szCs w:val="32"/>
        </w:rPr>
        <w:t>依「大專校院就業職能平台營運管理及教學應用計畫103年第1季(102年12月至103年2月)季報」</w:t>
      </w:r>
      <w:r w:rsidRPr="00AB3200">
        <w:rPr>
          <w:rFonts w:hAnsi="標楷體"/>
          <w:szCs w:val="32"/>
        </w:rPr>
        <w:t>資料，102年</w:t>
      </w:r>
      <w:r w:rsidRPr="00AB3200">
        <w:rPr>
          <w:rFonts w:hAnsi="標楷體"/>
          <w:bCs/>
          <w:szCs w:val="32"/>
        </w:rPr>
        <w:t>9月至103年2月</w:t>
      </w:r>
      <w:r w:rsidRPr="00AB3200">
        <w:rPr>
          <w:rFonts w:hAnsi="標楷體"/>
          <w:szCs w:val="32"/>
        </w:rPr>
        <w:t>學生使用平台情形，學生申請帳號後，進行職業興趣探索170,829人次、共通職能診斷112,818人次、專業職能診斷85,707人次、共通職能能力養成計畫1</w:t>
      </w:r>
      <w:r w:rsidRPr="00AB3200">
        <w:rPr>
          <w:rFonts w:hAnsi="標楷體" w:hint="eastAsia"/>
          <w:szCs w:val="32"/>
        </w:rPr>
        <w:t>3</w:t>
      </w:r>
      <w:r w:rsidRPr="00AB3200">
        <w:rPr>
          <w:rFonts w:hAnsi="標楷體"/>
          <w:szCs w:val="32"/>
        </w:rPr>
        <w:t>,</w:t>
      </w:r>
      <w:r w:rsidRPr="00AB3200">
        <w:rPr>
          <w:rFonts w:hAnsi="標楷體" w:hint="eastAsia"/>
          <w:szCs w:val="32"/>
        </w:rPr>
        <w:t>014</w:t>
      </w:r>
      <w:r w:rsidRPr="00AB3200">
        <w:rPr>
          <w:rFonts w:hAnsi="標楷體"/>
          <w:szCs w:val="32"/>
        </w:rPr>
        <w:t>人次、專業職能能力養成計畫10,563人次，亦即學生進行職業興趣探索後，進行後續之共通及專業職能診斷者，僅約</w:t>
      </w:r>
      <w:proofErr w:type="gramStart"/>
      <w:r w:rsidRPr="00AB3200">
        <w:rPr>
          <w:rFonts w:hAnsi="標楷體"/>
          <w:szCs w:val="32"/>
        </w:rPr>
        <w:t>5成</w:t>
      </w:r>
      <w:proofErr w:type="gramEnd"/>
      <w:r w:rsidRPr="00AB3200">
        <w:rPr>
          <w:rFonts w:hAnsi="標楷體"/>
          <w:szCs w:val="32"/>
        </w:rPr>
        <w:t>，進行職能診斷後，復進行共通及專業職能能力養成計畫者，僅約11％、12％(若以職業興趣探索人數比率計算，更低至7％、6％)，99至101學年度亦有類此情形，顯示大多數學生進行職業興趣探索後，</w:t>
      </w:r>
      <w:r w:rsidRPr="00AB3200">
        <w:rPr>
          <w:rFonts w:hAnsi="標楷體"/>
          <w:szCs w:val="32"/>
        </w:rPr>
        <w:lastRenderedPageBreak/>
        <w:t>未根據診斷結果反映未來可能從事之職</w:t>
      </w:r>
      <w:proofErr w:type="gramStart"/>
      <w:r w:rsidRPr="00AB3200">
        <w:rPr>
          <w:rFonts w:hAnsi="標楷體"/>
          <w:szCs w:val="32"/>
        </w:rPr>
        <w:t>涯</w:t>
      </w:r>
      <w:proofErr w:type="gramEnd"/>
      <w:r w:rsidRPr="00AB3200">
        <w:rPr>
          <w:rFonts w:hAnsi="標楷體"/>
          <w:szCs w:val="32"/>
        </w:rPr>
        <w:t>類型，深入評估須具備之共通及專業職能是否足夠，並規劃後續相關學習計畫，不利於學校後續輔導工作，平台未具使用效益。</w:t>
      </w:r>
    </w:p>
    <w:p w:rsidR="003A213D" w:rsidRPr="00AB3200" w:rsidRDefault="003A213D" w:rsidP="003A213D">
      <w:pPr>
        <w:pStyle w:val="4"/>
        <w:ind w:left="1843" w:hanging="709"/>
        <w:rPr>
          <w:rFonts w:hAnsi="標楷體"/>
        </w:rPr>
      </w:pPr>
      <w:r w:rsidRPr="00AB3200">
        <w:rPr>
          <w:rFonts w:hAnsi="標楷體"/>
          <w:szCs w:val="32"/>
        </w:rPr>
        <w:t>學校匯入學習課程至平台者，僅31校，占全部161所大專校院之比率為19.25％，顯示</w:t>
      </w:r>
      <w:proofErr w:type="gramStart"/>
      <w:r w:rsidRPr="00AB3200">
        <w:rPr>
          <w:rFonts w:hAnsi="標楷體"/>
          <w:szCs w:val="32"/>
        </w:rPr>
        <w:t>8成</w:t>
      </w:r>
      <w:proofErr w:type="gramEnd"/>
      <w:r w:rsidRPr="00AB3200">
        <w:rPr>
          <w:rFonts w:hAnsi="標楷體"/>
          <w:szCs w:val="32"/>
        </w:rPr>
        <w:t>學校並未將校內相關學習課程匯入，供學生參考，以規劃能力養成計畫，平台提供之學習資訊顯有不足。</w:t>
      </w:r>
    </w:p>
    <w:p w:rsidR="00DB27A4" w:rsidRPr="00AB3200" w:rsidRDefault="00DB27A4" w:rsidP="003A213D">
      <w:pPr>
        <w:pStyle w:val="4"/>
        <w:ind w:left="1843" w:hanging="709"/>
        <w:rPr>
          <w:rFonts w:hAnsi="標楷體"/>
        </w:rPr>
      </w:pPr>
      <w:r w:rsidRPr="00AB3200">
        <w:rPr>
          <w:rFonts w:hAnsi="標楷體"/>
          <w:szCs w:val="32"/>
        </w:rPr>
        <w:t>UCAN平台</w:t>
      </w:r>
      <w:r w:rsidRPr="00AB3200">
        <w:rPr>
          <w:rFonts w:hAnsi="標楷體" w:hint="eastAsia"/>
          <w:szCs w:val="32"/>
        </w:rPr>
        <w:t>建置以來已逾5年，是否有因宣導不足或診斷能力不足，致使用率未達預期，教育部允應評估</w:t>
      </w:r>
      <w:r w:rsidR="00C3714E" w:rsidRPr="00AB3200">
        <w:rPr>
          <w:rFonts w:hAnsi="標楷體" w:hint="eastAsia"/>
          <w:szCs w:val="32"/>
        </w:rPr>
        <w:t>及檢討</w:t>
      </w:r>
      <w:r w:rsidRPr="00AB3200">
        <w:rPr>
          <w:rFonts w:hAnsi="標楷體" w:hint="eastAsia"/>
          <w:szCs w:val="32"/>
        </w:rPr>
        <w:t>該等系統之使用情形及效率，</w:t>
      </w:r>
      <w:r w:rsidR="00C3714E" w:rsidRPr="00AB3200">
        <w:rPr>
          <w:rFonts w:hAnsi="標楷體" w:hint="eastAsia"/>
          <w:szCs w:val="32"/>
        </w:rPr>
        <w:t>以</w:t>
      </w:r>
      <w:r w:rsidRPr="00AB3200">
        <w:rPr>
          <w:rFonts w:hAnsi="標楷體" w:hint="eastAsia"/>
          <w:szCs w:val="32"/>
        </w:rPr>
        <w:t>強化該</w:t>
      </w:r>
      <w:r w:rsidR="00C3714E" w:rsidRPr="00AB3200">
        <w:rPr>
          <w:rFonts w:hAnsi="標楷體" w:hint="eastAsia"/>
          <w:szCs w:val="32"/>
        </w:rPr>
        <w:t>平</w:t>
      </w:r>
      <w:r w:rsidRPr="00AB3200">
        <w:rPr>
          <w:rFonts w:hAnsi="標楷體" w:hint="eastAsia"/>
          <w:szCs w:val="32"/>
        </w:rPr>
        <w:t>台之功能</w:t>
      </w:r>
      <w:r w:rsidR="00C3714E" w:rsidRPr="00AB3200">
        <w:rPr>
          <w:rFonts w:hAnsi="標楷體" w:hint="eastAsia"/>
          <w:szCs w:val="32"/>
        </w:rPr>
        <w:t>，達成設置之目的</w:t>
      </w:r>
      <w:r w:rsidRPr="00AB3200">
        <w:rPr>
          <w:rFonts w:hAnsi="標楷體" w:hint="eastAsia"/>
          <w:szCs w:val="32"/>
        </w:rPr>
        <w:t>。</w:t>
      </w:r>
    </w:p>
    <w:p w:rsidR="003A213D" w:rsidRPr="00AB3200" w:rsidRDefault="003A213D" w:rsidP="003A213D">
      <w:pPr>
        <w:pStyle w:val="3"/>
        <w:ind w:left="1418" w:hanging="709"/>
        <w:rPr>
          <w:rFonts w:hAnsi="標楷體"/>
        </w:rPr>
      </w:pPr>
      <w:bookmarkStart w:id="120" w:name="_Toc392764853"/>
      <w:bookmarkStart w:id="121" w:name="_Toc393464406"/>
      <w:r w:rsidRPr="00AB3200">
        <w:rPr>
          <w:rFonts w:hAnsi="標楷體"/>
          <w:szCs w:val="32"/>
        </w:rPr>
        <w:t>另</w:t>
      </w:r>
      <w:r w:rsidR="00DB27A4" w:rsidRPr="00AB3200">
        <w:rPr>
          <w:rFonts w:hAnsi="標楷體"/>
          <w:szCs w:val="32"/>
        </w:rPr>
        <w:t>UCAN平台</w:t>
      </w:r>
      <w:r w:rsidRPr="00AB3200">
        <w:rPr>
          <w:rFonts w:hAnsi="標楷體"/>
          <w:szCs w:val="32"/>
        </w:rPr>
        <w:t>雖提供有關學生職</w:t>
      </w:r>
      <w:proofErr w:type="gramStart"/>
      <w:r w:rsidRPr="00AB3200">
        <w:rPr>
          <w:rFonts w:hAnsi="標楷體"/>
          <w:szCs w:val="32"/>
        </w:rPr>
        <w:t>涯</w:t>
      </w:r>
      <w:proofErr w:type="gramEnd"/>
      <w:r w:rsidRPr="00AB3200">
        <w:rPr>
          <w:rFonts w:hAnsi="標楷體"/>
          <w:szCs w:val="32"/>
        </w:rPr>
        <w:t>診斷、職能分析結果等統計報表，惟學校權責人員(教師或輔導人員)對於學生自我評估共通職能與專業職能分數過低者，須憑藉自身專業判斷，自行篩選最須輔導學生，進行相關職</w:t>
      </w:r>
      <w:proofErr w:type="gramStart"/>
      <w:r w:rsidRPr="00AB3200">
        <w:rPr>
          <w:rFonts w:hAnsi="標楷體"/>
          <w:szCs w:val="32"/>
        </w:rPr>
        <w:t>涯</w:t>
      </w:r>
      <w:proofErr w:type="gramEnd"/>
      <w:r w:rsidRPr="00AB3200">
        <w:rPr>
          <w:rFonts w:hAnsi="標楷體"/>
          <w:szCs w:val="32"/>
        </w:rPr>
        <w:t>輔導，顯示平台未具警示或主動</w:t>
      </w:r>
      <w:proofErr w:type="gramStart"/>
      <w:r w:rsidRPr="00AB3200">
        <w:rPr>
          <w:rFonts w:hAnsi="標楷體"/>
          <w:szCs w:val="32"/>
        </w:rPr>
        <w:t>篩選出亟須</w:t>
      </w:r>
      <w:proofErr w:type="gramEnd"/>
      <w:r w:rsidRPr="00AB3200">
        <w:rPr>
          <w:rFonts w:hAnsi="標楷體"/>
          <w:szCs w:val="32"/>
        </w:rPr>
        <w:t>輔導學生之功能，在教師尚須進行基本課程教學、學術研究，及輔導人員人力有限情形下，勢必影響相關輔導工作，甚至導致平台產出之報表資料，有未能妥善運用之虞，有失平台建置係協助學生於求學階段提升就業職能，以符合產業界需求之目的</w:t>
      </w:r>
      <w:r w:rsidRPr="00AB3200">
        <w:rPr>
          <w:rFonts w:hAnsi="標楷體" w:hint="eastAsia"/>
          <w:szCs w:val="32"/>
        </w:rPr>
        <w:t>；</w:t>
      </w:r>
      <w:proofErr w:type="gramStart"/>
      <w:r w:rsidRPr="00AB3200">
        <w:rPr>
          <w:rFonts w:hAnsi="標楷體" w:hint="eastAsia"/>
          <w:szCs w:val="32"/>
        </w:rPr>
        <w:t>另</w:t>
      </w:r>
      <w:proofErr w:type="gramEnd"/>
      <w:r w:rsidRPr="00AB3200">
        <w:rPr>
          <w:rFonts w:hAnsi="標楷體" w:hint="eastAsia"/>
          <w:szCs w:val="32"/>
        </w:rPr>
        <w:t>，施測後是否有輔導學生就讀相關適合之課程，</w:t>
      </w:r>
      <w:proofErr w:type="gramStart"/>
      <w:r w:rsidRPr="00AB3200">
        <w:rPr>
          <w:rFonts w:hAnsi="標楷體" w:hint="eastAsia"/>
          <w:szCs w:val="32"/>
        </w:rPr>
        <w:t>俾</w:t>
      </w:r>
      <w:proofErr w:type="gramEnd"/>
      <w:r w:rsidRPr="00AB3200">
        <w:rPr>
          <w:rFonts w:hAnsi="標楷體" w:hint="eastAsia"/>
          <w:szCs w:val="32"/>
        </w:rPr>
        <w:t>與施測結果結合，以提高施測目的，教育部亦未有相關說明。又本院履</w:t>
      </w:r>
      <w:proofErr w:type="gramStart"/>
      <w:r w:rsidRPr="00AB3200">
        <w:rPr>
          <w:rFonts w:hAnsi="標楷體" w:hint="eastAsia"/>
          <w:szCs w:val="32"/>
        </w:rPr>
        <w:t>勘</w:t>
      </w:r>
      <w:proofErr w:type="gramEnd"/>
      <w:r w:rsidRPr="00AB3200">
        <w:rPr>
          <w:rFonts w:hAnsi="標楷體" w:hint="eastAsia"/>
          <w:szCs w:val="32"/>
        </w:rPr>
        <w:t>學校實際辦理情形，雖有學校認為針對新生施測UCAN具有幫助，惟亦有學校認為</w:t>
      </w:r>
      <w:r w:rsidRPr="00AB3200">
        <w:rPr>
          <w:rFonts w:hAnsi="標楷體"/>
          <w:szCs w:val="32"/>
        </w:rPr>
        <w:t>UCAN雖能測出某些核心職能，但未必能夠了解個性或是性向</w:t>
      </w:r>
      <w:r w:rsidRPr="00AB3200">
        <w:rPr>
          <w:rFonts w:hAnsi="標楷體" w:hint="eastAsia"/>
          <w:szCs w:val="32"/>
        </w:rPr>
        <w:t>，</w:t>
      </w:r>
      <w:r w:rsidRPr="00AB3200">
        <w:rPr>
          <w:rFonts w:hAnsi="標楷體"/>
          <w:szCs w:val="32"/>
        </w:rPr>
        <w:t>故</w:t>
      </w:r>
      <w:r w:rsidRPr="00AB3200">
        <w:rPr>
          <w:rFonts w:hAnsi="標楷體" w:hint="eastAsia"/>
          <w:szCs w:val="32"/>
        </w:rPr>
        <w:t>學</w:t>
      </w:r>
      <w:r w:rsidRPr="00AB3200">
        <w:rPr>
          <w:rFonts w:hAnsi="標楷體"/>
          <w:szCs w:val="32"/>
        </w:rPr>
        <w:t>校職</w:t>
      </w:r>
      <w:proofErr w:type="gramStart"/>
      <w:r w:rsidRPr="00AB3200">
        <w:rPr>
          <w:rFonts w:hAnsi="標楷體"/>
          <w:szCs w:val="32"/>
        </w:rPr>
        <w:t>涯</w:t>
      </w:r>
      <w:proofErr w:type="gramEnd"/>
      <w:r w:rsidRPr="00AB3200">
        <w:rPr>
          <w:rFonts w:hAnsi="標楷體"/>
          <w:szCs w:val="32"/>
        </w:rPr>
        <w:t>諮詢，</w:t>
      </w:r>
      <w:r w:rsidRPr="00AB3200">
        <w:rPr>
          <w:rFonts w:hAnsi="標楷體" w:hint="eastAsia"/>
          <w:szCs w:val="32"/>
        </w:rPr>
        <w:t>尚配合其他測驗工具，如</w:t>
      </w:r>
      <w:r w:rsidRPr="00AB3200">
        <w:rPr>
          <w:rFonts w:hAnsi="標楷體"/>
          <w:szCs w:val="32"/>
        </w:rPr>
        <w:t>CPAS測驗。</w:t>
      </w:r>
      <w:r w:rsidRPr="00AB3200">
        <w:rPr>
          <w:rFonts w:hAnsi="標楷體" w:hint="eastAsia"/>
          <w:szCs w:val="32"/>
        </w:rPr>
        <w:t>則教育部尚待</w:t>
      </w:r>
      <w:r w:rsidRPr="00AB3200">
        <w:rPr>
          <w:rFonts w:hAnsi="標楷體" w:hint="eastAsia"/>
          <w:szCs w:val="32"/>
        </w:rPr>
        <w:lastRenderedPageBreak/>
        <w:t>強化</w:t>
      </w:r>
      <w:r w:rsidRPr="00AB3200">
        <w:rPr>
          <w:rFonts w:hAnsi="標楷體"/>
          <w:szCs w:val="32"/>
        </w:rPr>
        <w:t>大專校院就業職能平台</w:t>
      </w:r>
      <w:r w:rsidRPr="00AB3200">
        <w:rPr>
          <w:rFonts w:hAnsi="標楷體" w:hint="eastAsia"/>
          <w:szCs w:val="32"/>
        </w:rPr>
        <w:t>功能，並結合學校現行其他職</w:t>
      </w:r>
      <w:proofErr w:type="gramStart"/>
      <w:r w:rsidRPr="00AB3200">
        <w:rPr>
          <w:rFonts w:hAnsi="標楷體" w:hint="eastAsia"/>
          <w:szCs w:val="32"/>
        </w:rPr>
        <w:t>涯</w:t>
      </w:r>
      <w:proofErr w:type="gramEnd"/>
      <w:r w:rsidRPr="00AB3200">
        <w:rPr>
          <w:rFonts w:hAnsi="標楷體" w:hint="eastAsia"/>
          <w:szCs w:val="32"/>
        </w:rPr>
        <w:t>諮商輔導工具，以完備輔導機制，擴大輔導成效。</w:t>
      </w:r>
      <w:bookmarkEnd w:id="120"/>
      <w:bookmarkEnd w:id="121"/>
    </w:p>
    <w:p w:rsidR="003A213D" w:rsidRPr="00AB3200" w:rsidRDefault="003A213D" w:rsidP="003A213D">
      <w:pPr>
        <w:pStyle w:val="3"/>
        <w:ind w:left="1418" w:hanging="709"/>
        <w:rPr>
          <w:rFonts w:hAnsi="標楷體"/>
        </w:rPr>
      </w:pPr>
      <w:bookmarkStart w:id="122" w:name="_Toc392764854"/>
      <w:bookmarkStart w:id="123" w:name="_Toc393464407"/>
      <w:r w:rsidRPr="00AB3200">
        <w:rPr>
          <w:rFonts w:hAnsi="標楷體"/>
        </w:rPr>
        <w:t>綜上，</w:t>
      </w:r>
      <w:bookmarkEnd w:id="122"/>
      <w:r w:rsidR="00C3714E" w:rsidRPr="00AB3200">
        <w:rPr>
          <w:rFonts w:hAnsi="標楷體" w:hint="eastAsia"/>
          <w:szCs w:val="32"/>
        </w:rPr>
        <w:t>目前青年普遍存有職</w:t>
      </w:r>
      <w:proofErr w:type="gramStart"/>
      <w:r w:rsidR="00C3714E" w:rsidRPr="00AB3200">
        <w:rPr>
          <w:rFonts w:hAnsi="標楷體" w:hint="eastAsia"/>
          <w:szCs w:val="32"/>
        </w:rPr>
        <w:t>涯</w:t>
      </w:r>
      <w:proofErr w:type="gramEnd"/>
      <w:r w:rsidR="00C3714E" w:rsidRPr="00AB3200">
        <w:rPr>
          <w:rFonts w:hAnsi="標楷體" w:hint="eastAsia"/>
          <w:szCs w:val="32"/>
        </w:rPr>
        <w:t>迷惘情形，</w:t>
      </w:r>
      <w:r w:rsidR="00C3714E" w:rsidRPr="00AB3200">
        <w:rPr>
          <w:rFonts w:hAnsi="標楷體"/>
          <w:szCs w:val="32"/>
        </w:rPr>
        <w:t>教育部為協助學生瞭解</w:t>
      </w:r>
      <w:r w:rsidR="00C3714E" w:rsidRPr="00AB3200">
        <w:rPr>
          <w:rFonts w:hAnsi="標楷體" w:hint="eastAsia"/>
          <w:szCs w:val="32"/>
        </w:rPr>
        <w:t>本身</w:t>
      </w:r>
      <w:r w:rsidR="00C3714E" w:rsidRPr="00AB3200">
        <w:rPr>
          <w:rFonts w:hAnsi="標楷體"/>
          <w:szCs w:val="32"/>
        </w:rPr>
        <w:t>職</w:t>
      </w:r>
      <w:proofErr w:type="gramStart"/>
      <w:r w:rsidR="00C3714E" w:rsidRPr="00AB3200">
        <w:rPr>
          <w:rFonts w:hAnsi="標楷體"/>
          <w:szCs w:val="32"/>
        </w:rPr>
        <w:t>涯</w:t>
      </w:r>
      <w:proofErr w:type="gramEnd"/>
      <w:r w:rsidR="00C3714E" w:rsidRPr="00AB3200">
        <w:rPr>
          <w:rFonts w:hAnsi="標楷體"/>
          <w:szCs w:val="32"/>
        </w:rPr>
        <w:t>發展方向，以提升就業職能，</w:t>
      </w:r>
      <w:r w:rsidR="00C3714E" w:rsidRPr="00AB3200">
        <w:rPr>
          <w:rFonts w:hAnsi="標楷體" w:hint="eastAsia"/>
          <w:szCs w:val="32"/>
        </w:rPr>
        <w:t>雖</w:t>
      </w:r>
      <w:r w:rsidR="00C3714E" w:rsidRPr="00AB3200">
        <w:rPr>
          <w:rFonts w:hAnsi="標楷體"/>
          <w:szCs w:val="32"/>
        </w:rPr>
        <w:t>建置大專校院就業職能平台，惟</w:t>
      </w:r>
      <w:r w:rsidR="00C3714E" w:rsidRPr="00AB3200">
        <w:rPr>
          <w:rFonts w:hAnsi="標楷體" w:hint="eastAsia"/>
          <w:szCs w:val="32"/>
        </w:rPr>
        <w:t>學生未廣泛運用，且</w:t>
      </w:r>
      <w:r w:rsidR="00C3714E" w:rsidRPr="00AB3200">
        <w:rPr>
          <w:rFonts w:hAnsi="標楷體"/>
          <w:szCs w:val="32"/>
        </w:rPr>
        <w:t>系統功能未能與學校相關學習課程相結合，相關配套措施亦未周延，</w:t>
      </w:r>
      <w:r w:rsidR="00C3714E" w:rsidRPr="00AB3200">
        <w:rPr>
          <w:rFonts w:hAnsi="標楷體" w:hint="eastAsia"/>
          <w:szCs w:val="32"/>
        </w:rPr>
        <w:t>有待強化</w:t>
      </w:r>
      <w:r w:rsidR="00C3714E" w:rsidRPr="00AB3200">
        <w:rPr>
          <w:rFonts w:hAnsi="標楷體"/>
          <w:szCs w:val="32"/>
        </w:rPr>
        <w:t>平台</w:t>
      </w:r>
      <w:r w:rsidR="00C3714E" w:rsidRPr="00AB3200">
        <w:rPr>
          <w:rFonts w:hAnsi="標楷體" w:hint="eastAsia"/>
          <w:szCs w:val="32"/>
        </w:rPr>
        <w:t>功能，並結合學校現行其他職</w:t>
      </w:r>
      <w:proofErr w:type="gramStart"/>
      <w:r w:rsidR="00C3714E" w:rsidRPr="00AB3200">
        <w:rPr>
          <w:rFonts w:hAnsi="標楷體" w:hint="eastAsia"/>
          <w:szCs w:val="32"/>
        </w:rPr>
        <w:t>涯</w:t>
      </w:r>
      <w:proofErr w:type="gramEnd"/>
      <w:r w:rsidR="00C3714E" w:rsidRPr="00AB3200">
        <w:rPr>
          <w:rFonts w:hAnsi="標楷體" w:hint="eastAsia"/>
          <w:szCs w:val="32"/>
        </w:rPr>
        <w:t>諮商輔導工具，以完備輔導機制，擴大輔導成效。</w:t>
      </w:r>
      <w:bookmarkEnd w:id="123"/>
    </w:p>
    <w:p w:rsidR="003A213D" w:rsidRPr="00AB3200" w:rsidRDefault="003A213D" w:rsidP="003A213D">
      <w:pPr>
        <w:pStyle w:val="20"/>
        <w:ind w:left="1020" w:hanging="680"/>
        <w:rPr>
          <w:rFonts w:hAnsi="標楷體"/>
          <w:b/>
        </w:rPr>
      </w:pPr>
      <w:bookmarkStart w:id="124" w:name="_Toc393464408"/>
      <w:r w:rsidRPr="00AB3200">
        <w:rPr>
          <w:rFonts w:hAnsi="標楷體"/>
          <w:b/>
          <w:szCs w:val="32"/>
        </w:rPr>
        <w:t>教育部明知就業市場存有學用落差情形，然協調大專校院積極辦理系所轉型</w:t>
      </w:r>
      <w:r w:rsidRPr="00AB3200">
        <w:rPr>
          <w:rFonts w:hAnsi="標楷體" w:hint="eastAsia"/>
          <w:b/>
          <w:szCs w:val="32"/>
        </w:rPr>
        <w:t>之成效有限</w:t>
      </w:r>
      <w:r w:rsidRPr="00AB3200">
        <w:rPr>
          <w:rFonts w:hAnsi="標楷體"/>
          <w:b/>
          <w:szCs w:val="32"/>
        </w:rPr>
        <w:t>，肇致學非</w:t>
      </w:r>
      <w:r w:rsidRPr="00AB3200">
        <w:rPr>
          <w:rFonts w:hAnsi="標楷體" w:hint="eastAsia"/>
          <w:b/>
          <w:szCs w:val="32"/>
        </w:rPr>
        <w:t>所</w:t>
      </w:r>
      <w:r w:rsidRPr="00AB3200">
        <w:rPr>
          <w:rFonts w:hAnsi="標楷體"/>
          <w:b/>
          <w:szCs w:val="32"/>
        </w:rPr>
        <w:t>用情況</w:t>
      </w:r>
      <w:r w:rsidR="00895CDC" w:rsidRPr="00AB3200">
        <w:rPr>
          <w:rFonts w:hAnsi="標楷體" w:hint="eastAsia"/>
          <w:b/>
          <w:szCs w:val="32"/>
        </w:rPr>
        <w:t>日益嚴重</w:t>
      </w:r>
      <w:r w:rsidRPr="00AB3200">
        <w:rPr>
          <w:rFonts w:hAnsi="標楷體"/>
          <w:b/>
          <w:szCs w:val="32"/>
        </w:rPr>
        <w:t>，</w:t>
      </w:r>
      <w:proofErr w:type="gramStart"/>
      <w:r w:rsidRPr="00AB3200">
        <w:rPr>
          <w:rFonts w:hAnsi="標楷體"/>
          <w:b/>
          <w:szCs w:val="32"/>
        </w:rPr>
        <w:t>該部允</w:t>
      </w:r>
      <w:r w:rsidRPr="00AB3200">
        <w:rPr>
          <w:rFonts w:hAnsi="標楷體" w:hint="eastAsia"/>
          <w:b/>
          <w:szCs w:val="32"/>
        </w:rPr>
        <w:t>宜</w:t>
      </w:r>
      <w:proofErr w:type="gramEnd"/>
      <w:r w:rsidRPr="00AB3200">
        <w:rPr>
          <w:rFonts w:hAnsi="標楷體"/>
          <w:b/>
          <w:szCs w:val="32"/>
        </w:rPr>
        <w:t>對就業情形欠佳之系所，</w:t>
      </w:r>
      <w:proofErr w:type="gramStart"/>
      <w:r w:rsidR="00C3714E" w:rsidRPr="00AB3200">
        <w:rPr>
          <w:rFonts w:hAnsi="標楷體" w:hint="eastAsia"/>
          <w:b/>
          <w:szCs w:val="32"/>
        </w:rPr>
        <w:t>研</w:t>
      </w:r>
      <w:proofErr w:type="gramEnd"/>
      <w:r w:rsidR="00C3714E" w:rsidRPr="00AB3200">
        <w:rPr>
          <w:rFonts w:hAnsi="標楷體" w:hint="eastAsia"/>
          <w:b/>
          <w:szCs w:val="32"/>
        </w:rPr>
        <w:t>擬有效方案，</w:t>
      </w:r>
      <w:r w:rsidRPr="00AB3200">
        <w:rPr>
          <w:rFonts w:hAnsi="標楷體"/>
          <w:b/>
          <w:szCs w:val="32"/>
        </w:rPr>
        <w:t>確實督促各校院檢討應否辦理轉型，或提出改善就業方案。</w:t>
      </w:r>
      <w:bookmarkEnd w:id="124"/>
    </w:p>
    <w:p w:rsidR="003A213D" w:rsidRPr="00AB3200" w:rsidRDefault="003A213D" w:rsidP="003A213D">
      <w:pPr>
        <w:pStyle w:val="3"/>
        <w:ind w:left="1360" w:hanging="680"/>
        <w:rPr>
          <w:rFonts w:hAnsi="標楷體"/>
        </w:rPr>
      </w:pPr>
      <w:bookmarkStart w:id="125" w:name="_Toc392764856"/>
      <w:bookmarkStart w:id="126" w:name="_Toc393464409"/>
      <w:r w:rsidRPr="00AB3200">
        <w:rPr>
          <w:rFonts w:hAnsi="標楷體"/>
          <w:bCs w:val="0"/>
          <w:szCs w:val="32"/>
        </w:rPr>
        <w:t>依據現行「專科以上學校總量發展規模與資源條件標準」第3條規定，教育部於核定專科以上學校增設、調整院、所、系、科與學位學程及招生名額總量時，應就國家整體人才培育政策、社會發展需求、學校資源條件、師資專長、總量發展規模、新生註冊率及畢業學生就業等面向予以考量，並徵詢相關產業之目的事業主管機關意見。</w:t>
      </w:r>
      <w:proofErr w:type="gramStart"/>
      <w:r w:rsidRPr="00AB3200">
        <w:rPr>
          <w:rFonts w:hAnsi="標楷體"/>
          <w:bCs w:val="0"/>
          <w:szCs w:val="32"/>
        </w:rPr>
        <w:t>鑑</w:t>
      </w:r>
      <w:proofErr w:type="gramEnd"/>
      <w:r w:rsidRPr="00AB3200">
        <w:rPr>
          <w:rFonts w:hAnsi="標楷體"/>
          <w:bCs w:val="0"/>
          <w:szCs w:val="32"/>
        </w:rPr>
        <w:t>於</w:t>
      </w:r>
      <w:proofErr w:type="gramStart"/>
      <w:r w:rsidRPr="00AB3200">
        <w:rPr>
          <w:rFonts w:hAnsi="標楷體"/>
          <w:bCs w:val="0"/>
          <w:szCs w:val="32"/>
        </w:rPr>
        <w:t>該部非屬</w:t>
      </w:r>
      <w:proofErr w:type="gramEnd"/>
      <w:r w:rsidRPr="00AB3200">
        <w:rPr>
          <w:rFonts w:hAnsi="標楷體"/>
          <w:bCs w:val="0"/>
          <w:szCs w:val="32"/>
        </w:rPr>
        <w:t>各事業主管機關，尚難準確預測勞動市場人力供需，故教育部於核定學校總量業務時，</w:t>
      </w:r>
      <w:proofErr w:type="gramStart"/>
      <w:r w:rsidRPr="00AB3200">
        <w:rPr>
          <w:rFonts w:hAnsi="標楷體"/>
          <w:bCs w:val="0"/>
          <w:szCs w:val="32"/>
        </w:rPr>
        <w:t>係請各</w:t>
      </w:r>
      <w:proofErr w:type="gramEnd"/>
      <w:r w:rsidRPr="00AB3200">
        <w:rPr>
          <w:rFonts w:hAnsi="標楷體"/>
          <w:bCs w:val="0"/>
          <w:szCs w:val="32"/>
        </w:rPr>
        <w:t>相關部會共同審查及與會出席，就勞動市場人力供需部分提供具體意見，</w:t>
      </w:r>
      <w:proofErr w:type="gramStart"/>
      <w:r w:rsidRPr="00AB3200">
        <w:rPr>
          <w:rFonts w:hAnsi="標楷體"/>
          <w:bCs w:val="0"/>
          <w:szCs w:val="32"/>
        </w:rPr>
        <w:t>俾</w:t>
      </w:r>
      <w:proofErr w:type="gramEnd"/>
      <w:r w:rsidRPr="00AB3200">
        <w:rPr>
          <w:rFonts w:hAnsi="標楷體"/>
          <w:bCs w:val="0"/>
          <w:szCs w:val="32"/>
        </w:rPr>
        <w:t>利全盤審核大學校院(</w:t>
      </w:r>
      <w:proofErr w:type="gramStart"/>
      <w:r w:rsidRPr="00AB3200">
        <w:rPr>
          <w:rFonts w:hAnsi="標楷體"/>
          <w:bCs w:val="0"/>
          <w:szCs w:val="32"/>
        </w:rPr>
        <w:t>含技職校</w:t>
      </w:r>
      <w:proofErr w:type="gramEnd"/>
      <w:r w:rsidRPr="00AB3200">
        <w:rPr>
          <w:rFonts w:hAnsi="標楷體"/>
          <w:bCs w:val="0"/>
          <w:szCs w:val="32"/>
        </w:rPr>
        <w:t>院)總量名額。</w:t>
      </w:r>
      <w:bookmarkEnd w:id="125"/>
      <w:bookmarkEnd w:id="126"/>
    </w:p>
    <w:p w:rsidR="003A213D" w:rsidRPr="00AB3200" w:rsidRDefault="003A213D" w:rsidP="003A213D">
      <w:pPr>
        <w:pStyle w:val="3"/>
        <w:ind w:left="1360" w:hanging="680"/>
        <w:rPr>
          <w:rFonts w:hAnsi="標楷體"/>
        </w:rPr>
      </w:pPr>
      <w:bookmarkStart w:id="127" w:name="_Toc392764857"/>
      <w:bookmarkStart w:id="128" w:name="_Toc393464410"/>
      <w:r w:rsidRPr="00AB3200">
        <w:rPr>
          <w:rFonts w:hAnsi="標楷體"/>
          <w:szCs w:val="32"/>
        </w:rPr>
        <w:t>另教育部函復本院稱</w:t>
      </w:r>
      <w:proofErr w:type="gramStart"/>
      <w:r w:rsidRPr="00AB3200">
        <w:rPr>
          <w:rFonts w:hAnsi="標楷體"/>
          <w:szCs w:val="32"/>
        </w:rPr>
        <w:t>以</w:t>
      </w:r>
      <w:proofErr w:type="gramEnd"/>
      <w:r w:rsidRPr="00AB3200">
        <w:rPr>
          <w:rFonts w:hAnsi="標楷體"/>
          <w:szCs w:val="32"/>
        </w:rPr>
        <w:t>，</w:t>
      </w:r>
      <w:r w:rsidRPr="00AB3200">
        <w:rPr>
          <w:rFonts w:hAnsi="標楷體"/>
        </w:rPr>
        <w:t>隨著知識經濟時代快速發展，學校教育須配合勞動力市場之調整而因應</w:t>
      </w:r>
      <w:r w:rsidRPr="00AB3200">
        <w:rPr>
          <w:rFonts w:hAnsi="標楷體" w:hint="eastAsia"/>
        </w:rPr>
        <w:t>，</w:t>
      </w:r>
      <w:r w:rsidRPr="00AB3200">
        <w:rPr>
          <w:rFonts w:hAnsi="標楷體"/>
        </w:rPr>
        <w:t>然大學增設、調整系所或課程重新規劃之速度，不及</w:t>
      </w:r>
      <w:r w:rsidRPr="00AB3200">
        <w:rPr>
          <w:rFonts w:hAnsi="標楷體"/>
        </w:rPr>
        <w:lastRenderedPageBreak/>
        <w:t>與產業需求結合或同步</w:t>
      </w:r>
      <w:r w:rsidRPr="00AB3200">
        <w:rPr>
          <w:rFonts w:hAnsi="標楷體" w:hint="eastAsia"/>
        </w:rPr>
        <w:t>，且</w:t>
      </w:r>
      <w:r w:rsidRPr="00AB3200">
        <w:rPr>
          <w:rFonts w:hAnsi="標楷體"/>
        </w:rPr>
        <w:t>專業實務課程設計較少</w:t>
      </w:r>
      <w:r w:rsidRPr="00AB3200">
        <w:rPr>
          <w:rFonts w:hAnsi="標楷體" w:hint="eastAsia"/>
        </w:rPr>
        <w:t>、</w:t>
      </w:r>
      <w:r w:rsidRPr="00AB3200">
        <w:rPr>
          <w:rFonts w:hAnsi="標楷體"/>
        </w:rPr>
        <w:t>技專校院實作經驗教師不足</w:t>
      </w:r>
      <w:r w:rsidRPr="00AB3200">
        <w:rPr>
          <w:rFonts w:hAnsi="標楷體" w:hint="eastAsia"/>
        </w:rPr>
        <w:t>，致有學用落差及專業職能不足現象。</w:t>
      </w:r>
      <w:r w:rsidRPr="00AB3200">
        <w:rPr>
          <w:rFonts w:hAnsi="標楷體"/>
          <w:bCs w:val="0"/>
          <w:szCs w:val="32"/>
        </w:rPr>
        <w:t>為推動國內技職教育之升級，促使學校端之人才培育能符應產業界需求，自102年起推動「</w:t>
      </w:r>
      <w:proofErr w:type="gramStart"/>
      <w:r w:rsidRPr="00AB3200">
        <w:rPr>
          <w:rFonts w:hAnsi="標楷體"/>
          <w:bCs w:val="0"/>
          <w:szCs w:val="32"/>
        </w:rPr>
        <w:t>第2期技</w:t>
      </w:r>
      <w:proofErr w:type="gramEnd"/>
      <w:r w:rsidRPr="00AB3200">
        <w:rPr>
          <w:rFonts w:hAnsi="標楷體"/>
          <w:bCs w:val="0"/>
          <w:szCs w:val="32"/>
        </w:rPr>
        <w:t>職教育再造計畫」，其中策略2「系科調整方案」係全面盤點現有技職學校(包含高職端及</w:t>
      </w:r>
      <w:proofErr w:type="gramStart"/>
      <w:r w:rsidRPr="00AB3200">
        <w:rPr>
          <w:rFonts w:hAnsi="標楷體"/>
          <w:bCs w:val="0"/>
          <w:szCs w:val="32"/>
        </w:rPr>
        <w:t>技專端</w:t>
      </w:r>
      <w:proofErr w:type="gramEnd"/>
      <w:r w:rsidRPr="00AB3200">
        <w:rPr>
          <w:rFonts w:hAnsi="標楷體"/>
          <w:bCs w:val="0"/>
          <w:szCs w:val="32"/>
        </w:rPr>
        <w:t>)科系設置</w:t>
      </w:r>
      <w:proofErr w:type="gramStart"/>
      <w:r w:rsidRPr="00AB3200">
        <w:rPr>
          <w:rFonts w:hAnsi="標楷體"/>
          <w:bCs w:val="0"/>
          <w:szCs w:val="32"/>
        </w:rPr>
        <w:t>及核班情形</w:t>
      </w:r>
      <w:proofErr w:type="gramEnd"/>
      <w:r w:rsidRPr="00AB3200">
        <w:rPr>
          <w:rFonts w:hAnsi="標楷體"/>
          <w:bCs w:val="0"/>
          <w:szCs w:val="32"/>
        </w:rPr>
        <w:t>，針對盤點結果，以補助</w:t>
      </w:r>
      <w:r w:rsidRPr="00AB3200">
        <w:rPr>
          <w:rFonts w:hAnsi="標楷體"/>
          <w:bCs w:val="0"/>
        </w:rPr>
        <w:t>高職及技專校院調整、設置與製造業或重點產業類科等相關科班方式，</w:t>
      </w:r>
      <w:r w:rsidRPr="00AB3200">
        <w:rPr>
          <w:rFonts w:hAnsi="標楷體"/>
          <w:bCs w:val="0"/>
          <w:szCs w:val="32"/>
        </w:rPr>
        <w:t>調整相關系科與招生名額，</w:t>
      </w:r>
      <w:r w:rsidRPr="00AB3200">
        <w:rPr>
          <w:rFonts w:hAnsi="標楷體"/>
          <w:bCs w:val="0"/>
        </w:rPr>
        <w:t>解決</w:t>
      </w:r>
      <w:r w:rsidRPr="00AB3200">
        <w:rPr>
          <w:rFonts w:hAnsi="標楷體"/>
          <w:bCs w:val="0"/>
          <w:szCs w:val="32"/>
        </w:rPr>
        <w:t>人才培育過剩或不足問題，使技職教育人才培育更貼近產業所需人力，縮短人力資源供需之落差。</w:t>
      </w:r>
      <w:bookmarkEnd w:id="127"/>
      <w:bookmarkEnd w:id="128"/>
    </w:p>
    <w:p w:rsidR="003A213D" w:rsidRPr="00AB3200" w:rsidRDefault="003A213D" w:rsidP="003A213D">
      <w:pPr>
        <w:pStyle w:val="3"/>
        <w:ind w:left="1360" w:hanging="680"/>
        <w:rPr>
          <w:rFonts w:hAnsi="標楷體"/>
        </w:rPr>
      </w:pPr>
      <w:bookmarkStart w:id="129" w:name="_Toc392764858"/>
      <w:bookmarkStart w:id="130" w:name="_Toc393464411"/>
      <w:r w:rsidRPr="00AB3200">
        <w:rPr>
          <w:rFonts w:hAnsi="標楷體"/>
          <w:szCs w:val="32"/>
        </w:rPr>
        <w:t>又教育部函稱，</w:t>
      </w:r>
      <w:r w:rsidRPr="00AB3200">
        <w:rPr>
          <w:rFonts w:hAnsi="標楷體"/>
          <w:bCs w:val="0"/>
          <w:szCs w:val="32"/>
        </w:rPr>
        <w:t>依大學法規定</w:t>
      </w:r>
      <w:r w:rsidRPr="00AB3200">
        <w:rPr>
          <w:rFonts w:hAnsi="標楷體"/>
          <w:szCs w:val="32"/>
        </w:rPr>
        <w:t>，系所之增設及調整係為大學自主權責，</w:t>
      </w:r>
      <w:proofErr w:type="gramStart"/>
      <w:r w:rsidRPr="00AB3200">
        <w:rPr>
          <w:rFonts w:hAnsi="標楷體"/>
          <w:szCs w:val="32"/>
        </w:rPr>
        <w:t>爰</w:t>
      </w:r>
      <w:proofErr w:type="gramEnd"/>
      <w:r w:rsidRPr="00AB3200">
        <w:rPr>
          <w:rFonts w:hAnsi="標楷體"/>
          <w:szCs w:val="32"/>
        </w:rPr>
        <w:t>針對公私立大學校院系所與招生名額之調整，除督促</w:t>
      </w:r>
      <w:proofErr w:type="gramStart"/>
      <w:r w:rsidRPr="00AB3200">
        <w:rPr>
          <w:rFonts w:hAnsi="標楷體"/>
          <w:szCs w:val="32"/>
        </w:rPr>
        <w:t>大學均應依</w:t>
      </w:r>
      <w:proofErr w:type="gramEnd"/>
      <w:r w:rsidRPr="00AB3200">
        <w:rPr>
          <w:rFonts w:hAnsi="標楷體"/>
          <w:szCs w:val="32"/>
        </w:rPr>
        <w:t>校務發展特色、國家人力需求、招生錄取情形及教學資源狀況等因素，適當調</w:t>
      </w:r>
      <w:r w:rsidRPr="00AB3200">
        <w:rPr>
          <w:rFonts w:hAnsi="標楷體" w:hint="eastAsia"/>
          <w:szCs w:val="32"/>
        </w:rPr>
        <w:t>整</w:t>
      </w:r>
      <w:r w:rsidRPr="00AB3200">
        <w:rPr>
          <w:rFonts w:hAnsi="標楷體"/>
          <w:szCs w:val="32"/>
        </w:rPr>
        <w:t>各院系所及學位學程之間的師資及招生名額。如認為某個學門領域深具</w:t>
      </w:r>
      <w:proofErr w:type="gramStart"/>
      <w:r w:rsidRPr="00AB3200">
        <w:rPr>
          <w:rFonts w:hAnsi="標楷體"/>
          <w:szCs w:val="32"/>
        </w:rPr>
        <w:t>發展潛力或符應</w:t>
      </w:r>
      <w:proofErr w:type="gramEnd"/>
      <w:r w:rsidRPr="00AB3200">
        <w:rPr>
          <w:rFonts w:hAnsi="標楷體"/>
          <w:szCs w:val="32"/>
        </w:rPr>
        <w:t>產業人力需求，自應調撥師資、招生名額，甚或提供經費予以支持；發現某個系所招生狀況不佳，或所培育的人才，其就業市場已飽和，則應就其師資及招生名額，甚或考量整</w:t>
      </w:r>
      <w:proofErr w:type="gramStart"/>
      <w:r w:rsidRPr="00AB3200">
        <w:rPr>
          <w:rFonts w:hAnsi="標楷體"/>
          <w:szCs w:val="32"/>
        </w:rPr>
        <w:t>併</w:t>
      </w:r>
      <w:proofErr w:type="gramEnd"/>
      <w:r w:rsidRPr="00AB3200">
        <w:rPr>
          <w:rFonts w:hAnsi="標楷體"/>
          <w:szCs w:val="32"/>
        </w:rPr>
        <w:t>、更名</w:t>
      </w:r>
      <w:proofErr w:type="gramStart"/>
      <w:r w:rsidRPr="00AB3200">
        <w:rPr>
          <w:rFonts w:hAnsi="標楷體"/>
          <w:szCs w:val="32"/>
        </w:rPr>
        <w:t>或停招</w:t>
      </w:r>
      <w:proofErr w:type="gramEnd"/>
      <w:r w:rsidRPr="00AB3200">
        <w:rPr>
          <w:rFonts w:hAnsi="標楷體"/>
          <w:szCs w:val="32"/>
        </w:rPr>
        <w:t>、裁撤；另將引導各校於規劃階段應同時提出該系所的增設或調整申請對於提升學生競爭力、未來學生就業市場之分析，使學校增設、調整系所能趨近於產業及社會發展脈動。</w:t>
      </w:r>
      <w:bookmarkEnd w:id="129"/>
      <w:r w:rsidR="008335CF" w:rsidRPr="00AB3200">
        <w:rPr>
          <w:rFonts w:hAnsi="標楷體" w:hint="eastAsia"/>
          <w:szCs w:val="32"/>
        </w:rPr>
        <w:t>教育部</w:t>
      </w:r>
      <w:proofErr w:type="gramStart"/>
      <w:r w:rsidR="008335CF" w:rsidRPr="00AB3200">
        <w:rPr>
          <w:rFonts w:hAnsi="標楷體" w:hint="eastAsia"/>
          <w:szCs w:val="32"/>
        </w:rPr>
        <w:t>允應策訂</w:t>
      </w:r>
      <w:proofErr w:type="gramEnd"/>
      <w:r w:rsidR="008335CF" w:rsidRPr="00AB3200">
        <w:rPr>
          <w:rFonts w:hAnsi="標楷體" w:hint="eastAsia"/>
          <w:szCs w:val="32"/>
        </w:rPr>
        <w:t>有效措施，以使校院</w:t>
      </w:r>
      <w:proofErr w:type="gramStart"/>
      <w:r w:rsidR="008335CF" w:rsidRPr="00AB3200">
        <w:rPr>
          <w:rFonts w:hAnsi="標楷體" w:hint="eastAsia"/>
          <w:szCs w:val="32"/>
        </w:rPr>
        <w:t>怠</w:t>
      </w:r>
      <w:proofErr w:type="gramEnd"/>
      <w:r w:rsidR="008335CF" w:rsidRPr="00AB3200">
        <w:rPr>
          <w:rFonts w:hAnsi="標楷體" w:hint="eastAsia"/>
          <w:szCs w:val="32"/>
        </w:rPr>
        <w:t>於改善時，</w:t>
      </w:r>
      <w:proofErr w:type="gramStart"/>
      <w:r w:rsidR="008335CF" w:rsidRPr="00AB3200">
        <w:rPr>
          <w:rFonts w:hAnsi="標楷體" w:hint="eastAsia"/>
          <w:szCs w:val="32"/>
        </w:rPr>
        <w:t>該部能有</w:t>
      </w:r>
      <w:proofErr w:type="gramEnd"/>
      <w:r w:rsidR="008335CF" w:rsidRPr="00AB3200">
        <w:rPr>
          <w:rFonts w:hAnsi="標楷體" w:hint="eastAsia"/>
          <w:szCs w:val="32"/>
        </w:rPr>
        <w:t>積極之作為，避免浪費國家社會資源，及延誤青年學習時間，以保障學權益。</w:t>
      </w:r>
      <w:bookmarkEnd w:id="130"/>
    </w:p>
    <w:p w:rsidR="003A213D" w:rsidRPr="00AB3200" w:rsidRDefault="003A213D" w:rsidP="003A213D">
      <w:pPr>
        <w:pStyle w:val="3"/>
        <w:ind w:left="1360" w:hanging="680"/>
        <w:rPr>
          <w:rFonts w:hAnsi="標楷體"/>
        </w:rPr>
      </w:pPr>
      <w:bookmarkStart w:id="131" w:name="_Toc392764859"/>
      <w:bookmarkStart w:id="132" w:name="_Toc393464412"/>
      <w:r w:rsidRPr="00AB3200">
        <w:rPr>
          <w:rFonts w:hAnsi="標楷體"/>
          <w:szCs w:val="32"/>
        </w:rPr>
        <w:t>教育部為強化</w:t>
      </w:r>
      <w:bookmarkStart w:id="133" w:name="_Toc364182403"/>
      <w:r w:rsidRPr="00AB3200">
        <w:rPr>
          <w:rFonts w:hAnsi="標楷體"/>
          <w:szCs w:val="32"/>
        </w:rPr>
        <w:t>大專校院增設調整系所與產業需求的聯結</w:t>
      </w:r>
      <w:bookmarkEnd w:id="133"/>
      <w:r w:rsidRPr="00AB3200">
        <w:rPr>
          <w:rFonts w:hAnsi="標楷體"/>
          <w:szCs w:val="32"/>
        </w:rPr>
        <w:t>，每年度總量提報作業</w:t>
      </w:r>
      <w:proofErr w:type="gramStart"/>
      <w:r w:rsidRPr="00AB3200">
        <w:rPr>
          <w:rFonts w:hAnsi="標楷體"/>
          <w:szCs w:val="32"/>
        </w:rPr>
        <w:t>手冊均增列</w:t>
      </w:r>
      <w:proofErr w:type="gramEnd"/>
      <w:r w:rsidRPr="00AB3200">
        <w:rPr>
          <w:rFonts w:hAnsi="標楷體"/>
          <w:szCs w:val="32"/>
        </w:rPr>
        <w:t>政府相關部</w:t>
      </w:r>
      <w:r w:rsidRPr="00AB3200">
        <w:rPr>
          <w:rFonts w:hAnsi="標楷體"/>
          <w:szCs w:val="32"/>
        </w:rPr>
        <w:lastRenderedPageBreak/>
        <w:t>會對業管領域之增設建議，請各校納入規劃增設調整系所招生</w:t>
      </w:r>
      <w:proofErr w:type="gramStart"/>
      <w:r w:rsidRPr="00AB3200">
        <w:rPr>
          <w:rFonts w:hAnsi="標楷體"/>
          <w:szCs w:val="32"/>
        </w:rPr>
        <w:t>名額參據</w:t>
      </w:r>
      <w:proofErr w:type="gramEnd"/>
      <w:r w:rsidRPr="00AB3200">
        <w:rPr>
          <w:rFonts w:hAnsi="標楷體"/>
          <w:szCs w:val="32"/>
        </w:rPr>
        <w:t>，並自</w:t>
      </w:r>
      <w:bookmarkStart w:id="134" w:name="_Toc364182404"/>
      <w:bookmarkStart w:id="135" w:name="_Toc364184034"/>
      <w:r w:rsidRPr="00AB3200">
        <w:rPr>
          <w:rFonts w:hAnsi="標楷體"/>
          <w:szCs w:val="32"/>
        </w:rPr>
        <w:t>101學年度起邀請各部會協助審查，就國家與社會之人力需求(學生畢業後就業市場狀況)、課程規劃(是否符合產業所需職能基準，或可培養跨領域能力等)及人力推估(產業人力是否飽和，或其長短期需求為何)等面向，協助提供建議。</w:t>
      </w:r>
      <w:bookmarkEnd w:id="134"/>
      <w:bookmarkEnd w:id="135"/>
      <w:proofErr w:type="gramStart"/>
      <w:r w:rsidRPr="00AB3200">
        <w:rPr>
          <w:rFonts w:hAnsi="標楷體"/>
          <w:szCs w:val="32"/>
        </w:rPr>
        <w:t>惟查行政院核定教育部第2期技</w:t>
      </w:r>
      <w:proofErr w:type="gramEnd"/>
      <w:r w:rsidRPr="00AB3200">
        <w:rPr>
          <w:rFonts w:hAnsi="標楷體"/>
          <w:szCs w:val="32"/>
        </w:rPr>
        <w:t>職教育再造計畫內容</w:t>
      </w:r>
      <w:r w:rsidRPr="00AB3200">
        <w:rPr>
          <w:rStyle w:val="af7"/>
          <w:rFonts w:hAnsi="標楷體"/>
          <w:szCs w:val="32"/>
        </w:rPr>
        <w:footnoteReference w:id="7"/>
      </w:r>
      <w:r w:rsidRPr="00AB3200">
        <w:rPr>
          <w:rFonts w:hAnsi="標楷體"/>
          <w:szCs w:val="32"/>
        </w:rPr>
        <w:t>指出，為培育產業發展所需之中高級技術人力，過去專科學校轉型為技術學院及科技大學，受限於原有學校規模，學校之實作教學與實習設施與業界產生嚴重落差，致使高職發展逐漸向教學設備成本較低之新興科系(如餐飲、服務)傾斜，連帶影響技專校院系科之設置，未來</w:t>
      </w:r>
      <w:proofErr w:type="gramStart"/>
      <w:r w:rsidRPr="00AB3200">
        <w:rPr>
          <w:rFonts w:hAnsi="標楷體"/>
          <w:szCs w:val="32"/>
        </w:rPr>
        <w:t>恐</w:t>
      </w:r>
      <w:proofErr w:type="gramEnd"/>
      <w:r w:rsidRPr="00AB3200">
        <w:rPr>
          <w:rFonts w:hAnsi="標楷體"/>
          <w:szCs w:val="32"/>
        </w:rPr>
        <w:t>衝擊臺灣重要基礎工業人力之培育。另102年2月25日聯合報「一窩蜂讀餐飲，七成餐飲生畢業全都轉行」一文刊載</w:t>
      </w:r>
      <w:r w:rsidRPr="00AB3200">
        <w:rPr>
          <w:rStyle w:val="af7"/>
          <w:rFonts w:hAnsi="標楷體"/>
          <w:szCs w:val="32"/>
        </w:rPr>
        <w:footnoteReference w:id="8"/>
      </w:r>
      <w:r w:rsidRPr="00AB3200">
        <w:rPr>
          <w:rFonts w:hAnsi="標楷體"/>
          <w:szCs w:val="32"/>
        </w:rPr>
        <w:t>：「教育部統計，前年光是大專院校的餐旅相關科系學生數就超過一萬五千五百人，是學生數第十多的科系…</w:t>
      </w:r>
      <w:proofErr w:type="gramStart"/>
      <w:r w:rsidRPr="00AB3200">
        <w:rPr>
          <w:rFonts w:hAnsi="標楷體"/>
          <w:szCs w:val="32"/>
        </w:rPr>
        <w:t>…</w:t>
      </w:r>
      <w:proofErr w:type="gramEnd"/>
      <w:r w:rsidRPr="00AB3200">
        <w:rPr>
          <w:rFonts w:hAnsi="標楷體"/>
          <w:szCs w:val="32"/>
        </w:rPr>
        <w:t>惟業界人士觀察發現，超過七成的餐飲科系學生，畢業後並未走上餐飲這條路。有些私立學校甚至將冷門科系改為熱門的餐旅管理科系。原本在食品科學系教書，專注在實驗室裡的教授，因應轉型成餐飲科系，擔心沒課可以開，還特別跑去學烘焙、考證照，如此才能開課教學生如何烤麵包…</w:t>
      </w:r>
      <w:proofErr w:type="gramStart"/>
      <w:r w:rsidRPr="00AB3200">
        <w:rPr>
          <w:rFonts w:hAnsi="標楷體"/>
          <w:szCs w:val="32"/>
        </w:rPr>
        <w:t>…</w:t>
      </w:r>
      <w:proofErr w:type="gramEnd"/>
      <w:r w:rsidRPr="00AB3200">
        <w:rPr>
          <w:rFonts w:hAnsi="標楷體"/>
          <w:szCs w:val="32"/>
        </w:rPr>
        <w:t>。」</w:t>
      </w:r>
      <w:r w:rsidR="008335CF" w:rsidRPr="00AB3200">
        <w:rPr>
          <w:rFonts w:hAnsi="標楷體" w:hint="eastAsia"/>
          <w:szCs w:val="32"/>
        </w:rPr>
        <w:t>，</w:t>
      </w:r>
      <w:r w:rsidRPr="00AB3200">
        <w:rPr>
          <w:rFonts w:hAnsi="標楷體"/>
          <w:szCs w:val="32"/>
        </w:rPr>
        <w:t>又教育部</w:t>
      </w:r>
      <w:proofErr w:type="gramStart"/>
      <w:r w:rsidRPr="00AB3200">
        <w:rPr>
          <w:rFonts w:hAnsi="標楷體"/>
          <w:szCs w:val="32"/>
        </w:rPr>
        <w:t>102</w:t>
      </w:r>
      <w:proofErr w:type="gramEnd"/>
      <w:r w:rsidRPr="00AB3200">
        <w:rPr>
          <w:rFonts w:hAnsi="標楷體"/>
          <w:szCs w:val="32"/>
        </w:rPr>
        <w:t>年度盤點我國產業及技職校院之人才供需結果，我國</w:t>
      </w:r>
      <w:proofErr w:type="gramStart"/>
      <w:r w:rsidRPr="00AB3200">
        <w:rPr>
          <w:rFonts w:hAnsi="標楷體"/>
          <w:szCs w:val="32"/>
        </w:rPr>
        <w:t>101</w:t>
      </w:r>
      <w:proofErr w:type="gramEnd"/>
      <w:r w:rsidRPr="00AB3200">
        <w:rPr>
          <w:rFonts w:hAnsi="標楷體"/>
          <w:szCs w:val="32"/>
        </w:rPr>
        <w:t>年度農林漁牧、工業、服務業之產業人力結構配置，在產業端所占比率分別為5.01%、36.23%、58.76%，在技</w:t>
      </w:r>
      <w:proofErr w:type="gramStart"/>
      <w:r w:rsidRPr="00AB3200">
        <w:rPr>
          <w:rFonts w:hAnsi="標楷體"/>
          <w:szCs w:val="32"/>
        </w:rPr>
        <w:t>職校院端</w:t>
      </w:r>
      <w:r w:rsidRPr="00AB3200">
        <w:rPr>
          <w:rFonts w:hAnsi="標楷體"/>
          <w:szCs w:val="32"/>
        </w:rPr>
        <w:lastRenderedPageBreak/>
        <w:t>所</w:t>
      </w:r>
      <w:proofErr w:type="gramEnd"/>
      <w:r w:rsidRPr="00AB3200">
        <w:rPr>
          <w:rFonts w:hAnsi="標楷體"/>
          <w:szCs w:val="32"/>
        </w:rPr>
        <w:t>占比率分別為1.44%、26.54%、72.02%，服務業人才培育數量相對偏高</w:t>
      </w:r>
      <w:r w:rsidRPr="00AB3200">
        <w:rPr>
          <w:rFonts w:hAnsi="標楷體"/>
          <w:bCs w:val="0"/>
          <w:szCs w:val="32"/>
        </w:rPr>
        <w:t>，致在教育部</w:t>
      </w:r>
      <w:proofErr w:type="gramStart"/>
      <w:r w:rsidRPr="00AB3200">
        <w:rPr>
          <w:rFonts w:hAnsi="標楷體"/>
          <w:bCs w:val="0"/>
          <w:szCs w:val="32"/>
        </w:rPr>
        <w:t>對於系</w:t>
      </w:r>
      <w:proofErr w:type="gramEnd"/>
      <w:r w:rsidRPr="00AB3200">
        <w:rPr>
          <w:rFonts w:hAnsi="標楷體"/>
          <w:bCs w:val="0"/>
          <w:szCs w:val="32"/>
        </w:rPr>
        <w:t>所設有員額總量管制下，學校新設置</w:t>
      </w:r>
      <w:r w:rsidRPr="00AB3200">
        <w:rPr>
          <w:rFonts w:hAnsi="標楷體"/>
          <w:szCs w:val="32"/>
        </w:rPr>
        <w:t>餐飲、服務相關科系，必須調整減少其他科系招生名額，已</w:t>
      </w:r>
      <w:r w:rsidRPr="00AB3200">
        <w:rPr>
          <w:rFonts w:hAnsi="標楷體"/>
          <w:bCs w:val="0"/>
          <w:szCs w:val="32"/>
        </w:rPr>
        <w:t>連帶影響我國</w:t>
      </w:r>
      <w:r w:rsidRPr="00AB3200">
        <w:rPr>
          <w:rFonts w:hAnsi="標楷體"/>
          <w:szCs w:val="32"/>
        </w:rPr>
        <w:t>重要基礎工業人才之培育。</w:t>
      </w:r>
      <w:bookmarkEnd w:id="131"/>
      <w:bookmarkEnd w:id="132"/>
    </w:p>
    <w:p w:rsidR="003A213D" w:rsidRPr="00AB3200" w:rsidRDefault="003A213D" w:rsidP="003A213D">
      <w:pPr>
        <w:pStyle w:val="3"/>
        <w:ind w:left="1360" w:hanging="680"/>
        <w:rPr>
          <w:rFonts w:hAnsi="標楷體"/>
        </w:rPr>
      </w:pPr>
      <w:bookmarkStart w:id="136" w:name="_Toc392764860"/>
      <w:bookmarkStart w:id="137" w:name="_Toc393464413"/>
      <w:r w:rsidRPr="00AB3200">
        <w:rPr>
          <w:rFonts w:hAnsi="標楷體"/>
          <w:szCs w:val="32"/>
        </w:rPr>
        <w:t>另查「專科</w:t>
      </w:r>
      <w:r w:rsidRPr="00AB3200">
        <w:rPr>
          <w:rFonts w:hAnsi="標楷體"/>
          <w:bCs w:val="0"/>
          <w:szCs w:val="32"/>
        </w:rPr>
        <w:t>以上學校總量發展規模與資源條件標準</w:t>
      </w:r>
      <w:r w:rsidRPr="00AB3200">
        <w:rPr>
          <w:rFonts w:hAnsi="標楷體"/>
          <w:szCs w:val="32"/>
        </w:rPr>
        <w:t>」</w:t>
      </w:r>
      <w:r w:rsidRPr="00AB3200">
        <w:rPr>
          <w:rFonts w:hAnsi="標楷體"/>
          <w:bCs w:val="0"/>
          <w:szCs w:val="32"/>
        </w:rPr>
        <w:t>第8條</w:t>
      </w:r>
      <w:r w:rsidRPr="00AB3200">
        <w:rPr>
          <w:rStyle w:val="af7"/>
          <w:rFonts w:hAnsi="標楷體"/>
          <w:bCs w:val="0"/>
          <w:szCs w:val="32"/>
        </w:rPr>
        <w:footnoteReference w:id="9"/>
      </w:r>
      <w:r w:rsidRPr="00AB3200">
        <w:rPr>
          <w:rFonts w:hAnsi="標楷體"/>
          <w:bCs w:val="0"/>
          <w:szCs w:val="32"/>
        </w:rPr>
        <w:t>規定略</w:t>
      </w:r>
      <w:proofErr w:type="gramStart"/>
      <w:r w:rsidRPr="00AB3200">
        <w:rPr>
          <w:rFonts w:hAnsi="標楷體"/>
          <w:bCs w:val="0"/>
          <w:szCs w:val="32"/>
        </w:rPr>
        <w:t>以</w:t>
      </w:r>
      <w:proofErr w:type="gramEnd"/>
      <w:r w:rsidRPr="00AB3200">
        <w:rPr>
          <w:rFonts w:hAnsi="標楷體"/>
          <w:bCs w:val="0"/>
          <w:szCs w:val="32"/>
        </w:rPr>
        <w:t>，</w:t>
      </w:r>
      <w:r w:rsidRPr="00AB3200">
        <w:rPr>
          <w:rFonts w:hAnsi="標楷體"/>
          <w:szCs w:val="32"/>
        </w:rPr>
        <w:t>專科以上學校有：最近連續三個學年度新生註冊</w:t>
      </w:r>
      <w:proofErr w:type="gramStart"/>
      <w:r w:rsidRPr="00AB3200">
        <w:rPr>
          <w:rFonts w:hAnsi="標楷體"/>
          <w:szCs w:val="32"/>
        </w:rPr>
        <w:t>率均未達</w:t>
      </w:r>
      <w:proofErr w:type="gramEnd"/>
      <w:r w:rsidRPr="00AB3200">
        <w:rPr>
          <w:rFonts w:hAnsi="標楷體"/>
          <w:szCs w:val="32"/>
        </w:rPr>
        <w:t>百分之七十者；</w:t>
      </w:r>
      <w:proofErr w:type="gramStart"/>
      <w:r w:rsidRPr="00AB3200">
        <w:rPr>
          <w:rFonts w:hAnsi="標楷體"/>
          <w:szCs w:val="32"/>
        </w:rPr>
        <w:t>生師比值</w:t>
      </w:r>
      <w:proofErr w:type="gramEnd"/>
      <w:r w:rsidRPr="00AB3200">
        <w:rPr>
          <w:rFonts w:hAnsi="標楷體"/>
          <w:szCs w:val="32"/>
        </w:rPr>
        <w:t>、校舍建築面積或專任助理教授以上師資結構未達規定標準；系所評鑑成績未通過或追蹤評鑑未達二等以上者，教育部得調整其招生名額總量或各院、所、系、科與學位學程之招生名額。基此，教育部已核定招生名額之系所，其對應產業若有人力過剩或不足情形或趨勢，學校若未有前揭教育部得調整招生名額情事，其未主動提出相關系所之增設調整，依現行規定，教育部未便主動進行系所之增設調整，相關調整機制明顯欠缺彈性，對於引導學校系所之設置與產業需求結合之功效</w:t>
      </w:r>
      <w:proofErr w:type="gramStart"/>
      <w:r w:rsidRPr="00AB3200">
        <w:rPr>
          <w:rFonts w:hAnsi="標楷體"/>
          <w:szCs w:val="32"/>
        </w:rPr>
        <w:t>不</w:t>
      </w:r>
      <w:proofErr w:type="gramEnd"/>
      <w:r w:rsidRPr="00AB3200">
        <w:rPr>
          <w:rFonts w:hAnsi="標楷體"/>
          <w:szCs w:val="32"/>
        </w:rPr>
        <w:t>彰，造成學校端及產業端人力供需失衡情形，加重青年失業及學用落差現象。</w:t>
      </w:r>
      <w:bookmarkEnd w:id="136"/>
      <w:bookmarkEnd w:id="137"/>
    </w:p>
    <w:p w:rsidR="003A213D" w:rsidRPr="00AB3200" w:rsidRDefault="003A213D" w:rsidP="003A213D">
      <w:pPr>
        <w:pStyle w:val="3"/>
        <w:ind w:left="1360" w:hanging="680"/>
        <w:rPr>
          <w:rFonts w:hAnsi="標楷體"/>
        </w:rPr>
      </w:pPr>
      <w:bookmarkStart w:id="138" w:name="_Toc392764861"/>
      <w:bookmarkStart w:id="139" w:name="_Toc393464414"/>
      <w:r w:rsidRPr="00AB3200">
        <w:rPr>
          <w:rFonts w:hAnsi="標楷體"/>
          <w:szCs w:val="32"/>
        </w:rPr>
        <w:t>教育部雖依</w:t>
      </w:r>
      <w:r w:rsidRPr="00AB3200">
        <w:rPr>
          <w:rFonts w:hAnsi="標楷體"/>
          <w:bCs w:val="0"/>
          <w:szCs w:val="32"/>
        </w:rPr>
        <w:t>「專科以上學校總量發展規模與資源條件標準」規定，於核定專科以上學校增設、調整院、所、系、科與學位學程及招生名額總量時，請各相</w:t>
      </w:r>
      <w:r w:rsidRPr="00AB3200">
        <w:rPr>
          <w:rFonts w:hAnsi="標楷體"/>
          <w:bCs w:val="0"/>
          <w:szCs w:val="32"/>
        </w:rPr>
        <w:lastRenderedPageBreak/>
        <w:t>關部會共同審查及與會出席，就勞動市場人力供需部分提供具體意見，</w:t>
      </w:r>
      <w:proofErr w:type="gramStart"/>
      <w:r w:rsidRPr="00AB3200">
        <w:rPr>
          <w:rFonts w:hAnsi="標楷體"/>
          <w:bCs w:val="0"/>
          <w:szCs w:val="32"/>
        </w:rPr>
        <w:t>俾</w:t>
      </w:r>
      <w:proofErr w:type="gramEnd"/>
      <w:r w:rsidRPr="00AB3200">
        <w:rPr>
          <w:rFonts w:hAnsi="標楷體"/>
          <w:bCs w:val="0"/>
          <w:szCs w:val="32"/>
        </w:rPr>
        <w:t>利全盤審核大專校院總量名額。</w:t>
      </w:r>
      <w:proofErr w:type="gramStart"/>
      <w:r w:rsidRPr="00AB3200">
        <w:rPr>
          <w:rFonts w:hAnsi="標楷體"/>
          <w:bCs w:val="0"/>
          <w:szCs w:val="32"/>
        </w:rPr>
        <w:t>惟</w:t>
      </w:r>
      <w:proofErr w:type="gramEnd"/>
      <w:r w:rsidRPr="00AB3200">
        <w:rPr>
          <w:rFonts w:hAnsi="標楷體"/>
          <w:bCs w:val="0"/>
          <w:szCs w:val="32"/>
        </w:rPr>
        <w:t>對於</w:t>
      </w:r>
      <w:r w:rsidRPr="00AB3200">
        <w:rPr>
          <w:rFonts w:hAnsi="標楷體"/>
          <w:szCs w:val="32"/>
        </w:rPr>
        <w:t>已核定招生名額之系所，其對應產業若有人力過剩或不足情形或趨勢，教育部以系所之增設及調整係為大學自主權責為由，學校應依校務發展特色、國家人力需求、招生錄取情形及教學資源狀況等因素，適當調度各院系所及學位學程之間的師資及招生名額，教育部僅引導各校於規劃階段應同時提出該系所的增設或調整申請對於提升學生競爭力、未來學生就業市場之分析，使學校增設、調整系所能趨近於產業及社會發展脈動。顯示學校若未主動提出相關系所之增設調整，且學校未有</w:t>
      </w:r>
      <w:r w:rsidRPr="00AB3200">
        <w:rPr>
          <w:rFonts w:hAnsi="標楷體"/>
          <w:bCs w:val="0"/>
          <w:szCs w:val="32"/>
        </w:rPr>
        <w:t>「專科以上學校總量發展規模與資源條件標準」第8條</w:t>
      </w:r>
      <w:r w:rsidRPr="00AB3200">
        <w:rPr>
          <w:rFonts w:hAnsi="標楷體"/>
          <w:szCs w:val="32"/>
        </w:rPr>
        <w:t>有關教育部得調整招生名額情事，依現行規定，教育部未能主動進行系所之增設調整，致學校逐漸向教學設備成本較低之新興科系(如餐飲、服務)傾斜，影響技專校院系科之設置，衝擊我國重要基礎工業人力之培育。</w:t>
      </w:r>
      <w:r w:rsidRPr="00AB3200">
        <w:rPr>
          <w:rFonts w:hAnsi="標楷體"/>
          <w:bCs w:val="0"/>
          <w:szCs w:val="32"/>
        </w:rPr>
        <w:t>教育部自102年起推動之「</w:t>
      </w:r>
      <w:proofErr w:type="gramStart"/>
      <w:r w:rsidRPr="00AB3200">
        <w:rPr>
          <w:rFonts w:hAnsi="標楷體"/>
          <w:bCs w:val="0"/>
          <w:szCs w:val="32"/>
        </w:rPr>
        <w:t>第2期技</w:t>
      </w:r>
      <w:proofErr w:type="gramEnd"/>
      <w:r w:rsidRPr="00AB3200">
        <w:rPr>
          <w:rFonts w:hAnsi="標楷體"/>
          <w:bCs w:val="0"/>
          <w:szCs w:val="32"/>
        </w:rPr>
        <w:t>職教育再造計畫」，盤點技職學校科系設置</w:t>
      </w:r>
      <w:proofErr w:type="gramStart"/>
      <w:r w:rsidRPr="00AB3200">
        <w:rPr>
          <w:rFonts w:hAnsi="標楷體"/>
          <w:bCs w:val="0"/>
          <w:szCs w:val="32"/>
        </w:rPr>
        <w:t>及核班情形</w:t>
      </w:r>
      <w:proofErr w:type="gramEnd"/>
      <w:r w:rsidRPr="00AB3200">
        <w:rPr>
          <w:rFonts w:hAnsi="標楷體"/>
          <w:bCs w:val="0"/>
          <w:szCs w:val="32"/>
        </w:rPr>
        <w:t>，並補助</w:t>
      </w:r>
      <w:r w:rsidRPr="00AB3200">
        <w:rPr>
          <w:rFonts w:hAnsi="標楷體"/>
          <w:bCs w:val="0"/>
        </w:rPr>
        <w:t>學校調整、設置與製造業或重點產業類科等相關科班，突顯先前對於學校競相設置</w:t>
      </w:r>
      <w:r w:rsidRPr="00AB3200">
        <w:rPr>
          <w:rFonts w:hAnsi="標楷體"/>
          <w:szCs w:val="32"/>
        </w:rPr>
        <w:t>餐飲、服務相關科系，未確實</w:t>
      </w:r>
      <w:r w:rsidRPr="00AB3200">
        <w:rPr>
          <w:rFonts w:hAnsi="標楷體"/>
          <w:bCs w:val="0"/>
          <w:szCs w:val="32"/>
        </w:rPr>
        <w:t>就國家整體人才培育政策、社會發展需求等面向，審慎衡酌產業未來供需變化，率爾同意設置，致現今需再以經費補助誘因，促使學校主動調整，徒增公</w:t>
      </w:r>
      <w:proofErr w:type="gramStart"/>
      <w:r w:rsidRPr="00AB3200">
        <w:rPr>
          <w:rFonts w:hAnsi="標楷體"/>
          <w:bCs w:val="0"/>
          <w:szCs w:val="32"/>
        </w:rPr>
        <w:t>帑</w:t>
      </w:r>
      <w:proofErr w:type="gramEnd"/>
      <w:r w:rsidRPr="00AB3200">
        <w:rPr>
          <w:rFonts w:hAnsi="標楷體"/>
          <w:bCs w:val="0"/>
          <w:szCs w:val="32"/>
        </w:rPr>
        <w:t>支出，且</w:t>
      </w:r>
      <w:r w:rsidRPr="00AB3200">
        <w:rPr>
          <w:rFonts w:hAnsi="標楷體"/>
          <w:bCs w:val="0"/>
        </w:rPr>
        <w:t>對於未有意願增設調整系所之學校，仍缺乏實質有效</w:t>
      </w:r>
      <w:r w:rsidRPr="00AB3200">
        <w:rPr>
          <w:rFonts w:hAnsi="標楷體" w:hint="eastAsia"/>
          <w:bCs w:val="0"/>
        </w:rPr>
        <w:t>管控</w:t>
      </w:r>
      <w:r w:rsidRPr="00AB3200">
        <w:rPr>
          <w:rFonts w:hAnsi="標楷體"/>
          <w:bCs w:val="0"/>
        </w:rPr>
        <w:t>機制，顯示</w:t>
      </w:r>
      <w:r w:rsidRPr="00AB3200">
        <w:rPr>
          <w:rFonts w:hAnsi="標楷體"/>
          <w:szCs w:val="32"/>
        </w:rPr>
        <w:t>我國大專校院系所之增設調整機制缺乏彈性，教育部相關監督作為，對於引導學校系所之設置與產業需求結合之功效</w:t>
      </w:r>
      <w:proofErr w:type="gramStart"/>
      <w:r w:rsidRPr="00AB3200">
        <w:rPr>
          <w:rFonts w:hAnsi="標楷體"/>
          <w:szCs w:val="32"/>
        </w:rPr>
        <w:t>不</w:t>
      </w:r>
      <w:proofErr w:type="gramEnd"/>
      <w:r w:rsidRPr="00AB3200">
        <w:rPr>
          <w:rFonts w:hAnsi="標楷體"/>
          <w:szCs w:val="32"/>
        </w:rPr>
        <w:t>彰，造成我國學校端及產業端人力供需失衡情形，加重青年失業及學用落差現象</w:t>
      </w:r>
      <w:r w:rsidRPr="00AB3200">
        <w:rPr>
          <w:rFonts w:hAnsi="標楷體"/>
          <w:szCs w:val="32"/>
        </w:rPr>
        <w:lastRenderedPageBreak/>
        <w:t>。</w:t>
      </w:r>
      <w:bookmarkEnd w:id="138"/>
      <w:bookmarkEnd w:id="139"/>
    </w:p>
    <w:p w:rsidR="003A213D" w:rsidRPr="00AB3200" w:rsidRDefault="003A213D" w:rsidP="003A213D">
      <w:pPr>
        <w:pStyle w:val="3"/>
        <w:ind w:left="1360" w:hanging="680"/>
        <w:rPr>
          <w:rFonts w:hAnsi="標楷體"/>
        </w:rPr>
      </w:pPr>
      <w:bookmarkStart w:id="140" w:name="_Toc392764862"/>
      <w:bookmarkStart w:id="141" w:name="_Toc393464415"/>
      <w:r w:rsidRPr="00AB3200">
        <w:rPr>
          <w:rFonts w:hAnsi="標楷體"/>
          <w:szCs w:val="32"/>
        </w:rPr>
        <w:t>綜上，</w:t>
      </w:r>
      <w:bookmarkEnd w:id="140"/>
      <w:r w:rsidR="00540108" w:rsidRPr="00AB3200">
        <w:rPr>
          <w:rFonts w:hAnsi="標楷體"/>
          <w:szCs w:val="32"/>
        </w:rPr>
        <w:t>教育部明知就業市場存有學用落差情形，然協調大專校院積極辦理系所轉型</w:t>
      </w:r>
      <w:r w:rsidR="00540108" w:rsidRPr="00AB3200">
        <w:rPr>
          <w:rFonts w:hAnsi="標楷體" w:hint="eastAsia"/>
          <w:szCs w:val="32"/>
        </w:rPr>
        <w:t>之成效有限</w:t>
      </w:r>
      <w:r w:rsidR="00540108" w:rsidRPr="00AB3200">
        <w:rPr>
          <w:rFonts w:hAnsi="標楷體"/>
          <w:szCs w:val="32"/>
        </w:rPr>
        <w:t>，肇致學非</w:t>
      </w:r>
      <w:r w:rsidR="00540108" w:rsidRPr="00AB3200">
        <w:rPr>
          <w:rFonts w:hAnsi="標楷體" w:hint="eastAsia"/>
          <w:szCs w:val="32"/>
        </w:rPr>
        <w:t>所</w:t>
      </w:r>
      <w:r w:rsidR="00540108" w:rsidRPr="00AB3200">
        <w:rPr>
          <w:rFonts w:hAnsi="標楷體"/>
          <w:szCs w:val="32"/>
        </w:rPr>
        <w:t>用情況</w:t>
      </w:r>
      <w:r w:rsidR="00085CFA" w:rsidRPr="00AB3200">
        <w:rPr>
          <w:rFonts w:hAnsi="標楷體" w:hint="eastAsia"/>
          <w:szCs w:val="32"/>
        </w:rPr>
        <w:t>日益嚴重</w:t>
      </w:r>
      <w:r w:rsidR="00540108" w:rsidRPr="00AB3200">
        <w:rPr>
          <w:rFonts w:hAnsi="標楷體"/>
          <w:szCs w:val="32"/>
        </w:rPr>
        <w:t>，</w:t>
      </w:r>
      <w:proofErr w:type="gramStart"/>
      <w:r w:rsidR="00540108" w:rsidRPr="00AB3200">
        <w:rPr>
          <w:rFonts w:hAnsi="標楷體"/>
          <w:szCs w:val="32"/>
        </w:rPr>
        <w:t>該部允</w:t>
      </w:r>
      <w:r w:rsidR="00540108" w:rsidRPr="00AB3200">
        <w:rPr>
          <w:rFonts w:hAnsi="標楷體" w:hint="eastAsia"/>
          <w:szCs w:val="32"/>
        </w:rPr>
        <w:t>宜</w:t>
      </w:r>
      <w:proofErr w:type="gramEnd"/>
      <w:r w:rsidR="00540108" w:rsidRPr="00AB3200">
        <w:rPr>
          <w:rFonts w:hAnsi="標楷體"/>
          <w:szCs w:val="32"/>
        </w:rPr>
        <w:t>對就業情形欠佳之系所，</w:t>
      </w:r>
      <w:proofErr w:type="gramStart"/>
      <w:r w:rsidR="00540108" w:rsidRPr="00AB3200">
        <w:rPr>
          <w:rFonts w:hAnsi="標楷體" w:hint="eastAsia"/>
          <w:szCs w:val="32"/>
        </w:rPr>
        <w:t>研</w:t>
      </w:r>
      <w:proofErr w:type="gramEnd"/>
      <w:r w:rsidR="00540108" w:rsidRPr="00AB3200">
        <w:rPr>
          <w:rFonts w:hAnsi="標楷體" w:hint="eastAsia"/>
          <w:szCs w:val="32"/>
        </w:rPr>
        <w:t>擬有效方案，</w:t>
      </w:r>
      <w:r w:rsidR="00540108" w:rsidRPr="00AB3200">
        <w:rPr>
          <w:rFonts w:hAnsi="標楷體"/>
          <w:szCs w:val="32"/>
        </w:rPr>
        <w:t>確實督促各校院檢討應否辦理轉型，或提出改善就業方案。</w:t>
      </w:r>
      <w:bookmarkEnd w:id="141"/>
      <w:r w:rsidR="00085CFA" w:rsidRPr="00AB3200">
        <w:rPr>
          <w:rFonts w:hAnsi="標楷體" w:hint="eastAsia"/>
          <w:szCs w:val="32"/>
        </w:rPr>
        <w:t>以免因學校怠惰而浪費國家社會資源及學生青春，以確保學生權益。</w:t>
      </w:r>
    </w:p>
    <w:p w:rsidR="003A213D" w:rsidRPr="00AB3200" w:rsidRDefault="003A213D" w:rsidP="003A213D">
      <w:pPr>
        <w:pStyle w:val="20"/>
        <w:ind w:left="1020" w:hanging="680"/>
        <w:rPr>
          <w:rFonts w:hAnsi="標楷體"/>
          <w:b/>
        </w:rPr>
      </w:pPr>
      <w:bookmarkStart w:id="142" w:name="_Toc393464416"/>
      <w:r w:rsidRPr="00AB3200">
        <w:rPr>
          <w:rFonts w:hAnsi="標楷體"/>
          <w:b/>
          <w:szCs w:val="32"/>
        </w:rPr>
        <w:t>教育部</w:t>
      </w:r>
      <w:r w:rsidRPr="00AB3200">
        <w:rPr>
          <w:rFonts w:hAnsi="標楷體" w:hint="eastAsia"/>
          <w:b/>
          <w:szCs w:val="32"/>
        </w:rPr>
        <w:t>雖推</w:t>
      </w:r>
      <w:r w:rsidRPr="00AB3200">
        <w:rPr>
          <w:rFonts w:hAnsi="標楷體"/>
          <w:b/>
        </w:rPr>
        <w:t>動</w:t>
      </w:r>
      <w:r w:rsidRPr="00AB3200">
        <w:rPr>
          <w:rFonts w:hAnsi="標楷體" w:hint="eastAsia"/>
          <w:b/>
        </w:rPr>
        <w:t>學生</w:t>
      </w:r>
      <w:r w:rsidRPr="00AB3200">
        <w:rPr>
          <w:rFonts w:hAnsi="標楷體"/>
          <w:b/>
        </w:rPr>
        <w:t>生涯輔導，</w:t>
      </w:r>
      <w:r w:rsidRPr="00AB3200">
        <w:rPr>
          <w:rFonts w:hAnsi="標楷體" w:hint="eastAsia"/>
          <w:b/>
        </w:rPr>
        <w:t>惟</w:t>
      </w:r>
      <w:r w:rsidRPr="00AB3200">
        <w:rPr>
          <w:rFonts w:hAnsi="標楷體" w:hint="eastAsia"/>
          <w:b/>
          <w:szCs w:val="32"/>
        </w:rPr>
        <w:t>以學生輔導法未通過為由，</w:t>
      </w:r>
      <w:r w:rsidRPr="00AB3200">
        <w:rPr>
          <w:rFonts w:hAnsi="標楷體"/>
          <w:b/>
          <w:szCs w:val="32"/>
        </w:rPr>
        <w:t>未能</w:t>
      </w:r>
      <w:r w:rsidRPr="00AB3200">
        <w:rPr>
          <w:rFonts w:hAnsi="標楷體" w:hint="eastAsia"/>
          <w:b/>
          <w:szCs w:val="32"/>
        </w:rPr>
        <w:t>督促學校</w:t>
      </w:r>
      <w:r w:rsidRPr="00AB3200">
        <w:rPr>
          <w:rFonts w:hAnsi="標楷體"/>
          <w:b/>
          <w:szCs w:val="32"/>
        </w:rPr>
        <w:t>建立妥善之職</w:t>
      </w:r>
      <w:proofErr w:type="gramStart"/>
      <w:r w:rsidRPr="00AB3200">
        <w:rPr>
          <w:rFonts w:hAnsi="標楷體"/>
          <w:b/>
          <w:szCs w:val="32"/>
        </w:rPr>
        <w:t>涯</w:t>
      </w:r>
      <w:proofErr w:type="gramEnd"/>
      <w:r w:rsidRPr="00AB3200">
        <w:rPr>
          <w:rFonts w:hAnsi="標楷體"/>
          <w:b/>
          <w:szCs w:val="32"/>
        </w:rPr>
        <w:t>輔導機制，致部分大專院校未能積極輔導學生職</w:t>
      </w:r>
      <w:proofErr w:type="gramStart"/>
      <w:r w:rsidRPr="00AB3200">
        <w:rPr>
          <w:rFonts w:hAnsi="標楷體"/>
          <w:b/>
          <w:szCs w:val="32"/>
        </w:rPr>
        <w:t>涯</w:t>
      </w:r>
      <w:proofErr w:type="gramEnd"/>
      <w:r w:rsidRPr="00AB3200">
        <w:rPr>
          <w:rFonts w:hAnsi="標楷體"/>
          <w:b/>
          <w:szCs w:val="32"/>
        </w:rPr>
        <w:t>發展，</w:t>
      </w:r>
      <w:r w:rsidRPr="00AB3200">
        <w:rPr>
          <w:rFonts w:hAnsi="標楷體" w:hint="eastAsia"/>
          <w:b/>
          <w:szCs w:val="32"/>
        </w:rPr>
        <w:t>部分青年畢業前對於職</w:t>
      </w:r>
      <w:proofErr w:type="gramStart"/>
      <w:r w:rsidRPr="00AB3200">
        <w:rPr>
          <w:rFonts w:hAnsi="標楷體" w:hint="eastAsia"/>
          <w:b/>
          <w:szCs w:val="32"/>
        </w:rPr>
        <w:t>涯</w:t>
      </w:r>
      <w:proofErr w:type="gramEnd"/>
      <w:r w:rsidRPr="00AB3200">
        <w:rPr>
          <w:rFonts w:hAnsi="標楷體" w:hint="eastAsia"/>
          <w:b/>
          <w:szCs w:val="32"/>
        </w:rPr>
        <w:t>仍感到迷惘，允宜強化輔導，並檢討提前至國中及高中階段進行適當職</w:t>
      </w:r>
      <w:proofErr w:type="gramStart"/>
      <w:r w:rsidRPr="00AB3200">
        <w:rPr>
          <w:rFonts w:hAnsi="標楷體" w:hint="eastAsia"/>
          <w:b/>
          <w:szCs w:val="32"/>
        </w:rPr>
        <w:t>涯</w:t>
      </w:r>
      <w:proofErr w:type="gramEnd"/>
      <w:r w:rsidRPr="00AB3200">
        <w:rPr>
          <w:rFonts w:hAnsi="標楷體" w:hint="eastAsia"/>
          <w:b/>
          <w:szCs w:val="32"/>
        </w:rPr>
        <w:t>探索，以協助學生及早瞭解職</w:t>
      </w:r>
      <w:proofErr w:type="gramStart"/>
      <w:r w:rsidRPr="00AB3200">
        <w:rPr>
          <w:rFonts w:hAnsi="標楷體" w:hint="eastAsia"/>
          <w:b/>
          <w:szCs w:val="32"/>
        </w:rPr>
        <w:t>涯</w:t>
      </w:r>
      <w:proofErr w:type="gramEnd"/>
      <w:r w:rsidRPr="00AB3200">
        <w:rPr>
          <w:rFonts w:hAnsi="標楷體" w:hint="eastAsia"/>
          <w:b/>
          <w:szCs w:val="32"/>
        </w:rPr>
        <w:t>興趣</w:t>
      </w:r>
      <w:r w:rsidRPr="00AB3200">
        <w:rPr>
          <w:rFonts w:hAnsi="標楷體"/>
          <w:b/>
          <w:szCs w:val="32"/>
        </w:rPr>
        <w:t>。</w:t>
      </w:r>
      <w:bookmarkEnd w:id="142"/>
    </w:p>
    <w:p w:rsidR="003A213D" w:rsidRPr="00AB3200" w:rsidRDefault="003A213D" w:rsidP="003A213D">
      <w:pPr>
        <w:pStyle w:val="3"/>
        <w:ind w:left="1360" w:hanging="680"/>
        <w:rPr>
          <w:rFonts w:hAnsi="標楷體"/>
        </w:rPr>
      </w:pPr>
      <w:bookmarkStart w:id="143" w:name="_Toc392764864"/>
      <w:bookmarkStart w:id="144" w:name="_Toc393464417"/>
      <w:r w:rsidRPr="00AB3200">
        <w:rPr>
          <w:rFonts w:hAnsi="標楷體" w:hint="eastAsia"/>
        </w:rPr>
        <w:t>教育部為提升青年就業競爭力，</w:t>
      </w:r>
      <w:r w:rsidRPr="00AB3200">
        <w:rPr>
          <w:rFonts w:hAnsi="標楷體"/>
        </w:rPr>
        <w:t>推動生涯輔導，引領學生從學</w:t>
      </w:r>
      <w:proofErr w:type="gramStart"/>
      <w:r w:rsidRPr="00AB3200">
        <w:rPr>
          <w:rFonts w:hAnsi="標楷體"/>
        </w:rPr>
        <w:t>涯</w:t>
      </w:r>
      <w:proofErr w:type="gramEnd"/>
      <w:r w:rsidRPr="00AB3200">
        <w:rPr>
          <w:rFonts w:hAnsi="標楷體"/>
        </w:rPr>
        <w:t>、職</w:t>
      </w:r>
      <w:proofErr w:type="gramStart"/>
      <w:r w:rsidRPr="00AB3200">
        <w:rPr>
          <w:rFonts w:hAnsi="標楷體"/>
        </w:rPr>
        <w:t>涯</w:t>
      </w:r>
      <w:proofErr w:type="gramEnd"/>
      <w:r w:rsidRPr="00AB3200">
        <w:rPr>
          <w:rFonts w:hAnsi="標楷體"/>
        </w:rPr>
        <w:t>到生涯各階段之發展，亦藉由學習過程，輔導學生依個人性向、能力、專長發展職</w:t>
      </w:r>
      <w:proofErr w:type="gramStart"/>
      <w:r w:rsidRPr="00AB3200">
        <w:rPr>
          <w:rFonts w:hAnsi="標楷體"/>
        </w:rPr>
        <w:t>涯</w:t>
      </w:r>
      <w:proofErr w:type="gramEnd"/>
      <w:r w:rsidRPr="00AB3200">
        <w:rPr>
          <w:rFonts w:hAnsi="標楷體"/>
        </w:rPr>
        <w:t>規劃，並給予適切的學</w:t>
      </w:r>
      <w:proofErr w:type="gramStart"/>
      <w:r w:rsidRPr="00AB3200">
        <w:rPr>
          <w:rFonts w:hAnsi="標楷體"/>
        </w:rPr>
        <w:t>涯</w:t>
      </w:r>
      <w:proofErr w:type="gramEnd"/>
      <w:r w:rsidRPr="00AB3200">
        <w:rPr>
          <w:rFonts w:hAnsi="標楷體"/>
        </w:rPr>
        <w:t>與生涯輔導。</w:t>
      </w:r>
      <w:r w:rsidRPr="00AB3200">
        <w:rPr>
          <w:rFonts w:hAnsi="標楷體" w:hint="eastAsia"/>
        </w:rPr>
        <w:t>查教育</w:t>
      </w:r>
      <w:r w:rsidRPr="00AB3200">
        <w:rPr>
          <w:rFonts w:hAnsi="標楷體"/>
          <w:szCs w:val="32"/>
        </w:rPr>
        <w:t>部自98年起，即分別對專科、大學、科技大學訂定「教育部補助專科學校提升整體教學品質專案計畫要點」、「教育部補助獎勵大學教學卓越計畫及區域教學資源中心計畫實施要點」、「教育部獎勵科技大學及技術學院教學卓越計畫要點」，以強化學生學習成效，</w:t>
      </w:r>
      <w:r w:rsidRPr="00AB3200">
        <w:rPr>
          <w:rFonts w:hAnsi="標楷體"/>
        </w:rPr>
        <w:t>協助在校學生職</w:t>
      </w:r>
      <w:proofErr w:type="gramStart"/>
      <w:r w:rsidRPr="00AB3200">
        <w:rPr>
          <w:rFonts w:hAnsi="標楷體"/>
        </w:rPr>
        <w:t>涯</w:t>
      </w:r>
      <w:proofErr w:type="gramEnd"/>
      <w:r w:rsidRPr="00AB3200">
        <w:rPr>
          <w:rFonts w:hAnsi="標楷體"/>
        </w:rPr>
        <w:t>規劃、</w:t>
      </w:r>
      <w:r w:rsidRPr="00AB3200">
        <w:rPr>
          <w:rFonts w:hAnsi="標楷體"/>
          <w:szCs w:val="32"/>
        </w:rPr>
        <w:t>選課、學習，並鼓勵教師輔導學生之職</w:t>
      </w:r>
      <w:proofErr w:type="gramStart"/>
      <w:r w:rsidRPr="00AB3200">
        <w:rPr>
          <w:rFonts w:hAnsi="標楷體"/>
          <w:szCs w:val="32"/>
        </w:rPr>
        <w:t>涯</w:t>
      </w:r>
      <w:proofErr w:type="gramEnd"/>
      <w:r w:rsidRPr="00AB3200">
        <w:rPr>
          <w:rFonts w:hAnsi="標楷體"/>
          <w:szCs w:val="32"/>
        </w:rPr>
        <w:t>發展等作為，以提升學生就業力。</w:t>
      </w:r>
      <w:bookmarkEnd w:id="143"/>
      <w:bookmarkEnd w:id="144"/>
    </w:p>
    <w:p w:rsidR="003A213D" w:rsidRPr="00AB3200" w:rsidRDefault="003A213D" w:rsidP="003A213D">
      <w:pPr>
        <w:pStyle w:val="3"/>
        <w:ind w:left="1360" w:hanging="680"/>
        <w:rPr>
          <w:rFonts w:hAnsi="標楷體"/>
        </w:rPr>
      </w:pPr>
      <w:bookmarkStart w:id="145" w:name="_Toc392764865"/>
      <w:bookmarkStart w:id="146" w:name="_Toc393464418"/>
      <w:r w:rsidRPr="00AB3200">
        <w:rPr>
          <w:rFonts w:hAnsi="標楷體"/>
          <w:szCs w:val="32"/>
        </w:rPr>
        <w:t>據</w:t>
      </w:r>
      <w:r w:rsidRPr="00AB3200">
        <w:rPr>
          <w:rFonts w:hAnsi="標楷體"/>
          <w:bCs w:val="0"/>
          <w:kern w:val="2"/>
          <w:szCs w:val="32"/>
        </w:rPr>
        <w:t>教育部</w:t>
      </w:r>
      <w:r w:rsidRPr="00AB3200">
        <w:rPr>
          <w:rFonts w:hAnsi="標楷體"/>
          <w:szCs w:val="32"/>
        </w:rPr>
        <w:t>函復本院有關推動學生職</w:t>
      </w:r>
      <w:proofErr w:type="gramStart"/>
      <w:r w:rsidRPr="00AB3200">
        <w:rPr>
          <w:rFonts w:hAnsi="標楷體"/>
          <w:szCs w:val="32"/>
        </w:rPr>
        <w:t>涯</w:t>
      </w:r>
      <w:proofErr w:type="gramEnd"/>
      <w:r w:rsidRPr="00AB3200">
        <w:rPr>
          <w:rFonts w:hAnsi="標楷體"/>
          <w:szCs w:val="32"/>
        </w:rPr>
        <w:t>探索及就業輔導措施情形，</w:t>
      </w:r>
      <w:r w:rsidRPr="00AB3200">
        <w:rPr>
          <w:rFonts w:hAnsi="標楷體" w:hint="eastAsia"/>
          <w:szCs w:val="32"/>
        </w:rPr>
        <w:t>該</w:t>
      </w:r>
      <w:r w:rsidRPr="00AB3200">
        <w:rPr>
          <w:rFonts w:hAnsi="標楷體"/>
          <w:szCs w:val="32"/>
        </w:rPr>
        <w:t>部97至101年辦理「大專院校提升青年就業力實施計畫」(共核定補助1,061案，計720,199人次青年受益)，藉由職</w:t>
      </w:r>
      <w:proofErr w:type="gramStart"/>
      <w:r w:rsidRPr="00AB3200">
        <w:rPr>
          <w:rFonts w:hAnsi="標楷體"/>
          <w:szCs w:val="32"/>
        </w:rPr>
        <w:t>涯</w:t>
      </w:r>
      <w:proofErr w:type="gramEnd"/>
      <w:r w:rsidRPr="00AB3200">
        <w:rPr>
          <w:rFonts w:hAnsi="標楷體"/>
          <w:szCs w:val="32"/>
        </w:rPr>
        <w:t>探索協助學生瞭</w:t>
      </w:r>
      <w:r w:rsidRPr="00AB3200">
        <w:rPr>
          <w:rFonts w:hAnsi="標楷體"/>
          <w:szCs w:val="32"/>
        </w:rPr>
        <w:lastRenderedPageBreak/>
        <w:t>解職</w:t>
      </w:r>
      <w:proofErr w:type="gramStart"/>
      <w:r w:rsidRPr="00AB3200">
        <w:rPr>
          <w:rFonts w:hAnsi="標楷體"/>
          <w:szCs w:val="32"/>
        </w:rPr>
        <w:t>涯</w:t>
      </w:r>
      <w:proofErr w:type="gramEnd"/>
      <w:r w:rsidRPr="00AB3200">
        <w:rPr>
          <w:rFonts w:hAnsi="標楷體"/>
          <w:szCs w:val="32"/>
        </w:rPr>
        <w:t>方向、建置系科職</w:t>
      </w:r>
      <w:proofErr w:type="gramStart"/>
      <w:r w:rsidRPr="00AB3200">
        <w:rPr>
          <w:rFonts w:hAnsi="標楷體"/>
          <w:szCs w:val="32"/>
        </w:rPr>
        <w:t>涯</w:t>
      </w:r>
      <w:proofErr w:type="gramEnd"/>
      <w:r w:rsidRPr="00AB3200">
        <w:rPr>
          <w:rFonts w:hAnsi="標楷體"/>
          <w:szCs w:val="32"/>
        </w:rPr>
        <w:t>進路與課程學習地圖、建立生涯歷程檔案；透過辦理培訓課程及工作研討會，增進職</w:t>
      </w:r>
      <w:proofErr w:type="gramStart"/>
      <w:r w:rsidRPr="00AB3200">
        <w:rPr>
          <w:rFonts w:hAnsi="標楷體"/>
          <w:szCs w:val="32"/>
        </w:rPr>
        <w:t>涯</w:t>
      </w:r>
      <w:proofErr w:type="gramEnd"/>
      <w:r w:rsidRPr="00AB3200">
        <w:rPr>
          <w:rFonts w:hAnsi="標楷體"/>
          <w:szCs w:val="32"/>
        </w:rPr>
        <w:t>輔導人員對產業趨勢、職場人力需求與核心就業能力的了解。另教育部自95年推動獎勵大學教學卓越計畫，獲補助學校已全面建立以學生為主體之生涯輔導規劃機制，如設立生涯輔導專責單位、學習成效評估機制、從入學到畢業的生(職)</w:t>
      </w:r>
      <w:proofErr w:type="gramStart"/>
      <w:r w:rsidRPr="00AB3200">
        <w:rPr>
          <w:rFonts w:hAnsi="標楷體"/>
          <w:szCs w:val="32"/>
        </w:rPr>
        <w:t>涯</w:t>
      </w:r>
      <w:proofErr w:type="gramEnd"/>
      <w:r w:rsidRPr="00AB3200">
        <w:rPr>
          <w:rFonts w:hAnsi="標楷體"/>
          <w:szCs w:val="32"/>
        </w:rPr>
        <w:t>輔導機制；98年起建置「大專校院就業職能平台－UCAN」。目前持續辦理大專校院生涯輔導人員專業知能培訓，落實學生生涯輔導工作；配合技職教育再造方案，進行職</w:t>
      </w:r>
      <w:proofErr w:type="gramStart"/>
      <w:r w:rsidRPr="00AB3200">
        <w:rPr>
          <w:rFonts w:hAnsi="標楷體"/>
          <w:szCs w:val="32"/>
        </w:rPr>
        <w:t>涯</w:t>
      </w:r>
      <w:proofErr w:type="gramEnd"/>
      <w:r w:rsidRPr="00AB3200">
        <w:rPr>
          <w:rFonts w:hAnsi="標楷體"/>
          <w:szCs w:val="32"/>
        </w:rPr>
        <w:t>規劃種子教師培訓；規劃建立高中職學生生涯歷程檔案，將生涯輔導向下紮根。在大學評鑑方面，校務評鑑項目「教學與學習資源」，已將「學校辦理畢業生生涯發展輔導之作法為何」納入</w:t>
      </w:r>
      <w:proofErr w:type="gramStart"/>
      <w:r w:rsidRPr="00AB3200">
        <w:rPr>
          <w:rFonts w:hAnsi="標楷體"/>
          <w:szCs w:val="32"/>
        </w:rPr>
        <w:t>參考效標</w:t>
      </w:r>
      <w:proofErr w:type="gramEnd"/>
      <w:r w:rsidRPr="00AB3200">
        <w:rPr>
          <w:rFonts w:hAnsi="標楷體"/>
          <w:szCs w:val="32"/>
        </w:rPr>
        <w:t>；系所評鑑項目「學生、學習與支持系統」，核心指標「學生其他學習、支持系統及其成效」之內涵，業涵蓋提供生涯輔導機制適當資源，協助學生了解本身職業性向與就業市場。</w:t>
      </w:r>
      <w:bookmarkEnd w:id="145"/>
      <w:bookmarkEnd w:id="146"/>
    </w:p>
    <w:p w:rsidR="003A213D" w:rsidRPr="00AB3200" w:rsidRDefault="003A213D" w:rsidP="003A213D">
      <w:pPr>
        <w:pStyle w:val="3"/>
        <w:ind w:left="1360" w:hanging="680"/>
        <w:rPr>
          <w:rFonts w:hAnsi="標楷體"/>
        </w:rPr>
      </w:pPr>
      <w:bookmarkStart w:id="147" w:name="_Toc392764866"/>
      <w:bookmarkStart w:id="148" w:name="_Toc393464419"/>
      <w:r w:rsidRPr="00AB3200">
        <w:rPr>
          <w:rFonts w:hAnsi="標楷體" w:hint="eastAsia"/>
        </w:rPr>
        <w:t>又，</w:t>
      </w:r>
      <w:r w:rsidRPr="00AB3200">
        <w:rPr>
          <w:rFonts w:hAnsi="標楷體"/>
        </w:rPr>
        <w:t>教育部未有法令規範大專</w:t>
      </w:r>
      <w:proofErr w:type="gramStart"/>
      <w:r w:rsidRPr="00AB3200">
        <w:rPr>
          <w:rFonts w:hAnsi="標楷體"/>
        </w:rPr>
        <w:t>校院需進行</w:t>
      </w:r>
      <w:proofErr w:type="gramEnd"/>
      <w:r w:rsidRPr="00AB3200">
        <w:rPr>
          <w:rFonts w:hAnsi="標楷體"/>
        </w:rPr>
        <w:t>生涯輔導專業人員之設置，目前教育部刻正推動學生輔導法立法作業，並朝納入專科以上學校得至生涯輔導專業人員相關規定之立法方向，以為專科以上學校生涯輔導專業人員之設置爭取法源依據。有關本院調查職</w:t>
      </w:r>
      <w:proofErr w:type="gramStart"/>
      <w:r w:rsidRPr="00AB3200">
        <w:rPr>
          <w:rFonts w:hAnsi="標楷體"/>
        </w:rPr>
        <w:t>涯</w:t>
      </w:r>
      <w:proofErr w:type="gramEnd"/>
      <w:r w:rsidRPr="00AB3200">
        <w:rPr>
          <w:rFonts w:hAnsi="標楷體"/>
        </w:rPr>
        <w:t>輔導單位人員配置及專業背景符合教育部規範的校數</w:t>
      </w:r>
      <w:r w:rsidRPr="00AB3200">
        <w:rPr>
          <w:rFonts w:hAnsi="標楷體" w:hint="eastAsia"/>
        </w:rPr>
        <w:t>，</w:t>
      </w:r>
      <w:proofErr w:type="gramStart"/>
      <w:r w:rsidRPr="00AB3200">
        <w:rPr>
          <w:rFonts w:hAnsi="標楷體"/>
        </w:rPr>
        <w:t>該部函復</w:t>
      </w:r>
      <w:proofErr w:type="gramEnd"/>
      <w:r w:rsidRPr="00AB3200">
        <w:rPr>
          <w:rFonts w:hAnsi="標楷體"/>
        </w:rPr>
        <w:t>有70所學校並不符合教育部規範，計有43.5%之學校職</w:t>
      </w:r>
      <w:proofErr w:type="gramStart"/>
      <w:r w:rsidRPr="00AB3200">
        <w:rPr>
          <w:rFonts w:hAnsi="標楷體"/>
        </w:rPr>
        <w:t>涯</w:t>
      </w:r>
      <w:proofErr w:type="gramEnd"/>
      <w:r w:rsidRPr="00AB3200">
        <w:rPr>
          <w:rFonts w:hAnsi="標楷體"/>
        </w:rPr>
        <w:t>輔導單位人員配置及專業背景不符合教育部規範。</w:t>
      </w:r>
      <w:bookmarkEnd w:id="147"/>
      <w:bookmarkEnd w:id="148"/>
    </w:p>
    <w:p w:rsidR="003A213D" w:rsidRPr="00AB3200" w:rsidRDefault="003A213D" w:rsidP="003A213D">
      <w:pPr>
        <w:pStyle w:val="3"/>
        <w:ind w:left="1360" w:hanging="680"/>
        <w:rPr>
          <w:rFonts w:hAnsi="標楷體"/>
        </w:rPr>
      </w:pPr>
      <w:bookmarkStart w:id="149" w:name="_Toc392764867"/>
      <w:bookmarkStart w:id="150" w:name="_Toc393464420"/>
      <w:r w:rsidRPr="00AB3200">
        <w:rPr>
          <w:rFonts w:hAnsi="標楷體"/>
          <w:szCs w:val="32"/>
        </w:rPr>
        <w:t>據教育部調查有關我國161所大專校院，各校職</w:t>
      </w:r>
      <w:proofErr w:type="gramStart"/>
      <w:r w:rsidRPr="00AB3200">
        <w:rPr>
          <w:rFonts w:hAnsi="標楷體"/>
          <w:szCs w:val="32"/>
        </w:rPr>
        <w:t>涯</w:t>
      </w:r>
      <w:proofErr w:type="gramEnd"/>
      <w:r w:rsidRPr="00AB3200">
        <w:rPr>
          <w:rFonts w:hAnsi="標楷體"/>
          <w:szCs w:val="32"/>
        </w:rPr>
        <w:t>輔導與規劃情形如下：</w:t>
      </w:r>
      <w:bookmarkEnd w:id="149"/>
      <w:bookmarkEnd w:id="150"/>
    </w:p>
    <w:p w:rsidR="003A213D" w:rsidRPr="00AB3200" w:rsidRDefault="003A213D" w:rsidP="003A213D">
      <w:pPr>
        <w:pStyle w:val="4"/>
        <w:ind w:left="1843" w:hanging="709"/>
        <w:rPr>
          <w:rFonts w:hAnsi="標楷體"/>
        </w:rPr>
      </w:pPr>
      <w:r w:rsidRPr="00AB3200">
        <w:rPr>
          <w:rFonts w:hAnsi="標楷體"/>
        </w:rPr>
        <w:t>對於學校是否得選修就業課程，計有長庚大學、</w:t>
      </w:r>
      <w:r w:rsidRPr="00AB3200">
        <w:rPr>
          <w:rFonts w:hAnsi="標楷體"/>
        </w:rPr>
        <w:lastRenderedPageBreak/>
        <w:t>長榮大學、國立中央大學、國立成功大學、國立高雄大學、國立高雄師範大學、國立清華大學、國立新竹教育大學、國立台北教育大學、國立聯合大學、國立體育大學、康寧大學、稻江科技暨管理學院、興國管理學院與大同大學等15所學校不得選修就業課程，其中大同大學之學生仍得自由參加就業輔導及生涯講座。</w:t>
      </w:r>
    </w:p>
    <w:p w:rsidR="003A213D" w:rsidRPr="00AB3200" w:rsidRDefault="003A213D" w:rsidP="003A213D">
      <w:pPr>
        <w:pStyle w:val="4"/>
        <w:ind w:left="1843" w:hanging="709"/>
        <w:rPr>
          <w:rFonts w:hAnsi="標楷體"/>
        </w:rPr>
      </w:pPr>
      <w:r w:rsidRPr="00AB3200">
        <w:rPr>
          <w:rFonts w:hAnsi="標楷體"/>
        </w:rPr>
        <w:t>未能主動協助學生探索職業性向之學校計有國立交通大學、國立高雄大學、國立高雄師範大學、國立清華大學、國立陽明大學等5所學校。</w:t>
      </w:r>
    </w:p>
    <w:p w:rsidR="003A213D" w:rsidRPr="00AB3200" w:rsidRDefault="003A213D" w:rsidP="003A213D">
      <w:pPr>
        <w:pStyle w:val="4"/>
        <w:ind w:left="1843" w:hanging="709"/>
        <w:rPr>
          <w:rFonts w:hAnsi="標楷體"/>
        </w:rPr>
      </w:pPr>
      <w:r w:rsidRPr="00AB3200">
        <w:rPr>
          <w:rFonts w:hAnsi="標楷體"/>
        </w:rPr>
        <w:t>未設立就業輔導中心計有中國文化大學、國立東華大學、國立高雄師範大學、國立台南藝術大學、國立臺灣體育大學、國立體育大學等6所大學。其中中國文化大學於學</w:t>
      </w:r>
      <w:proofErr w:type="gramStart"/>
      <w:r w:rsidRPr="00AB3200">
        <w:rPr>
          <w:rFonts w:hAnsi="標楷體"/>
        </w:rPr>
        <w:t>務</w:t>
      </w:r>
      <w:proofErr w:type="gramEnd"/>
      <w:r w:rsidRPr="00AB3200">
        <w:rPr>
          <w:rFonts w:hAnsi="標楷體"/>
        </w:rPr>
        <w:t>處下設有畢業生輔導組多年，自96年起改組為職</w:t>
      </w:r>
      <w:proofErr w:type="gramStart"/>
      <w:r w:rsidRPr="00AB3200">
        <w:rPr>
          <w:rFonts w:hAnsi="標楷體"/>
        </w:rPr>
        <w:t>涯</w:t>
      </w:r>
      <w:proofErr w:type="gramEnd"/>
      <w:r w:rsidRPr="00AB3200">
        <w:rPr>
          <w:rFonts w:hAnsi="標楷體"/>
        </w:rPr>
        <w:t>發展與校友服務組，業務包含學生之實習與就業輔導；另外國立東華大學則設有畢業生服務組、學生學習輔導組等單位進行</w:t>
      </w:r>
      <w:proofErr w:type="gramStart"/>
      <w:r w:rsidRPr="00AB3200">
        <w:rPr>
          <w:rFonts w:hAnsi="標楷體"/>
        </w:rPr>
        <w:t>學生學職生涯</w:t>
      </w:r>
      <w:proofErr w:type="gramEnd"/>
      <w:r w:rsidRPr="00AB3200">
        <w:rPr>
          <w:rFonts w:hAnsi="標楷體"/>
        </w:rPr>
        <w:t>輔導。</w:t>
      </w:r>
    </w:p>
    <w:p w:rsidR="003A213D" w:rsidRPr="00AB3200" w:rsidRDefault="003A213D" w:rsidP="003A213D">
      <w:pPr>
        <w:pStyle w:val="4"/>
        <w:ind w:left="1843" w:hanging="709"/>
        <w:rPr>
          <w:rFonts w:hAnsi="標楷體"/>
        </w:rPr>
      </w:pPr>
      <w:r w:rsidRPr="00AB3200">
        <w:rPr>
          <w:rFonts w:hAnsi="標楷體"/>
        </w:rPr>
        <w:t>目前只有國立宜蘭大學與興國管理學院未有就業實習，其餘159所大專校</w:t>
      </w:r>
      <w:proofErr w:type="gramStart"/>
      <w:r w:rsidRPr="00AB3200">
        <w:rPr>
          <w:rFonts w:hAnsi="標楷體"/>
        </w:rPr>
        <w:t>院均有提供</w:t>
      </w:r>
      <w:proofErr w:type="gramEnd"/>
      <w:r w:rsidRPr="00AB3200">
        <w:rPr>
          <w:rFonts w:hAnsi="標楷體"/>
        </w:rPr>
        <w:t>就業實習。至於未媒介就業機會之學校僅有國立高雄</w:t>
      </w:r>
      <w:proofErr w:type="gramStart"/>
      <w:r w:rsidRPr="00AB3200">
        <w:rPr>
          <w:rFonts w:hAnsi="標楷體"/>
        </w:rPr>
        <w:t>師範大學與稻江</w:t>
      </w:r>
      <w:proofErr w:type="gramEnd"/>
      <w:r w:rsidRPr="00AB3200">
        <w:rPr>
          <w:rFonts w:hAnsi="標楷體"/>
        </w:rPr>
        <w:t>科技暨管理學院等2所學校，其餘大專校</w:t>
      </w:r>
      <w:proofErr w:type="gramStart"/>
      <w:r w:rsidRPr="00AB3200">
        <w:rPr>
          <w:rFonts w:hAnsi="標楷體"/>
        </w:rPr>
        <w:t>院均有提供</w:t>
      </w:r>
      <w:proofErr w:type="gramEnd"/>
      <w:r w:rsidRPr="00AB3200">
        <w:rPr>
          <w:rFonts w:hAnsi="標楷體"/>
        </w:rPr>
        <w:t>媒介就業機會。</w:t>
      </w:r>
    </w:p>
    <w:p w:rsidR="003A213D" w:rsidRPr="00AB3200" w:rsidRDefault="003A213D" w:rsidP="003A213D">
      <w:pPr>
        <w:pStyle w:val="3"/>
        <w:numPr>
          <w:ilvl w:val="0"/>
          <w:numId w:val="0"/>
        </w:numPr>
        <w:ind w:left="1360"/>
        <w:rPr>
          <w:rFonts w:hAnsi="標楷體"/>
          <w:szCs w:val="32"/>
        </w:rPr>
      </w:pPr>
      <w:bookmarkStart w:id="151" w:name="_Toc392764868"/>
      <w:bookmarkStart w:id="152" w:name="_Toc393464421"/>
      <w:r w:rsidRPr="00AB3200">
        <w:rPr>
          <w:rFonts w:hAnsi="標楷體"/>
        </w:rPr>
        <w:t>另教育部辦理「協助大專校院提升青年就業力計畫」，相關「職</w:t>
      </w:r>
      <w:proofErr w:type="gramStart"/>
      <w:r w:rsidRPr="00AB3200">
        <w:rPr>
          <w:rFonts w:hAnsi="標楷體"/>
        </w:rPr>
        <w:t>涯</w:t>
      </w:r>
      <w:proofErr w:type="gramEnd"/>
      <w:r w:rsidRPr="00AB3200">
        <w:rPr>
          <w:rFonts w:hAnsi="標楷體"/>
        </w:rPr>
        <w:t>探索」活動係補助大專校院辦理性向興趣測驗、諮商、撰寫學習規劃書等，協助在學青年及早進行生涯規劃。</w:t>
      </w:r>
      <w:proofErr w:type="gramStart"/>
      <w:r w:rsidRPr="00AB3200">
        <w:rPr>
          <w:rFonts w:hAnsi="標楷體"/>
        </w:rPr>
        <w:t>100</w:t>
      </w:r>
      <w:proofErr w:type="gramEnd"/>
      <w:r w:rsidRPr="00AB3200">
        <w:rPr>
          <w:rFonts w:hAnsi="標楷體"/>
        </w:rPr>
        <w:t>年度計有34校、</w:t>
      </w:r>
      <w:proofErr w:type="gramStart"/>
      <w:r w:rsidRPr="00AB3200">
        <w:rPr>
          <w:rFonts w:hAnsi="標楷體"/>
        </w:rPr>
        <w:t>101</w:t>
      </w:r>
      <w:proofErr w:type="gramEnd"/>
      <w:r w:rsidRPr="00AB3200">
        <w:rPr>
          <w:rFonts w:hAnsi="標楷體"/>
        </w:rPr>
        <w:t>年度計有45校、</w:t>
      </w:r>
      <w:proofErr w:type="gramStart"/>
      <w:r w:rsidRPr="00AB3200">
        <w:rPr>
          <w:rFonts w:hAnsi="標楷體"/>
        </w:rPr>
        <w:t>102</w:t>
      </w:r>
      <w:proofErr w:type="gramEnd"/>
      <w:r w:rsidRPr="00AB3200">
        <w:rPr>
          <w:rFonts w:hAnsi="標楷體"/>
        </w:rPr>
        <w:t>年度因組</w:t>
      </w:r>
      <w:r w:rsidRPr="00AB3200">
        <w:rPr>
          <w:rFonts w:hAnsi="標楷體" w:hint="eastAsia"/>
        </w:rPr>
        <w:t>織</w:t>
      </w:r>
      <w:r w:rsidRPr="00AB3200">
        <w:rPr>
          <w:rFonts w:hAnsi="標楷體"/>
        </w:rPr>
        <w:t>整</w:t>
      </w:r>
      <w:proofErr w:type="gramStart"/>
      <w:r w:rsidRPr="00AB3200">
        <w:rPr>
          <w:rFonts w:hAnsi="標楷體"/>
        </w:rPr>
        <w:t>併</w:t>
      </w:r>
      <w:proofErr w:type="gramEnd"/>
      <w:r w:rsidRPr="00AB3200">
        <w:rPr>
          <w:rFonts w:hAnsi="標楷體"/>
        </w:rPr>
        <w:t>將該就業力計畫</w:t>
      </w:r>
      <w:proofErr w:type="gramStart"/>
      <w:r w:rsidRPr="00AB3200">
        <w:rPr>
          <w:rFonts w:hAnsi="標楷體"/>
        </w:rPr>
        <w:t>併</w:t>
      </w:r>
      <w:proofErr w:type="gramEnd"/>
      <w:r w:rsidRPr="00AB3200">
        <w:rPr>
          <w:rFonts w:hAnsi="標楷體"/>
        </w:rPr>
        <w:t>至第3期獎勵科技大學及技術學院教學卓越計畫計有38校獲得補助經費。</w:t>
      </w:r>
      <w:proofErr w:type="gramStart"/>
      <w:r w:rsidRPr="00AB3200">
        <w:rPr>
          <w:rFonts w:hAnsi="標楷體" w:hint="eastAsia"/>
        </w:rPr>
        <w:t>惟</w:t>
      </w:r>
      <w:r w:rsidRPr="00AB3200">
        <w:rPr>
          <w:rFonts w:hAnsi="標楷體"/>
          <w:szCs w:val="32"/>
        </w:rPr>
        <w:t>前行政院青年輔導委員</w:t>
      </w:r>
      <w:r w:rsidRPr="00AB3200">
        <w:rPr>
          <w:rFonts w:hAnsi="標楷體"/>
          <w:szCs w:val="32"/>
        </w:rPr>
        <w:lastRenderedPageBreak/>
        <w:t>會</w:t>
      </w:r>
      <w:proofErr w:type="gramEnd"/>
      <w:r w:rsidRPr="00AB3200">
        <w:rPr>
          <w:rFonts w:hAnsi="標楷體"/>
          <w:szCs w:val="32"/>
        </w:rPr>
        <w:t>100年10月「提升青年就業力計畫成效評估暨就業力調查研究報告」指出，</w:t>
      </w:r>
      <w:r w:rsidRPr="00AB3200">
        <w:rPr>
          <w:rFonts w:hAnsi="標楷體"/>
          <w:b/>
          <w:szCs w:val="32"/>
        </w:rPr>
        <w:t>大專校院有45.8％的在校生及44.1％的畢業青年，如果有機會重新選擇，不會再選擇目前就讀的科系，超過</w:t>
      </w:r>
      <w:proofErr w:type="gramStart"/>
      <w:r w:rsidRPr="00AB3200">
        <w:rPr>
          <w:rFonts w:hAnsi="標楷體"/>
          <w:b/>
          <w:szCs w:val="32"/>
        </w:rPr>
        <w:t>4成</w:t>
      </w:r>
      <w:proofErr w:type="gramEnd"/>
      <w:r w:rsidRPr="00AB3200">
        <w:rPr>
          <w:rFonts w:hAnsi="標楷體"/>
          <w:b/>
          <w:szCs w:val="32"/>
        </w:rPr>
        <w:t>青年對於自己的職業生涯規劃尚不夠清楚。</w:t>
      </w:r>
      <w:r w:rsidRPr="00AB3200">
        <w:rPr>
          <w:rFonts w:hAnsi="標楷體" w:hint="eastAsia"/>
          <w:szCs w:val="32"/>
        </w:rPr>
        <w:t>另</w:t>
      </w:r>
      <w:r w:rsidRPr="00AB3200">
        <w:rPr>
          <w:rFonts w:hAnsi="標楷體"/>
          <w:szCs w:val="32"/>
        </w:rPr>
        <w:t>查勞動部「15-29歲青年勞工就業狀況提要分析」報告(資料時間：101年10月)，</w:t>
      </w:r>
      <w:r w:rsidRPr="00AB3200">
        <w:rPr>
          <w:rFonts w:hAnsi="標楷體" w:hint="eastAsia"/>
          <w:szCs w:val="32"/>
        </w:rPr>
        <w:t>青年初次就業平均尋職期間為2.1個月，能立即就業者僅占27.3</w:t>
      </w:r>
      <w:r w:rsidRPr="00AB3200">
        <w:rPr>
          <w:rFonts w:hAnsi="標楷體"/>
          <w:szCs w:val="32"/>
        </w:rPr>
        <w:t>％</w:t>
      </w:r>
      <w:r w:rsidRPr="00AB3200">
        <w:rPr>
          <w:rFonts w:hAnsi="標楷體" w:hint="eastAsia"/>
          <w:szCs w:val="32"/>
        </w:rPr>
        <w:t>；</w:t>
      </w:r>
      <w:r w:rsidRPr="00AB3200">
        <w:rPr>
          <w:rFonts w:hAnsi="標楷體"/>
          <w:szCs w:val="32"/>
        </w:rPr>
        <w:t>青年勞工初次求職遇到困難，「不知道自己適合哪方面工作」占33.6％</w:t>
      </w:r>
      <w:r w:rsidRPr="00AB3200">
        <w:rPr>
          <w:rFonts w:hAnsi="標楷體" w:hint="eastAsia"/>
          <w:szCs w:val="32"/>
        </w:rPr>
        <w:t>(其中22-25歲之35</w:t>
      </w:r>
      <w:r w:rsidRPr="00AB3200">
        <w:rPr>
          <w:rFonts w:hAnsi="標楷體"/>
          <w:szCs w:val="32"/>
        </w:rPr>
        <w:t>％</w:t>
      </w:r>
      <w:r w:rsidRPr="00AB3200">
        <w:rPr>
          <w:rFonts w:hAnsi="標楷體" w:hint="eastAsia"/>
          <w:szCs w:val="32"/>
        </w:rPr>
        <w:t>為最高)</w:t>
      </w:r>
      <w:r w:rsidRPr="00AB3200">
        <w:rPr>
          <w:rFonts w:hAnsi="標楷體"/>
          <w:szCs w:val="32"/>
        </w:rPr>
        <w:t>，「求職面試技巧不足或不會寫履歷」占16.0％，兩者合計近</w:t>
      </w:r>
      <w:proofErr w:type="gramStart"/>
      <w:r w:rsidRPr="00AB3200">
        <w:rPr>
          <w:rFonts w:hAnsi="標楷體"/>
          <w:szCs w:val="32"/>
        </w:rPr>
        <w:t>5成</w:t>
      </w:r>
      <w:proofErr w:type="gramEnd"/>
      <w:r w:rsidRPr="00AB3200">
        <w:rPr>
          <w:rFonts w:hAnsi="標楷體"/>
          <w:szCs w:val="32"/>
        </w:rPr>
        <w:t>；青年勞工初次尋職「沒有做準備」者，高達41.7％</w:t>
      </w:r>
      <w:r w:rsidRPr="00AB3200">
        <w:rPr>
          <w:rFonts w:hAnsi="標楷體" w:hint="eastAsia"/>
          <w:szCs w:val="32"/>
        </w:rPr>
        <w:t>。</w:t>
      </w:r>
      <w:bookmarkEnd w:id="151"/>
      <w:bookmarkEnd w:id="152"/>
    </w:p>
    <w:p w:rsidR="00F47E18" w:rsidRPr="00AB3200" w:rsidRDefault="00F47E18" w:rsidP="00F47E18">
      <w:pPr>
        <w:spacing w:line="240" w:lineRule="exact"/>
        <w:jc w:val="center"/>
        <w:rPr>
          <w:sz w:val="24"/>
          <w:szCs w:val="24"/>
        </w:rPr>
      </w:pPr>
      <w:r w:rsidRPr="00AB3200">
        <w:rPr>
          <w:sz w:val="24"/>
          <w:szCs w:val="24"/>
        </w:rPr>
        <w:t>青年勞工初次尋職前做準備的情形</w:t>
      </w:r>
    </w:p>
    <w:tbl>
      <w:tblPr>
        <w:tblW w:w="8931" w:type="dxa"/>
        <w:tblInd w:w="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418"/>
        <w:gridCol w:w="709"/>
        <w:gridCol w:w="567"/>
        <w:gridCol w:w="851"/>
        <w:gridCol w:w="850"/>
        <w:gridCol w:w="992"/>
        <w:gridCol w:w="1142"/>
        <w:gridCol w:w="985"/>
        <w:gridCol w:w="684"/>
        <w:gridCol w:w="733"/>
      </w:tblGrid>
      <w:tr w:rsidR="00F47E18" w:rsidRPr="00AB3200" w:rsidTr="00F47E18">
        <w:trPr>
          <w:trHeight w:val="112"/>
        </w:trPr>
        <w:tc>
          <w:tcPr>
            <w:tcW w:w="1418" w:type="dxa"/>
            <w:vMerge w:val="restart"/>
            <w:shd w:val="clear" w:color="auto" w:fill="auto"/>
            <w:vAlign w:val="center"/>
          </w:tcPr>
          <w:p w:rsidR="00F47E18" w:rsidRPr="00AB3200" w:rsidRDefault="00F47E18" w:rsidP="00360B7C">
            <w:pPr>
              <w:widowControl/>
              <w:jc w:val="center"/>
              <w:rPr>
                <w:kern w:val="0"/>
                <w:sz w:val="20"/>
              </w:rPr>
            </w:pPr>
            <w:r w:rsidRPr="00AB3200">
              <w:rPr>
                <w:kern w:val="0"/>
                <w:sz w:val="20"/>
              </w:rPr>
              <w:tab/>
              <w:t xml:space="preserve"> </w:t>
            </w:r>
            <w:r w:rsidRPr="00AB3200">
              <w:rPr>
                <w:kern w:val="0"/>
                <w:sz w:val="20"/>
              </w:rPr>
              <w:t>項目別</w:t>
            </w:r>
          </w:p>
        </w:tc>
        <w:tc>
          <w:tcPr>
            <w:tcW w:w="709" w:type="dxa"/>
            <w:vMerge w:val="restart"/>
            <w:shd w:val="clear" w:color="auto" w:fill="auto"/>
            <w:vAlign w:val="center"/>
          </w:tcPr>
          <w:p w:rsidR="00F47E18" w:rsidRPr="00AB3200" w:rsidRDefault="00F47E18" w:rsidP="00360B7C">
            <w:pPr>
              <w:widowControl/>
              <w:jc w:val="center"/>
              <w:rPr>
                <w:kern w:val="0"/>
                <w:sz w:val="20"/>
              </w:rPr>
            </w:pPr>
            <w:r w:rsidRPr="00AB3200">
              <w:rPr>
                <w:kern w:val="0"/>
                <w:sz w:val="20"/>
              </w:rPr>
              <w:t>合計</w:t>
            </w:r>
          </w:p>
        </w:tc>
        <w:tc>
          <w:tcPr>
            <w:tcW w:w="567" w:type="dxa"/>
            <w:vMerge w:val="restart"/>
            <w:shd w:val="clear" w:color="auto" w:fill="auto"/>
            <w:vAlign w:val="center"/>
          </w:tcPr>
          <w:p w:rsidR="00F47E18" w:rsidRPr="00AB3200" w:rsidRDefault="00F47E18" w:rsidP="00360B7C">
            <w:pPr>
              <w:widowControl/>
              <w:jc w:val="center"/>
              <w:rPr>
                <w:kern w:val="0"/>
                <w:sz w:val="20"/>
              </w:rPr>
            </w:pPr>
            <w:r w:rsidRPr="00AB3200">
              <w:rPr>
                <w:kern w:val="0"/>
                <w:sz w:val="20"/>
              </w:rPr>
              <w:t>小計</w:t>
            </w:r>
          </w:p>
        </w:tc>
        <w:tc>
          <w:tcPr>
            <w:tcW w:w="5504" w:type="dxa"/>
            <w:gridSpan w:val="6"/>
            <w:shd w:val="clear" w:color="auto" w:fill="auto"/>
            <w:vAlign w:val="center"/>
          </w:tcPr>
          <w:p w:rsidR="00F47E18" w:rsidRPr="00AB3200" w:rsidRDefault="00F47E18" w:rsidP="00360B7C">
            <w:pPr>
              <w:widowControl/>
              <w:jc w:val="center"/>
              <w:rPr>
                <w:kern w:val="0"/>
                <w:sz w:val="20"/>
              </w:rPr>
            </w:pPr>
            <w:r w:rsidRPr="00AB3200">
              <w:rPr>
                <w:kern w:val="0"/>
                <w:sz w:val="20"/>
              </w:rPr>
              <w:t>有做準備</w:t>
            </w:r>
          </w:p>
        </w:tc>
        <w:tc>
          <w:tcPr>
            <w:tcW w:w="733" w:type="dxa"/>
            <w:vMerge w:val="restart"/>
            <w:shd w:val="clear" w:color="auto" w:fill="auto"/>
            <w:vAlign w:val="center"/>
          </w:tcPr>
          <w:p w:rsidR="00F47E18" w:rsidRPr="00AB3200" w:rsidRDefault="00F47E18" w:rsidP="00F47E18">
            <w:pPr>
              <w:widowControl/>
              <w:ind w:rightChars="-13" w:right="-44"/>
              <w:jc w:val="center"/>
              <w:rPr>
                <w:kern w:val="0"/>
                <w:sz w:val="20"/>
              </w:rPr>
            </w:pPr>
            <w:r w:rsidRPr="00AB3200">
              <w:rPr>
                <w:kern w:val="0"/>
                <w:sz w:val="20"/>
              </w:rPr>
              <w:t>沒有做準備</w:t>
            </w:r>
          </w:p>
        </w:tc>
      </w:tr>
      <w:tr w:rsidR="00F47E18" w:rsidRPr="00AB3200" w:rsidTr="00F47E18">
        <w:trPr>
          <w:trHeight w:val="252"/>
        </w:trPr>
        <w:tc>
          <w:tcPr>
            <w:tcW w:w="1418" w:type="dxa"/>
            <w:vMerge/>
            <w:shd w:val="clear" w:color="auto" w:fill="auto"/>
            <w:vAlign w:val="center"/>
          </w:tcPr>
          <w:p w:rsidR="00F47E18" w:rsidRPr="00AB3200" w:rsidRDefault="00F47E18" w:rsidP="00360B7C">
            <w:pPr>
              <w:widowControl/>
              <w:jc w:val="center"/>
              <w:rPr>
                <w:kern w:val="0"/>
                <w:sz w:val="20"/>
              </w:rPr>
            </w:pPr>
          </w:p>
        </w:tc>
        <w:tc>
          <w:tcPr>
            <w:tcW w:w="709" w:type="dxa"/>
            <w:vMerge/>
            <w:shd w:val="clear" w:color="auto" w:fill="auto"/>
            <w:vAlign w:val="center"/>
          </w:tcPr>
          <w:p w:rsidR="00F47E18" w:rsidRPr="00AB3200" w:rsidRDefault="00F47E18" w:rsidP="00360B7C">
            <w:pPr>
              <w:widowControl/>
              <w:jc w:val="center"/>
              <w:rPr>
                <w:kern w:val="0"/>
                <w:sz w:val="20"/>
              </w:rPr>
            </w:pPr>
          </w:p>
        </w:tc>
        <w:tc>
          <w:tcPr>
            <w:tcW w:w="567" w:type="dxa"/>
            <w:vMerge/>
            <w:shd w:val="clear" w:color="auto" w:fill="auto"/>
            <w:vAlign w:val="center"/>
          </w:tcPr>
          <w:p w:rsidR="00F47E18" w:rsidRPr="00AB3200" w:rsidRDefault="00F47E18" w:rsidP="00360B7C">
            <w:pPr>
              <w:widowControl/>
              <w:jc w:val="center"/>
              <w:rPr>
                <w:kern w:val="0"/>
                <w:sz w:val="20"/>
              </w:rPr>
            </w:pPr>
          </w:p>
        </w:tc>
        <w:tc>
          <w:tcPr>
            <w:tcW w:w="851" w:type="dxa"/>
            <w:shd w:val="clear" w:color="auto" w:fill="auto"/>
            <w:vAlign w:val="center"/>
          </w:tcPr>
          <w:p w:rsidR="00F47E18" w:rsidRPr="00AB3200" w:rsidRDefault="00F47E18" w:rsidP="00360B7C">
            <w:pPr>
              <w:widowControl/>
              <w:jc w:val="center"/>
              <w:rPr>
                <w:kern w:val="0"/>
                <w:sz w:val="20"/>
              </w:rPr>
            </w:pPr>
            <w:r w:rsidRPr="00AB3200">
              <w:rPr>
                <w:kern w:val="0"/>
                <w:sz w:val="20"/>
              </w:rPr>
              <w:t>增加打工經驗</w:t>
            </w:r>
          </w:p>
        </w:tc>
        <w:tc>
          <w:tcPr>
            <w:tcW w:w="850" w:type="dxa"/>
            <w:shd w:val="clear" w:color="auto" w:fill="auto"/>
            <w:vAlign w:val="center"/>
          </w:tcPr>
          <w:p w:rsidR="00F47E18" w:rsidRPr="00AB3200" w:rsidRDefault="00F47E18" w:rsidP="00360B7C">
            <w:pPr>
              <w:widowControl/>
              <w:jc w:val="center"/>
              <w:rPr>
                <w:kern w:val="0"/>
                <w:sz w:val="20"/>
              </w:rPr>
            </w:pPr>
            <w:r w:rsidRPr="00AB3200">
              <w:rPr>
                <w:kern w:val="0"/>
                <w:sz w:val="20"/>
              </w:rPr>
              <w:t>考取專業證照</w:t>
            </w:r>
          </w:p>
        </w:tc>
        <w:tc>
          <w:tcPr>
            <w:tcW w:w="992" w:type="dxa"/>
            <w:shd w:val="clear" w:color="auto" w:fill="auto"/>
            <w:vAlign w:val="center"/>
          </w:tcPr>
          <w:p w:rsidR="00F47E18" w:rsidRPr="00AB3200" w:rsidRDefault="00F47E18" w:rsidP="00F47E18">
            <w:pPr>
              <w:widowControl/>
              <w:ind w:rightChars="-8" w:right="-27"/>
              <w:jc w:val="center"/>
              <w:rPr>
                <w:kern w:val="0"/>
                <w:sz w:val="20"/>
              </w:rPr>
            </w:pPr>
            <w:r w:rsidRPr="00AB3200">
              <w:rPr>
                <w:kern w:val="0"/>
                <w:sz w:val="20"/>
              </w:rPr>
              <w:t>做職業興趣分析</w:t>
            </w:r>
          </w:p>
        </w:tc>
        <w:tc>
          <w:tcPr>
            <w:tcW w:w="1142" w:type="dxa"/>
            <w:shd w:val="clear" w:color="auto" w:fill="auto"/>
            <w:vAlign w:val="center"/>
          </w:tcPr>
          <w:p w:rsidR="00F47E18" w:rsidRPr="00AB3200" w:rsidRDefault="00F47E18" w:rsidP="00F47E18">
            <w:pPr>
              <w:widowControl/>
              <w:ind w:rightChars="-8" w:right="-27"/>
              <w:jc w:val="center"/>
              <w:rPr>
                <w:kern w:val="0"/>
                <w:sz w:val="20"/>
              </w:rPr>
            </w:pPr>
            <w:r w:rsidRPr="00AB3200">
              <w:rPr>
                <w:kern w:val="0"/>
                <w:sz w:val="20"/>
              </w:rPr>
              <w:t>找老師諮詢就業方向</w:t>
            </w:r>
          </w:p>
        </w:tc>
        <w:tc>
          <w:tcPr>
            <w:tcW w:w="985" w:type="dxa"/>
            <w:shd w:val="clear" w:color="auto" w:fill="auto"/>
            <w:vAlign w:val="center"/>
          </w:tcPr>
          <w:p w:rsidR="00F47E18" w:rsidRPr="00AB3200" w:rsidRDefault="00F47E18" w:rsidP="00360B7C">
            <w:pPr>
              <w:widowControl/>
              <w:jc w:val="center"/>
              <w:rPr>
                <w:kern w:val="0"/>
                <w:sz w:val="20"/>
              </w:rPr>
            </w:pPr>
            <w:r w:rsidRPr="00AB3200">
              <w:rPr>
                <w:kern w:val="0"/>
                <w:sz w:val="20"/>
              </w:rPr>
              <w:t>參加就業講座</w:t>
            </w:r>
          </w:p>
        </w:tc>
        <w:tc>
          <w:tcPr>
            <w:tcW w:w="684" w:type="dxa"/>
            <w:shd w:val="clear" w:color="auto" w:fill="auto"/>
            <w:vAlign w:val="center"/>
          </w:tcPr>
          <w:p w:rsidR="00F47E18" w:rsidRPr="00AB3200" w:rsidRDefault="00F47E18" w:rsidP="00360B7C">
            <w:pPr>
              <w:widowControl/>
              <w:jc w:val="center"/>
              <w:rPr>
                <w:kern w:val="0"/>
                <w:sz w:val="20"/>
              </w:rPr>
            </w:pPr>
            <w:r w:rsidRPr="00AB3200">
              <w:rPr>
                <w:kern w:val="0"/>
                <w:sz w:val="20"/>
              </w:rPr>
              <w:t>其他</w:t>
            </w:r>
          </w:p>
        </w:tc>
        <w:tc>
          <w:tcPr>
            <w:tcW w:w="733" w:type="dxa"/>
            <w:vMerge/>
            <w:shd w:val="clear" w:color="auto" w:fill="auto"/>
            <w:vAlign w:val="center"/>
          </w:tcPr>
          <w:p w:rsidR="00F47E18" w:rsidRPr="00AB3200" w:rsidRDefault="00F47E18" w:rsidP="00360B7C">
            <w:pPr>
              <w:widowControl/>
              <w:jc w:val="center"/>
              <w:rPr>
                <w:kern w:val="0"/>
                <w:sz w:val="20"/>
              </w:rPr>
            </w:pPr>
          </w:p>
        </w:tc>
      </w:tr>
      <w:tr w:rsidR="00F47E18" w:rsidRPr="00AB3200" w:rsidTr="00F47E18">
        <w:trPr>
          <w:trHeight w:val="94"/>
        </w:trPr>
        <w:tc>
          <w:tcPr>
            <w:tcW w:w="1418" w:type="dxa"/>
            <w:shd w:val="clear" w:color="auto" w:fill="auto"/>
            <w:vAlign w:val="center"/>
          </w:tcPr>
          <w:p w:rsidR="00F47E18" w:rsidRPr="00AB3200" w:rsidRDefault="00F47E18" w:rsidP="00F47E18">
            <w:pPr>
              <w:widowControl/>
              <w:spacing w:line="200" w:lineRule="exact"/>
              <w:ind w:rightChars="-24" w:right="-82" w:firstLineChars="47" w:firstLine="103"/>
              <w:jc w:val="both"/>
              <w:rPr>
                <w:bCs/>
                <w:kern w:val="0"/>
                <w:sz w:val="20"/>
              </w:rPr>
            </w:pPr>
            <w:r w:rsidRPr="00AB3200">
              <w:rPr>
                <w:bCs/>
                <w:kern w:val="0"/>
                <w:sz w:val="20"/>
              </w:rPr>
              <w:t>教育程度別</w:t>
            </w:r>
          </w:p>
        </w:tc>
        <w:tc>
          <w:tcPr>
            <w:tcW w:w="709" w:type="dxa"/>
            <w:shd w:val="clear" w:color="auto" w:fill="auto"/>
            <w:vAlign w:val="center"/>
          </w:tcPr>
          <w:p w:rsidR="00F47E18" w:rsidRPr="00AB3200" w:rsidRDefault="00F47E18" w:rsidP="00360B7C">
            <w:pPr>
              <w:widowControl/>
              <w:jc w:val="right"/>
              <w:rPr>
                <w:kern w:val="0"/>
                <w:sz w:val="20"/>
              </w:rPr>
            </w:pPr>
          </w:p>
        </w:tc>
        <w:tc>
          <w:tcPr>
            <w:tcW w:w="567" w:type="dxa"/>
            <w:shd w:val="clear" w:color="auto" w:fill="auto"/>
            <w:vAlign w:val="center"/>
          </w:tcPr>
          <w:p w:rsidR="00F47E18" w:rsidRPr="00AB3200" w:rsidRDefault="00F47E18" w:rsidP="00360B7C">
            <w:pPr>
              <w:widowControl/>
              <w:jc w:val="right"/>
              <w:rPr>
                <w:kern w:val="0"/>
                <w:sz w:val="20"/>
              </w:rPr>
            </w:pPr>
          </w:p>
        </w:tc>
        <w:tc>
          <w:tcPr>
            <w:tcW w:w="851" w:type="dxa"/>
            <w:shd w:val="clear" w:color="auto" w:fill="auto"/>
            <w:vAlign w:val="center"/>
          </w:tcPr>
          <w:p w:rsidR="00F47E18" w:rsidRPr="00AB3200" w:rsidRDefault="00F47E18" w:rsidP="00360B7C">
            <w:pPr>
              <w:widowControl/>
              <w:jc w:val="right"/>
              <w:rPr>
                <w:kern w:val="0"/>
                <w:sz w:val="20"/>
              </w:rPr>
            </w:pPr>
          </w:p>
        </w:tc>
        <w:tc>
          <w:tcPr>
            <w:tcW w:w="850" w:type="dxa"/>
            <w:shd w:val="clear" w:color="auto" w:fill="auto"/>
            <w:vAlign w:val="center"/>
          </w:tcPr>
          <w:p w:rsidR="00F47E18" w:rsidRPr="00AB3200" w:rsidRDefault="00F47E18" w:rsidP="00360B7C">
            <w:pPr>
              <w:widowControl/>
              <w:jc w:val="right"/>
              <w:rPr>
                <w:kern w:val="0"/>
                <w:sz w:val="20"/>
              </w:rPr>
            </w:pPr>
          </w:p>
        </w:tc>
        <w:tc>
          <w:tcPr>
            <w:tcW w:w="992" w:type="dxa"/>
            <w:shd w:val="clear" w:color="auto" w:fill="auto"/>
            <w:vAlign w:val="center"/>
          </w:tcPr>
          <w:p w:rsidR="00F47E18" w:rsidRPr="00AB3200" w:rsidRDefault="00F47E18" w:rsidP="00360B7C">
            <w:pPr>
              <w:widowControl/>
              <w:jc w:val="right"/>
              <w:rPr>
                <w:kern w:val="0"/>
                <w:sz w:val="20"/>
              </w:rPr>
            </w:pPr>
          </w:p>
        </w:tc>
        <w:tc>
          <w:tcPr>
            <w:tcW w:w="1142" w:type="dxa"/>
            <w:shd w:val="clear" w:color="auto" w:fill="auto"/>
            <w:vAlign w:val="center"/>
          </w:tcPr>
          <w:p w:rsidR="00F47E18" w:rsidRPr="00AB3200" w:rsidRDefault="00F47E18" w:rsidP="00360B7C">
            <w:pPr>
              <w:widowControl/>
              <w:rPr>
                <w:kern w:val="0"/>
                <w:sz w:val="20"/>
              </w:rPr>
            </w:pPr>
          </w:p>
        </w:tc>
        <w:tc>
          <w:tcPr>
            <w:tcW w:w="985" w:type="dxa"/>
            <w:shd w:val="clear" w:color="auto" w:fill="auto"/>
            <w:vAlign w:val="center"/>
          </w:tcPr>
          <w:p w:rsidR="00F47E18" w:rsidRPr="00AB3200" w:rsidRDefault="00F47E18" w:rsidP="00360B7C">
            <w:pPr>
              <w:widowControl/>
              <w:rPr>
                <w:kern w:val="0"/>
                <w:sz w:val="20"/>
              </w:rPr>
            </w:pPr>
          </w:p>
        </w:tc>
        <w:tc>
          <w:tcPr>
            <w:tcW w:w="684" w:type="dxa"/>
            <w:shd w:val="clear" w:color="auto" w:fill="auto"/>
            <w:vAlign w:val="center"/>
          </w:tcPr>
          <w:p w:rsidR="00F47E18" w:rsidRPr="00AB3200" w:rsidRDefault="00F47E18" w:rsidP="00360B7C">
            <w:pPr>
              <w:widowControl/>
              <w:jc w:val="right"/>
              <w:rPr>
                <w:kern w:val="0"/>
                <w:sz w:val="20"/>
              </w:rPr>
            </w:pPr>
          </w:p>
        </w:tc>
        <w:tc>
          <w:tcPr>
            <w:tcW w:w="733" w:type="dxa"/>
            <w:shd w:val="clear" w:color="auto" w:fill="auto"/>
            <w:vAlign w:val="center"/>
          </w:tcPr>
          <w:p w:rsidR="00F47E18" w:rsidRPr="00AB3200" w:rsidRDefault="00F47E18" w:rsidP="00360B7C">
            <w:pPr>
              <w:widowControl/>
              <w:jc w:val="right"/>
              <w:rPr>
                <w:kern w:val="0"/>
                <w:sz w:val="20"/>
              </w:rPr>
            </w:pPr>
          </w:p>
        </w:tc>
      </w:tr>
      <w:tr w:rsidR="00F47E18" w:rsidRPr="00AB3200" w:rsidTr="00F47E18">
        <w:trPr>
          <w:trHeight w:val="97"/>
        </w:trPr>
        <w:tc>
          <w:tcPr>
            <w:tcW w:w="1418" w:type="dxa"/>
            <w:shd w:val="clear" w:color="auto" w:fill="auto"/>
            <w:vAlign w:val="center"/>
          </w:tcPr>
          <w:p w:rsidR="00F47E18" w:rsidRPr="00AB3200" w:rsidRDefault="00F47E18" w:rsidP="00F47E18">
            <w:pPr>
              <w:widowControl/>
              <w:spacing w:line="240" w:lineRule="exact"/>
              <w:ind w:rightChars="-65" w:right="-221" w:firstLineChars="100" w:firstLine="220"/>
              <w:rPr>
                <w:kern w:val="0"/>
                <w:sz w:val="20"/>
              </w:rPr>
            </w:pPr>
            <w:r w:rsidRPr="00AB3200">
              <w:rPr>
                <w:kern w:val="0"/>
                <w:sz w:val="20"/>
              </w:rPr>
              <w:t>國中及以下</w:t>
            </w:r>
          </w:p>
        </w:tc>
        <w:tc>
          <w:tcPr>
            <w:tcW w:w="709" w:type="dxa"/>
            <w:shd w:val="clear" w:color="auto" w:fill="auto"/>
            <w:vAlign w:val="center"/>
          </w:tcPr>
          <w:p w:rsidR="00F47E18" w:rsidRPr="00AB3200" w:rsidRDefault="00F47E18" w:rsidP="00F47E18">
            <w:pPr>
              <w:widowControl/>
              <w:jc w:val="center"/>
              <w:rPr>
                <w:kern w:val="0"/>
                <w:sz w:val="20"/>
              </w:rPr>
            </w:pPr>
            <w:r w:rsidRPr="00AB3200">
              <w:rPr>
                <w:kern w:val="0"/>
                <w:sz w:val="20"/>
              </w:rPr>
              <w:t>100.0</w:t>
            </w:r>
          </w:p>
        </w:tc>
        <w:tc>
          <w:tcPr>
            <w:tcW w:w="567" w:type="dxa"/>
            <w:shd w:val="clear" w:color="auto" w:fill="auto"/>
            <w:vAlign w:val="center"/>
          </w:tcPr>
          <w:p w:rsidR="00F47E18" w:rsidRPr="00AB3200" w:rsidRDefault="00F47E18" w:rsidP="00F47E18">
            <w:pPr>
              <w:widowControl/>
              <w:jc w:val="center"/>
              <w:rPr>
                <w:kern w:val="0"/>
                <w:sz w:val="20"/>
              </w:rPr>
            </w:pPr>
            <w:r w:rsidRPr="00AB3200">
              <w:rPr>
                <w:kern w:val="0"/>
                <w:sz w:val="20"/>
              </w:rPr>
              <w:t>43.4</w:t>
            </w:r>
          </w:p>
        </w:tc>
        <w:tc>
          <w:tcPr>
            <w:tcW w:w="851" w:type="dxa"/>
            <w:shd w:val="clear" w:color="auto" w:fill="auto"/>
            <w:vAlign w:val="center"/>
          </w:tcPr>
          <w:p w:rsidR="00F47E18" w:rsidRPr="00AB3200" w:rsidRDefault="00F47E18" w:rsidP="00F47E18">
            <w:pPr>
              <w:widowControl/>
              <w:jc w:val="center"/>
              <w:rPr>
                <w:kern w:val="0"/>
                <w:sz w:val="20"/>
              </w:rPr>
            </w:pPr>
            <w:r w:rsidRPr="00AB3200">
              <w:rPr>
                <w:kern w:val="0"/>
                <w:sz w:val="20"/>
              </w:rPr>
              <w:t>28.7</w:t>
            </w:r>
          </w:p>
        </w:tc>
        <w:tc>
          <w:tcPr>
            <w:tcW w:w="850" w:type="dxa"/>
            <w:shd w:val="clear" w:color="auto" w:fill="auto"/>
            <w:vAlign w:val="center"/>
          </w:tcPr>
          <w:p w:rsidR="00F47E18" w:rsidRPr="00AB3200" w:rsidRDefault="00F47E18" w:rsidP="00F47E18">
            <w:pPr>
              <w:widowControl/>
              <w:jc w:val="center"/>
              <w:rPr>
                <w:kern w:val="0"/>
                <w:sz w:val="20"/>
              </w:rPr>
            </w:pPr>
            <w:r w:rsidRPr="00AB3200">
              <w:rPr>
                <w:kern w:val="0"/>
                <w:sz w:val="20"/>
              </w:rPr>
              <w:t>7.4</w:t>
            </w:r>
          </w:p>
        </w:tc>
        <w:tc>
          <w:tcPr>
            <w:tcW w:w="992" w:type="dxa"/>
            <w:shd w:val="clear" w:color="auto" w:fill="auto"/>
            <w:vAlign w:val="center"/>
          </w:tcPr>
          <w:p w:rsidR="00F47E18" w:rsidRPr="00AB3200" w:rsidRDefault="00F47E18" w:rsidP="00F47E18">
            <w:pPr>
              <w:widowControl/>
              <w:jc w:val="center"/>
              <w:rPr>
                <w:kern w:val="0"/>
                <w:sz w:val="20"/>
              </w:rPr>
            </w:pPr>
            <w:r w:rsidRPr="00AB3200">
              <w:rPr>
                <w:kern w:val="0"/>
                <w:sz w:val="20"/>
              </w:rPr>
              <w:t>9.7</w:t>
            </w:r>
          </w:p>
        </w:tc>
        <w:tc>
          <w:tcPr>
            <w:tcW w:w="1142" w:type="dxa"/>
            <w:shd w:val="clear" w:color="auto" w:fill="auto"/>
            <w:vAlign w:val="center"/>
          </w:tcPr>
          <w:p w:rsidR="00F47E18" w:rsidRPr="00AB3200" w:rsidRDefault="00F47E18" w:rsidP="00F47E18">
            <w:pPr>
              <w:widowControl/>
              <w:jc w:val="center"/>
              <w:rPr>
                <w:kern w:val="0"/>
                <w:sz w:val="20"/>
              </w:rPr>
            </w:pPr>
            <w:r w:rsidRPr="00AB3200">
              <w:rPr>
                <w:kern w:val="0"/>
                <w:sz w:val="20"/>
              </w:rPr>
              <w:t>6.6</w:t>
            </w:r>
          </w:p>
        </w:tc>
        <w:tc>
          <w:tcPr>
            <w:tcW w:w="985" w:type="dxa"/>
            <w:shd w:val="clear" w:color="auto" w:fill="auto"/>
            <w:vAlign w:val="center"/>
          </w:tcPr>
          <w:p w:rsidR="00F47E18" w:rsidRPr="00AB3200" w:rsidRDefault="00F47E18" w:rsidP="00F47E18">
            <w:pPr>
              <w:widowControl/>
              <w:jc w:val="center"/>
              <w:rPr>
                <w:kern w:val="0"/>
                <w:sz w:val="20"/>
              </w:rPr>
            </w:pPr>
            <w:r w:rsidRPr="00AB3200">
              <w:rPr>
                <w:kern w:val="0"/>
                <w:sz w:val="20"/>
              </w:rPr>
              <w:t>4.3</w:t>
            </w:r>
          </w:p>
        </w:tc>
        <w:tc>
          <w:tcPr>
            <w:tcW w:w="684" w:type="dxa"/>
            <w:shd w:val="clear" w:color="auto" w:fill="auto"/>
            <w:vAlign w:val="center"/>
          </w:tcPr>
          <w:p w:rsidR="00F47E18" w:rsidRPr="00AB3200" w:rsidRDefault="00F47E18" w:rsidP="00F47E18">
            <w:pPr>
              <w:widowControl/>
              <w:jc w:val="center"/>
              <w:rPr>
                <w:kern w:val="0"/>
                <w:sz w:val="20"/>
              </w:rPr>
            </w:pPr>
            <w:r w:rsidRPr="00AB3200">
              <w:rPr>
                <w:kern w:val="0"/>
                <w:sz w:val="20"/>
              </w:rPr>
              <w:t>0.8</w:t>
            </w:r>
          </w:p>
        </w:tc>
        <w:tc>
          <w:tcPr>
            <w:tcW w:w="733" w:type="dxa"/>
            <w:shd w:val="clear" w:color="auto" w:fill="auto"/>
            <w:vAlign w:val="center"/>
          </w:tcPr>
          <w:p w:rsidR="00F47E18" w:rsidRPr="00AB3200" w:rsidRDefault="00F47E18" w:rsidP="00F47E18">
            <w:pPr>
              <w:widowControl/>
              <w:jc w:val="center"/>
              <w:rPr>
                <w:kern w:val="0"/>
                <w:sz w:val="20"/>
              </w:rPr>
            </w:pPr>
            <w:r w:rsidRPr="00AB3200">
              <w:rPr>
                <w:kern w:val="0"/>
                <w:sz w:val="20"/>
              </w:rPr>
              <w:t>56.6</w:t>
            </w:r>
          </w:p>
        </w:tc>
      </w:tr>
      <w:tr w:rsidR="00F47E18" w:rsidRPr="00AB3200" w:rsidTr="00F47E18">
        <w:trPr>
          <w:trHeight w:val="88"/>
        </w:trPr>
        <w:tc>
          <w:tcPr>
            <w:tcW w:w="1418" w:type="dxa"/>
            <w:shd w:val="clear" w:color="auto" w:fill="auto"/>
            <w:vAlign w:val="center"/>
          </w:tcPr>
          <w:p w:rsidR="00F47E18" w:rsidRPr="00AB3200" w:rsidRDefault="00F47E18" w:rsidP="00F47E18">
            <w:pPr>
              <w:widowControl/>
              <w:spacing w:line="240" w:lineRule="exact"/>
              <w:ind w:firstLineChars="100" w:firstLine="220"/>
              <w:rPr>
                <w:kern w:val="0"/>
                <w:sz w:val="20"/>
              </w:rPr>
            </w:pPr>
            <w:r w:rsidRPr="00AB3200">
              <w:rPr>
                <w:kern w:val="0"/>
                <w:sz w:val="20"/>
              </w:rPr>
              <w:t>高中</w:t>
            </w:r>
            <w:r w:rsidRPr="00AB3200">
              <w:rPr>
                <w:kern w:val="0"/>
                <w:sz w:val="20"/>
              </w:rPr>
              <w:t>(</w:t>
            </w:r>
            <w:r w:rsidRPr="00AB3200">
              <w:rPr>
                <w:kern w:val="0"/>
                <w:sz w:val="20"/>
              </w:rPr>
              <w:t>職</w:t>
            </w:r>
            <w:r w:rsidRPr="00AB3200">
              <w:rPr>
                <w:kern w:val="0"/>
                <w:sz w:val="20"/>
              </w:rPr>
              <w:t>)</w:t>
            </w:r>
          </w:p>
        </w:tc>
        <w:tc>
          <w:tcPr>
            <w:tcW w:w="709" w:type="dxa"/>
            <w:shd w:val="clear" w:color="auto" w:fill="auto"/>
            <w:vAlign w:val="center"/>
          </w:tcPr>
          <w:p w:rsidR="00F47E18" w:rsidRPr="00AB3200" w:rsidRDefault="00F47E18" w:rsidP="00F47E18">
            <w:pPr>
              <w:widowControl/>
              <w:jc w:val="center"/>
              <w:rPr>
                <w:kern w:val="0"/>
                <w:sz w:val="20"/>
              </w:rPr>
            </w:pPr>
            <w:r w:rsidRPr="00AB3200">
              <w:rPr>
                <w:kern w:val="0"/>
                <w:sz w:val="20"/>
              </w:rPr>
              <w:t>100.0</w:t>
            </w:r>
          </w:p>
        </w:tc>
        <w:tc>
          <w:tcPr>
            <w:tcW w:w="567" w:type="dxa"/>
            <w:shd w:val="clear" w:color="auto" w:fill="auto"/>
            <w:vAlign w:val="center"/>
          </w:tcPr>
          <w:p w:rsidR="00F47E18" w:rsidRPr="00AB3200" w:rsidRDefault="00F47E18" w:rsidP="00F47E18">
            <w:pPr>
              <w:widowControl/>
              <w:jc w:val="center"/>
              <w:rPr>
                <w:kern w:val="0"/>
                <w:sz w:val="20"/>
              </w:rPr>
            </w:pPr>
            <w:r w:rsidRPr="00AB3200">
              <w:rPr>
                <w:kern w:val="0"/>
                <w:sz w:val="20"/>
              </w:rPr>
              <w:t>47.7</w:t>
            </w:r>
          </w:p>
        </w:tc>
        <w:tc>
          <w:tcPr>
            <w:tcW w:w="851" w:type="dxa"/>
            <w:shd w:val="clear" w:color="auto" w:fill="auto"/>
            <w:vAlign w:val="center"/>
          </w:tcPr>
          <w:p w:rsidR="00F47E18" w:rsidRPr="00AB3200" w:rsidRDefault="00F47E18" w:rsidP="00F47E18">
            <w:pPr>
              <w:widowControl/>
              <w:jc w:val="center"/>
              <w:rPr>
                <w:kern w:val="0"/>
                <w:sz w:val="20"/>
              </w:rPr>
            </w:pPr>
            <w:r w:rsidRPr="00AB3200">
              <w:rPr>
                <w:kern w:val="0"/>
                <w:sz w:val="20"/>
              </w:rPr>
              <w:t>35.9</w:t>
            </w:r>
          </w:p>
        </w:tc>
        <w:tc>
          <w:tcPr>
            <w:tcW w:w="850" w:type="dxa"/>
            <w:shd w:val="clear" w:color="auto" w:fill="auto"/>
            <w:vAlign w:val="center"/>
          </w:tcPr>
          <w:p w:rsidR="00F47E18" w:rsidRPr="00AB3200" w:rsidRDefault="00F47E18" w:rsidP="00F47E18">
            <w:pPr>
              <w:widowControl/>
              <w:jc w:val="center"/>
              <w:rPr>
                <w:kern w:val="0"/>
                <w:sz w:val="20"/>
              </w:rPr>
            </w:pPr>
            <w:r w:rsidRPr="00AB3200">
              <w:rPr>
                <w:kern w:val="0"/>
                <w:sz w:val="20"/>
              </w:rPr>
              <w:t>17.0</w:t>
            </w:r>
          </w:p>
        </w:tc>
        <w:tc>
          <w:tcPr>
            <w:tcW w:w="992" w:type="dxa"/>
            <w:shd w:val="clear" w:color="auto" w:fill="auto"/>
            <w:vAlign w:val="center"/>
          </w:tcPr>
          <w:p w:rsidR="00F47E18" w:rsidRPr="00AB3200" w:rsidRDefault="00F47E18" w:rsidP="00F47E18">
            <w:pPr>
              <w:widowControl/>
              <w:jc w:val="center"/>
              <w:rPr>
                <w:kern w:val="0"/>
                <w:sz w:val="20"/>
              </w:rPr>
            </w:pPr>
            <w:r w:rsidRPr="00AB3200">
              <w:rPr>
                <w:kern w:val="0"/>
                <w:sz w:val="20"/>
              </w:rPr>
              <w:t>12.1</w:t>
            </w:r>
          </w:p>
        </w:tc>
        <w:tc>
          <w:tcPr>
            <w:tcW w:w="1142" w:type="dxa"/>
            <w:shd w:val="clear" w:color="auto" w:fill="auto"/>
            <w:vAlign w:val="center"/>
          </w:tcPr>
          <w:p w:rsidR="00F47E18" w:rsidRPr="00AB3200" w:rsidRDefault="00F47E18" w:rsidP="00F47E18">
            <w:pPr>
              <w:widowControl/>
              <w:jc w:val="center"/>
              <w:rPr>
                <w:kern w:val="0"/>
                <w:sz w:val="20"/>
              </w:rPr>
            </w:pPr>
            <w:r w:rsidRPr="00AB3200">
              <w:rPr>
                <w:kern w:val="0"/>
                <w:sz w:val="20"/>
              </w:rPr>
              <w:t>4.8</w:t>
            </w:r>
          </w:p>
        </w:tc>
        <w:tc>
          <w:tcPr>
            <w:tcW w:w="985" w:type="dxa"/>
            <w:shd w:val="clear" w:color="auto" w:fill="auto"/>
            <w:vAlign w:val="center"/>
          </w:tcPr>
          <w:p w:rsidR="00F47E18" w:rsidRPr="00AB3200" w:rsidRDefault="00F47E18" w:rsidP="00F47E18">
            <w:pPr>
              <w:widowControl/>
              <w:jc w:val="center"/>
              <w:rPr>
                <w:kern w:val="0"/>
                <w:sz w:val="20"/>
              </w:rPr>
            </w:pPr>
            <w:r w:rsidRPr="00AB3200">
              <w:rPr>
                <w:kern w:val="0"/>
                <w:sz w:val="20"/>
              </w:rPr>
              <w:t>2.6</w:t>
            </w:r>
          </w:p>
        </w:tc>
        <w:tc>
          <w:tcPr>
            <w:tcW w:w="684" w:type="dxa"/>
            <w:shd w:val="clear" w:color="auto" w:fill="auto"/>
            <w:vAlign w:val="center"/>
          </w:tcPr>
          <w:p w:rsidR="00F47E18" w:rsidRPr="00AB3200" w:rsidRDefault="00F47E18" w:rsidP="00F47E18">
            <w:pPr>
              <w:widowControl/>
              <w:jc w:val="center"/>
              <w:rPr>
                <w:kern w:val="0"/>
                <w:sz w:val="20"/>
              </w:rPr>
            </w:pPr>
            <w:r w:rsidRPr="00AB3200">
              <w:rPr>
                <w:kern w:val="0"/>
                <w:sz w:val="20"/>
              </w:rPr>
              <w:t>0.2</w:t>
            </w:r>
          </w:p>
        </w:tc>
        <w:tc>
          <w:tcPr>
            <w:tcW w:w="733" w:type="dxa"/>
            <w:shd w:val="clear" w:color="auto" w:fill="auto"/>
            <w:vAlign w:val="center"/>
          </w:tcPr>
          <w:p w:rsidR="00F47E18" w:rsidRPr="00AB3200" w:rsidRDefault="00F47E18" w:rsidP="00F47E18">
            <w:pPr>
              <w:widowControl/>
              <w:jc w:val="center"/>
              <w:rPr>
                <w:kern w:val="0"/>
                <w:sz w:val="20"/>
              </w:rPr>
            </w:pPr>
            <w:r w:rsidRPr="00AB3200">
              <w:rPr>
                <w:kern w:val="0"/>
                <w:sz w:val="20"/>
              </w:rPr>
              <w:t>52.3</w:t>
            </w:r>
          </w:p>
        </w:tc>
      </w:tr>
      <w:tr w:rsidR="00F47E18" w:rsidRPr="00AB3200" w:rsidTr="00F47E18">
        <w:trPr>
          <w:trHeight w:val="91"/>
        </w:trPr>
        <w:tc>
          <w:tcPr>
            <w:tcW w:w="1418" w:type="dxa"/>
            <w:shd w:val="clear" w:color="auto" w:fill="auto"/>
            <w:vAlign w:val="center"/>
          </w:tcPr>
          <w:p w:rsidR="00F47E18" w:rsidRPr="00AB3200" w:rsidRDefault="00F47E18" w:rsidP="00F47E18">
            <w:pPr>
              <w:widowControl/>
              <w:spacing w:line="240" w:lineRule="exact"/>
              <w:ind w:firstLineChars="100" w:firstLine="220"/>
              <w:rPr>
                <w:kern w:val="0"/>
                <w:sz w:val="20"/>
              </w:rPr>
            </w:pPr>
            <w:r w:rsidRPr="00AB3200">
              <w:rPr>
                <w:kern w:val="0"/>
                <w:sz w:val="20"/>
              </w:rPr>
              <w:t>專科</w:t>
            </w:r>
          </w:p>
        </w:tc>
        <w:tc>
          <w:tcPr>
            <w:tcW w:w="709" w:type="dxa"/>
            <w:shd w:val="clear" w:color="auto" w:fill="auto"/>
            <w:vAlign w:val="center"/>
          </w:tcPr>
          <w:p w:rsidR="00F47E18" w:rsidRPr="00AB3200" w:rsidRDefault="00F47E18" w:rsidP="00F47E18">
            <w:pPr>
              <w:widowControl/>
              <w:jc w:val="center"/>
              <w:rPr>
                <w:kern w:val="0"/>
                <w:sz w:val="20"/>
              </w:rPr>
            </w:pPr>
            <w:r w:rsidRPr="00AB3200">
              <w:rPr>
                <w:kern w:val="0"/>
                <w:sz w:val="20"/>
              </w:rPr>
              <w:t>100.0</w:t>
            </w:r>
          </w:p>
        </w:tc>
        <w:tc>
          <w:tcPr>
            <w:tcW w:w="567" w:type="dxa"/>
            <w:shd w:val="clear" w:color="auto" w:fill="auto"/>
            <w:vAlign w:val="center"/>
          </w:tcPr>
          <w:p w:rsidR="00F47E18" w:rsidRPr="00AB3200" w:rsidRDefault="00F47E18" w:rsidP="00F47E18">
            <w:pPr>
              <w:widowControl/>
              <w:jc w:val="center"/>
              <w:rPr>
                <w:kern w:val="0"/>
                <w:sz w:val="20"/>
              </w:rPr>
            </w:pPr>
            <w:r w:rsidRPr="00AB3200">
              <w:rPr>
                <w:kern w:val="0"/>
                <w:sz w:val="20"/>
              </w:rPr>
              <w:t>56.7</w:t>
            </w:r>
          </w:p>
        </w:tc>
        <w:tc>
          <w:tcPr>
            <w:tcW w:w="851" w:type="dxa"/>
            <w:shd w:val="clear" w:color="auto" w:fill="auto"/>
            <w:vAlign w:val="center"/>
          </w:tcPr>
          <w:p w:rsidR="00F47E18" w:rsidRPr="00AB3200" w:rsidRDefault="00F47E18" w:rsidP="00F47E18">
            <w:pPr>
              <w:widowControl/>
              <w:jc w:val="center"/>
              <w:rPr>
                <w:kern w:val="0"/>
                <w:sz w:val="20"/>
              </w:rPr>
            </w:pPr>
            <w:r w:rsidRPr="00AB3200">
              <w:rPr>
                <w:kern w:val="0"/>
                <w:sz w:val="20"/>
              </w:rPr>
              <w:t>36.0</w:t>
            </w:r>
          </w:p>
        </w:tc>
        <w:tc>
          <w:tcPr>
            <w:tcW w:w="850" w:type="dxa"/>
            <w:shd w:val="clear" w:color="auto" w:fill="auto"/>
            <w:vAlign w:val="center"/>
          </w:tcPr>
          <w:p w:rsidR="00F47E18" w:rsidRPr="00AB3200" w:rsidRDefault="00F47E18" w:rsidP="00F47E18">
            <w:pPr>
              <w:widowControl/>
              <w:jc w:val="center"/>
              <w:rPr>
                <w:kern w:val="0"/>
                <w:sz w:val="20"/>
              </w:rPr>
            </w:pPr>
            <w:r w:rsidRPr="00AB3200">
              <w:rPr>
                <w:kern w:val="0"/>
                <w:sz w:val="20"/>
              </w:rPr>
              <w:t>25.1</w:t>
            </w:r>
          </w:p>
        </w:tc>
        <w:tc>
          <w:tcPr>
            <w:tcW w:w="992" w:type="dxa"/>
            <w:shd w:val="clear" w:color="auto" w:fill="auto"/>
            <w:vAlign w:val="center"/>
          </w:tcPr>
          <w:p w:rsidR="00F47E18" w:rsidRPr="00AB3200" w:rsidRDefault="00F47E18" w:rsidP="00F47E18">
            <w:pPr>
              <w:widowControl/>
              <w:jc w:val="center"/>
              <w:rPr>
                <w:kern w:val="0"/>
                <w:sz w:val="20"/>
              </w:rPr>
            </w:pPr>
            <w:r w:rsidRPr="00AB3200">
              <w:rPr>
                <w:kern w:val="0"/>
                <w:sz w:val="20"/>
              </w:rPr>
              <w:t>15.7</w:t>
            </w:r>
          </w:p>
        </w:tc>
        <w:tc>
          <w:tcPr>
            <w:tcW w:w="1142" w:type="dxa"/>
            <w:shd w:val="clear" w:color="auto" w:fill="auto"/>
            <w:vAlign w:val="center"/>
          </w:tcPr>
          <w:p w:rsidR="00F47E18" w:rsidRPr="00AB3200" w:rsidRDefault="00F47E18" w:rsidP="00F47E18">
            <w:pPr>
              <w:widowControl/>
              <w:jc w:val="center"/>
              <w:rPr>
                <w:kern w:val="0"/>
                <w:sz w:val="20"/>
              </w:rPr>
            </w:pPr>
            <w:r w:rsidRPr="00AB3200">
              <w:rPr>
                <w:kern w:val="0"/>
                <w:sz w:val="20"/>
              </w:rPr>
              <w:t>5.7</w:t>
            </w:r>
          </w:p>
        </w:tc>
        <w:tc>
          <w:tcPr>
            <w:tcW w:w="985" w:type="dxa"/>
            <w:shd w:val="clear" w:color="auto" w:fill="auto"/>
            <w:vAlign w:val="center"/>
          </w:tcPr>
          <w:p w:rsidR="00F47E18" w:rsidRPr="00AB3200" w:rsidRDefault="00F47E18" w:rsidP="00F47E18">
            <w:pPr>
              <w:widowControl/>
              <w:jc w:val="center"/>
              <w:rPr>
                <w:kern w:val="0"/>
                <w:sz w:val="20"/>
              </w:rPr>
            </w:pPr>
            <w:r w:rsidRPr="00AB3200">
              <w:rPr>
                <w:kern w:val="0"/>
                <w:sz w:val="20"/>
              </w:rPr>
              <w:t>3.6</w:t>
            </w:r>
          </w:p>
        </w:tc>
        <w:tc>
          <w:tcPr>
            <w:tcW w:w="684" w:type="dxa"/>
            <w:shd w:val="clear" w:color="auto" w:fill="auto"/>
            <w:vAlign w:val="center"/>
          </w:tcPr>
          <w:p w:rsidR="00F47E18" w:rsidRPr="00AB3200" w:rsidRDefault="00F47E18" w:rsidP="00F47E18">
            <w:pPr>
              <w:widowControl/>
              <w:jc w:val="center"/>
              <w:rPr>
                <w:kern w:val="0"/>
                <w:sz w:val="20"/>
              </w:rPr>
            </w:pPr>
            <w:r w:rsidRPr="00AB3200">
              <w:rPr>
                <w:kern w:val="0"/>
                <w:sz w:val="20"/>
              </w:rPr>
              <w:t>1.0</w:t>
            </w:r>
          </w:p>
        </w:tc>
        <w:tc>
          <w:tcPr>
            <w:tcW w:w="733" w:type="dxa"/>
            <w:shd w:val="clear" w:color="auto" w:fill="auto"/>
            <w:vAlign w:val="center"/>
          </w:tcPr>
          <w:p w:rsidR="00F47E18" w:rsidRPr="00AB3200" w:rsidRDefault="00F47E18" w:rsidP="00F47E18">
            <w:pPr>
              <w:widowControl/>
              <w:jc w:val="center"/>
              <w:rPr>
                <w:kern w:val="0"/>
                <w:sz w:val="20"/>
              </w:rPr>
            </w:pPr>
            <w:r w:rsidRPr="00AB3200">
              <w:rPr>
                <w:kern w:val="0"/>
                <w:sz w:val="20"/>
              </w:rPr>
              <w:t>43.3</w:t>
            </w:r>
          </w:p>
        </w:tc>
      </w:tr>
      <w:tr w:rsidR="00F47E18" w:rsidRPr="00AB3200" w:rsidTr="00F47E18">
        <w:trPr>
          <w:trHeight w:val="82"/>
        </w:trPr>
        <w:tc>
          <w:tcPr>
            <w:tcW w:w="1418" w:type="dxa"/>
            <w:shd w:val="clear" w:color="auto" w:fill="auto"/>
            <w:vAlign w:val="center"/>
          </w:tcPr>
          <w:p w:rsidR="00F47E18" w:rsidRPr="00AB3200" w:rsidRDefault="00F47E18" w:rsidP="00F47E18">
            <w:pPr>
              <w:widowControl/>
              <w:spacing w:line="240" w:lineRule="exact"/>
              <w:ind w:firstLineChars="100" w:firstLine="220"/>
              <w:rPr>
                <w:kern w:val="0"/>
                <w:sz w:val="20"/>
              </w:rPr>
            </w:pPr>
            <w:r w:rsidRPr="00AB3200">
              <w:rPr>
                <w:kern w:val="0"/>
                <w:sz w:val="20"/>
              </w:rPr>
              <w:t>大學</w:t>
            </w:r>
          </w:p>
        </w:tc>
        <w:tc>
          <w:tcPr>
            <w:tcW w:w="709" w:type="dxa"/>
            <w:shd w:val="clear" w:color="auto" w:fill="auto"/>
            <w:vAlign w:val="center"/>
          </w:tcPr>
          <w:p w:rsidR="00F47E18" w:rsidRPr="00AB3200" w:rsidRDefault="00F47E18" w:rsidP="00F47E18">
            <w:pPr>
              <w:widowControl/>
              <w:jc w:val="center"/>
              <w:rPr>
                <w:kern w:val="0"/>
                <w:sz w:val="20"/>
              </w:rPr>
            </w:pPr>
            <w:r w:rsidRPr="00AB3200">
              <w:rPr>
                <w:kern w:val="0"/>
                <w:sz w:val="20"/>
              </w:rPr>
              <w:t>100.0</w:t>
            </w:r>
          </w:p>
        </w:tc>
        <w:tc>
          <w:tcPr>
            <w:tcW w:w="567" w:type="dxa"/>
            <w:shd w:val="clear" w:color="auto" w:fill="auto"/>
            <w:vAlign w:val="center"/>
          </w:tcPr>
          <w:p w:rsidR="00F47E18" w:rsidRPr="00AB3200" w:rsidRDefault="00F47E18" w:rsidP="00F47E18">
            <w:pPr>
              <w:widowControl/>
              <w:jc w:val="center"/>
              <w:rPr>
                <w:kern w:val="0"/>
                <w:sz w:val="20"/>
              </w:rPr>
            </w:pPr>
            <w:r w:rsidRPr="00AB3200">
              <w:rPr>
                <w:kern w:val="0"/>
                <w:sz w:val="20"/>
              </w:rPr>
              <w:t>64.3</w:t>
            </w:r>
          </w:p>
        </w:tc>
        <w:tc>
          <w:tcPr>
            <w:tcW w:w="851" w:type="dxa"/>
            <w:shd w:val="clear" w:color="auto" w:fill="auto"/>
            <w:vAlign w:val="center"/>
          </w:tcPr>
          <w:p w:rsidR="00F47E18" w:rsidRPr="00AB3200" w:rsidRDefault="00F47E18" w:rsidP="00F47E18">
            <w:pPr>
              <w:widowControl/>
              <w:jc w:val="center"/>
              <w:rPr>
                <w:kern w:val="0"/>
                <w:sz w:val="20"/>
              </w:rPr>
            </w:pPr>
            <w:r w:rsidRPr="00AB3200">
              <w:rPr>
                <w:kern w:val="0"/>
                <w:sz w:val="20"/>
              </w:rPr>
              <w:t>39.4</w:t>
            </w:r>
          </w:p>
        </w:tc>
        <w:tc>
          <w:tcPr>
            <w:tcW w:w="850" w:type="dxa"/>
            <w:shd w:val="clear" w:color="auto" w:fill="auto"/>
            <w:vAlign w:val="center"/>
          </w:tcPr>
          <w:p w:rsidR="00F47E18" w:rsidRPr="00AB3200" w:rsidRDefault="00F47E18" w:rsidP="00F47E18">
            <w:pPr>
              <w:widowControl/>
              <w:jc w:val="center"/>
              <w:rPr>
                <w:kern w:val="0"/>
                <w:sz w:val="20"/>
              </w:rPr>
            </w:pPr>
            <w:r w:rsidRPr="00AB3200">
              <w:rPr>
                <w:kern w:val="0"/>
                <w:sz w:val="20"/>
              </w:rPr>
              <w:t>31.6</w:t>
            </w:r>
          </w:p>
        </w:tc>
        <w:tc>
          <w:tcPr>
            <w:tcW w:w="992" w:type="dxa"/>
            <w:shd w:val="clear" w:color="auto" w:fill="auto"/>
            <w:vAlign w:val="center"/>
          </w:tcPr>
          <w:p w:rsidR="00F47E18" w:rsidRPr="00AB3200" w:rsidRDefault="00F47E18" w:rsidP="00F47E18">
            <w:pPr>
              <w:widowControl/>
              <w:jc w:val="center"/>
              <w:rPr>
                <w:kern w:val="0"/>
                <w:sz w:val="20"/>
              </w:rPr>
            </w:pPr>
            <w:r w:rsidRPr="00AB3200">
              <w:rPr>
                <w:kern w:val="0"/>
                <w:sz w:val="20"/>
              </w:rPr>
              <w:t>22.7</w:t>
            </w:r>
          </w:p>
        </w:tc>
        <w:tc>
          <w:tcPr>
            <w:tcW w:w="1142" w:type="dxa"/>
            <w:shd w:val="clear" w:color="auto" w:fill="auto"/>
            <w:vAlign w:val="center"/>
          </w:tcPr>
          <w:p w:rsidR="00F47E18" w:rsidRPr="00AB3200" w:rsidRDefault="00F47E18" w:rsidP="00F47E18">
            <w:pPr>
              <w:widowControl/>
              <w:jc w:val="center"/>
              <w:rPr>
                <w:kern w:val="0"/>
                <w:sz w:val="20"/>
              </w:rPr>
            </w:pPr>
            <w:r w:rsidRPr="00AB3200">
              <w:rPr>
                <w:kern w:val="0"/>
                <w:sz w:val="20"/>
              </w:rPr>
              <w:t>11.0</w:t>
            </w:r>
          </w:p>
        </w:tc>
        <w:tc>
          <w:tcPr>
            <w:tcW w:w="985" w:type="dxa"/>
            <w:shd w:val="clear" w:color="auto" w:fill="auto"/>
            <w:vAlign w:val="center"/>
          </w:tcPr>
          <w:p w:rsidR="00F47E18" w:rsidRPr="00AB3200" w:rsidRDefault="00F47E18" w:rsidP="00F47E18">
            <w:pPr>
              <w:widowControl/>
              <w:jc w:val="center"/>
              <w:rPr>
                <w:kern w:val="0"/>
                <w:sz w:val="20"/>
              </w:rPr>
            </w:pPr>
            <w:r w:rsidRPr="00AB3200">
              <w:rPr>
                <w:kern w:val="0"/>
                <w:sz w:val="20"/>
              </w:rPr>
              <w:t>9.8</w:t>
            </w:r>
          </w:p>
        </w:tc>
        <w:tc>
          <w:tcPr>
            <w:tcW w:w="684" w:type="dxa"/>
            <w:shd w:val="clear" w:color="auto" w:fill="auto"/>
            <w:vAlign w:val="center"/>
          </w:tcPr>
          <w:p w:rsidR="00F47E18" w:rsidRPr="00AB3200" w:rsidRDefault="00F47E18" w:rsidP="00F47E18">
            <w:pPr>
              <w:widowControl/>
              <w:jc w:val="center"/>
              <w:rPr>
                <w:kern w:val="0"/>
                <w:sz w:val="20"/>
              </w:rPr>
            </w:pPr>
            <w:r w:rsidRPr="00AB3200">
              <w:rPr>
                <w:kern w:val="0"/>
                <w:sz w:val="20"/>
              </w:rPr>
              <w:t>1.3</w:t>
            </w:r>
          </w:p>
        </w:tc>
        <w:tc>
          <w:tcPr>
            <w:tcW w:w="733" w:type="dxa"/>
            <w:shd w:val="clear" w:color="auto" w:fill="auto"/>
            <w:vAlign w:val="center"/>
          </w:tcPr>
          <w:p w:rsidR="00F47E18" w:rsidRPr="00AB3200" w:rsidRDefault="00F47E18" w:rsidP="00F47E18">
            <w:pPr>
              <w:widowControl/>
              <w:jc w:val="center"/>
              <w:rPr>
                <w:kern w:val="0"/>
                <w:sz w:val="20"/>
              </w:rPr>
            </w:pPr>
            <w:r w:rsidRPr="00AB3200">
              <w:rPr>
                <w:kern w:val="0"/>
                <w:sz w:val="20"/>
              </w:rPr>
              <w:t>35.7</w:t>
            </w:r>
          </w:p>
        </w:tc>
      </w:tr>
      <w:tr w:rsidR="00F47E18" w:rsidRPr="00AB3200" w:rsidTr="00F47E18">
        <w:trPr>
          <w:trHeight w:val="151"/>
        </w:trPr>
        <w:tc>
          <w:tcPr>
            <w:tcW w:w="1418" w:type="dxa"/>
            <w:shd w:val="clear" w:color="auto" w:fill="auto"/>
            <w:vAlign w:val="center"/>
          </w:tcPr>
          <w:p w:rsidR="00F47E18" w:rsidRPr="00AB3200" w:rsidRDefault="00F47E18" w:rsidP="00F47E18">
            <w:pPr>
              <w:widowControl/>
              <w:spacing w:line="240" w:lineRule="exact"/>
              <w:ind w:rightChars="-24" w:right="-82" w:firstLineChars="100" w:firstLine="220"/>
              <w:rPr>
                <w:kern w:val="0"/>
                <w:sz w:val="20"/>
              </w:rPr>
            </w:pPr>
            <w:r w:rsidRPr="00AB3200">
              <w:rPr>
                <w:kern w:val="0"/>
                <w:sz w:val="20"/>
              </w:rPr>
              <w:t>碩士及以上</w:t>
            </w:r>
          </w:p>
        </w:tc>
        <w:tc>
          <w:tcPr>
            <w:tcW w:w="709" w:type="dxa"/>
            <w:shd w:val="clear" w:color="auto" w:fill="auto"/>
            <w:vAlign w:val="center"/>
          </w:tcPr>
          <w:p w:rsidR="00F47E18" w:rsidRPr="00AB3200" w:rsidRDefault="00F47E18" w:rsidP="00F47E18">
            <w:pPr>
              <w:widowControl/>
              <w:jc w:val="center"/>
              <w:rPr>
                <w:kern w:val="0"/>
                <w:sz w:val="20"/>
              </w:rPr>
            </w:pPr>
            <w:r w:rsidRPr="00AB3200">
              <w:rPr>
                <w:kern w:val="0"/>
                <w:sz w:val="20"/>
              </w:rPr>
              <w:t>100.0</w:t>
            </w:r>
          </w:p>
        </w:tc>
        <w:tc>
          <w:tcPr>
            <w:tcW w:w="567" w:type="dxa"/>
            <w:shd w:val="clear" w:color="auto" w:fill="auto"/>
            <w:vAlign w:val="center"/>
          </w:tcPr>
          <w:p w:rsidR="00F47E18" w:rsidRPr="00AB3200" w:rsidRDefault="00F47E18" w:rsidP="00F47E18">
            <w:pPr>
              <w:widowControl/>
              <w:jc w:val="center"/>
              <w:rPr>
                <w:kern w:val="0"/>
                <w:sz w:val="20"/>
              </w:rPr>
            </w:pPr>
            <w:r w:rsidRPr="00AB3200">
              <w:rPr>
                <w:kern w:val="0"/>
                <w:sz w:val="20"/>
              </w:rPr>
              <w:t>71.2</w:t>
            </w:r>
          </w:p>
        </w:tc>
        <w:tc>
          <w:tcPr>
            <w:tcW w:w="851" w:type="dxa"/>
            <w:shd w:val="clear" w:color="auto" w:fill="auto"/>
            <w:vAlign w:val="center"/>
          </w:tcPr>
          <w:p w:rsidR="00F47E18" w:rsidRPr="00AB3200" w:rsidRDefault="00F47E18" w:rsidP="00F47E18">
            <w:pPr>
              <w:widowControl/>
              <w:jc w:val="center"/>
              <w:rPr>
                <w:kern w:val="0"/>
                <w:sz w:val="20"/>
              </w:rPr>
            </w:pPr>
            <w:r w:rsidRPr="00AB3200">
              <w:rPr>
                <w:kern w:val="0"/>
                <w:sz w:val="20"/>
              </w:rPr>
              <w:t>27.8</w:t>
            </w:r>
          </w:p>
        </w:tc>
        <w:tc>
          <w:tcPr>
            <w:tcW w:w="850" w:type="dxa"/>
            <w:shd w:val="clear" w:color="auto" w:fill="auto"/>
            <w:vAlign w:val="center"/>
          </w:tcPr>
          <w:p w:rsidR="00F47E18" w:rsidRPr="00AB3200" w:rsidRDefault="00F47E18" w:rsidP="00F47E18">
            <w:pPr>
              <w:widowControl/>
              <w:jc w:val="center"/>
              <w:rPr>
                <w:kern w:val="0"/>
                <w:sz w:val="20"/>
              </w:rPr>
            </w:pPr>
            <w:r w:rsidRPr="00AB3200">
              <w:rPr>
                <w:kern w:val="0"/>
                <w:sz w:val="20"/>
              </w:rPr>
              <w:t>31.9</w:t>
            </w:r>
          </w:p>
        </w:tc>
        <w:tc>
          <w:tcPr>
            <w:tcW w:w="992" w:type="dxa"/>
            <w:shd w:val="clear" w:color="auto" w:fill="auto"/>
            <w:vAlign w:val="center"/>
          </w:tcPr>
          <w:p w:rsidR="00F47E18" w:rsidRPr="00AB3200" w:rsidRDefault="00F47E18" w:rsidP="00F47E18">
            <w:pPr>
              <w:widowControl/>
              <w:jc w:val="center"/>
              <w:rPr>
                <w:kern w:val="0"/>
                <w:sz w:val="20"/>
              </w:rPr>
            </w:pPr>
            <w:r w:rsidRPr="00AB3200">
              <w:rPr>
                <w:kern w:val="0"/>
                <w:sz w:val="20"/>
              </w:rPr>
              <w:t>21.6</w:t>
            </w:r>
          </w:p>
        </w:tc>
        <w:tc>
          <w:tcPr>
            <w:tcW w:w="1142" w:type="dxa"/>
            <w:shd w:val="clear" w:color="auto" w:fill="auto"/>
            <w:vAlign w:val="center"/>
          </w:tcPr>
          <w:p w:rsidR="00F47E18" w:rsidRPr="00AB3200" w:rsidRDefault="00F47E18" w:rsidP="00F47E18">
            <w:pPr>
              <w:widowControl/>
              <w:jc w:val="center"/>
              <w:rPr>
                <w:kern w:val="0"/>
                <w:sz w:val="20"/>
              </w:rPr>
            </w:pPr>
            <w:r w:rsidRPr="00AB3200">
              <w:rPr>
                <w:kern w:val="0"/>
                <w:sz w:val="20"/>
              </w:rPr>
              <w:t>16.3</w:t>
            </w:r>
          </w:p>
        </w:tc>
        <w:tc>
          <w:tcPr>
            <w:tcW w:w="985" w:type="dxa"/>
            <w:shd w:val="clear" w:color="auto" w:fill="auto"/>
            <w:vAlign w:val="center"/>
          </w:tcPr>
          <w:p w:rsidR="00F47E18" w:rsidRPr="00AB3200" w:rsidRDefault="00F47E18" w:rsidP="00F47E18">
            <w:pPr>
              <w:widowControl/>
              <w:jc w:val="center"/>
              <w:rPr>
                <w:kern w:val="0"/>
                <w:sz w:val="20"/>
              </w:rPr>
            </w:pPr>
            <w:r w:rsidRPr="00AB3200">
              <w:rPr>
                <w:kern w:val="0"/>
                <w:sz w:val="20"/>
              </w:rPr>
              <w:t>15.7</w:t>
            </w:r>
          </w:p>
        </w:tc>
        <w:tc>
          <w:tcPr>
            <w:tcW w:w="684" w:type="dxa"/>
            <w:shd w:val="clear" w:color="auto" w:fill="auto"/>
            <w:vAlign w:val="center"/>
          </w:tcPr>
          <w:p w:rsidR="00F47E18" w:rsidRPr="00AB3200" w:rsidRDefault="00F47E18" w:rsidP="00F47E18">
            <w:pPr>
              <w:widowControl/>
              <w:jc w:val="center"/>
              <w:rPr>
                <w:kern w:val="0"/>
                <w:sz w:val="20"/>
              </w:rPr>
            </w:pPr>
            <w:r w:rsidRPr="00AB3200">
              <w:rPr>
                <w:kern w:val="0"/>
                <w:sz w:val="20"/>
              </w:rPr>
              <w:t>2.4</w:t>
            </w:r>
          </w:p>
        </w:tc>
        <w:tc>
          <w:tcPr>
            <w:tcW w:w="733" w:type="dxa"/>
            <w:shd w:val="clear" w:color="auto" w:fill="auto"/>
            <w:vAlign w:val="center"/>
          </w:tcPr>
          <w:p w:rsidR="00F47E18" w:rsidRPr="00AB3200" w:rsidRDefault="00F47E18" w:rsidP="00F47E18">
            <w:pPr>
              <w:widowControl/>
              <w:jc w:val="center"/>
              <w:rPr>
                <w:kern w:val="0"/>
                <w:sz w:val="20"/>
              </w:rPr>
            </w:pPr>
            <w:r w:rsidRPr="00AB3200">
              <w:rPr>
                <w:kern w:val="0"/>
                <w:sz w:val="20"/>
              </w:rPr>
              <w:t>28.8</w:t>
            </w:r>
          </w:p>
        </w:tc>
      </w:tr>
      <w:tr w:rsidR="00F47E18" w:rsidRPr="00AB3200" w:rsidTr="00F47E18">
        <w:trPr>
          <w:trHeight w:val="101"/>
        </w:trPr>
        <w:tc>
          <w:tcPr>
            <w:tcW w:w="1418" w:type="dxa"/>
            <w:shd w:val="clear" w:color="auto" w:fill="auto"/>
            <w:vAlign w:val="center"/>
          </w:tcPr>
          <w:p w:rsidR="00F47E18" w:rsidRPr="00AB3200" w:rsidRDefault="00F47E18" w:rsidP="00F47E18">
            <w:pPr>
              <w:widowControl/>
              <w:spacing w:line="200" w:lineRule="exact"/>
              <w:ind w:rightChars="62" w:right="211" w:firstLineChars="47" w:firstLine="103"/>
              <w:jc w:val="center"/>
              <w:rPr>
                <w:bCs/>
                <w:kern w:val="0"/>
                <w:sz w:val="20"/>
              </w:rPr>
            </w:pPr>
            <w:r w:rsidRPr="00AB3200">
              <w:rPr>
                <w:bCs/>
                <w:kern w:val="0"/>
                <w:sz w:val="20"/>
              </w:rPr>
              <w:t>總計</w:t>
            </w:r>
          </w:p>
        </w:tc>
        <w:tc>
          <w:tcPr>
            <w:tcW w:w="709" w:type="dxa"/>
            <w:shd w:val="clear" w:color="auto" w:fill="auto"/>
            <w:vAlign w:val="center"/>
          </w:tcPr>
          <w:p w:rsidR="00F47E18" w:rsidRPr="00AB3200" w:rsidRDefault="00F47E18" w:rsidP="00F47E18">
            <w:pPr>
              <w:widowControl/>
              <w:jc w:val="center"/>
              <w:rPr>
                <w:kern w:val="0"/>
                <w:sz w:val="20"/>
              </w:rPr>
            </w:pPr>
            <w:r w:rsidRPr="00AB3200">
              <w:rPr>
                <w:kern w:val="0"/>
                <w:sz w:val="20"/>
              </w:rPr>
              <w:t>100.0</w:t>
            </w:r>
          </w:p>
        </w:tc>
        <w:tc>
          <w:tcPr>
            <w:tcW w:w="567" w:type="dxa"/>
            <w:shd w:val="clear" w:color="auto" w:fill="auto"/>
            <w:vAlign w:val="center"/>
          </w:tcPr>
          <w:p w:rsidR="00F47E18" w:rsidRPr="00AB3200" w:rsidRDefault="00F47E18" w:rsidP="00F47E18">
            <w:pPr>
              <w:widowControl/>
              <w:jc w:val="center"/>
              <w:rPr>
                <w:kern w:val="0"/>
                <w:sz w:val="20"/>
              </w:rPr>
            </w:pPr>
            <w:r w:rsidRPr="00AB3200">
              <w:rPr>
                <w:kern w:val="0"/>
                <w:sz w:val="20"/>
              </w:rPr>
              <w:t>58.3</w:t>
            </w:r>
          </w:p>
        </w:tc>
        <w:tc>
          <w:tcPr>
            <w:tcW w:w="851" w:type="dxa"/>
            <w:shd w:val="clear" w:color="auto" w:fill="auto"/>
            <w:vAlign w:val="center"/>
          </w:tcPr>
          <w:p w:rsidR="00F47E18" w:rsidRPr="00AB3200" w:rsidRDefault="00F47E18" w:rsidP="00F47E18">
            <w:pPr>
              <w:widowControl/>
              <w:jc w:val="center"/>
              <w:rPr>
                <w:kern w:val="0"/>
                <w:sz w:val="20"/>
              </w:rPr>
            </w:pPr>
            <w:r w:rsidRPr="00AB3200">
              <w:rPr>
                <w:kern w:val="0"/>
                <w:sz w:val="20"/>
              </w:rPr>
              <w:t>36.7</w:t>
            </w:r>
          </w:p>
        </w:tc>
        <w:tc>
          <w:tcPr>
            <w:tcW w:w="850" w:type="dxa"/>
            <w:shd w:val="clear" w:color="auto" w:fill="auto"/>
            <w:vAlign w:val="center"/>
          </w:tcPr>
          <w:p w:rsidR="00F47E18" w:rsidRPr="00AB3200" w:rsidRDefault="00F47E18" w:rsidP="00F47E18">
            <w:pPr>
              <w:widowControl/>
              <w:jc w:val="center"/>
              <w:rPr>
                <w:kern w:val="0"/>
                <w:sz w:val="20"/>
              </w:rPr>
            </w:pPr>
            <w:r w:rsidRPr="00AB3200">
              <w:rPr>
                <w:kern w:val="0"/>
                <w:sz w:val="20"/>
              </w:rPr>
              <w:t>25.6</w:t>
            </w:r>
          </w:p>
        </w:tc>
        <w:tc>
          <w:tcPr>
            <w:tcW w:w="992" w:type="dxa"/>
            <w:shd w:val="clear" w:color="auto" w:fill="auto"/>
            <w:vAlign w:val="center"/>
          </w:tcPr>
          <w:p w:rsidR="00F47E18" w:rsidRPr="00AB3200" w:rsidRDefault="00F47E18" w:rsidP="00F47E18">
            <w:pPr>
              <w:widowControl/>
              <w:jc w:val="center"/>
              <w:rPr>
                <w:kern w:val="0"/>
                <w:sz w:val="20"/>
              </w:rPr>
            </w:pPr>
            <w:r w:rsidRPr="00AB3200">
              <w:rPr>
                <w:kern w:val="0"/>
                <w:sz w:val="20"/>
              </w:rPr>
              <w:t>18.3</w:t>
            </w:r>
          </w:p>
        </w:tc>
        <w:tc>
          <w:tcPr>
            <w:tcW w:w="1142" w:type="dxa"/>
            <w:shd w:val="clear" w:color="auto" w:fill="auto"/>
            <w:vAlign w:val="center"/>
          </w:tcPr>
          <w:p w:rsidR="00F47E18" w:rsidRPr="00AB3200" w:rsidRDefault="00F47E18" w:rsidP="00F47E18">
            <w:pPr>
              <w:widowControl/>
              <w:jc w:val="center"/>
              <w:rPr>
                <w:kern w:val="0"/>
                <w:sz w:val="20"/>
              </w:rPr>
            </w:pPr>
            <w:r w:rsidRPr="00AB3200">
              <w:rPr>
                <w:kern w:val="0"/>
                <w:sz w:val="20"/>
              </w:rPr>
              <w:t>9.0</w:t>
            </w:r>
          </w:p>
        </w:tc>
        <w:tc>
          <w:tcPr>
            <w:tcW w:w="985" w:type="dxa"/>
            <w:shd w:val="clear" w:color="auto" w:fill="auto"/>
            <w:vAlign w:val="center"/>
          </w:tcPr>
          <w:p w:rsidR="00F47E18" w:rsidRPr="00AB3200" w:rsidRDefault="00F47E18" w:rsidP="00F47E18">
            <w:pPr>
              <w:widowControl/>
              <w:jc w:val="center"/>
              <w:rPr>
                <w:kern w:val="0"/>
                <w:sz w:val="20"/>
              </w:rPr>
            </w:pPr>
            <w:r w:rsidRPr="00AB3200">
              <w:rPr>
                <w:kern w:val="0"/>
                <w:sz w:val="20"/>
              </w:rPr>
              <w:t>7.4</w:t>
            </w:r>
          </w:p>
        </w:tc>
        <w:tc>
          <w:tcPr>
            <w:tcW w:w="684" w:type="dxa"/>
            <w:shd w:val="clear" w:color="auto" w:fill="auto"/>
            <w:vAlign w:val="center"/>
          </w:tcPr>
          <w:p w:rsidR="00F47E18" w:rsidRPr="00AB3200" w:rsidRDefault="00F47E18" w:rsidP="00F47E18">
            <w:pPr>
              <w:widowControl/>
              <w:jc w:val="center"/>
              <w:rPr>
                <w:kern w:val="0"/>
                <w:sz w:val="20"/>
              </w:rPr>
            </w:pPr>
            <w:r w:rsidRPr="00AB3200">
              <w:rPr>
                <w:kern w:val="0"/>
                <w:sz w:val="20"/>
              </w:rPr>
              <w:t>1.0</w:t>
            </w:r>
          </w:p>
        </w:tc>
        <w:tc>
          <w:tcPr>
            <w:tcW w:w="733" w:type="dxa"/>
            <w:shd w:val="clear" w:color="auto" w:fill="auto"/>
            <w:vAlign w:val="center"/>
          </w:tcPr>
          <w:p w:rsidR="00F47E18" w:rsidRPr="00AB3200" w:rsidRDefault="00F47E18" w:rsidP="00F47E18">
            <w:pPr>
              <w:widowControl/>
              <w:jc w:val="center"/>
              <w:rPr>
                <w:kern w:val="0"/>
                <w:sz w:val="20"/>
              </w:rPr>
            </w:pPr>
            <w:r w:rsidRPr="00AB3200">
              <w:rPr>
                <w:kern w:val="0"/>
                <w:sz w:val="20"/>
              </w:rPr>
              <w:t>41.7</w:t>
            </w:r>
          </w:p>
        </w:tc>
      </w:tr>
    </w:tbl>
    <w:p w:rsidR="00F47E18" w:rsidRPr="00AB3200" w:rsidRDefault="00F47E18" w:rsidP="00F47E18">
      <w:pPr>
        <w:spacing w:line="240" w:lineRule="exact"/>
        <w:ind w:leftChars="71" w:left="242" w:firstLineChars="147" w:firstLine="324"/>
        <w:rPr>
          <w:kern w:val="0"/>
          <w:sz w:val="20"/>
        </w:rPr>
      </w:pPr>
      <w:r w:rsidRPr="00AB3200">
        <w:rPr>
          <w:kern w:val="0"/>
          <w:sz w:val="20"/>
        </w:rPr>
        <w:t>說明：準備情形可複選，</w:t>
      </w:r>
      <w:proofErr w:type="gramStart"/>
      <w:r w:rsidRPr="00AB3200">
        <w:rPr>
          <w:kern w:val="0"/>
          <w:sz w:val="20"/>
        </w:rPr>
        <w:t>故細項</w:t>
      </w:r>
      <w:proofErr w:type="gramEnd"/>
      <w:r w:rsidRPr="00AB3200">
        <w:rPr>
          <w:kern w:val="0"/>
          <w:sz w:val="20"/>
        </w:rPr>
        <w:t>合計大於等於合計欄。</w:t>
      </w:r>
    </w:p>
    <w:p w:rsidR="00F47E18" w:rsidRPr="00AB3200" w:rsidRDefault="00F47E18" w:rsidP="00F47E18">
      <w:pPr>
        <w:pStyle w:val="3"/>
        <w:numPr>
          <w:ilvl w:val="0"/>
          <w:numId w:val="0"/>
        </w:numPr>
        <w:spacing w:line="240" w:lineRule="exact"/>
        <w:ind w:firstLineChars="257" w:firstLine="566"/>
        <w:rPr>
          <w:rFonts w:hAnsi="標楷體"/>
          <w:szCs w:val="32"/>
        </w:rPr>
      </w:pPr>
      <w:bookmarkStart w:id="153" w:name="_Toc393464422"/>
      <w:r w:rsidRPr="00AB3200">
        <w:rPr>
          <w:sz w:val="20"/>
        </w:rPr>
        <w:t>資料來源:勞動部</w:t>
      </w:r>
      <w:bookmarkEnd w:id="153"/>
    </w:p>
    <w:p w:rsidR="003A213D" w:rsidRPr="00AB3200" w:rsidRDefault="003A213D" w:rsidP="003A213D">
      <w:pPr>
        <w:pStyle w:val="3"/>
        <w:ind w:left="1360" w:hanging="680"/>
        <w:rPr>
          <w:rFonts w:hAnsi="標楷體"/>
        </w:rPr>
      </w:pPr>
      <w:bookmarkStart w:id="154" w:name="_Toc392764869"/>
      <w:bookmarkStart w:id="155" w:name="_Toc393464423"/>
      <w:r w:rsidRPr="00AB3200">
        <w:rPr>
          <w:rFonts w:hAnsi="標楷體" w:hint="eastAsia"/>
          <w:szCs w:val="32"/>
        </w:rPr>
        <w:t>又國發會指出，</w:t>
      </w:r>
      <w:r w:rsidRPr="00AB3200">
        <w:rPr>
          <w:rFonts w:hAnsi="標楷體"/>
        </w:rPr>
        <w:t>青年多於畢業前夕才開始進行職</w:t>
      </w:r>
      <w:proofErr w:type="gramStart"/>
      <w:r w:rsidRPr="00AB3200">
        <w:rPr>
          <w:rFonts w:hAnsi="標楷體"/>
        </w:rPr>
        <w:t>涯</w:t>
      </w:r>
      <w:proofErr w:type="gramEnd"/>
      <w:r w:rsidRPr="00AB3200">
        <w:rPr>
          <w:rFonts w:hAnsi="標楷體"/>
        </w:rPr>
        <w:t>規劃與尋職；</w:t>
      </w:r>
      <w:proofErr w:type="gramStart"/>
      <w:r w:rsidRPr="00AB3200">
        <w:rPr>
          <w:rFonts w:hAnsi="標楷體"/>
        </w:rPr>
        <w:t>惟</w:t>
      </w:r>
      <w:proofErr w:type="gramEnd"/>
      <w:r w:rsidRPr="00AB3200">
        <w:rPr>
          <w:rFonts w:hAnsi="標楷體"/>
        </w:rPr>
        <w:t>臺灣目前高等教育擴充，青年受教年限延長，</w:t>
      </w:r>
      <w:proofErr w:type="gramStart"/>
      <w:r w:rsidRPr="00AB3200">
        <w:rPr>
          <w:rFonts w:hAnsi="標楷體"/>
        </w:rPr>
        <w:t>倘至大專</w:t>
      </w:r>
      <w:proofErr w:type="gramEnd"/>
      <w:r w:rsidRPr="00AB3200">
        <w:rPr>
          <w:rFonts w:hAnsi="標楷體"/>
        </w:rPr>
        <w:t>或大學畢業前才開始要瞭解產業世界、職場及職務內容，進而規劃職</w:t>
      </w:r>
      <w:proofErr w:type="gramStart"/>
      <w:r w:rsidRPr="00AB3200">
        <w:rPr>
          <w:rFonts w:hAnsi="標楷體"/>
        </w:rPr>
        <w:t>涯</w:t>
      </w:r>
      <w:proofErr w:type="gramEnd"/>
      <w:r w:rsidRPr="00AB3200">
        <w:rPr>
          <w:rFonts w:hAnsi="標楷體"/>
        </w:rPr>
        <w:t>，將無法及時因應產業快速變動的職場環境</w:t>
      </w:r>
      <w:r w:rsidRPr="00AB3200">
        <w:rPr>
          <w:rFonts w:hAnsi="標楷體" w:hint="eastAsia"/>
        </w:rPr>
        <w:t>。足</w:t>
      </w:r>
      <w:proofErr w:type="gramStart"/>
      <w:r w:rsidRPr="00AB3200">
        <w:rPr>
          <w:rFonts w:hAnsi="標楷體" w:hint="eastAsia"/>
        </w:rPr>
        <w:t>徵</w:t>
      </w:r>
      <w:proofErr w:type="gramEnd"/>
      <w:r w:rsidRPr="00AB3200">
        <w:rPr>
          <w:rFonts w:hAnsi="標楷體" w:hint="eastAsia"/>
        </w:rPr>
        <w:t>，多數大專青年畢業前，對於職</w:t>
      </w:r>
      <w:proofErr w:type="gramStart"/>
      <w:r w:rsidRPr="00AB3200">
        <w:rPr>
          <w:rFonts w:hAnsi="標楷體" w:hint="eastAsia"/>
        </w:rPr>
        <w:t>涯</w:t>
      </w:r>
      <w:proofErr w:type="gramEnd"/>
      <w:r w:rsidRPr="00AB3200">
        <w:rPr>
          <w:rFonts w:hAnsi="標楷體" w:hint="eastAsia"/>
        </w:rPr>
        <w:t>仍感到迷惘，缺乏足夠之職</w:t>
      </w:r>
      <w:proofErr w:type="gramStart"/>
      <w:r w:rsidRPr="00AB3200">
        <w:rPr>
          <w:rFonts w:hAnsi="標楷體" w:hint="eastAsia"/>
        </w:rPr>
        <w:t>涯</w:t>
      </w:r>
      <w:proofErr w:type="gramEnd"/>
      <w:r w:rsidRPr="00AB3200">
        <w:rPr>
          <w:rFonts w:hAnsi="標楷體" w:hint="eastAsia"/>
        </w:rPr>
        <w:t>認知及完整職場規劃，允宜強化相關輔導機制，如能提前至國中及高中階段即進行職</w:t>
      </w:r>
      <w:proofErr w:type="gramStart"/>
      <w:r w:rsidRPr="00AB3200">
        <w:rPr>
          <w:rFonts w:hAnsi="標楷體" w:hint="eastAsia"/>
        </w:rPr>
        <w:t>涯</w:t>
      </w:r>
      <w:proofErr w:type="gramEnd"/>
      <w:r w:rsidRPr="00AB3200">
        <w:rPr>
          <w:rFonts w:hAnsi="標楷體" w:hint="eastAsia"/>
        </w:rPr>
        <w:t>興趣探索，對於學生爾後職</w:t>
      </w:r>
      <w:proofErr w:type="gramStart"/>
      <w:r w:rsidRPr="00AB3200">
        <w:rPr>
          <w:rFonts w:hAnsi="標楷體" w:hint="eastAsia"/>
        </w:rPr>
        <w:t>涯</w:t>
      </w:r>
      <w:proofErr w:type="gramEnd"/>
      <w:r w:rsidRPr="00AB3200">
        <w:rPr>
          <w:rFonts w:hAnsi="標楷體" w:hint="eastAsia"/>
        </w:rPr>
        <w:t>認知，將有更大助益。</w:t>
      </w:r>
      <w:bookmarkEnd w:id="154"/>
      <w:bookmarkEnd w:id="155"/>
    </w:p>
    <w:p w:rsidR="003A213D" w:rsidRPr="00AB3200" w:rsidRDefault="003A213D" w:rsidP="003A213D">
      <w:pPr>
        <w:pStyle w:val="3"/>
        <w:ind w:left="1418"/>
        <w:rPr>
          <w:rFonts w:hAnsi="標楷體"/>
          <w:b/>
          <w:u w:val="single"/>
        </w:rPr>
      </w:pPr>
      <w:bookmarkStart w:id="156" w:name="_Toc392764871"/>
      <w:bookmarkStart w:id="157" w:name="_Toc393464424"/>
      <w:r w:rsidRPr="00AB3200">
        <w:rPr>
          <w:rFonts w:hAnsi="標楷體"/>
          <w:szCs w:val="32"/>
        </w:rPr>
        <w:t>產業結構之改變牽動著勞動需求和受雇結構之變化，新興產業所需之工作職能與傳統產業大不相同</w:t>
      </w:r>
      <w:r w:rsidRPr="00AB3200">
        <w:rPr>
          <w:rFonts w:hAnsi="標楷體"/>
          <w:szCs w:val="32"/>
        </w:rPr>
        <w:lastRenderedPageBreak/>
        <w:t>，特別目前就業市場常為跨領域之需求，教育部監督各校對青年之職</w:t>
      </w:r>
      <w:proofErr w:type="gramStart"/>
      <w:r w:rsidRPr="00AB3200">
        <w:rPr>
          <w:rFonts w:hAnsi="標楷體"/>
          <w:szCs w:val="32"/>
        </w:rPr>
        <w:t>涯</w:t>
      </w:r>
      <w:proofErr w:type="gramEnd"/>
      <w:r w:rsidRPr="00AB3200">
        <w:rPr>
          <w:rFonts w:hAnsi="標楷體"/>
          <w:szCs w:val="32"/>
        </w:rPr>
        <w:t>輔導與協助就業則更形重要。然據教育部調查有關我國16</w:t>
      </w:r>
      <w:r w:rsidR="00F47E18" w:rsidRPr="00AB3200">
        <w:rPr>
          <w:rFonts w:hAnsi="標楷體" w:hint="eastAsia"/>
          <w:szCs w:val="32"/>
        </w:rPr>
        <w:t>3</w:t>
      </w:r>
      <w:r w:rsidRPr="00AB3200">
        <w:rPr>
          <w:rFonts w:hAnsi="標楷體"/>
          <w:szCs w:val="32"/>
        </w:rPr>
        <w:t>所大專校院，查核各校職</w:t>
      </w:r>
      <w:proofErr w:type="gramStart"/>
      <w:r w:rsidRPr="00AB3200">
        <w:rPr>
          <w:rFonts w:hAnsi="標楷體"/>
          <w:szCs w:val="32"/>
        </w:rPr>
        <w:t>涯</w:t>
      </w:r>
      <w:proofErr w:type="gramEnd"/>
      <w:r w:rsidRPr="00AB3200">
        <w:rPr>
          <w:rFonts w:hAnsi="標楷體"/>
          <w:szCs w:val="32"/>
        </w:rPr>
        <w:t>輔導與規劃情形，仍有多校對於學生職</w:t>
      </w:r>
      <w:proofErr w:type="gramStart"/>
      <w:r w:rsidRPr="00AB3200">
        <w:rPr>
          <w:rFonts w:hAnsi="標楷體"/>
          <w:szCs w:val="32"/>
        </w:rPr>
        <w:t>涯</w:t>
      </w:r>
      <w:proofErr w:type="gramEnd"/>
      <w:r w:rsidRPr="00AB3200">
        <w:rPr>
          <w:rFonts w:hAnsi="標楷體"/>
          <w:szCs w:val="32"/>
        </w:rPr>
        <w:t>輔導與規劃尚有努力空間，亦顯教育部及前行政院青輔會相關獎補助計畫，對學校之引導不足。另學校</w:t>
      </w:r>
      <w:proofErr w:type="gramStart"/>
      <w:r w:rsidRPr="00AB3200">
        <w:rPr>
          <w:rFonts w:hAnsi="標楷體"/>
          <w:szCs w:val="32"/>
        </w:rPr>
        <w:t>因職輔人力</w:t>
      </w:r>
      <w:proofErr w:type="gramEnd"/>
      <w:r w:rsidRPr="00AB3200">
        <w:rPr>
          <w:rFonts w:hAnsi="標楷體"/>
          <w:szCs w:val="32"/>
        </w:rPr>
        <w:t>不足，提供服務有限</w:t>
      </w:r>
      <w:r w:rsidRPr="00AB3200">
        <w:rPr>
          <w:rFonts w:hAnsi="標楷體"/>
          <w:bCs w:val="0"/>
          <w:szCs w:val="32"/>
        </w:rPr>
        <w:t>亟待進行有關</w:t>
      </w:r>
      <w:r w:rsidRPr="00AB3200">
        <w:rPr>
          <w:rFonts w:hAnsi="標楷體"/>
          <w:szCs w:val="32"/>
        </w:rPr>
        <w:t>學生輔導法立法工作，</w:t>
      </w:r>
      <w:proofErr w:type="gramStart"/>
      <w:r w:rsidRPr="00AB3200">
        <w:rPr>
          <w:rFonts w:hAnsi="標楷體"/>
          <w:bCs w:val="0"/>
          <w:szCs w:val="32"/>
        </w:rPr>
        <w:t>教育部亦</w:t>
      </w:r>
      <w:r w:rsidRPr="00AB3200">
        <w:rPr>
          <w:rFonts w:hAnsi="標楷體"/>
          <w:szCs w:val="32"/>
        </w:rPr>
        <w:t>允宜</w:t>
      </w:r>
      <w:proofErr w:type="gramEnd"/>
      <w:r w:rsidRPr="00AB3200">
        <w:rPr>
          <w:rFonts w:hAnsi="標楷體"/>
          <w:szCs w:val="32"/>
        </w:rPr>
        <w:t>儘速進行</w:t>
      </w:r>
      <w:r w:rsidRPr="00AB3200">
        <w:rPr>
          <w:rFonts w:hAnsi="標楷體"/>
          <w:bCs w:val="0"/>
          <w:szCs w:val="32"/>
        </w:rPr>
        <w:t>，至於尚未完成</w:t>
      </w:r>
      <w:r w:rsidRPr="00AB3200">
        <w:rPr>
          <w:rFonts w:hAnsi="標楷體" w:hint="eastAsia"/>
          <w:szCs w:val="32"/>
        </w:rPr>
        <w:t>學生輔導法</w:t>
      </w:r>
      <w:r w:rsidRPr="00AB3200">
        <w:rPr>
          <w:rFonts w:hAnsi="標楷體"/>
          <w:bCs w:val="0"/>
          <w:szCs w:val="32"/>
        </w:rPr>
        <w:t>立法前，</w:t>
      </w:r>
      <w:r w:rsidRPr="00AB3200">
        <w:rPr>
          <w:rFonts w:hAnsi="標楷體"/>
          <w:szCs w:val="32"/>
        </w:rPr>
        <w:t>教育部</w:t>
      </w:r>
      <w:r w:rsidRPr="00AB3200">
        <w:rPr>
          <w:rFonts w:hAnsi="標楷體" w:hint="eastAsia"/>
          <w:szCs w:val="32"/>
        </w:rPr>
        <w:t>仍應</w:t>
      </w:r>
      <w:r w:rsidRPr="00AB3200">
        <w:rPr>
          <w:rFonts w:hAnsi="標楷體"/>
          <w:szCs w:val="32"/>
        </w:rPr>
        <w:t>督促學校儘速改進，以</w:t>
      </w:r>
      <w:r w:rsidRPr="00AB3200">
        <w:rPr>
          <w:rFonts w:hAnsi="標楷體"/>
          <w:bCs w:val="0"/>
          <w:szCs w:val="32"/>
        </w:rPr>
        <w:t>提升學生就業力等</w:t>
      </w:r>
      <w:r w:rsidRPr="00AB3200">
        <w:rPr>
          <w:rFonts w:hAnsi="標楷體"/>
          <w:szCs w:val="32"/>
        </w:rPr>
        <w:t>職</w:t>
      </w:r>
      <w:proofErr w:type="gramStart"/>
      <w:r w:rsidRPr="00AB3200">
        <w:rPr>
          <w:rFonts w:hAnsi="標楷體"/>
          <w:szCs w:val="32"/>
        </w:rPr>
        <w:t>涯</w:t>
      </w:r>
      <w:proofErr w:type="gramEnd"/>
      <w:r w:rsidRPr="00AB3200">
        <w:rPr>
          <w:rFonts w:hAnsi="標楷體"/>
          <w:szCs w:val="32"/>
        </w:rPr>
        <w:t>輔導功能，發揮應有之輔導作用</w:t>
      </w:r>
      <w:r w:rsidRPr="00AB3200">
        <w:rPr>
          <w:rFonts w:hAnsi="標楷體" w:hint="eastAsia"/>
          <w:szCs w:val="32"/>
        </w:rPr>
        <w:t>，不</w:t>
      </w:r>
      <w:r w:rsidR="00F47E18" w:rsidRPr="00AB3200">
        <w:rPr>
          <w:rFonts w:hAnsi="標楷體" w:hint="eastAsia"/>
          <w:szCs w:val="32"/>
        </w:rPr>
        <w:t>應以該法未通過，作為延遲推動學生職</w:t>
      </w:r>
      <w:proofErr w:type="gramStart"/>
      <w:r w:rsidR="00F47E18" w:rsidRPr="00AB3200">
        <w:rPr>
          <w:rFonts w:hAnsi="標楷體" w:hint="eastAsia"/>
          <w:szCs w:val="32"/>
        </w:rPr>
        <w:t>涯</w:t>
      </w:r>
      <w:proofErr w:type="gramEnd"/>
      <w:r w:rsidR="00F47E18" w:rsidRPr="00AB3200">
        <w:rPr>
          <w:rFonts w:hAnsi="標楷體" w:hint="eastAsia"/>
          <w:szCs w:val="32"/>
        </w:rPr>
        <w:t>輔導之理由</w:t>
      </w:r>
      <w:r w:rsidRPr="00AB3200">
        <w:rPr>
          <w:rFonts w:hAnsi="標楷體"/>
          <w:szCs w:val="32"/>
        </w:rPr>
        <w:t>。</w:t>
      </w:r>
      <w:r w:rsidRPr="00AB3200">
        <w:rPr>
          <w:rFonts w:hAnsi="標楷體" w:hint="eastAsia"/>
          <w:szCs w:val="32"/>
        </w:rPr>
        <w:t>基此，部分青年畢業前對於職</w:t>
      </w:r>
      <w:proofErr w:type="gramStart"/>
      <w:r w:rsidRPr="00AB3200">
        <w:rPr>
          <w:rFonts w:hAnsi="標楷體" w:hint="eastAsia"/>
          <w:szCs w:val="32"/>
        </w:rPr>
        <w:t>涯</w:t>
      </w:r>
      <w:proofErr w:type="gramEnd"/>
      <w:r w:rsidRPr="00AB3200">
        <w:rPr>
          <w:rFonts w:hAnsi="標楷體" w:hint="eastAsia"/>
          <w:szCs w:val="32"/>
        </w:rPr>
        <w:t>仍感到迷惘，教育部允宜督促學校強化輔導學生，並檢討提前至國中及高中階段進行適當職</w:t>
      </w:r>
      <w:proofErr w:type="gramStart"/>
      <w:r w:rsidRPr="00AB3200">
        <w:rPr>
          <w:rFonts w:hAnsi="標楷體" w:hint="eastAsia"/>
          <w:szCs w:val="32"/>
        </w:rPr>
        <w:t>涯</w:t>
      </w:r>
      <w:proofErr w:type="gramEnd"/>
      <w:r w:rsidRPr="00AB3200">
        <w:rPr>
          <w:rFonts w:hAnsi="標楷體" w:hint="eastAsia"/>
          <w:szCs w:val="32"/>
        </w:rPr>
        <w:t>探索，以協助學生及早瞭解職</w:t>
      </w:r>
      <w:proofErr w:type="gramStart"/>
      <w:r w:rsidRPr="00AB3200">
        <w:rPr>
          <w:rFonts w:hAnsi="標楷體" w:hint="eastAsia"/>
          <w:szCs w:val="32"/>
        </w:rPr>
        <w:t>涯</w:t>
      </w:r>
      <w:proofErr w:type="gramEnd"/>
      <w:r w:rsidRPr="00AB3200">
        <w:rPr>
          <w:rFonts w:hAnsi="標楷體" w:hint="eastAsia"/>
          <w:szCs w:val="32"/>
        </w:rPr>
        <w:t>興趣</w:t>
      </w:r>
      <w:r w:rsidRPr="00AB3200">
        <w:rPr>
          <w:rFonts w:hAnsi="標楷體"/>
          <w:szCs w:val="32"/>
        </w:rPr>
        <w:t>。</w:t>
      </w:r>
      <w:bookmarkEnd w:id="156"/>
      <w:bookmarkEnd w:id="157"/>
    </w:p>
    <w:p w:rsidR="00BA612B" w:rsidRPr="00AB3200" w:rsidRDefault="00BA612B" w:rsidP="003A213D">
      <w:pPr>
        <w:pStyle w:val="3"/>
        <w:ind w:left="1418"/>
        <w:rPr>
          <w:rFonts w:hAnsi="標楷體"/>
          <w:b/>
          <w:u w:val="single"/>
        </w:rPr>
      </w:pPr>
      <w:bookmarkStart w:id="158" w:name="_Toc393464425"/>
      <w:r w:rsidRPr="00AB3200">
        <w:rPr>
          <w:rFonts w:hAnsi="標楷體" w:hint="eastAsia"/>
          <w:szCs w:val="32"/>
        </w:rPr>
        <w:t>綜上，</w:t>
      </w:r>
      <w:r w:rsidRPr="00AB3200">
        <w:rPr>
          <w:rFonts w:hAnsi="標楷體"/>
          <w:szCs w:val="32"/>
        </w:rPr>
        <w:t>教育部</w:t>
      </w:r>
      <w:r w:rsidRPr="00AB3200">
        <w:rPr>
          <w:rFonts w:hAnsi="標楷體" w:hint="eastAsia"/>
          <w:szCs w:val="32"/>
        </w:rPr>
        <w:t>雖推</w:t>
      </w:r>
      <w:r w:rsidRPr="00AB3200">
        <w:rPr>
          <w:rFonts w:hAnsi="標楷體"/>
        </w:rPr>
        <w:t>動</w:t>
      </w:r>
      <w:r w:rsidRPr="00AB3200">
        <w:rPr>
          <w:rFonts w:hAnsi="標楷體" w:hint="eastAsia"/>
        </w:rPr>
        <w:t>學生</w:t>
      </w:r>
      <w:r w:rsidRPr="00AB3200">
        <w:rPr>
          <w:rFonts w:hAnsi="標楷體"/>
        </w:rPr>
        <w:t>生涯輔導，</w:t>
      </w:r>
      <w:r w:rsidRPr="00AB3200">
        <w:rPr>
          <w:rFonts w:hAnsi="標楷體" w:hint="eastAsia"/>
        </w:rPr>
        <w:t>惟</w:t>
      </w:r>
      <w:r w:rsidRPr="00AB3200">
        <w:rPr>
          <w:rFonts w:hAnsi="標楷體" w:hint="eastAsia"/>
          <w:szCs w:val="32"/>
        </w:rPr>
        <w:t>以學生輔導法未通過為由，</w:t>
      </w:r>
      <w:r w:rsidRPr="00AB3200">
        <w:rPr>
          <w:rFonts w:hAnsi="標楷體"/>
          <w:szCs w:val="32"/>
        </w:rPr>
        <w:t>未能</w:t>
      </w:r>
      <w:r w:rsidRPr="00AB3200">
        <w:rPr>
          <w:rFonts w:hAnsi="標楷體" w:hint="eastAsia"/>
          <w:szCs w:val="32"/>
        </w:rPr>
        <w:t>督促學校</w:t>
      </w:r>
      <w:r w:rsidRPr="00AB3200">
        <w:rPr>
          <w:rFonts w:hAnsi="標楷體"/>
          <w:szCs w:val="32"/>
        </w:rPr>
        <w:t>建立妥善之職</w:t>
      </w:r>
      <w:proofErr w:type="gramStart"/>
      <w:r w:rsidRPr="00AB3200">
        <w:rPr>
          <w:rFonts w:hAnsi="標楷體"/>
          <w:szCs w:val="32"/>
        </w:rPr>
        <w:t>涯</w:t>
      </w:r>
      <w:proofErr w:type="gramEnd"/>
      <w:r w:rsidRPr="00AB3200">
        <w:rPr>
          <w:rFonts w:hAnsi="標楷體"/>
          <w:szCs w:val="32"/>
        </w:rPr>
        <w:t>輔導機制，致部分大專院校未能積極輔導學生職</w:t>
      </w:r>
      <w:proofErr w:type="gramStart"/>
      <w:r w:rsidRPr="00AB3200">
        <w:rPr>
          <w:rFonts w:hAnsi="標楷體"/>
          <w:szCs w:val="32"/>
        </w:rPr>
        <w:t>涯</w:t>
      </w:r>
      <w:proofErr w:type="gramEnd"/>
      <w:r w:rsidRPr="00AB3200">
        <w:rPr>
          <w:rFonts w:hAnsi="標楷體"/>
          <w:szCs w:val="32"/>
        </w:rPr>
        <w:t>發展，</w:t>
      </w:r>
      <w:r w:rsidRPr="00AB3200">
        <w:rPr>
          <w:rFonts w:hAnsi="標楷體" w:hint="eastAsia"/>
          <w:szCs w:val="32"/>
        </w:rPr>
        <w:t>部分青年畢業前對於職</w:t>
      </w:r>
      <w:proofErr w:type="gramStart"/>
      <w:r w:rsidRPr="00AB3200">
        <w:rPr>
          <w:rFonts w:hAnsi="標楷體" w:hint="eastAsia"/>
          <w:szCs w:val="32"/>
        </w:rPr>
        <w:t>涯</w:t>
      </w:r>
      <w:proofErr w:type="gramEnd"/>
      <w:r w:rsidRPr="00AB3200">
        <w:rPr>
          <w:rFonts w:hAnsi="標楷體" w:hint="eastAsia"/>
          <w:szCs w:val="32"/>
        </w:rPr>
        <w:t>仍感到迷惘，允宜強化輔導，並檢討提前至國中及高中階段進行適當職</w:t>
      </w:r>
      <w:proofErr w:type="gramStart"/>
      <w:r w:rsidRPr="00AB3200">
        <w:rPr>
          <w:rFonts w:hAnsi="標楷體" w:hint="eastAsia"/>
          <w:szCs w:val="32"/>
        </w:rPr>
        <w:t>涯</w:t>
      </w:r>
      <w:proofErr w:type="gramEnd"/>
      <w:r w:rsidRPr="00AB3200">
        <w:rPr>
          <w:rFonts w:hAnsi="標楷體" w:hint="eastAsia"/>
          <w:szCs w:val="32"/>
        </w:rPr>
        <w:t>探索，以協助學生及早瞭解職</w:t>
      </w:r>
      <w:proofErr w:type="gramStart"/>
      <w:r w:rsidRPr="00AB3200">
        <w:rPr>
          <w:rFonts w:hAnsi="標楷體" w:hint="eastAsia"/>
          <w:szCs w:val="32"/>
        </w:rPr>
        <w:t>涯</w:t>
      </w:r>
      <w:proofErr w:type="gramEnd"/>
      <w:r w:rsidRPr="00AB3200">
        <w:rPr>
          <w:rFonts w:hAnsi="標楷體" w:hint="eastAsia"/>
          <w:szCs w:val="32"/>
        </w:rPr>
        <w:t>興趣</w:t>
      </w:r>
      <w:r w:rsidRPr="00AB3200">
        <w:rPr>
          <w:rFonts w:hAnsi="標楷體"/>
          <w:szCs w:val="32"/>
        </w:rPr>
        <w:t>。</w:t>
      </w:r>
      <w:bookmarkEnd w:id="158"/>
    </w:p>
    <w:p w:rsidR="003A213D" w:rsidRPr="00AB3200" w:rsidRDefault="003A213D" w:rsidP="003A213D">
      <w:pPr>
        <w:pStyle w:val="20"/>
        <w:ind w:left="1020" w:hanging="680"/>
        <w:rPr>
          <w:rFonts w:hAnsi="標楷體"/>
          <w:b/>
          <w:szCs w:val="32"/>
        </w:rPr>
      </w:pPr>
      <w:bookmarkStart w:id="159" w:name="_Toc393464426"/>
      <w:r w:rsidRPr="00AB3200">
        <w:rPr>
          <w:rFonts w:hAnsi="標楷體" w:hint="eastAsia"/>
          <w:b/>
          <w:szCs w:val="32"/>
        </w:rPr>
        <w:t>當前學校</w:t>
      </w:r>
      <w:r w:rsidRPr="00AB3200">
        <w:rPr>
          <w:rFonts w:hAnsi="標楷體"/>
          <w:b/>
          <w:szCs w:val="32"/>
        </w:rPr>
        <w:t>培育之</w:t>
      </w:r>
      <w:r w:rsidRPr="00AB3200">
        <w:rPr>
          <w:rFonts w:hAnsi="標楷體" w:hint="eastAsia"/>
          <w:b/>
          <w:szCs w:val="32"/>
        </w:rPr>
        <w:t>部分</w:t>
      </w:r>
      <w:r w:rsidRPr="00AB3200">
        <w:rPr>
          <w:rFonts w:hAnsi="標楷體"/>
          <w:b/>
          <w:szCs w:val="32"/>
        </w:rPr>
        <w:t>青年就業能力不足，</w:t>
      </w:r>
      <w:r w:rsidRPr="00AB3200">
        <w:rPr>
          <w:rFonts w:hAnsi="標楷體" w:hint="eastAsia"/>
          <w:b/>
          <w:szCs w:val="32"/>
        </w:rPr>
        <w:t>學用落差嚴重，</w:t>
      </w:r>
      <w:r w:rsidRPr="00AB3200">
        <w:rPr>
          <w:rFonts w:hAnsi="標楷體"/>
          <w:b/>
          <w:szCs w:val="32"/>
        </w:rPr>
        <w:t>傾向競逐工作技能較低</w:t>
      </w:r>
      <w:r w:rsidRPr="00AB3200">
        <w:rPr>
          <w:rFonts w:hAnsi="標楷體" w:hint="eastAsia"/>
          <w:b/>
          <w:szCs w:val="32"/>
        </w:rPr>
        <w:t>之</w:t>
      </w:r>
      <w:r w:rsidRPr="00AB3200">
        <w:rPr>
          <w:rFonts w:hAnsi="標楷體"/>
          <w:b/>
          <w:szCs w:val="32"/>
        </w:rPr>
        <w:t>職缺</w:t>
      </w:r>
      <w:r w:rsidRPr="00AB3200">
        <w:rPr>
          <w:rFonts w:hAnsi="標楷體" w:hint="eastAsia"/>
          <w:b/>
          <w:szCs w:val="32"/>
        </w:rPr>
        <w:t>，加重失業低薪問題，</w:t>
      </w:r>
      <w:proofErr w:type="gramStart"/>
      <w:r w:rsidRPr="00AB3200">
        <w:rPr>
          <w:rFonts w:hAnsi="標楷體" w:hint="eastAsia"/>
          <w:b/>
          <w:szCs w:val="32"/>
        </w:rPr>
        <w:t>教育部雖推動產</w:t>
      </w:r>
      <w:proofErr w:type="gramEnd"/>
      <w:r w:rsidRPr="00AB3200">
        <w:rPr>
          <w:rFonts w:hAnsi="標楷體" w:hint="eastAsia"/>
          <w:b/>
          <w:szCs w:val="32"/>
        </w:rPr>
        <w:t>學合作、減少學用落差措施，係以技職學校為主要推動對象，致一般大學校院學生缺乏足夠之產學合作機會；</w:t>
      </w:r>
      <w:proofErr w:type="gramStart"/>
      <w:r w:rsidRPr="00AB3200">
        <w:rPr>
          <w:rFonts w:hAnsi="標楷體" w:hint="eastAsia"/>
          <w:b/>
          <w:szCs w:val="32"/>
        </w:rPr>
        <w:t>另技職</w:t>
      </w:r>
      <w:proofErr w:type="gramEnd"/>
      <w:r w:rsidRPr="00AB3200">
        <w:rPr>
          <w:rFonts w:hAnsi="標楷體" w:hint="eastAsia"/>
          <w:b/>
          <w:szCs w:val="32"/>
        </w:rPr>
        <w:t>學校設備</w:t>
      </w:r>
      <w:proofErr w:type="gramStart"/>
      <w:r w:rsidRPr="00AB3200">
        <w:rPr>
          <w:rFonts w:hAnsi="標楷體" w:hint="eastAsia"/>
          <w:b/>
          <w:szCs w:val="32"/>
        </w:rPr>
        <w:t>老舊待更新</w:t>
      </w:r>
      <w:proofErr w:type="gramEnd"/>
      <w:r w:rsidRPr="00AB3200">
        <w:rPr>
          <w:rFonts w:hAnsi="標楷體" w:hint="eastAsia"/>
          <w:b/>
          <w:szCs w:val="32"/>
        </w:rPr>
        <w:t>；</w:t>
      </w:r>
      <w:proofErr w:type="gramStart"/>
      <w:r w:rsidRPr="00AB3200">
        <w:rPr>
          <w:rFonts w:hAnsi="標楷體" w:hint="eastAsia"/>
          <w:b/>
          <w:szCs w:val="32"/>
        </w:rPr>
        <w:t>產學專班</w:t>
      </w:r>
      <w:proofErr w:type="gramEnd"/>
      <w:r w:rsidRPr="00AB3200">
        <w:rPr>
          <w:rFonts w:hAnsi="標楷體" w:hint="eastAsia"/>
          <w:b/>
          <w:szCs w:val="32"/>
        </w:rPr>
        <w:t>對於引導學生畢業後順利</w:t>
      </w:r>
      <w:proofErr w:type="gramStart"/>
      <w:r w:rsidRPr="00AB3200">
        <w:rPr>
          <w:rFonts w:hAnsi="標楷體" w:hint="eastAsia"/>
          <w:b/>
          <w:szCs w:val="32"/>
        </w:rPr>
        <w:t>銜接至職場</w:t>
      </w:r>
      <w:proofErr w:type="gramEnd"/>
      <w:r w:rsidRPr="00AB3200">
        <w:rPr>
          <w:rFonts w:hAnsi="標楷體" w:hint="eastAsia"/>
          <w:b/>
          <w:szCs w:val="32"/>
        </w:rPr>
        <w:t>，雖有助益，</w:t>
      </w:r>
      <w:proofErr w:type="gramStart"/>
      <w:r w:rsidRPr="00AB3200">
        <w:rPr>
          <w:rFonts w:hAnsi="標楷體" w:hint="eastAsia"/>
          <w:b/>
          <w:szCs w:val="32"/>
        </w:rPr>
        <w:t>惟非產學專</w:t>
      </w:r>
      <w:proofErr w:type="gramEnd"/>
      <w:r w:rsidRPr="00AB3200">
        <w:rPr>
          <w:rFonts w:hAnsi="標楷體" w:hint="eastAsia"/>
          <w:b/>
          <w:szCs w:val="32"/>
        </w:rPr>
        <w:t>班學生畢業後銜接職場之完整機制尚待積極建立。</w:t>
      </w:r>
      <w:bookmarkEnd w:id="159"/>
    </w:p>
    <w:p w:rsidR="00F47E18" w:rsidRPr="00AB3200" w:rsidRDefault="00F47E18" w:rsidP="003A213D">
      <w:pPr>
        <w:pStyle w:val="3"/>
        <w:ind w:left="1360" w:hanging="680"/>
        <w:rPr>
          <w:rFonts w:hAnsi="標楷體"/>
          <w:bCs w:val="0"/>
          <w:szCs w:val="32"/>
        </w:rPr>
      </w:pPr>
      <w:bookmarkStart w:id="160" w:name="_Toc393464427"/>
      <w:bookmarkStart w:id="161" w:name="_Toc392764873"/>
      <w:r w:rsidRPr="00AB3200">
        <w:rPr>
          <w:rFonts w:hAnsi="標楷體" w:hint="eastAsia"/>
        </w:rPr>
        <w:t>依</w:t>
      </w:r>
      <w:r w:rsidRPr="00AB3200">
        <w:rPr>
          <w:rFonts w:hAnsi="標楷體"/>
          <w:szCs w:val="32"/>
        </w:rPr>
        <w:t>據</w:t>
      </w:r>
      <w:r w:rsidRPr="00AB3200">
        <w:rPr>
          <w:rFonts w:hAnsi="標楷體" w:hint="eastAsia"/>
          <w:szCs w:val="32"/>
        </w:rPr>
        <w:t>勞動部</w:t>
      </w:r>
      <w:r w:rsidRPr="00AB3200">
        <w:rPr>
          <w:rFonts w:hAnsi="標楷體"/>
        </w:rPr>
        <w:t>就業市場分析報告統計，大學求職者排</w:t>
      </w:r>
      <w:r w:rsidRPr="00AB3200">
        <w:rPr>
          <w:rFonts w:hAnsi="標楷體"/>
        </w:rPr>
        <w:lastRenderedPageBreak/>
        <w:t>名前三名的職缺通常為「資料輸入及有關事務人員」、「一般辦公室事務人員」、「製造勞力工」，其中</w:t>
      </w:r>
      <w:proofErr w:type="gramStart"/>
      <w:r w:rsidRPr="00AB3200">
        <w:rPr>
          <w:rFonts w:hAnsi="標楷體"/>
        </w:rPr>
        <w:t>前兩類職缺</w:t>
      </w:r>
      <w:proofErr w:type="gramEnd"/>
      <w:r w:rsidRPr="00AB3200">
        <w:rPr>
          <w:rFonts w:hAnsi="標楷體"/>
        </w:rPr>
        <w:t>長期以來求供倍數低於1，表示多人競爭一個職位，處於嚴重供過於求的情形，而此二類別職缺通常不須具備專業技能，顯示我國培育之青年就業能力不足，傾向競逐工作技能較低的職缺，呈現高學歷低就業及高失業低薪資的現象。</w:t>
      </w:r>
      <w:r w:rsidRPr="00AB3200">
        <w:rPr>
          <w:rFonts w:hAnsi="標楷體" w:hint="eastAsia"/>
          <w:szCs w:val="32"/>
        </w:rPr>
        <w:t>另依據行政院主計總處</w:t>
      </w:r>
      <w:proofErr w:type="gramStart"/>
      <w:r w:rsidRPr="00AB3200">
        <w:rPr>
          <w:rFonts w:hAnsi="標楷體" w:hint="eastAsia"/>
          <w:szCs w:val="32"/>
        </w:rPr>
        <w:t>102</w:t>
      </w:r>
      <w:proofErr w:type="gramEnd"/>
      <w:r w:rsidRPr="00AB3200">
        <w:rPr>
          <w:rFonts w:hAnsi="標楷體" w:hint="eastAsia"/>
          <w:szCs w:val="32"/>
        </w:rPr>
        <w:t>年度人力運用調查報告，青年尋職過程中，主要遭遇之困難為專長技能(含證照資格)不合，達38.1％，其中25至29歲失業者因專長技能不合而尋職困難亦達27.7％；若以學歷觀之，大學及以上失業者因專長技能不合而尋職困難，也高達34.5％。</w:t>
      </w:r>
      <w:bookmarkEnd w:id="160"/>
    </w:p>
    <w:p w:rsidR="00A6378A" w:rsidRPr="00AB3200" w:rsidRDefault="00A6378A" w:rsidP="00A6378A">
      <w:pPr>
        <w:pStyle w:val="3"/>
        <w:ind w:left="1418" w:hanging="709"/>
      </w:pPr>
      <w:bookmarkStart w:id="162" w:name="_Toc393464428"/>
      <w:r w:rsidRPr="00AB3200">
        <w:rPr>
          <w:rFonts w:hint="eastAsia"/>
        </w:rPr>
        <w:t>另依據主計總處人力運用調查，20至24歲失業者希望從事工作之職類以專技人員占35.42%最多，事務工作人員占21.50%次之，兩者合計占</w:t>
      </w:r>
      <w:proofErr w:type="gramStart"/>
      <w:r w:rsidRPr="00AB3200">
        <w:rPr>
          <w:rFonts w:hint="eastAsia"/>
        </w:rPr>
        <w:t>5成</w:t>
      </w:r>
      <w:proofErr w:type="gramEnd"/>
      <w:r w:rsidRPr="00AB3200">
        <w:rPr>
          <w:rFonts w:hint="eastAsia"/>
        </w:rPr>
        <w:t>7，25至29歲失業者亦以專技人員與事務工作人員居多，分別占39.01%與26.14%，兩者合計占</w:t>
      </w:r>
      <w:proofErr w:type="gramStart"/>
      <w:r w:rsidRPr="00AB3200">
        <w:rPr>
          <w:rFonts w:hint="eastAsia"/>
        </w:rPr>
        <w:t>6成</w:t>
      </w:r>
      <w:proofErr w:type="gramEnd"/>
      <w:r w:rsidRPr="00AB3200">
        <w:rPr>
          <w:rFonts w:hint="eastAsia"/>
        </w:rPr>
        <w:t>5。能否進入就業市場，取決於整體市場供需狀況，依臺灣地區缺工職類與失業者希望從事職類人數之相對倍數（= 該職類缺工人數 / 失業者希望從事該職類工作人數，倍數愈低表示失業者尋獲該職類工作之機會相對較低）觀察，102年青年失業者最想從事之專技人員為0.48，僅較98年金融海嘯期間高，顯示欲尋獲此類工作之機會漸呈減少；另事務工作</w:t>
      </w:r>
      <w:r w:rsidRPr="00AB3200">
        <w:rPr>
          <w:rFonts w:hint="eastAsia"/>
          <w:spacing w:val="-6"/>
        </w:rPr>
        <w:t>人員為0.15，明顯低於其他職類，</w:t>
      </w:r>
      <w:proofErr w:type="gramStart"/>
      <w:r w:rsidRPr="00AB3200">
        <w:rPr>
          <w:rFonts w:hint="eastAsia"/>
          <w:spacing w:val="-6"/>
        </w:rPr>
        <w:t>且同呈減少</w:t>
      </w:r>
      <w:proofErr w:type="gramEnd"/>
      <w:r w:rsidRPr="00AB3200">
        <w:rPr>
          <w:rFonts w:hint="eastAsia"/>
          <w:spacing w:val="-6"/>
        </w:rPr>
        <w:t>趨勢。</w:t>
      </w:r>
      <w:bookmarkEnd w:id="162"/>
    </w:p>
    <w:p w:rsidR="00A6378A" w:rsidRPr="00AB3200" w:rsidRDefault="00A6378A" w:rsidP="00A6378A">
      <w:pPr>
        <w:spacing w:line="300" w:lineRule="exact"/>
        <w:ind w:leftChars="450" w:left="1531"/>
        <w:jc w:val="center"/>
        <w:rPr>
          <w:sz w:val="24"/>
          <w:szCs w:val="24"/>
        </w:rPr>
      </w:pPr>
      <w:r w:rsidRPr="00AB3200">
        <w:rPr>
          <w:rFonts w:hint="eastAsia"/>
          <w:sz w:val="24"/>
          <w:szCs w:val="24"/>
        </w:rPr>
        <w:t>近年缺工職類與失業者希望從事職類人數相對倍數</w:t>
      </w:r>
    </w:p>
    <w:p w:rsidR="00A6378A" w:rsidRPr="00AB3200" w:rsidRDefault="00A6378A" w:rsidP="00A6378A">
      <w:pPr>
        <w:kinsoku w:val="0"/>
        <w:spacing w:line="240" w:lineRule="exact"/>
        <w:ind w:rightChars="19" w:right="65"/>
        <w:jc w:val="right"/>
        <w:rPr>
          <w:sz w:val="20"/>
        </w:rPr>
      </w:pPr>
      <w:r w:rsidRPr="00AB3200">
        <w:rPr>
          <w:rFonts w:hint="eastAsia"/>
          <w:sz w:val="20"/>
        </w:rPr>
        <w:t>單位：倍</w:t>
      </w:r>
    </w:p>
    <w:tbl>
      <w:tblPr>
        <w:tblW w:w="7655" w:type="dxa"/>
        <w:tblInd w:w="1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2106"/>
        <w:gridCol w:w="792"/>
        <w:gridCol w:w="793"/>
        <w:gridCol w:w="793"/>
        <w:gridCol w:w="792"/>
        <w:gridCol w:w="793"/>
        <w:gridCol w:w="793"/>
        <w:gridCol w:w="793"/>
      </w:tblGrid>
      <w:tr w:rsidR="00A6378A" w:rsidRPr="00AB3200" w:rsidTr="00A6378A">
        <w:trPr>
          <w:trHeight w:val="388"/>
        </w:trPr>
        <w:tc>
          <w:tcPr>
            <w:tcW w:w="2106" w:type="dxa"/>
            <w:vAlign w:val="center"/>
          </w:tcPr>
          <w:p w:rsidR="00A6378A" w:rsidRPr="00AB3200" w:rsidRDefault="00A6378A" w:rsidP="00360B7C">
            <w:pPr>
              <w:adjustRightInd w:val="0"/>
              <w:spacing w:line="220" w:lineRule="exact"/>
              <w:jc w:val="center"/>
              <w:rPr>
                <w:sz w:val="20"/>
              </w:rPr>
            </w:pPr>
          </w:p>
        </w:tc>
        <w:tc>
          <w:tcPr>
            <w:tcW w:w="792" w:type="dxa"/>
            <w:vAlign w:val="center"/>
          </w:tcPr>
          <w:p w:rsidR="00A6378A" w:rsidRPr="00AB3200" w:rsidRDefault="00A6378A" w:rsidP="00360B7C">
            <w:pPr>
              <w:adjustRightInd w:val="0"/>
              <w:spacing w:line="240" w:lineRule="exact"/>
              <w:jc w:val="center"/>
              <w:rPr>
                <w:rFonts w:hAnsi="標楷體"/>
                <w:sz w:val="20"/>
              </w:rPr>
            </w:pPr>
            <w:r w:rsidRPr="00AB3200">
              <w:rPr>
                <w:rFonts w:hAnsi="標楷體"/>
                <w:sz w:val="20"/>
              </w:rPr>
              <w:t>96</w:t>
            </w:r>
            <w:r w:rsidRPr="00AB3200">
              <w:rPr>
                <w:rFonts w:hAnsi="標楷體" w:hint="eastAsia"/>
                <w:sz w:val="20"/>
              </w:rPr>
              <w:t>年</w:t>
            </w:r>
          </w:p>
        </w:tc>
        <w:tc>
          <w:tcPr>
            <w:tcW w:w="793" w:type="dxa"/>
            <w:vAlign w:val="center"/>
          </w:tcPr>
          <w:p w:rsidR="00A6378A" w:rsidRPr="00AB3200" w:rsidRDefault="00A6378A" w:rsidP="00360B7C">
            <w:pPr>
              <w:adjustRightInd w:val="0"/>
              <w:spacing w:line="240" w:lineRule="exact"/>
              <w:jc w:val="center"/>
              <w:rPr>
                <w:rFonts w:hAnsi="標楷體"/>
                <w:sz w:val="20"/>
              </w:rPr>
            </w:pPr>
            <w:r w:rsidRPr="00AB3200">
              <w:rPr>
                <w:rFonts w:hAnsi="標楷體"/>
                <w:sz w:val="20"/>
              </w:rPr>
              <w:t>97</w:t>
            </w:r>
            <w:r w:rsidRPr="00AB3200">
              <w:rPr>
                <w:rFonts w:hAnsi="標楷體" w:hint="eastAsia"/>
                <w:sz w:val="20"/>
              </w:rPr>
              <w:t>年</w:t>
            </w:r>
          </w:p>
        </w:tc>
        <w:tc>
          <w:tcPr>
            <w:tcW w:w="793" w:type="dxa"/>
            <w:vAlign w:val="center"/>
          </w:tcPr>
          <w:p w:rsidR="00A6378A" w:rsidRPr="00AB3200" w:rsidRDefault="00A6378A" w:rsidP="00360B7C">
            <w:pPr>
              <w:adjustRightInd w:val="0"/>
              <w:spacing w:line="240" w:lineRule="exact"/>
              <w:jc w:val="center"/>
              <w:rPr>
                <w:spacing w:val="-20"/>
                <w:sz w:val="20"/>
              </w:rPr>
            </w:pPr>
            <w:r w:rsidRPr="00AB3200">
              <w:rPr>
                <w:rFonts w:hAnsi="標楷體"/>
                <w:sz w:val="20"/>
              </w:rPr>
              <w:t>98</w:t>
            </w:r>
            <w:r w:rsidRPr="00AB3200">
              <w:rPr>
                <w:rFonts w:hAnsi="標楷體" w:hint="eastAsia"/>
                <w:sz w:val="20"/>
              </w:rPr>
              <w:t>年</w:t>
            </w:r>
          </w:p>
        </w:tc>
        <w:tc>
          <w:tcPr>
            <w:tcW w:w="792" w:type="dxa"/>
            <w:vAlign w:val="center"/>
          </w:tcPr>
          <w:p w:rsidR="00A6378A" w:rsidRPr="00AB3200" w:rsidRDefault="00A6378A" w:rsidP="00360B7C">
            <w:pPr>
              <w:adjustRightInd w:val="0"/>
              <w:spacing w:line="240" w:lineRule="exact"/>
              <w:jc w:val="center"/>
              <w:rPr>
                <w:sz w:val="20"/>
              </w:rPr>
            </w:pPr>
            <w:r w:rsidRPr="00AB3200">
              <w:rPr>
                <w:rFonts w:hAnsi="標楷體"/>
                <w:sz w:val="20"/>
              </w:rPr>
              <w:t>99</w:t>
            </w:r>
            <w:r w:rsidRPr="00AB3200">
              <w:rPr>
                <w:rFonts w:hAnsi="標楷體" w:hint="eastAsia"/>
                <w:sz w:val="20"/>
              </w:rPr>
              <w:t>年</w:t>
            </w:r>
          </w:p>
        </w:tc>
        <w:tc>
          <w:tcPr>
            <w:tcW w:w="793" w:type="dxa"/>
            <w:tcMar>
              <w:top w:w="0" w:type="dxa"/>
              <w:left w:w="0" w:type="dxa"/>
              <w:bottom w:w="0" w:type="dxa"/>
              <w:right w:w="0" w:type="dxa"/>
            </w:tcMar>
            <w:vAlign w:val="center"/>
          </w:tcPr>
          <w:p w:rsidR="00A6378A" w:rsidRPr="00AB3200" w:rsidRDefault="00A6378A" w:rsidP="00360B7C">
            <w:pPr>
              <w:adjustRightInd w:val="0"/>
              <w:spacing w:line="240" w:lineRule="exact"/>
              <w:jc w:val="center"/>
              <w:rPr>
                <w:rFonts w:hAnsi="標楷體"/>
                <w:sz w:val="20"/>
              </w:rPr>
            </w:pPr>
            <w:r w:rsidRPr="00AB3200">
              <w:rPr>
                <w:rFonts w:hAnsi="標楷體"/>
                <w:sz w:val="20"/>
              </w:rPr>
              <w:t>100</w:t>
            </w:r>
            <w:r w:rsidRPr="00AB3200">
              <w:rPr>
                <w:rFonts w:hAnsi="標楷體" w:hint="eastAsia"/>
                <w:sz w:val="20"/>
              </w:rPr>
              <w:t>年</w:t>
            </w:r>
          </w:p>
        </w:tc>
        <w:tc>
          <w:tcPr>
            <w:tcW w:w="793" w:type="dxa"/>
            <w:tcMar>
              <w:top w:w="0" w:type="dxa"/>
              <w:left w:w="0" w:type="dxa"/>
              <w:bottom w:w="0" w:type="dxa"/>
              <w:right w:w="0" w:type="dxa"/>
            </w:tcMar>
            <w:vAlign w:val="center"/>
          </w:tcPr>
          <w:p w:rsidR="00A6378A" w:rsidRPr="00AB3200" w:rsidRDefault="00A6378A" w:rsidP="00360B7C">
            <w:pPr>
              <w:adjustRightInd w:val="0"/>
              <w:spacing w:line="240" w:lineRule="exact"/>
              <w:jc w:val="center"/>
              <w:rPr>
                <w:rFonts w:hAnsi="標楷體"/>
                <w:sz w:val="20"/>
              </w:rPr>
            </w:pPr>
            <w:r w:rsidRPr="00AB3200">
              <w:rPr>
                <w:rFonts w:hAnsi="標楷體"/>
                <w:sz w:val="20"/>
              </w:rPr>
              <w:t>101</w:t>
            </w:r>
            <w:r w:rsidRPr="00AB3200">
              <w:rPr>
                <w:rFonts w:hAnsi="標楷體" w:hint="eastAsia"/>
                <w:sz w:val="20"/>
              </w:rPr>
              <w:t>年</w:t>
            </w:r>
          </w:p>
        </w:tc>
        <w:tc>
          <w:tcPr>
            <w:tcW w:w="793" w:type="dxa"/>
            <w:vAlign w:val="center"/>
          </w:tcPr>
          <w:p w:rsidR="00A6378A" w:rsidRPr="00AB3200" w:rsidRDefault="00A6378A" w:rsidP="00360B7C">
            <w:pPr>
              <w:adjustRightInd w:val="0"/>
              <w:spacing w:line="240" w:lineRule="exact"/>
              <w:jc w:val="center"/>
              <w:rPr>
                <w:rFonts w:hAnsi="標楷體"/>
                <w:sz w:val="20"/>
              </w:rPr>
            </w:pPr>
            <w:r w:rsidRPr="00AB3200">
              <w:rPr>
                <w:rFonts w:hAnsi="標楷體"/>
                <w:sz w:val="20"/>
              </w:rPr>
              <w:t>102</w:t>
            </w:r>
            <w:r w:rsidRPr="00AB3200">
              <w:rPr>
                <w:rFonts w:hAnsi="標楷體" w:hint="eastAsia"/>
                <w:sz w:val="20"/>
              </w:rPr>
              <w:t>年</w:t>
            </w:r>
          </w:p>
        </w:tc>
      </w:tr>
      <w:tr w:rsidR="00A6378A" w:rsidRPr="00AB3200" w:rsidTr="00A6378A">
        <w:trPr>
          <w:trHeight w:hRule="exact" w:val="312"/>
        </w:trPr>
        <w:tc>
          <w:tcPr>
            <w:tcW w:w="2106" w:type="dxa"/>
            <w:vAlign w:val="center"/>
          </w:tcPr>
          <w:p w:rsidR="00A6378A" w:rsidRPr="00AB3200" w:rsidRDefault="00A6378A" w:rsidP="00360B7C">
            <w:pPr>
              <w:adjustRightInd w:val="0"/>
              <w:spacing w:line="240" w:lineRule="exact"/>
              <w:rPr>
                <w:sz w:val="20"/>
              </w:rPr>
            </w:pPr>
            <w:r w:rsidRPr="00AB3200">
              <w:rPr>
                <w:rFonts w:hAnsi="標楷體" w:hint="eastAsia"/>
                <w:sz w:val="20"/>
              </w:rPr>
              <w:t>主管及監督人員</w:t>
            </w:r>
          </w:p>
        </w:tc>
        <w:tc>
          <w:tcPr>
            <w:tcW w:w="792" w:type="dxa"/>
            <w:vAlign w:val="center"/>
          </w:tcPr>
          <w:p w:rsidR="00A6378A" w:rsidRPr="00AB3200" w:rsidRDefault="00A6378A" w:rsidP="00360B7C">
            <w:pPr>
              <w:spacing w:line="240" w:lineRule="exact"/>
              <w:jc w:val="right"/>
              <w:rPr>
                <w:sz w:val="20"/>
              </w:rPr>
            </w:pPr>
            <w:r w:rsidRPr="00AB3200">
              <w:rPr>
                <w:sz w:val="20"/>
              </w:rPr>
              <w:t>0.53</w:t>
            </w:r>
          </w:p>
        </w:tc>
        <w:tc>
          <w:tcPr>
            <w:tcW w:w="793" w:type="dxa"/>
            <w:vAlign w:val="center"/>
          </w:tcPr>
          <w:p w:rsidR="00A6378A" w:rsidRPr="00AB3200" w:rsidRDefault="00A6378A" w:rsidP="00360B7C">
            <w:pPr>
              <w:spacing w:line="240" w:lineRule="exact"/>
              <w:jc w:val="right"/>
              <w:rPr>
                <w:sz w:val="20"/>
              </w:rPr>
            </w:pPr>
            <w:r w:rsidRPr="00AB3200">
              <w:rPr>
                <w:sz w:val="20"/>
              </w:rPr>
              <w:t>0.67</w:t>
            </w:r>
          </w:p>
        </w:tc>
        <w:tc>
          <w:tcPr>
            <w:tcW w:w="793" w:type="dxa"/>
            <w:vAlign w:val="center"/>
          </w:tcPr>
          <w:p w:rsidR="00A6378A" w:rsidRPr="00AB3200" w:rsidRDefault="00A6378A" w:rsidP="00360B7C">
            <w:pPr>
              <w:spacing w:line="240" w:lineRule="exact"/>
              <w:jc w:val="right"/>
              <w:rPr>
                <w:sz w:val="20"/>
              </w:rPr>
            </w:pPr>
            <w:r w:rsidRPr="00AB3200">
              <w:rPr>
                <w:sz w:val="20"/>
              </w:rPr>
              <w:t>0.45</w:t>
            </w:r>
          </w:p>
        </w:tc>
        <w:tc>
          <w:tcPr>
            <w:tcW w:w="792" w:type="dxa"/>
            <w:vAlign w:val="center"/>
          </w:tcPr>
          <w:p w:rsidR="00A6378A" w:rsidRPr="00AB3200" w:rsidRDefault="00A6378A" w:rsidP="00360B7C">
            <w:pPr>
              <w:spacing w:line="240" w:lineRule="exact"/>
              <w:jc w:val="right"/>
              <w:rPr>
                <w:sz w:val="20"/>
              </w:rPr>
            </w:pPr>
            <w:r w:rsidRPr="00AB3200">
              <w:rPr>
                <w:sz w:val="20"/>
              </w:rPr>
              <w:t>0.59</w:t>
            </w:r>
          </w:p>
        </w:tc>
        <w:tc>
          <w:tcPr>
            <w:tcW w:w="793" w:type="dxa"/>
            <w:vAlign w:val="center"/>
          </w:tcPr>
          <w:p w:rsidR="00A6378A" w:rsidRPr="00AB3200" w:rsidRDefault="00A6378A" w:rsidP="00360B7C">
            <w:pPr>
              <w:spacing w:line="240" w:lineRule="exact"/>
              <w:jc w:val="right"/>
              <w:rPr>
                <w:sz w:val="20"/>
              </w:rPr>
            </w:pPr>
            <w:r w:rsidRPr="00AB3200">
              <w:rPr>
                <w:sz w:val="20"/>
              </w:rPr>
              <w:t>0.66</w:t>
            </w:r>
          </w:p>
        </w:tc>
        <w:tc>
          <w:tcPr>
            <w:tcW w:w="793" w:type="dxa"/>
            <w:vAlign w:val="center"/>
          </w:tcPr>
          <w:p w:rsidR="00A6378A" w:rsidRPr="00AB3200" w:rsidRDefault="00A6378A" w:rsidP="00360B7C">
            <w:pPr>
              <w:spacing w:line="240" w:lineRule="exact"/>
              <w:jc w:val="right"/>
              <w:rPr>
                <w:sz w:val="20"/>
              </w:rPr>
            </w:pPr>
            <w:r w:rsidRPr="00AB3200">
              <w:rPr>
                <w:sz w:val="20"/>
              </w:rPr>
              <w:t>1.27</w:t>
            </w:r>
          </w:p>
        </w:tc>
        <w:tc>
          <w:tcPr>
            <w:tcW w:w="793" w:type="dxa"/>
            <w:vAlign w:val="center"/>
          </w:tcPr>
          <w:p w:rsidR="00A6378A" w:rsidRPr="00AB3200" w:rsidRDefault="00A6378A" w:rsidP="00360B7C">
            <w:pPr>
              <w:spacing w:line="240" w:lineRule="exact"/>
              <w:jc w:val="right"/>
              <w:rPr>
                <w:sz w:val="20"/>
              </w:rPr>
            </w:pPr>
            <w:r w:rsidRPr="00AB3200">
              <w:rPr>
                <w:sz w:val="20"/>
              </w:rPr>
              <w:t>0.59</w:t>
            </w:r>
          </w:p>
        </w:tc>
      </w:tr>
      <w:tr w:rsidR="00A6378A" w:rsidRPr="00AB3200" w:rsidTr="00A6378A">
        <w:trPr>
          <w:trHeight w:hRule="exact" w:val="342"/>
        </w:trPr>
        <w:tc>
          <w:tcPr>
            <w:tcW w:w="2106" w:type="dxa"/>
            <w:vAlign w:val="center"/>
          </w:tcPr>
          <w:p w:rsidR="00A6378A" w:rsidRPr="00AB3200" w:rsidRDefault="00A6378A" w:rsidP="00360B7C">
            <w:pPr>
              <w:adjustRightInd w:val="0"/>
              <w:spacing w:line="240" w:lineRule="exact"/>
              <w:rPr>
                <w:rFonts w:hAnsi="標楷體"/>
                <w:sz w:val="20"/>
              </w:rPr>
            </w:pPr>
            <w:r w:rsidRPr="00AB3200">
              <w:rPr>
                <w:rFonts w:hAnsi="標楷體" w:hint="eastAsia"/>
                <w:sz w:val="20"/>
              </w:rPr>
              <w:t>專技人員</w:t>
            </w:r>
          </w:p>
        </w:tc>
        <w:tc>
          <w:tcPr>
            <w:tcW w:w="792" w:type="dxa"/>
            <w:vAlign w:val="center"/>
          </w:tcPr>
          <w:p w:rsidR="00A6378A" w:rsidRPr="00AB3200" w:rsidRDefault="00A6378A" w:rsidP="00360B7C">
            <w:pPr>
              <w:spacing w:line="240" w:lineRule="exact"/>
              <w:jc w:val="right"/>
              <w:rPr>
                <w:sz w:val="20"/>
              </w:rPr>
            </w:pPr>
            <w:r w:rsidRPr="00AB3200">
              <w:rPr>
                <w:sz w:val="20"/>
              </w:rPr>
              <w:t>0.56</w:t>
            </w:r>
          </w:p>
        </w:tc>
        <w:tc>
          <w:tcPr>
            <w:tcW w:w="793" w:type="dxa"/>
            <w:vAlign w:val="center"/>
          </w:tcPr>
          <w:p w:rsidR="00A6378A" w:rsidRPr="00AB3200" w:rsidRDefault="00A6378A" w:rsidP="00360B7C">
            <w:pPr>
              <w:spacing w:line="240" w:lineRule="exact"/>
              <w:jc w:val="right"/>
              <w:rPr>
                <w:sz w:val="20"/>
              </w:rPr>
            </w:pPr>
            <w:r w:rsidRPr="00AB3200">
              <w:rPr>
                <w:sz w:val="20"/>
              </w:rPr>
              <w:t>0.53</w:t>
            </w:r>
          </w:p>
        </w:tc>
        <w:tc>
          <w:tcPr>
            <w:tcW w:w="793" w:type="dxa"/>
            <w:vAlign w:val="center"/>
          </w:tcPr>
          <w:p w:rsidR="00A6378A" w:rsidRPr="00AB3200" w:rsidRDefault="00A6378A" w:rsidP="00360B7C">
            <w:pPr>
              <w:spacing w:line="240" w:lineRule="exact"/>
              <w:jc w:val="right"/>
              <w:rPr>
                <w:sz w:val="20"/>
              </w:rPr>
            </w:pPr>
            <w:r w:rsidRPr="00AB3200">
              <w:rPr>
                <w:sz w:val="20"/>
              </w:rPr>
              <w:t>0.40</w:t>
            </w:r>
          </w:p>
        </w:tc>
        <w:tc>
          <w:tcPr>
            <w:tcW w:w="792" w:type="dxa"/>
            <w:vAlign w:val="center"/>
          </w:tcPr>
          <w:p w:rsidR="00A6378A" w:rsidRPr="00AB3200" w:rsidRDefault="00A6378A" w:rsidP="00360B7C">
            <w:pPr>
              <w:spacing w:line="240" w:lineRule="exact"/>
              <w:jc w:val="right"/>
              <w:rPr>
                <w:sz w:val="20"/>
              </w:rPr>
            </w:pPr>
            <w:r w:rsidRPr="00AB3200">
              <w:rPr>
                <w:sz w:val="20"/>
              </w:rPr>
              <w:t>0.49</w:t>
            </w:r>
          </w:p>
        </w:tc>
        <w:tc>
          <w:tcPr>
            <w:tcW w:w="793" w:type="dxa"/>
            <w:vAlign w:val="center"/>
          </w:tcPr>
          <w:p w:rsidR="00A6378A" w:rsidRPr="00AB3200" w:rsidRDefault="00A6378A" w:rsidP="00360B7C">
            <w:pPr>
              <w:spacing w:line="240" w:lineRule="exact"/>
              <w:jc w:val="right"/>
              <w:rPr>
                <w:sz w:val="20"/>
              </w:rPr>
            </w:pPr>
            <w:r w:rsidRPr="00AB3200">
              <w:rPr>
                <w:sz w:val="20"/>
              </w:rPr>
              <w:t>0.48</w:t>
            </w:r>
          </w:p>
        </w:tc>
        <w:tc>
          <w:tcPr>
            <w:tcW w:w="793" w:type="dxa"/>
            <w:vAlign w:val="center"/>
          </w:tcPr>
          <w:p w:rsidR="00A6378A" w:rsidRPr="00AB3200" w:rsidRDefault="00A6378A" w:rsidP="00360B7C">
            <w:pPr>
              <w:spacing w:line="240" w:lineRule="exact"/>
              <w:jc w:val="right"/>
              <w:rPr>
                <w:sz w:val="20"/>
              </w:rPr>
            </w:pPr>
            <w:r w:rsidRPr="00AB3200">
              <w:rPr>
                <w:sz w:val="20"/>
              </w:rPr>
              <w:t>0.50</w:t>
            </w:r>
          </w:p>
        </w:tc>
        <w:tc>
          <w:tcPr>
            <w:tcW w:w="793" w:type="dxa"/>
            <w:vAlign w:val="center"/>
          </w:tcPr>
          <w:p w:rsidR="00A6378A" w:rsidRPr="00AB3200" w:rsidRDefault="00A6378A" w:rsidP="00360B7C">
            <w:pPr>
              <w:spacing w:line="240" w:lineRule="exact"/>
              <w:jc w:val="right"/>
              <w:rPr>
                <w:sz w:val="20"/>
              </w:rPr>
            </w:pPr>
            <w:r w:rsidRPr="00AB3200">
              <w:rPr>
                <w:sz w:val="20"/>
              </w:rPr>
              <w:t>0.48</w:t>
            </w:r>
          </w:p>
        </w:tc>
      </w:tr>
      <w:tr w:rsidR="00A6378A" w:rsidRPr="00AB3200" w:rsidTr="00A6378A">
        <w:trPr>
          <w:trHeight w:hRule="exact" w:val="342"/>
        </w:trPr>
        <w:tc>
          <w:tcPr>
            <w:tcW w:w="2106" w:type="dxa"/>
            <w:vAlign w:val="center"/>
          </w:tcPr>
          <w:p w:rsidR="00A6378A" w:rsidRPr="00AB3200" w:rsidRDefault="00A6378A" w:rsidP="00360B7C">
            <w:pPr>
              <w:adjustRightInd w:val="0"/>
              <w:spacing w:line="240" w:lineRule="exact"/>
              <w:rPr>
                <w:rFonts w:hAnsi="標楷體"/>
                <w:sz w:val="20"/>
              </w:rPr>
            </w:pPr>
            <w:r w:rsidRPr="00AB3200">
              <w:rPr>
                <w:rFonts w:hAnsi="標楷體" w:hint="eastAsia"/>
                <w:sz w:val="20"/>
              </w:rPr>
              <w:t>事務工作人員</w:t>
            </w:r>
          </w:p>
        </w:tc>
        <w:tc>
          <w:tcPr>
            <w:tcW w:w="792" w:type="dxa"/>
            <w:vAlign w:val="center"/>
          </w:tcPr>
          <w:p w:rsidR="00A6378A" w:rsidRPr="00AB3200" w:rsidRDefault="00A6378A" w:rsidP="00360B7C">
            <w:pPr>
              <w:spacing w:line="240" w:lineRule="exact"/>
              <w:jc w:val="right"/>
              <w:rPr>
                <w:sz w:val="20"/>
              </w:rPr>
            </w:pPr>
            <w:r w:rsidRPr="00AB3200">
              <w:rPr>
                <w:sz w:val="20"/>
              </w:rPr>
              <w:t>0.18</w:t>
            </w:r>
          </w:p>
        </w:tc>
        <w:tc>
          <w:tcPr>
            <w:tcW w:w="793" w:type="dxa"/>
            <w:vAlign w:val="center"/>
          </w:tcPr>
          <w:p w:rsidR="00A6378A" w:rsidRPr="00AB3200" w:rsidRDefault="00A6378A" w:rsidP="00360B7C">
            <w:pPr>
              <w:spacing w:line="240" w:lineRule="exact"/>
              <w:jc w:val="right"/>
              <w:rPr>
                <w:sz w:val="20"/>
              </w:rPr>
            </w:pPr>
            <w:r w:rsidRPr="00AB3200">
              <w:rPr>
                <w:sz w:val="20"/>
              </w:rPr>
              <w:t>0.12</w:t>
            </w:r>
          </w:p>
        </w:tc>
        <w:tc>
          <w:tcPr>
            <w:tcW w:w="793" w:type="dxa"/>
            <w:vAlign w:val="center"/>
          </w:tcPr>
          <w:p w:rsidR="00A6378A" w:rsidRPr="00AB3200" w:rsidRDefault="00A6378A" w:rsidP="00360B7C">
            <w:pPr>
              <w:spacing w:line="240" w:lineRule="exact"/>
              <w:jc w:val="right"/>
              <w:rPr>
                <w:sz w:val="20"/>
              </w:rPr>
            </w:pPr>
            <w:r w:rsidRPr="00AB3200">
              <w:rPr>
                <w:sz w:val="20"/>
              </w:rPr>
              <w:t>0.08</w:t>
            </w:r>
          </w:p>
        </w:tc>
        <w:tc>
          <w:tcPr>
            <w:tcW w:w="792" w:type="dxa"/>
            <w:vAlign w:val="center"/>
          </w:tcPr>
          <w:p w:rsidR="00A6378A" w:rsidRPr="00AB3200" w:rsidRDefault="00A6378A" w:rsidP="00360B7C">
            <w:pPr>
              <w:spacing w:line="240" w:lineRule="exact"/>
              <w:jc w:val="right"/>
              <w:rPr>
                <w:sz w:val="20"/>
              </w:rPr>
            </w:pPr>
            <w:r w:rsidRPr="00AB3200">
              <w:rPr>
                <w:sz w:val="20"/>
              </w:rPr>
              <w:t>0.13</w:t>
            </w:r>
          </w:p>
        </w:tc>
        <w:tc>
          <w:tcPr>
            <w:tcW w:w="793" w:type="dxa"/>
            <w:vAlign w:val="center"/>
          </w:tcPr>
          <w:p w:rsidR="00A6378A" w:rsidRPr="00AB3200" w:rsidRDefault="00A6378A" w:rsidP="00360B7C">
            <w:pPr>
              <w:spacing w:line="240" w:lineRule="exact"/>
              <w:jc w:val="right"/>
              <w:rPr>
                <w:sz w:val="20"/>
              </w:rPr>
            </w:pPr>
            <w:r w:rsidRPr="00AB3200">
              <w:rPr>
                <w:sz w:val="20"/>
              </w:rPr>
              <w:t>0.14</w:t>
            </w:r>
          </w:p>
        </w:tc>
        <w:tc>
          <w:tcPr>
            <w:tcW w:w="793" w:type="dxa"/>
            <w:vAlign w:val="center"/>
          </w:tcPr>
          <w:p w:rsidR="00A6378A" w:rsidRPr="00AB3200" w:rsidRDefault="00A6378A" w:rsidP="00360B7C">
            <w:pPr>
              <w:spacing w:line="240" w:lineRule="exact"/>
              <w:jc w:val="right"/>
              <w:rPr>
                <w:sz w:val="20"/>
              </w:rPr>
            </w:pPr>
            <w:r w:rsidRPr="00AB3200">
              <w:rPr>
                <w:sz w:val="20"/>
              </w:rPr>
              <w:t>0.12</w:t>
            </w:r>
          </w:p>
        </w:tc>
        <w:tc>
          <w:tcPr>
            <w:tcW w:w="793" w:type="dxa"/>
            <w:vAlign w:val="center"/>
          </w:tcPr>
          <w:p w:rsidR="00A6378A" w:rsidRPr="00AB3200" w:rsidRDefault="00A6378A" w:rsidP="00360B7C">
            <w:pPr>
              <w:spacing w:line="240" w:lineRule="exact"/>
              <w:jc w:val="right"/>
              <w:rPr>
                <w:sz w:val="20"/>
              </w:rPr>
            </w:pPr>
            <w:r w:rsidRPr="00AB3200">
              <w:rPr>
                <w:sz w:val="20"/>
              </w:rPr>
              <w:t>0.15</w:t>
            </w:r>
          </w:p>
        </w:tc>
      </w:tr>
      <w:tr w:rsidR="00A6378A" w:rsidRPr="00AB3200" w:rsidTr="00A6378A">
        <w:trPr>
          <w:trHeight w:hRule="exact" w:val="342"/>
        </w:trPr>
        <w:tc>
          <w:tcPr>
            <w:tcW w:w="2106" w:type="dxa"/>
            <w:vAlign w:val="center"/>
          </w:tcPr>
          <w:p w:rsidR="00A6378A" w:rsidRPr="00AB3200" w:rsidRDefault="00A6378A" w:rsidP="00360B7C">
            <w:pPr>
              <w:adjustRightInd w:val="0"/>
              <w:spacing w:line="240" w:lineRule="exact"/>
              <w:rPr>
                <w:rFonts w:hAnsi="標楷體"/>
                <w:sz w:val="20"/>
              </w:rPr>
            </w:pPr>
            <w:r w:rsidRPr="00AB3200">
              <w:rPr>
                <w:rFonts w:hAnsi="標楷體" w:hint="eastAsia"/>
                <w:sz w:val="20"/>
              </w:rPr>
              <w:lastRenderedPageBreak/>
              <w:t>服務工作人員</w:t>
            </w:r>
          </w:p>
        </w:tc>
        <w:tc>
          <w:tcPr>
            <w:tcW w:w="792" w:type="dxa"/>
            <w:vAlign w:val="center"/>
          </w:tcPr>
          <w:p w:rsidR="00A6378A" w:rsidRPr="00AB3200" w:rsidRDefault="00A6378A" w:rsidP="00360B7C">
            <w:pPr>
              <w:spacing w:line="240" w:lineRule="exact"/>
              <w:jc w:val="right"/>
              <w:rPr>
                <w:sz w:val="20"/>
              </w:rPr>
            </w:pPr>
            <w:r w:rsidRPr="00AB3200">
              <w:rPr>
                <w:sz w:val="20"/>
              </w:rPr>
              <w:t>0.26</w:t>
            </w:r>
          </w:p>
        </w:tc>
        <w:tc>
          <w:tcPr>
            <w:tcW w:w="793" w:type="dxa"/>
            <w:vAlign w:val="center"/>
          </w:tcPr>
          <w:p w:rsidR="00A6378A" w:rsidRPr="00AB3200" w:rsidRDefault="00A6378A" w:rsidP="00360B7C">
            <w:pPr>
              <w:spacing w:line="240" w:lineRule="exact"/>
              <w:jc w:val="right"/>
              <w:rPr>
                <w:sz w:val="20"/>
              </w:rPr>
            </w:pPr>
            <w:r w:rsidRPr="00AB3200">
              <w:rPr>
                <w:sz w:val="20"/>
              </w:rPr>
              <w:t>0.21</w:t>
            </w:r>
          </w:p>
        </w:tc>
        <w:tc>
          <w:tcPr>
            <w:tcW w:w="793" w:type="dxa"/>
            <w:vAlign w:val="center"/>
          </w:tcPr>
          <w:p w:rsidR="00A6378A" w:rsidRPr="00AB3200" w:rsidRDefault="00A6378A" w:rsidP="00360B7C">
            <w:pPr>
              <w:spacing w:line="240" w:lineRule="exact"/>
              <w:jc w:val="right"/>
              <w:rPr>
                <w:sz w:val="20"/>
              </w:rPr>
            </w:pPr>
            <w:r w:rsidRPr="00AB3200">
              <w:rPr>
                <w:sz w:val="20"/>
              </w:rPr>
              <w:t>0.11</w:t>
            </w:r>
          </w:p>
        </w:tc>
        <w:tc>
          <w:tcPr>
            <w:tcW w:w="792" w:type="dxa"/>
            <w:vAlign w:val="center"/>
          </w:tcPr>
          <w:p w:rsidR="00A6378A" w:rsidRPr="00AB3200" w:rsidRDefault="00A6378A" w:rsidP="00360B7C">
            <w:pPr>
              <w:spacing w:line="240" w:lineRule="exact"/>
              <w:jc w:val="right"/>
              <w:rPr>
                <w:sz w:val="20"/>
              </w:rPr>
            </w:pPr>
            <w:r w:rsidRPr="00AB3200">
              <w:rPr>
                <w:sz w:val="20"/>
              </w:rPr>
              <w:t>0.27</w:t>
            </w:r>
          </w:p>
        </w:tc>
        <w:tc>
          <w:tcPr>
            <w:tcW w:w="793" w:type="dxa"/>
            <w:vAlign w:val="center"/>
          </w:tcPr>
          <w:p w:rsidR="00A6378A" w:rsidRPr="00AB3200" w:rsidRDefault="00A6378A" w:rsidP="00360B7C">
            <w:pPr>
              <w:spacing w:line="240" w:lineRule="exact"/>
              <w:jc w:val="right"/>
              <w:rPr>
                <w:sz w:val="20"/>
              </w:rPr>
            </w:pPr>
            <w:r w:rsidRPr="00AB3200">
              <w:rPr>
                <w:sz w:val="20"/>
              </w:rPr>
              <w:t>0.35</w:t>
            </w:r>
          </w:p>
        </w:tc>
        <w:tc>
          <w:tcPr>
            <w:tcW w:w="793" w:type="dxa"/>
            <w:vAlign w:val="center"/>
          </w:tcPr>
          <w:p w:rsidR="00A6378A" w:rsidRPr="00AB3200" w:rsidRDefault="00A6378A" w:rsidP="00360B7C">
            <w:pPr>
              <w:spacing w:line="240" w:lineRule="exact"/>
              <w:jc w:val="right"/>
              <w:rPr>
                <w:sz w:val="20"/>
              </w:rPr>
            </w:pPr>
            <w:r w:rsidRPr="00AB3200">
              <w:rPr>
                <w:sz w:val="20"/>
              </w:rPr>
              <w:t>0.35</w:t>
            </w:r>
          </w:p>
        </w:tc>
        <w:tc>
          <w:tcPr>
            <w:tcW w:w="793" w:type="dxa"/>
            <w:vAlign w:val="center"/>
          </w:tcPr>
          <w:p w:rsidR="00A6378A" w:rsidRPr="00AB3200" w:rsidRDefault="00A6378A" w:rsidP="00360B7C">
            <w:pPr>
              <w:spacing w:line="240" w:lineRule="exact"/>
              <w:jc w:val="right"/>
              <w:rPr>
                <w:sz w:val="20"/>
              </w:rPr>
            </w:pPr>
            <w:r w:rsidRPr="00AB3200">
              <w:rPr>
                <w:sz w:val="20"/>
              </w:rPr>
              <w:t>0.35</w:t>
            </w:r>
          </w:p>
        </w:tc>
      </w:tr>
      <w:tr w:rsidR="00A6378A" w:rsidRPr="00AB3200" w:rsidTr="00A6378A">
        <w:trPr>
          <w:trHeight w:hRule="exact" w:val="342"/>
        </w:trPr>
        <w:tc>
          <w:tcPr>
            <w:tcW w:w="2106" w:type="dxa"/>
            <w:vAlign w:val="center"/>
          </w:tcPr>
          <w:p w:rsidR="00A6378A" w:rsidRPr="00AB3200" w:rsidRDefault="00A6378A" w:rsidP="00360B7C">
            <w:pPr>
              <w:adjustRightInd w:val="0"/>
              <w:spacing w:line="240" w:lineRule="exact"/>
              <w:rPr>
                <w:rFonts w:hAnsi="標楷體"/>
                <w:sz w:val="20"/>
              </w:rPr>
            </w:pPr>
            <w:r w:rsidRPr="00AB3200">
              <w:rPr>
                <w:rFonts w:hAnsi="標楷體" w:hint="eastAsia"/>
                <w:sz w:val="20"/>
              </w:rPr>
              <w:t>生產操作及勞力工</w:t>
            </w:r>
          </w:p>
        </w:tc>
        <w:tc>
          <w:tcPr>
            <w:tcW w:w="792" w:type="dxa"/>
            <w:vAlign w:val="center"/>
          </w:tcPr>
          <w:p w:rsidR="00A6378A" w:rsidRPr="00AB3200" w:rsidRDefault="00A6378A" w:rsidP="00360B7C">
            <w:pPr>
              <w:spacing w:line="240" w:lineRule="exact"/>
              <w:jc w:val="right"/>
              <w:rPr>
                <w:sz w:val="20"/>
              </w:rPr>
            </w:pPr>
            <w:r w:rsidRPr="00AB3200">
              <w:rPr>
                <w:sz w:val="20"/>
              </w:rPr>
              <w:t>0.37</w:t>
            </w:r>
          </w:p>
        </w:tc>
        <w:tc>
          <w:tcPr>
            <w:tcW w:w="793" w:type="dxa"/>
            <w:vAlign w:val="center"/>
          </w:tcPr>
          <w:p w:rsidR="00A6378A" w:rsidRPr="00AB3200" w:rsidRDefault="00A6378A" w:rsidP="00360B7C">
            <w:pPr>
              <w:spacing w:line="240" w:lineRule="exact"/>
              <w:jc w:val="right"/>
              <w:rPr>
                <w:sz w:val="20"/>
              </w:rPr>
            </w:pPr>
            <w:r w:rsidRPr="00AB3200">
              <w:rPr>
                <w:sz w:val="20"/>
              </w:rPr>
              <w:t>0.32</w:t>
            </w:r>
          </w:p>
        </w:tc>
        <w:tc>
          <w:tcPr>
            <w:tcW w:w="793" w:type="dxa"/>
            <w:vAlign w:val="center"/>
          </w:tcPr>
          <w:p w:rsidR="00A6378A" w:rsidRPr="00AB3200" w:rsidRDefault="00A6378A" w:rsidP="00360B7C">
            <w:pPr>
              <w:spacing w:line="240" w:lineRule="exact"/>
              <w:jc w:val="right"/>
              <w:rPr>
                <w:sz w:val="20"/>
              </w:rPr>
            </w:pPr>
            <w:r w:rsidRPr="00AB3200">
              <w:rPr>
                <w:sz w:val="20"/>
              </w:rPr>
              <w:t>0.17</w:t>
            </w:r>
          </w:p>
        </w:tc>
        <w:tc>
          <w:tcPr>
            <w:tcW w:w="792" w:type="dxa"/>
            <w:vAlign w:val="center"/>
          </w:tcPr>
          <w:p w:rsidR="00A6378A" w:rsidRPr="00AB3200" w:rsidRDefault="00A6378A" w:rsidP="00360B7C">
            <w:pPr>
              <w:spacing w:line="240" w:lineRule="exact"/>
              <w:jc w:val="right"/>
              <w:rPr>
                <w:sz w:val="20"/>
              </w:rPr>
            </w:pPr>
            <w:r w:rsidRPr="00AB3200">
              <w:rPr>
                <w:sz w:val="20"/>
              </w:rPr>
              <w:t>0.35</w:t>
            </w:r>
          </w:p>
        </w:tc>
        <w:tc>
          <w:tcPr>
            <w:tcW w:w="793" w:type="dxa"/>
            <w:vAlign w:val="center"/>
          </w:tcPr>
          <w:p w:rsidR="00A6378A" w:rsidRPr="00AB3200" w:rsidRDefault="00A6378A" w:rsidP="00360B7C">
            <w:pPr>
              <w:spacing w:line="240" w:lineRule="exact"/>
              <w:jc w:val="right"/>
              <w:rPr>
                <w:sz w:val="20"/>
              </w:rPr>
            </w:pPr>
            <w:r w:rsidRPr="00AB3200">
              <w:rPr>
                <w:sz w:val="20"/>
              </w:rPr>
              <w:t>0.52</w:t>
            </w:r>
          </w:p>
        </w:tc>
        <w:tc>
          <w:tcPr>
            <w:tcW w:w="793" w:type="dxa"/>
            <w:vAlign w:val="center"/>
          </w:tcPr>
          <w:p w:rsidR="00A6378A" w:rsidRPr="00AB3200" w:rsidRDefault="00A6378A" w:rsidP="00360B7C">
            <w:pPr>
              <w:spacing w:line="240" w:lineRule="exact"/>
              <w:jc w:val="right"/>
              <w:rPr>
                <w:sz w:val="20"/>
              </w:rPr>
            </w:pPr>
            <w:r w:rsidRPr="00AB3200">
              <w:rPr>
                <w:sz w:val="20"/>
              </w:rPr>
              <w:t>0.43</w:t>
            </w:r>
          </w:p>
        </w:tc>
        <w:tc>
          <w:tcPr>
            <w:tcW w:w="793" w:type="dxa"/>
            <w:vAlign w:val="center"/>
          </w:tcPr>
          <w:p w:rsidR="00A6378A" w:rsidRPr="00AB3200" w:rsidRDefault="00A6378A" w:rsidP="00360B7C">
            <w:pPr>
              <w:spacing w:line="240" w:lineRule="exact"/>
              <w:jc w:val="right"/>
              <w:rPr>
                <w:sz w:val="20"/>
              </w:rPr>
            </w:pPr>
            <w:r w:rsidRPr="00AB3200">
              <w:rPr>
                <w:sz w:val="20"/>
              </w:rPr>
              <w:t>0.50</w:t>
            </w:r>
          </w:p>
        </w:tc>
      </w:tr>
    </w:tbl>
    <w:p w:rsidR="00A6378A" w:rsidRPr="00AB3200" w:rsidRDefault="00A6378A" w:rsidP="00A6378A">
      <w:pPr>
        <w:pStyle w:val="3"/>
        <w:numPr>
          <w:ilvl w:val="0"/>
          <w:numId w:val="0"/>
        </w:numPr>
        <w:spacing w:line="240" w:lineRule="exact"/>
        <w:ind w:firstLineChars="579" w:firstLine="1275"/>
        <w:rPr>
          <w:rFonts w:hAnsi="標楷體"/>
          <w:bCs w:val="0"/>
          <w:szCs w:val="32"/>
        </w:rPr>
      </w:pPr>
      <w:bookmarkStart w:id="163" w:name="_Toc393464429"/>
      <w:r w:rsidRPr="00AB3200">
        <w:rPr>
          <w:rFonts w:hAnsi="標楷體" w:hint="eastAsia"/>
          <w:sz w:val="20"/>
          <w:szCs w:val="20"/>
        </w:rPr>
        <w:t>資料來源：主計總處每年</w:t>
      </w:r>
      <w:r w:rsidRPr="00AB3200">
        <w:rPr>
          <w:sz w:val="20"/>
          <w:szCs w:val="20"/>
        </w:rPr>
        <w:t>5</w:t>
      </w:r>
      <w:r w:rsidRPr="00AB3200">
        <w:rPr>
          <w:rFonts w:hAnsi="標楷體" w:hint="eastAsia"/>
          <w:sz w:val="20"/>
          <w:szCs w:val="20"/>
        </w:rPr>
        <w:t>月人力運用調查與</w:t>
      </w:r>
      <w:r w:rsidRPr="00AB3200">
        <w:rPr>
          <w:sz w:val="20"/>
          <w:szCs w:val="20"/>
        </w:rPr>
        <w:t>8</w:t>
      </w:r>
      <w:r w:rsidRPr="00AB3200">
        <w:rPr>
          <w:rFonts w:hAnsi="標楷體" w:hint="eastAsia"/>
          <w:sz w:val="20"/>
          <w:szCs w:val="20"/>
        </w:rPr>
        <w:t>月事業人力僱用狀況調查。</w:t>
      </w:r>
      <w:bookmarkEnd w:id="163"/>
    </w:p>
    <w:p w:rsidR="003A213D" w:rsidRPr="00AB3200" w:rsidRDefault="003A213D" w:rsidP="003A213D">
      <w:pPr>
        <w:pStyle w:val="3"/>
        <w:ind w:left="1360" w:hanging="680"/>
        <w:rPr>
          <w:rFonts w:hAnsi="標楷體"/>
          <w:bCs w:val="0"/>
          <w:szCs w:val="32"/>
        </w:rPr>
      </w:pPr>
      <w:bookmarkStart w:id="164" w:name="_Toc393464430"/>
      <w:r w:rsidRPr="00AB3200">
        <w:rPr>
          <w:rFonts w:hAnsi="標楷體" w:hint="eastAsia"/>
          <w:szCs w:val="32"/>
        </w:rPr>
        <w:t>據教育部函復本院資料，</w:t>
      </w:r>
      <w:r w:rsidRPr="00AB3200">
        <w:rPr>
          <w:rFonts w:hAnsi="標楷體" w:hint="eastAsia"/>
        </w:rPr>
        <w:t>現今大專校院學生存在學用落差及專業職能</w:t>
      </w:r>
      <w:r w:rsidRPr="00AB3200">
        <w:rPr>
          <w:rFonts w:hAnsi="標楷體" w:hint="eastAsia"/>
          <w:szCs w:val="32"/>
        </w:rPr>
        <w:t>不足</w:t>
      </w:r>
      <w:r w:rsidRPr="00AB3200">
        <w:rPr>
          <w:rFonts w:hAnsi="標楷體" w:hint="eastAsia"/>
        </w:rPr>
        <w:t>現象，主要係因</w:t>
      </w:r>
      <w:r w:rsidRPr="00AB3200">
        <w:rPr>
          <w:rFonts w:hAnsi="標楷體"/>
          <w:szCs w:val="52"/>
        </w:rPr>
        <w:t>系所發展方向與產業需求未完全一致</w:t>
      </w:r>
      <w:r w:rsidRPr="00AB3200">
        <w:rPr>
          <w:rFonts w:hAnsi="標楷體" w:hint="eastAsia"/>
        </w:rPr>
        <w:t>、</w:t>
      </w:r>
      <w:r w:rsidRPr="00AB3200">
        <w:rPr>
          <w:rFonts w:hAnsi="標楷體"/>
          <w:szCs w:val="32"/>
        </w:rPr>
        <w:t>專業實務課程設計較少</w:t>
      </w:r>
      <w:r w:rsidRPr="00AB3200">
        <w:rPr>
          <w:rFonts w:hAnsi="標楷體" w:hint="eastAsia"/>
          <w:szCs w:val="32"/>
        </w:rPr>
        <w:t>、</w:t>
      </w:r>
      <w:r w:rsidRPr="00AB3200">
        <w:rPr>
          <w:rFonts w:hAnsi="標楷體"/>
          <w:szCs w:val="32"/>
        </w:rPr>
        <w:t>技專校院實作經驗教師不足</w:t>
      </w:r>
      <w:r w:rsidRPr="00AB3200">
        <w:rPr>
          <w:rFonts w:hAnsi="標楷體" w:hint="eastAsia"/>
          <w:szCs w:val="32"/>
        </w:rPr>
        <w:t>等原因。教育部為強化人才培育，減少學用落差現象，加強學校與企業之產學合作，包括：</w:t>
      </w:r>
      <w:bookmarkEnd w:id="161"/>
      <w:bookmarkEnd w:id="164"/>
    </w:p>
    <w:p w:rsidR="003A213D" w:rsidRPr="00AB3200" w:rsidRDefault="003A213D" w:rsidP="003A213D">
      <w:pPr>
        <w:pStyle w:val="4"/>
        <w:ind w:left="1843" w:hanging="709"/>
        <w:rPr>
          <w:rFonts w:hAnsi="標楷體"/>
          <w:bCs/>
          <w:szCs w:val="32"/>
        </w:rPr>
      </w:pPr>
      <w:r w:rsidRPr="00AB3200">
        <w:rPr>
          <w:rFonts w:hAnsi="標楷體" w:hint="eastAsia"/>
          <w:szCs w:val="32"/>
        </w:rPr>
        <w:t>補助</w:t>
      </w:r>
      <w:r w:rsidRPr="00AB3200">
        <w:rPr>
          <w:rFonts w:hAnsi="標楷體" w:hint="eastAsia"/>
          <w:bCs/>
          <w:szCs w:val="32"/>
        </w:rPr>
        <w:t>技專校院</w:t>
      </w:r>
      <w:proofErr w:type="gramStart"/>
      <w:r w:rsidRPr="00AB3200">
        <w:rPr>
          <w:rFonts w:hAnsi="標楷體"/>
          <w:kern w:val="0"/>
          <w:szCs w:val="32"/>
        </w:rPr>
        <w:t>教師赴公民營</w:t>
      </w:r>
      <w:proofErr w:type="gramEnd"/>
      <w:r w:rsidRPr="00AB3200">
        <w:rPr>
          <w:rFonts w:hAnsi="標楷體"/>
          <w:kern w:val="0"/>
          <w:szCs w:val="32"/>
        </w:rPr>
        <w:t>機構研習服務</w:t>
      </w:r>
      <w:r w:rsidRPr="00AB3200">
        <w:rPr>
          <w:rFonts w:hAnsi="標楷體" w:hint="eastAsia"/>
          <w:szCs w:val="32"/>
        </w:rPr>
        <w:t>，</w:t>
      </w:r>
      <w:r w:rsidRPr="00AB3200">
        <w:rPr>
          <w:rFonts w:hAnsi="標楷體"/>
          <w:kern w:val="0"/>
          <w:szCs w:val="32"/>
        </w:rPr>
        <w:t>吸收產業資訊及實務經驗</w:t>
      </w:r>
      <w:r w:rsidRPr="00AB3200">
        <w:rPr>
          <w:rFonts w:hAnsi="標楷體" w:hint="eastAsia"/>
          <w:szCs w:val="32"/>
        </w:rPr>
        <w:t>，</w:t>
      </w:r>
      <w:r w:rsidRPr="00AB3200">
        <w:rPr>
          <w:rFonts w:hAnsi="標楷體"/>
          <w:szCs w:val="32"/>
        </w:rPr>
        <w:t>強化教師</w:t>
      </w:r>
      <w:r w:rsidRPr="00AB3200">
        <w:rPr>
          <w:rFonts w:hAnsi="標楷體"/>
          <w:kern w:val="0"/>
          <w:szCs w:val="32"/>
        </w:rPr>
        <w:t>實務技能</w:t>
      </w:r>
      <w:r w:rsidRPr="00AB3200">
        <w:rPr>
          <w:rFonts w:hAnsi="標楷體" w:hint="eastAsia"/>
          <w:szCs w:val="32"/>
        </w:rPr>
        <w:t>。</w:t>
      </w:r>
    </w:p>
    <w:p w:rsidR="003A213D" w:rsidRPr="00AB3200" w:rsidRDefault="003A213D" w:rsidP="003A213D">
      <w:pPr>
        <w:pStyle w:val="4"/>
        <w:ind w:left="1843" w:hanging="709"/>
        <w:rPr>
          <w:rFonts w:hAnsi="標楷體"/>
          <w:bCs/>
          <w:szCs w:val="32"/>
        </w:rPr>
      </w:pPr>
      <w:r w:rsidRPr="00AB3200">
        <w:rPr>
          <w:rFonts w:hAnsi="標楷體"/>
          <w:kern w:val="0"/>
          <w:szCs w:val="32"/>
        </w:rPr>
        <w:t>補助技專校院</w:t>
      </w:r>
      <w:proofErr w:type="gramStart"/>
      <w:r w:rsidRPr="00AB3200">
        <w:rPr>
          <w:rFonts w:hAnsi="標楷體"/>
          <w:kern w:val="0"/>
          <w:szCs w:val="32"/>
        </w:rPr>
        <w:t>遴</w:t>
      </w:r>
      <w:proofErr w:type="gramEnd"/>
      <w:r w:rsidRPr="00AB3200">
        <w:rPr>
          <w:rFonts w:hAnsi="標楷體"/>
          <w:kern w:val="0"/>
          <w:szCs w:val="32"/>
        </w:rPr>
        <w:t>聘業界專家至校協同教學</w:t>
      </w:r>
      <w:r w:rsidRPr="00AB3200">
        <w:rPr>
          <w:rFonts w:hAnsi="標楷體" w:hint="eastAsia"/>
          <w:szCs w:val="32"/>
        </w:rPr>
        <w:t>，</w:t>
      </w:r>
      <w:r w:rsidRPr="00AB3200">
        <w:rPr>
          <w:rFonts w:hAnsi="標楷體"/>
          <w:kern w:val="0"/>
          <w:szCs w:val="32"/>
        </w:rPr>
        <w:t>推動「</w:t>
      </w:r>
      <w:proofErr w:type="gramStart"/>
      <w:r w:rsidRPr="00AB3200">
        <w:rPr>
          <w:rFonts w:hAnsi="標楷體"/>
          <w:kern w:val="0"/>
          <w:szCs w:val="32"/>
        </w:rPr>
        <w:t>雙師制度</w:t>
      </w:r>
      <w:proofErr w:type="gramEnd"/>
      <w:r w:rsidRPr="00AB3200">
        <w:rPr>
          <w:rFonts w:hAnsi="標楷體"/>
          <w:kern w:val="0"/>
          <w:szCs w:val="32"/>
        </w:rPr>
        <w:t>」，</w:t>
      </w:r>
      <w:r w:rsidRPr="00AB3200">
        <w:rPr>
          <w:rFonts w:hAnsi="標楷體"/>
          <w:szCs w:val="32"/>
        </w:rPr>
        <w:t>提供學生直接吸收產業界</w:t>
      </w:r>
      <w:r w:rsidRPr="00AB3200">
        <w:rPr>
          <w:rFonts w:hAnsi="標楷體"/>
          <w:kern w:val="0"/>
          <w:szCs w:val="32"/>
        </w:rPr>
        <w:t>新知，使學生學習到有別於學校理論課程之實務內容，增進學生瞭解產業</w:t>
      </w:r>
      <w:r w:rsidRPr="00AB3200">
        <w:rPr>
          <w:rFonts w:hAnsi="標楷體"/>
          <w:kern w:val="0"/>
        </w:rPr>
        <w:t>實務面的需求</w:t>
      </w:r>
      <w:r w:rsidRPr="00AB3200">
        <w:rPr>
          <w:rFonts w:hAnsi="標楷體" w:hint="eastAsia"/>
        </w:rPr>
        <w:t>。</w:t>
      </w:r>
    </w:p>
    <w:p w:rsidR="003A213D" w:rsidRPr="00AB3200" w:rsidRDefault="003A213D" w:rsidP="003A213D">
      <w:pPr>
        <w:pStyle w:val="4"/>
        <w:ind w:left="1843" w:hanging="709"/>
        <w:rPr>
          <w:rFonts w:hAnsi="標楷體"/>
          <w:bCs/>
          <w:szCs w:val="32"/>
        </w:rPr>
      </w:pPr>
      <w:r w:rsidRPr="00AB3200">
        <w:rPr>
          <w:rFonts w:hAnsi="標楷體"/>
          <w:kern w:val="0"/>
        </w:rPr>
        <w:t>鼓勵</w:t>
      </w:r>
      <w:r w:rsidRPr="00AB3200">
        <w:rPr>
          <w:rFonts w:hAnsi="標楷體" w:hint="eastAsia"/>
        </w:rPr>
        <w:t>技專校院</w:t>
      </w:r>
      <w:r w:rsidRPr="00AB3200">
        <w:rPr>
          <w:rFonts w:hAnsi="標楷體"/>
          <w:kern w:val="0"/>
        </w:rPr>
        <w:t>教師以技術</w:t>
      </w:r>
      <w:r w:rsidRPr="00AB3200">
        <w:rPr>
          <w:rFonts w:hAnsi="標楷體"/>
          <w:kern w:val="0"/>
          <w:szCs w:val="32"/>
        </w:rPr>
        <w:t>報告</w:t>
      </w:r>
      <w:proofErr w:type="gramStart"/>
      <w:r w:rsidRPr="00AB3200">
        <w:rPr>
          <w:rFonts w:hAnsi="標楷體"/>
          <w:kern w:val="0"/>
        </w:rPr>
        <w:t>送審升等</w:t>
      </w:r>
      <w:proofErr w:type="gramEnd"/>
      <w:r w:rsidRPr="00AB3200">
        <w:rPr>
          <w:rFonts w:hAnsi="標楷體"/>
          <w:kern w:val="0"/>
        </w:rPr>
        <w:t>，提高教師參與實務研究意願</w:t>
      </w:r>
      <w:r w:rsidRPr="00AB3200">
        <w:rPr>
          <w:rFonts w:hAnsi="標楷體" w:hint="eastAsia"/>
        </w:rPr>
        <w:t>，</w:t>
      </w:r>
      <w:r w:rsidRPr="00AB3200">
        <w:rPr>
          <w:rFonts w:hAnsi="標楷體"/>
          <w:kern w:val="0"/>
        </w:rPr>
        <w:t>使教師之教學研究能與產業實際發展相連結，從而體現技職教育務實致用之特色。</w:t>
      </w:r>
    </w:p>
    <w:p w:rsidR="003A213D" w:rsidRPr="00AB3200" w:rsidRDefault="003A213D" w:rsidP="003A213D">
      <w:pPr>
        <w:pStyle w:val="4"/>
        <w:ind w:left="1843" w:hanging="709"/>
        <w:rPr>
          <w:rFonts w:hAnsi="標楷體"/>
          <w:szCs w:val="32"/>
        </w:rPr>
      </w:pPr>
      <w:r w:rsidRPr="00AB3200">
        <w:rPr>
          <w:rFonts w:hAnsi="標楷體"/>
          <w:szCs w:val="32"/>
        </w:rPr>
        <w:t>推動</w:t>
      </w:r>
      <w:r w:rsidRPr="00AB3200">
        <w:rPr>
          <w:rFonts w:hAnsi="標楷體"/>
          <w:kern w:val="0"/>
          <w:szCs w:val="32"/>
        </w:rPr>
        <w:t>各類</w:t>
      </w:r>
      <w:proofErr w:type="gramStart"/>
      <w:r w:rsidRPr="00AB3200">
        <w:rPr>
          <w:rFonts w:hAnsi="標楷體"/>
          <w:szCs w:val="32"/>
        </w:rPr>
        <w:t>產學專班</w:t>
      </w:r>
      <w:proofErr w:type="gramEnd"/>
      <w:r w:rsidRPr="00AB3200">
        <w:rPr>
          <w:rFonts w:hAnsi="標楷體" w:hint="eastAsia"/>
          <w:szCs w:val="32"/>
        </w:rPr>
        <w:t>，主要</w:t>
      </w:r>
      <w:proofErr w:type="gramStart"/>
      <w:r w:rsidRPr="00AB3200">
        <w:rPr>
          <w:rFonts w:hAnsi="標楷體"/>
          <w:szCs w:val="32"/>
        </w:rPr>
        <w:t>要</w:t>
      </w:r>
      <w:proofErr w:type="gramEnd"/>
      <w:r w:rsidRPr="00AB3200">
        <w:rPr>
          <w:rFonts w:hAnsi="標楷體"/>
          <w:szCs w:val="32"/>
        </w:rPr>
        <w:t>包含高中職實用技能</w:t>
      </w:r>
      <w:proofErr w:type="gramStart"/>
      <w:r w:rsidRPr="00AB3200">
        <w:rPr>
          <w:rFonts w:hAnsi="標楷體"/>
          <w:szCs w:val="32"/>
        </w:rPr>
        <w:t>學程班</w:t>
      </w:r>
      <w:proofErr w:type="gramEnd"/>
      <w:r w:rsidRPr="00AB3200">
        <w:rPr>
          <w:rFonts w:hAnsi="標楷體"/>
          <w:szCs w:val="32"/>
        </w:rPr>
        <w:t>、高職建教合作班、產業特殊需求類科班、產學攜手合作專班、產業碩士專班等5種學程與專班</w:t>
      </w:r>
      <w:r w:rsidRPr="00AB3200">
        <w:rPr>
          <w:rFonts w:hAnsi="標楷體" w:hint="eastAsia"/>
          <w:szCs w:val="32"/>
        </w:rPr>
        <w:t>，以</w:t>
      </w:r>
      <w:r w:rsidRPr="00AB3200">
        <w:rPr>
          <w:rFonts w:hAnsi="標楷體"/>
        </w:rPr>
        <w:t>契合式即時人才培育</w:t>
      </w:r>
      <w:r w:rsidRPr="00AB3200">
        <w:rPr>
          <w:rFonts w:hAnsi="標楷體" w:hint="eastAsia"/>
        </w:rPr>
        <w:t>，減少學用落差現象。</w:t>
      </w:r>
    </w:p>
    <w:p w:rsidR="003A213D" w:rsidRPr="00AB3200" w:rsidRDefault="003A213D" w:rsidP="003A213D">
      <w:pPr>
        <w:pStyle w:val="4"/>
        <w:ind w:left="1843" w:hanging="709"/>
        <w:rPr>
          <w:rFonts w:hAnsi="標楷體"/>
          <w:szCs w:val="32"/>
        </w:rPr>
      </w:pPr>
      <w:r w:rsidRPr="00AB3200">
        <w:rPr>
          <w:rFonts w:hAnsi="標楷體"/>
        </w:rPr>
        <w:t>推動「技職教育再造方案-落實學生校外實習課程」、啟用大專校院校外實習媒合平</w:t>
      </w:r>
      <w:proofErr w:type="gramStart"/>
      <w:r w:rsidRPr="00AB3200">
        <w:rPr>
          <w:rFonts w:hAnsi="標楷體"/>
        </w:rPr>
        <w:t>臺</w:t>
      </w:r>
      <w:proofErr w:type="gramEnd"/>
      <w:r w:rsidRPr="00AB3200">
        <w:rPr>
          <w:rFonts w:hAnsi="標楷體" w:hint="eastAsia"/>
        </w:rPr>
        <w:t>，以增加學生實習經驗</w:t>
      </w:r>
      <w:r w:rsidRPr="00AB3200">
        <w:rPr>
          <w:rFonts w:hAnsi="標楷體"/>
        </w:rPr>
        <w:t>。</w:t>
      </w:r>
    </w:p>
    <w:p w:rsidR="003A213D" w:rsidRPr="00AB3200" w:rsidRDefault="003A213D" w:rsidP="003A213D">
      <w:pPr>
        <w:pStyle w:val="4"/>
        <w:ind w:left="1843" w:hanging="709"/>
        <w:rPr>
          <w:rFonts w:hAnsi="標楷體"/>
          <w:szCs w:val="32"/>
        </w:rPr>
      </w:pPr>
      <w:r w:rsidRPr="00AB3200">
        <w:rPr>
          <w:rFonts w:hAnsi="標楷體"/>
        </w:rPr>
        <w:t>推動技專校院辦理「產業學院」計畫</w:t>
      </w:r>
      <w:r w:rsidRPr="00AB3200">
        <w:rPr>
          <w:rFonts w:hAnsi="標楷體" w:hint="eastAsia"/>
        </w:rPr>
        <w:t>，</w:t>
      </w:r>
      <w:r w:rsidRPr="00AB3200">
        <w:rPr>
          <w:rFonts w:hAnsi="標楷體"/>
        </w:rPr>
        <w:t>以就業實務為導向</w:t>
      </w:r>
      <w:r w:rsidRPr="00AB3200">
        <w:rPr>
          <w:rFonts w:hAnsi="標楷體" w:hint="eastAsia"/>
        </w:rPr>
        <w:t>，</w:t>
      </w:r>
      <w:r w:rsidRPr="00AB3200">
        <w:rPr>
          <w:rFonts w:hAnsi="標楷體"/>
        </w:rPr>
        <w:t>由企業與學校共同來規劃實作課程及現場實務實習，以學程的方式幫助學生完成就業實務訓練，使其結業後能為合作企業所用。</w:t>
      </w:r>
    </w:p>
    <w:p w:rsidR="003A213D" w:rsidRPr="00AB3200" w:rsidRDefault="003A213D" w:rsidP="003A213D">
      <w:pPr>
        <w:pStyle w:val="4"/>
        <w:ind w:left="1843" w:hanging="709"/>
        <w:rPr>
          <w:rFonts w:hAnsi="標楷體"/>
        </w:rPr>
      </w:pPr>
      <w:r w:rsidRPr="00AB3200">
        <w:rPr>
          <w:rFonts w:hAnsi="標楷體"/>
        </w:rPr>
        <w:lastRenderedPageBreak/>
        <w:t>結合勞動部辦理大專校院就業學程計畫</w:t>
      </w:r>
      <w:r w:rsidRPr="00AB3200">
        <w:rPr>
          <w:rFonts w:hAnsi="標楷體" w:hint="eastAsia"/>
        </w:rPr>
        <w:t>(最後</w:t>
      </w:r>
      <w:proofErr w:type="gramStart"/>
      <w:r w:rsidRPr="00AB3200">
        <w:rPr>
          <w:rFonts w:hAnsi="標楷體" w:hint="eastAsia"/>
        </w:rPr>
        <w:t>一</w:t>
      </w:r>
      <w:proofErr w:type="gramEnd"/>
      <w:r w:rsidRPr="00AB3200">
        <w:rPr>
          <w:rFonts w:hAnsi="標楷體" w:hint="eastAsia"/>
        </w:rPr>
        <w:t>哩就業學程)</w:t>
      </w:r>
      <w:r w:rsidRPr="00AB3200">
        <w:rPr>
          <w:rFonts w:hAnsi="標楷體"/>
        </w:rPr>
        <w:t>，協助技專校院志願就業畢業生轉</w:t>
      </w:r>
      <w:proofErr w:type="gramStart"/>
      <w:r w:rsidRPr="00AB3200">
        <w:rPr>
          <w:rFonts w:hAnsi="標楷體"/>
        </w:rPr>
        <w:t>銜至產</w:t>
      </w:r>
      <w:proofErr w:type="gramEnd"/>
      <w:r w:rsidRPr="00AB3200">
        <w:rPr>
          <w:rFonts w:hAnsi="標楷體" w:hint="eastAsia"/>
        </w:rPr>
        <w:t>(</w:t>
      </w:r>
      <w:r w:rsidRPr="00AB3200">
        <w:rPr>
          <w:rFonts w:hAnsi="標楷體"/>
        </w:rPr>
        <w:t>企</w:t>
      </w:r>
      <w:r w:rsidRPr="00AB3200">
        <w:rPr>
          <w:rFonts w:hAnsi="標楷體" w:hint="eastAsia"/>
        </w:rPr>
        <w:t>)</w:t>
      </w:r>
      <w:r w:rsidRPr="00AB3200">
        <w:rPr>
          <w:rFonts w:hAnsi="標楷體"/>
        </w:rPr>
        <w:t>業界，強化學生在學最後一年至二年綜合</w:t>
      </w:r>
      <w:r w:rsidRPr="00AB3200">
        <w:rPr>
          <w:rFonts w:hAnsi="標楷體" w:hint="eastAsia"/>
        </w:rPr>
        <w:t>(</w:t>
      </w:r>
      <w:r w:rsidRPr="00AB3200">
        <w:rPr>
          <w:rFonts w:hAnsi="標楷體"/>
        </w:rPr>
        <w:t>再學習</w:t>
      </w:r>
      <w:r w:rsidRPr="00AB3200">
        <w:rPr>
          <w:rFonts w:hAnsi="標楷體" w:hint="eastAsia"/>
        </w:rPr>
        <w:t>)</w:t>
      </w:r>
      <w:r w:rsidRPr="00AB3200">
        <w:rPr>
          <w:rFonts w:hAnsi="標楷體"/>
        </w:rPr>
        <w:t>、跨領域創新及實務經驗。</w:t>
      </w:r>
    </w:p>
    <w:p w:rsidR="003A213D" w:rsidRPr="00AB3200" w:rsidRDefault="003A213D" w:rsidP="003A213D">
      <w:pPr>
        <w:pStyle w:val="4"/>
        <w:ind w:left="1843" w:hanging="709"/>
        <w:rPr>
          <w:rFonts w:hAnsi="標楷體"/>
          <w:szCs w:val="32"/>
        </w:rPr>
      </w:pPr>
      <w:r w:rsidRPr="00AB3200">
        <w:rPr>
          <w:rFonts w:hAnsi="標楷體"/>
        </w:rPr>
        <w:t>推動</w:t>
      </w:r>
      <w:r w:rsidRPr="00AB3200">
        <w:rPr>
          <w:rFonts w:hAnsi="標楷體"/>
          <w:bCs/>
          <w:szCs w:val="32"/>
        </w:rPr>
        <w:t>大學校院課程分流，落實就職前後教育訓練:將大學課程分為研究導向和專業務實導向，打破高等教育人才培育的同一性，以引導學生適性選擇朝研究深造或專業實務發展，並促使專業實務人才培育即時與產業需求結合。</w:t>
      </w:r>
    </w:p>
    <w:p w:rsidR="003A213D" w:rsidRPr="00AB3200" w:rsidRDefault="00A6378A" w:rsidP="00A6378A">
      <w:pPr>
        <w:pStyle w:val="3"/>
        <w:numPr>
          <w:ilvl w:val="0"/>
          <w:numId w:val="0"/>
        </w:numPr>
        <w:ind w:left="1418" w:firstLineChars="208" w:firstLine="708"/>
      </w:pPr>
      <w:bookmarkStart w:id="165" w:name="_Toc392764874"/>
      <w:bookmarkStart w:id="166" w:name="_Toc393464431"/>
      <w:r w:rsidRPr="00AB3200">
        <w:rPr>
          <w:rFonts w:hint="eastAsia"/>
        </w:rPr>
        <w:t>由上顯示，除「課程分流」係以一般大學校院、「</w:t>
      </w:r>
      <w:r w:rsidRPr="00AB3200">
        <w:t>產業碩士專班</w:t>
      </w:r>
      <w:r w:rsidRPr="00AB3200">
        <w:rPr>
          <w:rFonts w:hint="eastAsia"/>
        </w:rPr>
        <w:t>」係以一般大學及技職學校為推動對象外，其餘有關加強學校與企業產學合作相關措施，</w:t>
      </w:r>
      <w:proofErr w:type="gramStart"/>
      <w:r w:rsidRPr="00AB3200">
        <w:rPr>
          <w:rFonts w:hint="eastAsia"/>
        </w:rPr>
        <w:t>均以技</w:t>
      </w:r>
      <w:proofErr w:type="gramEnd"/>
      <w:r w:rsidRPr="00AB3200">
        <w:rPr>
          <w:rFonts w:hint="eastAsia"/>
        </w:rPr>
        <w:t>職學校為推動對象。且「課程分流」雖將</w:t>
      </w:r>
      <w:r w:rsidRPr="00AB3200">
        <w:t>大學課程分為研究導向和專業務實導向</w:t>
      </w:r>
      <w:r w:rsidRPr="00AB3200">
        <w:rPr>
          <w:rFonts w:hint="eastAsia"/>
        </w:rPr>
        <w:t>，惟仍偏重於學校課程，學生仍缺乏至企業實習經驗。又</w:t>
      </w:r>
      <w:r w:rsidRPr="00AB3200">
        <w:t>契合式即時人才培育</w:t>
      </w:r>
      <w:r w:rsidRPr="00AB3200">
        <w:rPr>
          <w:rFonts w:hint="eastAsia"/>
        </w:rPr>
        <w:t>之</w:t>
      </w:r>
      <w:proofErr w:type="gramStart"/>
      <w:r w:rsidRPr="00AB3200">
        <w:t>產學專班</w:t>
      </w:r>
      <w:proofErr w:type="gramEnd"/>
      <w:r w:rsidRPr="00AB3200">
        <w:rPr>
          <w:rFonts w:hint="eastAsia"/>
        </w:rPr>
        <w:t>，對於引導學生畢業後順利</w:t>
      </w:r>
      <w:proofErr w:type="gramStart"/>
      <w:r w:rsidRPr="00AB3200">
        <w:rPr>
          <w:rFonts w:hint="eastAsia"/>
        </w:rPr>
        <w:t>銜接至職場</w:t>
      </w:r>
      <w:proofErr w:type="gramEnd"/>
      <w:r w:rsidRPr="00AB3200">
        <w:rPr>
          <w:rFonts w:hint="eastAsia"/>
        </w:rPr>
        <w:t>，雖有助益，</w:t>
      </w:r>
      <w:proofErr w:type="gramStart"/>
      <w:r w:rsidRPr="00AB3200">
        <w:rPr>
          <w:rFonts w:hint="eastAsia"/>
        </w:rPr>
        <w:t>惟非產學專</w:t>
      </w:r>
      <w:proofErr w:type="gramEnd"/>
      <w:r w:rsidRPr="00AB3200">
        <w:rPr>
          <w:rFonts w:hint="eastAsia"/>
        </w:rPr>
        <w:t>班學生，仍缺乏適當之職場銜接機制。</w:t>
      </w:r>
      <w:bookmarkEnd w:id="165"/>
      <w:bookmarkEnd w:id="166"/>
    </w:p>
    <w:p w:rsidR="00BA612B" w:rsidRPr="00AB3200" w:rsidRDefault="00BA612B" w:rsidP="003A213D">
      <w:pPr>
        <w:pStyle w:val="3"/>
        <w:ind w:left="1360" w:hanging="680"/>
        <w:rPr>
          <w:rFonts w:hAnsi="標楷體"/>
          <w:szCs w:val="32"/>
        </w:rPr>
      </w:pPr>
      <w:bookmarkStart w:id="167" w:name="_Toc392764870"/>
      <w:bookmarkStart w:id="168" w:name="_Toc393464432"/>
      <w:bookmarkStart w:id="169" w:name="_Toc392764875"/>
      <w:r w:rsidRPr="00AB3200">
        <w:rPr>
          <w:rFonts w:hAnsi="標楷體" w:hint="eastAsia"/>
        </w:rPr>
        <w:t>另據本院諮詢委員指出，</w:t>
      </w:r>
      <w:r w:rsidRPr="00AB3200">
        <w:rPr>
          <w:rFonts w:hAnsi="標楷體"/>
        </w:rPr>
        <w:t>我</w:t>
      </w:r>
      <w:r w:rsidRPr="00AB3200">
        <w:rPr>
          <w:rFonts w:hAnsi="標楷體" w:hint="eastAsia"/>
        </w:rPr>
        <w:t>國</w:t>
      </w:r>
      <w:r w:rsidRPr="00AB3200">
        <w:rPr>
          <w:rFonts w:hAnsi="標楷體"/>
        </w:rPr>
        <w:t>技職學校經過了這十幾年來，設備是非常老舊的，很多的廠商抱怨技職學校那種機器設備，訓練出來的人還是不能用，因為廠商機器設備已經比它進步很多代了，可是它沒有錢，因為教育部已經把所有的教育的經費都移到高等教育，政府如果宣示將補助大學五年伍佰億取消，把這個</w:t>
      </w:r>
      <w:proofErr w:type="gramStart"/>
      <w:r w:rsidRPr="00AB3200">
        <w:rPr>
          <w:rFonts w:hAnsi="標楷體"/>
        </w:rPr>
        <w:t>錢移過來給技</w:t>
      </w:r>
      <w:proofErr w:type="gramEnd"/>
      <w:r w:rsidRPr="00AB3200">
        <w:rPr>
          <w:rFonts w:hAnsi="標楷體"/>
        </w:rPr>
        <w:t>職學校，宣示從現在開始，政府的政策就是要強化技職教育，政府一直在講要強化技職，可是經費沒有搭配增加，技職學校要轉型，需要很多機器設備，但是沒有經費，</w:t>
      </w:r>
      <w:proofErr w:type="gramStart"/>
      <w:r w:rsidRPr="00AB3200">
        <w:rPr>
          <w:rFonts w:hAnsi="標楷體"/>
        </w:rPr>
        <w:t>現在技</w:t>
      </w:r>
      <w:proofErr w:type="gramEnd"/>
      <w:r w:rsidRPr="00AB3200">
        <w:rPr>
          <w:rFonts w:hAnsi="標楷體"/>
        </w:rPr>
        <w:t>職學校什麼東西最多，烹飪、美容美髮，這種不需要資本投入的，那些需要機器設備，比如說車床、模</w:t>
      </w:r>
      <w:r w:rsidRPr="00AB3200">
        <w:rPr>
          <w:rFonts w:hAnsi="標楷體"/>
        </w:rPr>
        <w:lastRenderedPageBreak/>
        <w:t>具這些需要投入資本設備的，他們就不設，所以這是高等教育擴張引發的問題，那個東西不解決，青年就業問題就無法有效處理。</w:t>
      </w:r>
      <w:r w:rsidRPr="00AB3200">
        <w:rPr>
          <w:rFonts w:hAnsi="標楷體" w:hint="eastAsia"/>
        </w:rPr>
        <w:t>足</w:t>
      </w:r>
      <w:proofErr w:type="gramStart"/>
      <w:r w:rsidRPr="00AB3200">
        <w:rPr>
          <w:rFonts w:hAnsi="標楷體" w:hint="eastAsia"/>
        </w:rPr>
        <w:t>徵</w:t>
      </w:r>
      <w:proofErr w:type="gramEnd"/>
      <w:r w:rsidRPr="00AB3200">
        <w:rPr>
          <w:rFonts w:hAnsi="標楷體" w:hint="eastAsia"/>
        </w:rPr>
        <w:t>，學校教學內容於產業界無法實際運用之問題遲未解決。</w:t>
      </w:r>
      <w:bookmarkEnd w:id="167"/>
      <w:bookmarkEnd w:id="168"/>
    </w:p>
    <w:p w:rsidR="003A213D" w:rsidRPr="00AB3200" w:rsidRDefault="003A213D" w:rsidP="003A213D">
      <w:pPr>
        <w:pStyle w:val="3"/>
        <w:ind w:left="1360" w:hanging="680"/>
        <w:rPr>
          <w:rFonts w:hAnsi="標楷體"/>
          <w:szCs w:val="32"/>
        </w:rPr>
      </w:pPr>
      <w:bookmarkStart w:id="170" w:name="_Toc393464433"/>
      <w:r w:rsidRPr="00AB3200">
        <w:rPr>
          <w:rFonts w:hAnsi="標楷體" w:hint="eastAsia"/>
          <w:szCs w:val="32"/>
        </w:rPr>
        <w:t>另為強化學校系所與</w:t>
      </w:r>
      <w:r w:rsidRPr="00AB3200">
        <w:rPr>
          <w:rFonts w:hAnsi="標楷體"/>
        </w:rPr>
        <w:t>產業的連結</w:t>
      </w:r>
      <w:r w:rsidRPr="00AB3200">
        <w:rPr>
          <w:rFonts w:hAnsi="標楷體" w:hint="eastAsia"/>
        </w:rPr>
        <w:t>，教育部已與</w:t>
      </w:r>
      <w:r w:rsidRPr="00AB3200">
        <w:rPr>
          <w:rFonts w:hAnsi="標楷體"/>
        </w:rPr>
        <w:t>經濟部、勞動部建立次長級的跨部會平</w:t>
      </w:r>
      <w:proofErr w:type="gramStart"/>
      <w:r w:rsidRPr="00AB3200">
        <w:rPr>
          <w:rFonts w:hAnsi="標楷體"/>
        </w:rPr>
        <w:t>臺</w:t>
      </w:r>
      <w:proofErr w:type="gramEnd"/>
      <w:r w:rsidRPr="00AB3200">
        <w:rPr>
          <w:rFonts w:hAnsi="標楷體" w:hint="eastAsia"/>
        </w:rPr>
        <w:t>，</w:t>
      </w:r>
      <w:r w:rsidRPr="00AB3200">
        <w:rPr>
          <w:rFonts w:hAnsi="標楷體"/>
        </w:rPr>
        <w:t>每2個月定期集會一次，共同協商縮短學用落差相關議題。</w:t>
      </w:r>
      <w:bookmarkStart w:id="171" w:name="_Toc392764876"/>
      <w:r w:rsidR="00BA612B" w:rsidRPr="00AB3200">
        <w:rPr>
          <w:rFonts w:hAnsi="標楷體" w:hint="eastAsia"/>
          <w:szCs w:val="32"/>
        </w:rPr>
        <w:t>另據本院諮詢專家學者指出，</w:t>
      </w:r>
      <w:r w:rsidR="00BA612B" w:rsidRPr="00AB3200">
        <w:rPr>
          <w:rFonts w:hAnsi="標楷體"/>
          <w:szCs w:val="32"/>
        </w:rPr>
        <w:t>大學銜接機制一定要有，如大學最後一學期或最後一年，開始以就業為目標，讓學生去選擇未來想就業所需要知識的課程，</w:t>
      </w:r>
      <w:r w:rsidR="00BA612B" w:rsidRPr="00AB3200">
        <w:rPr>
          <w:rFonts w:hAnsi="標楷體" w:hint="eastAsia"/>
          <w:szCs w:val="32"/>
        </w:rPr>
        <w:t>以利畢業後順利銜接進入職場，上開建議</w:t>
      </w:r>
      <w:proofErr w:type="gramStart"/>
      <w:r w:rsidR="00BA612B" w:rsidRPr="00AB3200">
        <w:rPr>
          <w:rFonts w:hAnsi="標楷體" w:hint="eastAsia"/>
          <w:szCs w:val="32"/>
        </w:rPr>
        <w:t>可供跨部會</w:t>
      </w:r>
      <w:proofErr w:type="gramEnd"/>
      <w:r w:rsidR="00BA612B" w:rsidRPr="00AB3200">
        <w:rPr>
          <w:rFonts w:hAnsi="標楷體" w:hint="eastAsia"/>
          <w:szCs w:val="32"/>
        </w:rPr>
        <w:t>平台之參考</w:t>
      </w:r>
      <w:r w:rsidR="00BA612B" w:rsidRPr="00AB3200">
        <w:rPr>
          <w:rFonts w:hAnsi="標楷體"/>
          <w:szCs w:val="32"/>
        </w:rPr>
        <w:t>。</w:t>
      </w:r>
      <w:bookmarkEnd w:id="169"/>
      <w:bookmarkEnd w:id="170"/>
      <w:bookmarkEnd w:id="171"/>
    </w:p>
    <w:p w:rsidR="00BA612B" w:rsidRPr="00AB3200" w:rsidRDefault="00BA612B" w:rsidP="003A213D">
      <w:pPr>
        <w:pStyle w:val="3"/>
        <w:ind w:left="1418"/>
        <w:rPr>
          <w:rFonts w:hAnsi="標楷體"/>
          <w:b/>
          <w:u w:val="single"/>
        </w:rPr>
      </w:pPr>
      <w:bookmarkStart w:id="172" w:name="_Toc393464434"/>
      <w:r w:rsidRPr="00AB3200">
        <w:rPr>
          <w:rFonts w:hAnsi="標楷體" w:hint="eastAsia"/>
        </w:rPr>
        <w:t>綜上，</w:t>
      </w:r>
      <w:r w:rsidRPr="00AB3200">
        <w:rPr>
          <w:rFonts w:hAnsi="標楷體" w:hint="eastAsia"/>
          <w:szCs w:val="32"/>
        </w:rPr>
        <w:t>當前學校</w:t>
      </w:r>
      <w:r w:rsidRPr="00AB3200">
        <w:rPr>
          <w:rFonts w:hAnsi="標楷體"/>
          <w:szCs w:val="32"/>
        </w:rPr>
        <w:t>培育之</w:t>
      </w:r>
      <w:r w:rsidRPr="00AB3200">
        <w:rPr>
          <w:rFonts w:hAnsi="標楷體" w:hint="eastAsia"/>
          <w:szCs w:val="32"/>
        </w:rPr>
        <w:t>部分</w:t>
      </w:r>
      <w:r w:rsidRPr="00AB3200">
        <w:rPr>
          <w:rFonts w:hAnsi="標楷體"/>
          <w:szCs w:val="32"/>
        </w:rPr>
        <w:t>青年就業能力不足，</w:t>
      </w:r>
      <w:r w:rsidRPr="00AB3200">
        <w:rPr>
          <w:rFonts w:hAnsi="標楷體" w:hint="eastAsia"/>
          <w:szCs w:val="32"/>
        </w:rPr>
        <w:t>學用落差嚴重，</w:t>
      </w:r>
      <w:r w:rsidRPr="00AB3200">
        <w:rPr>
          <w:rFonts w:hAnsi="標楷體"/>
          <w:szCs w:val="32"/>
        </w:rPr>
        <w:t>傾向競逐工作技能較低</w:t>
      </w:r>
      <w:r w:rsidRPr="00AB3200">
        <w:rPr>
          <w:rFonts w:hAnsi="標楷體" w:hint="eastAsia"/>
          <w:szCs w:val="32"/>
        </w:rPr>
        <w:t>之</w:t>
      </w:r>
      <w:r w:rsidRPr="00AB3200">
        <w:rPr>
          <w:rFonts w:hAnsi="標楷體"/>
          <w:szCs w:val="32"/>
        </w:rPr>
        <w:t>職缺</w:t>
      </w:r>
      <w:r w:rsidRPr="00AB3200">
        <w:rPr>
          <w:rFonts w:hAnsi="標楷體" w:hint="eastAsia"/>
          <w:szCs w:val="32"/>
        </w:rPr>
        <w:t>，加重失業低薪問題，</w:t>
      </w:r>
      <w:proofErr w:type="gramStart"/>
      <w:r w:rsidRPr="00AB3200">
        <w:rPr>
          <w:rFonts w:hAnsi="標楷體" w:hint="eastAsia"/>
          <w:szCs w:val="32"/>
        </w:rPr>
        <w:t>教育部雖推動產</w:t>
      </w:r>
      <w:proofErr w:type="gramEnd"/>
      <w:r w:rsidRPr="00AB3200">
        <w:rPr>
          <w:rFonts w:hAnsi="標楷體" w:hint="eastAsia"/>
          <w:szCs w:val="32"/>
        </w:rPr>
        <w:t>學合作、減少學用落差措施，係以技職學校為主要推動對象，致一般大學校院學生缺乏足夠之產學合作機會；</w:t>
      </w:r>
      <w:proofErr w:type="gramStart"/>
      <w:r w:rsidRPr="00AB3200">
        <w:rPr>
          <w:rFonts w:hAnsi="標楷體" w:hint="eastAsia"/>
          <w:szCs w:val="32"/>
        </w:rPr>
        <w:t>另技職</w:t>
      </w:r>
      <w:proofErr w:type="gramEnd"/>
      <w:r w:rsidRPr="00AB3200">
        <w:rPr>
          <w:rFonts w:hAnsi="標楷體" w:hint="eastAsia"/>
          <w:szCs w:val="32"/>
        </w:rPr>
        <w:t>學校設備</w:t>
      </w:r>
      <w:proofErr w:type="gramStart"/>
      <w:r w:rsidRPr="00AB3200">
        <w:rPr>
          <w:rFonts w:hAnsi="標楷體" w:hint="eastAsia"/>
          <w:szCs w:val="32"/>
        </w:rPr>
        <w:t>老舊待更新</w:t>
      </w:r>
      <w:proofErr w:type="gramEnd"/>
      <w:r w:rsidRPr="00AB3200">
        <w:rPr>
          <w:rFonts w:hAnsi="標楷體" w:hint="eastAsia"/>
          <w:szCs w:val="32"/>
        </w:rPr>
        <w:t>；</w:t>
      </w:r>
      <w:proofErr w:type="gramStart"/>
      <w:r w:rsidRPr="00AB3200">
        <w:rPr>
          <w:rFonts w:hAnsi="標楷體" w:hint="eastAsia"/>
          <w:szCs w:val="32"/>
        </w:rPr>
        <w:t>產學專班</w:t>
      </w:r>
      <w:proofErr w:type="gramEnd"/>
      <w:r w:rsidRPr="00AB3200">
        <w:rPr>
          <w:rFonts w:hAnsi="標楷體" w:hint="eastAsia"/>
          <w:szCs w:val="32"/>
        </w:rPr>
        <w:t>對於引導學生畢業後順利</w:t>
      </w:r>
      <w:proofErr w:type="gramStart"/>
      <w:r w:rsidRPr="00AB3200">
        <w:rPr>
          <w:rFonts w:hAnsi="標楷體" w:hint="eastAsia"/>
          <w:szCs w:val="32"/>
        </w:rPr>
        <w:t>銜接至職場</w:t>
      </w:r>
      <w:proofErr w:type="gramEnd"/>
      <w:r w:rsidRPr="00AB3200">
        <w:rPr>
          <w:rFonts w:hAnsi="標楷體" w:hint="eastAsia"/>
          <w:szCs w:val="32"/>
        </w:rPr>
        <w:t>，雖有助益，</w:t>
      </w:r>
      <w:proofErr w:type="gramStart"/>
      <w:r w:rsidRPr="00AB3200">
        <w:rPr>
          <w:rFonts w:hAnsi="標楷體" w:hint="eastAsia"/>
          <w:szCs w:val="32"/>
        </w:rPr>
        <w:t>惟非產學專</w:t>
      </w:r>
      <w:proofErr w:type="gramEnd"/>
      <w:r w:rsidRPr="00AB3200">
        <w:rPr>
          <w:rFonts w:hAnsi="標楷體" w:hint="eastAsia"/>
          <w:szCs w:val="32"/>
        </w:rPr>
        <w:t>班學生畢業後銜接職場之完整機制尚待積極建立。</w:t>
      </w:r>
      <w:bookmarkEnd w:id="172"/>
    </w:p>
    <w:p w:rsidR="003A213D" w:rsidRPr="00AB3200" w:rsidRDefault="003A213D" w:rsidP="003A213D">
      <w:pPr>
        <w:pStyle w:val="20"/>
        <w:ind w:left="1020" w:hanging="680"/>
        <w:rPr>
          <w:rFonts w:hAnsi="標楷體"/>
          <w:b/>
          <w:szCs w:val="32"/>
          <w:u w:val="single"/>
        </w:rPr>
      </w:pPr>
      <w:bookmarkStart w:id="173" w:name="_Toc393464435"/>
      <w:r w:rsidRPr="00AB3200">
        <w:rPr>
          <w:rFonts w:hAnsi="標楷體"/>
          <w:b/>
          <w:bCs w:val="0"/>
          <w:szCs w:val="32"/>
        </w:rPr>
        <w:t>勞動部推行許多青年職</w:t>
      </w:r>
      <w:proofErr w:type="gramStart"/>
      <w:r w:rsidRPr="00AB3200">
        <w:rPr>
          <w:rFonts w:hAnsi="標楷體"/>
          <w:b/>
          <w:bCs w:val="0"/>
          <w:szCs w:val="32"/>
        </w:rPr>
        <w:t>涯</w:t>
      </w:r>
      <w:proofErr w:type="gramEnd"/>
      <w:r w:rsidRPr="00AB3200">
        <w:rPr>
          <w:rFonts w:hAnsi="標楷體"/>
          <w:b/>
          <w:bCs w:val="0"/>
          <w:szCs w:val="32"/>
        </w:rPr>
        <w:t>探索及就業輔導措施</w:t>
      </w:r>
      <w:r w:rsidRPr="00AB3200">
        <w:rPr>
          <w:rFonts w:hAnsi="標楷體" w:hint="eastAsia"/>
          <w:b/>
          <w:bCs w:val="0"/>
          <w:szCs w:val="32"/>
        </w:rPr>
        <w:t>並於</w:t>
      </w:r>
      <w:r w:rsidRPr="00AB3200">
        <w:rPr>
          <w:rFonts w:hAnsi="標楷體"/>
          <w:b/>
          <w:bCs w:val="0"/>
          <w:szCs w:val="32"/>
        </w:rPr>
        <w:t>公立就業服務站設置「青年專櫃」，</w:t>
      </w:r>
      <w:r w:rsidRPr="00AB3200">
        <w:rPr>
          <w:rFonts w:hAnsi="標楷體" w:hint="eastAsia"/>
          <w:b/>
          <w:bCs w:val="0"/>
          <w:szCs w:val="32"/>
        </w:rPr>
        <w:t>惟</w:t>
      </w:r>
      <w:r w:rsidRPr="00AB3200">
        <w:rPr>
          <w:rFonts w:hAnsi="標楷體"/>
          <w:b/>
          <w:bCs w:val="0"/>
          <w:szCs w:val="32"/>
        </w:rPr>
        <w:t>宣導及配套措施不足，致仍有</w:t>
      </w:r>
      <w:r w:rsidR="00360B7C" w:rsidRPr="00AB3200">
        <w:rPr>
          <w:rFonts w:hAnsi="標楷體" w:hint="eastAsia"/>
          <w:b/>
          <w:bCs w:val="0"/>
          <w:szCs w:val="32"/>
        </w:rPr>
        <w:t>三</w:t>
      </w:r>
      <w:r w:rsidRPr="00AB3200">
        <w:rPr>
          <w:rFonts w:hAnsi="標楷體"/>
          <w:b/>
          <w:bCs w:val="0"/>
          <w:szCs w:val="32"/>
        </w:rPr>
        <w:t>成以上青年</w:t>
      </w:r>
      <w:r w:rsidRPr="00AB3200">
        <w:rPr>
          <w:rFonts w:hAnsi="標楷體"/>
          <w:b/>
          <w:szCs w:val="32"/>
        </w:rPr>
        <w:t>對於職</w:t>
      </w:r>
      <w:proofErr w:type="gramStart"/>
      <w:r w:rsidRPr="00AB3200">
        <w:rPr>
          <w:rFonts w:hAnsi="標楷體"/>
          <w:b/>
          <w:szCs w:val="32"/>
        </w:rPr>
        <w:t>涯</w:t>
      </w:r>
      <w:proofErr w:type="gramEnd"/>
      <w:r w:rsidRPr="00AB3200">
        <w:rPr>
          <w:rFonts w:hAnsi="標楷體"/>
          <w:b/>
          <w:szCs w:val="32"/>
        </w:rPr>
        <w:t>發展感到迷惘</w:t>
      </w:r>
      <w:r w:rsidRPr="00AB3200">
        <w:rPr>
          <w:rFonts w:hAnsi="標楷體"/>
          <w:b/>
          <w:bCs w:val="0"/>
          <w:szCs w:val="32"/>
        </w:rPr>
        <w:t>，允應確實檢討計畫之配套措施及執行成效，</w:t>
      </w:r>
      <w:r w:rsidRPr="00AB3200">
        <w:rPr>
          <w:rFonts w:hAnsi="標楷體" w:hint="eastAsia"/>
          <w:b/>
          <w:bCs w:val="0"/>
          <w:szCs w:val="32"/>
        </w:rPr>
        <w:t>充分運用就業服務中心功能，</w:t>
      </w:r>
      <w:r w:rsidRPr="00AB3200">
        <w:rPr>
          <w:rFonts w:hAnsi="標楷體"/>
          <w:b/>
          <w:bCs w:val="0"/>
          <w:szCs w:val="32"/>
        </w:rPr>
        <w:t>避免政府資源浪費</w:t>
      </w:r>
      <w:r w:rsidRPr="00AB3200">
        <w:rPr>
          <w:rFonts w:hAnsi="標楷體"/>
          <w:b/>
          <w:szCs w:val="32"/>
        </w:rPr>
        <w:t>。</w:t>
      </w:r>
      <w:bookmarkEnd w:id="173"/>
    </w:p>
    <w:p w:rsidR="003A213D" w:rsidRPr="00AB3200" w:rsidRDefault="003A213D" w:rsidP="003A213D">
      <w:pPr>
        <w:pStyle w:val="3"/>
        <w:ind w:left="1360" w:hanging="680"/>
        <w:rPr>
          <w:rFonts w:hAnsi="標楷體"/>
          <w:szCs w:val="32"/>
        </w:rPr>
      </w:pPr>
      <w:bookmarkStart w:id="174" w:name="_Toc392764879"/>
      <w:bookmarkStart w:id="175" w:name="_Toc393464436"/>
      <w:r w:rsidRPr="00AB3200">
        <w:rPr>
          <w:rFonts w:hAnsi="標楷體"/>
          <w:szCs w:val="32"/>
        </w:rPr>
        <w:t>據勞動</w:t>
      </w:r>
      <w:proofErr w:type="gramStart"/>
      <w:r w:rsidRPr="00AB3200">
        <w:rPr>
          <w:rFonts w:hAnsi="標楷體"/>
          <w:szCs w:val="32"/>
        </w:rPr>
        <w:t>部函復本</w:t>
      </w:r>
      <w:proofErr w:type="gramEnd"/>
      <w:r w:rsidRPr="00AB3200">
        <w:rPr>
          <w:rFonts w:hAnsi="標楷體"/>
          <w:szCs w:val="32"/>
        </w:rPr>
        <w:t>院有關協助青年職</w:t>
      </w:r>
      <w:proofErr w:type="gramStart"/>
      <w:r w:rsidRPr="00AB3200">
        <w:rPr>
          <w:rFonts w:hAnsi="標楷體"/>
          <w:szCs w:val="32"/>
        </w:rPr>
        <w:t>涯</w:t>
      </w:r>
      <w:proofErr w:type="gramEnd"/>
      <w:r w:rsidRPr="00AB3200">
        <w:rPr>
          <w:rFonts w:hAnsi="標楷體"/>
          <w:szCs w:val="32"/>
        </w:rPr>
        <w:t>探索及就業輔導措施情形，係透過提升國高中(職)學生就業準備力計畫、大專校院辦理就業服務補助計畫；於公立就業服務站設置「青年專櫃」</w:t>
      </w:r>
      <w:r w:rsidRPr="00AB3200">
        <w:rPr>
          <w:rFonts w:hAnsi="標楷體" w:hint="eastAsia"/>
          <w:szCs w:val="32"/>
        </w:rPr>
        <w:t>，</w:t>
      </w:r>
      <w:r w:rsidRPr="00AB3200">
        <w:rPr>
          <w:rFonts w:hAnsi="標楷體"/>
        </w:rPr>
        <w:t>提供就業諮詢及推</w:t>
      </w:r>
      <w:proofErr w:type="gramStart"/>
      <w:r w:rsidRPr="00AB3200">
        <w:rPr>
          <w:rFonts w:hAnsi="標楷體"/>
        </w:rPr>
        <w:t>介</w:t>
      </w:r>
      <w:proofErr w:type="gramEnd"/>
      <w:r w:rsidRPr="00AB3200">
        <w:rPr>
          <w:rFonts w:hAnsi="標楷體"/>
        </w:rPr>
        <w:t>服務，協助盤點青年就業能力安排參加就業講座</w:t>
      </w:r>
      <w:r w:rsidRPr="00AB3200">
        <w:rPr>
          <w:rFonts w:hAnsi="標楷體"/>
        </w:rPr>
        <w:lastRenderedPageBreak/>
        <w:t>或職業訓練，強化尋職能力及就業準備，並由專人提供一案到底專人服務，以掌握青年求職狀況提供就業協助</w:t>
      </w:r>
      <w:r w:rsidRPr="00AB3200">
        <w:rPr>
          <w:rFonts w:hAnsi="標楷體"/>
          <w:szCs w:val="32"/>
        </w:rPr>
        <w:t>；開辦青年就業達人班；成立青年就業服務中心等，以強化青年就業</w:t>
      </w:r>
      <w:proofErr w:type="gramStart"/>
      <w:r w:rsidRPr="00AB3200">
        <w:rPr>
          <w:rFonts w:hAnsi="標楷體"/>
          <w:szCs w:val="32"/>
        </w:rPr>
        <w:t>先備知能</w:t>
      </w:r>
      <w:proofErr w:type="gramEnd"/>
      <w:r w:rsidRPr="00AB3200">
        <w:rPr>
          <w:rFonts w:hAnsi="標楷體"/>
          <w:szCs w:val="32"/>
        </w:rPr>
        <w:t>。另於補助大專校院辦理就業學程計畫，針對在校大專校院學生開辦共通核心職能課程，於訓練計畫中導入工作倫理、職務認知、團隊協作及問題分析解決等職能課程，以提升大專生之就業態度，順利與職場接軌。又辦理「校園駐點職</w:t>
      </w:r>
      <w:proofErr w:type="gramStart"/>
      <w:r w:rsidRPr="00AB3200">
        <w:rPr>
          <w:rFonts w:hAnsi="標楷體"/>
          <w:szCs w:val="32"/>
        </w:rPr>
        <w:t>涯</w:t>
      </w:r>
      <w:proofErr w:type="gramEnd"/>
      <w:r w:rsidRPr="00AB3200">
        <w:rPr>
          <w:rFonts w:hAnsi="標楷體"/>
          <w:szCs w:val="32"/>
        </w:rPr>
        <w:t>諮詢業務」，補助各大專校院聘用職</w:t>
      </w:r>
      <w:proofErr w:type="gramStart"/>
      <w:r w:rsidRPr="00AB3200">
        <w:rPr>
          <w:rFonts w:hAnsi="標楷體"/>
          <w:szCs w:val="32"/>
        </w:rPr>
        <w:t>涯</w:t>
      </w:r>
      <w:proofErr w:type="gramEnd"/>
      <w:r w:rsidRPr="00AB3200">
        <w:rPr>
          <w:rFonts w:hAnsi="標楷體"/>
          <w:szCs w:val="32"/>
        </w:rPr>
        <w:t>諮商師進駐校園，協助在學學生職業生涯規劃、職業探索與就業準備，</w:t>
      </w:r>
      <w:proofErr w:type="gramStart"/>
      <w:r w:rsidRPr="00AB3200">
        <w:rPr>
          <w:rFonts w:hAnsi="標楷體"/>
          <w:szCs w:val="32"/>
        </w:rPr>
        <w:t>102</w:t>
      </w:r>
      <w:proofErr w:type="gramEnd"/>
      <w:r w:rsidRPr="00AB3200">
        <w:rPr>
          <w:rFonts w:hAnsi="標楷體"/>
          <w:szCs w:val="32"/>
        </w:rPr>
        <w:t>年度提供23所學校辦理84場次之職</w:t>
      </w:r>
      <w:proofErr w:type="gramStart"/>
      <w:r w:rsidRPr="00AB3200">
        <w:rPr>
          <w:rFonts w:hAnsi="標楷體"/>
          <w:szCs w:val="32"/>
        </w:rPr>
        <w:t>涯</w:t>
      </w:r>
      <w:proofErr w:type="gramEnd"/>
      <w:r w:rsidRPr="00AB3200">
        <w:rPr>
          <w:rFonts w:hAnsi="標楷體"/>
          <w:szCs w:val="32"/>
        </w:rPr>
        <w:t>諮詢服務；</w:t>
      </w:r>
      <w:proofErr w:type="gramStart"/>
      <w:r w:rsidRPr="00AB3200">
        <w:rPr>
          <w:rFonts w:hAnsi="標楷體"/>
          <w:szCs w:val="32"/>
        </w:rPr>
        <w:t>103</w:t>
      </w:r>
      <w:proofErr w:type="gramEnd"/>
      <w:r w:rsidRPr="00AB3200">
        <w:rPr>
          <w:rFonts w:hAnsi="標楷體"/>
          <w:szCs w:val="32"/>
        </w:rPr>
        <w:t>年度規劃提供60所大專校院辦理1,165場次之進入校園職</w:t>
      </w:r>
      <w:proofErr w:type="gramStart"/>
      <w:r w:rsidRPr="00AB3200">
        <w:rPr>
          <w:rFonts w:hAnsi="標楷體"/>
          <w:szCs w:val="32"/>
        </w:rPr>
        <w:t>涯</w:t>
      </w:r>
      <w:proofErr w:type="gramEnd"/>
      <w:r w:rsidRPr="00AB3200">
        <w:rPr>
          <w:rFonts w:hAnsi="標楷體"/>
          <w:szCs w:val="32"/>
        </w:rPr>
        <w:t>諮詢服務。</w:t>
      </w:r>
      <w:bookmarkEnd w:id="174"/>
      <w:bookmarkEnd w:id="175"/>
    </w:p>
    <w:p w:rsidR="003A213D" w:rsidRPr="00AB3200" w:rsidRDefault="003A213D" w:rsidP="003A213D">
      <w:pPr>
        <w:pStyle w:val="3"/>
        <w:ind w:left="1360" w:hanging="680"/>
        <w:rPr>
          <w:rFonts w:hAnsi="標楷體"/>
          <w:szCs w:val="32"/>
        </w:rPr>
      </w:pPr>
      <w:bookmarkStart w:id="176" w:name="_Toc392764880"/>
      <w:bookmarkStart w:id="177" w:name="_Toc393464437"/>
      <w:r w:rsidRPr="00AB3200">
        <w:rPr>
          <w:rFonts w:hAnsi="標楷體"/>
          <w:szCs w:val="32"/>
        </w:rPr>
        <w:t>查勞動部「15-29歲青年勞工就業狀況提要分析」報告(資料時間：101年10月)，</w:t>
      </w:r>
      <w:r w:rsidRPr="00AB3200">
        <w:rPr>
          <w:rFonts w:hAnsi="標楷體" w:hint="eastAsia"/>
          <w:szCs w:val="32"/>
        </w:rPr>
        <w:t>青年初次就業平均尋職期間為2.1個月，能立即就業者僅占27.3</w:t>
      </w:r>
      <w:r w:rsidRPr="00AB3200">
        <w:rPr>
          <w:rFonts w:hAnsi="標楷體"/>
          <w:szCs w:val="32"/>
        </w:rPr>
        <w:t>％</w:t>
      </w:r>
      <w:r w:rsidRPr="00AB3200">
        <w:rPr>
          <w:rFonts w:hAnsi="標楷體" w:hint="eastAsia"/>
          <w:szCs w:val="32"/>
        </w:rPr>
        <w:t>；</w:t>
      </w:r>
      <w:r w:rsidRPr="00AB3200">
        <w:rPr>
          <w:rFonts w:hAnsi="標楷體"/>
          <w:szCs w:val="32"/>
        </w:rPr>
        <w:t>青年勞工初次求職遇到困難，「不知道自己適合哪方面工作」占33.6％</w:t>
      </w:r>
      <w:r w:rsidRPr="00AB3200">
        <w:rPr>
          <w:rFonts w:hAnsi="標楷體" w:hint="eastAsia"/>
          <w:szCs w:val="32"/>
        </w:rPr>
        <w:t>(其中22-25歲之35</w:t>
      </w:r>
      <w:r w:rsidRPr="00AB3200">
        <w:rPr>
          <w:rFonts w:hAnsi="標楷體"/>
          <w:szCs w:val="32"/>
        </w:rPr>
        <w:t>％</w:t>
      </w:r>
      <w:r w:rsidRPr="00AB3200">
        <w:rPr>
          <w:rFonts w:hAnsi="標楷體" w:hint="eastAsia"/>
          <w:szCs w:val="32"/>
        </w:rPr>
        <w:t>為最高)</w:t>
      </w:r>
      <w:r w:rsidRPr="00AB3200">
        <w:rPr>
          <w:rFonts w:hAnsi="標楷體"/>
          <w:szCs w:val="32"/>
        </w:rPr>
        <w:t>，「求職面試技巧不足或不會寫履歷」占16.0％，兩者合計近</w:t>
      </w:r>
      <w:proofErr w:type="gramStart"/>
      <w:r w:rsidRPr="00AB3200">
        <w:rPr>
          <w:rFonts w:hAnsi="標楷體"/>
          <w:szCs w:val="32"/>
        </w:rPr>
        <w:t>5成</w:t>
      </w:r>
      <w:proofErr w:type="gramEnd"/>
      <w:r w:rsidRPr="00AB3200">
        <w:rPr>
          <w:rFonts w:hAnsi="標楷體"/>
          <w:szCs w:val="32"/>
        </w:rPr>
        <w:t>；青年勞工初次尋職前，「沒有做準備」者，高達41.7％。前行政院青年輔導委員會100年10月「提升青年就業力計畫成效評估暨就業力調查研究報告」亦指出，大專校院有45.8％的在校生及44.1％的畢業青年，如果有機會重新選擇，不會再選擇目前就讀的科系，超過</w:t>
      </w:r>
      <w:proofErr w:type="gramStart"/>
      <w:r w:rsidRPr="00AB3200">
        <w:rPr>
          <w:rFonts w:hAnsi="標楷體"/>
          <w:szCs w:val="32"/>
        </w:rPr>
        <w:t>4成</w:t>
      </w:r>
      <w:proofErr w:type="gramEnd"/>
      <w:r w:rsidRPr="00AB3200">
        <w:rPr>
          <w:rFonts w:hAnsi="標楷體"/>
          <w:szCs w:val="32"/>
        </w:rPr>
        <w:t>青年對於自己的職業生涯規劃尚不夠清楚。又經查本院實地訪查台北城市科技大學、文化大學及臺灣大學，該等學校均表示</w:t>
      </w:r>
      <w:proofErr w:type="gramStart"/>
      <w:r w:rsidRPr="00AB3200">
        <w:rPr>
          <w:rFonts w:hAnsi="標楷體"/>
          <w:szCs w:val="32"/>
        </w:rPr>
        <w:t>不</w:t>
      </w:r>
      <w:proofErr w:type="gramEnd"/>
      <w:r w:rsidRPr="00AB3200">
        <w:rPr>
          <w:rFonts w:hAnsi="標楷體"/>
          <w:szCs w:val="32"/>
        </w:rPr>
        <w:t>知悉勞動部勞動力發展署推動之「校園駐點職</w:t>
      </w:r>
      <w:proofErr w:type="gramStart"/>
      <w:r w:rsidRPr="00AB3200">
        <w:rPr>
          <w:rFonts w:hAnsi="標楷體"/>
          <w:szCs w:val="32"/>
        </w:rPr>
        <w:t>涯</w:t>
      </w:r>
      <w:proofErr w:type="gramEnd"/>
      <w:r w:rsidRPr="00AB3200">
        <w:rPr>
          <w:rFonts w:hAnsi="標楷體"/>
          <w:szCs w:val="32"/>
        </w:rPr>
        <w:t>諮詢業務」，亟待積極推廣。</w:t>
      </w:r>
      <w:bookmarkEnd w:id="176"/>
      <w:bookmarkEnd w:id="177"/>
    </w:p>
    <w:p w:rsidR="00BA612B" w:rsidRPr="00AB3200" w:rsidRDefault="00BA612B" w:rsidP="00BA612B">
      <w:pPr>
        <w:spacing w:line="300" w:lineRule="exact"/>
        <w:jc w:val="center"/>
        <w:rPr>
          <w:kern w:val="0"/>
          <w:sz w:val="24"/>
          <w:szCs w:val="24"/>
        </w:rPr>
      </w:pPr>
      <w:r w:rsidRPr="00AB3200">
        <w:rPr>
          <w:sz w:val="24"/>
          <w:szCs w:val="24"/>
        </w:rPr>
        <w:lastRenderedPageBreak/>
        <w:t>青年勞工初次就業尋職期間</w:t>
      </w:r>
      <w:r w:rsidRPr="00AB3200">
        <w:rPr>
          <w:sz w:val="24"/>
          <w:szCs w:val="24"/>
        </w:rPr>
        <w:t>:</w:t>
      </w:r>
      <w:r w:rsidRPr="00AB3200">
        <w:rPr>
          <w:kern w:val="0"/>
          <w:sz w:val="24"/>
          <w:szCs w:val="24"/>
        </w:rPr>
        <w:t>101.10</w:t>
      </w:r>
      <w:r w:rsidRPr="00AB3200">
        <w:rPr>
          <w:kern w:val="0"/>
          <w:sz w:val="24"/>
          <w:szCs w:val="24"/>
        </w:rPr>
        <w:t>月</w:t>
      </w:r>
    </w:p>
    <w:p w:rsidR="00BA612B" w:rsidRPr="00AB3200" w:rsidRDefault="00BA612B" w:rsidP="00BA612B">
      <w:pPr>
        <w:spacing w:line="240" w:lineRule="exact"/>
        <w:jc w:val="right"/>
        <w:rPr>
          <w:b/>
          <w:sz w:val="28"/>
        </w:rPr>
      </w:pPr>
      <w:r w:rsidRPr="00AB3200">
        <w:rPr>
          <w:kern w:val="0"/>
          <w:sz w:val="20"/>
        </w:rPr>
        <w:tab/>
      </w:r>
      <w:r w:rsidRPr="00AB3200">
        <w:rPr>
          <w:kern w:val="0"/>
          <w:sz w:val="20"/>
        </w:rPr>
        <w:t>單位：</w:t>
      </w:r>
      <w:r w:rsidRPr="00AB3200">
        <w:rPr>
          <w:kern w:val="0"/>
          <w:sz w:val="20"/>
        </w:rPr>
        <w:t>%</w:t>
      </w:r>
      <w:r w:rsidRPr="00AB3200">
        <w:rPr>
          <w:kern w:val="0"/>
          <w:sz w:val="20"/>
        </w:rPr>
        <w:t>，月</w:t>
      </w:r>
    </w:p>
    <w:tbl>
      <w:tblPr>
        <w:tblW w:w="4798" w:type="pct"/>
        <w:tblInd w:w="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750"/>
        <w:gridCol w:w="897"/>
        <w:gridCol w:w="984"/>
        <w:gridCol w:w="1047"/>
        <w:gridCol w:w="798"/>
        <w:gridCol w:w="806"/>
        <w:gridCol w:w="902"/>
        <w:gridCol w:w="1356"/>
      </w:tblGrid>
      <w:tr w:rsidR="00BA612B" w:rsidRPr="00AB3200" w:rsidTr="00BA612B">
        <w:trPr>
          <w:trHeight w:val="550"/>
        </w:trPr>
        <w:tc>
          <w:tcPr>
            <w:tcW w:w="1025" w:type="pct"/>
            <w:shd w:val="clear" w:color="auto" w:fill="auto"/>
            <w:noWrap/>
            <w:vAlign w:val="center"/>
          </w:tcPr>
          <w:p w:rsidR="00BA612B" w:rsidRPr="00AB3200" w:rsidRDefault="00BA612B" w:rsidP="00360B7C">
            <w:pPr>
              <w:widowControl/>
              <w:jc w:val="center"/>
              <w:rPr>
                <w:kern w:val="0"/>
                <w:sz w:val="20"/>
              </w:rPr>
            </w:pPr>
            <w:r w:rsidRPr="00AB3200">
              <w:rPr>
                <w:kern w:val="0"/>
                <w:sz w:val="20"/>
              </w:rPr>
              <w:t>項目別</w:t>
            </w:r>
          </w:p>
        </w:tc>
        <w:tc>
          <w:tcPr>
            <w:tcW w:w="525" w:type="pct"/>
            <w:shd w:val="clear" w:color="auto" w:fill="auto"/>
            <w:noWrap/>
            <w:vAlign w:val="center"/>
          </w:tcPr>
          <w:p w:rsidR="00BA612B" w:rsidRPr="00AB3200" w:rsidRDefault="00BA612B" w:rsidP="00360B7C">
            <w:pPr>
              <w:widowControl/>
              <w:jc w:val="center"/>
              <w:rPr>
                <w:kern w:val="0"/>
                <w:sz w:val="20"/>
              </w:rPr>
            </w:pPr>
            <w:r w:rsidRPr="00AB3200">
              <w:rPr>
                <w:kern w:val="0"/>
                <w:sz w:val="20"/>
              </w:rPr>
              <w:t>合計</w:t>
            </w:r>
          </w:p>
        </w:tc>
        <w:tc>
          <w:tcPr>
            <w:tcW w:w="576" w:type="pct"/>
            <w:shd w:val="clear" w:color="auto" w:fill="auto"/>
            <w:vAlign w:val="center"/>
          </w:tcPr>
          <w:p w:rsidR="00BA612B" w:rsidRPr="00AB3200" w:rsidRDefault="00BA612B" w:rsidP="00360B7C">
            <w:pPr>
              <w:widowControl/>
              <w:jc w:val="center"/>
              <w:rPr>
                <w:kern w:val="0"/>
                <w:sz w:val="20"/>
              </w:rPr>
            </w:pPr>
            <w:r w:rsidRPr="00AB3200">
              <w:rPr>
                <w:kern w:val="0"/>
                <w:sz w:val="20"/>
              </w:rPr>
              <w:t>立即就業</w:t>
            </w:r>
          </w:p>
        </w:tc>
        <w:tc>
          <w:tcPr>
            <w:tcW w:w="613" w:type="pct"/>
            <w:shd w:val="clear" w:color="auto" w:fill="auto"/>
            <w:vAlign w:val="center"/>
          </w:tcPr>
          <w:p w:rsidR="00BA612B" w:rsidRPr="00AB3200" w:rsidRDefault="00BA612B" w:rsidP="00360B7C">
            <w:pPr>
              <w:widowControl/>
              <w:jc w:val="center"/>
              <w:rPr>
                <w:kern w:val="0"/>
                <w:sz w:val="20"/>
              </w:rPr>
            </w:pPr>
            <w:r w:rsidRPr="00AB3200">
              <w:rPr>
                <w:kern w:val="0"/>
                <w:sz w:val="20"/>
              </w:rPr>
              <w:t>1</w:t>
            </w:r>
            <w:r w:rsidRPr="00AB3200">
              <w:rPr>
                <w:kern w:val="0"/>
                <w:sz w:val="20"/>
              </w:rPr>
              <w:t>個月內</w:t>
            </w:r>
          </w:p>
        </w:tc>
        <w:tc>
          <w:tcPr>
            <w:tcW w:w="467" w:type="pct"/>
            <w:shd w:val="clear" w:color="auto" w:fill="auto"/>
            <w:vAlign w:val="center"/>
          </w:tcPr>
          <w:p w:rsidR="00BA612B" w:rsidRPr="00AB3200" w:rsidRDefault="00BA612B" w:rsidP="00360B7C">
            <w:pPr>
              <w:widowControl/>
              <w:jc w:val="center"/>
              <w:rPr>
                <w:kern w:val="0"/>
                <w:sz w:val="20"/>
              </w:rPr>
            </w:pPr>
            <w:r w:rsidRPr="00AB3200">
              <w:rPr>
                <w:kern w:val="0"/>
                <w:sz w:val="20"/>
              </w:rPr>
              <w:t>1~3</w:t>
            </w:r>
            <w:r w:rsidRPr="00AB3200">
              <w:rPr>
                <w:kern w:val="0"/>
                <w:sz w:val="20"/>
              </w:rPr>
              <w:t>個月</w:t>
            </w:r>
            <w:r w:rsidRPr="00AB3200">
              <w:rPr>
                <w:kern w:val="0"/>
                <w:sz w:val="20"/>
              </w:rPr>
              <w:t>(</w:t>
            </w:r>
            <w:r w:rsidRPr="00AB3200">
              <w:rPr>
                <w:kern w:val="0"/>
                <w:sz w:val="20"/>
              </w:rPr>
              <w:t>含</w:t>
            </w:r>
            <w:r w:rsidRPr="00AB3200">
              <w:rPr>
                <w:kern w:val="0"/>
                <w:sz w:val="20"/>
              </w:rPr>
              <w:t>)</w:t>
            </w:r>
          </w:p>
        </w:tc>
        <w:tc>
          <w:tcPr>
            <w:tcW w:w="472" w:type="pct"/>
            <w:shd w:val="clear" w:color="auto" w:fill="auto"/>
            <w:vAlign w:val="center"/>
          </w:tcPr>
          <w:p w:rsidR="00BA612B" w:rsidRPr="00AB3200" w:rsidRDefault="00BA612B" w:rsidP="00360B7C">
            <w:pPr>
              <w:widowControl/>
              <w:jc w:val="center"/>
              <w:rPr>
                <w:kern w:val="0"/>
                <w:sz w:val="20"/>
              </w:rPr>
            </w:pPr>
            <w:r w:rsidRPr="00AB3200">
              <w:rPr>
                <w:kern w:val="0"/>
                <w:sz w:val="20"/>
              </w:rPr>
              <w:t>3~6</w:t>
            </w:r>
            <w:r w:rsidRPr="00AB3200">
              <w:rPr>
                <w:kern w:val="0"/>
                <w:sz w:val="20"/>
              </w:rPr>
              <w:t>個月</w:t>
            </w:r>
            <w:r w:rsidRPr="00AB3200">
              <w:rPr>
                <w:kern w:val="0"/>
                <w:sz w:val="20"/>
              </w:rPr>
              <w:t>(</w:t>
            </w:r>
            <w:r w:rsidRPr="00AB3200">
              <w:rPr>
                <w:kern w:val="0"/>
                <w:sz w:val="20"/>
              </w:rPr>
              <w:t>含</w:t>
            </w:r>
            <w:r w:rsidRPr="00AB3200">
              <w:rPr>
                <w:kern w:val="0"/>
                <w:sz w:val="20"/>
              </w:rPr>
              <w:t>)</w:t>
            </w:r>
          </w:p>
        </w:tc>
        <w:tc>
          <w:tcPr>
            <w:tcW w:w="528" w:type="pct"/>
            <w:shd w:val="clear" w:color="auto" w:fill="auto"/>
            <w:vAlign w:val="center"/>
          </w:tcPr>
          <w:p w:rsidR="00BA612B" w:rsidRPr="00AB3200" w:rsidRDefault="00BA612B" w:rsidP="00360B7C">
            <w:pPr>
              <w:widowControl/>
              <w:jc w:val="center"/>
              <w:rPr>
                <w:kern w:val="0"/>
                <w:sz w:val="20"/>
              </w:rPr>
            </w:pPr>
            <w:r w:rsidRPr="00AB3200">
              <w:rPr>
                <w:kern w:val="0"/>
                <w:sz w:val="20"/>
              </w:rPr>
              <w:t>6</w:t>
            </w:r>
            <w:r w:rsidRPr="00AB3200">
              <w:rPr>
                <w:kern w:val="0"/>
                <w:sz w:val="20"/>
              </w:rPr>
              <w:t>個月</w:t>
            </w:r>
          </w:p>
          <w:p w:rsidR="00BA612B" w:rsidRPr="00AB3200" w:rsidRDefault="00BA612B" w:rsidP="00360B7C">
            <w:pPr>
              <w:widowControl/>
              <w:jc w:val="center"/>
              <w:rPr>
                <w:kern w:val="0"/>
                <w:sz w:val="20"/>
              </w:rPr>
            </w:pPr>
            <w:r w:rsidRPr="00AB3200">
              <w:rPr>
                <w:kern w:val="0"/>
                <w:sz w:val="20"/>
              </w:rPr>
              <w:t>以上</w:t>
            </w:r>
          </w:p>
        </w:tc>
        <w:tc>
          <w:tcPr>
            <w:tcW w:w="794" w:type="pct"/>
            <w:shd w:val="clear" w:color="auto" w:fill="auto"/>
            <w:vAlign w:val="center"/>
          </w:tcPr>
          <w:p w:rsidR="00BA612B" w:rsidRPr="00AB3200" w:rsidRDefault="00BA612B" w:rsidP="00BA612B">
            <w:pPr>
              <w:widowControl/>
              <w:ind w:rightChars="-54" w:right="-184"/>
              <w:rPr>
                <w:kern w:val="0"/>
                <w:sz w:val="20"/>
              </w:rPr>
            </w:pPr>
            <w:r w:rsidRPr="00AB3200">
              <w:rPr>
                <w:kern w:val="0"/>
                <w:sz w:val="20"/>
              </w:rPr>
              <w:t>平均尋職期間</w:t>
            </w:r>
          </w:p>
        </w:tc>
      </w:tr>
      <w:tr w:rsidR="00BA612B" w:rsidRPr="00AB3200" w:rsidTr="00BA612B">
        <w:trPr>
          <w:trHeight w:hRule="exact" w:val="253"/>
        </w:trPr>
        <w:tc>
          <w:tcPr>
            <w:tcW w:w="1025" w:type="pct"/>
            <w:shd w:val="clear" w:color="auto" w:fill="auto"/>
            <w:noWrap/>
            <w:vAlign w:val="center"/>
          </w:tcPr>
          <w:p w:rsidR="00BA612B" w:rsidRPr="00AB3200" w:rsidRDefault="00BA612B" w:rsidP="00BA612B">
            <w:pPr>
              <w:widowControl/>
              <w:spacing w:line="200" w:lineRule="exact"/>
              <w:ind w:rightChars="62" w:right="211" w:firstLineChars="47" w:firstLine="103"/>
              <w:jc w:val="both"/>
              <w:rPr>
                <w:bCs/>
                <w:kern w:val="0"/>
                <w:sz w:val="20"/>
              </w:rPr>
            </w:pPr>
            <w:r w:rsidRPr="00AB3200">
              <w:rPr>
                <w:bCs/>
                <w:kern w:val="0"/>
                <w:sz w:val="20"/>
              </w:rPr>
              <w:t>總計</w:t>
            </w:r>
          </w:p>
        </w:tc>
        <w:tc>
          <w:tcPr>
            <w:tcW w:w="525" w:type="pct"/>
            <w:shd w:val="clear" w:color="auto" w:fill="auto"/>
            <w:noWrap/>
            <w:vAlign w:val="center"/>
          </w:tcPr>
          <w:p w:rsidR="00BA612B" w:rsidRPr="00AB3200" w:rsidRDefault="00BA612B" w:rsidP="00360B7C">
            <w:pPr>
              <w:spacing w:line="200" w:lineRule="exact"/>
              <w:jc w:val="right"/>
              <w:rPr>
                <w:sz w:val="20"/>
              </w:rPr>
            </w:pPr>
            <w:r w:rsidRPr="00AB3200">
              <w:rPr>
                <w:sz w:val="20"/>
              </w:rPr>
              <w:t>100.0</w:t>
            </w:r>
          </w:p>
        </w:tc>
        <w:tc>
          <w:tcPr>
            <w:tcW w:w="576" w:type="pct"/>
            <w:shd w:val="clear" w:color="auto" w:fill="auto"/>
            <w:noWrap/>
            <w:vAlign w:val="center"/>
          </w:tcPr>
          <w:p w:rsidR="00BA612B" w:rsidRPr="00AB3200" w:rsidRDefault="00BA612B" w:rsidP="00360B7C">
            <w:pPr>
              <w:spacing w:line="200" w:lineRule="exact"/>
              <w:jc w:val="right"/>
              <w:rPr>
                <w:sz w:val="20"/>
              </w:rPr>
            </w:pPr>
            <w:r w:rsidRPr="00AB3200">
              <w:rPr>
                <w:sz w:val="20"/>
              </w:rPr>
              <w:t>27.3</w:t>
            </w:r>
          </w:p>
        </w:tc>
        <w:tc>
          <w:tcPr>
            <w:tcW w:w="613" w:type="pct"/>
            <w:shd w:val="clear" w:color="auto" w:fill="auto"/>
            <w:noWrap/>
            <w:vAlign w:val="center"/>
          </w:tcPr>
          <w:p w:rsidR="00BA612B" w:rsidRPr="00AB3200" w:rsidRDefault="00BA612B" w:rsidP="00360B7C">
            <w:pPr>
              <w:spacing w:line="200" w:lineRule="exact"/>
              <w:jc w:val="right"/>
              <w:rPr>
                <w:sz w:val="20"/>
              </w:rPr>
            </w:pPr>
            <w:r w:rsidRPr="00AB3200">
              <w:rPr>
                <w:sz w:val="20"/>
              </w:rPr>
              <w:t>7.7</w:t>
            </w:r>
          </w:p>
        </w:tc>
        <w:tc>
          <w:tcPr>
            <w:tcW w:w="467" w:type="pct"/>
            <w:shd w:val="clear" w:color="auto" w:fill="auto"/>
            <w:noWrap/>
            <w:vAlign w:val="center"/>
          </w:tcPr>
          <w:p w:rsidR="00BA612B" w:rsidRPr="00AB3200" w:rsidRDefault="00BA612B" w:rsidP="00360B7C">
            <w:pPr>
              <w:spacing w:line="200" w:lineRule="exact"/>
              <w:jc w:val="right"/>
              <w:rPr>
                <w:sz w:val="20"/>
              </w:rPr>
            </w:pPr>
            <w:r w:rsidRPr="00AB3200">
              <w:rPr>
                <w:sz w:val="20"/>
              </w:rPr>
              <w:t>40.6</w:t>
            </w:r>
          </w:p>
        </w:tc>
        <w:tc>
          <w:tcPr>
            <w:tcW w:w="472" w:type="pct"/>
            <w:shd w:val="clear" w:color="auto" w:fill="auto"/>
            <w:noWrap/>
            <w:vAlign w:val="center"/>
          </w:tcPr>
          <w:p w:rsidR="00BA612B" w:rsidRPr="00AB3200" w:rsidRDefault="00BA612B" w:rsidP="00360B7C">
            <w:pPr>
              <w:spacing w:line="200" w:lineRule="exact"/>
              <w:jc w:val="right"/>
              <w:rPr>
                <w:sz w:val="20"/>
              </w:rPr>
            </w:pPr>
            <w:r w:rsidRPr="00AB3200">
              <w:rPr>
                <w:sz w:val="20"/>
              </w:rPr>
              <w:t>13.8</w:t>
            </w:r>
          </w:p>
        </w:tc>
        <w:tc>
          <w:tcPr>
            <w:tcW w:w="528" w:type="pct"/>
            <w:shd w:val="clear" w:color="auto" w:fill="auto"/>
            <w:noWrap/>
            <w:vAlign w:val="center"/>
          </w:tcPr>
          <w:p w:rsidR="00BA612B" w:rsidRPr="00AB3200" w:rsidRDefault="00BA612B" w:rsidP="00360B7C">
            <w:pPr>
              <w:spacing w:line="200" w:lineRule="exact"/>
              <w:jc w:val="right"/>
              <w:rPr>
                <w:sz w:val="20"/>
              </w:rPr>
            </w:pPr>
            <w:r w:rsidRPr="00AB3200">
              <w:rPr>
                <w:sz w:val="20"/>
              </w:rPr>
              <w:t>10.7</w:t>
            </w:r>
          </w:p>
        </w:tc>
        <w:tc>
          <w:tcPr>
            <w:tcW w:w="794" w:type="pct"/>
            <w:shd w:val="clear" w:color="auto" w:fill="auto"/>
            <w:noWrap/>
            <w:vAlign w:val="center"/>
          </w:tcPr>
          <w:p w:rsidR="00BA612B" w:rsidRPr="00AB3200" w:rsidRDefault="00BA612B" w:rsidP="00360B7C">
            <w:pPr>
              <w:spacing w:line="200" w:lineRule="exact"/>
              <w:jc w:val="right"/>
              <w:rPr>
                <w:sz w:val="20"/>
              </w:rPr>
            </w:pPr>
            <w:r w:rsidRPr="00AB3200">
              <w:rPr>
                <w:sz w:val="20"/>
              </w:rPr>
              <w:t>2.1</w:t>
            </w:r>
          </w:p>
        </w:tc>
      </w:tr>
      <w:tr w:rsidR="00BA612B" w:rsidRPr="00AB3200" w:rsidTr="00BA612B">
        <w:trPr>
          <w:trHeight w:hRule="exact" w:val="253"/>
        </w:trPr>
        <w:tc>
          <w:tcPr>
            <w:tcW w:w="1025" w:type="pct"/>
            <w:shd w:val="clear" w:color="auto" w:fill="auto"/>
            <w:noWrap/>
            <w:vAlign w:val="center"/>
          </w:tcPr>
          <w:p w:rsidR="00BA612B" w:rsidRPr="00AB3200" w:rsidRDefault="00BA612B" w:rsidP="00360B7C">
            <w:pPr>
              <w:jc w:val="both"/>
              <w:rPr>
                <w:bCs/>
                <w:sz w:val="20"/>
              </w:rPr>
            </w:pPr>
            <w:r w:rsidRPr="00AB3200">
              <w:rPr>
                <w:bCs/>
                <w:sz w:val="20"/>
              </w:rPr>
              <w:t xml:space="preserve"> </w:t>
            </w:r>
            <w:r w:rsidRPr="00AB3200">
              <w:rPr>
                <w:kern w:val="0"/>
                <w:sz w:val="20"/>
              </w:rPr>
              <w:t>尋職前準備情形</w:t>
            </w:r>
          </w:p>
        </w:tc>
        <w:tc>
          <w:tcPr>
            <w:tcW w:w="525" w:type="pct"/>
            <w:shd w:val="clear" w:color="auto" w:fill="auto"/>
            <w:noWrap/>
            <w:vAlign w:val="center"/>
          </w:tcPr>
          <w:p w:rsidR="00BA612B" w:rsidRPr="00AB3200" w:rsidRDefault="00BA612B" w:rsidP="00360B7C">
            <w:pPr>
              <w:rPr>
                <w:sz w:val="20"/>
              </w:rPr>
            </w:pPr>
          </w:p>
        </w:tc>
        <w:tc>
          <w:tcPr>
            <w:tcW w:w="576" w:type="pct"/>
            <w:shd w:val="clear" w:color="auto" w:fill="auto"/>
            <w:noWrap/>
            <w:vAlign w:val="center"/>
          </w:tcPr>
          <w:p w:rsidR="00BA612B" w:rsidRPr="00AB3200" w:rsidRDefault="00BA612B" w:rsidP="00360B7C">
            <w:pPr>
              <w:rPr>
                <w:sz w:val="20"/>
              </w:rPr>
            </w:pPr>
          </w:p>
        </w:tc>
        <w:tc>
          <w:tcPr>
            <w:tcW w:w="613" w:type="pct"/>
            <w:shd w:val="clear" w:color="auto" w:fill="auto"/>
            <w:noWrap/>
            <w:vAlign w:val="center"/>
          </w:tcPr>
          <w:p w:rsidR="00BA612B" w:rsidRPr="00AB3200" w:rsidRDefault="00BA612B" w:rsidP="00360B7C">
            <w:pPr>
              <w:rPr>
                <w:sz w:val="20"/>
              </w:rPr>
            </w:pPr>
          </w:p>
        </w:tc>
        <w:tc>
          <w:tcPr>
            <w:tcW w:w="467" w:type="pct"/>
            <w:shd w:val="clear" w:color="auto" w:fill="auto"/>
            <w:noWrap/>
            <w:vAlign w:val="center"/>
          </w:tcPr>
          <w:p w:rsidR="00BA612B" w:rsidRPr="00AB3200" w:rsidRDefault="00BA612B" w:rsidP="00360B7C">
            <w:pPr>
              <w:rPr>
                <w:sz w:val="20"/>
              </w:rPr>
            </w:pPr>
          </w:p>
        </w:tc>
        <w:tc>
          <w:tcPr>
            <w:tcW w:w="472" w:type="pct"/>
            <w:shd w:val="clear" w:color="auto" w:fill="auto"/>
            <w:noWrap/>
            <w:vAlign w:val="center"/>
          </w:tcPr>
          <w:p w:rsidR="00BA612B" w:rsidRPr="00AB3200" w:rsidRDefault="00BA612B" w:rsidP="00360B7C">
            <w:pPr>
              <w:rPr>
                <w:sz w:val="20"/>
              </w:rPr>
            </w:pPr>
          </w:p>
        </w:tc>
        <w:tc>
          <w:tcPr>
            <w:tcW w:w="528" w:type="pct"/>
            <w:shd w:val="clear" w:color="auto" w:fill="auto"/>
            <w:noWrap/>
            <w:vAlign w:val="center"/>
          </w:tcPr>
          <w:p w:rsidR="00BA612B" w:rsidRPr="00AB3200" w:rsidRDefault="00BA612B" w:rsidP="00360B7C">
            <w:pPr>
              <w:rPr>
                <w:sz w:val="20"/>
              </w:rPr>
            </w:pPr>
          </w:p>
        </w:tc>
        <w:tc>
          <w:tcPr>
            <w:tcW w:w="794" w:type="pct"/>
            <w:shd w:val="clear" w:color="auto" w:fill="auto"/>
            <w:noWrap/>
            <w:vAlign w:val="center"/>
          </w:tcPr>
          <w:p w:rsidR="00BA612B" w:rsidRPr="00AB3200" w:rsidRDefault="00BA612B" w:rsidP="00360B7C">
            <w:pPr>
              <w:rPr>
                <w:sz w:val="20"/>
              </w:rPr>
            </w:pPr>
          </w:p>
        </w:tc>
      </w:tr>
      <w:tr w:rsidR="00BA612B" w:rsidRPr="00AB3200" w:rsidTr="00BA612B">
        <w:trPr>
          <w:trHeight w:hRule="exact" w:val="253"/>
        </w:trPr>
        <w:tc>
          <w:tcPr>
            <w:tcW w:w="1025" w:type="pct"/>
            <w:shd w:val="clear" w:color="auto" w:fill="auto"/>
            <w:noWrap/>
            <w:vAlign w:val="center"/>
          </w:tcPr>
          <w:p w:rsidR="00BA612B" w:rsidRPr="00AB3200" w:rsidRDefault="00BA612B" w:rsidP="00BA612B">
            <w:pPr>
              <w:widowControl/>
              <w:spacing w:line="220" w:lineRule="exact"/>
              <w:ind w:leftChars="100" w:left="340"/>
              <w:jc w:val="both"/>
              <w:rPr>
                <w:kern w:val="0"/>
                <w:sz w:val="20"/>
              </w:rPr>
            </w:pPr>
            <w:r w:rsidRPr="00AB3200">
              <w:rPr>
                <w:kern w:val="0"/>
                <w:sz w:val="20"/>
              </w:rPr>
              <w:t xml:space="preserve"> </w:t>
            </w:r>
            <w:r w:rsidRPr="00AB3200">
              <w:rPr>
                <w:kern w:val="0"/>
                <w:sz w:val="20"/>
              </w:rPr>
              <w:t>有準備</w:t>
            </w:r>
          </w:p>
        </w:tc>
        <w:tc>
          <w:tcPr>
            <w:tcW w:w="525" w:type="pct"/>
            <w:shd w:val="clear" w:color="auto" w:fill="auto"/>
            <w:noWrap/>
            <w:vAlign w:val="center"/>
          </w:tcPr>
          <w:p w:rsidR="00BA612B" w:rsidRPr="00AB3200" w:rsidRDefault="00BA612B" w:rsidP="00360B7C">
            <w:pPr>
              <w:spacing w:line="220" w:lineRule="exact"/>
              <w:jc w:val="right"/>
              <w:rPr>
                <w:sz w:val="20"/>
              </w:rPr>
            </w:pPr>
            <w:r w:rsidRPr="00AB3200">
              <w:rPr>
                <w:sz w:val="20"/>
              </w:rPr>
              <w:t>100.0</w:t>
            </w:r>
          </w:p>
        </w:tc>
        <w:tc>
          <w:tcPr>
            <w:tcW w:w="576" w:type="pct"/>
            <w:shd w:val="clear" w:color="auto" w:fill="auto"/>
            <w:noWrap/>
            <w:vAlign w:val="center"/>
          </w:tcPr>
          <w:p w:rsidR="00BA612B" w:rsidRPr="00AB3200" w:rsidRDefault="00BA612B" w:rsidP="00360B7C">
            <w:pPr>
              <w:spacing w:line="220" w:lineRule="exact"/>
              <w:jc w:val="right"/>
              <w:rPr>
                <w:sz w:val="20"/>
              </w:rPr>
            </w:pPr>
            <w:r w:rsidRPr="00AB3200">
              <w:rPr>
                <w:sz w:val="20"/>
              </w:rPr>
              <w:t>27.7</w:t>
            </w:r>
          </w:p>
        </w:tc>
        <w:tc>
          <w:tcPr>
            <w:tcW w:w="613" w:type="pct"/>
            <w:shd w:val="clear" w:color="auto" w:fill="auto"/>
            <w:noWrap/>
            <w:vAlign w:val="center"/>
          </w:tcPr>
          <w:p w:rsidR="00BA612B" w:rsidRPr="00AB3200" w:rsidRDefault="00BA612B" w:rsidP="00360B7C">
            <w:pPr>
              <w:spacing w:line="220" w:lineRule="exact"/>
              <w:jc w:val="right"/>
              <w:rPr>
                <w:sz w:val="20"/>
              </w:rPr>
            </w:pPr>
            <w:r w:rsidRPr="00AB3200">
              <w:rPr>
                <w:sz w:val="20"/>
              </w:rPr>
              <w:t>8.0</w:t>
            </w:r>
          </w:p>
        </w:tc>
        <w:tc>
          <w:tcPr>
            <w:tcW w:w="467" w:type="pct"/>
            <w:shd w:val="clear" w:color="auto" w:fill="auto"/>
            <w:noWrap/>
            <w:vAlign w:val="center"/>
          </w:tcPr>
          <w:p w:rsidR="00BA612B" w:rsidRPr="00AB3200" w:rsidRDefault="00BA612B" w:rsidP="00360B7C">
            <w:pPr>
              <w:spacing w:line="220" w:lineRule="exact"/>
              <w:jc w:val="right"/>
              <w:rPr>
                <w:sz w:val="20"/>
              </w:rPr>
            </w:pPr>
            <w:r w:rsidRPr="00AB3200">
              <w:rPr>
                <w:sz w:val="20"/>
              </w:rPr>
              <w:t>40.4</w:t>
            </w:r>
          </w:p>
        </w:tc>
        <w:tc>
          <w:tcPr>
            <w:tcW w:w="472" w:type="pct"/>
            <w:shd w:val="clear" w:color="auto" w:fill="auto"/>
            <w:noWrap/>
            <w:vAlign w:val="center"/>
          </w:tcPr>
          <w:p w:rsidR="00BA612B" w:rsidRPr="00AB3200" w:rsidRDefault="00BA612B" w:rsidP="00360B7C">
            <w:pPr>
              <w:spacing w:line="220" w:lineRule="exact"/>
              <w:jc w:val="right"/>
              <w:rPr>
                <w:sz w:val="20"/>
              </w:rPr>
            </w:pPr>
            <w:r w:rsidRPr="00AB3200">
              <w:rPr>
                <w:sz w:val="20"/>
              </w:rPr>
              <w:t>14.2</w:t>
            </w:r>
          </w:p>
        </w:tc>
        <w:tc>
          <w:tcPr>
            <w:tcW w:w="528" w:type="pct"/>
            <w:shd w:val="clear" w:color="auto" w:fill="auto"/>
            <w:noWrap/>
            <w:vAlign w:val="center"/>
          </w:tcPr>
          <w:p w:rsidR="00BA612B" w:rsidRPr="00AB3200" w:rsidRDefault="00BA612B" w:rsidP="00360B7C">
            <w:pPr>
              <w:spacing w:line="220" w:lineRule="exact"/>
              <w:jc w:val="right"/>
              <w:rPr>
                <w:sz w:val="20"/>
              </w:rPr>
            </w:pPr>
            <w:r w:rsidRPr="00AB3200">
              <w:rPr>
                <w:sz w:val="20"/>
              </w:rPr>
              <w:t>9.8</w:t>
            </w:r>
          </w:p>
        </w:tc>
        <w:tc>
          <w:tcPr>
            <w:tcW w:w="794" w:type="pct"/>
            <w:shd w:val="clear" w:color="auto" w:fill="auto"/>
            <w:noWrap/>
            <w:vAlign w:val="center"/>
          </w:tcPr>
          <w:p w:rsidR="00BA612B" w:rsidRPr="00AB3200" w:rsidRDefault="00BA612B" w:rsidP="00360B7C">
            <w:pPr>
              <w:spacing w:line="220" w:lineRule="exact"/>
              <w:jc w:val="right"/>
              <w:rPr>
                <w:sz w:val="20"/>
              </w:rPr>
            </w:pPr>
            <w:r w:rsidRPr="00AB3200">
              <w:rPr>
                <w:sz w:val="20"/>
              </w:rPr>
              <w:t>2.0</w:t>
            </w:r>
          </w:p>
        </w:tc>
      </w:tr>
      <w:tr w:rsidR="00BA612B" w:rsidRPr="00AB3200" w:rsidTr="00BA612B">
        <w:trPr>
          <w:trHeight w:hRule="exact" w:val="253"/>
        </w:trPr>
        <w:tc>
          <w:tcPr>
            <w:tcW w:w="1025" w:type="pct"/>
            <w:shd w:val="clear" w:color="auto" w:fill="auto"/>
            <w:noWrap/>
            <w:vAlign w:val="center"/>
          </w:tcPr>
          <w:p w:rsidR="00BA612B" w:rsidRPr="00AB3200" w:rsidRDefault="00BA612B" w:rsidP="00BA612B">
            <w:pPr>
              <w:widowControl/>
              <w:spacing w:line="220" w:lineRule="exact"/>
              <w:ind w:leftChars="100" w:left="340"/>
              <w:jc w:val="both"/>
              <w:rPr>
                <w:kern w:val="0"/>
                <w:sz w:val="20"/>
              </w:rPr>
            </w:pPr>
            <w:r w:rsidRPr="00AB3200">
              <w:rPr>
                <w:kern w:val="0"/>
                <w:sz w:val="20"/>
              </w:rPr>
              <w:t xml:space="preserve"> </w:t>
            </w:r>
            <w:r w:rsidRPr="00AB3200">
              <w:rPr>
                <w:kern w:val="0"/>
                <w:sz w:val="20"/>
              </w:rPr>
              <w:t>無準備</w:t>
            </w:r>
          </w:p>
        </w:tc>
        <w:tc>
          <w:tcPr>
            <w:tcW w:w="525" w:type="pct"/>
            <w:shd w:val="clear" w:color="auto" w:fill="auto"/>
            <w:noWrap/>
            <w:vAlign w:val="center"/>
          </w:tcPr>
          <w:p w:rsidR="00BA612B" w:rsidRPr="00AB3200" w:rsidRDefault="00BA612B" w:rsidP="00360B7C">
            <w:pPr>
              <w:spacing w:line="220" w:lineRule="exact"/>
              <w:jc w:val="right"/>
              <w:rPr>
                <w:sz w:val="20"/>
              </w:rPr>
            </w:pPr>
            <w:r w:rsidRPr="00AB3200">
              <w:rPr>
                <w:sz w:val="20"/>
              </w:rPr>
              <w:t>100.0</w:t>
            </w:r>
          </w:p>
        </w:tc>
        <w:tc>
          <w:tcPr>
            <w:tcW w:w="576" w:type="pct"/>
            <w:shd w:val="clear" w:color="auto" w:fill="auto"/>
            <w:noWrap/>
            <w:vAlign w:val="center"/>
          </w:tcPr>
          <w:p w:rsidR="00BA612B" w:rsidRPr="00AB3200" w:rsidRDefault="00BA612B" w:rsidP="00360B7C">
            <w:pPr>
              <w:spacing w:line="220" w:lineRule="exact"/>
              <w:jc w:val="right"/>
              <w:rPr>
                <w:sz w:val="20"/>
              </w:rPr>
            </w:pPr>
            <w:r w:rsidRPr="00AB3200">
              <w:rPr>
                <w:sz w:val="20"/>
              </w:rPr>
              <w:t>26.7</w:t>
            </w:r>
          </w:p>
        </w:tc>
        <w:tc>
          <w:tcPr>
            <w:tcW w:w="613" w:type="pct"/>
            <w:shd w:val="clear" w:color="auto" w:fill="auto"/>
            <w:noWrap/>
            <w:vAlign w:val="center"/>
          </w:tcPr>
          <w:p w:rsidR="00BA612B" w:rsidRPr="00AB3200" w:rsidRDefault="00BA612B" w:rsidP="00360B7C">
            <w:pPr>
              <w:spacing w:line="220" w:lineRule="exact"/>
              <w:jc w:val="right"/>
              <w:rPr>
                <w:sz w:val="20"/>
              </w:rPr>
            </w:pPr>
            <w:r w:rsidRPr="00AB3200">
              <w:rPr>
                <w:sz w:val="20"/>
              </w:rPr>
              <w:t>7.2</w:t>
            </w:r>
          </w:p>
        </w:tc>
        <w:tc>
          <w:tcPr>
            <w:tcW w:w="467" w:type="pct"/>
            <w:shd w:val="clear" w:color="auto" w:fill="auto"/>
            <w:noWrap/>
            <w:vAlign w:val="center"/>
          </w:tcPr>
          <w:p w:rsidR="00BA612B" w:rsidRPr="00AB3200" w:rsidRDefault="00BA612B" w:rsidP="00360B7C">
            <w:pPr>
              <w:spacing w:line="220" w:lineRule="exact"/>
              <w:jc w:val="right"/>
              <w:rPr>
                <w:sz w:val="20"/>
              </w:rPr>
            </w:pPr>
            <w:r w:rsidRPr="00AB3200">
              <w:rPr>
                <w:sz w:val="20"/>
              </w:rPr>
              <w:t>40.9</w:t>
            </w:r>
          </w:p>
        </w:tc>
        <w:tc>
          <w:tcPr>
            <w:tcW w:w="472" w:type="pct"/>
            <w:shd w:val="clear" w:color="auto" w:fill="auto"/>
            <w:noWrap/>
            <w:vAlign w:val="center"/>
          </w:tcPr>
          <w:p w:rsidR="00BA612B" w:rsidRPr="00AB3200" w:rsidRDefault="00BA612B" w:rsidP="00360B7C">
            <w:pPr>
              <w:spacing w:line="220" w:lineRule="exact"/>
              <w:jc w:val="right"/>
              <w:rPr>
                <w:sz w:val="20"/>
              </w:rPr>
            </w:pPr>
            <w:r w:rsidRPr="00AB3200">
              <w:rPr>
                <w:sz w:val="20"/>
              </w:rPr>
              <w:t>13.2</w:t>
            </w:r>
          </w:p>
        </w:tc>
        <w:tc>
          <w:tcPr>
            <w:tcW w:w="528" w:type="pct"/>
            <w:shd w:val="clear" w:color="auto" w:fill="auto"/>
            <w:noWrap/>
            <w:vAlign w:val="center"/>
          </w:tcPr>
          <w:p w:rsidR="00BA612B" w:rsidRPr="00AB3200" w:rsidRDefault="00BA612B" w:rsidP="00360B7C">
            <w:pPr>
              <w:spacing w:line="220" w:lineRule="exact"/>
              <w:jc w:val="right"/>
              <w:rPr>
                <w:sz w:val="20"/>
              </w:rPr>
            </w:pPr>
            <w:r w:rsidRPr="00AB3200">
              <w:rPr>
                <w:sz w:val="20"/>
              </w:rPr>
              <w:t>12.0</w:t>
            </w:r>
          </w:p>
        </w:tc>
        <w:tc>
          <w:tcPr>
            <w:tcW w:w="794" w:type="pct"/>
            <w:shd w:val="clear" w:color="auto" w:fill="auto"/>
            <w:noWrap/>
            <w:vAlign w:val="center"/>
          </w:tcPr>
          <w:p w:rsidR="00BA612B" w:rsidRPr="00AB3200" w:rsidRDefault="00BA612B" w:rsidP="00360B7C">
            <w:pPr>
              <w:spacing w:line="220" w:lineRule="exact"/>
              <w:jc w:val="right"/>
              <w:rPr>
                <w:sz w:val="20"/>
              </w:rPr>
            </w:pPr>
            <w:r w:rsidRPr="00AB3200">
              <w:rPr>
                <w:sz w:val="20"/>
              </w:rPr>
              <w:t>2.3</w:t>
            </w:r>
          </w:p>
        </w:tc>
      </w:tr>
      <w:tr w:rsidR="00BA612B" w:rsidRPr="00AB3200" w:rsidTr="00BA612B">
        <w:trPr>
          <w:trHeight w:hRule="exact" w:val="253"/>
        </w:trPr>
        <w:tc>
          <w:tcPr>
            <w:tcW w:w="1025" w:type="pct"/>
            <w:shd w:val="clear" w:color="auto" w:fill="auto"/>
            <w:noWrap/>
            <w:vAlign w:val="center"/>
          </w:tcPr>
          <w:p w:rsidR="00BA612B" w:rsidRPr="00AB3200" w:rsidRDefault="00BA612B" w:rsidP="00360B7C">
            <w:pPr>
              <w:jc w:val="both"/>
              <w:rPr>
                <w:kern w:val="0"/>
                <w:sz w:val="20"/>
              </w:rPr>
            </w:pPr>
            <w:r w:rsidRPr="00AB3200">
              <w:rPr>
                <w:bCs/>
                <w:sz w:val="20"/>
              </w:rPr>
              <w:t xml:space="preserve"> </w:t>
            </w:r>
            <w:r w:rsidRPr="00AB3200">
              <w:rPr>
                <w:kern w:val="0"/>
                <w:sz w:val="20"/>
              </w:rPr>
              <w:t>有無證照</w:t>
            </w:r>
          </w:p>
        </w:tc>
        <w:tc>
          <w:tcPr>
            <w:tcW w:w="525" w:type="pct"/>
            <w:shd w:val="clear" w:color="auto" w:fill="auto"/>
            <w:noWrap/>
            <w:vAlign w:val="center"/>
          </w:tcPr>
          <w:p w:rsidR="00BA612B" w:rsidRPr="00AB3200" w:rsidRDefault="00BA612B" w:rsidP="00360B7C">
            <w:pPr>
              <w:spacing w:line="280" w:lineRule="exact"/>
              <w:jc w:val="right"/>
              <w:rPr>
                <w:sz w:val="20"/>
              </w:rPr>
            </w:pPr>
          </w:p>
        </w:tc>
        <w:tc>
          <w:tcPr>
            <w:tcW w:w="576" w:type="pct"/>
            <w:shd w:val="clear" w:color="auto" w:fill="auto"/>
            <w:noWrap/>
            <w:vAlign w:val="center"/>
          </w:tcPr>
          <w:p w:rsidR="00BA612B" w:rsidRPr="00AB3200" w:rsidRDefault="00BA612B" w:rsidP="00360B7C">
            <w:pPr>
              <w:spacing w:line="280" w:lineRule="exact"/>
              <w:jc w:val="right"/>
              <w:rPr>
                <w:sz w:val="20"/>
              </w:rPr>
            </w:pPr>
          </w:p>
        </w:tc>
        <w:tc>
          <w:tcPr>
            <w:tcW w:w="613" w:type="pct"/>
            <w:shd w:val="clear" w:color="auto" w:fill="auto"/>
            <w:noWrap/>
            <w:vAlign w:val="center"/>
          </w:tcPr>
          <w:p w:rsidR="00BA612B" w:rsidRPr="00AB3200" w:rsidRDefault="00BA612B" w:rsidP="00360B7C">
            <w:pPr>
              <w:spacing w:line="280" w:lineRule="exact"/>
              <w:jc w:val="right"/>
              <w:rPr>
                <w:sz w:val="20"/>
              </w:rPr>
            </w:pPr>
          </w:p>
        </w:tc>
        <w:tc>
          <w:tcPr>
            <w:tcW w:w="467" w:type="pct"/>
            <w:shd w:val="clear" w:color="auto" w:fill="auto"/>
            <w:noWrap/>
            <w:vAlign w:val="center"/>
          </w:tcPr>
          <w:p w:rsidR="00BA612B" w:rsidRPr="00AB3200" w:rsidRDefault="00BA612B" w:rsidP="00360B7C">
            <w:pPr>
              <w:spacing w:line="280" w:lineRule="exact"/>
              <w:jc w:val="right"/>
              <w:rPr>
                <w:sz w:val="20"/>
              </w:rPr>
            </w:pPr>
          </w:p>
        </w:tc>
        <w:tc>
          <w:tcPr>
            <w:tcW w:w="472" w:type="pct"/>
            <w:shd w:val="clear" w:color="auto" w:fill="auto"/>
            <w:noWrap/>
            <w:vAlign w:val="center"/>
          </w:tcPr>
          <w:p w:rsidR="00BA612B" w:rsidRPr="00AB3200" w:rsidRDefault="00BA612B" w:rsidP="00360B7C">
            <w:pPr>
              <w:spacing w:line="280" w:lineRule="exact"/>
              <w:jc w:val="right"/>
              <w:rPr>
                <w:sz w:val="20"/>
              </w:rPr>
            </w:pPr>
          </w:p>
        </w:tc>
        <w:tc>
          <w:tcPr>
            <w:tcW w:w="528" w:type="pct"/>
            <w:shd w:val="clear" w:color="auto" w:fill="auto"/>
            <w:noWrap/>
            <w:vAlign w:val="center"/>
          </w:tcPr>
          <w:p w:rsidR="00BA612B" w:rsidRPr="00AB3200" w:rsidRDefault="00BA612B" w:rsidP="00360B7C">
            <w:pPr>
              <w:spacing w:line="280" w:lineRule="exact"/>
              <w:jc w:val="right"/>
              <w:rPr>
                <w:sz w:val="20"/>
              </w:rPr>
            </w:pPr>
          </w:p>
        </w:tc>
        <w:tc>
          <w:tcPr>
            <w:tcW w:w="794" w:type="pct"/>
            <w:shd w:val="clear" w:color="auto" w:fill="auto"/>
            <w:noWrap/>
            <w:vAlign w:val="center"/>
          </w:tcPr>
          <w:p w:rsidR="00BA612B" w:rsidRPr="00AB3200" w:rsidRDefault="00BA612B" w:rsidP="00360B7C">
            <w:pPr>
              <w:spacing w:line="280" w:lineRule="exact"/>
              <w:jc w:val="right"/>
              <w:rPr>
                <w:sz w:val="20"/>
              </w:rPr>
            </w:pPr>
          </w:p>
        </w:tc>
      </w:tr>
      <w:tr w:rsidR="00BA612B" w:rsidRPr="00AB3200" w:rsidTr="00BA612B">
        <w:trPr>
          <w:trHeight w:hRule="exact" w:val="253"/>
        </w:trPr>
        <w:tc>
          <w:tcPr>
            <w:tcW w:w="1025" w:type="pct"/>
            <w:shd w:val="clear" w:color="auto" w:fill="auto"/>
            <w:noWrap/>
            <w:vAlign w:val="center"/>
          </w:tcPr>
          <w:p w:rsidR="00BA612B" w:rsidRPr="00AB3200" w:rsidRDefault="00BA612B" w:rsidP="00BA612B">
            <w:pPr>
              <w:widowControl/>
              <w:spacing w:line="220" w:lineRule="exact"/>
              <w:ind w:leftChars="100" w:left="340"/>
              <w:jc w:val="both"/>
              <w:rPr>
                <w:kern w:val="0"/>
                <w:sz w:val="20"/>
              </w:rPr>
            </w:pPr>
            <w:r w:rsidRPr="00AB3200">
              <w:rPr>
                <w:kern w:val="0"/>
                <w:sz w:val="20"/>
              </w:rPr>
              <w:t xml:space="preserve"> </w:t>
            </w:r>
            <w:r w:rsidRPr="00AB3200">
              <w:rPr>
                <w:kern w:val="0"/>
                <w:sz w:val="20"/>
              </w:rPr>
              <w:t>有證照</w:t>
            </w:r>
          </w:p>
        </w:tc>
        <w:tc>
          <w:tcPr>
            <w:tcW w:w="525" w:type="pct"/>
            <w:shd w:val="clear" w:color="auto" w:fill="auto"/>
            <w:noWrap/>
            <w:vAlign w:val="center"/>
          </w:tcPr>
          <w:p w:rsidR="00BA612B" w:rsidRPr="00AB3200" w:rsidRDefault="00BA612B" w:rsidP="00360B7C">
            <w:pPr>
              <w:spacing w:line="220" w:lineRule="exact"/>
              <w:jc w:val="right"/>
              <w:rPr>
                <w:sz w:val="20"/>
              </w:rPr>
            </w:pPr>
            <w:r w:rsidRPr="00AB3200">
              <w:rPr>
                <w:sz w:val="20"/>
              </w:rPr>
              <w:t>100.0</w:t>
            </w:r>
          </w:p>
        </w:tc>
        <w:tc>
          <w:tcPr>
            <w:tcW w:w="576" w:type="pct"/>
            <w:shd w:val="clear" w:color="auto" w:fill="auto"/>
            <w:noWrap/>
            <w:vAlign w:val="center"/>
          </w:tcPr>
          <w:p w:rsidR="00BA612B" w:rsidRPr="00AB3200" w:rsidRDefault="00BA612B" w:rsidP="00360B7C">
            <w:pPr>
              <w:spacing w:line="220" w:lineRule="exact"/>
              <w:jc w:val="right"/>
              <w:rPr>
                <w:sz w:val="20"/>
              </w:rPr>
            </w:pPr>
            <w:r w:rsidRPr="00AB3200">
              <w:rPr>
                <w:sz w:val="20"/>
              </w:rPr>
              <w:t>28.7</w:t>
            </w:r>
          </w:p>
        </w:tc>
        <w:tc>
          <w:tcPr>
            <w:tcW w:w="613" w:type="pct"/>
            <w:shd w:val="clear" w:color="auto" w:fill="auto"/>
            <w:noWrap/>
            <w:vAlign w:val="center"/>
          </w:tcPr>
          <w:p w:rsidR="00BA612B" w:rsidRPr="00AB3200" w:rsidRDefault="00BA612B" w:rsidP="00360B7C">
            <w:pPr>
              <w:spacing w:line="220" w:lineRule="exact"/>
              <w:jc w:val="right"/>
              <w:rPr>
                <w:sz w:val="20"/>
              </w:rPr>
            </w:pPr>
            <w:r w:rsidRPr="00AB3200">
              <w:rPr>
                <w:sz w:val="20"/>
              </w:rPr>
              <w:t>7.9</w:t>
            </w:r>
          </w:p>
        </w:tc>
        <w:tc>
          <w:tcPr>
            <w:tcW w:w="467" w:type="pct"/>
            <w:shd w:val="clear" w:color="auto" w:fill="auto"/>
            <w:noWrap/>
            <w:vAlign w:val="center"/>
          </w:tcPr>
          <w:p w:rsidR="00BA612B" w:rsidRPr="00AB3200" w:rsidRDefault="00BA612B" w:rsidP="00360B7C">
            <w:pPr>
              <w:spacing w:line="220" w:lineRule="exact"/>
              <w:jc w:val="right"/>
              <w:rPr>
                <w:sz w:val="20"/>
              </w:rPr>
            </w:pPr>
            <w:r w:rsidRPr="00AB3200">
              <w:rPr>
                <w:sz w:val="20"/>
              </w:rPr>
              <w:t>40.4</w:t>
            </w:r>
          </w:p>
        </w:tc>
        <w:tc>
          <w:tcPr>
            <w:tcW w:w="472" w:type="pct"/>
            <w:shd w:val="clear" w:color="auto" w:fill="auto"/>
            <w:noWrap/>
            <w:vAlign w:val="center"/>
          </w:tcPr>
          <w:p w:rsidR="00BA612B" w:rsidRPr="00AB3200" w:rsidRDefault="00BA612B" w:rsidP="00360B7C">
            <w:pPr>
              <w:spacing w:line="220" w:lineRule="exact"/>
              <w:jc w:val="right"/>
              <w:rPr>
                <w:sz w:val="20"/>
              </w:rPr>
            </w:pPr>
            <w:r w:rsidRPr="00AB3200">
              <w:rPr>
                <w:sz w:val="20"/>
              </w:rPr>
              <w:t>13.1</w:t>
            </w:r>
          </w:p>
        </w:tc>
        <w:tc>
          <w:tcPr>
            <w:tcW w:w="528" w:type="pct"/>
            <w:shd w:val="clear" w:color="auto" w:fill="auto"/>
            <w:noWrap/>
            <w:vAlign w:val="center"/>
          </w:tcPr>
          <w:p w:rsidR="00BA612B" w:rsidRPr="00AB3200" w:rsidRDefault="00BA612B" w:rsidP="00360B7C">
            <w:pPr>
              <w:spacing w:line="220" w:lineRule="exact"/>
              <w:jc w:val="right"/>
              <w:rPr>
                <w:sz w:val="20"/>
              </w:rPr>
            </w:pPr>
            <w:r w:rsidRPr="00AB3200">
              <w:rPr>
                <w:sz w:val="20"/>
              </w:rPr>
              <w:t>9.9</w:t>
            </w:r>
          </w:p>
        </w:tc>
        <w:tc>
          <w:tcPr>
            <w:tcW w:w="794" w:type="pct"/>
            <w:shd w:val="clear" w:color="auto" w:fill="auto"/>
            <w:noWrap/>
            <w:vAlign w:val="center"/>
          </w:tcPr>
          <w:p w:rsidR="00BA612B" w:rsidRPr="00AB3200" w:rsidRDefault="00BA612B" w:rsidP="00360B7C">
            <w:pPr>
              <w:spacing w:line="220" w:lineRule="exact"/>
              <w:jc w:val="right"/>
              <w:rPr>
                <w:sz w:val="20"/>
              </w:rPr>
            </w:pPr>
            <w:r w:rsidRPr="00AB3200">
              <w:rPr>
                <w:sz w:val="20"/>
              </w:rPr>
              <w:t>2.0</w:t>
            </w:r>
          </w:p>
        </w:tc>
      </w:tr>
      <w:tr w:rsidR="00BA612B" w:rsidRPr="00AB3200" w:rsidTr="00BA612B">
        <w:trPr>
          <w:trHeight w:hRule="exact" w:val="253"/>
        </w:trPr>
        <w:tc>
          <w:tcPr>
            <w:tcW w:w="1025" w:type="pct"/>
            <w:shd w:val="clear" w:color="auto" w:fill="auto"/>
            <w:noWrap/>
            <w:vAlign w:val="center"/>
          </w:tcPr>
          <w:p w:rsidR="00BA612B" w:rsidRPr="00AB3200" w:rsidRDefault="00BA612B" w:rsidP="00BA612B">
            <w:pPr>
              <w:widowControl/>
              <w:spacing w:line="220" w:lineRule="exact"/>
              <w:ind w:leftChars="100" w:left="340"/>
              <w:jc w:val="both"/>
              <w:rPr>
                <w:kern w:val="0"/>
                <w:sz w:val="20"/>
              </w:rPr>
            </w:pPr>
            <w:r w:rsidRPr="00AB3200">
              <w:rPr>
                <w:kern w:val="0"/>
                <w:sz w:val="20"/>
              </w:rPr>
              <w:t xml:space="preserve"> </w:t>
            </w:r>
            <w:r w:rsidRPr="00AB3200">
              <w:rPr>
                <w:kern w:val="0"/>
                <w:sz w:val="20"/>
              </w:rPr>
              <w:t>無證照</w:t>
            </w:r>
          </w:p>
        </w:tc>
        <w:tc>
          <w:tcPr>
            <w:tcW w:w="525" w:type="pct"/>
            <w:shd w:val="clear" w:color="auto" w:fill="auto"/>
            <w:noWrap/>
            <w:vAlign w:val="center"/>
          </w:tcPr>
          <w:p w:rsidR="00BA612B" w:rsidRPr="00AB3200" w:rsidRDefault="00BA612B" w:rsidP="00360B7C">
            <w:pPr>
              <w:spacing w:line="220" w:lineRule="exact"/>
              <w:jc w:val="right"/>
              <w:rPr>
                <w:sz w:val="20"/>
              </w:rPr>
            </w:pPr>
            <w:r w:rsidRPr="00AB3200">
              <w:rPr>
                <w:sz w:val="20"/>
              </w:rPr>
              <w:t>100.0</w:t>
            </w:r>
          </w:p>
        </w:tc>
        <w:tc>
          <w:tcPr>
            <w:tcW w:w="576" w:type="pct"/>
            <w:shd w:val="clear" w:color="auto" w:fill="auto"/>
            <w:noWrap/>
            <w:vAlign w:val="center"/>
          </w:tcPr>
          <w:p w:rsidR="00BA612B" w:rsidRPr="00AB3200" w:rsidRDefault="00BA612B" w:rsidP="00360B7C">
            <w:pPr>
              <w:spacing w:line="220" w:lineRule="exact"/>
              <w:jc w:val="right"/>
              <w:rPr>
                <w:sz w:val="20"/>
              </w:rPr>
            </w:pPr>
            <w:r w:rsidRPr="00AB3200">
              <w:rPr>
                <w:sz w:val="20"/>
              </w:rPr>
              <w:t>24.8</w:t>
            </w:r>
          </w:p>
        </w:tc>
        <w:tc>
          <w:tcPr>
            <w:tcW w:w="613" w:type="pct"/>
            <w:shd w:val="clear" w:color="auto" w:fill="auto"/>
            <w:noWrap/>
            <w:vAlign w:val="center"/>
          </w:tcPr>
          <w:p w:rsidR="00BA612B" w:rsidRPr="00AB3200" w:rsidRDefault="00BA612B" w:rsidP="00360B7C">
            <w:pPr>
              <w:spacing w:line="220" w:lineRule="exact"/>
              <w:jc w:val="right"/>
              <w:rPr>
                <w:sz w:val="20"/>
              </w:rPr>
            </w:pPr>
            <w:r w:rsidRPr="00AB3200">
              <w:rPr>
                <w:sz w:val="20"/>
              </w:rPr>
              <w:t>7.3</w:t>
            </w:r>
          </w:p>
        </w:tc>
        <w:tc>
          <w:tcPr>
            <w:tcW w:w="467" w:type="pct"/>
            <w:shd w:val="clear" w:color="auto" w:fill="auto"/>
            <w:noWrap/>
            <w:vAlign w:val="center"/>
          </w:tcPr>
          <w:p w:rsidR="00BA612B" w:rsidRPr="00AB3200" w:rsidRDefault="00BA612B" w:rsidP="00360B7C">
            <w:pPr>
              <w:spacing w:line="220" w:lineRule="exact"/>
              <w:jc w:val="right"/>
              <w:rPr>
                <w:sz w:val="20"/>
              </w:rPr>
            </w:pPr>
            <w:r w:rsidRPr="00AB3200">
              <w:rPr>
                <w:sz w:val="20"/>
              </w:rPr>
              <w:t>41.0</w:t>
            </w:r>
          </w:p>
        </w:tc>
        <w:tc>
          <w:tcPr>
            <w:tcW w:w="472" w:type="pct"/>
            <w:shd w:val="clear" w:color="auto" w:fill="auto"/>
            <w:noWrap/>
            <w:vAlign w:val="center"/>
          </w:tcPr>
          <w:p w:rsidR="00BA612B" w:rsidRPr="00AB3200" w:rsidRDefault="00BA612B" w:rsidP="00360B7C">
            <w:pPr>
              <w:spacing w:line="220" w:lineRule="exact"/>
              <w:jc w:val="right"/>
              <w:rPr>
                <w:sz w:val="20"/>
              </w:rPr>
            </w:pPr>
            <w:r w:rsidRPr="00AB3200">
              <w:rPr>
                <w:sz w:val="20"/>
              </w:rPr>
              <w:t>14.9</w:t>
            </w:r>
          </w:p>
        </w:tc>
        <w:tc>
          <w:tcPr>
            <w:tcW w:w="528" w:type="pct"/>
            <w:shd w:val="clear" w:color="auto" w:fill="auto"/>
            <w:noWrap/>
            <w:vAlign w:val="center"/>
          </w:tcPr>
          <w:p w:rsidR="00BA612B" w:rsidRPr="00AB3200" w:rsidRDefault="00BA612B" w:rsidP="00360B7C">
            <w:pPr>
              <w:spacing w:line="220" w:lineRule="exact"/>
              <w:jc w:val="right"/>
              <w:rPr>
                <w:sz w:val="20"/>
              </w:rPr>
            </w:pPr>
            <w:r w:rsidRPr="00AB3200">
              <w:rPr>
                <w:sz w:val="20"/>
              </w:rPr>
              <w:t>12.0</w:t>
            </w:r>
          </w:p>
        </w:tc>
        <w:tc>
          <w:tcPr>
            <w:tcW w:w="794" w:type="pct"/>
            <w:shd w:val="clear" w:color="auto" w:fill="auto"/>
            <w:noWrap/>
            <w:vAlign w:val="center"/>
          </w:tcPr>
          <w:p w:rsidR="00BA612B" w:rsidRPr="00AB3200" w:rsidRDefault="00BA612B" w:rsidP="00360B7C">
            <w:pPr>
              <w:spacing w:line="220" w:lineRule="exact"/>
              <w:jc w:val="right"/>
              <w:rPr>
                <w:sz w:val="20"/>
              </w:rPr>
            </w:pPr>
            <w:r w:rsidRPr="00AB3200">
              <w:rPr>
                <w:sz w:val="20"/>
              </w:rPr>
              <w:t>2.3</w:t>
            </w:r>
          </w:p>
        </w:tc>
      </w:tr>
    </w:tbl>
    <w:p w:rsidR="00BA612B" w:rsidRPr="00AB3200" w:rsidRDefault="00BA612B" w:rsidP="00BA612B">
      <w:pPr>
        <w:pStyle w:val="3"/>
        <w:numPr>
          <w:ilvl w:val="0"/>
          <w:numId w:val="0"/>
        </w:numPr>
        <w:spacing w:line="240" w:lineRule="exact"/>
        <w:ind w:firstLineChars="257" w:firstLine="566"/>
        <w:rPr>
          <w:rFonts w:hAnsi="標楷體"/>
          <w:szCs w:val="32"/>
        </w:rPr>
      </w:pPr>
      <w:bookmarkStart w:id="178" w:name="_Toc393464438"/>
      <w:r w:rsidRPr="00AB3200">
        <w:rPr>
          <w:rFonts w:ascii="Times New Roman" w:hAnsi="Times New Roman"/>
          <w:sz w:val="20"/>
          <w:szCs w:val="20"/>
        </w:rPr>
        <w:t>資料來源</w:t>
      </w:r>
      <w:r w:rsidRPr="00AB3200">
        <w:rPr>
          <w:rFonts w:ascii="Times New Roman" w:hAnsi="Times New Roman"/>
          <w:sz w:val="20"/>
          <w:szCs w:val="20"/>
        </w:rPr>
        <w:t>:</w:t>
      </w:r>
      <w:r w:rsidRPr="00AB3200">
        <w:rPr>
          <w:rFonts w:ascii="Times New Roman" w:hAnsi="Times New Roman"/>
          <w:sz w:val="20"/>
          <w:szCs w:val="20"/>
        </w:rPr>
        <w:t>勞動部</w:t>
      </w:r>
      <w:bookmarkEnd w:id="178"/>
    </w:p>
    <w:p w:rsidR="003A213D" w:rsidRPr="00AB3200" w:rsidRDefault="003A213D" w:rsidP="003A213D">
      <w:pPr>
        <w:pStyle w:val="3"/>
        <w:ind w:left="1360" w:hanging="680"/>
        <w:rPr>
          <w:rFonts w:hAnsi="標楷體"/>
          <w:szCs w:val="32"/>
        </w:rPr>
      </w:pPr>
      <w:bookmarkStart w:id="179" w:name="_Toc392764881"/>
      <w:bookmarkStart w:id="180" w:name="_Toc393464439"/>
      <w:r w:rsidRPr="00AB3200">
        <w:rPr>
          <w:rFonts w:hAnsi="標楷體"/>
          <w:szCs w:val="32"/>
        </w:rPr>
        <w:t>依據經濟合作暨發展組織(Organisation for Economic Co-operation and Development，OECD)2012年9月11日「Education at a Glance 2012」報告指出，受全球經濟危機影響，2010年OECD會員國15至29歲未在學、未就業且未接受訓練者(Not in Employment,Education or Training，NEET，以下簡稱尼</w:t>
      </w:r>
      <w:proofErr w:type="gramStart"/>
      <w:r w:rsidRPr="00AB3200">
        <w:rPr>
          <w:rFonts w:hAnsi="標楷體"/>
          <w:szCs w:val="32"/>
        </w:rPr>
        <w:t>特</w:t>
      </w:r>
      <w:proofErr w:type="gramEnd"/>
      <w:r w:rsidRPr="00AB3200">
        <w:rPr>
          <w:rFonts w:hAnsi="標楷體"/>
          <w:szCs w:val="32"/>
        </w:rPr>
        <w:t>族)占該年齡層人口之15.8％。另主計總處指出</w:t>
      </w:r>
      <w:r w:rsidRPr="00AB3200">
        <w:rPr>
          <w:rStyle w:val="af7"/>
          <w:rFonts w:hAnsi="標楷體"/>
          <w:szCs w:val="32"/>
        </w:rPr>
        <w:footnoteReference w:id="10"/>
      </w:r>
      <w:r w:rsidRPr="00AB3200">
        <w:rPr>
          <w:rFonts w:hAnsi="標楷體"/>
          <w:szCs w:val="32"/>
        </w:rPr>
        <w:t>，我國2012年15至29歲「未在學且未就業」尼</w:t>
      </w:r>
      <w:proofErr w:type="gramStart"/>
      <w:r w:rsidRPr="00AB3200">
        <w:rPr>
          <w:rFonts w:hAnsi="標楷體"/>
          <w:szCs w:val="32"/>
        </w:rPr>
        <w:t>特</w:t>
      </w:r>
      <w:proofErr w:type="gramEnd"/>
      <w:r w:rsidRPr="00AB3200">
        <w:rPr>
          <w:rFonts w:hAnsi="標楷體"/>
          <w:szCs w:val="32"/>
        </w:rPr>
        <w:t>族推估計47.2萬人，占該年齡層之比率10％，其中失業者21.4萬人，非勞動力人口(準備升學、料理家務、其他等原因未工作，亦未找工作者)25.8萬人，相較於國際勞工組織(International Labour Organization，ILO</w:t>
      </w:r>
      <w:proofErr w:type="gramStart"/>
      <w:r w:rsidRPr="00AB3200">
        <w:rPr>
          <w:rFonts w:hAnsi="標楷體"/>
          <w:szCs w:val="32"/>
        </w:rPr>
        <w:t>）</w:t>
      </w:r>
      <w:proofErr w:type="gramEnd"/>
      <w:r w:rsidRPr="00AB3200">
        <w:rPr>
          <w:rFonts w:hAnsi="標楷體"/>
          <w:szCs w:val="32"/>
        </w:rPr>
        <w:t>統計2010年日本、紐西蘭、美國15至24歲年齡層中，尼</w:t>
      </w:r>
      <w:proofErr w:type="gramStart"/>
      <w:r w:rsidRPr="00AB3200">
        <w:rPr>
          <w:rFonts w:hAnsi="標楷體"/>
          <w:szCs w:val="32"/>
        </w:rPr>
        <w:t>特</w:t>
      </w:r>
      <w:proofErr w:type="gramEnd"/>
      <w:r w:rsidRPr="00AB3200">
        <w:rPr>
          <w:rFonts w:hAnsi="標楷體"/>
          <w:szCs w:val="32"/>
        </w:rPr>
        <w:t>族比重分別為9.7％、13.1％、15.6％，歐洲義大利、愛爾蘭、羅馬尼亞、西班牙等國尼</w:t>
      </w:r>
      <w:proofErr w:type="gramStart"/>
      <w:r w:rsidRPr="00AB3200">
        <w:rPr>
          <w:rFonts w:hAnsi="標楷體"/>
          <w:szCs w:val="32"/>
        </w:rPr>
        <w:t>特</w:t>
      </w:r>
      <w:proofErr w:type="gramEnd"/>
      <w:r w:rsidRPr="00AB3200">
        <w:rPr>
          <w:rFonts w:hAnsi="標楷體"/>
          <w:szCs w:val="32"/>
        </w:rPr>
        <w:t>族所占</w:t>
      </w:r>
      <w:proofErr w:type="gramStart"/>
      <w:r w:rsidRPr="00AB3200">
        <w:rPr>
          <w:rFonts w:hAnsi="標楷體"/>
          <w:szCs w:val="32"/>
        </w:rPr>
        <w:t>比率均逾</w:t>
      </w:r>
      <w:proofErr w:type="gramEnd"/>
      <w:r w:rsidRPr="00AB3200">
        <w:rPr>
          <w:rFonts w:hAnsi="標楷體"/>
          <w:szCs w:val="32"/>
        </w:rPr>
        <w:t>15％，我國尼</w:t>
      </w:r>
      <w:proofErr w:type="gramStart"/>
      <w:r w:rsidRPr="00AB3200">
        <w:rPr>
          <w:rFonts w:hAnsi="標楷體"/>
          <w:szCs w:val="32"/>
        </w:rPr>
        <w:t>特</w:t>
      </w:r>
      <w:proofErr w:type="gramEnd"/>
      <w:r w:rsidRPr="00AB3200">
        <w:rPr>
          <w:rFonts w:hAnsi="標楷體"/>
          <w:szCs w:val="32"/>
        </w:rPr>
        <w:t>族比率略高於日本，惟較歐美國家為低，顯示我國已出現與其他國家相同之尼</w:t>
      </w:r>
      <w:proofErr w:type="gramStart"/>
      <w:r w:rsidRPr="00AB3200">
        <w:rPr>
          <w:rFonts w:hAnsi="標楷體"/>
          <w:szCs w:val="32"/>
        </w:rPr>
        <w:t>特</w:t>
      </w:r>
      <w:proofErr w:type="gramEnd"/>
      <w:r w:rsidRPr="00AB3200">
        <w:rPr>
          <w:rFonts w:hAnsi="標楷體"/>
          <w:szCs w:val="32"/>
        </w:rPr>
        <w:t>族現象。按尼</w:t>
      </w:r>
      <w:proofErr w:type="gramStart"/>
      <w:r w:rsidRPr="00AB3200">
        <w:rPr>
          <w:rFonts w:hAnsi="標楷體"/>
          <w:szCs w:val="32"/>
        </w:rPr>
        <w:t>特</w:t>
      </w:r>
      <w:proofErr w:type="gramEnd"/>
      <w:r w:rsidRPr="00AB3200">
        <w:rPr>
          <w:rFonts w:hAnsi="標楷體"/>
          <w:szCs w:val="32"/>
        </w:rPr>
        <w:t>族形成原因</w:t>
      </w:r>
      <w:proofErr w:type="gramStart"/>
      <w:r w:rsidRPr="00AB3200">
        <w:rPr>
          <w:rFonts w:hAnsi="標楷體"/>
          <w:szCs w:val="32"/>
        </w:rPr>
        <w:t>眾多，</w:t>
      </w:r>
      <w:proofErr w:type="gramEnd"/>
      <w:r w:rsidRPr="00AB3200">
        <w:rPr>
          <w:rFonts w:hAnsi="標楷體"/>
          <w:szCs w:val="32"/>
        </w:rPr>
        <w:t>包括：個性缺乏積極進取、求學期間未妥作生涯規劃、所學知識與職場需求存在落差、缺乏政府職業訓練資訊、</w:t>
      </w:r>
      <w:r w:rsidRPr="00AB3200">
        <w:rPr>
          <w:rFonts w:hAnsi="標楷體"/>
          <w:szCs w:val="32"/>
        </w:rPr>
        <w:lastRenderedPageBreak/>
        <w:t>勞動市場薪資報酬未達理想、家庭良好經濟支援等，致接受學校正規教育畢業後，卻未投入職場，造成政府教育資源投入之浪費，亦減少勞動市場供給人口，對產業經濟及</w:t>
      </w:r>
      <w:proofErr w:type="gramStart"/>
      <w:r w:rsidRPr="00AB3200">
        <w:rPr>
          <w:rFonts w:hAnsi="標楷體"/>
          <w:szCs w:val="32"/>
        </w:rPr>
        <w:t>國家發展均有不良</w:t>
      </w:r>
      <w:proofErr w:type="gramEnd"/>
      <w:r w:rsidRPr="00AB3200">
        <w:rPr>
          <w:rFonts w:hAnsi="標楷體"/>
          <w:szCs w:val="32"/>
        </w:rPr>
        <w:t>之影響，可透過學校強化職</w:t>
      </w:r>
      <w:proofErr w:type="gramStart"/>
      <w:r w:rsidRPr="00AB3200">
        <w:rPr>
          <w:rFonts w:hAnsi="標楷體"/>
          <w:szCs w:val="32"/>
        </w:rPr>
        <w:t>涯</w:t>
      </w:r>
      <w:proofErr w:type="gramEnd"/>
      <w:r w:rsidRPr="00AB3200">
        <w:rPr>
          <w:rFonts w:hAnsi="標楷體"/>
          <w:szCs w:val="32"/>
        </w:rPr>
        <w:t>輔導，以培養正向態度等措施加以改善。</w:t>
      </w:r>
      <w:proofErr w:type="gramStart"/>
      <w:r w:rsidRPr="00AB3200">
        <w:rPr>
          <w:rFonts w:hAnsi="標楷體"/>
          <w:szCs w:val="32"/>
        </w:rPr>
        <w:t>惟</w:t>
      </w:r>
      <w:proofErr w:type="gramEnd"/>
      <w:r w:rsidRPr="00AB3200">
        <w:rPr>
          <w:rFonts w:hAnsi="標楷體"/>
          <w:szCs w:val="32"/>
        </w:rPr>
        <w:t>查核結果，</w:t>
      </w:r>
      <w:proofErr w:type="gramStart"/>
      <w:r w:rsidRPr="00AB3200">
        <w:rPr>
          <w:rFonts w:hAnsi="標楷體"/>
          <w:szCs w:val="32"/>
        </w:rPr>
        <w:t>勞動部雖推動</w:t>
      </w:r>
      <w:proofErr w:type="gramEnd"/>
      <w:r w:rsidRPr="00AB3200">
        <w:rPr>
          <w:rFonts w:hAnsi="標楷體"/>
          <w:szCs w:val="32"/>
        </w:rPr>
        <w:t>多項協助青年職</w:t>
      </w:r>
      <w:proofErr w:type="gramStart"/>
      <w:r w:rsidRPr="00AB3200">
        <w:rPr>
          <w:rFonts w:hAnsi="標楷體"/>
          <w:szCs w:val="32"/>
        </w:rPr>
        <w:t>涯</w:t>
      </w:r>
      <w:proofErr w:type="gramEnd"/>
      <w:r w:rsidRPr="00AB3200">
        <w:rPr>
          <w:rFonts w:hAnsi="標楷體"/>
          <w:szCs w:val="32"/>
        </w:rPr>
        <w:t>探索及就業輔導措施，教育部並將學校協助學生辦理職</w:t>
      </w:r>
      <w:proofErr w:type="gramStart"/>
      <w:r w:rsidRPr="00AB3200">
        <w:rPr>
          <w:rFonts w:hAnsi="標楷體"/>
          <w:szCs w:val="32"/>
        </w:rPr>
        <w:t>涯</w:t>
      </w:r>
      <w:proofErr w:type="gramEnd"/>
      <w:r w:rsidRPr="00AB3200">
        <w:rPr>
          <w:rFonts w:hAnsi="標楷體"/>
          <w:szCs w:val="32"/>
        </w:rPr>
        <w:t>探索情形，列為大學評鑑項目，卻仍有高達</w:t>
      </w:r>
      <w:r w:rsidR="00360B7C" w:rsidRPr="00AB3200">
        <w:rPr>
          <w:rFonts w:hAnsi="標楷體" w:hint="eastAsia"/>
          <w:szCs w:val="32"/>
        </w:rPr>
        <w:t>三成以上</w:t>
      </w:r>
      <w:r w:rsidRPr="00AB3200">
        <w:rPr>
          <w:rFonts w:hAnsi="標楷體"/>
          <w:szCs w:val="32"/>
        </w:rPr>
        <w:t>青年對於職</w:t>
      </w:r>
      <w:proofErr w:type="gramStart"/>
      <w:r w:rsidRPr="00AB3200">
        <w:rPr>
          <w:rFonts w:hAnsi="標楷體"/>
          <w:szCs w:val="32"/>
        </w:rPr>
        <w:t>涯</w:t>
      </w:r>
      <w:proofErr w:type="gramEnd"/>
      <w:r w:rsidRPr="00AB3200">
        <w:rPr>
          <w:rFonts w:hAnsi="標楷體"/>
          <w:szCs w:val="32"/>
        </w:rPr>
        <w:t>發展感到迷惘，超過</w:t>
      </w:r>
      <w:proofErr w:type="gramStart"/>
      <w:r w:rsidRPr="00AB3200">
        <w:rPr>
          <w:rFonts w:hAnsi="標楷體"/>
          <w:szCs w:val="32"/>
        </w:rPr>
        <w:t>4成</w:t>
      </w:r>
      <w:proofErr w:type="gramEnd"/>
      <w:r w:rsidRPr="00AB3200">
        <w:rPr>
          <w:rFonts w:hAnsi="標楷體"/>
          <w:szCs w:val="32"/>
        </w:rPr>
        <w:t>青年初次尋職前未做任何準備，部分學校</w:t>
      </w:r>
      <w:proofErr w:type="gramStart"/>
      <w:r w:rsidRPr="00AB3200">
        <w:rPr>
          <w:rFonts w:hAnsi="標楷體"/>
          <w:szCs w:val="32"/>
        </w:rPr>
        <w:t>不</w:t>
      </w:r>
      <w:proofErr w:type="gramEnd"/>
      <w:r w:rsidRPr="00AB3200">
        <w:rPr>
          <w:rFonts w:hAnsi="標楷體"/>
          <w:szCs w:val="32"/>
        </w:rPr>
        <w:t>知悉校園駐點職</w:t>
      </w:r>
      <w:proofErr w:type="gramStart"/>
      <w:r w:rsidRPr="00AB3200">
        <w:rPr>
          <w:rFonts w:hAnsi="標楷體"/>
          <w:szCs w:val="32"/>
        </w:rPr>
        <w:t>涯</w:t>
      </w:r>
      <w:proofErr w:type="gramEnd"/>
      <w:r w:rsidRPr="00AB3200">
        <w:rPr>
          <w:rFonts w:hAnsi="標楷體"/>
          <w:szCs w:val="32"/>
        </w:rPr>
        <w:t>諮詢業務，勞動部相關措施未見成效。</w:t>
      </w:r>
      <w:bookmarkEnd w:id="179"/>
      <w:bookmarkEnd w:id="180"/>
    </w:p>
    <w:p w:rsidR="003A213D" w:rsidRPr="00AB3200" w:rsidRDefault="003A213D" w:rsidP="003A213D">
      <w:pPr>
        <w:pStyle w:val="3"/>
        <w:ind w:left="1360" w:hanging="680"/>
        <w:rPr>
          <w:rFonts w:hAnsi="標楷體"/>
          <w:szCs w:val="32"/>
        </w:rPr>
      </w:pPr>
      <w:bookmarkStart w:id="181" w:name="_Toc392764882"/>
      <w:bookmarkStart w:id="182" w:name="_Toc393464440"/>
      <w:r w:rsidRPr="00AB3200">
        <w:rPr>
          <w:rFonts w:hAnsi="標楷體"/>
          <w:szCs w:val="32"/>
        </w:rPr>
        <w:t>綜上，</w:t>
      </w:r>
      <w:r w:rsidRPr="00AB3200">
        <w:rPr>
          <w:rFonts w:hAnsi="標楷體"/>
          <w:bCs w:val="0"/>
          <w:szCs w:val="32"/>
        </w:rPr>
        <w:t>勞動部推行許多學生及青年職</w:t>
      </w:r>
      <w:proofErr w:type="gramStart"/>
      <w:r w:rsidRPr="00AB3200">
        <w:rPr>
          <w:rFonts w:hAnsi="標楷體"/>
          <w:bCs w:val="0"/>
          <w:szCs w:val="32"/>
        </w:rPr>
        <w:t>涯</w:t>
      </w:r>
      <w:proofErr w:type="gramEnd"/>
      <w:r w:rsidRPr="00AB3200">
        <w:rPr>
          <w:rFonts w:hAnsi="標楷體"/>
          <w:bCs w:val="0"/>
          <w:szCs w:val="32"/>
        </w:rPr>
        <w:t>探索及就業輔導措施，</w:t>
      </w:r>
      <w:r w:rsidRPr="00AB3200">
        <w:rPr>
          <w:rFonts w:hAnsi="標楷體" w:hint="eastAsia"/>
          <w:bCs w:val="0"/>
          <w:szCs w:val="32"/>
        </w:rPr>
        <w:t>並於</w:t>
      </w:r>
      <w:r w:rsidRPr="00AB3200">
        <w:rPr>
          <w:rFonts w:hAnsi="標楷體"/>
          <w:bCs w:val="0"/>
          <w:szCs w:val="32"/>
        </w:rPr>
        <w:t>公立就業服務站設置「青年專櫃」，</w:t>
      </w:r>
      <w:r w:rsidRPr="00AB3200">
        <w:rPr>
          <w:rFonts w:hAnsi="標楷體" w:hint="eastAsia"/>
          <w:bCs w:val="0"/>
          <w:szCs w:val="32"/>
        </w:rPr>
        <w:t>惟</w:t>
      </w:r>
      <w:r w:rsidRPr="00AB3200">
        <w:rPr>
          <w:rFonts w:hAnsi="標楷體"/>
          <w:bCs w:val="0"/>
          <w:szCs w:val="32"/>
        </w:rPr>
        <w:t>相關宣導及配套措施不足，致仍有</w:t>
      </w:r>
      <w:r w:rsidR="00360B7C" w:rsidRPr="00AB3200">
        <w:rPr>
          <w:rFonts w:hAnsi="標楷體" w:hint="eastAsia"/>
          <w:bCs w:val="0"/>
          <w:szCs w:val="32"/>
        </w:rPr>
        <w:t>三</w:t>
      </w:r>
      <w:r w:rsidRPr="00AB3200">
        <w:rPr>
          <w:rFonts w:hAnsi="標楷體"/>
          <w:bCs w:val="0"/>
          <w:szCs w:val="32"/>
        </w:rPr>
        <w:t>成以上青年</w:t>
      </w:r>
      <w:r w:rsidRPr="00AB3200">
        <w:rPr>
          <w:rFonts w:hAnsi="標楷體"/>
          <w:szCs w:val="32"/>
        </w:rPr>
        <w:t>對於職</w:t>
      </w:r>
      <w:proofErr w:type="gramStart"/>
      <w:r w:rsidRPr="00AB3200">
        <w:rPr>
          <w:rFonts w:hAnsi="標楷體"/>
          <w:szCs w:val="32"/>
        </w:rPr>
        <w:t>涯</w:t>
      </w:r>
      <w:proofErr w:type="gramEnd"/>
      <w:r w:rsidRPr="00AB3200">
        <w:rPr>
          <w:rFonts w:hAnsi="標楷體"/>
          <w:szCs w:val="32"/>
        </w:rPr>
        <w:t>發展感到迷惘</w:t>
      </w:r>
      <w:r w:rsidRPr="00AB3200">
        <w:rPr>
          <w:rFonts w:hAnsi="標楷體"/>
          <w:bCs w:val="0"/>
          <w:szCs w:val="32"/>
        </w:rPr>
        <w:t>，允應確實檢討計畫之配套措施及執行成效，</w:t>
      </w:r>
      <w:r w:rsidRPr="00AB3200">
        <w:rPr>
          <w:rFonts w:hAnsi="標楷體" w:hint="eastAsia"/>
          <w:bCs w:val="0"/>
          <w:szCs w:val="32"/>
        </w:rPr>
        <w:t>充分運用就業服務中心功能，</w:t>
      </w:r>
      <w:r w:rsidRPr="00AB3200">
        <w:rPr>
          <w:rFonts w:hAnsi="標楷體"/>
          <w:bCs w:val="0"/>
          <w:szCs w:val="32"/>
        </w:rPr>
        <w:t>避免政府資源浪費</w:t>
      </w:r>
      <w:r w:rsidRPr="00AB3200">
        <w:rPr>
          <w:rFonts w:hAnsi="標楷體"/>
          <w:szCs w:val="32"/>
        </w:rPr>
        <w:t>。</w:t>
      </w:r>
      <w:bookmarkEnd w:id="181"/>
      <w:bookmarkEnd w:id="182"/>
    </w:p>
    <w:p w:rsidR="003A213D" w:rsidRPr="00AB3200" w:rsidRDefault="003A213D" w:rsidP="003A213D">
      <w:pPr>
        <w:pStyle w:val="20"/>
        <w:ind w:left="1020" w:hanging="680"/>
        <w:rPr>
          <w:rFonts w:hAnsi="標楷體"/>
          <w:b/>
        </w:rPr>
      </w:pPr>
      <w:bookmarkStart w:id="183" w:name="_Toc393464441"/>
      <w:r w:rsidRPr="00AB3200">
        <w:rPr>
          <w:rFonts w:hAnsi="標楷體"/>
          <w:b/>
          <w:szCs w:val="32"/>
        </w:rPr>
        <w:t>勞動部投入</w:t>
      </w:r>
      <w:proofErr w:type="gramStart"/>
      <w:r w:rsidRPr="00AB3200">
        <w:rPr>
          <w:rFonts w:hAnsi="標楷體"/>
          <w:b/>
          <w:szCs w:val="32"/>
        </w:rPr>
        <w:t>鉅</w:t>
      </w:r>
      <w:proofErr w:type="gramEnd"/>
      <w:r w:rsidRPr="00AB3200">
        <w:rPr>
          <w:rFonts w:hAnsi="標楷體"/>
          <w:b/>
          <w:szCs w:val="32"/>
        </w:rPr>
        <w:t>資</w:t>
      </w:r>
      <w:r w:rsidRPr="00AB3200">
        <w:rPr>
          <w:rFonts w:hAnsi="標楷體"/>
          <w:b/>
          <w:szCs w:val="24"/>
        </w:rPr>
        <w:t>委</w:t>
      </w:r>
      <w:r w:rsidRPr="00AB3200">
        <w:rPr>
          <w:rFonts w:hAnsi="標楷體"/>
          <w:b/>
          <w:szCs w:val="32"/>
        </w:rPr>
        <w:t>託民間訓練機構或補助地方政府辦理職業訓練，</w:t>
      </w:r>
      <w:proofErr w:type="gramStart"/>
      <w:r w:rsidRPr="00AB3200">
        <w:rPr>
          <w:rFonts w:hAnsi="標楷體"/>
          <w:b/>
          <w:szCs w:val="32"/>
        </w:rPr>
        <w:t>惟</w:t>
      </w:r>
      <w:r w:rsidRPr="00AB3200">
        <w:rPr>
          <w:rFonts w:hAnsi="標楷體"/>
          <w:b/>
          <w:szCs w:val="24"/>
        </w:rPr>
        <w:t>超逾4成參訓</w:t>
      </w:r>
      <w:proofErr w:type="gramEnd"/>
      <w:r w:rsidRPr="00AB3200">
        <w:rPr>
          <w:rFonts w:hAnsi="標楷體"/>
          <w:b/>
          <w:szCs w:val="24"/>
        </w:rPr>
        <w:t>者仍未能藉由職業訓練重返就業市場，且辦理</w:t>
      </w:r>
      <w:proofErr w:type="gramStart"/>
      <w:r w:rsidRPr="00AB3200">
        <w:rPr>
          <w:rFonts w:hAnsi="標楷體"/>
          <w:b/>
          <w:szCs w:val="24"/>
        </w:rPr>
        <w:t>過程迭有缺失</w:t>
      </w:r>
      <w:proofErr w:type="gramEnd"/>
      <w:r w:rsidRPr="00AB3200">
        <w:rPr>
          <w:rFonts w:hAnsi="標楷體"/>
          <w:b/>
          <w:szCs w:val="24"/>
        </w:rPr>
        <w:t>，執行未見成效。</w:t>
      </w:r>
      <w:bookmarkEnd w:id="183"/>
    </w:p>
    <w:p w:rsidR="003A213D" w:rsidRPr="00AB3200" w:rsidRDefault="003A213D" w:rsidP="003A213D">
      <w:pPr>
        <w:pStyle w:val="3"/>
        <w:ind w:left="1360" w:hanging="680"/>
        <w:rPr>
          <w:rFonts w:hAnsi="標楷體"/>
        </w:rPr>
      </w:pPr>
      <w:bookmarkStart w:id="184" w:name="_Toc392764884"/>
      <w:bookmarkStart w:id="185" w:name="_Toc393464442"/>
      <w:proofErr w:type="gramStart"/>
      <w:r w:rsidRPr="00AB3200">
        <w:rPr>
          <w:rFonts w:hAnsi="標楷體"/>
          <w:szCs w:val="32"/>
        </w:rPr>
        <w:t>勞動部為加強</w:t>
      </w:r>
      <w:proofErr w:type="gramEnd"/>
      <w:r w:rsidRPr="00AB3200">
        <w:rPr>
          <w:rFonts w:hAnsi="標楷體"/>
          <w:szCs w:val="32"/>
        </w:rPr>
        <w:t>青年技術能力，提升就業競爭力，於青年教育階段即介入協助，結合</w:t>
      </w:r>
      <w:proofErr w:type="gramStart"/>
      <w:r w:rsidRPr="00AB3200">
        <w:rPr>
          <w:rFonts w:hAnsi="標楷體"/>
          <w:szCs w:val="32"/>
        </w:rPr>
        <w:t>產學訓資源</w:t>
      </w:r>
      <w:proofErr w:type="gramEnd"/>
      <w:r w:rsidRPr="00AB3200">
        <w:rPr>
          <w:rFonts w:hAnsi="標楷體"/>
          <w:szCs w:val="32"/>
        </w:rPr>
        <w:t>，推動各項青年職業訓練措施，包含「</w:t>
      </w:r>
      <w:proofErr w:type="gramStart"/>
      <w:r w:rsidRPr="00AB3200">
        <w:rPr>
          <w:rFonts w:hAnsi="標楷體"/>
          <w:szCs w:val="32"/>
        </w:rPr>
        <w:t>產學訓合作</w:t>
      </w:r>
      <w:proofErr w:type="gramEnd"/>
      <w:r w:rsidRPr="00AB3200">
        <w:rPr>
          <w:rFonts w:hAnsi="標楷體"/>
          <w:szCs w:val="32"/>
        </w:rPr>
        <w:t>訓練」、「雙軌訓練旗艦計畫」、「補助大專校院辦理就業學程計畫」等。另</w:t>
      </w:r>
      <w:r w:rsidRPr="00AB3200">
        <w:rPr>
          <w:rFonts w:hAnsi="標楷體" w:hint="eastAsia"/>
          <w:szCs w:val="32"/>
        </w:rPr>
        <w:t>勞動部勞動力發展署所屬各分署以自辦、委辦或補助辦理方式，結合民間訓練資源及地方政府，於全國各地規劃辦理多元類別之職前訓練，以即時提供產業發展及一般失業者(含失業青年)就業之需要。95至101年青年參與職業訓練人</w:t>
      </w:r>
      <w:r w:rsidRPr="00AB3200">
        <w:rPr>
          <w:rFonts w:hAnsi="標楷體" w:hint="eastAsia"/>
          <w:szCs w:val="32"/>
        </w:rPr>
        <w:lastRenderedPageBreak/>
        <w:t>數計454,447人(95至101年分別為62,205人、51,278人、72,078人、70,718人、66,251人、62,697人、69,220人)。</w:t>
      </w:r>
      <w:bookmarkEnd w:id="184"/>
      <w:bookmarkEnd w:id="185"/>
    </w:p>
    <w:p w:rsidR="003A213D" w:rsidRPr="00AB3200" w:rsidRDefault="003A213D" w:rsidP="003A213D">
      <w:pPr>
        <w:pStyle w:val="3"/>
        <w:ind w:left="1360" w:hanging="680"/>
        <w:rPr>
          <w:rFonts w:hAnsi="標楷體"/>
        </w:rPr>
      </w:pPr>
      <w:bookmarkStart w:id="186" w:name="_Toc392764885"/>
      <w:bookmarkStart w:id="187" w:name="_Toc393464443"/>
      <w:r w:rsidRPr="00AB3200">
        <w:rPr>
          <w:rFonts w:hAnsi="標楷體" w:hint="eastAsia"/>
          <w:szCs w:val="32"/>
        </w:rPr>
        <w:t>查勞動部勞動力發展署網站統計資料，</w:t>
      </w:r>
      <w:proofErr w:type="gramStart"/>
      <w:r w:rsidRPr="00AB3200">
        <w:rPr>
          <w:rFonts w:hAnsi="標楷體" w:hint="eastAsia"/>
          <w:szCs w:val="32"/>
        </w:rPr>
        <w:t>102</w:t>
      </w:r>
      <w:proofErr w:type="gramEnd"/>
      <w:r w:rsidRPr="00AB3200">
        <w:rPr>
          <w:rFonts w:hAnsi="標楷體" w:hint="eastAsia"/>
          <w:szCs w:val="32"/>
        </w:rPr>
        <w:t>年度公立職訓機構自辦職業訓練，結訓人數計23,106人，其中15至24歲2,963人、25至34歲7,985人，合計10,948人，占所有結訓人數47.38%(</w:t>
      </w:r>
      <w:proofErr w:type="gramStart"/>
      <w:r w:rsidRPr="00AB3200">
        <w:rPr>
          <w:rFonts w:hAnsi="標楷體" w:hint="eastAsia"/>
          <w:szCs w:val="32"/>
        </w:rPr>
        <w:t>101</w:t>
      </w:r>
      <w:proofErr w:type="gramEnd"/>
      <w:r w:rsidRPr="00AB3200">
        <w:rPr>
          <w:rFonts w:hAnsi="標楷體" w:hint="eastAsia"/>
          <w:szCs w:val="32"/>
        </w:rPr>
        <w:t>年度則為49.54%)，顯示勞動部辦理職業訓練對象，半數為34歲以下之年青人，辦理良</w:t>
      </w:r>
      <w:proofErr w:type="gramStart"/>
      <w:r w:rsidRPr="00AB3200">
        <w:rPr>
          <w:rFonts w:hAnsi="標楷體" w:hint="eastAsia"/>
          <w:szCs w:val="32"/>
        </w:rPr>
        <w:t>窳攸</w:t>
      </w:r>
      <w:proofErr w:type="gramEnd"/>
      <w:r w:rsidRPr="00AB3200">
        <w:rPr>
          <w:rFonts w:hAnsi="標楷體" w:hint="eastAsia"/>
          <w:szCs w:val="32"/>
        </w:rPr>
        <w:t>關失業青年就業能力之提升。</w:t>
      </w:r>
      <w:bookmarkEnd w:id="186"/>
      <w:bookmarkEnd w:id="187"/>
    </w:p>
    <w:p w:rsidR="003A213D" w:rsidRPr="00AB3200" w:rsidRDefault="003A213D" w:rsidP="003A213D">
      <w:pPr>
        <w:pStyle w:val="3"/>
        <w:ind w:left="1360" w:hanging="680"/>
        <w:rPr>
          <w:rFonts w:hAnsi="標楷體"/>
        </w:rPr>
      </w:pPr>
      <w:bookmarkStart w:id="188" w:name="_Toc392764886"/>
      <w:bookmarkStart w:id="189" w:name="_Toc393464444"/>
      <w:r w:rsidRPr="00AB3200">
        <w:rPr>
          <w:rFonts w:hAnsi="標楷體"/>
          <w:szCs w:val="32"/>
        </w:rPr>
        <w:t>勞動部勞動力發展署為協助失業青年提升就業能力，辦理以就業為導向之失業者職前訓練，計有：自行辦理、委託民間訓練機構辦理、補助地方政府辦理等3種，99至102年度結訓人數合計201,619人，其中委辦及補助地方政府辦理者計171,135人(委辦128,913人，補助地方政府42,222人)，占全部結訓人數84.88％，總計訓練支出</w:t>
      </w:r>
      <w:r w:rsidRPr="00AB3200">
        <w:rPr>
          <w:rFonts w:hAnsi="標楷體" w:hint="eastAsia"/>
          <w:szCs w:val="32"/>
        </w:rPr>
        <w:t>41億3,973萬餘元</w:t>
      </w:r>
      <w:r w:rsidRPr="00AB3200">
        <w:rPr>
          <w:rFonts w:hAnsi="標楷體"/>
          <w:szCs w:val="32"/>
        </w:rPr>
        <w:t>(委辦31億903萬餘元，補助地方政府10億3,069萬餘元)，其訓練人數及經費</w:t>
      </w:r>
      <w:proofErr w:type="gramStart"/>
      <w:r w:rsidRPr="00AB3200">
        <w:rPr>
          <w:rFonts w:hAnsi="標楷體"/>
          <w:szCs w:val="32"/>
        </w:rPr>
        <w:t>支出均遠高於</w:t>
      </w:r>
      <w:proofErr w:type="gramEnd"/>
      <w:r w:rsidRPr="00AB3200">
        <w:rPr>
          <w:rFonts w:hAnsi="標楷體"/>
          <w:szCs w:val="32"/>
        </w:rPr>
        <w:t>自辦之30,484人及10億7,080萬餘元，惟99至101年度結訓後平均就業率(</w:t>
      </w:r>
      <w:proofErr w:type="gramStart"/>
      <w:r w:rsidRPr="00AB3200">
        <w:rPr>
          <w:rFonts w:hAnsi="標楷體"/>
          <w:szCs w:val="32"/>
        </w:rPr>
        <w:t>102</w:t>
      </w:r>
      <w:proofErr w:type="gramEnd"/>
      <w:r w:rsidRPr="00AB3200">
        <w:rPr>
          <w:rFonts w:hAnsi="標楷體"/>
          <w:szCs w:val="32"/>
        </w:rPr>
        <w:t>年度尚在統計中)，</w:t>
      </w:r>
      <w:r w:rsidRPr="00AB3200">
        <w:rPr>
          <w:rFonts w:hAnsi="標楷體"/>
          <w:szCs w:val="24"/>
        </w:rPr>
        <w:t>分別僅53.63％(委辦)及56.72％(補助地方政府辦理)，遠低於自辦之88.50％，亦即由勞</w:t>
      </w:r>
      <w:r w:rsidRPr="00AB3200">
        <w:rPr>
          <w:rFonts w:hAnsi="標楷體"/>
          <w:szCs w:val="32"/>
        </w:rPr>
        <w:t>動部勞動力</w:t>
      </w:r>
      <w:proofErr w:type="gramStart"/>
      <w:r w:rsidRPr="00AB3200">
        <w:rPr>
          <w:rFonts w:hAnsi="標楷體"/>
          <w:szCs w:val="32"/>
        </w:rPr>
        <w:t>發展署委辦</w:t>
      </w:r>
      <w:proofErr w:type="gramEnd"/>
      <w:r w:rsidRPr="00AB3200">
        <w:rPr>
          <w:rFonts w:hAnsi="標楷體"/>
          <w:szCs w:val="32"/>
        </w:rPr>
        <w:t>或</w:t>
      </w:r>
      <w:r w:rsidRPr="00AB3200">
        <w:rPr>
          <w:rFonts w:hAnsi="標楷體"/>
          <w:szCs w:val="24"/>
        </w:rPr>
        <w:t>補助地方政府辦理之職業訓練，超逾</w:t>
      </w:r>
      <w:proofErr w:type="gramStart"/>
      <w:r w:rsidRPr="00AB3200">
        <w:rPr>
          <w:rFonts w:hAnsi="標楷體"/>
          <w:szCs w:val="24"/>
        </w:rPr>
        <w:t>4成參訓</w:t>
      </w:r>
      <w:proofErr w:type="gramEnd"/>
      <w:r w:rsidRPr="00AB3200">
        <w:rPr>
          <w:rFonts w:hAnsi="標楷體"/>
          <w:szCs w:val="24"/>
        </w:rPr>
        <w:t>者未能藉由職業訓練重返就業市場。</w:t>
      </w:r>
      <w:bookmarkEnd w:id="188"/>
      <w:bookmarkEnd w:id="189"/>
    </w:p>
    <w:p w:rsidR="003A213D" w:rsidRPr="00AB3200" w:rsidRDefault="003A213D" w:rsidP="003A213D">
      <w:pPr>
        <w:pStyle w:val="3"/>
        <w:ind w:left="1360" w:hanging="680"/>
        <w:rPr>
          <w:rFonts w:hAnsi="標楷體"/>
        </w:rPr>
      </w:pPr>
      <w:bookmarkStart w:id="190" w:name="_Toc392764887"/>
      <w:bookmarkStart w:id="191" w:name="_Toc393464445"/>
      <w:r w:rsidRPr="00AB3200">
        <w:rPr>
          <w:rFonts w:hAnsi="標楷體"/>
          <w:szCs w:val="24"/>
        </w:rPr>
        <w:t>99至101年度</w:t>
      </w:r>
      <w:r w:rsidRPr="00AB3200">
        <w:rPr>
          <w:rFonts w:hAnsi="標楷體"/>
          <w:szCs w:val="32"/>
        </w:rPr>
        <w:t>(</w:t>
      </w:r>
      <w:proofErr w:type="gramStart"/>
      <w:r w:rsidRPr="00AB3200">
        <w:rPr>
          <w:rFonts w:hAnsi="標楷體"/>
          <w:szCs w:val="32"/>
        </w:rPr>
        <w:t>102</w:t>
      </w:r>
      <w:proofErr w:type="gramEnd"/>
      <w:r w:rsidRPr="00AB3200">
        <w:rPr>
          <w:rFonts w:hAnsi="標楷體"/>
          <w:szCs w:val="32"/>
        </w:rPr>
        <w:t>年度尚在統計中)</w:t>
      </w:r>
      <w:r w:rsidRPr="00AB3200">
        <w:rPr>
          <w:rFonts w:hAnsi="標楷體"/>
          <w:szCs w:val="24"/>
        </w:rPr>
        <w:t>委辦及補助地方政府辦理之職訓計畫訓後就業率，其中未達30％者合計634班，占該期間委辦及補助</w:t>
      </w:r>
      <w:proofErr w:type="gramStart"/>
      <w:r w:rsidRPr="00AB3200">
        <w:rPr>
          <w:rFonts w:hAnsi="標楷體"/>
          <w:szCs w:val="24"/>
        </w:rPr>
        <w:t>地方政府辦訓班次</w:t>
      </w:r>
      <w:proofErr w:type="gramEnd"/>
      <w:r w:rsidRPr="00AB3200">
        <w:rPr>
          <w:rFonts w:hAnsi="標楷體"/>
          <w:szCs w:val="24"/>
        </w:rPr>
        <w:t>(4,737班)之13.38％；30％至50％者合計1,033班，比率21.81％。</w:t>
      </w:r>
      <w:r w:rsidRPr="00AB3200">
        <w:rPr>
          <w:rFonts w:hAnsi="標楷體"/>
        </w:rPr>
        <w:t>99</w:t>
      </w:r>
      <w:r w:rsidRPr="00AB3200">
        <w:rPr>
          <w:rFonts w:hAnsi="標楷體"/>
          <w:szCs w:val="32"/>
        </w:rPr>
        <w:t>至102年度自辦、委</w:t>
      </w:r>
      <w:r w:rsidRPr="00AB3200">
        <w:rPr>
          <w:rFonts w:hAnsi="標楷體"/>
          <w:szCs w:val="32"/>
        </w:rPr>
        <w:lastRenderedPageBreak/>
        <w:t>辦及補助地方政府辦理失業者職前訓練，開訓人數219,391人、退訓人數11,502人，退訓率5.24％。</w:t>
      </w:r>
      <w:r w:rsidRPr="00AB3200">
        <w:rPr>
          <w:rFonts w:hAnsi="標楷體"/>
        </w:rPr>
        <w:t>99</w:t>
      </w:r>
      <w:r w:rsidRPr="00AB3200">
        <w:rPr>
          <w:rFonts w:hAnsi="標楷體"/>
          <w:szCs w:val="32"/>
        </w:rPr>
        <w:t>至102年度於同一訓練</w:t>
      </w:r>
      <w:proofErr w:type="gramStart"/>
      <w:r w:rsidRPr="00AB3200">
        <w:rPr>
          <w:rFonts w:hAnsi="標楷體"/>
          <w:szCs w:val="32"/>
        </w:rPr>
        <w:t>單位參訓2次</w:t>
      </w:r>
      <w:proofErr w:type="gramEnd"/>
      <w:r w:rsidRPr="00AB3200">
        <w:rPr>
          <w:rFonts w:hAnsi="標楷體"/>
          <w:szCs w:val="32"/>
        </w:rPr>
        <w:t>(含)以上者，計有8,406人，未能藉由職業訓練獲得足夠之就業技能，</w:t>
      </w:r>
      <w:proofErr w:type="gramStart"/>
      <w:r w:rsidRPr="00AB3200">
        <w:rPr>
          <w:rFonts w:hAnsi="標楷體"/>
          <w:szCs w:val="32"/>
        </w:rPr>
        <w:t>致須重複參訓</w:t>
      </w:r>
      <w:proofErr w:type="gramEnd"/>
      <w:r w:rsidRPr="00AB3200">
        <w:rPr>
          <w:rFonts w:hAnsi="標楷體"/>
          <w:szCs w:val="32"/>
        </w:rPr>
        <w:t>，影響政府經費投入效益。</w:t>
      </w:r>
      <w:bookmarkEnd w:id="190"/>
      <w:bookmarkEnd w:id="191"/>
    </w:p>
    <w:p w:rsidR="003A213D" w:rsidRPr="00AB3200" w:rsidRDefault="003A213D" w:rsidP="003A213D">
      <w:pPr>
        <w:pStyle w:val="3"/>
        <w:ind w:left="1360" w:hanging="680"/>
        <w:rPr>
          <w:rFonts w:hAnsi="標楷體"/>
        </w:rPr>
      </w:pPr>
      <w:bookmarkStart w:id="192" w:name="_Toc392764888"/>
      <w:bookmarkStart w:id="193" w:name="_Toc393464446"/>
      <w:r w:rsidRPr="00AB3200">
        <w:rPr>
          <w:rFonts w:hAnsi="標楷體"/>
          <w:szCs w:val="24"/>
        </w:rPr>
        <w:t>另勞動部</w:t>
      </w:r>
      <w:r w:rsidRPr="00AB3200">
        <w:rPr>
          <w:rFonts w:hAnsi="標楷體"/>
          <w:szCs w:val="32"/>
        </w:rPr>
        <w:t>勞動力發展署針對</w:t>
      </w:r>
      <w:r w:rsidRPr="00AB3200">
        <w:rPr>
          <w:rFonts w:hAnsi="標楷體"/>
          <w:szCs w:val="24"/>
        </w:rPr>
        <w:t>委辦及補助地方政府辦理職業訓練進行評鑑(評鑑範圍：行政管理、訓練實施及訓練績效，成績之高低以星等之多寡排序，如5顆星代表排名達前10％，4顆星代表排名達前10％～30％，3顆星代表排名達前30％～70％，2顆星代表排名達前70％～90％，1顆星代表排名未達前90％)，99至102年度評鑑成績2顆星以下(除</w:t>
      </w:r>
      <w:proofErr w:type="gramStart"/>
      <w:r w:rsidRPr="00AB3200">
        <w:rPr>
          <w:rFonts w:hAnsi="標楷體"/>
          <w:szCs w:val="24"/>
        </w:rPr>
        <w:t>102</w:t>
      </w:r>
      <w:proofErr w:type="gramEnd"/>
      <w:r w:rsidRPr="00AB3200">
        <w:rPr>
          <w:rFonts w:hAnsi="標楷體"/>
          <w:szCs w:val="24"/>
        </w:rPr>
        <w:t>年度成績為63.01分以下，其餘年度為60.91分以下)，分別有102家、114家、115家、122家，占評鑑家數之29.91％、30.08％、30.03％、30.05％，比率</w:t>
      </w:r>
      <w:proofErr w:type="gramStart"/>
      <w:r w:rsidRPr="00AB3200">
        <w:rPr>
          <w:rFonts w:hAnsi="標楷體"/>
          <w:szCs w:val="24"/>
        </w:rPr>
        <w:t>3成</w:t>
      </w:r>
      <w:proofErr w:type="gramEnd"/>
      <w:r w:rsidRPr="00AB3200">
        <w:rPr>
          <w:rFonts w:hAnsi="標楷體"/>
          <w:szCs w:val="24"/>
        </w:rPr>
        <w:t>；評鑑缺失包括學員出席率過低；授課師資、上課地點與核定課表不同；助教資格不符或不在場等，顯示接受委託或補助之訓練機構品質參差不齊，辦理</w:t>
      </w:r>
      <w:proofErr w:type="gramStart"/>
      <w:r w:rsidRPr="00AB3200">
        <w:rPr>
          <w:rFonts w:hAnsi="標楷體"/>
          <w:szCs w:val="24"/>
        </w:rPr>
        <w:t>過程迭有缺失</w:t>
      </w:r>
      <w:proofErr w:type="gramEnd"/>
      <w:r w:rsidRPr="00AB3200">
        <w:rPr>
          <w:rFonts w:hAnsi="標楷體"/>
          <w:szCs w:val="24"/>
        </w:rPr>
        <w:t>，執行未見成效。</w:t>
      </w:r>
      <w:bookmarkEnd w:id="192"/>
      <w:bookmarkEnd w:id="193"/>
    </w:p>
    <w:p w:rsidR="003A213D" w:rsidRPr="00AB3200" w:rsidRDefault="003A213D" w:rsidP="003A213D">
      <w:pPr>
        <w:pStyle w:val="3"/>
        <w:ind w:left="1360" w:hanging="680"/>
        <w:rPr>
          <w:rFonts w:hAnsi="標楷體"/>
        </w:rPr>
      </w:pPr>
      <w:bookmarkStart w:id="194" w:name="_Toc392764889"/>
      <w:bookmarkStart w:id="195" w:name="_Toc393464447"/>
      <w:proofErr w:type="gramStart"/>
      <w:r w:rsidRPr="00AB3200">
        <w:rPr>
          <w:rFonts w:hAnsi="標楷體"/>
          <w:szCs w:val="32"/>
        </w:rPr>
        <w:t>勞動部為協助</w:t>
      </w:r>
      <w:proofErr w:type="gramEnd"/>
      <w:r w:rsidRPr="00AB3200">
        <w:rPr>
          <w:rFonts w:hAnsi="標楷體"/>
          <w:szCs w:val="32"/>
        </w:rPr>
        <w:t>失業青年順利就業，以自辦、委託民間訓練機構或補助地方政府辦理方式，於全國各地規劃辦理多元類別之職業訓練，辦理結果，</w:t>
      </w:r>
      <w:r w:rsidRPr="00AB3200">
        <w:rPr>
          <w:rFonts w:hAnsi="標楷體" w:hint="eastAsia"/>
          <w:szCs w:val="32"/>
        </w:rPr>
        <w:t>99至102年委辦及補助地方政府辦理經費高達41億3,973萬餘元，結訓人數計171,135人(委辦128,913人，補助地方政府42,222人</w:t>
      </w:r>
      <w:proofErr w:type="gramStart"/>
      <w:r w:rsidRPr="00AB3200">
        <w:rPr>
          <w:rFonts w:hAnsi="標楷體" w:hint="eastAsia"/>
          <w:szCs w:val="32"/>
        </w:rPr>
        <w:t>）</w:t>
      </w:r>
      <w:proofErr w:type="gramEnd"/>
      <w:r w:rsidRPr="00AB3200">
        <w:rPr>
          <w:rFonts w:hAnsi="標楷體" w:hint="eastAsia"/>
          <w:szCs w:val="32"/>
        </w:rPr>
        <w:t>，占全部(自辦、委辦、補助地方政府辦理)訓練經費及結訓人數之比率高達79.45％、84.88％，惟結訓後就業率，</w:t>
      </w:r>
      <w:r w:rsidRPr="00AB3200">
        <w:rPr>
          <w:rFonts w:hAnsi="標楷體" w:hint="eastAsia"/>
          <w:szCs w:val="24"/>
        </w:rPr>
        <w:t>分別僅53.63％(委辦)及56.72％(補助地方政府辦理)，超逾</w:t>
      </w:r>
      <w:proofErr w:type="gramStart"/>
      <w:r w:rsidRPr="00AB3200">
        <w:rPr>
          <w:rFonts w:hAnsi="標楷體" w:hint="eastAsia"/>
          <w:szCs w:val="24"/>
        </w:rPr>
        <w:t>4成參訓</w:t>
      </w:r>
      <w:proofErr w:type="gramEnd"/>
      <w:r w:rsidRPr="00AB3200">
        <w:rPr>
          <w:rFonts w:hAnsi="標楷體" w:hint="eastAsia"/>
          <w:szCs w:val="24"/>
        </w:rPr>
        <w:t>者未能藉由職業訓練重返就業市場，</w:t>
      </w:r>
      <w:proofErr w:type="gramStart"/>
      <w:r w:rsidRPr="00AB3200">
        <w:rPr>
          <w:rFonts w:hAnsi="標楷體" w:hint="eastAsia"/>
          <w:szCs w:val="24"/>
        </w:rPr>
        <w:t>且間有部分</w:t>
      </w:r>
      <w:proofErr w:type="gramEnd"/>
      <w:r w:rsidRPr="00AB3200">
        <w:rPr>
          <w:rFonts w:hAnsi="標楷體" w:hint="eastAsia"/>
          <w:szCs w:val="24"/>
        </w:rPr>
        <w:t>訓練單位評鑑成績2顆星以下，辦理</w:t>
      </w:r>
      <w:proofErr w:type="gramStart"/>
      <w:r w:rsidRPr="00AB3200">
        <w:rPr>
          <w:rFonts w:hAnsi="標楷體" w:hint="eastAsia"/>
          <w:szCs w:val="24"/>
        </w:rPr>
        <w:t>過程</w:t>
      </w:r>
      <w:r w:rsidRPr="00AB3200">
        <w:rPr>
          <w:rFonts w:hAnsi="標楷體" w:hint="eastAsia"/>
          <w:szCs w:val="24"/>
        </w:rPr>
        <w:lastRenderedPageBreak/>
        <w:t>迭有缺失</w:t>
      </w:r>
      <w:proofErr w:type="gramEnd"/>
      <w:r w:rsidRPr="00AB3200">
        <w:rPr>
          <w:rFonts w:hAnsi="標楷體" w:hint="eastAsia"/>
          <w:szCs w:val="24"/>
        </w:rPr>
        <w:t>。足</w:t>
      </w:r>
      <w:proofErr w:type="gramStart"/>
      <w:r w:rsidRPr="00AB3200">
        <w:rPr>
          <w:rFonts w:hAnsi="標楷體" w:hint="eastAsia"/>
          <w:szCs w:val="24"/>
        </w:rPr>
        <w:t>徵</w:t>
      </w:r>
      <w:proofErr w:type="gramEnd"/>
      <w:r w:rsidRPr="00AB3200">
        <w:rPr>
          <w:rFonts w:hAnsi="標楷體" w:hint="eastAsia"/>
          <w:szCs w:val="24"/>
        </w:rPr>
        <w:t>，勞委會投入</w:t>
      </w:r>
      <w:proofErr w:type="gramStart"/>
      <w:r w:rsidRPr="00AB3200">
        <w:rPr>
          <w:rFonts w:hAnsi="標楷體" w:hint="eastAsia"/>
          <w:szCs w:val="24"/>
        </w:rPr>
        <w:t>鉅</w:t>
      </w:r>
      <w:proofErr w:type="gramEnd"/>
      <w:r w:rsidRPr="00AB3200">
        <w:rPr>
          <w:rFonts w:hAnsi="標楷體" w:hint="eastAsia"/>
          <w:szCs w:val="24"/>
        </w:rPr>
        <w:t>資委</w:t>
      </w:r>
      <w:r w:rsidRPr="00AB3200">
        <w:rPr>
          <w:rFonts w:hAnsi="標楷體" w:hint="eastAsia"/>
          <w:szCs w:val="32"/>
        </w:rPr>
        <w:t>託民間訓練機構或補助地方政府辦理職業訓練計畫，未見成效</w:t>
      </w:r>
      <w:r w:rsidRPr="00AB3200">
        <w:rPr>
          <w:rFonts w:hAnsi="標楷體" w:hint="eastAsia"/>
          <w:szCs w:val="24"/>
        </w:rPr>
        <w:t>。</w:t>
      </w:r>
      <w:bookmarkEnd w:id="194"/>
      <w:bookmarkEnd w:id="195"/>
    </w:p>
    <w:p w:rsidR="003A213D" w:rsidRPr="00AB3200" w:rsidRDefault="003A213D" w:rsidP="003A213D">
      <w:pPr>
        <w:pStyle w:val="3"/>
        <w:ind w:left="1360" w:hanging="680"/>
        <w:rPr>
          <w:rFonts w:hAnsi="標楷體"/>
        </w:rPr>
      </w:pPr>
      <w:bookmarkStart w:id="196" w:name="_Toc392764890"/>
      <w:bookmarkStart w:id="197" w:name="_Toc393464448"/>
      <w:r w:rsidRPr="00AB3200">
        <w:rPr>
          <w:rFonts w:hAnsi="標楷體"/>
          <w:szCs w:val="24"/>
        </w:rPr>
        <w:t>綜上，</w:t>
      </w:r>
      <w:r w:rsidRPr="00AB3200">
        <w:rPr>
          <w:rFonts w:hAnsi="標楷體"/>
          <w:szCs w:val="32"/>
        </w:rPr>
        <w:t>勞動部投入</w:t>
      </w:r>
      <w:proofErr w:type="gramStart"/>
      <w:r w:rsidRPr="00AB3200">
        <w:rPr>
          <w:rFonts w:hAnsi="標楷體"/>
          <w:szCs w:val="32"/>
        </w:rPr>
        <w:t>鉅</w:t>
      </w:r>
      <w:proofErr w:type="gramEnd"/>
      <w:r w:rsidRPr="00AB3200">
        <w:rPr>
          <w:rFonts w:hAnsi="標楷體"/>
          <w:szCs w:val="32"/>
        </w:rPr>
        <w:t>資</w:t>
      </w:r>
      <w:r w:rsidRPr="00AB3200">
        <w:rPr>
          <w:rFonts w:hAnsi="標楷體"/>
          <w:szCs w:val="24"/>
        </w:rPr>
        <w:t>委</w:t>
      </w:r>
      <w:r w:rsidRPr="00AB3200">
        <w:rPr>
          <w:rFonts w:hAnsi="標楷體"/>
          <w:szCs w:val="32"/>
        </w:rPr>
        <w:t>託民間訓練機構或補助地方政府辦理職業訓練，</w:t>
      </w:r>
      <w:proofErr w:type="gramStart"/>
      <w:r w:rsidRPr="00AB3200">
        <w:rPr>
          <w:rFonts w:hAnsi="標楷體"/>
          <w:szCs w:val="32"/>
        </w:rPr>
        <w:t>惟</w:t>
      </w:r>
      <w:r w:rsidRPr="00AB3200">
        <w:rPr>
          <w:rFonts w:hAnsi="標楷體"/>
          <w:szCs w:val="24"/>
        </w:rPr>
        <w:t>超逾4成參訓</w:t>
      </w:r>
      <w:proofErr w:type="gramEnd"/>
      <w:r w:rsidRPr="00AB3200">
        <w:rPr>
          <w:rFonts w:hAnsi="標楷體"/>
          <w:szCs w:val="24"/>
        </w:rPr>
        <w:t>者仍未能藉由職業訓練重返就業市場，且辦理</w:t>
      </w:r>
      <w:proofErr w:type="gramStart"/>
      <w:r w:rsidRPr="00AB3200">
        <w:rPr>
          <w:rFonts w:hAnsi="標楷體"/>
          <w:szCs w:val="24"/>
        </w:rPr>
        <w:t>過程迭有缺失</w:t>
      </w:r>
      <w:proofErr w:type="gramEnd"/>
      <w:r w:rsidRPr="00AB3200">
        <w:rPr>
          <w:rFonts w:hAnsi="標楷體"/>
          <w:szCs w:val="24"/>
        </w:rPr>
        <w:t>，執行未見成效。</w:t>
      </w:r>
      <w:bookmarkEnd w:id="196"/>
      <w:bookmarkEnd w:id="197"/>
    </w:p>
    <w:p w:rsidR="003A213D" w:rsidRPr="00AB3200" w:rsidRDefault="00360B7C" w:rsidP="00360B7C">
      <w:pPr>
        <w:pStyle w:val="20"/>
        <w:ind w:left="1020" w:hanging="680"/>
        <w:rPr>
          <w:rFonts w:hAnsi="標楷體"/>
          <w:b/>
          <w:szCs w:val="32"/>
        </w:rPr>
      </w:pPr>
      <w:bookmarkStart w:id="198" w:name="_Toc393464449"/>
      <w:r w:rsidRPr="00AB3200">
        <w:rPr>
          <w:rFonts w:hAnsi="標楷體" w:hint="eastAsia"/>
          <w:b/>
          <w:szCs w:val="32"/>
        </w:rPr>
        <w:t>就業</w:t>
      </w:r>
      <w:r w:rsidR="003A213D" w:rsidRPr="00AB3200">
        <w:rPr>
          <w:rFonts w:hAnsi="標楷體" w:hint="eastAsia"/>
          <w:b/>
          <w:szCs w:val="32"/>
        </w:rPr>
        <w:t>服務中心係失業民眾諮詢及尋職重要管道，</w:t>
      </w:r>
      <w:proofErr w:type="gramStart"/>
      <w:r w:rsidRPr="00AB3200">
        <w:rPr>
          <w:rFonts w:hAnsi="標楷體" w:hint="eastAsia"/>
          <w:b/>
          <w:szCs w:val="32"/>
        </w:rPr>
        <w:t>勞動部為強化</w:t>
      </w:r>
      <w:proofErr w:type="gramEnd"/>
      <w:r w:rsidRPr="00AB3200">
        <w:rPr>
          <w:rFonts w:hAnsi="標楷體" w:hint="eastAsia"/>
          <w:b/>
          <w:szCs w:val="32"/>
        </w:rPr>
        <w:t>中心功能，提升協助失業民眾尋職效能，推動一案到底作業模式，應予肯定，然</w:t>
      </w:r>
      <w:r w:rsidR="003A213D" w:rsidRPr="00AB3200">
        <w:rPr>
          <w:rFonts w:hAnsi="標楷體" w:hint="eastAsia"/>
          <w:b/>
          <w:szCs w:val="32"/>
        </w:rPr>
        <w:t>就業服務人員之優劣，關乎失業民眾求職之成效，</w:t>
      </w:r>
      <w:proofErr w:type="gramStart"/>
      <w:r w:rsidR="003A213D" w:rsidRPr="00AB3200">
        <w:rPr>
          <w:rFonts w:hAnsi="標楷體" w:hint="eastAsia"/>
          <w:b/>
          <w:szCs w:val="32"/>
        </w:rPr>
        <w:t>該部受限於</w:t>
      </w:r>
      <w:proofErr w:type="gramEnd"/>
      <w:r w:rsidR="003A213D" w:rsidRPr="00AB3200">
        <w:rPr>
          <w:rFonts w:hAnsi="標楷體" w:hint="eastAsia"/>
          <w:b/>
          <w:szCs w:val="32"/>
        </w:rPr>
        <w:t>人員編制，產生失業民眾由臨時或派遣人員協助求職之現象，</w:t>
      </w:r>
      <w:proofErr w:type="gramStart"/>
      <w:r w:rsidR="003A213D" w:rsidRPr="00AB3200">
        <w:rPr>
          <w:rFonts w:hAnsi="標楷體" w:hint="eastAsia"/>
          <w:b/>
          <w:szCs w:val="32"/>
        </w:rPr>
        <w:t>該部允宜</w:t>
      </w:r>
      <w:proofErr w:type="gramEnd"/>
      <w:r w:rsidR="003A213D" w:rsidRPr="00AB3200">
        <w:rPr>
          <w:rFonts w:hAnsi="標楷體" w:hint="eastAsia"/>
          <w:b/>
          <w:szCs w:val="32"/>
        </w:rPr>
        <w:t>會同行政院人事行政總處等相關單位，檢討處理；另前開人員逾半數</w:t>
      </w:r>
      <w:r w:rsidR="003A213D" w:rsidRPr="00AB3200">
        <w:rPr>
          <w:rFonts w:hAnsi="標楷體"/>
          <w:b/>
          <w:szCs w:val="32"/>
        </w:rPr>
        <w:t>未具專業證照資格，</w:t>
      </w:r>
      <w:r w:rsidR="003A213D" w:rsidRPr="00AB3200">
        <w:rPr>
          <w:rFonts w:hAnsi="標楷體" w:hint="eastAsia"/>
          <w:b/>
          <w:szCs w:val="32"/>
        </w:rPr>
        <w:t>該</w:t>
      </w:r>
      <w:proofErr w:type="gramStart"/>
      <w:r w:rsidR="003A213D" w:rsidRPr="00AB3200">
        <w:rPr>
          <w:rFonts w:hAnsi="標楷體" w:hint="eastAsia"/>
          <w:b/>
          <w:szCs w:val="32"/>
        </w:rPr>
        <w:t>部亦允</w:t>
      </w:r>
      <w:proofErr w:type="gramEnd"/>
      <w:r w:rsidR="003A213D" w:rsidRPr="00AB3200">
        <w:rPr>
          <w:rFonts w:hAnsi="標楷體" w:hint="eastAsia"/>
          <w:b/>
          <w:szCs w:val="32"/>
        </w:rPr>
        <w:t>宜</w:t>
      </w:r>
      <w:r w:rsidR="003A213D" w:rsidRPr="00AB3200">
        <w:rPr>
          <w:rFonts w:hAnsi="標楷體"/>
          <w:b/>
          <w:szCs w:val="32"/>
        </w:rPr>
        <w:t>妥適規範相關資格條件，提高服務品質。</w:t>
      </w:r>
      <w:bookmarkEnd w:id="198"/>
    </w:p>
    <w:p w:rsidR="003A213D" w:rsidRPr="00AB3200" w:rsidRDefault="003A213D" w:rsidP="003A213D">
      <w:pPr>
        <w:pStyle w:val="3"/>
        <w:ind w:left="1360" w:hanging="680"/>
        <w:rPr>
          <w:rFonts w:hAnsi="標楷體"/>
          <w:szCs w:val="32"/>
        </w:rPr>
      </w:pPr>
      <w:bookmarkStart w:id="199" w:name="_Toc392764892"/>
      <w:bookmarkStart w:id="200" w:name="_Toc393464450"/>
      <w:r w:rsidRPr="00AB3200">
        <w:rPr>
          <w:rFonts w:hAnsi="標楷體" w:hint="eastAsia"/>
        </w:rPr>
        <w:t>勞動部勞動力發展署自101年11月1日起於所屬就業服務中心全面推動「就業服務一案到底作業模式」，提供就業服務、職業訓練、失業給付、技能檢定、創業資訊等「單一窗口」、「固定專人」、「一案到底」之客製化服務，以解決以往服務</w:t>
      </w:r>
      <w:proofErr w:type="gramStart"/>
      <w:r w:rsidRPr="00AB3200">
        <w:rPr>
          <w:rFonts w:hAnsi="標楷體" w:hint="eastAsia"/>
        </w:rPr>
        <w:t>採</w:t>
      </w:r>
      <w:proofErr w:type="gramEnd"/>
      <w:r w:rsidRPr="00AB3200">
        <w:rPr>
          <w:rFonts w:hAnsi="標楷體" w:hint="eastAsia"/>
        </w:rPr>
        <w:t>「非固定專人」、「隨到隨辦」所產生的對服務個案「服務歷程不易連貫」、「信賴關係不易建立」、「服務成敗責任感低」、「後續服務成效有限」等問題:</w:t>
      </w:r>
      <w:bookmarkEnd w:id="199"/>
      <w:bookmarkEnd w:id="200"/>
    </w:p>
    <w:p w:rsidR="003A213D" w:rsidRPr="00AB3200" w:rsidRDefault="003A213D" w:rsidP="003A213D">
      <w:pPr>
        <w:pStyle w:val="4"/>
        <w:ind w:left="1843" w:hanging="709"/>
        <w:rPr>
          <w:rFonts w:hAnsi="標楷體"/>
        </w:rPr>
      </w:pPr>
      <w:r w:rsidRPr="00AB3200">
        <w:rPr>
          <w:rFonts w:hAnsi="標楷體" w:hint="eastAsia"/>
        </w:rPr>
        <w:t>單一窗口：提供就業服務、職業訓練、失業給付認定、技能檢定及創業資訊提供等五合</w:t>
      </w:r>
      <w:proofErr w:type="gramStart"/>
      <w:r w:rsidRPr="00AB3200">
        <w:rPr>
          <w:rFonts w:hAnsi="標楷體" w:hint="eastAsia"/>
        </w:rPr>
        <w:t>一</w:t>
      </w:r>
      <w:proofErr w:type="gramEnd"/>
      <w:r w:rsidRPr="00AB3200">
        <w:rPr>
          <w:rFonts w:hAnsi="標楷體" w:hint="eastAsia"/>
        </w:rPr>
        <w:t>單一窗口服務。</w:t>
      </w:r>
    </w:p>
    <w:p w:rsidR="003A213D" w:rsidRPr="00AB3200" w:rsidRDefault="003A213D" w:rsidP="003A213D">
      <w:pPr>
        <w:pStyle w:val="4"/>
        <w:ind w:left="1843" w:hanging="709"/>
        <w:rPr>
          <w:rFonts w:hAnsi="標楷體"/>
        </w:rPr>
      </w:pPr>
      <w:r w:rsidRPr="00AB3200">
        <w:rPr>
          <w:rFonts w:hAnsi="標楷體" w:hint="eastAsia"/>
        </w:rPr>
        <w:t>固定專人：即由固定之就服人員提供求職求才者一案到底就業服務。</w:t>
      </w:r>
    </w:p>
    <w:p w:rsidR="003A213D" w:rsidRPr="00AB3200" w:rsidRDefault="003A213D" w:rsidP="003A213D">
      <w:pPr>
        <w:pStyle w:val="4"/>
        <w:ind w:left="1843" w:hanging="709"/>
        <w:rPr>
          <w:rFonts w:hAnsi="標楷體"/>
        </w:rPr>
      </w:pPr>
      <w:r w:rsidRPr="00AB3200">
        <w:rPr>
          <w:rFonts w:hAnsi="標楷體" w:hint="eastAsia"/>
        </w:rPr>
        <w:t>預約服務：由就服人員與民眾預約到站服務之時間，以減少民眾等待時間，同時就服人員亦可預先瞭解個案服務歷程及準備相關協助措施，讓服</w:t>
      </w:r>
      <w:r w:rsidRPr="00AB3200">
        <w:rPr>
          <w:rFonts w:hAnsi="標楷體" w:hint="eastAsia"/>
        </w:rPr>
        <w:lastRenderedPageBreak/>
        <w:t>務更具效率。</w:t>
      </w:r>
    </w:p>
    <w:p w:rsidR="003A213D" w:rsidRPr="00AB3200" w:rsidRDefault="003A213D" w:rsidP="003A213D">
      <w:pPr>
        <w:pStyle w:val="3"/>
        <w:numPr>
          <w:ilvl w:val="0"/>
          <w:numId w:val="0"/>
        </w:numPr>
        <w:ind w:left="1418" w:firstLineChars="166" w:firstLine="565"/>
        <w:rPr>
          <w:rFonts w:hAnsi="標楷體"/>
        </w:rPr>
      </w:pPr>
      <w:bookmarkStart w:id="201" w:name="_Toc392764893"/>
      <w:bookmarkStart w:id="202" w:name="_Toc393464451"/>
      <w:r w:rsidRPr="00AB3200">
        <w:rPr>
          <w:rFonts w:hAnsi="標楷體" w:hint="eastAsia"/>
        </w:rPr>
        <w:t>是</w:t>
      </w:r>
      <w:proofErr w:type="gramStart"/>
      <w:r w:rsidRPr="00AB3200">
        <w:rPr>
          <w:rFonts w:hAnsi="標楷體" w:hint="eastAsia"/>
        </w:rPr>
        <w:t>以</w:t>
      </w:r>
      <w:proofErr w:type="gramEnd"/>
      <w:r w:rsidRPr="00AB3200">
        <w:rPr>
          <w:rFonts w:hAnsi="標楷體" w:hint="eastAsia"/>
        </w:rPr>
        <w:t>，</w:t>
      </w:r>
      <w:proofErr w:type="gramStart"/>
      <w:r w:rsidRPr="00AB3200">
        <w:rPr>
          <w:rFonts w:hAnsi="標楷體" w:hint="eastAsia"/>
        </w:rPr>
        <w:t>該部希透過</w:t>
      </w:r>
      <w:proofErr w:type="gramEnd"/>
      <w:r w:rsidRPr="00AB3200">
        <w:rPr>
          <w:rFonts w:hAnsi="標楷體" w:hint="eastAsia"/>
        </w:rPr>
        <w:t>一案到底服務，在第一層服務櫃台應可滿足大部分求職者之需求，如遇有需深度諮詢排除就業障礙之個案，再</w:t>
      </w:r>
      <w:proofErr w:type="gramStart"/>
      <w:r w:rsidRPr="00AB3200">
        <w:rPr>
          <w:rFonts w:hAnsi="標楷體" w:hint="eastAsia"/>
        </w:rPr>
        <w:t>後送第二層</w:t>
      </w:r>
      <w:proofErr w:type="gramEnd"/>
      <w:r w:rsidRPr="00AB3200">
        <w:rPr>
          <w:rFonts w:hAnsi="標楷體" w:hint="eastAsia"/>
        </w:rPr>
        <w:t>諮詢服務區由資深</w:t>
      </w:r>
      <w:proofErr w:type="gramStart"/>
      <w:r w:rsidRPr="00AB3200">
        <w:rPr>
          <w:rFonts w:hAnsi="標楷體" w:hint="eastAsia"/>
        </w:rPr>
        <w:t>個</w:t>
      </w:r>
      <w:proofErr w:type="gramEnd"/>
      <w:r w:rsidRPr="00AB3200">
        <w:rPr>
          <w:rFonts w:hAnsi="標楷體" w:hint="eastAsia"/>
        </w:rPr>
        <w:t>管人員提供深化服務與職</w:t>
      </w:r>
      <w:proofErr w:type="gramStart"/>
      <w:r w:rsidRPr="00AB3200">
        <w:rPr>
          <w:rFonts w:hAnsi="標楷體" w:hint="eastAsia"/>
        </w:rPr>
        <w:t>涯</w:t>
      </w:r>
      <w:proofErr w:type="gramEnd"/>
      <w:r w:rsidRPr="00AB3200">
        <w:rPr>
          <w:rFonts w:hAnsi="標楷體" w:hint="eastAsia"/>
        </w:rPr>
        <w:t>輔導。</w:t>
      </w:r>
      <w:bookmarkEnd w:id="201"/>
      <w:bookmarkEnd w:id="202"/>
    </w:p>
    <w:p w:rsidR="003A213D" w:rsidRPr="00AB3200" w:rsidRDefault="003A213D" w:rsidP="003A213D">
      <w:pPr>
        <w:pStyle w:val="3"/>
        <w:ind w:left="1360" w:hanging="680"/>
        <w:rPr>
          <w:rFonts w:hAnsi="標楷體"/>
          <w:szCs w:val="32"/>
        </w:rPr>
      </w:pPr>
      <w:bookmarkStart w:id="203" w:name="_Toc392764894"/>
      <w:bookmarkStart w:id="204" w:name="_Toc393464452"/>
      <w:r w:rsidRPr="00AB3200">
        <w:rPr>
          <w:rFonts w:hAnsi="標楷體" w:hint="eastAsia"/>
          <w:szCs w:val="32"/>
        </w:rPr>
        <w:t>查</w:t>
      </w:r>
      <w:proofErr w:type="gramStart"/>
      <w:r w:rsidRPr="00AB3200">
        <w:rPr>
          <w:rFonts w:hAnsi="標楷體" w:hint="eastAsia"/>
          <w:szCs w:val="32"/>
        </w:rPr>
        <w:t>勞動部各就業</w:t>
      </w:r>
      <w:proofErr w:type="gramEnd"/>
      <w:r w:rsidRPr="00AB3200">
        <w:rPr>
          <w:rFonts w:hAnsi="標楷體" w:hint="eastAsia"/>
          <w:szCs w:val="32"/>
        </w:rPr>
        <w:t>中心負責職</w:t>
      </w:r>
      <w:proofErr w:type="gramStart"/>
      <w:r w:rsidRPr="00AB3200">
        <w:rPr>
          <w:rFonts w:hAnsi="標楷體" w:hint="eastAsia"/>
          <w:szCs w:val="32"/>
        </w:rPr>
        <w:t>涯</w:t>
      </w:r>
      <w:proofErr w:type="gramEnd"/>
      <w:r w:rsidRPr="00AB3200">
        <w:rPr>
          <w:rFonts w:hAnsi="標楷體" w:hint="eastAsia"/>
          <w:szCs w:val="32"/>
        </w:rPr>
        <w:t>諮詢輔導之人力及待遇情形如下：</w:t>
      </w:r>
      <w:bookmarkEnd w:id="203"/>
      <w:bookmarkEnd w:id="204"/>
    </w:p>
    <w:p w:rsidR="003A213D" w:rsidRPr="00AB3200" w:rsidRDefault="003A213D" w:rsidP="00372F31">
      <w:pPr>
        <w:pStyle w:val="4"/>
        <w:ind w:hanging="1549"/>
        <w:rPr>
          <w:rFonts w:hAnsi="標楷體"/>
        </w:rPr>
      </w:pPr>
      <w:r w:rsidRPr="00AB3200">
        <w:rPr>
          <w:rFonts w:hAnsi="標楷體" w:hint="eastAsia"/>
          <w:szCs w:val="32"/>
        </w:rPr>
        <w:t>勞動部職</w:t>
      </w:r>
      <w:proofErr w:type="gramStart"/>
      <w:r w:rsidRPr="00AB3200">
        <w:rPr>
          <w:rFonts w:hAnsi="標楷體" w:hint="eastAsia"/>
          <w:szCs w:val="32"/>
        </w:rPr>
        <w:t>涯</w:t>
      </w:r>
      <w:proofErr w:type="gramEnd"/>
      <w:r w:rsidRPr="00AB3200">
        <w:rPr>
          <w:rFonts w:hAnsi="標楷體" w:hint="eastAsia"/>
          <w:szCs w:val="32"/>
        </w:rPr>
        <w:t>諮詢輔導之人力</w:t>
      </w:r>
      <w:r w:rsidRPr="00AB3200">
        <w:rPr>
          <w:rFonts w:hAnsi="標楷體" w:hint="eastAsia"/>
          <w:sz w:val="28"/>
          <w:szCs w:val="28"/>
        </w:rPr>
        <w:t>:</w:t>
      </w:r>
    </w:p>
    <w:p w:rsidR="003A213D" w:rsidRPr="00AB3200" w:rsidRDefault="003A213D" w:rsidP="003A213D">
      <w:pPr>
        <w:pStyle w:val="4"/>
        <w:numPr>
          <w:ilvl w:val="0"/>
          <w:numId w:val="0"/>
        </w:numPr>
        <w:spacing w:line="240" w:lineRule="exact"/>
        <w:ind w:left="1741"/>
        <w:jc w:val="right"/>
        <w:rPr>
          <w:rFonts w:hAnsi="標楷體"/>
          <w:sz w:val="20"/>
          <w:szCs w:val="20"/>
        </w:rPr>
      </w:pPr>
      <w:r w:rsidRPr="00AB3200">
        <w:rPr>
          <w:rFonts w:hAnsi="標楷體" w:hint="eastAsia"/>
          <w:sz w:val="20"/>
          <w:szCs w:val="20"/>
        </w:rPr>
        <w:t>單位:人</w:t>
      </w:r>
    </w:p>
    <w:tbl>
      <w:tblPr>
        <w:tblW w:w="8275" w:type="dxa"/>
        <w:tblInd w:w="879" w:type="dxa"/>
        <w:tblCellMar>
          <w:left w:w="28" w:type="dxa"/>
          <w:right w:w="28" w:type="dxa"/>
        </w:tblCellMar>
        <w:tblLook w:val="04A0"/>
      </w:tblPr>
      <w:tblGrid>
        <w:gridCol w:w="1683"/>
        <w:gridCol w:w="1402"/>
        <w:gridCol w:w="1403"/>
        <w:gridCol w:w="1402"/>
        <w:gridCol w:w="1263"/>
        <w:gridCol w:w="1122"/>
      </w:tblGrid>
      <w:tr w:rsidR="003A213D" w:rsidRPr="00AB3200" w:rsidTr="004B009D">
        <w:trPr>
          <w:trHeight w:val="265"/>
        </w:trPr>
        <w:tc>
          <w:tcPr>
            <w:tcW w:w="1683"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3A213D" w:rsidRPr="00AB3200" w:rsidRDefault="003A213D" w:rsidP="00EF7AF3">
            <w:pPr>
              <w:widowControl/>
              <w:jc w:val="center"/>
              <w:rPr>
                <w:rFonts w:ascii="標楷體" w:hAnsi="標楷體" w:cs="新細明體"/>
                <w:kern w:val="0"/>
                <w:sz w:val="20"/>
              </w:rPr>
            </w:pPr>
            <w:r w:rsidRPr="00AB3200">
              <w:rPr>
                <w:rFonts w:ascii="標楷體" w:hAnsi="標楷體" w:cs="新細明體" w:hint="eastAsia"/>
                <w:kern w:val="0"/>
                <w:sz w:val="20"/>
              </w:rPr>
              <w:t>分署</w:t>
            </w:r>
          </w:p>
        </w:tc>
        <w:tc>
          <w:tcPr>
            <w:tcW w:w="1402" w:type="dxa"/>
            <w:tcBorders>
              <w:top w:val="single" w:sz="8" w:space="0" w:color="auto"/>
              <w:left w:val="nil"/>
              <w:bottom w:val="single" w:sz="8" w:space="0" w:color="auto"/>
              <w:right w:val="single" w:sz="4" w:space="0" w:color="auto"/>
            </w:tcBorders>
            <w:shd w:val="clear" w:color="auto" w:fill="auto"/>
            <w:noWrap/>
            <w:vAlign w:val="center"/>
            <w:hideMark/>
          </w:tcPr>
          <w:p w:rsidR="003A213D" w:rsidRPr="00AB3200" w:rsidRDefault="003A213D" w:rsidP="00EF7AF3">
            <w:pPr>
              <w:widowControl/>
              <w:jc w:val="center"/>
              <w:rPr>
                <w:rFonts w:ascii="標楷體" w:hAnsi="標楷體" w:cs="新細明體"/>
                <w:kern w:val="0"/>
                <w:sz w:val="20"/>
              </w:rPr>
            </w:pPr>
            <w:r w:rsidRPr="00AB3200">
              <w:rPr>
                <w:rFonts w:ascii="標楷體" w:hAnsi="標楷體" w:cs="新細明體" w:hint="eastAsia"/>
                <w:kern w:val="0"/>
                <w:sz w:val="20"/>
              </w:rPr>
              <w:t>正式人員</w:t>
            </w:r>
          </w:p>
        </w:tc>
        <w:tc>
          <w:tcPr>
            <w:tcW w:w="1403" w:type="dxa"/>
            <w:tcBorders>
              <w:top w:val="single" w:sz="8" w:space="0" w:color="auto"/>
              <w:left w:val="nil"/>
              <w:bottom w:val="single" w:sz="8" w:space="0" w:color="auto"/>
              <w:right w:val="single" w:sz="4" w:space="0" w:color="auto"/>
            </w:tcBorders>
            <w:shd w:val="clear" w:color="auto" w:fill="auto"/>
            <w:noWrap/>
            <w:vAlign w:val="center"/>
            <w:hideMark/>
          </w:tcPr>
          <w:p w:rsidR="003A213D" w:rsidRPr="00AB3200" w:rsidRDefault="003A213D" w:rsidP="00EF7AF3">
            <w:pPr>
              <w:widowControl/>
              <w:jc w:val="center"/>
              <w:rPr>
                <w:rFonts w:ascii="標楷體" w:hAnsi="標楷體" w:cs="新細明體"/>
                <w:kern w:val="0"/>
                <w:sz w:val="20"/>
              </w:rPr>
            </w:pPr>
            <w:r w:rsidRPr="00AB3200">
              <w:rPr>
                <w:rFonts w:ascii="標楷體" w:hAnsi="標楷體" w:cs="新細明體" w:hint="eastAsia"/>
                <w:kern w:val="0"/>
                <w:sz w:val="20"/>
              </w:rPr>
              <w:t>約聘人員</w:t>
            </w:r>
          </w:p>
        </w:tc>
        <w:tc>
          <w:tcPr>
            <w:tcW w:w="1402" w:type="dxa"/>
            <w:tcBorders>
              <w:top w:val="single" w:sz="8" w:space="0" w:color="auto"/>
              <w:left w:val="nil"/>
              <w:bottom w:val="single" w:sz="8" w:space="0" w:color="auto"/>
              <w:right w:val="single" w:sz="4" w:space="0" w:color="auto"/>
            </w:tcBorders>
            <w:shd w:val="clear" w:color="auto" w:fill="auto"/>
            <w:noWrap/>
            <w:vAlign w:val="center"/>
            <w:hideMark/>
          </w:tcPr>
          <w:p w:rsidR="003A213D" w:rsidRPr="00AB3200" w:rsidRDefault="003A213D" w:rsidP="00EF7AF3">
            <w:pPr>
              <w:widowControl/>
              <w:jc w:val="center"/>
              <w:rPr>
                <w:rFonts w:ascii="標楷體" w:hAnsi="標楷體" w:cs="新細明體"/>
                <w:kern w:val="0"/>
                <w:sz w:val="20"/>
              </w:rPr>
            </w:pPr>
            <w:r w:rsidRPr="00AB3200">
              <w:rPr>
                <w:rFonts w:ascii="標楷體" w:hAnsi="標楷體" w:cs="新細明體" w:hint="eastAsia"/>
                <w:kern w:val="0"/>
                <w:sz w:val="20"/>
              </w:rPr>
              <w:t>臨時人員</w:t>
            </w:r>
          </w:p>
        </w:tc>
        <w:tc>
          <w:tcPr>
            <w:tcW w:w="1263" w:type="dxa"/>
            <w:tcBorders>
              <w:top w:val="single" w:sz="8" w:space="0" w:color="auto"/>
              <w:left w:val="nil"/>
              <w:bottom w:val="single" w:sz="8" w:space="0" w:color="auto"/>
              <w:right w:val="single" w:sz="8" w:space="0" w:color="auto"/>
            </w:tcBorders>
            <w:shd w:val="clear" w:color="auto" w:fill="auto"/>
            <w:noWrap/>
            <w:vAlign w:val="center"/>
            <w:hideMark/>
          </w:tcPr>
          <w:p w:rsidR="003A213D" w:rsidRPr="00AB3200" w:rsidRDefault="003A213D" w:rsidP="00EF7AF3">
            <w:pPr>
              <w:widowControl/>
              <w:jc w:val="center"/>
              <w:rPr>
                <w:rFonts w:ascii="標楷體" w:hAnsi="標楷體" w:cs="新細明體"/>
                <w:kern w:val="0"/>
                <w:sz w:val="20"/>
              </w:rPr>
            </w:pPr>
            <w:r w:rsidRPr="00AB3200">
              <w:rPr>
                <w:rFonts w:ascii="標楷體" w:hAnsi="標楷體" w:cs="新細明體" w:hint="eastAsia"/>
                <w:kern w:val="0"/>
                <w:sz w:val="20"/>
              </w:rPr>
              <w:t>派遣人力</w:t>
            </w:r>
          </w:p>
        </w:tc>
        <w:tc>
          <w:tcPr>
            <w:tcW w:w="1122" w:type="dxa"/>
            <w:tcBorders>
              <w:top w:val="single" w:sz="8" w:space="0" w:color="auto"/>
              <w:left w:val="nil"/>
              <w:bottom w:val="single" w:sz="8" w:space="0" w:color="auto"/>
              <w:right w:val="single" w:sz="8" w:space="0" w:color="auto"/>
            </w:tcBorders>
            <w:vAlign w:val="center"/>
          </w:tcPr>
          <w:p w:rsidR="003A213D" w:rsidRPr="00AB3200" w:rsidRDefault="003A213D" w:rsidP="00EF7AF3">
            <w:pPr>
              <w:widowControl/>
              <w:jc w:val="center"/>
              <w:rPr>
                <w:rFonts w:ascii="標楷體" w:hAnsi="標楷體" w:cs="新細明體"/>
                <w:kern w:val="0"/>
                <w:sz w:val="20"/>
              </w:rPr>
            </w:pPr>
            <w:r w:rsidRPr="00AB3200">
              <w:rPr>
                <w:rFonts w:ascii="標楷體" w:hAnsi="標楷體" w:cs="新細明體" w:hint="eastAsia"/>
                <w:kern w:val="0"/>
                <w:sz w:val="20"/>
              </w:rPr>
              <w:t>小計</w:t>
            </w:r>
          </w:p>
        </w:tc>
      </w:tr>
      <w:tr w:rsidR="003A213D" w:rsidRPr="00AB3200" w:rsidTr="004B009D">
        <w:trPr>
          <w:trHeight w:val="163"/>
        </w:trPr>
        <w:tc>
          <w:tcPr>
            <w:tcW w:w="1683" w:type="dxa"/>
            <w:tcBorders>
              <w:top w:val="nil"/>
              <w:left w:val="single" w:sz="8" w:space="0" w:color="auto"/>
              <w:bottom w:val="single" w:sz="4" w:space="0" w:color="auto"/>
              <w:right w:val="single" w:sz="4" w:space="0" w:color="auto"/>
            </w:tcBorders>
            <w:shd w:val="clear" w:color="auto" w:fill="auto"/>
            <w:noWrap/>
            <w:vAlign w:val="center"/>
            <w:hideMark/>
          </w:tcPr>
          <w:p w:rsidR="003A213D" w:rsidRPr="00AB3200" w:rsidRDefault="003A213D" w:rsidP="00EF7AF3">
            <w:pPr>
              <w:widowControl/>
              <w:jc w:val="center"/>
              <w:rPr>
                <w:rFonts w:ascii="標楷體" w:hAnsi="標楷體" w:cs="新細明體"/>
                <w:kern w:val="0"/>
                <w:sz w:val="20"/>
              </w:rPr>
            </w:pPr>
            <w:r w:rsidRPr="00AB3200">
              <w:rPr>
                <w:rFonts w:ascii="標楷體" w:hAnsi="標楷體" w:cs="新細明體" w:hint="eastAsia"/>
                <w:kern w:val="0"/>
                <w:sz w:val="20"/>
              </w:rPr>
              <w:t>北基宜花金馬</w:t>
            </w:r>
          </w:p>
        </w:tc>
        <w:tc>
          <w:tcPr>
            <w:tcW w:w="1402" w:type="dxa"/>
            <w:tcBorders>
              <w:top w:val="nil"/>
              <w:left w:val="nil"/>
              <w:bottom w:val="single" w:sz="4" w:space="0" w:color="auto"/>
              <w:right w:val="single" w:sz="4" w:space="0" w:color="auto"/>
            </w:tcBorders>
            <w:shd w:val="clear" w:color="auto" w:fill="auto"/>
            <w:noWrap/>
            <w:vAlign w:val="center"/>
            <w:hideMark/>
          </w:tcPr>
          <w:p w:rsidR="003A213D" w:rsidRPr="00AB3200" w:rsidRDefault="003A213D" w:rsidP="00EF7AF3">
            <w:pPr>
              <w:jc w:val="center"/>
              <w:rPr>
                <w:rFonts w:ascii="標楷體" w:hAnsi="標楷體"/>
                <w:sz w:val="20"/>
              </w:rPr>
            </w:pPr>
            <w:r w:rsidRPr="00AB3200">
              <w:rPr>
                <w:rFonts w:ascii="標楷體" w:hAnsi="標楷體"/>
                <w:sz w:val="20"/>
              </w:rPr>
              <w:t>0</w:t>
            </w:r>
          </w:p>
        </w:tc>
        <w:tc>
          <w:tcPr>
            <w:tcW w:w="1403" w:type="dxa"/>
            <w:tcBorders>
              <w:top w:val="nil"/>
              <w:left w:val="nil"/>
              <w:bottom w:val="single" w:sz="4" w:space="0" w:color="auto"/>
              <w:right w:val="single" w:sz="4" w:space="0" w:color="auto"/>
            </w:tcBorders>
            <w:shd w:val="clear" w:color="auto" w:fill="auto"/>
            <w:noWrap/>
            <w:vAlign w:val="center"/>
            <w:hideMark/>
          </w:tcPr>
          <w:p w:rsidR="003A213D" w:rsidRPr="00AB3200" w:rsidRDefault="003A213D" w:rsidP="00EF7AF3">
            <w:pPr>
              <w:jc w:val="center"/>
              <w:rPr>
                <w:rFonts w:ascii="標楷體" w:hAnsi="標楷體"/>
                <w:sz w:val="20"/>
              </w:rPr>
            </w:pPr>
            <w:r w:rsidRPr="00AB3200">
              <w:rPr>
                <w:rFonts w:ascii="標楷體" w:hAnsi="標楷體"/>
                <w:sz w:val="20"/>
              </w:rPr>
              <w:t>0</w:t>
            </w:r>
          </w:p>
        </w:tc>
        <w:tc>
          <w:tcPr>
            <w:tcW w:w="1402" w:type="dxa"/>
            <w:tcBorders>
              <w:top w:val="nil"/>
              <w:left w:val="nil"/>
              <w:bottom w:val="single" w:sz="4" w:space="0" w:color="auto"/>
              <w:right w:val="single" w:sz="4" w:space="0" w:color="auto"/>
            </w:tcBorders>
            <w:shd w:val="clear" w:color="auto" w:fill="auto"/>
            <w:noWrap/>
            <w:vAlign w:val="center"/>
            <w:hideMark/>
          </w:tcPr>
          <w:p w:rsidR="003A213D" w:rsidRPr="00AB3200" w:rsidRDefault="003A213D" w:rsidP="00EF7AF3">
            <w:pPr>
              <w:jc w:val="center"/>
              <w:rPr>
                <w:rFonts w:ascii="標楷體" w:hAnsi="標楷體"/>
                <w:sz w:val="20"/>
              </w:rPr>
            </w:pPr>
            <w:r w:rsidRPr="00AB3200">
              <w:rPr>
                <w:rFonts w:ascii="標楷體" w:hAnsi="標楷體"/>
                <w:sz w:val="20"/>
              </w:rPr>
              <w:t>15</w:t>
            </w:r>
          </w:p>
        </w:tc>
        <w:tc>
          <w:tcPr>
            <w:tcW w:w="1263" w:type="dxa"/>
            <w:tcBorders>
              <w:top w:val="nil"/>
              <w:left w:val="nil"/>
              <w:bottom w:val="single" w:sz="4" w:space="0" w:color="auto"/>
              <w:right w:val="single" w:sz="8" w:space="0" w:color="auto"/>
            </w:tcBorders>
            <w:shd w:val="clear" w:color="auto" w:fill="auto"/>
            <w:noWrap/>
            <w:vAlign w:val="center"/>
            <w:hideMark/>
          </w:tcPr>
          <w:p w:rsidR="003A213D" w:rsidRPr="00AB3200" w:rsidRDefault="003A213D" w:rsidP="00EF7AF3">
            <w:pPr>
              <w:jc w:val="center"/>
              <w:rPr>
                <w:rFonts w:ascii="標楷體" w:hAnsi="標楷體"/>
                <w:sz w:val="20"/>
              </w:rPr>
            </w:pPr>
            <w:r w:rsidRPr="00AB3200">
              <w:rPr>
                <w:rFonts w:ascii="標楷體" w:hAnsi="標楷體"/>
                <w:sz w:val="20"/>
              </w:rPr>
              <w:t>26</w:t>
            </w:r>
          </w:p>
        </w:tc>
        <w:tc>
          <w:tcPr>
            <w:tcW w:w="1122" w:type="dxa"/>
            <w:tcBorders>
              <w:top w:val="nil"/>
              <w:left w:val="nil"/>
              <w:bottom w:val="single" w:sz="4" w:space="0" w:color="auto"/>
              <w:right w:val="single" w:sz="8" w:space="0" w:color="auto"/>
            </w:tcBorders>
          </w:tcPr>
          <w:p w:rsidR="003A213D" w:rsidRPr="00AB3200" w:rsidRDefault="003A213D" w:rsidP="00EF7AF3">
            <w:pPr>
              <w:jc w:val="center"/>
              <w:rPr>
                <w:rFonts w:ascii="標楷體" w:hAnsi="標楷體"/>
                <w:sz w:val="20"/>
              </w:rPr>
            </w:pPr>
            <w:r w:rsidRPr="00AB3200">
              <w:rPr>
                <w:rFonts w:ascii="標楷體" w:hAnsi="標楷體" w:hint="eastAsia"/>
                <w:sz w:val="20"/>
              </w:rPr>
              <w:t>41</w:t>
            </w:r>
          </w:p>
        </w:tc>
      </w:tr>
      <w:tr w:rsidR="003A213D" w:rsidRPr="00AB3200" w:rsidTr="004B009D">
        <w:trPr>
          <w:trHeight w:val="67"/>
        </w:trPr>
        <w:tc>
          <w:tcPr>
            <w:tcW w:w="1683" w:type="dxa"/>
            <w:tcBorders>
              <w:top w:val="nil"/>
              <w:left w:val="single" w:sz="8" w:space="0" w:color="auto"/>
              <w:bottom w:val="single" w:sz="4" w:space="0" w:color="auto"/>
              <w:right w:val="single" w:sz="4" w:space="0" w:color="auto"/>
            </w:tcBorders>
            <w:shd w:val="clear" w:color="auto" w:fill="auto"/>
            <w:noWrap/>
            <w:vAlign w:val="center"/>
            <w:hideMark/>
          </w:tcPr>
          <w:p w:rsidR="003A213D" w:rsidRPr="00AB3200" w:rsidRDefault="003A213D" w:rsidP="00EF7AF3">
            <w:pPr>
              <w:widowControl/>
              <w:jc w:val="center"/>
              <w:rPr>
                <w:rFonts w:ascii="標楷體" w:hAnsi="標楷體" w:cs="新細明體"/>
                <w:kern w:val="0"/>
                <w:sz w:val="20"/>
              </w:rPr>
            </w:pPr>
            <w:r w:rsidRPr="00AB3200">
              <w:rPr>
                <w:rFonts w:ascii="標楷體" w:hAnsi="標楷體" w:cs="新細明體" w:hint="eastAsia"/>
                <w:kern w:val="0"/>
                <w:sz w:val="20"/>
              </w:rPr>
              <w:t>桃竹苗</w:t>
            </w:r>
          </w:p>
        </w:tc>
        <w:tc>
          <w:tcPr>
            <w:tcW w:w="1402" w:type="dxa"/>
            <w:tcBorders>
              <w:top w:val="nil"/>
              <w:left w:val="nil"/>
              <w:bottom w:val="single" w:sz="4" w:space="0" w:color="auto"/>
              <w:right w:val="single" w:sz="4" w:space="0" w:color="auto"/>
            </w:tcBorders>
            <w:shd w:val="clear" w:color="auto" w:fill="auto"/>
            <w:noWrap/>
            <w:vAlign w:val="center"/>
            <w:hideMark/>
          </w:tcPr>
          <w:p w:rsidR="003A213D" w:rsidRPr="00AB3200" w:rsidRDefault="003A213D" w:rsidP="00EF7AF3">
            <w:pPr>
              <w:jc w:val="center"/>
              <w:rPr>
                <w:rFonts w:ascii="標楷體" w:hAnsi="標楷體"/>
                <w:sz w:val="20"/>
              </w:rPr>
            </w:pPr>
            <w:r w:rsidRPr="00AB3200">
              <w:rPr>
                <w:rFonts w:ascii="標楷體" w:hAnsi="標楷體"/>
                <w:sz w:val="20"/>
              </w:rPr>
              <w:t>0</w:t>
            </w:r>
          </w:p>
        </w:tc>
        <w:tc>
          <w:tcPr>
            <w:tcW w:w="1403" w:type="dxa"/>
            <w:tcBorders>
              <w:top w:val="nil"/>
              <w:left w:val="nil"/>
              <w:bottom w:val="single" w:sz="4" w:space="0" w:color="auto"/>
              <w:right w:val="single" w:sz="4" w:space="0" w:color="auto"/>
            </w:tcBorders>
            <w:shd w:val="clear" w:color="auto" w:fill="auto"/>
            <w:noWrap/>
            <w:vAlign w:val="center"/>
            <w:hideMark/>
          </w:tcPr>
          <w:p w:rsidR="003A213D" w:rsidRPr="00AB3200" w:rsidRDefault="003A213D" w:rsidP="00EF7AF3">
            <w:pPr>
              <w:jc w:val="center"/>
              <w:rPr>
                <w:rFonts w:ascii="標楷體" w:hAnsi="標楷體"/>
                <w:sz w:val="20"/>
              </w:rPr>
            </w:pPr>
            <w:r w:rsidRPr="00AB3200">
              <w:rPr>
                <w:rFonts w:ascii="標楷體" w:hAnsi="標楷體"/>
                <w:sz w:val="20"/>
              </w:rPr>
              <w:t>0</w:t>
            </w:r>
          </w:p>
        </w:tc>
        <w:tc>
          <w:tcPr>
            <w:tcW w:w="1402" w:type="dxa"/>
            <w:tcBorders>
              <w:top w:val="nil"/>
              <w:left w:val="nil"/>
              <w:bottom w:val="single" w:sz="4" w:space="0" w:color="auto"/>
              <w:right w:val="single" w:sz="4" w:space="0" w:color="auto"/>
            </w:tcBorders>
            <w:shd w:val="clear" w:color="auto" w:fill="auto"/>
            <w:noWrap/>
            <w:vAlign w:val="center"/>
            <w:hideMark/>
          </w:tcPr>
          <w:p w:rsidR="003A213D" w:rsidRPr="00AB3200" w:rsidRDefault="003A213D" w:rsidP="00EF7AF3">
            <w:pPr>
              <w:jc w:val="center"/>
              <w:rPr>
                <w:rFonts w:ascii="標楷體" w:hAnsi="標楷體"/>
                <w:sz w:val="20"/>
              </w:rPr>
            </w:pPr>
            <w:r w:rsidRPr="00AB3200">
              <w:rPr>
                <w:rFonts w:ascii="標楷體" w:hAnsi="標楷體"/>
                <w:sz w:val="20"/>
              </w:rPr>
              <w:t>11</w:t>
            </w:r>
          </w:p>
        </w:tc>
        <w:tc>
          <w:tcPr>
            <w:tcW w:w="1263" w:type="dxa"/>
            <w:tcBorders>
              <w:top w:val="nil"/>
              <w:left w:val="nil"/>
              <w:bottom w:val="single" w:sz="4" w:space="0" w:color="auto"/>
              <w:right w:val="single" w:sz="8" w:space="0" w:color="auto"/>
            </w:tcBorders>
            <w:shd w:val="clear" w:color="auto" w:fill="auto"/>
            <w:noWrap/>
            <w:vAlign w:val="center"/>
            <w:hideMark/>
          </w:tcPr>
          <w:p w:rsidR="003A213D" w:rsidRPr="00AB3200" w:rsidRDefault="003A213D" w:rsidP="00EF7AF3">
            <w:pPr>
              <w:jc w:val="center"/>
              <w:rPr>
                <w:rFonts w:ascii="標楷體" w:hAnsi="標楷體"/>
                <w:sz w:val="20"/>
              </w:rPr>
            </w:pPr>
            <w:r w:rsidRPr="00AB3200">
              <w:rPr>
                <w:rFonts w:ascii="標楷體" w:hAnsi="標楷體"/>
                <w:sz w:val="20"/>
              </w:rPr>
              <w:t>14</w:t>
            </w:r>
          </w:p>
        </w:tc>
        <w:tc>
          <w:tcPr>
            <w:tcW w:w="1122" w:type="dxa"/>
            <w:tcBorders>
              <w:top w:val="nil"/>
              <w:left w:val="nil"/>
              <w:bottom w:val="single" w:sz="4" w:space="0" w:color="auto"/>
              <w:right w:val="single" w:sz="8" w:space="0" w:color="auto"/>
            </w:tcBorders>
          </w:tcPr>
          <w:p w:rsidR="003A213D" w:rsidRPr="00AB3200" w:rsidRDefault="003A213D" w:rsidP="00EF7AF3">
            <w:pPr>
              <w:jc w:val="center"/>
              <w:rPr>
                <w:rFonts w:ascii="標楷體" w:hAnsi="標楷體"/>
                <w:sz w:val="20"/>
              </w:rPr>
            </w:pPr>
            <w:r w:rsidRPr="00AB3200">
              <w:rPr>
                <w:rFonts w:ascii="標楷體" w:hAnsi="標楷體" w:hint="eastAsia"/>
                <w:sz w:val="20"/>
              </w:rPr>
              <w:t>25</w:t>
            </w:r>
          </w:p>
        </w:tc>
      </w:tr>
      <w:tr w:rsidR="003A213D" w:rsidRPr="00AB3200" w:rsidTr="004B009D">
        <w:trPr>
          <w:trHeight w:val="56"/>
        </w:trPr>
        <w:tc>
          <w:tcPr>
            <w:tcW w:w="1683" w:type="dxa"/>
            <w:tcBorders>
              <w:top w:val="nil"/>
              <w:left w:val="single" w:sz="8" w:space="0" w:color="auto"/>
              <w:bottom w:val="single" w:sz="4" w:space="0" w:color="auto"/>
              <w:right w:val="single" w:sz="4" w:space="0" w:color="auto"/>
            </w:tcBorders>
            <w:shd w:val="clear" w:color="auto" w:fill="auto"/>
            <w:noWrap/>
            <w:vAlign w:val="center"/>
            <w:hideMark/>
          </w:tcPr>
          <w:p w:rsidR="003A213D" w:rsidRPr="00AB3200" w:rsidRDefault="003A213D" w:rsidP="00EF7AF3">
            <w:pPr>
              <w:widowControl/>
              <w:jc w:val="center"/>
              <w:rPr>
                <w:rFonts w:ascii="標楷體" w:hAnsi="標楷體" w:cs="新細明體"/>
                <w:kern w:val="0"/>
                <w:sz w:val="20"/>
              </w:rPr>
            </w:pPr>
            <w:r w:rsidRPr="00AB3200">
              <w:rPr>
                <w:rFonts w:ascii="標楷體" w:hAnsi="標楷體" w:cs="新細明體" w:hint="eastAsia"/>
                <w:kern w:val="0"/>
                <w:sz w:val="20"/>
              </w:rPr>
              <w:t>中彰投</w:t>
            </w:r>
          </w:p>
        </w:tc>
        <w:tc>
          <w:tcPr>
            <w:tcW w:w="1402" w:type="dxa"/>
            <w:tcBorders>
              <w:top w:val="nil"/>
              <w:left w:val="nil"/>
              <w:bottom w:val="single" w:sz="4" w:space="0" w:color="auto"/>
              <w:right w:val="single" w:sz="4" w:space="0" w:color="auto"/>
            </w:tcBorders>
            <w:shd w:val="clear" w:color="auto" w:fill="auto"/>
            <w:noWrap/>
            <w:vAlign w:val="center"/>
            <w:hideMark/>
          </w:tcPr>
          <w:p w:rsidR="003A213D" w:rsidRPr="00AB3200" w:rsidRDefault="003A213D" w:rsidP="00EF7AF3">
            <w:pPr>
              <w:jc w:val="center"/>
              <w:rPr>
                <w:rFonts w:ascii="標楷體" w:hAnsi="標楷體"/>
                <w:sz w:val="20"/>
              </w:rPr>
            </w:pPr>
            <w:r w:rsidRPr="00AB3200">
              <w:rPr>
                <w:rFonts w:ascii="標楷體" w:hAnsi="標楷體"/>
                <w:sz w:val="20"/>
              </w:rPr>
              <w:t>0</w:t>
            </w:r>
          </w:p>
        </w:tc>
        <w:tc>
          <w:tcPr>
            <w:tcW w:w="1403" w:type="dxa"/>
            <w:tcBorders>
              <w:top w:val="nil"/>
              <w:left w:val="nil"/>
              <w:bottom w:val="single" w:sz="4" w:space="0" w:color="auto"/>
              <w:right w:val="single" w:sz="4" w:space="0" w:color="auto"/>
            </w:tcBorders>
            <w:shd w:val="clear" w:color="auto" w:fill="auto"/>
            <w:noWrap/>
            <w:vAlign w:val="center"/>
            <w:hideMark/>
          </w:tcPr>
          <w:p w:rsidR="003A213D" w:rsidRPr="00AB3200" w:rsidRDefault="003A213D" w:rsidP="00EF7AF3">
            <w:pPr>
              <w:jc w:val="center"/>
              <w:rPr>
                <w:rFonts w:ascii="標楷體" w:hAnsi="標楷體"/>
                <w:sz w:val="20"/>
              </w:rPr>
            </w:pPr>
            <w:r w:rsidRPr="00AB3200">
              <w:rPr>
                <w:rFonts w:ascii="標楷體" w:hAnsi="標楷體"/>
                <w:sz w:val="20"/>
              </w:rPr>
              <w:t>0</w:t>
            </w:r>
          </w:p>
        </w:tc>
        <w:tc>
          <w:tcPr>
            <w:tcW w:w="1402" w:type="dxa"/>
            <w:tcBorders>
              <w:top w:val="nil"/>
              <w:left w:val="nil"/>
              <w:bottom w:val="single" w:sz="4" w:space="0" w:color="auto"/>
              <w:right w:val="single" w:sz="4" w:space="0" w:color="auto"/>
            </w:tcBorders>
            <w:shd w:val="clear" w:color="auto" w:fill="auto"/>
            <w:noWrap/>
            <w:vAlign w:val="center"/>
            <w:hideMark/>
          </w:tcPr>
          <w:p w:rsidR="003A213D" w:rsidRPr="00AB3200" w:rsidRDefault="003A213D" w:rsidP="00EF7AF3">
            <w:pPr>
              <w:jc w:val="center"/>
              <w:rPr>
                <w:rFonts w:ascii="標楷體" w:hAnsi="標楷體"/>
                <w:sz w:val="20"/>
              </w:rPr>
            </w:pPr>
            <w:r w:rsidRPr="00AB3200">
              <w:rPr>
                <w:rFonts w:ascii="標楷體" w:hAnsi="標楷體"/>
                <w:sz w:val="20"/>
              </w:rPr>
              <w:t>8</w:t>
            </w:r>
          </w:p>
        </w:tc>
        <w:tc>
          <w:tcPr>
            <w:tcW w:w="1263" w:type="dxa"/>
            <w:tcBorders>
              <w:top w:val="nil"/>
              <w:left w:val="nil"/>
              <w:bottom w:val="single" w:sz="4" w:space="0" w:color="auto"/>
              <w:right w:val="single" w:sz="8" w:space="0" w:color="auto"/>
            </w:tcBorders>
            <w:shd w:val="clear" w:color="auto" w:fill="auto"/>
            <w:noWrap/>
            <w:vAlign w:val="center"/>
            <w:hideMark/>
          </w:tcPr>
          <w:p w:rsidR="003A213D" w:rsidRPr="00AB3200" w:rsidRDefault="003A213D" w:rsidP="00EF7AF3">
            <w:pPr>
              <w:jc w:val="center"/>
              <w:rPr>
                <w:rFonts w:ascii="標楷體" w:hAnsi="標楷體"/>
                <w:sz w:val="20"/>
              </w:rPr>
            </w:pPr>
            <w:r w:rsidRPr="00AB3200">
              <w:rPr>
                <w:rFonts w:ascii="標楷體" w:hAnsi="標楷體"/>
                <w:sz w:val="20"/>
              </w:rPr>
              <w:t>8</w:t>
            </w:r>
          </w:p>
        </w:tc>
        <w:tc>
          <w:tcPr>
            <w:tcW w:w="1122" w:type="dxa"/>
            <w:tcBorders>
              <w:top w:val="nil"/>
              <w:left w:val="nil"/>
              <w:bottom w:val="single" w:sz="4" w:space="0" w:color="auto"/>
              <w:right w:val="single" w:sz="8" w:space="0" w:color="auto"/>
            </w:tcBorders>
          </w:tcPr>
          <w:p w:rsidR="003A213D" w:rsidRPr="00AB3200" w:rsidRDefault="003A213D" w:rsidP="00EF7AF3">
            <w:pPr>
              <w:jc w:val="center"/>
              <w:rPr>
                <w:rFonts w:ascii="標楷體" w:hAnsi="標楷體"/>
                <w:sz w:val="20"/>
              </w:rPr>
            </w:pPr>
            <w:r w:rsidRPr="00AB3200">
              <w:rPr>
                <w:rFonts w:ascii="標楷體" w:hAnsi="標楷體" w:hint="eastAsia"/>
                <w:sz w:val="20"/>
              </w:rPr>
              <w:t>16</w:t>
            </w:r>
          </w:p>
        </w:tc>
      </w:tr>
      <w:tr w:rsidR="003A213D" w:rsidRPr="00AB3200" w:rsidTr="004B009D">
        <w:trPr>
          <w:trHeight w:val="56"/>
        </w:trPr>
        <w:tc>
          <w:tcPr>
            <w:tcW w:w="1683" w:type="dxa"/>
            <w:tcBorders>
              <w:top w:val="nil"/>
              <w:left w:val="single" w:sz="8" w:space="0" w:color="auto"/>
              <w:bottom w:val="single" w:sz="4" w:space="0" w:color="auto"/>
              <w:right w:val="single" w:sz="4" w:space="0" w:color="auto"/>
            </w:tcBorders>
            <w:shd w:val="clear" w:color="auto" w:fill="auto"/>
            <w:noWrap/>
            <w:vAlign w:val="center"/>
            <w:hideMark/>
          </w:tcPr>
          <w:p w:rsidR="003A213D" w:rsidRPr="00AB3200" w:rsidRDefault="003A213D" w:rsidP="00EF7AF3">
            <w:pPr>
              <w:widowControl/>
              <w:jc w:val="center"/>
              <w:rPr>
                <w:rFonts w:ascii="標楷體" w:hAnsi="標楷體" w:cs="新細明體"/>
                <w:kern w:val="0"/>
                <w:sz w:val="20"/>
              </w:rPr>
            </w:pPr>
            <w:r w:rsidRPr="00AB3200">
              <w:rPr>
                <w:rFonts w:ascii="標楷體" w:hAnsi="標楷體" w:cs="新細明體" w:hint="eastAsia"/>
                <w:kern w:val="0"/>
                <w:sz w:val="20"/>
              </w:rPr>
              <w:t>雲嘉南</w:t>
            </w:r>
          </w:p>
        </w:tc>
        <w:tc>
          <w:tcPr>
            <w:tcW w:w="1402" w:type="dxa"/>
            <w:tcBorders>
              <w:top w:val="nil"/>
              <w:left w:val="nil"/>
              <w:bottom w:val="single" w:sz="4" w:space="0" w:color="auto"/>
              <w:right w:val="single" w:sz="4" w:space="0" w:color="auto"/>
            </w:tcBorders>
            <w:shd w:val="clear" w:color="auto" w:fill="auto"/>
            <w:noWrap/>
            <w:vAlign w:val="center"/>
            <w:hideMark/>
          </w:tcPr>
          <w:p w:rsidR="003A213D" w:rsidRPr="00AB3200" w:rsidRDefault="003A213D" w:rsidP="00EF7AF3">
            <w:pPr>
              <w:jc w:val="center"/>
              <w:rPr>
                <w:rFonts w:ascii="標楷體" w:hAnsi="標楷體"/>
                <w:sz w:val="20"/>
              </w:rPr>
            </w:pPr>
            <w:r w:rsidRPr="00AB3200">
              <w:rPr>
                <w:rFonts w:ascii="標楷體" w:hAnsi="標楷體"/>
                <w:sz w:val="20"/>
              </w:rPr>
              <w:t>0</w:t>
            </w:r>
          </w:p>
        </w:tc>
        <w:tc>
          <w:tcPr>
            <w:tcW w:w="1403" w:type="dxa"/>
            <w:tcBorders>
              <w:top w:val="nil"/>
              <w:left w:val="nil"/>
              <w:bottom w:val="single" w:sz="4" w:space="0" w:color="auto"/>
              <w:right w:val="single" w:sz="4" w:space="0" w:color="auto"/>
            </w:tcBorders>
            <w:shd w:val="clear" w:color="auto" w:fill="auto"/>
            <w:noWrap/>
            <w:vAlign w:val="center"/>
            <w:hideMark/>
          </w:tcPr>
          <w:p w:rsidR="003A213D" w:rsidRPr="00AB3200" w:rsidRDefault="003A213D" w:rsidP="00EF7AF3">
            <w:pPr>
              <w:jc w:val="center"/>
              <w:rPr>
                <w:rFonts w:ascii="標楷體" w:hAnsi="標楷體"/>
                <w:sz w:val="20"/>
              </w:rPr>
            </w:pPr>
            <w:r w:rsidRPr="00AB3200">
              <w:rPr>
                <w:rFonts w:ascii="標楷體" w:hAnsi="標楷體"/>
                <w:sz w:val="20"/>
              </w:rPr>
              <w:t>0</w:t>
            </w:r>
          </w:p>
        </w:tc>
        <w:tc>
          <w:tcPr>
            <w:tcW w:w="1402" w:type="dxa"/>
            <w:tcBorders>
              <w:top w:val="nil"/>
              <w:left w:val="nil"/>
              <w:bottom w:val="single" w:sz="4" w:space="0" w:color="auto"/>
              <w:right w:val="single" w:sz="4" w:space="0" w:color="auto"/>
            </w:tcBorders>
            <w:shd w:val="clear" w:color="auto" w:fill="auto"/>
            <w:noWrap/>
            <w:vAlign w:val="center"/>
            <w:hideMark/>
          </w:tcPr>
          <w:p w:rsidR="003A213D" w:rsidRPr="00AB3200" w:rsidRDefault="003A213D" w:rsidP="00EF7AF3">
            <w:pPr>
              <w:jc w:val="center"/>
              <w:rPr>
                <w:rFonts w:ascii="標楷體" w:hAnsi="標楷體"/>
                <w:sz w:val="20"/>
              </w:rPr>
            </w:pPr>
            <w:r w:rsidRPr="00AB3200">
              <w:rPr>
                <w:rFonts w:ascii="標楷體" w:hAnsi="標楷體"/>
                <w:sz w:val="20"/>
              </w:rPr>
              <w:t>19</w:t>
            </w:r>
          </w:p>
        </w:tc>
        <w:tc>
          <w:tcPr>
            <w:tcW w:w="1263" w:type="dxa"/>
            <w:tcBorders>
              <w:top w:val="nil"/>
              <w:left w:val="nil"/>
              <w:bottom w:val="single" w:sz="4" w:space="0" w:color="auto"/>
              <w:right w:val="single" w:sz="8" w:space="0" w:color="auto"/>
            </w:tcBorders>
            <w:shd w:val="clear" w:color="auto" w:fill="auto"/>
            <w:noWrap/>
            <w:vAlign w:val="center"/>
            <w:hideMark/>
          </w:tcPr>
          <w:p w:rsidR="003A213D" w:rsidRPr="00AB3200" w:rsidRDefault="003A213D" w:rsidP="00EF7AF3">
            <w:pPr>
              <w:jc w:val="center"/>
              <w:rPr>
                <w:rFonts w:ascii="標楷體" w:hAnsi="標楷體"/>
                <w:sz w:val="20"/>
              </w:rPr>
            </w:pPr>
            <w:r w:rsidRPr="00AB3200">
              <w:rPr>
                <w:rFonts w:ascii="標楷體" w:hAnsi="標楷體"/>
                <w:sz w:val="20"/>
              </w:rPr>
              <w:t>7</w:t>
            </w:r>
          </w:p>
        </w:tc>
        <w:tc>
          <w:tcPr>
            <w:tcW w:w="1122" w:type="dxa"/>
            <w:tcBorders>
              <w:top w:val="nil"/>
              <w:left w:val="nil"/>
              <w:bottom w:val="single" w:sz="4" w:space="0" w:color="auto"/>
              <w:right w:val="single" w:sz="8" w:space="0" w:color="auto"/>
            </w:tcBorders>
          </w:tcPr>
          <w:p w:rsidR="003A213D" w:rsidRPr="00AB3200" w:rsidRDefault="003A213D" w:rsidP="00EF7AF3">
            <w:pPr>
              <w:jc w:val="center"/>
              <w:rPr>
                <w:rFonts w:ascii="標楷體" w:hAnsi="標楷體"/>
                <w:sz w:val="20"/>
              </w:rPr>
            </w:pPr>
            <w:r w:rsidRPr="00AB3200">
              <w:rPr>
                <w:rFonts w:ascii="標楷體" w:hAnsi="標楷體" w:hint="eastAsia"/>
                <w:sz w:val="20"/>
              </w:rPr>
              <w:t>26</w:t>
            </w:r>
          </w:p>
        </w:tc>
      </w:tr>
      <w:tr w:rsidR="003A213D" w:rsidRPr="00AB3200" w:rsidTr="004B009D">
        <w:trPr>
          <w:trHeight w:val="198"/>
        </w:trPr>
        <w:tc>
          <w:tcPr>
            <w:tcW w:w="1683" w:type="dxa"/>
            <w:tcBorders>
              <w:top w:val="nil"/>
              <w:left w:val="single" w:sz="8" w:space="0" w:color="auto"/>
              <w:bottom w:val="single" w:sz="4" w:space="0" w:color="auto"/>
              <w:right w:val="single" w:sz="4" w:space="0" w:color="auto"/>
            </w:tcBorders>
            <w:shd w:val="clear" w:color="auto" w:fill="auto"/>
            <w:noWrap/>
            <w:vAlign w:val="center"/>
            <w:hideMark/>
          </w:tcPr>
          <w:p w:rsidR="003A213D" w:rsidRPr="00AB3200" w:rsidRDefault="003A213D" w:rsidP="00EF7AF3">
            <w:pPr>
              <w:widowControl/>
              <w:jc w:val="center"/>
              <w:rPr>
                <w:rFonts w:ascii="標楷體" w:hAnsi="標楷體" w:cs="新細明體"/>
                <w:kern w:val="0"/>
                <w:sz w:val="20"/>
              </w:rPr>
            </w:pPr>
            <w:r w:rsidRPr="00AB3200">
              <w:rPr>
                <w:rFonts w:ascii="標楷體" w:hAnsi="標楷體" w:cs="新細明體" w:hint="eastAsia"/>
                <w:kern w:val="0"/>
                <w:sz w:val="20"/>
              </w:rPr>
              <w:t>高屏澎東</w:t>
            </w:r>
          </w:p>
        </w:tc>
        <w:tc>
          <w:tcPr>
            <w:tcW w:w="1402" w:type="dxa"/>
            <w:tcBorders>
              <w:top w:val="nil"/>
              <w:left w:val="nil"/>
              <w:bottom w:val="single" w:sz="4" w:space="0" w:color="auto"/>
              <w:right w:val="single" w:sz="4" w:space="0" w:color="auto"/>
            </w:tcBorders>
            <w:shd w:val="clear" w:color="auto" w:fill="auto"/>
            <w:noWrap/>
            <w:vAlign w:val="center"/>
            <w:hideMark/>
          </w:tcPr>
          <w:p w:rsidR="003A213D" w:rsidRPr="00AB3200" w:rsidRDefault="003A213D" w:rsidP="00EF7AF3">
            <w:pPr>
              <w:jc w:val="center"/>
              <w:rPr>
                <w:rFonts w:ascii="標楷體" w:hAnsi="標楷體"/>
                <w:sz w:val="20"/>
              </w:rPr>
            </w:pPr>
            <w:r w:rsidRPr="00AB3200">
              <w:rPr>
                <w:rFonts w:ascii="標楷體" w:hAnsi="標楷體"/>
                <w:sz w:val="20"/>
              </w:rPr>
              <w:t>0</w:t>
            </w:r>
          </w:p>
        </w:tc>
        <w:tc>
          <w:tcPr>
            <w:tcW w:w="1403" w:type="dxa"/>
            <w:tcBorders>
              <w:top w:val="nil"/>
              <w:left w:val="nil"/>
              <w:bottom w:val="single" w:sz="4" w:space="0" w:color="auto"/>
              <w:right w:val="single" w:sz="4" w:space="0" w:color="auto"/>
            </w:tcBorders>
            <w:shd w:val="clear" w:color="auto" w:fill="auto"/>
            <w:noWrap/>
            <w:vAlign w:val="center"/>
            <w:hideMark/>
          </w:tcPr>
          <w:p w:rsidR="003A213D" w:rsidRPr="00AB3200" w:rsidRDefault="003A213D" w:rsidP="00EF7AF3">
            <w:pPr>
              <w:jc w:val="center"/>
              <w:rPr>
                <w:rFonts w:ascii="標楷體" w:hAnsi="標楷體"/>
                <w:sz w:val="20"/>
              </w:rPr>
            </w:pPr>
            <w:r w:rsidRPr="00AB3200">
              <w:rPr>
                <w:rFonts w:ascii="標楷體" w:hAnsi="標楷體"/>
                <w:sz w:val="20"/>
              </w:rPr>
              <w:t>0</w:t>
            </w:r>
          </w:p>
        </w:tc>
        <w:tc>
          <w:tcPr>
            <w:tcW w:w="1402" w:type="dxa"/>
            <w:tcBorders>
              <w:top w:val="nil"/>
              <w:left w:val="nil"/>
              <w:bottom w:val="single" w:sz="4" w:space="0" w:color="auto"/>
              <w:right w:val="single" w:sz="4" w:space="0" w:color="auto"/>
            </w:tcBorders>
            <w:shd w:val="clear" w:color="auto" w:fill="auto"/>
            <w:noWrap/>
            <w:vAlign w:val="center"/>
            <w:hideMark/>
          </w:tcPr>
          <w:p w:rsidR="003A213D" w:rsidRPr="00AB3200" w:rsidRDefault="003A213D" w:rsidP="00EF7AF3">
            <w:pPr>
              <w:jc w:val="center"/>
              <w:rPr>
                <w:rFonts w:ascii="標楷體" w:hAnsi="標楷體"/>
                <w:sz w:val="20"/>
              </w:rPr>
            </w:pPr>
            <w:r w:rsidRPr="00AB3200">
              <w:rPr>
                <w:rFonts w:ascii="標楷體" w:hAnsi="標楷體"/>
                <w:sz w:val="20"/>
              </w:rPr>
              <w:t>16</w:t>
            </w:r>
          </w:p>
        </w:tc>
        <w:tc>
          <w:tcPr>
            <w:tcW w:w="1263" w:type="dxa"/>
            <w:tcBorders>
              <w:top w:val="nil"/>
              <w:left w:val="nil"/>
              <w:bottom w:val="single" w:sz="4" w:space="0" w:color="auto"/>
              <w:right w:val="single" w:sz="8" w:space="0" w:color="auto"/>
            </w:tcBorders>
            <w:shd w:val="clear" w:color="auto" w:fill="auto"/>
            <w:noWrap/>
            <w:vAlign w:val="center"/>
            <w:hideMark/>
          </w:tcPr>
          <w:p w:rsidR="003A213D" w:rsidRPr="00AB3200" w:rsidRDefault="003A213D" w:rsidP="00EF7AF3">
            <w:pPr>
              <w:jc w:val="center"/>
              <w:rPr>
                <w:rFonts w:ascii="標楷體" w:hAnsi="標楷體"/>
                <w:sz w:val="20"/>
              </w:rPr>
            </w:pPr>
            <w:r w:rsidRPr="00AB3200">
              <w:rPr>
                <w:rFonts w:ascii="標楷體" w:hAnsi="標楷體"/>
                <w:sz w:val="20"/>
              </w:rPr>
              <w:t>6</w:t>
            </w:r>
          </w:p>
        </w:tc>
        <w:tc>
          <w:tcPr>
            <w:tcW w:w="1122" w:type="dxa"/>
            <w:tcBorders>
              <w:top w:val="nil"/>
              <w:left w:val="nil"/>
              <w:bottom w:val="single" w:sz="4" w:space="0" w:color="auto"/>
              <w:right w:val="single" w:sz="8" w:space="0" w:color="auto"/>
            </w:tcBorders>
          </w:tcPr>
          <w:p w:rsidR="003A213D" w:rsidRPr="00AB3200" w:rsidRDefault="003A213D" w:rsidP="00EF7AF3">
            <w:pPr>
              <w:jc w:val="center"/>
              <w:rPr>
                <w:rFonts w:ascii="標楷體" w:hAnsi="標楷體"/>
                <w:sz w:val="20"/>
              </w:rPr>
            </w:pPr>
            <w:r w:rsidRPr="00AB3200">
              <w:rPr>
                <w:rFonts w:ascii="標楷體" w:hAnsi="標楷體" w:hint="eastAsia"/>
                <w:sz w:val="20"/>
              </w:rPr>
              <w:t>22</w:t>
            </w:r>
          </w:p>
        </w:tc>
      </w:tr>
      <w:tr w:rsidR="003A213D" w:rsidRPr="00AB3200" w:rsidTr="004B009D">
        <w:trPr>
          <w:trHeight w:val="93"/>
        </w:trPr>
        <w:tc>
          <w:tcPr>
            <w:tcW w:w="1683"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rsidR="003A213D" w:rsidRPr="00AB3200" w:rsidRDefault="003A213D" w:rsidP="00EF7AF3">
            <w:pPr>
              <w:jc w:val="center"/>
              <w:rPr>
                <w:rFonts w:ascii="標楷體" w:hAnsi="標楷體" w:cs="新細明體"/>
                <w:kern w:val="0"/>
                <w:sz w:val="20"/>
              </w:rPr>
            </w:pPr>
            <w:r w:rsidRPr="00AB3200">
              <w:rPr>
                <w:rFonts w:ascii="標楷體" w:hAnsi="標楷體" w:cs="新細明體" w:hint="eastAsia"/>
                <w:kern w:val="0"/>
                <w:sz w:val="20"/>
              </w:rPr>
              <w:t>合計</w:t>
            </w:r>
          </w:p>
        </w:tc>
        <w:tc>
          <w:tcPr>
            <w:tcW w:w="1402" w:type="dxa"/>
            <w:tcBorders>
              <w:top w:val="single" w:sz="4" w:space="0" w:color="auto"/>
              <w:left w:val="nil"/>
              <w:bottom w:val="single" w:sz="8" w:space="0" w:color="auto"/>
              <w:right w:val="single" w:sz="4" w:space="0" w:color="auto"/>
            </w:tcBorders>
            <w:shd w:val="clear" w:color="auto" w:fill="auto"/>
            <w:noWrap/>
            <w:vAlign w:val="center"/>
            <w:hideMark/>
          </w:tcPr>
          <w:p w:rsidR="003A213D" w:rsidRPr="00AB3200" w:rsidRDefault="003A213D" w:rsidP="00EF7AF3">
            <w:pPr>
              <w:jc w:val="center"/>
              <w:rPr>
                <w:rFonts w:ascii="標楷體" w:hAnsi="標楷體" w:cs="新細明體"/>
                <w:sz w:val="20"/>
              </w:rPr>
            </w:pPr>
            <w:r w:rsidRPr="00AB3200">
              <w:rPr>
                <w:rFonts w:ascii="標楷體" w:hAnsi="標楷體" w:hint="eastAsia"/>
                <w:sz w:val="20"/>
              </w:rPr>
              <w:t>0</w:t>
            </w:r>
          </w:p>
        </w:tc>
        <w:tc>
          <w:tcPr>
            <w:tcW w:w="1403" w:type="dxa"/>
            <w:tcBorders>
              <w:top w:val="single" w:sz="4" w:space="0" w:color="auto"/>
              <w:left w:val="nil"/>
              <w:bottom w:val="single" w:sz="8" w:space="0" w:color="auto"/>
              <w:right w:val="single" w:sz="4" w:space="0" w:color="auto"/>
            </w:tcBorders>
            <w:shd w:val="clear" w:color="auto" w:fill="auto"/>
            <w:noWrap/>
            <w:vAlign w:val="center"/>
            <w:hideMark/>
          </w:tcPr>
          <w:p w:rsidR="003A213D" w:rsidRPr="00AB3200" w:rsidRDefault="003A213D" w:rsidP="00EF7AF3">
            <w:pPr>
              <w:jc w:val="center"/>
              <w:rPr>
                <w:rFonts w:ascii="標楷體" w:hAnsi="標楷體" w:cs="新細明體"/>
                <w:sz w:val="20"/>
              </w:rPr>
            </w:pPr>
            <w:r w:rsidRPr="00AB3200">
              <w:rPr>
                <w:rFonts w:ascii="標楷體" w:hAnsi="標楷體" w:hint="eastAsia"/>
                <w:sz w:val="20"/>
              </w:rPr>
              <w:t>0</w:t>
            </w:r>
          </w:p>
        </w:tc>
        <w:tc>
          <w:tcPr>
            <w:tcW w:w="1402" w:type="dxa"/>
            <w:tcBorders>
              <w:top w:val="single" w:sz="4" w:space="0" w:color="auto"/>
              <w:left w:val="nil"/>
              <w:bottom w:val="single" w:sz="8" w:space="0" w:color="auto"/>
              <w:right w:val="single" w:sz="4" w:space="0" w:color="auto"/>
            </w:tcBorders>
            <w:shd w:val="clear" w:color="auto" w:fill="auto"/>
            <w:noWrap/>
            <w:vAlign w:val="center"/>
            <w:hideMark/>
          </w:tcPr>
          <w:p w:rsidR="003A213D" w:rsidRPr="00AB3200" w:rsidRDefault="003A213D" w:rsidP="00EF7AF3">
            <w:pPr>
              <w:jc w:val="center"/>
              <w:rPr>
                <w:rFonts w:ascii="標楷體" w:hAnsi="標楷體" w:cs="新細明體"/>
                <w:sz w:val="20"/>
              </w:rPr>
            </w:pPr>
            <w:r w:rsidRPr="00AB3200">
              <w:rPr>
                <w:rFonts w:ascii="標楷體" w:hAnsi="標楷體" w:hint="eastAsia"/>
                <w:sz w:val="20"/>
              </w:rPr>
              <w:t>69</w:t>
            </w:r>
          </w:p>
        </w:tc>
        <w:tc>
          <w:tcPr>
            <w:tcW w:w="1263" w:type="dxa"/>
            <w:tcBorders>
              <w:top w:val="single" w:sz="4" w:space="0" w:color="auto"/>
              <w:left w:val="nil"/>
              <w:bottom w:val="single" w:sz="8" w:space="0" w:color="auto"/>
              <w:right w:val="single" w:sz="8" w:space="0" w:color="auto"/>
            </w:tcBorders>
            <w:shd w:val="clear" w:color="auto" w:fill="auto"/>
            <w:noWrap/>
            <w:vAlign w:val="center"/>
            <w:hideMark/>
          </w:tcPr>
          <w:p w:rsidR="003A213D" w:rsidRPr="00AB3200" w:rsidRDefault="003A213D" w:rsidP="00EF7AF3">
            <w:pPr>
              <w:jc w:val="center"/>
              <w:rPr>
                <w:rFonts w:ascii="標楷體" w:hAnsi="標楷體" w:cs="新細明體"/>
                <w:sz w:val="20"/>
              </w:rPr>
            </w:pPr>
            <w:r w:rsidRPr="00AB3200">
              <w:rPr>
                <w:rFonts w:ascii="標楷體" w:hAnsi="標楷體" w:hint="eastAsia"/>
                <w:sz w:val="20"/>
              </w:rPr>
              <w:t>61</w:t>
            </w:r>
          </w:p>
        </w:tc>
        <w:tc>
          <w:tcPr>
            <w:tcW w:w="1122" w:type="dxa"/>
            <w:tcBorders>
              <w:top w:val="single" w:sz="4" w:space="0" w:color="auto"/>
              <w:left w:val="nil"/>
              <w:bottom w:val="single" w:sz="8" w:space="0" w:color="auto"/>
              <w:right w:val="single" w:sz="8" w:space="0" w:color="auto"/>
            </w:tcBorders>
            <w:vAlign w:val="center"/>
          </w:tcPr>
          <w:p w:rsidR="003A213D" w:rsidRPr="00AB3200" w:rsidRDefault="003A213D" w:rsidP="00EF7AF3">
            <w:pPr>
              <w:jc w:val="center"/>
              <w:rPr>
                <w:rFonts w:ascii="標楷體" w:hAnsi="標楷體" w:cs="新細明體"/>
                <w:sz w:val="20"/>
              </w:rPr>
            </w:pPr>
            <w:r w:rsidRPr="00AB3200">
              <w:rPr>
                <w:rFonts w:ascii="標楷體" w:hAnsi="標楷體" w:hint="eastAsia"/>
                <w:sz w:val="20"/>
              </w:rPr>
              <w:t>130</w:t>
            </w:r>
          </w:p>
        </w:tc>
      </w:tr>
    </w:tbl>
    <w:p w:rsidR="003A213D" w:rsidRPr="00AB3200" w:rsidRDefault="003A213D" w:rsidP="003A213D">
      <w:pPr>
        <w:pStyle w:val="4"/>
        <w:numPr>
          <w:ilvl w:val="0"/>
          <w:numId w:val="0"/>
        </w:numPr>
        <w:spacing w:line="240" w:lineRule="exact"/>
        <w:ind w:firstLineChars="386" w:firstLine="850"/>
        <w:jc w:val="left"/>
        <w:rPr>
          <w:rFonts w:hAnsi="標楷體"/>
          <w:sz w:val="20"/>
          <w:szCs w:val="20"/>
        </w:rPr>
      </w:pPr>
      <w:r w:rsidRPr="00AB3200">
        <w:rPr>
          <w:rFonts w:hAnsi="標楷體" w:hint="eastAsia"/>
          <w:sz w:val="20"/>
          <w:szCs w:val="20"/>
        </w:rPr>
        <w:t>資料來源:勞動部</w:t>
      </w:r>
    </w:p>
    <w:p w:rsidR="003A213D" w:rsidRPr="00AB3200" w:rsidRDefault="003A213D" w:rsidP="00372F31">
      <w:pPr>
        <w:pStyle w:val="4"/>
        <w:numPr>
          <w:ilvl w:val="0"/>
          <w:numId w:val="0"/>
        </w:numPr>
        <w:ind w:left="1843" w:firstLineChars="208" w:firstLine="708"/>
        <w:rPr>
          <w:rFonts w:hAnsi="標楷體"/>
        </w:rPr>
      </w:pPr>
      <w:r w:rsidRPr="00AB3200">
        <w:rPr>
          <w:rFonts w:hAnsi="標楷體" w:hint="eastAsia"/>
        </w:rPr>
        <w:t>以上資料顯示，勞動部之就業服務人員，</w:t>
      </w:r>
      <w:proofErr w:type="gramStart"/>
      <w:r w:rsidRPr="00AB3200">
        <w:rPr>
          <w:rFonts w:hAnsi="標楷體" w:hint="eastAsia"/>
        </w:rPr>
        <w:t>均為臨時</w:t>
      </w:r>
      <w:proofErr w:type="gramEnd"/>
      <w:r w:rsidRPr="00AB3200">
        <w:rPr>
          <w:rFonts w:hAnsi="標楷體" w:hint="eastAsia"/>
        </w:rPr>
        <w:t>人員或派遣人員，並非該部正式人員或約聘人員。</w:t>
      </w:r>
    </w:p>
    <w:p w:rsidR="003A213D" w:rsidRPr="00AB3200" w:rsidRDefault="003A213D" w:rsidP="00372F31">
      <w:pPr>
        <w:pStyle w:val="4"/>
        <w:ind w:hanging="1549"/>
        <w:rPr>
          <w:rFonts w:hAnsi="標楷體"/>
        </w:rPr>
      </w:pPr>
      <w:r w:rsidRPr="00AB3200">
        <w:rPr>
          <w:rFonts w:hAnsi="標楷體" w:hint="eastAsia"/>
        </w:rPr>
        <w:t>勞動部職</w:t>
      </w:r>
      <w:proofErr w:type="gramStart"/>
      <w:r w:rsidRPr="00AB3200">
        <w:rPr>
          <w:rFonts w:hAnsi="標楷體" w:hint="eastAsia"/>
        </w:rPr>
        <w:t>涯</w:t>
      </w:r>
      <w:proofErr w:type="gramEnd"/>
      <w:r w:rsidRPr="00AB3200">
        <w:rPr>
          <w:rFonts w:hAnsi="標楷體" w:hint="eastAsia"/>
        </w:rPr>
        <w:t>諮詢輔導人員平均在職期間:</w:t>
      </w:r>
    </w:p>
    <w:tbl>
      <w:tblPr>
        <w:tblW w:w="8220" w:type="dxa"/>
        <w:tblInd w:w="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950"/>
        <w:gridCol w:w="3205"/>
        <w:gridCol w:w="3065"/>
      </w:tblGrid>
      <w:tr w:rsidR="003A213D" w:rsidRPr="00AB3200" w:rsidTr="004B009D">
        <w:trPr>
          <w:trHeight w:val="158"/>
          <w:tblHeader/>
        </w:trPr>
        <w:tc>
          <w:tcPr>
            <w:tcW w:w="1950" w:type="dxa"/>
            <w:vAlign w:val="center"/>
          </w:tcPr>
          <w:p w:rsidR="003A213D" w:rsidRPr="00AB3200" w:rsidRDefault="003A213D" w:rsidP="00EF7AF3">
            <w:pPr>
              <w:widowControl/>
              <w:jc w:val="center"/>
              <w:rPr>
                <w:rFonts w:ascii="標楷體" w:hAnsi="標楷體"/>
                <w:kern w:val="0"/>
                <w:sz w:val="20"/>
              </w:rPr>
            </w:pPr>
            <w:r w:rsidRPr="00AB3200">
              <w:rPr>
                <w:rFonts w:ascii="標楷體" w:hAnsi="標楷體" w:hint="eastAsia"/>
                <w:kern w:val="0"/>
                <w:sz w:val="20"/>
              </w:rPr>
              <w:t>分署</w:t>
            </w:r>
          </w:p>
        </w:tc>
        <w:tc>
          <w:tcPr>
            <w:tcW w:w="3205" w:type="dxa"/>
          </w:tcPr>
          <w:p w:rsidR="003A213D" w:rsidRPr="00AB3200" w:rsidRDefault="003A213D" w:rsidP="00EF7AF3">
            <w:pPr>
              <w:ind w:left="-28"/>
              <w:jc w:val="center"/>
              <w:rPr>
                <w:rFonts w:ascii="標楷體" w:hAnsi="標楷體"/>
                <w:sz w:val="20"/>
              </w:rPr>
            </w:pPr>
            <w:r w:rsidRPr="00AB3200">
              <w:rPr>
                <w:rFonts w:ascii="標楷體" w:hAnsi="標楷體" w:hint="eastAsia"/>
                <w:sz w:val="20"/>
              </w:rPr>
              <w:t>臨時人員(平均7年3個月)</w:t>
            </w:r>
          </w:p>
        </w:tc>
        <w:tc>
          <w:tcPr>
            <w:tcW w:w="3065" w:type="dxa"/>
          </w:tcPr>
          <w:p w:rsidR="003A213D" w:rsidRPr="00AB3200" w:rsidRDefault="003A213D" w:rsidP="004B009D">
            <w:pPr>
              <w:ind w:left="-96" w:firstLineChars="39" w:firstLine="86"/>
              <w:jc w:val="center"/>
              <w:rPr>
                <w:rFonts w:ascii="標楷體" w:hAnsi="標楷體"/>
                <w:sz w:val="20"/>
              </w:rPr>
            </w:pPr>
            <w:r w:rsidRPr="00AB3200">
              <w:rPr>
                <w:rFonts w:ascii="標楷體" w:hAnsi="標楷體" w:hint="eastAsia"/>
                <w:bCs/>
                <w:kern w:val="0"/>
                <w:sz w:val="20"/>
              </w:rPr>
              <w:t>派遣人力</w:t>
            </w:r>
            <w:r w:rsidRPr="00AB3200">
              <w:rPr>
                <w:rFonts w:ascii="標楷體" w:hAnsi="標楷體" w:hint="eastAsia"/>
                <w:sz w:val="20"/>
              </w:rPr>
              <w:t>(平均3年5個月)</w:t>
            </w:r>
          </w:p>
        </w:tc>
      </w:tr>
      <w:tr w:rsidR="003A213D" w:rsidRPr="00AB3200" w:rsidTr="004B009D">
        <w:trPr>
          <w:trHeight w:val="172"/>
        </w:trPr>
        <w:tc>
          <w:tcPr>
            <w:tcW w:w="1950" w:type="dxa"/>
            <w:vAlign w:val="center"/>
          </w:tcPr>
          <w:p w:rsidR="003A213D" w:rsidRPr="00AB3200" w:rsidRDefault="003A213D" w:rsidP="00EF7AF3">
            <w:pPr>
              <w:widowControl/>
              <w:jc w:val="center"/>
              <w:rPr>
                <w:rFonts w:ascii="標楷體" w:hAnsi="標楷體"/>
                <w:kern w:val="0"/>
                <w:sz w:val="20"/>
              </w:rPr>
            </w:pPr>
            <w:r w:rsidRPr="00AB3200">
              <w:rPr>
                <w:rFonts w:ascii="標楷體" w:hAnsi="標楷體" w:hint="eastAsia"/>
                <w:kern w:val="0"/>
                <w:sz w:val="20"/>
              </w:rPr>
              <w:t>北基宜花金馬</w:t>
            </w:r>
          </w:p>
        </w:tc>
        <w:tc>
          <w:tcPr>
            <w:tcW w:w="3205" w:type="dxa"/>
            <w:vAlign w:val="center"/>
          </w:tcPr>
          <w:p w:rsidR="003A213D" w:rsidRPr="00AB3200" w:rsidRDefault="003A213D" w:rsidP="00EF7AF3">
            <w:pPr>
              <w:widowControl/>
              <w:jc w:val="center"/>
              <w:rPr>
                <w:rFonts w:ascii="標楷體" w:hAnsi="標楷體"/>
                <w:kern w:val="0"/>
                <w:sz w:val="20"/>
              </w:rPr>
            </w:pPr>
            <w:r w:rsidRPr="00AB3200">
              <w:rPr>
                <w:rFonts w:ascii="標楷體" w:hAnsi="標楷體"/>
                <w:kern w:val="0"/>
                <w:sz w:val="20"/>
              </w:rPr>
              <w:t>8</w:t>
            </w:r>
            <w:r w:rsidRPr="00AB3200">
              <w:rPr>
                <w:rFonts w:ascii="標楷體" w:hAnsi="標楷體" w:hint="eastAsia"/>
                <w:kern w:val="0"/>
                <w:sz w:val="20"/>
              </w:rPr>
              <w:t>年</w:t>
            </w:r>
          </w:p>
        </w:tc>
        <w:tc>
          <w:tcPr>
            <w:tcW w:w="3065" w:type="dxa"/>
            <w:vAlign w:val="center"/>
          </w:tcPr>
          <w:p w:rsidR="003A213D" w:rsidRPr="00AB3200" w:rsidRDefault="003A213D" w:rsidP="00EF7AF3">
            <w:pPr>
              <w:widowControl/>
              <w:jc w:val="center"/>
              <w:rPr>
                <w:rFonts w:ascii="標楷體" w:hAnsi="標楷體"/>
                <w:kern w:val="0"/>
                <w:sz w:val="20"/>
              </w:rPr>
            </w:pPr>
            <w:r w:rsidRPr="00AB3200">
              <w:rPr>
                <w:rFonts w:ascii="標楷體" w:hAnsi="標楷體"/>
                <w:kern w:val="0"/>
                <w:sz w:val="20"/>
              </w:rPr>
              <w:t>3</w:t>
            </w:r>
            <w:r w:rsidRPr="00AB3200">
              <w:rPr>
                <w:rFonts w:ascii="標楷體" w:hAnsi="標楷體" w:hint="eastAsia"/>
                <w:kern w:val="0"/>
                <w:sz w:val="20"/>
              </w:rPr>
              <w:t>年4</w:t>
            </w:r>
            <w:r w:rsidRPr="00AB3200">
              <w:rPr>
                <w:rFonts w:ascii="標楷體" w:hAnsi="標楷體" w:hint="eastAsia"/>
                <w:sz w:val="20"/>
              </w:rPr>
              <w:t>個月</w:t>
            </w:r>
          </w:p>
        </w:tc>
      </w:tr>
      <w:tr w:rsidR="003A213D" w:rsidRPr="00AB3200" w:rsidTr="004B009D">
        <w:trPr>
          <w:trHeight w:val="187"/>
        </w:trPr>
        <w:tc>
          <w:tcPr>
            <w:tcW w:w="1950" w:type="dxa"/>
            <w:vAlign w:val="center"/>
          </w:tcPr>
          <w:p w:rsidR="003A213D" w:rsidRPr="00AB3200" w:rsidRDefault="003A213D" w:rsidP="00EF7AF3">
            <w:pPr>
              <w:widowControl/>
              <w:jc w:val="center"/>
              <w:rPr>
                <w:rFonts w:ascii="標楷體" w:hAnsi="標楷體"/>
                <w:kern w:val="0"/>
                <w:sz w:val="20"/>
              </w:rPr>
            </w:pPr>
            <w:r w:rsidRPr="00AB3200">
              <w:rPr>
                <w:rFonts w:ascii="標楷體" w:hAnsi="標楷體" w:hint="eastAsia"/>
                <w:kern w:val="0"/>
                <w:sz w:val="20"/>
              </w:rPr>
              <w:t>桃竹苗</w:t>
            </w:r>
          </w:p>
        </w:tc>
        <w:tc>
          <w:tcPr>
            <w:tcW w:w="3205" w:type="dxa"/>
            <w:vAlign w:val="center"/>
          </w:tcPr>
          <w:p w:rsidR="003A213D" w:rsidRPr="00AB3200" w:rsidRDefault="003A213D" w:rsidP="00EF7AF3">
            <w:pPr>
              <w:widowControl/>
              <w:jc w:val="center"/>
              <w:rPr>
                <w:rFonts w:ascii="標楷體" w:hAnsi="標楷體"/>
                <w:kern w:val="0"/>
                <w:sz w:val="20"/>
              </w:rPr>
            </w:pPr>
            <w:r w:rsidRPr="00AB3200">
              <w:rPr>
                <w:rFonts w:ascii="標楷體" w:hAnsi="標楷體"/>
                <w:kern w:val="0"/>
                <w:sz w:val="20"/>
              </w:rPr>
              <w:t>5</w:t>
            </w:r>
            <w:r w:rsidRPr="00AB3200">
              <w:rPr>
                <w:rFonts w:ascii="標楷體" w:hAnsi="標楷體" w:hint="eastAsia"/>
                <w:kern w:val="0"/>
                <w:sz w:val="20"/>
              </w:rPr>
              <w:t>年6</w:t>
            </w:r>
            <w:r w:rsidRPr="00AB3200">
              <w:rPr>
                <w:rFonts w:ascii="標楷體" w:hAnsi="標楷體" w:hint="eastAsia"/>
                <w:sz w:val="20"/>
              </w:rPr>
              <w:t>個月</w:t>
            </w:r>
          </w:p>
        </w:tc>
        <w:tc>
          <w:tcPr>
            <w:tcW w:w="3065" w:type="dxa"/>
            <w:vAlign w:val="center"/>
          </w:tcPr>
          <w:p w:rsidR="003A213D" w:rsidRPr="00AB3200" w:rsidRDefault="003A213D" w:rsidP="00EF7AF3">
            <w:pPr>
              <w:widowControl/>
              <w:jc w:val="center"/>
              <w:rPr>
                <w:rFonts w:ascii="標楷體" w:hAnsi="標楷體"/>
                <w:kern w:val="0"/>
                <w:sz w:val="20"/>
              </w:rPr>
            </w:pPr>
            <w:r w:rsidRPr="00AB3200">
              <w:rPr>
                <w:rFonts w:ascii="標楷體" w:hAnsi="標楷體"/>
                <w:kern w:val="0"/>
                <w:sz w:val="20"/>
              </w:rPr>
              <w:t>1</w:t>
            </w:r>
            <w:r w:rsidRPr="00AB3200">
              <w:rPr>
                <w:rFonts w:ascii="標楷體" w:hAnsi="標楷體" w:hint="eastAsia"/>
                <w:kern w:val="0"/>
                <w:sz w:val="20"/>
              </w:rPr>
              <w:t>年4</w:t>
            </w:r>
            <w:r w:rsidRPr="00AB3200">
              <w:rPr>
                <w:rFonts w:ascii="標楷體" w:hAnsi="標楷體" w:hint="eastAsia"/>
                <w:sz w:val="20"/>
              </w:rPr>
              <w:t>個月</w:t>
            </w:r>
          </w:p>
        </w:tc>
      </w:tr>
      <w:tr w:rsidR="003A213D" w:rsidRPr="00AB3200" w:rsidTr="004B009D">
        <w:trPr>
          <w:trHeight w:val="187"/>
        </w:trPr>
        <w:tc>
          <w:tcPr>
            <w:tcW w:w="1950" w:type="dxa"/>
            <w:vAlign w:val="center"/>
          </w:tcPr>
          <w:p w:rsidR="003A213D" w:rsidRPr="00AB3200" w:rsidRDefault="003A213D" w:rsidP="00EF7AF3">
            <w:pPr>
              <w:widowControl/>
              <w:jc w:val="center"/>
              <w:rPr>
                <w:rFonts w:ascii="標楷體" w:hAnsi="標楷體"/>
                <w:kern w:val="0"/>
                <w:sz w:val="20"/>
              </w:rPr>
            </w:pPr>
            <w:r w:rsidRPr="00AB3200">
              <w:rPr>
                <w:rFonts w:ascii="標楷體" w:hAnsi="標楷體" w:hint="eastAsia"/>
                <w:kern w:val="0"/>
                <w:sz w:val="20"/>
              </w:rPr>
              <w:t>中彰投</w:t>
            </w:r>
          </w:p>
        </w:tc>
        <w:tc>
          <w:tcPr>
            <w:tcW w:w="3205" w:type="dxa"/>
            <w:vAlign w:val="center"/>
          </w:tcPr>
          <w:p w:rsidR="003A213D" w:rsidRPr="00AB3200" w:rsidRDefault="003A213D" w:rsidP="00EF7AF3">
            <w:pPr>
              <w:widowControl/>
              <w:jc w:val="center"/>
              <w:rPr>
                <w:rFonts w:ascii="標楷體" w:hAnsi="標楷體"/>
                <w:kern w:val="0"/>
                <w:sz w:val="20"/>
              </w:rPr>
            </w:pPr>
            <w:r w:rsidRPr="00AB3200">
              <w:rPr>
                <w:rFonts w:ascii="標楷體" w:hAnsi="標楷體"/>
                <w:kern w:val="0"/>
                <w:sz w:val="20"/>
              </w:rPr>
              <w:t>9</w:t>
            </w:r>
            <w:r w:rsidRPr="00AB3200">
              <w:rPr>
                <w:rFonts w:ascii="標楷體" w:hAnsi="標楷體" w:hint="eastAsia"/>
                <w:kern w:val="0"/>
                <w:sz w:val="20"/>
              </w:rPr>
              <w:t>年1</w:t>
            </w:r>
            <w:r w:rsidRPr="00AB3200">
              <w:rPr>
                <w:rFonts w:ascii="標楷體" w:hAnsi="標楷體" w:hint="eastAsia"/>
                <w:sz w:val="20"/>
              </w:rPr>
              <w:t>個月</w:t>
            </w:r>
          </w:p>
        </w:tc>
        <w:tc>
          <w:tcPr>
            <w:tcW w:w="3065" w:type="dxa"/>
            <w:vAlign w:val="center"/>
          </w:tcPr>
          <w:p w:rsidR="003A213D" w:rsidRPr="00AB3200" w:rsidRDefault="003A213D" w:rsidP="00EF7AF3">
            <w:pPr>
              <w:widowControl/>
              <w:jc w:val="center"/>
              <w:rPr>
                <w:rFonts w:ascii="標楷體" w:hAnsi="標楷體"/>
                <w:kern w:val="0"/>
                <w:sz w:val="20"/>
              </w:rPr>
            </w:pPr>
            <w:r w:rsidRPr="00AB3200">
              <w:rPr>
                <w:rFonts w:ascii="標楷體" w:hAnsi="標楷體"/>
                <w:kern w:val="0"/>
                <w:sz w:val="20"/>
              </w:rPr>
              <w:t>1</w:t>
            </w:r>
            <w:r w:rsidRPr="00AB3200">
              <w:rPr>
                <w:rFonts w:ascii="標楷體" w:hAnsi="標楷體" w:hint="eastAsia"/>
                <w:kern w:val="0"/>
                <w:sz w:val="20"/>
              </w:rPr>
              <w:t>年1</w:t>
            </w:r>
            <w:r w:rsidRPr="00AB3200">
              <w:rPr>
                <w:rFonts w:ascii="標楷體" w:hAnsi="標楷體" w:hint="eastAsia"/>
                <w:sz w:val="20"/>
              </w:rPr>
              <w:t>個月</w:t>
            </w:r>
          </w:p>
        </w:tc>
      </w:tr>
      <w:tr w:rsidR="003A213D" w:rsidRPr="00AB3200" w:rsidTr="004B009D">
        <w:trPr>
          <w:trHeight w:val="244"/>
        </w:trPr>
        <w:tc>
          <w:tcPr>
            <w:tcW w:w="1950" w:type="dxa"/>
            <w:vAlign w:val="center"/>
          </w:tcPr>
          <w:p w:rsidR="003A213D" w:rsidRPr="00AB3200" w:rsidRDefault="003A213D" w:rsidP="00EF7AF3">
            <w:pPr>
              <w:widowControl/>
              <w:jc w:val="center"/>
              <w:rPr>
                <w:rFonts w:ascii="標楷體" w:hAnsi="標楷體"/>
                <w:kern w:val="0"/>
                <w:sz w:val="20"/>
              </w:rPr>
            </w:pPr>
            <w:r w:rsidRPr="00AB3200">
              <w:rPr>
                <w:rFonts w:ascii="標楷體" w:hAnsi="標楷體" w:hint="eastAsia"/>
                <w:kern w:val="0"/>
                <w:sz w:val="20"/>
              </w:rPr>
              <w:t>雲嘉南</w:t>
            </w:r>
          </w:p>
        </w:tc>
        <w:tc>
          <w:tcPr>
            <w:tcW w:w="3205" w:type="dxa"/>
            <w:vAlign w:val="center"/>
          </w:tcPr>
          <w:p w:rsidR="003A213D" w:rsidRPr="00AB3200" w:rsidRDefault="003A213D" w:rsidP="00EF7AF3">
            <w:pPr>
              <w:widowControl/>
              <w:jc w:val="center"/>
              <w:rPr>
                <w:rFonts w:ascii="標楷體" w:hAnsi="標楷體"/>
                <w:kern w:val="0"/>
                <w:sz w:val="20"/>
              </w:rPr>
            </w:pPr>
            <w:r w:rsidRPr="00AB3200">
              <w:rPr>
                <w:rFonts w:ascii="標楷體" w:hAnsi="標楷體"/>
                <w:kern w:val="0"/>
                <w:sz w:val="20"/>
              </w:rPr>
              <w:t>6</w:t>
            </w:r>
            <w:r w:rsidRPr="00AB3200">
              <w:rPr>
                <w:rFonts w:ascii="標楷體" w:hAnsi="標楷體" w:hint="eastAsia"/>
                <w:kern w:val="0"/>
                <w:sz w:val="20"/>
              </w:rPr>
              <w:t>年4</w:t>
            </w:r>
            <w:r w:rsidRPr="00AB3200">
              <w:rPr>
                <w:rFonts w:ascii="標楷體" w:hAnsi="標楷體" w:hint="eastAsia"/>
                <w:sz w:val="20"/>
              </w:rPr>
              <w:t>個月</w:t>
            </w:r>
          </w:p>
        </w:tc>
        <w:tc>
          <w:tcPr>
            <w:tcW w:w="3065" w:type="dxa"/>
            <w:vAlign w:val="center"/>
          </w:tcPr>
          <w:p w:rsidR="003A213D" w:rsidRPr="00AB3200" w:rsidRDefault="003A213D" w:rsidP="00EF7AF3">
            <w:pPr>
              <w:widowControl/>
              <w:jc w:val="center"/>
              <w:rPr>
                <w:rFonts w:ascii="標楷體" w:hAnsi="標楷體"/>
                <w:kern w:val="0"/>
                <w:sz w:val="20"/>
              </w:rPr>
            </w:pPr>
            <w:r w:rsidRPr="00AB3200">
              <w:rPr>
                <w:rFonts w:ascii="標楷體" w:hAnsi="標楷體"/>
                <w:kern w:val="0"/>
                <w:sz w:val="20"/>
              </w:rPr>
              <w:t>6</w:t>
            </w:r>
            <w:r w:rsidRPr="00AB3200">
              <w:rPr>
                <w:rFonts w:ascii="標楷體" w:hAnsi="標楷體" w:hint="eastAsia"/>
                <w:kern w:val="0"/>
                <w:sz w:val="20"/>
              </w:rPr>
              <w:t>年3</w:t>
            </w:r>
            <w:r w:rsidRPr="00AB3200">
              <w:rPr>
                <w:rFonts w:ascii="標楷體" w:hAnsi="標楷體" w:hint="eastAsia"/>
                <w:sz w:val="20"/>
              </w:rPr>
              <w:t>個月</w:t>
            </w:r>
          </w:p>
        </w:tc>
      </w:tr>
      <w:tr w:rsidR="003A213D" w:rsidRPr="00AB3200" w:rsidTr="004B009D">
        <w:trPr>
          <w:trHeight w:val="287"/>
        </w:trPr>
        <w:tc>
          <w:tcPr>
            <w:tcW w:w="1950" w:type="dxa"/>
            <w:vAlign w:val="center"/>
          </w:tcPr>
          <w:p w:rsidR="003A213D" w:rsidRPr="00AB3200" w:rsidRDefault="003A213D" w:rsidP="00EF7AF3">
            <w:pPr>
              <w:widowControl/>
              <w:jc w:val="center"/>
              <w:rPr>
                <w:rFonts w:ascii="標楷體" w:hAnsi="標楷體"/>
                <w:kern w:val="0"/>
                <w:sz w:val="20"/>
              </w:rPr>
            </w:pPr>
            <w:r w:rsidRPr="00AB3200">
              <w:rPr>
                <w:rFonts w:ascii="標楷體" w:hAnsi="標楷體" w:hint="eastAsia"/>
                <w:kern w:val="0"/>
                <w:sz w:val="20"/>
              </w:rPr>
              <w:t>高屏澎東</w:t>
            </w:r>
          </w:p>
        </w:tc>
        <w:tc>
          <w:tcPr>
            <w:tcW w:w="3205" w:type="dxa"/>
            <w:vAlign w:val="center"/>
          </w:tcPr>
          <w:p w:rsidR="003A213D" w:rsidRPr="00AB3200" w:rsidRDefault="003A213D" w:rsidP="00EF7AF3">
            <w:pPr>
              <w:widowControl/>
              <w:jc w:val="center"/>
              <w:rPr>
                <w:rFonts w:ascii="標楷體" w:hAnsi="標楷體"/>
                <w:kern w:val="0"/>
                <w:sz w:val="20"/>
              </w:rPr>
            </w:pPr>
            <w:r w:rsidRPr="00AB3200">
              <w:rPr>
                <w:rFonts w:ascii="標楷體" w:hAnsi="標楷體"/>
                <w:kern w:val="0"/>
                <w:sz w:val="20"/>
              </w:rPr>
              <w:t>7</w:t>
            </w:r>
            <w:r w:rsidRPr="00AB3200">
              <w:rPr>
                <w:rFonts w:ascii="標楷體" w:hAnsi="標楷體" w:hint="eastAsia"/>
                <w:kern w:val="0"/>
                <w:sz w:val="20"/>
              </w:rPr>
              <w:t>年5</w:t>
            </w:r>
            <w:r w:rsidRPr="00AB3200">
              <w:rPr>
                <w:rFonts w:ascii="標楷體" w:hAnsi="標楷體" w:hint="eastAsia"/>
                <w:sz w:val="20"/>
              </w:rPr>
              <w:t>個月</w:t>
            </w:r>
          </w:p>
        </w:tc>
        <w:tc>
          <w:tcPr>
            <w:tcW w:w="3065" w:type="dxa"/>
            <w:vAlign w:val="center"/>
          </w:tcPr>
          <w:p w:rsidR="003A213D" w:rsidRPr="00AB3200" w:rsidRDefault="003A213D" w:rsidP="00EF7AF3">
            <w:pPr>
              <w:widowControl/>
              <w:jc w:val="center"/>
              <w:rPr>
                <w:rFonts w:ascii="標楷體" w:hAnsi="標楷體"/>
                <w:kern w:val="0"/>
                <w:sz w:val="20"/>
              </w:rPr>
            </w:pPr>
            <w:r w:rsidRPr="00AB3200">
              <w:rPr>
                <w:rFonts w:ascii="標楷體" w:hAnsi="標楷體"/>
                <w:kern w:val="0"/>
                <w:sz w:val="20"/>
              </w:rPr>
              <w:t>2</w:t>
            </w:r>
            <w:r w:rsidRPr="00AB3200">
              <w:rPr>
                <w:rFonts w:ascii="標楷體" w:hAnsi="標楷體" w:hint="eastAsia"/>
                <w:kern w:val="0"/>
                <w:sz w:val="20"/>
              </w:rPr>
              <w:t>年11</w:t>
            </w:r>
            <w:r w:rsidRPr="00AB3200">
              <w:rPr>
                <w:rFonts w:ascii="標楷體" w:hAnsi="標楷體" w:hint="eastAsia"/>
                <w:sz w:val="20"/>
              </w:rPr>
              <w:t>個月</w:t>
            </w:r>
          </w:p>
        </w:tc>
      </w:tr>
    </w:tbl>
    <w:p w:rsidR="003A213D" w:rsidRPr="00AB3200" w:rsidRDefault="003A213D" w:rsidP="003A213D">
      <w:pPr>
        <w:pStyle w:val="4"/>
        <w:numPr>
          <w:ilvl w:val="0"/>
          <w:numId w:val="0"/>
        </w:numPr>
        <w:spacing w:line="240" w:lineRule="exact"/>
        <w:ind w:firstLineChars="386" w:firstLine="850"/>
        <w:rPr>
          <w:rFonts w:hAnsi="標楷體"/>
          <w:sz w:val="20"/>
          <w:szCs w:val="20"/>
        </w:rPr>
      </w:pPr>
      <w:r w:rsidRPr="00AB3200">
        <w:rPr>
          <w:rFonts w:hAnsi="標楷體" w:hint="eastAsia"/>
          <w:sz w:val="20"/>
          <w:szCs w:val="20"/>
        </w:rPr>
        <w:t>資料來源:勞動部</w:t>
      </w:r>
    </w:p>
    <w:p w:rsidR="003A213D" w:rsidRPr="00AB3200" w:rsidRDefault="003A213D" w:rsidP="003A213D">
      <w:pPr>
        <w:pStyle w:val="4"/>
        <w:numPr>
          <w:ilvl w:val="0"/>
          <w:numId w:val="0"/>
        </w:numPr>
        <w:ind w:left="1741"/>
        <w:rPr>
          <w:rFonts w:hAnsi="標楷體"/>
        </w:rPr>
      </w:pPr>
      <w:r w:rsidRPr="00AB3200">
        <w:rPr>
          <w:rFonts w:hAnsi="標楷體" w:hint="eastAsia"/>
        </w:rPr>
        <w:t>臨時人員係該部自聘人員，平均在職期間為7年3個月，明顯優於派遣人力之3年5個月。</w:t>
      </w:r>
    </w:p>
    <w:p w:rsidR="003A213D" w:rsidRPr="00AB3200" w:rsidRDefault="003A213D" w:rsidP="00372F31">
      <w:pPr>
        <w:pStyle w:val="4"/>
        <w:ind w:hanging="1549"/>
        <w:rPr>
          <w:rFonts w:hAnsi="標楷體"/>
        </w:rPr>
      </w:pPr>
      <w:r w:rsidRPr="00AB3200">
        <w:rPr>
          <w:rFonts w:hAnsi="標楷體" w:hint="eastAsia"/>
        </w:rPr>
        <w:t>勞</w:t>
      </w:r>
      <w:r w:rsidRPr="00AB3200">
        <w:rPr>
          <w:rFonts w:hAnsi="標楷體" w:hint="eastAsia"/>
          <w:szCs w:val="32"/>
        </w:rPr>
        <w:t>動部職</w:t>
      </w:r>
      <w:proofErr w:type="gramStart"/>
      <w:r w:rsidRPr="00AB3200">
        <w:rPr>
          <w:rFonts w:hAnsi="標楷體" w:hint="eastAsia"/>
          <w:szCs w:val="32"/>
        </w:rPr>
        <w:t>涯</w:t>
      </w:r>
      <w:proofErr w:type="gramEnd"/>
      <w:r w:rsidRPr="00AB3200">
        <w:rPr>
          <w:rFonts w:hAnsi="標楷體" w:hint="eastAsia"/>
          <w:szCs w:val="32"/>
        </w:rPr>
        <w:t>諮詢輔導人員待遇:</w:t>
      </w:r>
    </w:p>
    <w:p w:rsidR="003A213D" w:rsidRPr="00AB3200" w:rsidRDefault="003A213D" w:rsidP="003A213D">
      <w:pPr>
        <w:pStyle w:val="4"/>
        <w:numPr>
          <w:ilvl w:val="0"/>
          <w:numId w:val="0"/>
        </w:numPr>
        <w:spacing w:line="240" w:lineRule="exact"/>
        <w:ind w:left="1741"/>
        <w:jc w:val="right"/>
        <w:rPr>
          <w:rFonts w:hAnsi="標楷體"/>
          <w:sz w:val="20"/>
          <w:szCs w:val="20"/>
        </w:rPr>
      </w:pPr>
      <w:r w:rsidRPr="00AB3200">
        <w:rPr>
          <w:rFonts w:hAnsi="標楷體" w:hint="eastAsia"/>
          <w:sz w:val="20"/>
          <w:szCs w:val="20"/>
        </w:rPr>
        <w:t>單位:元</w:t>
      </w:r>
    </w:p>
    <w:tbl>
      <w:tblPr>
        <w:tblW w:w="8363" w:type="dxa"/>
        <w:tblInd w:w="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984"/>
        <w:gridCol w:w="3261"/>
        <w:gridCol w:w="3118"/>
      </w:tblGrid>
      <w:tr w:rsidR="003A213D" w:rsidRPr="00AB3200" w:rsidTr="00EF7AF3">
        <w:trPr>
          <w:trHeight w:val="165"/>
          <w:tblHeader/>
        </w:trPr>
        <w:tc>
          <w:tcPr>
            <w:tcW w:w="1984" w:type="dxa"/>
            <w:vAlign w:val="center"/>
          </w:tcPr>
          <w:p w:rsidR="003A213D" w:rsidRPr="00AB3200" w:rsidRDefault="003A213D" w:rsidP="00EF7AF3">
            <w:pPr>
              <w:widowControl/>
              <w:jc w:val="center"/>
              <w:rPr>
                <w:rFonts w:ascii="標楷體" w:hAnsi="標楷體"/>
                <w:kern w:val="0"/>
                <w:sz w:val="20"/>
              </w:rPr>
            </w:pPr>
            <w:r w:rsidRPr="00AB3200">
              <w:rPr>
                <w:rFonts w:ascii="標楷體" w:hAnsi="標楷體" w:hint="eastAsia"/>
                <w:kern w:val="0"/>
                <w:sz w:val="20"/>
              </w:rPr>
              <w:t>分署</w:t>
            </w:r>
          </w:p>
        </w:tc>
        <w:tc>
          <w:tcPr>
            <w:tcW w:w="3261" w:type="dxa"/>
          </w:tcPr>
          <w:p w:rsidR="003A213D" w:rsidRPr="00AB3200" w:rsidRDefault="003A213D" w:rsidP="00EF7AF3">
            <w:pPr>
              <w:ind w:left="-28"/>
              <w:jc w:val="center"/>
              <w:rPr>
                <w:rFonts w:ascii="標楷體" w:hAnsi="標楷體"/>
                <w:sz w:val="20"/>
              </w:rPr>
            </w:pPr>
            <w:r w:rsidRPr="00AB3200">
              <w:rPr>
                <w:rFonts w:ascii="標楷體" w:hAnsi="標楷體" w:hint="eastAsia"/>
                <w:sz w:val="20"/>
              </w:rPr>
              <w:t>臨時人員(平均</w:t>
            </w:r>
            <w:r w:rsidRPr="00AB3200">
              <w:rPr>
                <w:rFonts w:ascii="標楷體" w:hAnsi="標楷體"/>
                <w:kern w:val="0"/>
                <w:sz w:val="20"/>
              </w:rPr>
              <w:t>33</w:t>
            </w:r>
            <w:r w:rsidRPr="00AB3200">
              <w:rPr>
                <w:rFonts w:ascii="標楷體" w:hAnsi="標楷體" w:hint="eastAsia"/>
                <w:kern w:val="0"/>
                <w:sz w:val="20"/>
              </w:rPr>
              <w:t>,</w:t>
            </w:r>
            <w:r w:rsidRPr="00AB3200">
              <w:rPr>
                <w:rFonts w:ascii="標楷體" w:hAnsi="標楷體"/>
                <w:kern w:val="0"/>
                <w:sz w:val="20"/>
              </w:rPr>
              <w:t>162</w:t>
            </w:r>
            <w:r w:rsidRPr="00AB3200">
              <w:rPr>
                <w:rFonts w:ascii="標楷體" w:hAnsi="標楷體" w:hint="eastAsia"/>
                <w:sz w:val="20"/>
              </w:rPr>
              <w:t>)</w:t>
            </w:r>
          </w:p>
        </w:tc>
        <w:tc>
          <w:tcPr>
            <w:tcW w:w="3118" w:type="dxa"/>
          </w:tcPr>
          <w:p w:rsidR="003A213D" w:rsidRPr="00AB3200" w:rsidRDefault="003A213D" w:rsidP="00360B7C">
            <w:pPr>
              <w:ind w:left="-96" w:firstLineChars="39" w:firstLine="86"/>
              <w:jc w:val="center"/>
              <w:rPr>
                <w:rFonts w:ascii="標楷體" w:hAnsi="標楷體"/>
                <w:sz w:val="20"/>
              </w:rPr>
            </w:pPr>
            <w:r w:rsidRPr="00AB3200">
              <w:rPr>
                <w:rFonts w:ascii="標楷體" w:hAnsi="標楷體" w:hint="eastAsia"/>
                <w:bCs/>
                <w:kern w:val="0"/>
                <w:sz w:val="20"/>
              </w:rPr>
              <w:t>派遣人力</w:t>
            </w:r>
            <w:r w:rsidRPr="00AB3200">
              <w:rPr>
                <w:rFonts w:ascii="標楷體" w:hAnsi="標楷體" w:hint="eastAsia"/>
                <w:sz w:val="20"/>
              </w:rPr>
              <w:t>(平均</w:t>
            </w:r>
            <w:r w:rsidRPr="00AB3200">
              <w:rPr>
                <w:rFonts w:ascii="標楷體" w:hAnsi="標楷體"/>
                <w:kern w:val="0"/>
                <w:sz w:val="20"/>
              </w:rPr>
              <w:t>31</w:t>
            </w:r>
            <w:r w:rsidRPr="00AB3200">
              <w:rPr>
                <w:rFonts w:ascii="標楷體" w:hAnsi="標楷體" w:hint="eastAsia"/>
                <w:kern w:val="0"/>
                <w:sz w:val="20"/>
              </w:rPr>
              <w:t>,</w:t>
            </w:r>
            <w:r w:rsidRPr="00AB3200">
              <w:rPr>
                <w:rFonts w:ascii="標楷體" w:hAnsi="標楷體"/>
                <w:kern w:val="0"/>
                <w:sz w:val="20"/>
              </w:rPr>
              <w:t>930</w:t>
            </w:r>
            <w:r w:rsidRPr="00AB3200">
              <w:rPr>
                <w:rFonts w:ascii="標楷體" w:hAnsi="標楷體" w:hint="eastAsia"/>
                <w:sz w:val="20"/>
              </w:rPr>
              <w:t>)</w:t>
            </w:r>
          </w:p>
        </w:tc>
      </w:tr>
      <w:tr w:rsidR="003A213D" w:rsidRPr="00AB3200" w:rsidTr="00EF7AF3">
        <w:trPr>
          <w:trHeight w:val="180"/>
        </w:trPr>
        <w:tc>
          <w:tcPr>
            <w:tcW w:w="1984" w:type="dxa"/>
            <w:vAlign w:val="center"/>
          </w:tcPr>
          <w:p w:rsidR="003A213D" w:rsidRPr="00AB3200" w:rsidRDefault="003A213D" w:rsidP="00EF7AF3">
            <w:pPr>
              <w:widowControl/>
              <w:jc w:val="center"/>
              <w:rPr>
                <w:rFonts w:ascii="標楷體" w:hAnsi="標楷體"/>
                <w:kern w:val="0"/>
                <w:sz w:val="20"/>
              </w:rPr>
            </w:pPr>
            <w:r w:rsidRPr="00AB3200">
              <w:rPr>
                <w:rFonts w:ascii="標楷體" w:hAnsi="標楷體" w:hint="eastAsia"/>
                <w:kern w:val="0"/>
                <w:sz w:val="20"/>
              </w:rPr>
              <w:t>北基宜花金馬</w:t>
            </w:r>
          </w:p>
        </w:tc>
        <w:tc>
          <w:tcPr>
            <w:tcW w:w="3261" w:type="dxa"/>
            <w:vAlign w:val="center"/>
          </w:tcPr>
          <w:p w:rsidR="003A213D" w:rsidRPr="00AB3200" w:rsidRDefault="003A213D" w:rsidP="00EF7AF3">
            <w:pPr>
              <w:widowControl/>
              <w:jc w:val="center"/>
              <w:rPr>
                <w:rFonts w:ascii="標楷體" w:hAnsi="標楷體"/>
                <w:kern w:val="0"/>
                <w:sz w:val="20"/>
              </w:rPr>
            </w:pPr>
            <w:r w:rsidRPr="00AB3200">
              <w:rPr>
                <w:rFonts w:ascii="標楷體" w:hAnsi="標楷體"/>
                <w:kern w:val="0"/>
                <w:sz w:val="20"/>
              </w:rPr>
              <w:t>31</w:t>
            </w:r>
            <w:r w:rsidRPr="00AB3200">
              <w:rPr>
                <w:rFonts w:ascii="標楷體" w:hAnsi="標楷體" w:hint="eastAsia"/>
                <w:kern w:val="0"/>
                <w:sz w:val="20"/>
              </w:rPr>
              <w:t>,</w:t>
            </w:r>
            <w:r w:rsidRPr="00AB3200">
              <w:rPr>
                <w:rFonts w:ascii="標楷體" w:hAnsi="標楷體"/>
                <w:kern w:val="0"/>
                <w:sz w:val="20"/>
              </w:rPr>
              <w:t>779</w:t>
            </w:r>
          </w:p>
        </w:tc>
        <w:tc>
          <w:tcPr>
            <w:tcW w:w="3118" w:type="dxa"/>
            <w:vAlign w:val="center"/>
          </w:tcPr>
          <w:p w:rsidR="003A213D" w:rsidRPr="00AB3200" w:rsidRDefault="003A213D" w:rsidP="00EF7AF3">
            <w:pPr>
              <w:widowControl/>
              <w:jc w:val="center"/>
              <w:rPr>
                <w:rFonts w:ascii="標楷體" w:hAnsi="標楷體"/>
                <w:kern w:val="0"/>
                <w:sz w:val="20"/>
              </w:rPr>
            </w:pPr>
            <w:r w:rsidRPr="00AB3200">
              <w:rPr>
                <w:rFonts w:ascii="標楷體" w:hAnsi="標楷體"/>
                <w:kern w:val="0"/>
                <w:sz w:val="20"/>
              </w:rPr>
              <w:t>31</w:t>
            </w:r>
            <w:r w:rsidRPr="00AB3200">
              <w:rPr>
                <w:rFonts w:ascii="標楷體" w:hAnsi="標楷體" w:hint="eastAsia"/>
                <w:kern w:val="0"/>
                <w:sz w:val="20"/>
              </w:rPr>
              <w:t>,</w:t>
            </w:r>
            <w:r w:rsidRPr="00AB3200">
              <w:rPr>
                <w:rFonts w:ascii="標楷體" w:hAnsi="標楷體"/>
                <w:kern w:val="0"/>
                <w:sz w:val="20"/>
              </w:rPr>
              <w:t>930</w:t>
            </w:r>
          </w:p>
        </w:tc>
      </w:tr>
      <w:tr w:rsidR="003A213D" w:rsidRPr="00AB3200" w:rsidTr="00EF7AF3">
        <w:trPr>
          <w:trHeight w:val="195"/>
        </w:trPr>
        <w:tc>
          <w:tcPr>
            <w:tcW w:w="1984" w:type="dxa"/>
            <w:vAlign w:val="center"/>
          </w:tcPr>
          <w:p w:rsidR="003A213D" w:rsidRPr="00AB3200" w:rsidRDefault="003A213D" w:rsidP="00EF7AF3">
            <w:pPr>
              <w:widowControl/>
              <w:jc w:val="center"/>
              <w:rPr>
                <w:rFonts w:ascii="標楷體" w:hAnsi="標楷體"/>
                <w:kern w:val="0"/>
                <w:sz w:val="20"/>
              </w:rPr>
            </w:pPr>
            <w:r w:rsidRPr="00AB3200">
              <w:rPr>
                <w:rFonts w:ascii="標楷體" w:hAnsi="標楷體" w:hint="eastAsia"/>
                <w:kern w:val="0"/>
                <w:sz w:val="20"/>
              </w:rPr>
              <w:t>桃竹苗</w:t>
            </w:r>
          </w:p>
        </w:tc>
        <w:tc>
          <w:tcPr>
            <w:tcW w:w="3261" w:type="dxa"/>
            <w:vAlign w:val="center"/>
          </w:tcPr>
          <w:p w:rsidR="003A213D" w:rsidRPr="00AB3200" w:rsidRDefault="003A213D" w:rsidP="00EF7AF3">
            <w:pPr>
              <w:widowControl/>
              <w:jc w:val="center"/>
              <w:rPr>
                <w:rFonts w:ascii="標楷體" w:hAnsi="標楷體"/>
                <w:kern w:val="0"/>
                <w:sz w:val="20"/>
              </w:rPr>
            </w:pPr>
            <w:r w:rsidRPr="00AB3200">
              <w:rPr>
                <w:rFonts w:ascii="標楷體" w:hAnsi="標楷體"/>
                <w:kern w:val="0"/>
                <w:sz w:val="20"/>
              </w:rPr>
              <w:t>31</w:t>
            </w:r>
            <w:r w:rsidRPr="00AB3200">
              <w:rPr>
                <w:rFonts w:ascii="標楷體" w:hAnsi="標楷體" w:hint="eastAsia"/>
                <w:kern w:val="0"/>
                <w:sz w:val="20"/>
              </w:rPr>
              <w:t>,</w:t>
            </w:r>
            <w:r w:rsidRPr="00AB3200">
              <w:rPr>
                <w:rFonts w:ascii="標楷體" w:hAnsi="標楷體"/>
                <w:kern w:val="0"/>
                <w:sz w:val="20"/>
              </w:rPr>
              <w:t>930</w:t>
            </w:r>
          </w:p>
        </w:tc>
        <w:tc>
          <w:tcPr>
            <w:tcW w:w="3118" w:type="dxa"/>
            <w:vAlign w:val="center"/>
          </w:tcPr>
          <w:p w:rsidR="003A213D" w:rsidRPr="00AB3200" w:rsidRDefault="003A213D" w:rsidP="00EF7AF3">
            <w:pPr>
              <w:widowControl/>
              <w:jc w:val="center"/>
              <w:rPr>
                <w:rFonts w:ascii="標楷體" w:hAnsi="標楷體"/>
                <w:kern w:val="0"/>
                <w:sz w:val="20"/>
              </w:rPr>
            </w:pPr>
            <w:r w:rsidRPr="00AB3200">
              <w:rPr>
                <w:rFonts w:ascii="標楷體" w:hAnsi="標楷體"/>
                <w:kern w:val="0"/>
                <w:sz w:val="20"/>
              </w:rPr>
              <w:t>31</w:t>
            </w:r>
            <w:r w:rsidRPr="00AB3200">
              <w:rPr>
                <w:rFonts w:ascii="標楷體" w:hAnsi="標楷體" w:hint="eastAsia"/>
                <w:kern w:val="0"/>
                <w:sz w:val="20"/>
              </w:rPr>
              <w:t>,</w:t>
            </w:r>
            <w:r w:rsidRPr="00AB3200">
              <w:rPr>
                <w:rFonts w:ascii="標楷體" w:hAnsi="標楷體"/>
                <w:kern w:val="0"/>
                <w:sz w:val="20"/>
              </w:rPr>
              <w:t>930</w:t>
            </w:r>
          </w:p>
        </w:tc>
      </w:tr>
      <w:tr w:rsidR="003A213D" w:rsidRPr="00AB3200" w:rsidTr="00EF7AF3">
        <w:trPr>
          <w:trHeight w:val="195"/>
        </w:trPr>
        <w:tc>
          <w:tcPr>
            <w:tcW w:w="1984" w:type="dxa"/>
            <w:vAlign w:val="center"/>
          </w:tcPr>
          <w:p w:rsidR="003A213D" w:rsidRPr="00AB3200" w:rsidRDefault="003A213D" w:rsidP="00EF7AF3">
            <w:pPr>
              <w:widowControl/>
              <w:jc w:val="center"/>
              <w:rPr>
                <w:rFonts w:ascii="標楷體" w:hAnsi="標楷體"/>
                <w:kern w:val="0"/>
                <w:sz w:val="20"/>
              </w:rPr>
            </w:pPr>
            <w:r w:rsidRPr="00AB3200">
              <w:rPr>
                <w:rFonts w:ascii="標楷體" w:hAnsi="標楷體" w:hint="eastAsia"/>
                <w:kern w:val="0"/>
                <w:sz w:val="20"/>
              </w:rPr>
              <w:t>中彰投</w:t>
            </w:r>
          </w:p>
        </w:tc>
        <w:tc>
          <w:tcPr>
            <w:tcW w:w="3261" w:type="dxa"/>
            <w:vAlign w:val="center"/>
          </w:tcPr>
          <w:p w:rsidR="003A213D" w:rsidRPr="00AB3200" w:rsidRDefault="003A213D" w:rsidP="00EF7AF3">
            <w:pPr>
              <w:widowControl/>
              <w:jc w:val="center"/>
              <w:rPr>
                <w:rFonts w:ascii="標楷體" w:hAnsi="標楷體"/>
                <w:kern w:val="0"/>
                <w:sz w:val="20"/>
              </w:rPr>
            </w:pPr>
            <w:r w:rsidRPr="00AB3200">
              <w:rPr>
                <w:rFonts w:ascii="標楷體" w:hAnsi="標楷體"/>
                <w:kern w:val="0"/>
                <w:sz w:val="20"/>
              </w:rPr>
              <w:t>35</w:t>
            </w:r>
            <w:r w:rsidRPr="00AB3200">
              <w:rPr>
                <w:rFonts w:ascii="標楷體" w:hAnsi="標楷體" w:hint="eastAsia"/>
                <w:kern w:val="0"/>
                <w:sz w:val="20"/>
              </w:rPr>
              <w:t>,</w:t>
            </w:r>
            <w:r w:rsidRPr="00AB3200">
              <w:rPr>
                <w:rFonts w:ascii="標楷體" w:hAnsi="標楷體"/>
                <w:kern w:val="0"/>
                <w:sz w:val="20"/>
              </w:rPr>
              <w:t>331</w:t>
            </w:r>
          </w:p>
        </w:tc>
        <w:tc>
          <w:tcPr>
            <w:tcW w:w="3118" w:type="dxa"/>
            <w:vAlign w:val="center"/>
          </w:tcPr>
          <w:p w:rsidR="003A213D" w:rsidRPr="00AB3200" w:rsidRDefault="003A213D" w:rsidP="00EF7AF3">
            <w:pPr>
              <w:widowControl/>
              <w:jc w:val="center"/>
              <w:rPr>
                <w:rFonts w:ascii="標楷體" w:hAnsi="標楷體"/>
                <w:kern w:val="0"/>
                <w:sz w:val="20"/>
              </w:rPr>
            </w:pPr>
            <w:r w:rsidRPr="00AB3200">
              <w:rPr>
                <w:rFonts w:ascii="標楷體" w:hAnsi="標楷體"/>
                <w:kern w:val="0"/>
                <w:sz w:val="20"/>
              </w:rPr>
              <w:t>31</w:t>
            </w:r>
            <w:r w:rsidRPr="00AB3200">
              <w:rPr>
                <w:rFonts w:ascii="標楷體" w:hAnsi="標楷體" w:hint="eastAsia"/>
                <w:kern w:val="0"/>
                <w:sz w:val="20"/>
              </w:rPr>
              <w:t>,</w:t>
            </w:r>
            <w:r w:rsidRPr="00AB3200">
              <w:rPr>
                <w:rFonts w:ascii="標楷體" w:hAnsi="標楷體"/>
                <w:kern w:val="0"/>
                <w:sz w:val="20"/>
              </w:rPr>
              <w:t>930</w:t>
            </w:r>
          </w:p>
        </w:tc>
      </w:tr>
      <w:tr w:rsidR="003A213D" w:rsidRPr="00AB3200" w:rsidTr="00EF7AF3">
        <w:trPr>
          <w:trHeight w:val="255"/>
        </w:trPr>
        <w:tc>
          <w:tcPr>
            <w:tcW w:w="1984" w:type="dxa"/>
            <w:vAlign w:val="center"/>
          </w:tcPr>
          <w:p w:rsidR="003A213D" w:rsidRPr="00AB3200" w:rsidRDefault="003A213D" w:rsidP="00EF7AF3">
            <w:pPr>
              <w:widowControl/>
              <w:jc w:val="center"/>
              <w:rPr>
                <w:rFonts w:ascii="標楷體" w:hAnsi="標楷體"/>
                <w:kern w:val="0"/>
                <w:sz w:val="20"/>
              </w:rPr>
            </w:pPr>
            <w:r w:rsidRPr="00AB3200">
              <w:rPr>
                <w:rFonts w:ascii="標楷體" w:hAnsi="標楷體" w:hint="eastAsia"/>
                <w:kern w:val="0"/>
                <w:sz w:val="20"/>
              </w:rPr>
              <w:t>雲嘉南</w:t>
            </w:r>
          </w:p>
        </w:tc>
        <w:tc>
          <w:tcPr>
            <w:tcW w:w="3261" w:type="dxa"/>
            <w:vAlign w:val="center"/>
          </w:tcPr>
          <w:p w:rsidR="003A213D" w:rsidRPr="00AB3200" w:rsidRDefault="003A213D" w:rsidP="00EF7AF3">
            <w:pPr>
              <w:widowControl/>
              <w:jc w:val="center"/>
              <w:rPr>
                <w:rFonts w:ascii="標楷體" w:hAnsi="標楷體"/>
                <w:kern w:val="0"/>
                <w:sz w:val="20"/>
              </w:rPr>
            </w:pPr>
            <w:r w:rsidRPr="00AB3200">
              <w:rPr>
                <w:rFonts w:ascii="標楷體" w:hAnsi="標楷體"/>
                <w:kern w:val="0"/>
                <w:sz w:val="20"/>
              </w:rPr>
              <w:t>33</w:t>
            </w:r>
            <w:r w:rsidRPr="00AB3200">
              <w:rPr>
                <w:rFonts w:ascii="標楷體" w:hAnsi="標楷體" w:hint="eastAsia"/>
                <w:kern w:val="0"/>
                <w:sz w:val="20"/>
              </w:rPr>
              <w:t>,</w:t>
            </w:r>
            <w:r w:rsidRPr="00AB3200">
              <w:rPr>
                <w:rFonts w:ascii="標楷體" w:hAnsi="標楷體"/>
                <w:kern w:val="0"/>
                <w:sz w:val="20"/>
              </w:rPr>
              <w:t>268</w:t>
            </w:r>
          </w:p>
        </w:tc>
        <w:tc>
          <w:tcPr>
            <w:tcW w:w="3118" w:type="dxa"/>
            <w:vAlign w:val="center"/>
          </w:tcPr>
          <w:p w:rsidR="003A213D" w:rsidRPr="00AB3200" w:rsidRDefault="003A213D" w:rsidP="00EF7AF3">
            <w:pPr>
              <w:widowControl/>
              <w:jc w:val="center"/>
              <w:rPr>
                <w:rFonts w:ascii="標楷體" w:hAnsi="標楷體"/>
                <w:kern w:val="0"/>
                <w:sz w:val="20"/>
              </w:rPr>
            </w:pPr>
            <w:r w:rsidRPr="00AB3200">
              <w:rPr>
                <w:rFonts w:ascii="標楷體" w:hAnsi="標楷體"/>
                <w:kern w:val="0"/>
                <w:sz w:val="20"/>
              </w:rPr>
              <w:t>31</w:t>
            </w:r>
            <w:r w:rsidRPr="00AB3200">
              <w:rPr>
                <w:rFonts w:ascii="標楷體" w:hAnsi="標楷體" w:hint="eastAsia"/>
                <w:kern w:val="0"/>
                <w:sz w:val="20"/>
              </w:rPr>
              <w:t>,</w:t>
            </w:r>
            <w:r w:rsidRPr="00AB3200">
              <w:rPr>
                <w:rFonts w:ascii="標楷體" w:hAnsi="標楷體"/>
                <w:kern w:val="0"/>
                <w:sz w:val="20"/>
              </w:rPr>
              <w:t>930</w:t>
            </w:r>
          </w:p>
        </w:tc>
      </w:tr>
      <w:tr w:rsidR="003A213D" w:rsidRPr="00AB3200" w:rsidTr="00EF7AF3">
        <w:trPr>
          <w:trHeight w:val="300"/>
        </w:trPr>
        <w:tc>
          <w:tcPr>
            <w:tcW w:w="1984" w:type="dxa"/>
            <w:vAlign w:val="center"/>
          </w:tcPr>
          <w:p w:rsidR="003A213D" w:rsidRPr="00AB3200" w:rsidRDefault="003A213D" w:rsidP="00EF7AF3">
            <w:pPr>
              <w:widowControl/>
              <w:jc w:val="center"/>
              <w:rPr>
                <w:rFonts w:ascii="標楷體" w:hAnsi="標楷體"/>
                <w:kern w:val="0"/>
                <w:sz w:val="20"/>
              </w:rPr>
            </w:pPr>
            <w:r w:rsidRPr="00AB3200">
              <w:rPr>
                <w:rFonts w:ascii="標楷體" w:hAnsi="標楷體" w:hint="eastAsia"/>
                <w:kern w:val="0"/>
                <w:sz w:val="20"/>
              </w:rPr>
              <w:t>高屏澎東</w:t>
            </w:r>
          </w:p>
        </w:tc>
        <w:tc>
          <w:tcPr>
            <w:tcW w:w="3261" w:type="dxa"/>
            <w:vAlign w:val="center"/>
          </w:tcPr>
          <w:p w:rsidR="003A213D" w:rsidRPr="00AB3200" w:rsidRDefault="003A213D" w:rsidP="00EF7AF3">
            <w:pPr>
              <w:widowControl/>
              <w:jc w:val="center"/>
              <w:rPr>
                <w:rFonts w:ascii="標楷體" w:hAnsi="標楷體"/>
                <w:kern w:val="0"/>
                <w:sz w:val="20"/>
              </w:rPr>
            </w:pPr>
            <w:r w:rsidRPr="00AB3200">
              <w:rPr>
                <w:rFonts w:ascii="標楷體" w:hAnsi="標楷體"/>
                <w:kern w:val="0"/>
                <w:sz w:val="20"/>
              </w:rPr>
              <w:t>33</w:t>
            </w:r>
            <w:r w:rsidRPr="00AB3200">
              <w:rPr>
                <w:rFonts w:ascii="標楷體" w:hAnsi="標楷體" w:hint="eastAsia"/>
                <w:kern w:val="0"/>
                <w:sz w:val="20"/>
              </w:rPr>
              <w:t>,</w:t>
            </w:r>
            <w:r w:rsidRPr="00AB3200">
              <w:rPr>
                <w:rFonts w:ascii="標楷體" w:hAnsi="標楷體"/>
                <w:kern w:val="0"/>
                <w:sz w:val="20"/>
              </w:rPr>
              <w:t>500</w:t>
            </w:r>
          </w:p>
        </w:tc>
        <w:tc>
          <w:tcPr>
            <w:tcW w:w="3118" w:type="dxa"/>
            <w:vAlign w:val="center"/>
          </w:tcPr>
          <w:p w:rsidR="003A213D" w:rsidRPr="00AB3200" w:rsidRDefault="003A213D" w:rsidP="00EF7AF3">
            <w:pPr>
              <w:widowControl/>
              <w:jc w:val="center"/>
              <w:rPr>
                <w:rFonts w:ascii="標楷體" w:hAnsi="標楷體"/>
                <w:kern w:val="0"/>
                <w:sz w:val="20"/>
              </w:rPr>
            </w:pPr>
            <w:r w:rsidRPr="00AB3200">
              <w:rPr>
                <w:rFonts w:ascii="標楷體" w:hAnsi="標楷體"/>
                <w:kern w:val="0"/>
                <w:sz w:val="20"/>
              </w:rPr>
              <w:t>31</w:t>
            </w:r>
            <w:r w:rsidRPr="00AB3200">
              <w:rPr>
                <w:rFonts w:ascii="標楷體" w:hAnsi="標楷體" w:hint="eastAsia"/>
                <w:kern w:val="0"/>
                <w:sz w:val="20"/>
              </w:rPr>
              <w:t>,</w:t>
            </w:r>
            <w:r w:rsidRPr="00AB3200">
              <w:rPr>
                <w:rFonts w:ascii="標楷體" w:hAnsi="標楷體"/>
                <w:kern w:val="0"/>
                <w:sz w:val="20"/>
              </w:rPr>
              <w:t>930</w:t>
            </w:r>
          </w:p>
        </w:tc>
      </w:tr>
    </w:tbl>
    <w:p w:rsidR="003A213D" w:rsidRPr="00AB3200" w:rsidRDefault="003A213D" w:rsidP="003A213D">
      <w:pPr>
        <w:pStyle w:val="4"/>
        <w:numPr>
          <w:ilvl w:val="0"/>
          <w:numId w:val="0"/>
        </w:numPr>
        <w:spacing w:line="240" w:lineRule="exact"/>
        <w:ind w:firstLineChars="386" w:firstLine="850"/>
        <w:rPr>
          <w:rFonts w:hAnsi="標楷體"/>
          <w:sz w:val="20"/>
          <w:szCs w:val="20"/>
        </w:rPr>
      </w:pPr>
      <w:r w:rsidRPr="00AB3200">
        <w:rPr>
          <w:rFonts w:hAnsi="標楷體" w:hint="eastAsia"/>
          <w:sz w:val="20"/>
          <w:szCs w:val="20"/>
        </w:rPr>
        <w:t>資料來源:勞動部</w:t>
      </w:r>
    </w:p>
    <w:p w:rsidR="003A213D" w:rsidRPr="00AB3200" w:rsidRDefault="003A213D" w:rsidP="003A213D">
      <w:pPr>
        <w:pStyle w:val="4"/>
        <w:numPr>
          <w:ilvl w:val="0"/>
          <w:numId w:val="0"/>
        </w:numPr>
        <w:ind w:left="1418" w:firstLineChars="208" w:firstLine="708"/>
        <w:rPr>
          <w:rFonts w:hAnsi="標楷體"/>
        </w:rPr>
      </w:pPr>
      <w:r w:rsidRPr="00AB3200">
        <w:rPr>
          <w:rFonts w:hAnsi="標楷體" w:hint="eastAsia"/>
        </w:rPr>
        <w:t>由上顯示，勞動部協助失業民眾辦理就業服務</w:t>
      </w:r>
      <w:r w:rsidRPr="00AB3200">
        <w:rPr>
          <w:rFonts w:hAnsi="標楷體" w:hint="eastAsia"/>
        </w:rPr>
        <w:lastRenderedPageBreak/>
        <w:t>之人員，並非該部正式員工或約聘人員，</w:t>
      </w:r>
      <w:proofErr w:type="gramStart"/>
      <w:r w:rsidRPr="00AB3200">
        <w:rPr>
          <w:rFonts w:hAnsi="標楷體" w:hint="eastAsia"/>
        </w:rPr>
        <w:t>均為臨時</w:t>
      </w:r>
      <w:proofErr w:type="gramEnd"/>
      <w:r w:rsidRPr="00AB3200">
        <w:rPr>
          <w:rFonts w:hAnsi="標楷體" w:hint="eastAsia"/>
        </w:rPr>
        <w:t>人員及派遣人力，該部近年來推動「就業服務一案到底」之作業模式，以解決以往服務</w:t>
      </w:r>
      <w:proofErr w:type="gramStart"/>
      <w:r w:rsidRPr="00AB3200">
        <w:rPr>
          <w:rFonts w:hAnsi="標楷體" w:hint="eastAsia"/>
        </w:rPr>
        <w:t>採</w:t>
      </w:r>
      <w:proofErr w:type="gramEnd"/>
      <w:r w:rsidRPr="00AB3200">
        <w:rPr>
          <w:rFonts w:hAnsi="標楷體" w:hint="eastAsia"/>
        </w:rPr>
        <w:t>「非固定專人」、「隨到隨辦」所產生的對服務個案「服務歷程不易連貫」、「信賴關係不易建立」、「服務成敗責任感低」、「後續服務成效有限」等問題。然該等服務人員面對不同失業民眾，除需給予該等民眾信賴感外，亦需極佳之專業與耐心協助，惟該等服務人員，</w:t>
      </w:r>
      <w:proofErr w:type="gramStart"/>
      <w:r w:rsidRPr="00AB3200">
        <w:rPr>
          <w:rFonts w:hAnsi="標楷體" w:hint="eastAsia"/>
        </w:rPr>
        <w:t>均以臨時</w:t>
      </w:r>
      <w:proofErr w:type="gramEnd"/>
      <w:r w:rsidRPr="00AB3200">
        <w:rPr>
          <w:rFonts w:hAnsi="標楷體" w:hint="eastAsia"/>
        </w:rPr>
        <w:t>人員或派遣人力擔任，欠缺說服能力，亦不利專業之養成，</w:t>
      </w:r>
      <w:proofErr w:type="gramStart"/>
      <w:r w:rsidRPr="00AB3200">
        <w:rPr>
          <w:rFonts w:hAnsi="標楷體" w:hint="eastAsia"/>
        </w:rPr>
        <w:t>勞動部允應</w:t>
      </w:r>
      <w:proofErr w:type="gramEnd"/>
      <w:r w:rsidRPr="00AB3200">
        <w:rPr>
          <w:rFonts w:hAnsi="標楷體" w:hint="eastAsia"/>
        </w:rPr>
        <w:t>會同人事行政總處等相關部會確實處理該等問題，避免臨時或派遣人員協助失業民眾求職之突兀現象。</w:t>
      </w:r>
    </w:p>
    <w:p w:rsidR="003A213D" w:rsidRPr="00AB3200" w:rsidRDefault="003A213D" w:rsidP="003A213D">
      <w:pPr>
        <w:pStyle w:val="3"/>
        <w:ind w:left="1360" w:hanging="680"/>
        <w:rPr>
          <w:rFonts w:hAnsi="標楷體"/>
          <w:szCs w:val="32"/>
        </w:rPr>
      </w:pPr>
      <w:bookmarkStart w:id="205" w:name="_Toc392764895"/>
      <w:bookmarkStart w:id="206" w:name="_Toc393464453"/>
      <w:proofErr w:type="gramStart"/>
      <w:r w:rsidRPr="00AB3200">
        <w:rPr>
          <w:rFonts w:hAnsi="標楷體" w:hint="eastAsia"/>
          <w:szCs w:val="32"/>
        </w:rPr>
        <w:t>末查勞動</w:t>
      </w:r>
      <w:proofErr w:type="gramEnd"/>
      <w:r w:rsidRPr="00AB3200">
        <w:rPr>
          <w:rFonts w:hAnsi="標楷體" w:hint="eastAsia"/>
          <w:szCs w:val="32"/>
        </w:rPr>
        <w:t>部</w:t>
      </w:r>
      <w:r w:rsidRPr="00AB3200">
        <w:rPr>
          <w:rFonts w:hAnsi="標楷體"/>
          <w:szCs w:val="32"/>
        </w:rPr>
        <w:t>一案到底就業服務人員，其進用資格，僅需具備下列條件之</w:t>
      </w:r>
      <w:proofErr w:type="gramStart"/>
      <w:r w:rsidRPr="00AB3200">
        <w:rPr>
          <w:rFonts w:hAnsi="標楷體"/>
          <w:szCs w:val="32"/>
        </w:rPr>
        <w:t>一</w:t>
      </w:r>
      <w:proofErr w:type="gramEnd"/>
      <w:r w:rsidRPr="00AB3200">
        <w:rPr>
          <w:rFonts w:hAnsi="標楷體"/>
          <w:szCs w:val="32"/>
        </w:rPr>
        <w:t>：1.須具有學士學位以上;2.副學士學位以上具相關工作經驗2年以上;3.高中職學歷有相關工作經驗4年以上者，並未規範就業服務人員應取得之專業證照(如：諮商師、社工師或就業服務乙級技術士等)，</w:t>
      </w:r>
      <w:r w:rsidRPr="00AB3200">
        <w:rPr>
          <w:rFonts w:hAnsi="標楷體" w:hint="eastAsia"/>
          <w:szCs w:val="32"/>
        </w:rPr>
        <w:t>然</w:t>
      </w:r>
      <w:proofErr w:type="gramStart"/>
      <w:r w:rsidRPr="00AB3200">
        <w:rPr>
          <w:rFonts w:hAnsi="標楷體"/>
          <w:szCs w:val="32"/>
        </w:rPr>
        <w:t>102</w:t>
      </w:r>
      <w:proofErr w:type="gramEnd"/>
      <w:r w:rsidRPr="00AB3200">
        <w:rPr>
          <w:rFonts w:hAnsi="標楷體"/>
          <w:szCs w:val="32"/>
        </w:rPr>
        <w:t>年度該署就業服務人員取得專業證照人數僅占44.8%，未達半數。按該等就業服務人員必須貼近民眾需求，提供就業推</w:t>
      </w:r>
      <w:proofErr w:type="gramStart"/>
      <w:r w:rsidRPr="00AB3200">
        <w:rPr>
          <w:rFonts w:hAnsi="標楷體"/>
          <w:szCs w:val="32"/>
        </w:rPr>
        <w:t>介</w:t>
      </w:r>
      <w:proofErr w:type="gramEnd"/>
      <w:r w:rsidRPr="00AB3200">
        <w:rPr>
          <w:rFonts w:hAnsi="標楷體"/>
          <w:szCs w:val="32"/>
        </w:rPr>
        <w:t>、諮詢服務，需要足夠之專業知能及實務技巧，允宜妥適規範就業服務人員之資格條件，以提高服務品質，進而提升失業民眾就業媒合率。</w:t>
      </w:r>
      <w:bookmarkEnd w:id="205"/>
      <w:bookmarkEnd w:id="206"/>
    </w:p>
    <w:p w:rsidR="00BA1E7F" w:rsidRPr="00AB3200" w:rsidRDefault="003A213D" w:rsidP="003A213D">
      <w:pPr>
        <w:pStyle w:val="3"/>
        <w:ind w:left="1360" w:hanging="680"/>
        <w:rPr>
          <w:rFonts w:ascii="Times New Roman" w:hAnsi="Times New Roman"/>
          <w:b/>
          <w:szCs w:val="32"/>
        </w:rPr>
      </w:pPr>
      <w:bookmarkStart w:id="207" w:name="_Toc392764896"/>
      <w:bookmarkStart w:id="208" w:name="_Toc393464454"/>
      <w:r w:rsidRPr="00AB3200">
        <w:rPr>
          <w:rFonts w:hAnsi="標楷體"/>
          <w:szCs w:val="32"/>
        </w:rPr>
        <w:t>綜上，</w:t>
      </w:r>
      <w:bookmarkEnd w:id="207"/>
      <w:r w:rsidR="00360B7C" w:rsidRPr="00AB3200">
        <w:rPr>
          <w:rFonts w:hAnsi="標楷體" w:hint="eastAsia"/>
          <w:szCs w:val="32"/>
        </w:rPr>
        <w:t>就業服務中心係失業民眾諮詢及尋職重要管道，</w:t>
      </w:r>
      <w:proofErr w:type="gramStart"/>
      <w:r w:rsidR="00360B7C" w:rsidRPr="00AB3200">
        <w:rPr>
          <w:rFonts w:hAnsi="標楷體" w:hint="eastAsia"/>
          <w:szCs w:val="32"/>
        </w:rPr>
        <w:t>勞動部為強化</w:t>
      </w:r>
      <w:proofErr w:type="gramEnd"/>
      <w:r w:rsidR="00360B7C" w:rsidRPr="00AB3200">
        <w:rPr>
          <w:rFonts w:hAnsi="標楷體" w:hint="eastAsia"/>
          <w:szCs w:val="32"/>
        </w:rPr>
        <w:t>中心功能，提升協助失業民眾尋職效能，推動一案到底作業模式，應予肯定，然就業服務人員之優劣，關乎失業民眾求職之成效，</w:t>
      </w:r>
      <w:proofErr w:type="gramStart"/>
      <w:r w:rsidR="00360B7C" w:rsidRPr="00AB3200">
        <w:rPr>
          <w:rFonts w:hAnsi="標楷體" w:hint="eastAsia"/>
          <w:szCs w:val="32"/>
        </w:rPr>
        <w:t>該部受限於</w:t>
      </w:r>
      <w:proofErr w:type="gramEnd"/>
      <w:r w:rsidR="00360B7C" w:rsidRPr="00AB3200">
        <w:rPr>
          <w:rFonts w:hAnsi="標楷體" w:hint="eastAsia"/>
          <w:szCs w:val="32"/>
        </w:rPr>
        <w:t>人員編制，產生失業民眾由臨時或派遣人員協助求職之現象，</w:t>
      </w:r>
      <w:proofErr w:type="gramStart"/>
      <w:r w:rsidR="00360B7C" w:rsidRPr="00AB3200">
        <w:rPr>
          <w:rFonts w:hAnsi="標楷體" w:hint="eastAsia"/>
          <w:szCs w:val="32"/>
        </w:rPr>
        <w:t>該部允宜</w:t>
      </w:r>
      <w:proofErr w:type="gramEnd"/>
      <w:r w:rsidR="00360B7C" w:rsidRPr="00AB3200">
        <w:rPr>
          <w:rFonts w:hAnsi="標楷體" w:hint="eastAsia"/>
          <w:szCs w:val="32"/>
        </w:rPr>
        <w:t>會同行政院人事行政總處等相關單位，檢討處理；另前開人員逾半數</w:t>
      </w:r>
      <w:r w:rsidR="00360B7C" w:rsidRPr="00AB3200">
        <w:rPr>
          <w:rFonts w:hAnsi="標楷體"/>
          <w:szCs w:val="32"/>
        </w:rPr>
        <w:t>未</w:t>
      </w:r>
      <w:r w:rsidR="00360B7C" w:rsidRPr="00AB3200">
        <w:rPr>
          <w:rFonts w:hAnsi="標楷體"/>
          <w:szCs w:val="32"/>
        </w:rPr>
        <w:lastRenderedPageBreak/>
        <w:t>具專業證照資格，</w:t>
      </w:r>
      <w:r w:rsidR="00360B7C" w:rsidRPr="00AB3200">
        <w:rPr>
          <w:rFonts w:hAnsi="標楷體" w:hint="eastAsia"/>
          <w:szCs w:val="32"/>
        </w:rPr>
        <w:t>該</w:t>
      </w:r>
      <w:proofErr w:type="gramStart"/>
      <w:r w:rsidR="00360B7C" w:rsidRPr="00AB3200">
        <w:rPr>
          <w:rFonts w:hAnsi="標楷體" w:hint="eastAsia"/>
          <w:szCs w:val="32"/>
        </w:rPr>
        <w:t>部亦允</w:t>
      </w:r>
      <w:proofErr w:type="gramEnd"/>
      <w:r w:rsidR="00360B7C" w:rsidRPr="00AB3200">
        <w:rPr>
          <w:rFonts w:hAnsi="標楷體" w:hint="eastAsia"/>
          <w:szCs w:val="32"/>
        </w:rPr>
        <w:t>宜</w:t>
      </w:r>
      <w:r w:rsidR="00360B7C" w:rsidRPr="00AB3200">
        <w:rPr>
          <w:rFonts w:hAnsi="標楷體"/>
          <w:szCs w:val="32"/>
        </w:rPr>
        <w:t>妥適規範相關資格條件，提高服務品質。</w:t>
      </w:r>
      <w:bookmarkEnd w:id="208"/>
    </w:p>
    <w:p w:rsidR="00D0657E" w:rsidRDefault="00D0657E" w:rsidP="00D0657E">
      <w:pPr>
        <w:widowControl/>
        <w:rPr>
          <w:b/>
          <w:bCs/>
          <w:spacing w:val="12"/>
          <w:kern w:val="0"/>
          <w:sz w:val="40"/>
        </w:rPr>
      </w:pPr>
    </w:p>
    <w:p w:rsidR="00D0657E" w:rsidRDefault="00D0657E" w:rsidP="00D0657E">
      <w:pPr>
        <w:widowControl/>
        <w:rPr>
          <w:b/>
          <w:bCs/>
          <w:spacing w:val="12"/>
          <w:kern w:val="0"/>
          <w:sz w:val="40"/>
        </w:rPr>
      </w:pPr>
    </w:p>
    <w:p w:rsidR="00D46954" w:rsidRPr="00D0657E" w:rsidRDefault="00D0657E" w:rsidP="00D0657E">
      <w:pPr>
        <w:widowControl/>
        <w:rPr>
          <w:bCs/>
          <w:kern w:val="0"/>
          <w:sz w:val="40"/>
        </w:rPr>
      </w:pPr>
      <w:r>
        <w:rPr>
          <w:rFonts w:hint="eastAsia"/>
          <w:b/>
          <w:bCs/>
          <w:spacing w:val="12"/>
          <w:kern w:val="0"/>
          <w:sz w:val="40"/>
        </w:rPr>
        <w:t xml:space="preserve">                 </w:t>
      </w:r>
      <w:r w:rsidR="00D46954" w:rsidRPr="00D0657E">
        <w:rPr>
          <w:bCs/>
          <w:spacing w:val="12"/>
          <w:kern w:val="0"/>
          <w:sz w:val="40"/>
        </w:rPr>
        <w:t>調查委員：</w:t>
      </w:r>
      <w:r w:rsidR="00AB12C9" w:rsidRPr="00D0657E">
        <w:rPr>
          <w:rFonts w:hint="eastAsia"/>
          <w:bCs/>
          <w:spacing w:val="12"/>
          <w:kern w:val="0"/>
          <w:sz w:val="40"/>
        </w:rPr>
        <w:t>沈美真</w:t>
      </w:r>
    </w:p>
    <w:p w:rsidR="00D46954" w:rsidRPr="00D0657E" w:rsidRDefault="00D0657E" w:rsidP="00D0657E">
      <w:pPr>
        <w:pStyle w:val="a5"/>
        <w:kinsoku w:val="0"/>
        <w:spacing w:before="0" w:after="0"/>
        <w:ind w:leftChars="1100" w:left="3742" w:firstLineChars="500" w:firstLine="2221"/>
        <w:jc w:val="both"/>
        <w:rPr>
          <w:rFonts w:ascii="Times New Roman"/>
          <w:b w:val="0"/>
          <w:bCs/>
          <w:snapToGrid/>
          <w:spacing w:val="12"/>
          <w:kern w:val="0"/>
          <w:sz w:val="40"/>
          <w:szCs w:val="40"/>
        </w:rPr>
      </w:pPr>
      <w:r>
        <w:rPr>
          <w:rFonts w:ascii="Times New Roman" w:hint="eastAsia"/>
          <w:b w:val="0"/>
          <w:bCs/>
          <w:snapToGrid/>
          <w:spacing w:val="12"/>
          <w:kern w:val="0"/>
          <w:sz w:val="40"/>
          <w:szCs w:val="40"/>
        </w:rPr>
        <w:t xml:space="preserve"> </w:t>
      </w:r>
      <w:r w:rsidR="00AB12C9" w:rsidRPr="00D0657E">
        <w:rPr>
          <w:rFonts w:ascii="Times New Roman" w:hint="eastAsia"/>
          <w:b w:val="0"/>
          <w:bCs/>
          <w:snapToGrid/>
          <w:spacing w:val="12"/>
          <w:kern w:val="0"/>
          <w:sz w:val="40"/>
          <w:szCs w:val="40"/>
        </w:rPr>
        <w:t>洪德旋</w:t>
      </w:r>
    </w:p>
    <w:p w:rsidR="00D46954" w:rsidRPr="00AB3200" w:rsidRDefault="00D46954" w:rsidP="00D46954">
      <w:pPr>
        <w:pStyle w:val="a5"/>
        <w:kinsoku w:val="0"/>
        <w:spacing w:before="0" w:after="0"/>
        <w:ind w:leftChars="1100" w:left="3742" w:firstLineChars="500" w:firstLine="2021"/>
        <w:jc w:val="both"/>
        <w:rPr>
          <w:rFonts w:ascii="Times New Roman"/>
          <w:b w:val="0"/>
          <w:bCs/>
          <w:snapToGrid/>
          <w:spacing w:val="12"/>
          <w:kern w:val="0"/>
        </w:rPr>
      </w:pPr>
    </w:p>
    <w:p w:rsidR="00D46954" w:rsidRPr="00AB3200" w:rsidRDefault="00D46954" w:rsidP="00D46954">
      <w:pPr>
        <w:pStyle w:val="a5"/>
        <w:kinsoku w:val="0"/>
        <w:spacing w:before="0" w:after="0"/>
        <w:ind w:leftChars="1100" w:left="3742" w:firstLineChars="500" w:firstLine="2021"/>
        <w:jc w:val="both"/>
        <w:rPr>
          <w:rFonts w:ascii="Times New Roman"/>
          <w:b w:val="0"/>
          <w:bCs/>
          <w:snapToGrid/>
          <w:spacing w:val="12"/>
          <w:kern w:val="0"/>
        </w:rPr>
      </w:pPr>
    </w:p>
    <w:p w:rsidR="00D46954" w:rsidRPr="00AB3200" w:rsidRDefault="00D46954" w:rsidP="00D46954">
      <w:pPr>
        <w:pStyle w:val="a5"/>
        <w:kinsoku w:val="0"/>
        <w:spacing w:before="0" w:after="0"/>
        <w:ind w:leftChars="1100" w:left="3742" w:firstLineChars="500" w:firstLine="2021"/>
        <w:jc w:val="both"/>
        <w:rPr>
          <w:rFonts w:ascii="Times New Roman"/>
          <w:b w:val="0"/>
          <w:bCs/>
          <w:snapToGrid/>
          <w:spacing w:val="12"/>
          <w:kern w:val="0"/>
        </w:rPr>
      </w:pPr>
    </w:p>
    <w:p w:rsidR="00D46954" w:rsidRPr="00AB3200" w:rsidRDefault="00D46954" w:rsidP="00D46954">
      <w:pPr>
        <w:pStyle w:val="a5"/>
        <w:kinsoku w:val="0"/>
        <w:spacing w:before="0" w:after="0"/>
        <w:ind w:leftChars="1100" w:left="3742" w:firstLineChars="500" w:firstLine="2021"/>
        <w:jc w:val="both"/>
        <w:rPr>
          <w:rFonts w:ascii="Times New Roman"/>
          <w:b w:val="0"/>
          <w:bCs/>
          <w:snapToGrid/>
          <w:spacing w:val="12"/>
          <w:kern w:val="0"/>
        </w:rPr>
      </w:pPr>
    </w:p>
    <w:p w:rsidR="00D46954" w:rsidRPr="00AB3200" w:rsidRDefault="00D46954" w:rsidP="00D46954">
      <w:pPr>
        <w:pStyle w:val="a5"/>
        <w:kinsoku w:val="0"/>
        <w:spacing w:before="0" w:after="0"/>
        <w:ind w:leftChars="1100" w:left="3742" w:firstLineChars="500" w:firstLine="2021"/>
        <w:jc w:val="both"/>
        <w:rPr>
          <w:rFonts w:ascii="Times New Roman"/>
          <w:b w:val="0"/>
          <w:bCs/>
          <w:snapToGrid/>
          <w:spacing w:val="12"/>
          <w:kern w:val="0"/>
        </w:rPr>
      </w:pPr>
    </w:p>
    <w:p w:rsidR="00D46954" w:rsidRPr="00AB3200" w:rsidRDefault="00D46954" w:rsidP="00D46954">
      <w:pPr>
        <w:pStyle w:val="a5"/>
        <w:kinsoku w:val="0"/>
        <w:spacing w:before="0" w:after="0"/>
        <w:ind w:leftChars="1100" w:left="3742" w:firstLineChars="500" w:firstLine="2021"/>
        <w:jc w:val="both"/>
        <w:rPr>
          <w:rFonts w:ascii="Times New Roman"/>
          <w:b w:val="0"/>
          <w:bCs/>
          <w:snapToGrid/>
          <w:spacing w:val="12"/>
          <w:kern w:val="0"/>
        </w:rPr>
      </w:pPr>
    </w:p>
    <w:p w:rsidR="00D46954" w:rsidRPr="00AB3200" w:rsidRDefault="00D46954" w:rsidP="00D46954">
      <w:pPr>
        <w:pStyle w:val="a5"/>
        <w:kinsoku w:val="0"/>
        <w:spacing w:before="0" w:after="0"/>
        <w:ind w:leftChars="1100" w:left="3742" w:firstLineChars="500" w:firstLine="2021"/>
        <w:jc w:val="both"/>
        <w:rPr>
          <w:rFonts w:ascii="Times New Roman"/>
          <w:b w:val="0"/>
          <w:bCs/>
          <w:snapToGrid/>
          <w:spacing w:val="12"/>
          <w:kern w:val="0"/>
        </w:rPr>
      </w:pPr>
    </w:p>
    <w:p w:rsidR="00D46954" w:rsidRPr="00AB3200" w:rsidRDefault="00D46954" w:rsidP="00D46954">
      <w:pPr>
        <w:pStyle w:val="a5"/>
        <w:kinsoku w:val="0"/>
        <w:spacing w:before="0" w:after="0"/>
        <w:ind w:leftChars="1100" w:left="3742" w:firstLineChars="500" w:firstLine="2021"/>
        <w:jc w:val="both"/>
        <w:rPr>
          <w:rFonts w:ascii="Times New Roman"/>
          <w:b w:val="0"/>
          <w:bCs/>
          <w:snapToGrid/>
          <w:spacing w:val="12"/>
          <w:kern w:val="0"/>
        </w:rPr>
      </w:pPr>
    </w:p>
    <w:p w:rsidR="00D46954" w:rsidRPr="00AB3200" w:rsidRDefault="00D46954" w:rsidP="00D46954">
      <w:pPr>
        <w:pStyle w:val="a5"/>
        <w:kinsoku w:val="0"/>
        <w:spacing w:before="0" w:after="0"/>
        <w:ind w:left="0"/>
        <w:jc w:val="both"/>
        <w:rPr>
          <w:rFonts w:ascii="Times New Roman"/>
          <w:b w:val="0"/>
          <w:bCs/>
          <w:snapToGrid/>
          <w:spacing w:val="12"/>
          <w:kern w:val="0"/>
        </w:rPr>
      </w:pPr>
    </w:p>
    <w:p w:rsidR="00D46954" w:rsidRPr="00AB3200" w:rsidRDefault="00D46954" w:rsidP="00D46954">
      <w:pPr>
        <w:pStyle w:val="ac"/>
        <w:rPr>
          <w:bCs/>
        </w:rPr>
      </w:pPr>
      <w:r w:rsidRPr="00AB3200">
        <w:rPr>
          <w:bCs/>
        </w:rPr>
        <w:t>中</w:t>
      </w:r>
      <w:r w:rsidRPr="00AB3200">
        <w:rPr>
          <w:bCs/>
        </w:rPr>
        <w:t xml:space="preserve">   </w:t>
      </w:r>
      <w:r w:rsidRPr="00AB3200">
        <w:rPr>
          <w:bCs/>
        </w:rPr>
        <w:t>華</w:t>
      </w:r>
      <w:r w:rsidRPr="00AB3200">
        <w:rPr>
          <w:bCs/>
        </w:rPr>
        <w:t xml:space="preserve">    </w:t>
      </w:r>
      <w:r w:rsidRPr="00AB3200">
        <w:rPr>
          <w:bCs/>
        </w:rPr>
        <w:t>民</w:t>
      </w:r>
      <w:r w:rsidRPr="00AB3200">
        <w:rPr>
          <w:bCs/>
        </w:rPr>
        <w:t xml:space="preserve">   </w:t>
      </w:r>
      <w:r w:rsidRPr="00AB3200">
        <w:rPr>
          <w:bCs/>
        </w:rPr>
        <w:t>國</w:t>
      </w:r>
      <w:r w:rsidRPr="00AB3200">
        <w:rPr>
          <w:bCs/>
        </w:rPr>
        <w:t xml:space="preserve">  10</w:t>
      </w:r>
      <w:r w:rsidR="002D3AE8" w:rsidRPr="00AB3200">
        <w:rPr>
          <w:bCs/>
        </w:rPr>
        <w:t>3</w:t>
      </w:r>
      <w:r w:rsidRPr="00AB3200">
        <w:rPr>
          <w:bCs/>
        </w:rPr>
        <w:t xml:space="preserve">  </w:t>
      </w:r>
      <w:r w:rsidRPr="00AB3200">
        <w:rPr>
          <w:bCs/>
        </w:rPr>
        <w:t>年</w:t>
      </w:r>
      <w:r w:rsidRPr="00AB3200">
        <w:rPr>
          <w:bCs/>
        </w:rPr>
        <w:t xml:space="preserve">   </w:t>
      </w:r>
      <w:r w:rsidR="00DA31B2" w:rsidRPr="00AB3200">
        <w:rPr>
          <w:rFonts w:hint="eastAsia"/>
          <w:bCs/>
        </w:rPr>
        <w:t>7</w:t>
      </w:r>
      <w:r w:rsidRPr="00AB3200">
        <w:rPr>
          <w:bCs/>
        </w:rPr>
        <w:t xml:space="preserve">   </w:t>
      </w:r>
      <w:r w:rsidRPr="00AB3200">
        <w:rPr>
          <w:bCs/>
        </w:rPr>
        <w:t>月</w:t>
      </w:r>
      <w:r w:rsidRPr="00AB3200">
        <w:rPr>
          <w:bCs/>
        </w:rPr>
        <w:t xml:space="preserve">  </w:t>
      </w:r>
      <w:r w:rsidR="00AB12C9">
        <w:rPr>
          <w:rFonts w:hint="eastAsia"/>
          <w:bCs/>
        </w:rPr>
        <w:t>22</w:t>
      </w:r>
      <w:r w:rsidRPr="00AB3200">
        <w:rPr>
          <w:bCs/>
        </w:rPr>
        <w:t xml:space="preserve">   </w:t>
      </w:r>
      <w:r w:rsidRPr="00AB3200">
        <w:rPr>
          <w:bCs/>
        </w:rPr>
        <w:t>日</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sectPr w:rsidR="00D46954" w:rsidRPr="00AB3200" w:rsidSect="00806C46">
      <w:footerReference w:type="default" r:id="rId13"/>
      <w:pgSz w:w="11907" w:h="16840" w:code="9"/>
      <w:pgMar w:top="1418" w:right="1418" w:bottom="1418" w:left="1418" w:header="851" w:footer="851" w:gutter="227"/>
      <w:pgNumType w:start="1"/>
      <w:cols w:space="425"/>
      <w:docGrid w:type="linesAndChars" w:linePitch="463"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1529" w:rsidRDefault="00EE1529">
      <w:r>
        <w:separator/>
      </w:r>
    </w:p>
  </w:endnote>
  <w:endnote w:type="continuationSeparator" w:id="0">
    <w:p w:rsidR="00EE1529" w:rsidRDefault="00EE1529">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3C3" w:rsidRDefault="00A61103">
    <w:pPr>
      <w:pStyle w:val="af0"/>
      <w:jc w:val="center"/>
    </w:pPr>
    <w:r w:rsidRPr="00A61103">
      <w:fldChar w:fldCharType="begin"/>
    </w:r>
    <w:r w:rsidR="003763C3">
      <w:instrText xml:space="preserve"> PAGE   \* MERGEFORMAT </w:instrText>
    </w:r>
    <w:r w:rsidRPr="00A61103">
      <w:fldChar w:fldCharType="separate"/>
    </w:r>
    <w:r w:rsidR="007370D6" w:rsidRPr="007370D6">
      <w:rPr>
        <w:noProof/>
        <w:lang w:val="zh-TW"/>
      </w:rPr>
      <w:t>62</w:t>
    </w:r>
    <w:r>
      <w:rPr>
        <w:noProof/>
        <w:lang w:val="zh-TW"/>
      </w:rPr>
      <w:fldChar w:fldCharType="end"/>
    </w:r>
  </w:p>
  <w:p w:rsidR="003763C3" w:rsidRDefault="003763C3">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1529" w:rsidRDefault="00EE1529">
      <w:r>
        <w:separator/>
      </w:r>
    </w:p>
  </w:footnote>
  <w:footnote w:type="continuationSeparator" w:id="0">
    <w:p w:rsidR="00EE1529" w:rsidRDefault="00EE1529">
      <w:r>
        <w:continuationSeparator/>
      </w:r>
    </w:p>
  </w:footnote>
  <w:footnote w:id="1">
    <w:p w:rsidR="003763C3" w:rsidRPr="00DC4CBF" w:rsidRDefault="003763C3" w:rsidP="005A74D5">
      <w:pPr>
        <w:pStyle w:val="af5"/>
        <w:ind w:left="209" w:hangingChars="95" w:hanging="209"/>
      </w:pPr>
      <w:r>
        <w:rPr>
          <w:rStyle w:val="af7"/>
        </w:rPr>
        <w:footnoteRef/>
      </w:r>
      <w:r>
        <w:rPr>
          <w:rFonts w:ascii="標楷體" w:hAnsi="標楷體" w:hint="eastAsia"/>
          <w:color w:val="FF0000"/>
          <w:spacing w:val="-10"/>
        </w:rPr>
        <w:t xml:space="preserve"> </w:t>
      </w:r>
      <w:r w:rsidRPr="00EC3E9F">
        <w:rPr>
          <w:rFonts w:ascii="標楷體" w:eastAsia="標楷體" w:hAnsi="標楷體" w:hint="eastAsia"/>
          <w:spacing w:val="-10"/>
        </w:rPr>
        <w:t>我國95至102年及103年1至4月青年人口總數各513萬餘人、507萬餘人、502萬餘人、496萬餘人、489萬餘人、480萬餘人、472萬餘人、464萬餘人及458萬餘人，呈現逐年減少情形。</w:t>
      </w:r>
    </w:p>
  </w:footnote>
  <w:footnote w:id="2">
    <w:p w:rsidR="003763C3" w:rsidRPr="00DC4CBF" w:rsidRDefault="003763C3" w:rsidP="00203F6C">
      <w:pPr>
        <w:pStyle w:val="af5"/>
      </w:pPr>
      <w:r>
        <w:rPr>
          <w:rStyle w:val="af7"/>
        </w:rPr>
        <w:footnoteRef/>
      </w:r>
      <w:r w:rsidRPr="00B870C4">
        <w:rPr>
          <w:rFonts w:ascii="標楷體" w:eastAsia="標楷體" w:hAnsi="標楷體" w:hint="eastAsia"/>
          <w:spacing w:val="-10"/>
        </w:rPr>
        <w:t>據行政院主計總處人力運用調查報告，102年15至19歲、20至24歲青年每月主要工作收入各15,467元及24,269元，與96年（17,265元、24,313元）相較，</w:t>
      </w:r>
      <w:proofErr w:type="gramStart"/>
      <w:r w:rsidRPr="00B870C4">
        <w:rPr>
          <w:rFonts w:ascii="標楷體" w:eastAsia="標楷體" w:hAnsi="標楷體" w:hint="eastAsia"/>
          <w:spacing w:val="-10"/>
        </w:rPr>
        <w:t>減幅各達</w:t>
      </w:r>
      <w:proofErr w:type="gramEnd"/>
      <w:r w:rsidRPr="00B870C4">
        <w:rPr>
          <w:rFonts w:ascii="標楷體" w:eastAsia="標楷體" w:hAnsi="標楷體" w:hint="eastAsia"/>
          <w:spacing w:val="-10"/>
        </w:rPr>
        <w:t>10.41％及0.18％。</w:t>
      </w:r>
    </w:p>
  </w:footnote>
  <w:footnote w:id="3">
    <w:p w:rsidR="003763C3" w:rsidRPr="00BC5501" w:rsidRDefault="003763C3" w:rsidP="00203F6C">
      <w:pPr>
        <w:spacing w:line="280" w:lineRule="exact"/>
        <w:ind w:left="178" w:hangingChars="81" w:hanging="178"/>
        <w:jc w:val="both"/>
      </w:pPr>
      <w:r w:rsidRPr="00585299">
        <w:rPr>
          <w:rStyle w:val="af7"/>
          <w:rFonts w:asciiTheme="minorEastAsia" w:eastAsiaTheme="minorEastAsia" w:hAnsiTheme="minorEastAsia"/>
          <w:sz w:val="20"/>
        </w:rPr>
        <w:footnoteRef/>
      </w:r>
      <w:r w:rsidRPr="00585299">
        <w:rPr>
          <w:rFonts w:asciiTheme="minorEastAsia" w:eastAsiaTheme="minorEastAsia" w:hAnsiTheme="minorEastAsia" w:hint="eastAsia"/>
          <w:sz w:val="20"/>
        </w:rPr>
        <w:t xml:space="preserve"> </w:t>
      </w:r>
      <w:r w:rsidRPr="007A2ACF">
        <w:rPr>
          <w:rFonts w:ascii="標楷體" w:hAnsi="標楷體" w:hint="eastAsia"/>
          <w:sz w:val="20"/>
        </w:rPr>
        <w:t>資料來源：聯合報103年4月10日刊載「鼓勵企業加薪留人，金管會推高薪指數」；</w:t>
      </w:r>
      <w:r w:rsidRPr="007A2ACF">
        <w:rPr>
          <w:rFonts w:ascii="標楷體" w:hAnsi="標楷體"/>
          <w:sz w:val="20"/>
        </w:rPr>
        <w:t>聯合晚報</w:t>
      </w:r>
      <w:r w:rsidRPr="007A2ACF">
        <w:rPr>
          <w:rFonts w:ascii="標楷體" w:hAnsi="標楷體" w:hint="eastAsia"/>
          <w:sz w:val="20"/>
        </w:rPr>
        <w:t>103年4月13日刊載「</w:t>
      </w:r>
      <w:r w:rsidRPr="007A2ACF">
        <w:rPr>
          <w:rFonts w:ascii="標楷體" w:hAnsi="標楷體"/>
          <w:sz w:val="20"/>
        </w:rPr>
        <w:t>企業加薪、周休二日 投標加分</w:t>
      </w:r>
      <w:r w:rsidRPr="007A2ACF">
        <w:rPr>
          <w:rFonts w:ascii="標楷體" w:hAnsi="標楷體" w:hint="eastAsia"/>
          <w:sz w:val="20"/>
        </w:rPr>
        <w:t xml:space="preserve">」；蘋果日報103年4月16日刊載「北市擴大加薪 </w:t>
      </w:r>
      <w:proofErr w:type="gramStart"/>
      <w:r w:rsidRPr="007A2ACF">
        <w:rPr>
          <w:rFonts w:ascii="標楷體" w:hAnsi="標楷體" w:hint="eastAsia"/>
          <w:sz w:val="20"/>
        </w:rPr>
        <w:t>納委外</w:t>
      </w:r>
      <w:proofErr w:type="gramEnd"/>
      <w:r w:rsidRPr="007A2ACF">
        <w:rPr>
          <w:rFonts w:ascii="標楷體" w:hAnsi="標楷體" w:hint="eastAsia"/>
          <w:sz w:val="20"/>
        </w:rPr>
        <w:t>保全員」。</w:t>
      </w:r>
    </w:p>
  </w:footnote>
  <w:footnote w:id="4">
    <w:p w:rsidR="003763C3" w:rsidRPr="007A2ACF" w:rsidRDefault="003763C3" w:rsidP="00203F6C">
      <w:pPr>
        <w:pStyle w:val="af5"/>
        <w:ind w:left="251" w:hangingChars="114" w:hanging="251"/>
        <w:rPr>
          <w:rFonts w:ascii="標楷體" w:eastAsia="標楷體" w:hAnsi="標楷體"/>
        </w:rPr>
      </w:pPr>
      <w:r>
        <w:rPr>
          <w:rStyle w:val="af7"/>
        </w:rPr>
        <w:footnoteRef/>
      </w:r>
      <w:r>
        <w:t xml:space="preserve"> </w:t>
      </w:r>
      <w:r w:rsidRPr="007A2ACF">
        <w:rPr>
          <w:rFonts w:ascii="標楷體" w:eastAsia="標楷體" w:hAnsi="標楷體" w:hint="eastAsia"/>
        </w:rPr>
        <w:t>資料來源：行政院99年8月10日院</w:t>
      </w:r>
      <w:proofErr w:type="gramStart"/>
      <w:r w:rsidRPr="007A2ACF">
        <w:rPr>
          <w:rFonts w:ascii="標楷體" w:eastAsia="標楷體" w:hAnsi="標楷體" w:hint="eastAsia"/>
        </w:rPr>
        <w:t>臺教字</w:t>
      </w:r>
      <w:proofErr w:type="gramEnd"/>
      <w:r w:rsidRPr="007A2ACF">
        <w:rPr>
          <w:rFonts w:ascii="標楷體" w:eastAsia="標楷體" w:hAnsi="標楷體" w:hint="eastAsia"/>
        </w:rPr>
        <w:t>第099004114號函核定之人才培育方案(99至102年)。</w:t>
      </w:r>
    </w:p>
  </w:footnote>
  <w:footnote w:id="5">
    <w:p w:rsidR="003763C3" w:rsidRPr="002C75A2" w:rsidRDefault="003763C3" w:rsidP="005A74D5">
      <w:pPr>
        <w:pStyle w:val="af5"/>
        <w:ind w:left="238" w:hangingChars="108" w:hanging="238"/>
        <w:jc w:val="both"/>
        <w:rPr>
          <w:rFonts w:ascii="標楷體" w:hAnsi="標楷體"/>
        </w:rPr>
      </w:pPr>
      <w:r>
        <w:rPr>
          <w:rStyle w:val="af7"/>
        </w:rPr>
        <w:footnoteRef/>
      </w:r>
      <w:r>
        <w:t xml:space="preserve"> </w:t>
      </w:r>
      <w:r w:rsidRPr="00393A07">
        <w:rPr>
          <w:rFonts w:ascii="標楷體" w:eastAsia="標楷體" w:hAnsi="標楷體" w:hint="eastAsia"/>
        </w:rPr>
        <w:t>依據中小企業發展條例及中小企業認定標準相關規定，我國中小企業係指依法辦理公司登記或商業登記，並合於下列基準之事業：一、製造業、營造業、礦業及土石採取業實收資本額在新臺幣八千萬元以下者。二、除前款規定外之其他行業前一年營業額在新臺幣一億元以下者。各機關基於輔導業務之性質，就該特定業務事項，得以下列經常僱用員工數為中小企業認定基準，不受前項規定之限制：一、製造業、營造業、礦業及土石採取業經常僱用員工數未滿二百人者。二、除前款規定外之其他行業經常僱用員工數未滿一百人者。</w:t>
      </w:r>
    </w:p>
  </w:footnote>
  <w:footnote w:id="6">
    <w:p w:rsidR="003763C3" w:rsidRPr="00677594" w:rsidRDefault="003763C3" w:rsidP="005A74D5">
      <w:pPr>
        <w:pStyle w:val="af5"/>
        <w:ind w:left="154" w:hangingChars="70" w:hanging="154"/>
        <w:jc w:val="both"/>
      </w:pPr>
      <w:r>
        <w:rPr>
          <w:rStyle w:val="af7"/>
        </w:rPr>
        <w:footnoteRef/>
      </w:r>
      <w:r w:rsidRPr="00180AE1">
        <w:rPr>
          <w:rFonts w:ascii="標楷體" w:eastAsia="標楷體" w:hAnsi="標楷體" w:hint="eastAsia"/>
          <w:color w:val="000000" w:themeColor="text1"/>
        </w:rPr>
        <w:t>資料來源：</w:t>
      </w:r>
      <w:r>
        <w:rPr>
          <w:rFonts w:ascii="標楷體" w:eastAsia="標楷體" w:hAnsi="標楷體" w:hint="eastAsia"/>
          <w:color w:val="000000" w:themeColor="text1"/>
        </w:rPr>
        <w:t>審計部</w:t>
      </w:r>
      <w:r w:rsidRPr="00180AE1">
        <w:rPr>
          <w:rFonts w:ascii="標楷體" w:eastAsia="標楷體" w:hAnsi="標楷體" w:hint="eastAsia"/>
          <w:color w:val="000000" w:themeColor="text1"/>
        </w:rPr>
        <w:t>整理自經濟部工業局96年11月29日發布之新聞稿「</w:t>
      </w:r>
      <w:r w:rsidRPr="00180AE1">
        <w:rPr>
          <w:rFonts w:ascii="標楷體" w:eastAsia="標楷體" w:hAnsi="標楷體"/>
          <w:color w:val="000000" w:themeColor="text1"/>
        </w:rPr>
        <w:t>規劃建置職能基準與能力鑑定機制以強化產業人力發展</w:t>
      </w:r>
      <w:r w:rsidRPr="00180AE1">
        <w:rPr>
          <w:rFonts w:ascii="標楷體" w:eastAsia="標楷體" w:hAnsi="標楷體" w:hint="eastAsia"/>
          <w:color w:val="000000" w:themeColor="text1"/>
        </w:rPr>
        <w:t>」，</w:t>
      </w:r>
      <w:r w:rsidRPr="00180AE1">
        <w:rPr>
          <w:rFonts w:ascii="標楷體" w:eastAsia="標楷體" w:hAnsi="標楷體"/>
          <w:color w:val="000000" w:themeColor="text1"/>
          <w:u w:val="single"/>
        </w:rPr>
        <w:t>http://www.moeaidb.gov.tw/external/ctlr?PRO=news.NewsView&amp;id=3827</w:t>
      </w:r>
      <w:r w:rsidRPr="00180AE1">
        <w:rPr>
          <w:rFonts w:ascii="標楷體" w:eastAsia="標楷體" w:hAnsi="標楷體" w:hint="eastAsia"/>
          <w:color w:val="000000" w:themeColor="text1"/>
        </w:rPr>
        <w:t>。</w:t>
      </w:r>
    </w:p>
  </w:footnote>
  <w:footnote w:id="7">
    <w:p w:rsidR="003763C3" w:rsidRPr="00180AE1" w:rsidRDefault="003763C3" w:rsidP="003A213D">
      <w:pPr>
        <w:pStyle w:val="af5"/>
        <w:rPr>
          <w:rFonts w:ascii="標楷體" w:eastAsia="標楷體" w:hAnsi="標楷體"/>
          <w:u w:val="single"/>
        </w:rPr>
      </w:pPr>
      <w:r>
        <w:rPr>
          <w:rStyle w:val="af7"/>
        </w:rPr>
        <w:footnoteRef/>
      </w:r>
      <w:r>
        <w:t xml:space="preserve"> </w:t>
      </w:r>
      <w:r w:rsidRPr="00180AE1">
        <w:rPr>
          <w:rFonts w:ascii="標楷體" w:eastAsia="標楷體" w:hAnsi="標楷體" w:hint="eastAsia"/>
        </w:rPr>
        <w:t>資料來源：行政院全球資訊網，</w:t>
      </w:r>
      <w:r w:rsidRPr="00180AE1">
        <w:rPr>
          <w:rFonts w:ascii="標楷體" w:eastAsia="標楷體" w:hAnsi="標楷體"/>
          <w:u w:val="single"/>
        </w:rPr>
        <w:t>http://www.ey.gov.tw/News_Content.aspx?n=7084F4E88</w:t>
      </w:r>
    </w:p>
    <w:p w:rsidR="003763C3" w:rsidRPr="00180AE1" w:rsidRDefault="003763C3" w:rsidP="005A74D5">
      <w:pPr>
        <w:pStyle w:val="af5"/>
        <w:ind w:leftChars="83" w:left="282"/>
        <w:rPr>
          <w:rFonts w:ascii="標楷體" w:eastAsia="標楷體" w:hAnsi="標楷體"/>
        </w:rPr>
      </w:pPr>
      <w:r w:rsidRPr="00180AE1">
        <w:rPr>
          <w:rFonts w:ascii="標楷體" w:eastAsia="標楷體" w:hAnsi="標楷體"/>
          <w:u w:val="single"/>
        </w:rPr>
        <w:t>F1E9A4F&amp;sms=114AAE178CD95D4C&amp;s=DC081EB6FDAF2E32</w:t>
      </w:r>
      <w:r w:rsidRPr="00180AE1">
        <w:rPr>
          <w:rFonts w:ascii="標楷體" w:eastAsia="標楷體" w:hAnsi="標楷體" w:hint="eastAsia"/>
          <w:u w:val="single"/>
        </w:rPr>
        <w:t>。</w:t>
      </w:r>
    </w:p>
  </w:footnote>
  <w:footnote w:id="8">
    <w:p w:rsidR="003763C3" w:rsidRDefault="003763C3" w:rsidP="003A213D">
      <w:pPr>
        <w:pStyle w:val="af5"/>
      </w:pPr>
      <w:r w:rsidRPr="00180AE1">
        <w:rPr>
          <w:rStyle w:val="af7"/>
          <w:rFonts w:ascii="標楷體" w:eastAsia="標楷體" w:hAnsi="標楷體"/>
        </w:rPr>
        <w:footnoteRef/>
      </w:r>
      <w:r w:rsidRPr="00180AE1">
        <w:rPr>
          <w:rFonts w:ascii="標楷體" w:eastAsia="標楷體" w:hAnsi="標楷體"/>
        </w:rPr>
        <w:t xml:space="preserve"> </w:t>
      </w:r>
      <w:r w:rsidRPr="00180AE1">
        <w:rPr>
          <w:rFonts w:ascii="標楷體" w:eastAsia="標楷體" w:hAnsi="標楷體" w:hint="eastAsia"/>
        </w:rPr>
        <w:t>資料來源：聯合新聞網，</w:t>
      </w:r>
      <w:r w:rsidRPr="00180AE1">
        <w:rPr>
          <w:rFonts w:ascii="標楷體" w:eastAsia="標楷體" w:hAnsi="標楷體"/>
          <w:u w:val="single"/>
        </w:rPr>
        <w:t>http://vision.udn.com/storypage.jsp?f_ART_ID=703</w:t>
      </w:r>
      <w:r w:rsidRPr="00180AE1">
        <w:rPr>
          <w:rFonts w:ascii="標楷體" w:eastAsia="標楷體" w:hAnsi="標楷體" w:hint="eastAsia"/>
          <w:u w:val="single"/>
        </w:rPr>
        <w:t>。</w:t>
      </w:r>
    </w:p>
  </w:footnote>
  <w:footnote w:id="9">
    <w:p w:rsidR="003763C3" w:rsidRPr="00E50413" w:rsidRDefault="003763C3" w:rsidP="005A74D5">
      <w:pPr>
        <w:pStyle w:val="HTML"/>
        <w:spacing w:line="240" w:lineRule="exact"/>
        <w:ind w:left="265" w:hangingChars="102" w:hanging="265"/>
        <w:jc w:val="both"/>
      </w:pPr>
      <w:r>
        <w:rPr>
          <w:rStyle w:val="af7"/>
        </w:rPr>
        <w:footnoteRef/>
      </w:r>
      <w:r>
        <w:t xml:space="preserve"> </w:t>
      </w:r>
      <w:r w:rsidRPr="00E50413">
        <w:rPr>
          <w:rFonts w:ascii="標楷體" w:eastAsia="標楷體" w:hAnsi="標楷體" w:hint="eastAsia"/>
          <w:color w:val="000000"/>
          <w:sz w:val="20"/>
          <w:szCs w:val="20"/>
        </w:rPr>
        <w:t>專科以上學校總量發展規模與資源條件標準第8條規定：「</w:t>
      </w:r>
      <w:r w:rsidRPr="00E50413">
        <w:rPr>
          <w:rFonts w:ascii="標楷體" w:eastAsia="標楷體" w:hAnsi="標楷體" w:hint="eastAsia"/>
          <w:sz w:val="20"/>
          <w:szCs w:val="20"/>
        </w:rPr>
        <w:t>專科以上學校有下列情事之</w:t>
      </w:r>
      <w:proofErr w:type="gramStart"/>
      <w:r w:rsidRPr="00E50413">
        <w:rPr>
          <w:rFonts w:ascii="標楷體" w:eastAsia="標楷體" w:hAnsi="標楷體" w:hint="eastAsia"/>
          <w:sz w:val="20"/>
          <w:szCs w:val="20"/>
        </w:rPr>
        <w:t>一</w:t>
      </w:r>
      <w:proofErr w:type="gramEnd"/>
      <w:r w:rsidRPr="00E50413">
        <w:rPr>
          <w:rFonts w:ascii="標楷體" w:eastAsia="標楷體" w:hAnsi="標楷體" w:hint="eastAsia"/>
          <w:sz w:val="20"/>
          <w:szCs w:val="20"/>
        </w:rPr>
        <w:t>者，本部得調整其招生名額總量或各院、所、系、科與學位學程之招生名額：一、未依大學法第二十三條、第二十四條、大學法施行細則第七條至第十一條及第十九條、專科學校法第二十五條、第二十七條至第二十九條或私立學校法第三十九條規定辦理者，依情節輕重調整其招生名額總量或各院、所、系、科及學位學程之招生名額，並得逐年調整至改善為止。二、任</w:t>
      </w:r>
      <w:proofErr w:type="gramStart"/>
      <w:r w:rsidRPr="00E50413">
        <w:rPr>
          <w:rFonts w:ascii="標楷體" w:eastAsia="標楷體" w:hAnsi="標楷體" w:hint="eastAsia"/>
          <w:sz w:val="20"/>
          <w:szCs w:val="20"/>
        </w:rPr>
        <w:t>一</w:t>
      </w:r>
      <w:proofErr w:type="gramEnd"/>
      <w:r w:rsidRPr="00E50413">
        <w:rPr>
          <w:rFonts w:ascii="標楷體" w:eastAsia="標楷體" w:hAnsi="標楷體" w:hint="eastAsia"/>
          <w:sz w:val="20"/>
          <w:szCs w:val="20"/>
        </w:rPr>
        <w:t>學制班別之最近連續三個學年度新生註冊</w:t>
      </w:r>
      <w:proofErr w:type="gramStart"/>
      <w:r w:rsidRPr="00E50413">
        <w:rPr>
          <w:rFonts w:ascii="標楷體" w:eastAsia="標楷體" w:hAnsi="標楷體" w:hint="eastAsia"/>
          <w:sz w:val="20"/>
          <w:szCs w:val="20"/>
        </w:rPr>
        <w:t>率均未達</w:t>
      </w:r>
      <w:proofErr w:type="gramEnd"/>
      <w:r w:rsidRPr="00E50413">
        <w:rPr>
          <w:rFonts w:ascii="標楷體" w:eastAsia="標楷體" w:hAnsi="標楷體" w:hint="eastAsia"/>
          <w:sz w:val="20"/>
          <w:szCs w:val="20"/>
        </w:rPr>
        <w:t>百分之七十者，調整該學制班別招生名額總量為前一學年度招生名額總量百分之七十至百分之九十。三、</w:t>
      </w:r>
      <w:proofErr w:type="gramStart"/>
      <w:r w:rsidRPr="00E50413">
        <w:rPr>
          <w:rFonts w:ascii="標楷體" w:eastAsia="標楷體" w:hAnsi="標楷體" w:hint="eastAsia"/>
          <w:sz w:val="20"/>
          <w:szCs w:val="20"/>
        </w:rPr>
        <w:t>生師比值</w:t>
      </w:r>
      <w:proofErr w:type="gramEnd"/>
      <w:r w:rsidRPr="00E50413">
        <w:rPr>
          <w:rFonts w:ascii="標楷體" w:eastAsia="標楷體" w:hAnsi="標楷體" w:hint="eastAsia"/>
          <w:sz w:val="20"/>
          <w:szCs w:val="20"/>
        </w:rPr>
        <w:t>未達規定或校舍建築面積未達規定者，調整招生名額總量至符合規定之數值。四、專任助理教授以上師資結構未達規定者，依情節輕重調整招生名額總量。五、院、所、系、科與學位學程最近一次評鑑成績為未通過或列有三等或四等，且經再評鑑仍未通過或追蹤評鑑未達二等以上者，依情節輕重調整其招生名額為前一學年度招生名額百分之五十至百分之七十，並得逐年調整至評鑑通過為止。</w:t>
      </w:r>
      <w:r w:rsidRPr="00E50413">
        <w:rPr>
          <w:rFonts w:ascii="標楷體" w:eastAsia="標楷體" w:hAnsi="標楷體" w:hint="eastAsia"/>
          <w:color w:val="000000"/>
          <w:sz w:val="20"/>
          <w:szCs w:val="20"/>
        </w:rPr>
        <w:t>」</w:t>
      </w:r>
    </w:p>
  </w:footnote>
  <w:footnote w:id="10">
    <w:p w:rsidR="003763C3" w:rsidRPr="00847961" w:rsidRDefault="003763C3" w:rsidP="005A74D5">
      <w:pPr>
        <w:pStyle w:val="af5"/>
        <w:spacing w:line="240" w:lineRule="exact"/>
        <w:ind w:left="185" w:hangingChars="84" w:hanging="185"/>
      </w:pPr>
      <w:r>
        <w:rPr>
          <w:rStyle w:val="af7"/>
        </w:rPr>
        <w:footnoteRef/>
      </w:r>
      <w:r>
        <w:t xml:space="preserve"> </w:t>
      </w:r>
      <w:r w:rsidRPr="00A7244A">
        <w:rPr>
          <w:rFonts w:hint="eastAsia"/>
        </w:rPr>
        <w:t>工商時報</w:t>
      </w:r>
      <w:r w:rsidRPr="00A7244A">
        <w:rPr>
          <w:rFonts w:hint="eastAsia"/>
        </w:rPr>
        <w:t>102</w:t>
      </w:r>
      <w:r w:rsidRPr="00A7244A">
        <w:rPr>
          <w:rFonts w:hint="eastAsia"/>
        </w:rPr>
        <w:t>年</w:t>
      </w:r>
      <w:r w:rsidRPr="00A7244A">
        <w:rPr>
          <w:rFonts w:hint="eastAsia"/>
        </w:rPr>
        <w:t>4</w:t>
      </w:r>
      <w:r w:rsidRPr="00A7244A">
        <w:rPr>
          <w:rFonts w:hint="eastAsia"/>
        </w:rPr>
        <w:t>月</w:t>
      </w:r>
      <w:r w:rsidRPr="00A7244A">
        <w:rPr>
          <w:rFonts w:hint="eastAsia"/>
        </w:rPr>
        <w:t>22</w:t>
      </w:r>
      <w:r w:rsidRPr="00A7244A">
        <w:rPr>
          <w:rFonts w:hint="eastAsia"/>
        </w:rPr>
        <w:t>日「</w:t>
      </w:r>
      <w:r w:rsidRPr="00A7244A">
        <w:rPr>
          <w:rFonts w:hint="eastAsia"/>
          <w:bCs/>
        </w:rPr>
        <w:t>尼</w:t>
      </w:r>
      <w:proofErr w:type="gramStart"/>
      <w:r w:rsidRPr="00A7244A">
        <w:rPr>
          <w:rFonts w:hint="eastAsia"/>
          <w:bCs/>
        </w:rPr>
        <w:t>特</w:t>
      </w:r>
      <w:proofErr w:type="gramEnd"/>
      <w:r w:rsidRPr="00A7244A">
        <w:rPr>
          <w:rFonts w:hint="eastAsia"/>
          <w:bCs/>
        </w:rPr>
        <w:t>族青年</w:t>
      </w:r>
      <w:r w:rsidRPr="00A7244A">
        <w:rPr>
          <w:rFonts w:hint="eastAsia"/>
          <w:bCs/>
        </w:rPr>
        <w:t xml:space="preserve"> </w:t>
      </w:r>
      <w:r w:rsidRPr="00A7244A">
        <w:rPr>
          <w:rFonts w:hint="eastAsia"/>
          <w:bCs/>
        </w:rPr>
        <w:t>去年達</w:t>
      </w:r>
      <w:r w:rsidRPr="00A7244A">
        <w:rPr>
          <w:rFonts w:hint="eastAsia"/>
          <w:bCs/>
        </w:rPr>
        <w:t>47</w:t>
      </w:r>
      <w:r w:rsidRPr="00A7244A">
        <w:rPr>
          <w:rFonts w:hint="eastAsia"/>
          <w:bCs/>
        </w:rPr>
        <w:t>萬人」一文刊載，依據行政院主計總處內部研究，我國</w:t>
      </w:r>
      <w:r w:rsidRPr="00A7244A">
        <w:rPr>
          <w:rFonts w:hint="eastAsia"/>
          <w:bCs/>
        </w:rPr>
        <w:t>15</w:t>
      </w:r>
      <w:r w:rsidRPr="00A7244A">
        <w:rPr>
          <w:rFonts w:hint="eastAsia"/>
          <w:bCs/>
        </w:rPr>
        <w:t>至</w:t>
      </w:r>
      <w:r w:rsidRPr="00A7244A">
        <w:rPr>
          <w:rFonts w:hint="eastAsia"/>
          <w:bCs/>
        </w:rPr>
        <w:t>29</w:t>
      </w:r>
      <w:r w:rsidRPr="00A7244A">
        <w:rPr>
          <w:rFonts w:hint="eastAsia"/>
          <w:bCs/>
        </w:rPr>
        <w:t>歲青年，有</w:t>
      </w:r>
      <w:r w:rsidRPr="00A7244A">
        <w:rPr>
          <w:rFonts w:hint="eastAsia"/>
          <w:bCs/>
        </w:rPr>
        <w:t>10</w:t>
      </w:r>
      <w:r>
        <w:rPr>
          <w:rFonts w:hint="eastAsia"/>
          <w:bCs/>
        </w:rPr>
        <w:t>％</w:t>
      </w:r>
      <w:r w:rsidRPr="00A7244A">
        <w:rPr>
          <w:rFonts w:hint="eastAsia"/>
          <w:bCs/>
        </w:rPr>
        <w:t>人口約</w:t>
      </w:r>
      <w:r w:rsidRPr="00A7244A">
        <w:rPr>
          <w:rFonts w:hint="eastAsia"/>
          <w:bCs/>
        </w:rPr>
        <w:t>47.2</w:t>
      </w:r>
      <w:r w:rsidRPr="00A7244A">
        <w:rPr>
          <w:rFonts w:hint="eastAsia"/>
          <w:bCs/>
        </w:rPr>
        <w:t>萬人是尼</w:t>
      </w:r>
      <w:proofErr w:type="gramStart"/>
      <w:r w:rsidRPr="00A7244A">
        <w:rPr>
          <w:rFonts w:hint="eastAsia"/>
          <w:bCs/>
        </w:rPr>
        <w:t>特</w:t>
      </w:r>
      <w:proofErr w:type="gramEnd"/>
      <w:r w:rsidRPr="00A7244A">
        <w:rPr>
          <w:rFonts w:hint="eastAsia"/>
          <w:bCs/>
        </w:rPr>
        <w:t>族。</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501CD"/>
    <w:multiLevelType w:val="multilevel"/>
    <w:tmpl w:val="D512A9B0"/>
    <w:lvl w:ilvl="0">
      <w:start w:val="1"/>
      <w:numFmt w:val="ideographLegalTraditional"/>
      <w:suff w:val="nothing"/>
      <w:lvlText w:val="%1、"/>
      <w:lvlJc w:val="left"/>
      <w:pPr>
        <w:ind w:left="1409" w:hanging="699"/>
      </w:pPr>
      <w:rPr>
        <w:rFonts w:ascii="標楷體" w:eastAsia="標楷體" w:hint="eastAsia"/>
        <w:b w:val="0"/>
        <w:i w:val="0"/>
        <w:snapToGrid/>
        <w:color w:val="auto"/>
        <w:spacing w:val="0"/>
        <w:w w:val="100"/>
        <w:position w:val="0"/>
        <w:sz w:val="32"/>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2115" w:hanging="697"/>
      </w:pPr>
      <w:rPr>
        <w:rFonts w:ascii="標楷體" w:eastAsia="標楷體" w:hint="eastAsia"/>
        <w:b w:val="0"/>
        <w:i w:val="0"/>
        <w:color w:val="auto"/>
        <w:spacing w:val="0"/>
        <w:w w:val="100"/>
        <w:position w:val="0"/>
        <w:sz w:val="32"/>
      </w:rPr>
    </w:lvl>
    <w:lvl w:ilvl="3">
      <w:start w:val="1"/>
      <w:numFmt w:val="decimalFullWidth"/>
      <w:suff w:val="nothing"/>
      <w:lvlText w:val="%4、"/>
      <w:lvlJc w:val="left"/>
      <w:pPr>
        <w:ind w:left="1741" w:hanging="698"/>
      </w:pPr>
      <w:rPr>
        <w:rFonts w:ascii="標楷體" w:eastAsia="標楷體" w:hint="eastAsia"/>
        <w:b w:val="0"/>
        <w:i w:val="0"/>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lang w:val="en-US"/>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FA26359"/>
    <w:multiLevelType w:val="hybridMultilevel"/>
    <w:tmpl w:val="4E6CDC5A"/>
    <w:lvl w:ilvl="0" w:tplc="C8501E70">
      <w:start w:val="1"/>
      <w:numFmt w:val="decimal"/>
      <w:lvlText w:val="%1."/>
      <w:lvlJc w:val="left"/>
      <w:pPr>
        <w:ind w:left="255" w:hanging="360"/>
      </w:pPr>
      <w:rPr>
        <w:rFonts w:hAnsi="Arial"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40E010C"/>
    <w:multiLevelType w:val="multilevel"/>
    <w:tmpl w:val="D512A9B0"/>
    <w:lvl w:ilvl="0">
      <w:start w:val="1"/>
      <w:numFmt w:val="ideographLegalTraditional"/>
      <w:suff w:val="nothing"/>
      <w:lvlText w:val="%1、"/>
      <w:lvlJc w:val="left"/>
      <w:pPr>
        <w:ind w:left="1409" w:hanging="699"/>
      </w:pPr>
      <w:rPr>
        <w:rFonts w:ascii="標楷體" w:eastAsia="標楷體" w:hint="eastAsia"/>
        <w:b w:val="0"/>
        <w:i w:val="0"/>
        <w:snapToGrid/>
        <w:color w:val="auto"/>
        <w:spacing w:val="0"/>
        <w:w w:val="100"/>
        <w:position w:val="0"/>
        <w:sz w:val="32"/>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2115" w:hanging="697"/>
      </w:pPr>
      <w:rPr>
        <w:rFonts w:ascii="標楷體" w:eastAsia="標楷體" w:hint="eastAsia"/>
        <w:b w:val="0"/>
        <w:i w:val="0"/>
        <w:color w:val="auto"/>
        <w:spacing w:val="0"/>
        <w:w w:val="100"/>
        <w:position w:val="0"/>
        <w:sz w:val="32"/>
      </w:rPr>
    </w:lvl>
    <w:lvl w:ilvl="3">
      <w:start w:val="1"/>
      <w:numFmt w:val="decimalFullWidth"/>
      <w:suff w:val="nothing"/>
      <w:lvlText w:val="%4、"/>
      <w:lvlJc w:val="left"/>
      <w:pPr>
        <w:ind w:left="1741" w:hanging="698"/>
      </w:pPr>
      <w:rPr>
        <w:rFonts w:ascii="標楷體" w:eastAsia="標楷體" w:hint="eastAsia"/>
        <w:b w:val="0"/>
        <w:i w:val="0"/>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lang w:val="en-US"/>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4">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EF71E3C"/>
    <w:multiLevelType w:val="hybridMultilevel"/>
    <w:tmpl w:val="317E27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3CC6F1D"/>
    <w:multiLevelType w:val="hybridMultilevel"/>
    <w:tmpl w:val="88BE87E8"/>
    <w:lvl w:ilvl="0" w:tplc="F1D049AE">
      <w:start w:val="1"/>
      <w:numFmt w:val="decimal"/>
      <w:lvlText w:val="%1."/>
      <w:lvlJc w:val="left"/>
      <w:pPr>
        <w:ind w:left="255" w:hanging="360"/>
      </w:pPr>
      <w:rPr>
        <w:rFonts w:hint="default"/>
      </w:rPr>
    </w:lvl>
    <w:lvl w:ilvl="1" w:tplc="04090019">
      <w:start w:val="1"/>
      <w:numFmt w:val="ideographTraditional"/>
      <w:lvlText w:val="%2、"/>
      <w:lvlJc w:val="left"/>
      <w:pPr>
        <w:ind w:left="855" w:hanging="480"/>
      </w:pPr>
    </w:lvl>
    <w:lvl w:ilvl="2" w:tplc="6BC84E44">
      <w:start w:val="1"/>
      <w:numFmt w:val="decimal"/>
      <w:lvlText w:val="%3."/>
      <w:lvlJc w:val="left"/>
      <w:pPr>
        <w:ind w:left="1215" w:hanging="360"/>
      </w:pPr>
      <w:rPr>
        <w:rFonts w:hint="default"/>
      </w:rPr>
    </w:lvl>
    <w:lvl w:ilvl="3" w:tplc="0409000F" w:tentative="1">
      <w:start w:val="1"/>
      <w:numFmt w:val="decimal"/>
      <w:lvlText w:val="%4."/>
      <w:lvlJc w:val="left"/>
      <w:pPr>
        <w:ind w:left="1815" w:hanging="480"/>
      </w:pPr>
    </w:lvl>
    <w:lvl w:ilvl="4" w:tplc="04090019" w:tentative="1">
      <w:start w:val="1"/>
      <w:numFmt w:val="ideographTraditional"/>
      <w:lvlText w:val="%5、"/>
      <w:lvlJc w:val="left"/>
      <w:pPr>
        <w:ind w:left="2295" w:hanging="480"/>
      </w:pPr>
    </w:lvl>
    <w:lvl w:ilvl="5" w:tplc="0409001B" w:tentative="1">
      <w:start w:val="1"/>
      <w:numFmt w:val="lowerRoman"/>
      <w:lvlText w:val="%6."/>
      <w:lvlJc w:val="right"/>
      <w:pPr>
        <w:ind w:left="2775" w:hanging="480"/>
      </w:pPr>
    </w:lvl>
    <w:lvl w:ilvl="6" w:tplc="0409000F" w:tentative="1">
      <w:start w:val="1"/>
      <w:numFmt w:val="decimal"/>
      <w:lvlText w:val="%7."/>
      <w:lvlJc w:val="left"/>
      <w:pPr>
        <w:ind w:left="3255" w:hanging="480"/>
      </w:pPr>
    </w:lvl>
    <w:lvl w:ilvl="7" w:tplc="04090019" w:tentative="1">
      <w:start w:val="1"/>
      <w:numFmt w:val="ideographTraditional"/>
      <w:lvlText w:val="%8、"/>
      <w:lvlJc w:val="left"/>
      <w:pPr>
        <w:ind w:left="3735" w:hanging="480"/>
      </w:pPr>
    </w:lvl>
    <w:lvl w:ilvl="8" w:tplc="0409001B" w:tentative="1">
      <w:start w:val="1"/>
      <w:numFmt w:val="lowerRoman"/>
      <w:lvlText w:val="%9."/>
      <w:lvlJc w:val="right"/>
      <w:pPr>
        <w:ind w:left="4215" w:hanging="480"/>
      </w:pPr>
    </w:lvl>
  </w:abstractNum>
  <w:abstractNum w:abstractNumId="7">
    <w:nsid w:val="28DC42F4"/>
    <w:multiLevelType w:val="multilevel"/>
    <w:tmpl w:val="457AB570"/>
    <w:lvl w:ilvl="0">
      <w:start w:val="1"/>
      <w:numFmt w:val="taiwaneseCountingThousand"/>
      <w:pStyle w:val="1"/>
      <w:suff w:val="nothing"/>
      <w:lvlText w:val="%1、"/>
      <w:lvlJc w:val="left"/>
      <w:pPr>
        <w:ind w:left="921" w:hanging="561"/>
      </w:pPr>
      <w:rPr>
        <w:rFonts w:ascii="標楷體" w:eastAsia="標楷體" w:hint="eastAsia"/>
        <w:b/>
        <w:i w:val="0"/>
        <w:sz w:val="28"/>
      </w:rPr>
    </w:lvl>
    <w:lvl w:ilvl="1">
      <w:start w:val="1"/>
      <w:numFmt w:val="taiwaneseCountingThousand"/>
      <w:pStyle w:val="2"/>
      <w:suff w:val="nothing"/>
      <w:lvlText w:val="(%2)"/>
      <w:lvlJc w:val="left"/>
      <w:pPr>
        <w:ind w:left="1129" w:hanging="561"/>
      </w:pPr>
      <w:rPr>
        <w:rFonts w:ascii="標楷體" w:eastAsia="標楷體" w:hint="eastAsia"/>
        <w:b/>
        <w:i w:val="0"/>
        <w:color w:val="000000"/>
        <w:sz w:val="28"/>
      </w:rPr>
    </w:lvl>
    <w:lvl w:ilvl="2">
      <w:start w:val="1"/>
      <w:numFmt w:val="decimalFullWidth"/>
      <w:suff w:val="nothing"/>
      <w:lvlText w:val="%3、"/>
      <w:lvlJc w:val="left"/>
      <w:pPr>
        <w:ind w:left="1128" w:hanging="561"/>
      </w:pPr>
      <w:rPr>
        <w:rFonts w:ascii="標楷體" w:eastAsia="標楷體" w:hint="eastAsia"/>
        <w:b/>
        <w:i w:val="0"/>
        <w:sz w:val="28"/>
        <w:lang w:val="en-US"/>
      </w:rPr>
    </w:lvl>
    <w:lvl w:ilvl="3">
      <w:start w:val="1"/>
      <w:numFmt w:val="decimalFullWidth"/>
      <w:suff w:val="nothing"/>
      <w:lvlText w:val="(%4)"/>
      <w:lvlJc w:val="left"/>
      <w:pPr>
        <w:ind w:left="1407" w:hanging="556"/>
      </w:pPr>
      <w:rPr>
        <w:rFonts w:ascii="標楷體" w:eastAsia="標楷體" w:hint="eastAsia"/>
        <w:b w:val="0"/>
        <w:i w:val="0"/>
        <w:sz w:val="28"/>
      </w:rPr>
    </w:lvl>
    <w:lvl w:ilvl="4">
      <w:start w:val="1"/>
      <w:numFmt w:val="decimalFullWidth"/>
      <w:suff w:val="nothing"/>
      <w:lvlText w:val="&lt;%5&gt;"/>
      <w:lvlJc w:val="left"/>
      <w:pPr>
        <w:ind w:left="1701" w:hanging="567"/>
      </w:pPr>
      <w:rPr>
        <w:rFonts w:ascii="標楷體" w:eastAsia="標楷體" w:hint="eastAsia"/>
        <w:b w:val="0"/>
        <w:i w:val="0"/>
        <w:sz w:val="28"/>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8">
    <w:nsid w:val="2DB11A76"/>
    <w:multiLevelType w:val="multilevel"/>
    <w:tmpl w:val="119A9778"/>
    <w:lvl w:ilvl="0">
      <w:start w:val="8"/>
      <w:numFmt w:val="ideographLegalTraditional"/>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suff w:val="nothing"/>
      <w:lvlText w:val="%2、"/>
      <w:lvlJc w:val="left"/>
      <w:pPr>
        <w:ind w:left="697" w:hanging="697"/>
      </w:pPr>
      <w:rPr>
        <w:rFonts w:ascii="標楷體" w:eastAsia="標楷體" w:hint="eastAsia"/>
        <w:b w:val="0"/>
        <w:i w:val="0"/>
        <w:snapToGrid/>
        <w:spacing w:val="0"/>
        <w:w w:val="100"/>
        <w:position w:val="0"/>
        <w:sz w:val="32"/>
        <w:szCs w:val="32"/>
        <w:em w:val="none"/>
      </w:rPr>
    </w:lvl>
    <w:lvl w:ilvl="2">
      <w:start w:val="1"/>
      <w:numFmt w:val="taiwaneseCountingThousand"/>
      <w:suff w:val="nothing"/>
      <w:lvlText w:val="(%3)"/>
      <w:lvlJc w:val="left"/>
      <w:pPr>
        <w:ind w:left="2115" w:hanging="697"/>
      </w:pPr>
      <w:rPr>
        <w:rFonts w:ascii="標楷體" w:eastAsia="標楷體" w:hint="eastAsia"/>
        <w:b w:val="0"/>
        <w:i w:val="0"/>
        <w:color w:val="auto"/>
        <w:spacing w:val="0"/>
        <w:w w:val="100"/>
        <w:position w:val="0"/>
        <w:sz w:val="32"/>
      </w:rPr>
    </w:lvl>
    <w:lvl w:ilvl="3">
      <w:start w:val="1"/>
      <w:numFmt w:val="decimalFullWidth"/>
      <w:suff w:val="nothing"/>
      <w:lvlText w:val="%4、"/>
      <w:lvlJc w:val="left"/>
      <w:pPr>
        <w:ind w:left="1010" w:hanging="698"/>
      </w:pPr>
      <w:rPr>
        <w:rFonts w:ascii="標楷體" w:eastAsia="標楷體" w:hint="eastAsia"/>
        <w:b w:val="0"/>
        <w:i w:val="0"/>
        <w:color w:val="auto"/>
        <w:spacing w:val="0"/>
        <w:w w:val="100"/>
        <w:position w:val="0"/>
        <w:sz w:val="32"/>
      </w:rPr>
    </w:lvl>
    <w:lvl w:ilvl="4">
      <w:start w:val="1"/>
      <w:numFmt w:val="decimalFullWidth"/>
      <w:suff w:val="nothing"/>
      <w:lvlText w:val="(%5)"/>
      <w:lvlJc w:val="left"/>
      <w:pPr>
        <w:ind w:left="2827" w:hanging="700"/>
      </w:pPr>
      <w:rPr>
        <w:rFonts w:ascii="標楷體" w:eastAsia="標楷體" w:hint="eastAsia"/>
        <w:b w:val="0"/>
        <w:i w:val="0"/>
        <w:snapToGrid/>
        <w:spacing w:val="0"/>
        <w:w w:val="100"/>
        <w:position w:val="0"/>
        <w:sz w:val="32"/>
      </w:rPr>
    </w:lvl>
    <w:lvl w:ilvl="5">
      <w:start w:val="1"/>
      <w:numFmt w:val="decimalFullWidth"/>
      <w:suff w:val="nothing"/>
      <w:lvlText w:val="&lt;%6&gt;"/>
      <w:lvlJc w:val="left"/>
      <w:pPr>
        <w:ind w:left="2559"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9">
    <w:nsid w:val="2F6A38BB"/>
    <w:multiLevelType w:val="hybridMultilevel"/>
    <w:tmpl w:val="36223E6E"/>
    <w:lvl w:ilvl="0" w:tplc="0409000F">
      <w:start w:val="1"/>
      <w:numFmt w:val="decimal"/>
      <w:lvlText w:val="%1."/>
      <w:lvlJc w:val="left"/>
      <w:pPr>
        <w:ind w:left="1188" w:hanging="480"/>
      </w:p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0">
    <w:nsid w:val="2FF631CC"/>
    <w:multiLevelType w:val="hybridMultilevel"/>
    <w:tmpl w:val="BF547BF6"/>
    <w:lvl w:ilvl="0" w:tplc="A63CE32C">
      <w:start w:val="1"/>
      <w:numFmt w:val="decimal"/>
      <w:lvlText w:val="%1."/>
      <w:lvlJc w:val="left"/>
      <w:pPr>
        <w:ind w:left="248" w:hanging="360"/>
      </w:pPr>
      <w:rPr>
        <w:rFonts w:hAnsi="Arial" w:hint="default"/>
      </w:rPr>
    </w:lvl>
    <w:lvl w:ilvl="1" w:tplc="04090019" w:tentative="1">
      <w:start w:val="1"/>
      <w:numFmt w:val="ideographTraditional"/>
      <w:lvlText w:val="%2、"/>
      <w:lvlJc w:val="left"/>
      <w:pPr>
        <w:ind w:left="848" w:hanging="480"/>
      </w:pPr>
    </w:lvl>
    <w:lvl w:ilvl="2" w:tplc="0409001B" w:tentative="1">
      <w:start w:val="1"/>
      <w:numFmt w:val="lowerRoman"/>
      <w:lvlText w:val="%3."/>
      <w:lvlJc w:val="right"/>
      <w:pPr>
        <w:ind w:left="1328" w:hanging="480"/>
      </w:pPr>
    </w:lvl>
    <w:lvl w:ilvl="3" w:tplc="0409000F" w:tentative="1">
      <w:start w:val="1"/>
      <w:numFmt w:val="decimal"/>
      <w:lvlText w:val="%4."/>
      <w:lvlJc w:val="left"/>
      <w:pPr>
        <w:ind w:left="1808" w:hanging="480"/>
      </w:pPr>
    </w:lvl>
    <w:lvl w:ilvl="4" w:tplc="04090019" w:tentative="1">
      <w:start w:val="1"/>
      <w:numFmt w:val="ideographTraditional"/>
      <w:lvlText w:val="%5、"/>
      <w:lvlJc w:val="left"/>
      <w:pPr>
        <w:ind w:left="2288" w:hanging="480"/>
      </w:pPr>
    </w:lvl>
    <w:lvl w:ilvl="5" w:tplc="0409001B" w:tentative="1">
      <w:start w:val="1"/>
      <w:numFmt w:val="lowerRoman"/>
      <w:lvlText w:val="%6."/>
      <w:lvlJc w:val="right"/>
      <w:pPr>
        <w:ind w:left="2768" w:hanging="480"/>
      </w:pPr>
    </w:lvl>
    <w:lvl w:ilvl="6" w:tplc="0409000F" w:tentative="1">
      <w:start w:val="1"/>
      <w:numFmt w:val="decimal"/>
      <w:lvlText w:val="%7."/>
      <w:lvlJc w:val="left"/>
      <w:pPr>
        <w:ind w:left="3248" w:hanging="480"/>
      </w:pPr>
    </w:lvl>
    <w:lvl w:ilvl="7" w:tplc="04090019" w:tentative="1">
      <w:start w:val="1"/>
      <w:numFmt w:val="ideographTraditional"/>
      <w:lvlText w:val="%8、"/>
      <w:lvlJc w:val="left"/>
      <w:pPr>
        <w:ind w:left="3728" w:hanging="480"/>
      </w:pPr>
    </w:lvl>
    <w:lvl w:ilvl="8" w:tplc="0409001B" w:tentative="1">
      <w:start w:val="1"/>
      <w:numFmt w:val="lowerRoman"/>
      <w:lvlText w:val="%9."/>
      <w:lvlJc w:val="right"/>
      <w:pPr>
        <w:ind w:left="4208" w:hanging="480"/>
      </w:pPr>
    </w:lvl>
  </w:abstractNum>
  <w:abstractNum w:abstractNumId="11">
    <w:nsid w:val="33EE670F"/>
    <w:multiLevelType w:val="hybridMultilevel"/>
    <w:tmpl w:val="DF5A30A0"/>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nsid w:val="3BA617C3"/>
    <w:multiLevelType w:val="hybridMultilevel"/>
    <w:tmpl w:val="95B25ADE"/>
    <w:lvl w:ilvl="0" w:tplc="0ACC77FC">
      <w:start w:val="1"/>
      <w:numFmt w:val="decimal"/>
      <w:lvlText w:val="%1."/>
      <w:lvlJc w:val="left"/>
      <w:pPr>
        <w:ind w:left="251"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0507FA5"/>
    <w:multiLevelType w:val="hybridMultilevel"/>
    <w:tmpl w:val="0A163C14"/>
    <w:lvl w:ilvl="0" w:tplc="1198340E">
      <w:start w:val="1"/>
      <w:numFmt w:val="decimal"/>
      <w:lvlText w:val="%1."/>
      <w:lvlJc w:val="left"/>
      <w:pPr>
        <w:ind w:left="245"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42FA3817"/>
    <w:multiLevelType w:val="hybridMultilevel"/>
    <w:tmpl w:val="2104EBBE"/>
    <w:lvl w:ilvl="0" w:tplc="0CF0AC4C">
      <w:start w:val="1"/>
      <w:numFmt w:val="decimal"/>
      <w:lvlText w:val="%1."/>
      <w:lvlJc w:val="left"/>
      <w:pPr>
        <w:ind w:left="243" w:hanging="34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433C25DD"/>
    <w:multiLevelType w:val="hybridMultilevel"/>
    <w:tmpl w:val="925A2920"/>
    <w:lvl w:ilvl="0" w:tplc="4BDA4996">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nsid w:val="43FD033F"/>
    <w:multiLevelType w:val="hybridMultilevel"/>
    <w:tmpl w:val="C9122D8E"/>
    <w:lvl w:ilvl="0" w:tplc="77C2AA0A">
      <w:start w:val="1"/>
      <w:numFmt w:val="decimal"/>
      <w:lvlText w:val="%1."/>
      <w:lvlJc w:val="left"/>
      <w:pPr>
        <w:ind w:left="247" w:hanging="360"/>
      </w:pPr>
      <w:rPr>
        <w:rFonts w:hint="default"/>
      </w:rPr>
    </w:lvl>
    <w:lvl w:ilvl="1" w:tplc="04090019" w:tentative="1">
      <w:start w:val="1"/>
      <w:numFmt w:val="ideographTraditional"/>
      <w:lvlText w:val="%2、"/>
      <w:lvlJc w:val="left"/>
      <w:pPr>
        <w:ind w:left="847" w:hanging="480"/>
      </w:pPr>
    </w:lvl>
    <w:lvl w:ilvl="2" w:tplc="0409001B" w:tentative="1">
      <w:start w:val="1"/>
      <w:numFmt w:val="lowerRoman"/>
      <w:lvlText w:val="%3."/>
      <w:lvlJc w:val="right"/>
      <w:pPr>
        <w:ind w:left="1327" w:hanging="480"/>
      </w:pPr>
    </w:lvl>
    <w:lvl w:ilvl="3" w:tplc="0409000F" w:tentative="1">
      <w:start w:val="1"/>
      <w:numFmt w:val="decimal"/>
      <w:lvlText w:val="%4."/>
      <w:lvlJc w:val="left"/>
      <w:pPr>
        <w:ind w:left="1807" w:hanging="480"/>
      </w:pPr>
    </w:lvl>
    <w:lvl w:ilvl="4" w:tplc="04090019" w:tentative="1">
      <w:start w:val="1"/>
      <w:numFmt w:val="ideographTraditional"/>
      <w:lvlText w:val="%5、"/>
      <w:lvlJc w:val="left"/>
      <w:pPr>
        <w:ind w:left="2287" w:hanging="480"/>
      </w:pPr>
    </w:lvl>
    <w:lvl w:ilvl="5" w:tplc="0409001B" w:tentative="1">
      <w:start w:val="1"/>
      <w:numFmt w:val="lowerRoman"/>
      <w:lvlText w:val="%6."/>
      <w:lvlJc w:val="right"/>
      <w:pPr>
        <w:ind w:left="2767" w:hanging="480"/>
      </w:pPr>
    </w:lvl>
    <w:lvl w:ilvl="6" w:tplc="0409000F" w:tentative="1">
      <w:start w:val="1"/>
      <w:numFmt w:val="decimal"/>
      <w:lvlText w:val="%7."/>
      <w:lvlJc w:val="left"/>
      <w:pPr>
        <w:ind w:left="3247" w:hanging="480"/>
      </w:pPr>
    </w:lvl>
    <w:lvl w:ilvl="7" w:tplc="04090019" w:tentative="1">
      <w:start w:val="1"/>
      <w:numFmt w:val="ideographTraditional"/>
      <w:lvlText w:val="%8、"/>
      <w:lvlJc w:val="left"/>
      <w:pPr>
        <w:ind w:left="3727" w:hanging="480"/>
      </w:pPr>
    </w:lvl>
    <w:lvl w:ilvl="8" w:tplc="0409001B" w:tentative="1">
      <w:start w:val="1"/>
      <w:numFmt w:val="lowerRoman"/>
      <w:lvlText w:val="%9."/>
      <w:lvlJc w:val="right"/>
      <w:pPr>
        <w:ind w:left="4207" w:hanging="480"/>
      </w:pPr>
    </w:lvl>
  </w:abstractNum>
  <w:abstractNum w:abstractNumId="17">
    <w:nsid w:val="44151CA6"/>
    <w:multiLevelType w:val="hybridMultilevel"/>
    <w:tmpl w:val="12E66282"/>
    <w:lvl w:ilvl="0" w:tplc="2AC40E14">
      <w:start w:val="1"/>
      <w:numFmt w:val="decimal"/>
      <w:lvlText w:val="%1."/>
      <w:lvlJc w:val="left"/>
      <w:pPr>
        <w:ind w:left="245" w:hanging="360"/>
      </w:pPr>
      <w:rPr>
        <w:rFonts w:hint="default"/>
      </w:rPr>
    </w:lvl>
    <w:lvl w:ilvl="1" w:tplc="9EB2AAD0">
      <w:start w:val="1"/>
      <w:numFmt w:val="decimal"/>
      <w:lvlText w:val="（%2）"/>
      <w:lvlJc w:val="left"/>
      <w:pPr>
        <w:ind w:left="1560" w:hanging="10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52AB23A9"/>
    <w:multiLevelType w:val="hybridMultilevel"/>
    <w:tmpl w:val="DBF28058"/>
    <w:lvl w:ilvl="0" w:tplc="EEFE4D24">
      <w:start w:val="1"/>
      <w:numFmt w:val="decimal"/>
      <w:lvlText w:val="%1."/>
      <w:lvlJc w:val="left"/>
      <w:pPr>
        <w:ind w:left="248" w:hanging="360"/>
      </w:pPr>
      <w:rPr>
        <w:rFonts w:hint="default"/>
      </w:rPr>
    </w:lvl>
    <w:lvl w:ilvl="1" w:tplc="04090019" w:tentative="1">
      <w:start w:val="1"/>
      <w:numFmt w:val="ideographTraditional"/>
      <w:lvlText w:val="%2、"/>
      <w:lvlJc w:val="left"/>
      <w:pPr>
        <w:ind w:left="848" w:hanging="480"/>
      </w:pPr>
    </w:lvl>
    <w:lvl w:ilvl="2" w:tplc="0409001B" w:tentative="1">
      <w:start w:val="1"/>
      <w:numFmt w:val="lowerRoman"/>
      <w:lvlText w:val="%3."/>
      <w:lvlJc w:val="right"/>
      <w:pPr>
        <w:ind w:left="1328" w:hanging="480"/>
      </w:pPr>
    </w:lvl>
    <w:lvl w:ilvl="3" w:tplc="0409000F" w:tentative="1">
      <w:start w:val="1"/>
      <w:numFmt w:val="decimal"/>
      <w:lvlText w:val="%4."/>
      <w:lvlJc w:val="left"/>
      <w:pPr>
        <w:ind w:left="1808" w:hanging="480"/>
      </w:pPr>
    </w:lvl>
    <w:lvl w:ilvl="4" w:tplc="04090019" w:tentative="1">
      <w:start w:val="1"/>
      <w:numFmt w:val="ideographTraditional"/>
      <w:lvlText w:val="%5、"/>
      <w:lvlJc w:val="left"/>
      <w:pPr>
        <w:ind w:left="2288" w:hanging="480"/>
      </w:pPr>
    </w:lvl>
    <w:lvl w:ilvl="5" w:tplc="0409001B" w:tentative="1">
      <w:start w:val="1"/>
      <w:numFmt w:val="lowerRoman"/>
      <w:lvlText w:val="%6."/>
      <w:lvlJc w:val="right"/>
      <w:pPr>
        <w:ind w:left="2768" w:hanging="480"/>
      </w:pPr>
    </w:lvl>
    <w:lvl w:ilvl="6" w:tplc="0409000F" w:tentative="1">
      <w:start w:val="1"/>
      <w:numFmt w:val="decimal"/>
      <w:lvlText w:val="%7."/>
      <w:lvlJc w:val="left"/>
      <w:pPr>
        <w:ind w:left="3248" w:hanging="480"/>
      </w:pPr>
    </w:lvl>
    <w:lvl w:ilvl="7" w:tplc="04090019" w:tentative="1">
      <w:start w:val="1"/>
      <w:numFmt w:val="ideographTraditional"/>
      <w:lvlText w:val="%8、"/>
      <w:lvlJc w:val="left"/>
      <w:pPr>
        <w:ind w:left="3728" w:hanging="480"/>
      </w:pPr>
    </w:lvl>
    <w:lvl w:ilvl="8" w:tplc="0409001B" w:tentative="1">
      <w:start w:val="1"/>
      <w:numFmt w:val="lowerRoman"/>
      <w:lvlText w:val="%9."/>
      <w:lvlJc w:val="right"/>
      <w:pPr>
        <w:ind w:left="4208" w:hanging="480"/>
      </w:pPr>
    </w:lvl>
  </w:abstractNum>
  <w:abstractNum w:abstractNumId="19">
    <w:nsid w:val="52E02CDC"/>
    <w:multiLevelType w:val="hybridMultilevel"/>
    <w:tmpl w:val="688EA410"/>
    <w:lvl w:ilvl="0" w:tplc="172C4C74">
      <w:start w:val="1"/>
      <w:numFmt w:val="decimal"/>
      <w:lvlText w:val="%1."/>
      <w:lvlJc w:val="left"/>
      <w:pPr>
        <w:ind w:left="243" w:hanging="345"/>
      </w:pPr>
      <w:rPr>
        <w:rFonts w:hint="default"/>
      </w:rPr>
    </w:lvl>
    <w:lvl w:ilvl="1" w:tplc="04090019" w:tentative="1">
      <w:start w:val="1"/>
      <w:numFmt w:val="ideographTraditional"/>
      <w:lvlText w:val="%2、"/>
      <w:lvlJc w:val="left"/>
      <w:pPr>
        <w:ind w:left="858" w:hanging="480"/>
      </w:pPr>
    </w:lvl>
    <w:lvl w:ilvl="2" w:tplc="0409001B" w:tentative="1">
      <w:start w:val="1"/>
      <w:numFmt w:val="lowerRoman"/>
      <w:lvlText w:val="%3."/>
      <w:lvlJc w:val="right"/>
      <w:pPr>
        <w:ind w:left="1338" w:hanging="480"/>
      </w:pPr>
    </w:lvl>
    <w:lvl w:ilvl="3" w:tplc="0409000F" w:tentative="1">
      <w:start w:val="1"/>
      <w:numFmt w:val="decimal"/>
      <w:lvlText w:val="%4."/>
      <w:lvlJc w:val="left"/>
      <w:pPr>
        <w:ind w:left="1818" w:hanging="480"/>
      </w:pPr>
    </w:lvl>
    <w:lvl w:ilvl="4" w:tplc="04090019" w:tentative="1">
      <w:start w:val="1"/>
      <w:numFmt w:val="ideographTraditional"/>
      <w:lvlText w:val="%5、"/>
      <w:lvlJc w:val="left"/>
      <w:pPr>
        <w:ind w:left="2298" w:hanging="480"/>
      </w:pPr>
    </w:lvl>
    <w:lvl w:ilvl="5" w:tplc="0409001B" w:tentative="1">
      <w:start w:val="1"/>
      <w:numFmt w:val="lowerRoman"/>
      <w:lvlText w:val="%6."/>
      <w:lvlJc w:val="right"/>
      <w:pPr>
        <w:ind w:left="2778" w:hanging="480"/>
      </w:pPr>
    </w:lvl>
    <w:lvl w:ilvl="6" w:tplc="0409000F" w:tentative="1">
      <w:start w:val="1"/>
      <w:numFmt w:val="decimal"/>
      <w:lvlText w:val="%7."/>
      <w:lvlJc w:val="left"/>
      <w:pPr>
        <w:ind w:left="3258" w:hanging="480"/>
      </w:pPr>
    </w:lvl>
    <w:lvl w:ilvl="7" w:tplc="04090019" w:tentative="1">
      <w:start w:val="1"/>
      <w:numFmt w:val="ideographTraditional"/>
      <w:lvlText w:val="%8、"/>
      <w:lvlJc w:val="left"/>
      <w:pPr>
        <w:ind w:left="3738" w:hanging="480"/>
      </w:pPr>
    </w:lvl>
    <w:lvl w:ilvl="8" w:tplc="0409001B" w:tentative="1">
      <w:start w:val="1"/>
      <w:numFmt w:val="lowerRoman"/>
      <w:lvlText w:val="%9."/>
      <w:lvlJc w:val="right"/>
      <w:pPr>
        <w:ind w:left="4218" w:hanging="480"/>
      </w:pPr>
    </w:lvl>
  </w:abstractNum>
  <w:abstractNum w:abstractNumId="20">
    <w:nsid w:val="55475649"/>
    <w:multiLevelType w:val="hybridMultilevel"/>
    <w:tmpl w:val="53706130"/>
    <w:lvl w:ilvl="0" w:tplc="04090015">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55A60FE1"/>
    <w:multiLevelType w:val="hybridMultilevel"/>
    <w:tmpl w:val="DCC05D80"/>
    <w:lvl w:ilvl="0" w:tplc="0409000F">
      <w:start w:val="1"/>
      <w:numFmt w:val="decimal"/>
      <w:lvlText w:val="%1."/>
      <w:lvlJc w:val="left"/>
      <w:pPr>
        <w:ind w:left="1534" w:hanging="480"/>
      </w:pPr>
    </w:lvl>
    <w:lvl w:ilvl="1" w:tplc="04090019" w:tentative="1">
      <w:start w:val="1"/>
      <w:numFmt w:val="ideographTraditional"/>
      <w:lvlText w:val="%2、"/>
      <w:lvlJc w:val="left"/>
      <w:pPr>
        <w:ind w:left="2014" w:hanging="480"/>
      </w:pPr>
    </w:lvl>
    <w:lvl w:ilvl="2" w:tplc="0409001B" w:tentative="1">
      <w:start w:val="1"/>
      <w:numFmt w:val="lowerRoman"/>
      <w:lvlText w:val="%3."/>
      <w:lvlJc w:val="right"/>
      <w:pPr>
        <w:ind w:left="2494" w:hanging="480"/>
      </w:pPr>
    </w:lvl>
    <w:lvl w:ilvl="3" w:tplc="0409000F" w:tentative="1">
      <w:start w:val="1"/>
      <w:numFmt w:val="decimal"/>
      <w:lvlText w:val="%4."/>
      <w:lvlJc w:val="left"/>
      <w:pPr>
        <w:ind w:left="2974" w:hanging="480"/>
      </w:pPr>
    </w:lvl>
    <w:lvl w:ilvl="4" w:tplc="04090019">
      <w:start w:val="1"/>
      <w:numFmt w:val="ideographTraditional"/>
      <w:lvlText w:val="%5、"/>
      <w:lvlJc w:val="left"/>
      <w:pPr>
        <w:ind w:left="3454" w:hanging="480"/>
      </w:pPr>
    </w:lvl>
    <w:lvl w:ilvl="5" w:tplc="0409001B" w:tentative="1">
      <w:start w:val="1"/>
      <w:numFmt w:val="lowerRoman"/>
      <w:lvlText w:val="%6."/>
      <w:lvlJc w:val="right"/>
      <w:pPr>
        <w:ind w:left="3934" w:hanging="480"/>
      </w:pPr>
    </w:lvl>
    <w:lvl w:ilvl="6" w:tplc="0409000F" w:tentative="1">
      <w:start w:val="1"/>
      <w:numFmt w:val="decimal"/>
      <w:lvlText w:val="%7."/>
      <w:lvlJc w:val="left"/>
      <w:pPr>
        <w:ind w:left="4414" w:hanging="480"/>
      </w:pPr>
    </w:lvl>
    <w:lvl w:ilvl="7" w:tplc="04090019" w:tentative="1">
      <w:start w:val="1"/>
      <w:numFmt w:val="ideographTraditional"/>
      <w:lvlText w:val="%8、"/>
      <w:lvlJc w:val="left"/>
      <w:pPr>
        <w:ind w:left="4894" w:hanging="480"/>
      </w:pPr>
    </w:lvl>
    <w:lvl w:ilvl="8" w:tplc="0409001B" w:tentative="1">
      <w:start w:val="1"/>
      <w:numFmt w:val="lowerRoman"/>
      <w:lvlText w:val="%9."/>
      <w:lvlJc w:val="right"/>
      <w:pPr>
        <w:ind w:left="5374" w:hanging="480"/>
      </w:pPr>
    </w:lvl>
  </w:abstractNum>
  <w:abstractNum w:abstractNumId="22">
    <w:nsid w:val="5B603B83"/>
    <w:multiLevelType w:val="hybridMultilevel"/>
    <w:tmpl w:val="C3BCB272"/>
    <w:lvl w:ilvl="0" w:tplc="0409000F">
      <w:start w:val="1"/>
      <w:numFmt w:val="decimal"/>
      <w:lvlText w:val="%1."/>
      <w:lvlJc w:val="left"/>
      <w:pPr>
        <w:ind w:left="1188" w:hanging="480"/>
      </w:p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3">
    <w:nsid w:val="5BAE6C00"/>
    <w:multiLevelType w:val="hybridMultilevel"/>
    <w:tmpl w:val="DEA611AA"/>
    <w:lvl w:ilvl="0" w:tplc="03A2BB2A">
      <w:start w:val="1"/>
      <w:numFmt w:val="decimal"/>
      <w:lvlText w:val="%1."/>
      <w:lvlJc w:val="left"/>
      <w:pPr>
        <w:ind w:left="244" w:hanging="360"/>
      </w:pPr>
      <w:rPr>
        <w:rFonts w:hint="default"/>
      </w:rPr>
    </w:lvl>
    <w:lvl w:ilvl="1" w:tplc="04090019" w:tentative="1">
      <w:start w:val="1"/>
      <w:numFmt w:val="ideographTraditional"/>
      <w:lvlText w:val="%2、"/>
      <w:lvlJc w:val="left"/>
      <w:pPr>
        <w:ind w:left="844" w:hanging="480"/>
      </w:pPr>
    </w:lvl>
    <w:lvl w:ilvl="2" w:tplc="0409001B" w:tentative="1">
      <w:start w:val="1"/>
      <w:numFmt w:val="lowerRoman"/>
      <w:lvlText w:val="%3."/>
      <w:lvlJc w:val="right"/>
      <w:pPr>
        <w:ind w:left="1324" w:hanging="480"/>
      </w:pPr>
    </w:lvl>
    <w:lvl w:ilvl="3" w:tplc="0409000F" w:tentative="1">
      <w:start w:val="1"/>
      <w:numFmt w:val="decimal"/>
      <w:lvlText w:val="%4."/>
      <w:lvlJc w:val="left"/>
      <w:pPr>
        <w:ind w:left="1804" w:hanging="480"/>
      </w:pPr>
    </w:lvl>
    <w:lvl w:ilvl="4" w:tplc="04090019" w:tentative="1">
      <w:start w:val="1"/>
      <w:numFmt w:val="ideographTraditional"/>
      <w:lvlText w:val="%5、"/>
      <w:lvlJc w:val="left"/>
      <w:pPr>
        <w:ind w:left="2284" w:hanging="480"/>
      </w:pPr>
    </w:lvl>
    <w:lvl w:ilvl="5" w:tplc="0409001B" w:tentative="1">
      <w:start w:val="1"/>
      <w:numFmt w:val="lowerRoman"/>
      <w:lvlText w:val="%6."/>
      <w:lvlJc w:val="right"/>
      <w:pPr>
        <w:ind w:left="2764" w:hanging="480"/>
      </w:pPr>
    </w:lvl>
    <w:lvl w:ilvl="6" w:tplc="0409000F" w:tentative="1">
      <w:start w:val="1"/>
      <w:numFmt w:val="decimal"/>
      <w:lvlText w:val="%7."/>
      <w:lvlJc w:val="left"/>
      <w:pPr>
        <w:ind w:left="3244" w:hanging="480"/>
      </w:pPr>
    </w:lvl>
    <w:lvl w:ilvl="7" w:tplc="04090019" w:tentative="1">
      <w:start w:val="1"/>
      <w:numFmt w:val="ideographTraditional"/>
      <w:lvlText w:val="%8、"/>
      <w:lvlJc w:val="left"/>
      <w:pPr>
        <w:ind w:left="3724" w:hanging="480"/>
      </w:pPr>
    </w:lvl>
    <w:lvl w:ilvl="8" w:tplc="0409001B" w:tentative="1">
      <w:start w:val="1"/>
      <w:numFmt w:val="lowerRoman"/>
      <w:lvlText w:val="%9."/>
      <w:lvlJc w:val="right"/>
      <w:pPr>
        <w:ind w:left="4204" w:hanging="480"/>
      </w:pPr>
    </w:lvl>
  </w:abstractNum>
  <w:abstractNum w:abstractNumId="24">
    <w:nsid w:val="5DF07E4F"/>
    <w:multiLevelType w:val="hybridMultilevel"/>
    <w:tmpl w:val="34507088"/>
    <w:lvl w:ilvl="0" w:tplc="1E363D26">
      <w:start w:val="1"/>
      <w:numFmt w:val="decimal"/>
      <w:lvlText w:val="%1."/>
      <w:lvlJc w:val="left"/>
      <w:pPr>
        <w:ind w:left="281" w:hanging="390"/>
      </w:pPr>
      <w:rPr>
        <w:rFonts w:ascii="Times New Roman" w:hAnsi="Times New Roman" w:cs="Times New Roman" w:hint="default"/>
        <w:b w:val="0"/>
        <w:color w:val="auto"/>
      </w:rPr>
    </w:lvl>
    <w:lvl w:ilvl="1" w:tplc="04090019" w:tentative="1">
      <w:start w:val="1"/>
      <w:numFmt w:val="ideographTraditional"/>
      <w:lvlText w:val="%2、"/>
      <w:lvlJc w:val="left"/>
      <w:pPr>
        <w:ind w:left="851" w:hanging="480"/>
      </w:pPr>
    </w:lvl>
    <w:lvl w:ilvl="2" w:tplc="0409001B" w:tentative="1">
      <w:start w:val="1"/>
      <w:numFmt w:val="lowerRoman"/>
      <w:lvlText w:val="%3."/>
      <w:lvlJc w:val="right"/>
      <w:pPr>
        <w:ind w:left="1331" w:hanging="480"/>
      </w:pPr>
    </w:lvl>
    <w:lvl w:ilvl="3" w:tplc="0409000F" w:tentative="1">
      <w:start w:val="1"/>
      <w:numFmt w:val="decimal"/>
      <w:lvlText w:val="%4."/>
      <w:lvlJc w:val="left"/>
      <w:pPr>
        <w:ind w:left="1811" w:hanging="480"/>
      </w:pPr>
    </w:lvl>
    <w:lvl w:ilvl="4" w:tplc="04090019" w:tentative="1">
      <w:start w:val="1"/>
      <w:numFmt w:val="ideographTraditional"/>
      <w:lvlText w:val="%5、"/>
      <w:lvlJc w:val="left"/>
      <w:pPr>
        <w:ind w:left="2291" w:hanging="480"/>
      </w:pPr>
    </w:lvl>
    <w:lvl w:ilvl="5" w:tplc="0409001B" w:tentative="1">
      <w:start w:val="1"/>
      <w:numFmt w:val="lowerRoman"/>
      <w:lvlText w:val="%6."/>
      <w:lvlJc w:val="right"/>
      <w:pPr>
        <w:ind w:left="2771" w:hanging="480"/>
      </w:pPr>
    </w:lvl>
    <w:lvl w:ilvl="6" w:tplc="0409000F" w:tentative="1">
      <w:start w:val="1"/>
      <w:numFmt w:val="decimal"/>
      <w:lvlText w:val="%7."/>
      <w:lvlJc w:val="left"/>
      <w:pPr>
        <w:ind w:left="3251" w:hanging="480"/>
      </w:pPr>
    </w:lvl>
    <w:lvl w:ilvl="7" w:tplc="04090019" w:tentative="1">
      <w:start w:val="1"/>
      <w:numFmt w:val="ideographTraditional"/>
      <w:lvlText w:val="%8、"/>
      <w:lvlJc w:val="left"/>
      <w:pPr>
        <w:ind w:left="3731" w:hanging="480"/>
      </w:pPr>
    </w:lvl>
    <w:lvl w:ilvl="8" w:tplc="0409001B" w:tentative="1">
      <w:start w:val="1"/>
      <w:numFmt w:val="lowerRoman"/>
      <w:lvlText w:val="%9."/>
      <w:lvlJc w:val="right"/>
      <w:pPr>
        <w:ind w:left="4211" w:hanging="480"/>
      </w:pPr>
    </w:lvl>
  </w:abstractNum>
  <w:abstractNum w:abstractNumId="25">
    <w:nsid w:val="610C544E"/>
    <w:multiLevelType w:val="multilevel"/>
    <w:tmpl w:val="CF12A0F0"/>
    <w:lvl w:ilvl="0">
      <w:start w:val="1"/>
      <w:numFmt w:val="ideographLegalTraditional"/>
      <w:pStyle w:val="10"/>
      <w:suff w:val="nothing"/>
      <w:lvlText w:val="%1、"/>
      <w:lvlJc w:val="left"/>
      <w:pPr>
        <w:ind w:left="1409" w:hanging="699"/>
      </w:pPr>
      <w:rPr>
        <w:rFonts w:ascii="標楷體" w:eastAsia="標楷體" w:hint="eastAsia"/>
        <w:b w:val="0"/>
        <w:i w:val="0"/>
        <w:snapToGrid/>
        <w:color w:val="auto"/>
        <w:spacing w:val="0"/>
        <w:w w:val="100"/>
        <w:position w:val="0"/>
        <w:sz w:val="32"/>
      </w:rPr>
    </w:lvl>
    <w:lvl w:ilvl="1">
      <w:start w:val="1"/>
      <w:numFmt w:val="taiwaneseCountingThousand"/>
      <w:pStyle w:val="20"/>
      <w:suff w:val="nothing"/>
      <w:lvlText w:val="%2、"/>
      <w:lvlJc w:val="left"/>
      <w:pPr>
        <w:ind w:left="1690"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2115" w:hanging="697"/>
      </w:pPr>
      <w:rPr>
        <w:rFonts w:ascii="標楷體" w:eastAsia="標楷體" w:hint="eastAsia"/>
        <w:b w:val="0"/>
        <w:i w:val="0"/>
        <w:color w:val="auto"/>
        <w:spacing w:val="0"/>
        <w:w w:val="100"/>
        <w:position w:val="0"/>
        <w:sz w:val="32"/>
      </w:rPr>
    </w:lvl>
    <w:lvl w:ilvl="3">
      <w:start w:val="1"/>
      <w:numFmt w:val="decimalFullWidth"/>
      <w:pStyle w:val="4"/>
      <w:suff w:val="nothing"/>
      <w:lvlText w:val="%4、"/>
      <w:lvlJc w:val="left"/>
      <w:pPr>
        <w:ind w:left="2399"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3111"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133"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3187" w:hanging="352"/>
      </w:pPr>
      <w:rPr>
        <w:rFonts w:ascii="標楷體" w:eastAsia="標楷體" w:hint="eastAsia"/>
        <w:b w:val="0"/>
        <w:i w:val="0"/>
        <w:snapToGrid/>
        <w:spacing w:val="0"/>
        <w:w w:val="100"/>
        <w:position w:val="0"/>
        <w:sz w:val="32"/>
        <w:lang w:val="en-US"/>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6">
    <w:nsid w:val="68932F76"/>
    <w:multiLevelType w:val="hybridMultilevel"/>
    <w:tmpl w:val="D2AA736E"/>
    <w:lvl w:ilvl="0" w:tplc="FE6AEB62">
      <w:start w:val="1"/>
      <w:numFmt w:val="decimal"/>
      <w:lvlText w:val="%1."/>
      <w:lvlJc w:val="left"/>
      <w:pPr>
        <w:ind w:left="251" w:hanging="360"/>
      </w:pPr>
      <w:rPr>
        <w:rFonts w:hint="default"/>
      </w:rPr>
    </w:lvl>
    <w:lvl w:ilvl="1" w:tplc="04090019" w:tentative="1">
      <w:start w:val="1"/>
      <w:numFmt w:val="ideographTraditional"/>
      <w:lvlText w:val="%2、"/>
      <w:lvlJc w:val="left"/>
      <w:pPr>
        <w:ind w:left="851" w:hanging="480"/>
      </w:pPr>
    </w:lvl>
    <w:lvl w:ilvl="2" w:tplc="0409001B" w:tentative="1">
      <w:start w:val="1"/>
      <w:numFmt w:val="lowerRoman"/>
      <w:lvlText w:val="%3."/>
      <w:lvlJc w:val="right"/>
      <w:pPr>
        <w:ind w:left="1331" w:hanging="480"/>
      </w:pPr>
    </w:lvl>
    <w:lvl w:ilvl="3" w:tplc="0409000F" w:tentative="1">
      <w:start w:val="1"/>
      <w:numFmt w:val="decimal"/>
      <w:lvlText w:val="%4."/>
      <w:lvlJc w:val="left"/>
      <w:pPr>
        <w:ind w:left="1811" w:hanging="480"/>
      </w:pPr>
    </w:lvl>
    <w:lvl w:ilvl="4" w:tplc="04090019" w:tentative="1">
      <w:start w:val="1"/>
      <w:numFmt w:val="ideographTraditional"/>
      <w:lvlText w:val="%5、"/>
      <w:lvlJc w:val="left"/>
      <w:pPr>
        <w:ind w:left="2291" w:hanging="480"/>
      </w:pPr>
    </w:lvl>
    <w:lvl w:ilvl="5" w:tplc="0409001B" w:tentative="1">
      <w:start w:val="1"/>
      <w:numFmt w:val="lowerRoman"/>
      <w:lvlText w:val="%6."/>
      <w:lvlJc w:val="right"/>
      <w:pPr>
        <w:ind w:left="2771" w:hanging="480"/>
      </w:pPr>
    </w:lvl>
    <w:lvl w:ilvl="6" w:tplc="0409000F" w:tentative="1">
      <w:start w:val="1"/>
      <w:numFmt w:val="decimal"/>
      <w:lvlText w:val="%7."/>
      <w:lvlJc w:val="left"/>
      <w:pPr>
        <w:ind w:left="3251" w:hanging="480"/>
      </w:pPr>
    </w:lvl>
    <w:lvl w:ilvl="7" w:tplc="04090019" w:tentative="1">
      <w:start w:val="1"/>
      <w:numFmt w:val="ideographTraditional"/>
      <w:lvlText w:val="%8、"/>
      <w:lvlJc w:val="left"/>
      <w:pPr>
        <w:ind w:left="3731" w:hanging="480"/>
      </w:pPr>
    </w:lvl>
    <w:lvl w:ilvl="8" w:tplc="0409001B" w:tentative="1">
      <w:start w:val="1"/>
      <w:numFmt w:val="lowerRoman"/>
      <w:lvlText w:val="%9."/>
      <w:lvlJc w:val="right"/>
      <w:pPr>
        <w:ind w:left="4211" w:hanging="480"/>
      </w:pPr>
    </w:lvl>
  </w:abstractNum>
  <w:abstractNum w:abstractNumId="27">
    <w:nsid w:val="6EE3456C"/>
    <w:multiLevelType w:val="hybridMultilevel"/>
    <w:tmpl w:val="90C45AEE"/>
    <w:lvl w:ilvl="0" w:tplc="2C54DFC2">
      <w:start w:val="1"/>
      <w:numFmt w:val="decimal"/>
      <w:lvlText w:val="%1."/>
      <w:lvlJc w:val="left"/>
      <w:pPr>
        <w:ind w:left="251" w:hanging="360"/>
      </w:pPr>
      <w:rPr>
        <w:rFonts w:hint="default"/>
      </w:rPr>
    </w:lvl>
    <w:lvl w:ilvl="1" w:tplc="04090019" w:tentative="1">
      <w:start w:val="1"/>
      <w:numFmt w:val="ideographTraditional"/>
      <w:lvlText w:val="%2、"/>
      <w:lvlJc w:val="left"/>
      <w:pPr>
        <w:ind w:left="851" w:hanging="480"/>
      </w:pPr>
    </w:lvl>
    <w:lvl w:ilvl="2" w:tplc="0409001B" w:tentative="1">
      <w:start w:val="1"/>
      <w:numFmt w:val="lowerRoman"/>
      <w:lvlText w:val="%3."/>
      <w:lvlJc w:val="right"/>
      <w:pPr>
        <w:ind w:left="1331" w:hanging="480"/>
      </w:pPr>
    </w:lvl>
    <w:lvl w:ilvl="3" w:tplc="0409000F" w:tentative="1">
      <w:start w:val="1"/>
      <w:numFmt w:val="decimal"/>
      <w:lvlText w:val="%4."/>
      <w:lvlJc w:val="left"/>
      <w:pPr>
        <w:ind w:left="1811" w:hanging="480"/>
      </w:pPr>
    </w:lvl>
    <w:lvl w:ilvl="4" w:tplc="04090019" w:tentative="1">
      <w:start w:val="1"/>
      <w:numFmt w:val="ideographTraditional"/>
      <w:lvlText w:val="%5、"/>
      <w:lvlJc w:val="left"/>
      <w:pPr>
        <w:ind w:left="2291" w:hanging="480"/>
      </w:pPr>
    </w:lvl>
    <w:lvl w:ilvl="5" w:tplc="0409001B" w:tentative="1">
      <w:start w:val="1"/>
      <w:numFmt w:val="lowerRoman"/>
      <w:lvlText w:val="%6."/>
      <w:lvlJc w:val="right"/>
      <w:pPr>
        <w:ind w:left="2771" w:hanging="480"/>
      </w:pPr>
    </w:lvl>
    <w:lvl w:ilvl="6" w:tplc="0409000F" w:tentative="1">
      <w:start w:val="1"/>
      <w:numFmt w:val="decimal"/>
      <w:lvlText w:val="%7."/>
      <w:lvlJc w:val="left"/>
      <w:pPr>
        <w:ind w:left="3251" w:hanging="480"/>
      </w:pPr>
    </w:lvl>
    <w:lvl w:ilvl="7" w:tplc="04090019" w:tentative="1">
      <w:start w:val="1"/>
      <w:numFmt w:val="ideographTraditional"/>
      <w:lvlText w:val="%8、"/>
      <w:lvlJc w:val="left"/>
      <w:pPr>
        <w:ind w:left="3731" w:hanging="480"/>
      </w:pPr>
    </w:lvl>
    <w:lvl w:ilvl="8" w:tplc="0409001B" w:tentative="1">
      <w:start w:val="1"/>
      <w:numFmt w:val="lowerRoman"/>
      <w:lvlText w:val="%9."/>
      <w:lvlJc w:val="right"/>
      <w:pPr>
        <w:ind w:left="4211" w:hanging="480"/>
      </w:pPr>
    </w:lvl>
  </w:abstractNum>
  <w:abstractNum w:abstractNumId="28">
    <w:nsid w:val="6FEA431D"/>
    <w:multiLevelType w:val="hybridMultilevel"/>
    <w:tmpl w:val="D606441E"/>
    <w:lvl w:ilvl="0" w:tplc="0368132C">
      <w:start w:val="1"/>
      <w:numFmt w:val="decimal"/>
      <w:lvlText w:val="%1."/>
      <w:lvlJc w:val="left"/>
      <w:pPr>
        <w:ind w:left="245"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73A418A7"/>
    <w:multiLevelType w:val="hybridMultilevel"/>
    <w:tmpl w:val="836E7A4E"/>
    <w:lvl w:ilvl="0" w:tplc="10D050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77084D6C"/>
    <w:multiLevelType w:val="hybridMultilevel"/>
    <w:tmpl w:val="7FEAB09A"/>
    <w:lvl w:ilvl="0" w:tplc="0AD042BC">
      <w:start w:val="1"/>
      <w:numFmt w:val="decimal"/>
      <w:lvlText w:val="%1."/>
      <w:lvlJc w:val="left"/>
      <w:pPr>
        <w:ind w:left="251" w:hanging="360"/>
      </w:pPr>
      <w:rPr>
        <w:rFonts w:hint="default"/>
      </w:rPr>
    </w:lvl>
    <w:lvl w:ilvl="1" w:tplc="763C6E34">
      <w:start w:val="1"/>
      <w:numFmt w:val="upperLetter"/>
      <w:lvlText w:val="%2."/>
      <w:lvlJc w:val="left"/>
      <w:pPr>
        <w:ind w:left="731" w:hanging="360"/>
      </w:pPr>
      <w:rPr>
        <w:rFonts w:hint="default"/>
      </w:rPr>
    </w:lvl>
    <w:lvl w:ilvl="2" w:tplc="E432020E">
      <w:start w:val="1"/>
      <w:numFmt w:val="decimal"/>
      <w:lvlText w:val="%3."/>
      <w:lvlJc w:val="left"/>
      <w:pPr>
        <w:ind w:left="1211" w:hanging="360"/>
      </w:pPr>
      <w:rPr>
        <w:rFonts w:hint="default"/>
      </w:rPr>
    </w:lvl>
    <w:lvl w:ilvl="3" w:tplc="DA882D3C">
      <w:start w:val="1"/>
      <w:numFmt w:val="ideographLegalTraditional"/>
      <w:lvlText w:val="%4、"/>
      <w:lvlJc w:val="left"/>
      <w:pPr>
        <w:ind w:left="2051" w:hanging="720"/>
      </w:pPr>
      <w:rPr>
        <w:rFonts w:hint="default"/>
      </w:rPr>
    </w:lvl>
    <w:lvl w:ilvl="4" w:tplc="B1245D66">
      <w:start w:val="1"/>
      <w:numFmt w:val="taiwaneseCountingThousand"/>
      <w:lvlText w:val="%5、"/>
      <w:lvlJc w:val="left"/>
      <w:pPr>
        <w:ind w:left="2531" w:hanging="720"/>
      </w:pPr>
      <w:rPr>
        <w:rFonts w:hint="default"/>
        <w:b/>
      </w:rPr>
    </w:lvl>
    <w:lvl w:ilvl="5" w:tplc="0409001B" w:tentative="1">
      <w:start w:val="1"/>
      <w:numFmt w:val="lowerRoman"/>
      <w:lvlText w:val="%6."/>
      <w:lvlJc w:val="right"/>
      <w:pPr>
        <w:ind w:left="2771" w:hanging="480"/>
      </w:pPr>
    </w:lvl>
    <w:lvl w:ilvl="6" w:tplc="0409000F" w:tentative="1">
      <w:start w:val="1"/>
      <w:numFmt w:val="decimal"/>
      <w:lvlText w:val="%7."/>
      <w:lvlJc w:val="left"/>
      <w:pPr>
        <w:ind w:left="3251" w:hanging="480"/>
      </w:pPr>
    </w:lvl>
    <w:lvl w:ilvl="7" w:tplc="04090019" w:tentative="1">
      <w:start w:val="1"/>
      <w:numFmt w:val="ideographTraditional"/>
      <w:lvlText w:val="%8、"/>
      <w:lvlJc w:val="left"/>
      <w:pPr>
        <w:ind w:left="3731" w:hanging="480"/>
      </w:pPr>
    </w:lvl>
    <w:lvl w:ilvl="8" w:tplc="0409001B" w:tentative="1">
      <w:start w:val="1"/>
      <w:numFmt w:val="lowerRoman"/>
      <w:lvlText w:val="%9."/>
      <w:lvlJc w:val="right"/>
      <w:pPr>
        <w:ind w:left="4211" w:hanging="480"/>
      </w:pPr>
    </w:lvl>
  </w:abstractNum>
  <w:abstractNum w:abstractNumId="31">
    <w:nsid w:val="7A40359D"/>
    <w:multiLevelType w:val="hybridMultilevel"/>
    <w:tmpl w:val="FEDCFA18"/>
    <w:lvl w:ilvl="0" w:tplc="0409000F">
      <w:start w:val="1"/>
      <w:numFmt w:val="decimal"/>
      <w:lvlText w:val="%1."/>
      <w:lvlJc w:val="left"/>
      <w:pPr>
        <w:ind w:left="1188" w:hanging="480"/>
      </w:p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32">
    <w:nsid w:val="7D433AA2"/>
    <w:multiLevelType w:val="hybridMultilevel"/>
    <w:tmpl w:val="4FDE692A"/>
    <w:lvl w:ilvl="0" w:tplc="0409000F">
      <w:start w:val="1"/>
      <w:numFmt w:val="decimal"/>
      <w:lvlText w:val="%1."/>
      <w:lvlJc w:val="left"/>
      <w:pPr>
        <w:ind w:left="1188" w:hanging="480"/>
      </w:p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33">
    <w:nsid w:val="7F3D13EA"/>
    <w:multiLevelType w:val="hybridMultilevel"/>
    <w:tmpl w:val="A5A0610A"/>
    <w:lvl w:ilvl="0" w:tplc="64FE02AA">
      <w:start w:val="1"/>
      <w:numFmt w:val="decimal"/>
      <w:lvlText w:val="%1."/>
      <w:lvlJc w:val="left"/>
      <w:pPr>
        <w:ind w:left="252" w:hanging="360"/>
      </w:pPr>
      <w:rPr>
        <w:rFonts w:hint="default"/>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num w:numId="1">
    <w:abstractNumId w:val="4"/>
  </w:num>
  <w:num w:numId="2">
    <w:abstractNumId w:val="1"/>
  </w:num>
  <w:num w:numId="3">
    <w:abstractNumId w:val="3"/>
  </w:num>
  <w:num w:numId="4">
    <w:abstractNumId w:val="0"/>
  </w:num>
  <w:num w:numId="5">
    <w:abstractNumId w:val="6"/>
  </w:num>
  <w:num w:numId="6">
    <w:abstractNumId w:val="13"/>
  </w:num>
  <w:num w:numId="7">
    <w:abstractNumId w:val="19"/>
  </w:num>
  <w:num w:numId="8">
    <w:abstractNumId w:val="26"/>
  </w:num>
  <w:num w:numId="9">
    <w:abstractNumId w:val="2"/>
  </w:num>
  <w:num w:numId="10">
    <w:abstractNumId w:val="30"/>
  </w:num>
  <w:num w:numId="11">
    <w:abstractNumId w:val="12"/>
  </w:num>
  <w:num w:numId="12">
    <w:abstractNumId w:val="17"/>
  </w:num>
  <w:num w:numId="13">
    <w:abstractNumId w:val="24"/>
  </w:num>
  <w:num w:numId="14">
    <w:abstractNumId w:val="7"/>
  </w:num>
  <w:num w:numId="15">
    <w:abstractNumId w:val="5"/>
  </w:num>
  <w:num w:numId="16">
    <w:abstractNumId w:val="29"/>
  </w:num>
  <w:num w:numId="17">
    <w:abstractNumId w:val="25"/>
  </w:num>
  <w:num w:numId="18">
    <w:abstractNumId w:val="10"/>
  </w:num>
  <w:num w:numId="19">
    <w:abstractNumId w:val="23"/>
  </w:num>
  <w:num w:numId="20">
    <w:abstractNumId w:val="16"/>
  </w:num>
  <w:num w:numId="21">
    <w:abstractNumId w:val="27"/>
  </w:num>
  <w:num w:numId="22">
    <w:abstractNumId w:val="14"/>
  </w:num>
  <w:num w:numId="23">
    <w:abstractNumId w:val="18"/>
  </w:num>
  <w:num w:numId="24">
    <w:abstractNumId w:val="28"/>
  </w:num>
  <w:num w:numId="25">
    <w:abstractNumId w:val="33"/>
  </w:num>
  <w:num w:numId="26">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2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5"/>
  </w:num>
  <w:num w:numId="31">
    <w:abstractNumId w:val="25"/>
  </w:num>
  <w:num w:numId="32">
    <w:abstractNumId w:val="25"/>
  </w:num>
  <w:num w:numId="33">
    <w:abstractNumId w:val="25"/>
  </w:num>
  <w:num w:numId="34">
    <w:abstractNumId w:val="25"/>
  </w:num>
  <w:num w:numId="35">
    <w:abstractNumId w:val="25"/>
  </w:num>
  <w:num w:numId="36">
    <w:abstractNumId w:val="2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num>
  <w:num w:numId="39">
    <w:abstractNumId w:val="32"/>
  </w:num>
  <w:num w:numId="40">
    <w:abstractNumId w:val="31"/>
  </w:num>
  <w:num w:numId="41">
    <w:abstractNumId w:val="22"/>
  </w:num>
  <w:num w:numId="42">
    <w:abstractNumId w:val="9"/>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hideSpellingErrors/>
  <w:proofState w:grammar="clean"/>
  <w:attachedTemplate r:id="rId1"/>
  <w:defaultTabStop w:val="0"/>
  <w:drawingGridHorizontalSpacing w:val="170"/>
  <w:drawingGridVerticalSpacing w:val="463"/>
  <w:displayHorizontalDrawingGridEvery w:val="0"/>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065127"/>
    <w:rsid w:val="000001A3"/>
    <w:rsid w:val="00001F8C"/>
    <w:rsid w:val="000026A2"/>
    <w:rsid w:val="0000274D"/>
    <w:rsid w:val="00003465"/>
    <w:rsid w:val="00003478"/>
    <w:rsid w:val="00003E06"/>
    <w:rsid w:val="0000604B"/>
    <w:rsid w:val="00006BBE"/>
    <w:rsid w:val="00007DDC"/>
    <w:rsid w:val="00010F58"/>
    <w:rsid w:val="00011174"/>
    <w:rsid w:val="000114AF"/>
    <w:rsid w:val="00011BC1"/>
    <w:rsid w:val="000136F8"/>
    <w:rsid w:val="00014B16"/>
    <w:rsid w:val="00015BCF"/>
    <w:rsid w:val="00015E39"/>
    <w:rsid w:val="00016660"/>
    <w:rsid w:val="000167F0"/>
    <w:rsid w:val="000177A3"/>
    <w:rsid w:val="00021F5D"/>
    <w:rsid w:val="000255FB"/>
    <w:rsid w:val="00026710"/>
    <w:rsid w:val="00026AC5"/>
    <w:rsid w:val="00031B2C"/>
    <w:rsid w:val="00031D2A"/>
    <w:rsid w:val="00032217"/>
    <w:rsid w:val="0003299E"/>
    <w:rsid w:val="00033AC0"/>
    <w:rsid w:val="00035AE0"/>
    <w:rsid w:val="00036610"/>
    <w:rsid w:val="0003688D"/>
    <w:rsid w:val="00037AD0"/>
    <w:rsid w:val="00040275"/>
    <w:rsid w:val="00040E88"/>
    <w:rsid w:val="0004138A"/>
    <w:rsid w:val="00041555"/>
    <w:rsid w:val="0004156C"/>
    <w:rsid w:val="000423B3"/>
    <w:rsid w:val="000434CA"/>
    <w:rsid w:val="0004382E"/>
    <w:rsid w:val="00043BF2"/>
    <w:rsid w:val="00043FB8"/>
    <w:rsid w:val="00044428"/>
    <w:rsid w:val="000444B3"/>
    <w:rsid w:val="00044CB1"/>
    <w:rsid w:val="00045FD9"/>
    <w:rsid w:val="0004618D"/>
    <w:rsid w:val="00046768"/>
    <w:rsid w:val="00046DFD"/>
    <w:rsid w:val="000472F5"/>
    <w:rsid w:val="00047634"/>
    <w:rsid w:val="0004796D"/>
    <w:rsid w:val="00050AB0"/>
    <w:rsid w:val="00050CE4"/>
    <w:rsid w:val="00052A07"/>
    <w:rsid w:val="0005336D"/>
    <w:rsid w:val="00053F7F"/>
    <w:rsid w:val="00053FC9"/>
    <w:rsid w:val="000544E1"/>
    <w:rsid w:val="00054BDF"/>
    <w:rsid w:val="00056082"/>
    <w:rsid w:val="00056B19"/>
    <w:rsid w:val="000576E0"/>
    <w:rsid w:val="00062688"/>
    <w:rsid w:val="0006470C"/>
    <w:rsid w:val="00065127"/>
    <w:rsid w:val="00065F60"/>
    <w:rsid w:val="0006728D"/>
    <w:rsid w:val="00067E33"/>
    <w:rsid w:val="0007010A"/>
    <w:rsid w:val="00071D2D"/>
    <w:rsid w:val="00073A15"/>
    <w:rsid w:val="00073C6F"/>
    <w:rsid w:val="0007791D"/>
    <w:rsid w:val="0007793C"/>
    <w:rsid w:val="00080424"/>
    <w:rsid w:val="00081CA6"/>
    <w:rsid w:val="0008252E"/>
    <w:rsid w:val="00082F3F"/>
    <w:rsid w:val="000834DF"/>
    <w:rsid w:val="0008431F"/>
    <w:rsid w:val="00084540"/>
    <w:rsid w:val="000851C9"/>
    <w:rsid w:val="0008521B"/>
    <w:rsid w:val="00085A5D"/>
    <w:rsid w:val="00085B58"/>
    <w:rsid w:val="00085CFA"/>
    <w:rsid w:val="000864EA"/>
    <w:rsid w:val="00086659"/>
    <w:rsid w:val="000869CF"/>
    <w:rsid w:val="00087BB2"/>
    <w:rsid w:val="0009075E"/>
    <w:rsid w:val="00090895"/>
    <w:rsid w:val="00090E44"/>
    <w:rsid w:val="000910E5"/>
    <w:rsid w:val="00091215"/>
    <w:rsid w:val="000913C8"/>
    <w:rsid w:val="00091E4B"/>
    <w:rsid w:val="00092618"/>
    <w:rsid w:val="000931D7"/>
    <w:rsid w:val="00093336"/>
    <w:rsid w:val="00093761"/>
    <w:rsid w:val="00093FFB"/>
    <w:rsid w:val="0009575D"/>
    <w:rsid w:val="00096159"/>
    <w:rsid w:val="000967FF"/>
    <w:rsid w:val="00096C6E"/>
    <w:rsid w:val="000A36D4"/>
    <w:rsid w:val="000A7BC9"/>
    <w:rsid w:val="000A7FCB"/>
    <w:rsid w:val="000B00FB"/>
    <w:rsid w:val="000B0863"/>
    <w:rsid w:val="000B13DF"/>
    <w:rsid w:val="000B2D95"/>
    <w:rsid w:val="000B2EBD"/>
    <w:rsid w:val="000B3728"/>
    <w:rsid w:val="000B4B14"/>
    <w:rsid w:val="000B5193"/>
    <w:rsid w:val="000B5D85"/>
    <w:rsid w:val="000B6279"/>
    <w:rsid w:val="000B6569"/>
    <w:rsid w:val="000B6626"/>
    <w:rsid w:val="000B722B"/>
    <w:rsid w:val="000C0774"/>
    <w:rsid w:val="000C082E"/>
    <w:rsid w:val="000C0AFE"/>
    <w:rsid w:val="000C0C06"/>
    <w:rsid w:val="000C0D03"/>
    <w:rsid w:val="000C0F4E"/>
    <w:rsid w:val="000C1E9D"/>
    <w:rsid w:val="000C304A"/>
    <w:rsid w:val="000C3CB8"/>
    <w:rsid w:val="000C5FDF"/>
    <w:rsid w:val="000D682C"/>
    <w:rsid w:val="000D7741"/>
    <w:rsid w:val="000D79F6"/>
    <w:rsid w:val="000E0F7B"/>
    <w:rsid w:val="000E0FC3"/>
    <w:rsid w:val="000E1053"/>
    <w:rsid w:val="000E1261"/>
    <w:rsid w:val="000E1CA6"/>
    <w:rsid w:val="000E2561"/>
    <w:rsid w:val="000E3620"/>
    <w:rsid w:val="000E3EBE"/>
    <w:rsid w:val="000E61B8"/>
    <w:rsid w:val="000E6DA7"/>
    <w:rsid w:val="000E7810"/>
    <w:rsid w:val="000F0355"/>
    <w:rsid w:val="000F0F80"/>
    <w:rsid w:val="000F21DE"/>
    <w:rsid w:val="000F2B4E"/>
    <w:rsid w:val="000F2CB0"/>
    <w:rsid w:val="000F4382"/>
    <w:rsid w:val="000F5D76"/>
    <w:rsid w:val="000F6237"/>
    <w:rsid w:val="001002F3"/>
    <w:rsid w:val="00100A00"/>
    <w:rsid w:val="00101B0B"/>
    <w:rsid w:val="001027E3"/>
    <w:rsid w:val="00103118"/>
    <w:rsid w:val="001037CE"/>
    <w:rsid w:val="00104648"/>
    <w:rsid w:val="00104B30"/>
    <w:rsid w:val="00105143"/>
    <w:rsid w:val="0010527E"/>
    <w:rsid w:val="0010631F"/>
    <w:rsid w:val="001064C6"/>
    <w:rsid w:val="00106E43"/>
    <w:rsid w:val="00107385"/>
    <w:rsid w:val="001073F6"/>
    <w:rsid w:val="00107C69"/>
    <w:rsid w:val="00107DD6"/>
    <w:rsid w:val="00110921"/>
    <w:rsid w:val="001112BD"/>
    <w:rsid w:val="0011280E"/>
    <w:rsid w:val="00112ECA"/>
    <w:rsid w:val="001140B1"/>
    <w:rsid w:val="00114611"/>
    <w:rsid w:val="00114763"/>
    <w:rsid w:val="00115473"/>
    <w:rsid w:val="0012035C"/>
    <w:rsid w:val="001203A3"/>
    <w:rsid w:val="001225C7"/>
    <w:rsid w:val="001228EC"/>
    <w:rsid w:val="00122E1E"/>
    <w:rsid w:val="001233CA"/>
    <w:rsid w:val="00123F59"/>
    <w:rsid w:val="00124003"/>
    <w:rsid w:val="00124662"/>
    <w:rsid w:val="0012469D"/>
    <w:rsid w:val="00124EDF"/>
    <w:rsid w:val="001250D6"/>
    <w:rsid w:val="00126235"/>
    <w:rsid w:val="001270DF"/>
    <w:rsid w:val="0012777B"/>
    <w:rsid w:val="00130AB7"/>
    <w:rsid w:val="00131CA5"/>
    <w:rsid w:val="00134369"/>
    <w:rsid w:val="00134ECB"/>
    <w:rsid w:val="00135562"/>
    <w:rsid w:val="00135AA4"/>
    <w:rsid w:val="00136A82"/>
    <w:rsid w:val="00140043"/>
    <w:rsid w:val="00141DD8"/>
    <w:rsid w:val="00142D9C"/>
    <w:rsid w:val="00144708"/>
    <w:rsid w:val="00144C78"/>
    <w:rsid w:val="00145E82"/>
    <w:rsid w:val="001473C5"/>
    <w:rsid w:val="001519DC"/>
    <w:rsid w:val="00151DD3"/>
    <w:rsid w:val="001529D5"/>
    <w:rsid w:val="001552F3"/>
    <w:rsid w:val="00156333"/>
    <w:rsid w:val="001579F0"/>
    <w:rsid w:val="001600D0"/>
    <w:rsid w:val="00161E7C"/>
    <w:rsid w:val="0016268B"/>
    <w:rsid w:val="00163183"/>
    <w:rsid w:val="00164456"/>
    <w:rsid w:val="00167423"/>
    <w:rsid w:val="00170266"/>
    <w:rsid w:val="00170268"/>
    <w:rsid w:val="001704BD"/>
    <w:rsid w:val="00171F75"/>
    <w:rsid w:val="00171FF8"/>
    <w:rsid w:val="00172DFE"/>
    <w:rsid w:val="001733E7"/>
    <w:rsid w:val="00173DEF"/>
    <w:rsid w:val="001741D0"/>
    <w:rsid w:val="001760F6"/>
    <w:rsid w:val="00176B95"/>
    <w:rsid w:val="0017715A"/>
    <w:rsid w:val="00177624"/>
    <w:rsid w:val="00180881"/>
    <w:rsid w:val="0018198E"/>
    <w:rsid w:val="0018237B"/>
    <w:rsid w:val="001859DC"/>
    <w:rsid w:val="00186767"/>
    <w:rsid w:val="0019071C"/>
    <w:rsid w:val="001925E7"/>
    <w:rsid w:val="00193837"/>
    <w:rsid w:val="001960A3"/>
    <w:rsid w:val="001979C6"/>
    <w:rsid w:val="001A1C66"/>
    <w:rsid w:val="001A3033"/>
    <w:rsid w:val="001A3F5D"/>
    <w:rsid w:val="001A419E"/>
    <w:rsid w:val="001A4A5E"/>
    <w:rsid w:val="001A4E68"/>
    <w:rsid w:val="001A4F21"/>
    <w:rsid w:val="001A5CB3"/>
    <w:rsid w:val="001A66AE"/>
    <w:rsid w:val="001A6783"/>
    <w:rsid w:val="001A6ED7"/>
    <w:rsid w:val="001A78B3"/>
    <w:rsid w:val="001B04E1"/>
    <w:rsid w:val="001B05F4"/>
    <w:rsid w:val="001B1296"/>
    <w:rsid w:val="001B29B0"/>
    <w:rsid w:val="001B2FB5"/>
    <w:rsid w:val="001B438C"/>
    <w:rsid w:val="001B52EB"/>
    <w:rsid w:val="001C0F81"/>
    <w:rsid w:val="001C180E"/>
    <w:rsid w:val="001C198B"/>
    <w:rsid w:val="001C25BA"/>
    <w:rsid w:val="001C36C8"/>
    <w:rsid w:val="001C4049"/>
    <w:rsid w:val="001C475F"/>
    <w:rsid w:val="001C4E4B"/>
    <w:rsid w:val="001C5B4E"/>
    <w:rsid w:val="001C5E01"/>
    <w:rsid w:val="001C6453"/>
    <w:rsid w:val="001C66B8"/>
    <w:rsid w:val="001D2B16"/>
    <w:rsid w:val="001D4856"/>
    <w:rsid w:val="001D53B7"/>
    <w:rsid w:val="001D5C6B"/>
    <w:rsid w:val="001D6A21"/>
    <w:rsid w:val="001D764D"/>
    <w:rsid w:val="001E0582"/>
    <w:rsid w:val="001E22B3"/>
    <w:rsid w:val="001E2AAC"/>
    <w:rsid w:val="001E4626"/>
    <w:rsid w:val="001E473E"/>
    <w:rsid w:val="001E4B52"/>
    <w:rsid w:val="001E542E"/>
    <w:rsid w:val="001E55DF"/>
    <w:rsid w:val="001F0CC2"/>
    <w:rsid w:val="001F0FB5"/>
    <w:rsid w:val="001F1250"/>
    <w:rsid w:val="001F1D53"/>
    <w:rsid w:val="001F4E7D"/>
    <w:rsid w:val="001F5A76"/>
    <w:rsid w:val="001F5CA8"/>
    <w:rsid w:val="001F6425"/>
    <w:rsid w:val="001F6764"/>
    <w:rsid w:val="001F7A6D"/>
    <w:rsid w:val="0020054B"/>
    <w:rsid w:val="0020069E"/>
    <w:rsid w:val="00201F0C"/>
    <w:rsid w:val="00202A90"/>
    <w:rsid w:val="00203F6C"/>
    <w:rsid w:val="00203FCB"/>
    <w:rsid w:val="0020414B"/>
    <w:rsid w:val="00205420"/>
    <w:rsid w:val="002056BF"/>
    <w:rsid w:val="002066E0"/>
    <w:rsid w:val="00206F2E"/>
    <w:rsid w:val="002076CA"/>
    <w:rsid w:val="00207942"/>
    <w:rsid w:val="0021128A"/>
    <w:rsid w:val="00211DC2"/>
    <w:rsid w:val="00211EF4"/>
    <w:rsid w:val="00212006"/>
    <w:rsid w:val="00212059"/>
    <w:rsid w:val="002120FC"/>
    <w:rsid w:val="0021361B"/>
    <w:rsid w:val="00214782"/>
    <w:rsid w:val="00214A82"/>
    <w:rsid w:val="00214F1C"/>
    <w:rsid w:val="0021709D"/>
    <w:rsid w:val="002213D9"/>
    <w:rsid w:val="0022157F"/>
    <w:rsid w:val="0022296A"/>
    <w:rsid w:val="00224953"/>
    <w:rsid w:val="00224985"/>
    <w:rsid w:val="002251C5"/>
    <w:rsid w:val="002303B4"/>
    <w:rsid w:val="00231182"/>
    <w:rsid w:val="002312D3"/>
    <w:rsid w:val="002328F5"/>
    <w:rsid w:val="00234F90"/>
    <w:rsid w:val="00235C39"/>
    <w:rsid w:val="00235F9F"/>
    <w:rsid w:val="002369A3"/>
    <w:rsid w:val="00237D65"/>
    <w:rsid w:val="0024084A"/>
    <w:rsid w:val="002409F9"/>
    <w:rsid w:val="00240C87"/>
    <w:rsid w:val="00243F0D"/>
    <w:rsid w:val="002455AE"/>
    <w:rsid w:val="00246825"/>
    <w:rsid w:val="00246C0C"/>
    <w:rsid w:val="0024716C"/>
    <w:rsid w:val="00250720"/>
    <w:rsid w:val="00250D54"/>
    <w:rsid w:val="00251231"/>
    <w:rsid w:val="00252FA2"/>
    <w:rsid w:val="00253734"/>
    <w:rsid w:val="0025380E"/>
    <w:rsid w:val="00253DA0"/>
    <w:rsid w:val="00254C30"/>
    <w:rsid w:val="0026047B"/>
    <w:rsid w:val="00261C4A"/>
    <w:rsid w:val="00262FA1"/>
    <w:rsid w:val="0026323E"/>
    <w:rsid w:val="00264092"/>
    <w:rsid w:val="0026410A"/>
    <w:rsid w:val="00264363"/>
    <w:rsid w:val="00264605"/>
    <w:rsid w:val="00266971"/>
    <w:rsid w:val="002669C0"/>
    <w:rsid w:val="00266B50"/>
    <w:rsid w:val="002707D9"/>
    <w:rsid w:val="0027152B"/>
    <w:rsid w:val="00271A5E"/>
    <w:rsid w:val="00271B95"/>
    <w:rsid w:val="00271E2C"/>
    <w:rsid w:val="00271FC3"/>
    <w:rsid w:val="00273190"/>
    <w:rsid w:val="00273380"/>
    <w:rsid w:val="002733C4"/>
    <w:rsid w:val="00276949"/>
    <w:rsid w:val="00276DFB"/>
    <w:rsid w:val="002770D2"/>
    <w:rsid w:val="002775D9"/>
    <w:rsid w:val="0028262A"/>
    <w:rsid w:val="00283944"/>
    <w:rsid w:val="002841D0"/>
    <w:rsid w:val="0028445B"/>
    <w:rsid w:val="00284840"/>
    <w:rsid w:val="00284868"/>
    <w:rsid w:val="00286580"/>
    <w:rsid w:val="00287A34"/>
    <w:rsid w:val="00290CA0"/>
    <w:rsid w:val="0029105F"/>
    <w:rsid w:val="002938AC"/>
    <w:rsid w:val="0029530F"/>
    <w:rsid w:val="002A0581"/>
    <w:rsid w:val="002A11A9"/>
    <w:rsid w:val="002A1374"/>
    <w:rsid w:val="002A28CE"/>
    <w:rsid w:val="002A3C62"/>
    <w:rsid w:val="002A4561"/>
    <w:rsid w:val="002A4829"/>
    <w:rsid w:val="002A50E3"/>
    <w:rsid w:val="002A548A"/>
    <w:rsid w:val="002A76FA"/>
    <w:rsid w:val="002A77C7"/>
    <w:rsid w:val="002A7CCE"/>
    <w:rsid w:val="002B0919"/>
    <w:rsid w:val="002B0AF9"/>
    <w:rsid w:val="002B2076"/>
    <w:rsid w:val="002B332F"/>
    <w:rsid w:val="002B389E"/>
    <w:rsid w:val="002B3BDD"/>
    <w:rsid w:val="002B4093"/>
    <w:rsid w:val="002B42C7"/>
    <w:rsid w:val="002B52CC"/>
    <w:rsid w:val="002B5EDC"/>
    <w:rsid w:val="002B60B2"/>
    <w:rsid w:val="002B7021"/>
    <w:rsid w:val="002B7E61"/>
    <w:rsid w:val="002B7F47"/>
    <w:rsid w:val="002C322D"/>
    <w:rsid w:val="002C477B"/>
    <w:rsid w:val="002C4E6C"/>
    <w:rsid w:val="002C535E"/>
    <w:rsid w:val="002C5566"/>
    <w:rsid w:val="002C71EB"/>
    <w:rsid w:val="002C75BF"/>
    <w:rsid w:val="002D1166"/>
    <w:rsid w:val="002D1BCE"/>
    <w:rsid w:val="002D2B7C"/>
    <w:rsid w:val="002D2FA4"/>
    <w:rsid w:val="002D34BF"/>
    <w:rsid w:val="002D3751"/>
    <w:rsid w:val="002D3AE8"/>
    <w:rsid w:val="002D3F02"/>
    <w:rsid w:val="002D4CC7"/>
    <w:rsid w:val="002D618C"/>
    <w:rsid w:val="002D7A00"/>
    <w:rsid w:val="002E1536"/>
    <w:rsid w:val="002E40AE"/>
    <w:rsid w:val="002E41B8"/>
    <w:rsid w:val="002E41CF"/>
    <w:rsid w:val="002E542A"/>
    <w:rsid w:val="002E6AE2"/>
    <w:rsid w:val="002E6B9D"/>
    <w:rsid w:val="002E75DE"/>
    <w:rsid w:val="002E7D6C"/>
    <w:rsid w:val="002F011D"/>
    <w:rsid w:val="002F04E0"/>
    <w:rsid w:val="002F0A68"/>
    <w:rsid w:val="002F16E6"/>
    <w:rsid w:val="002F1868"/>
    <w:rsid w:val="002F25A9"/>
    <w:rsid w:val="002F2D1B"/>
    <w:rsid w:val="002F2DD2"/>
    <w:rsid w:val="002F346C"/>
    <w:rsid w:val="002F3775"/>
    <w:rsid w:val="002F4457"/>
    <w:rsid w:val="002F5536"/>
    <w:rsid w:val="002F5537"/>
    <w:rsid w:val="002F57BE"/>
    <w:rsid w:val="002F5F6A"/>
    <w:rsid w:val="002F6D03"/>
    <w:rsid w:val="002F6D69"/>
    <w:rsid w:val="003000D9"/>
    <w:rsid w:val="00303DC6"/>
    <w:rsid w:val="003056BA"/>
    <w:rsid w:val="00305AE6"/>
    <w:rsid w:val="00305B6E"/>
    <w:rsid w:val="003106D0"/>
    <w:rsid w:val="003123F4"/>
    <w:rsid w:val="00312457"/>
    <w:rsid w:val="0031362E"/>
    <w:rsid w:val="0031444D"/>
    <w:rsid w:val="00314B87"/>
    <w:rsid w:val="003158DA"/>
    <w:rsid w:val="00317279"/>
    <w:rsid w:val="003173C9"/>
    <w:rsid w:val="0031741A"/>
    <w:rsid w:val="00317AF9"/>
    <w:rsid w:val="00317B86"/>
    <w:rsid w:val="00317F5D"/>
    <w:rsid w:val="00321547"/>
    <w:rsid w:val="003219B8"/>
    <w:rsid w:val="00321B89"/>
    <w:rsid w:val="00321F64"/>
    <w:rsid w:val="00321F8A"/>
    <w:rsid w:val="0032311E"/>
    <w:rsid w:val="003242B7"/>
    <w:rsid w:val="003246AE"/>
    <w:rsid w:val="003247D5"/>
    <w:rsid w:val="0032697E"/>
    <w:rsid w:val="00327508"/>
    <w:rsid w:val="00330D50"/>
    <w:rsid w:val="0033174A"/>
    <w:rsid w:val="003322CA"/>
    <w:rsid w:val="0033331E"/>
    <w:rsid w:val="003336AB"/>
    <w:rsid w:val="003343F4"/>
    <w:rsid w:val="00334CD5"/>
    <w:rsid w:val="00335EA0"/>
    <w:rsid w:val="0033643A"/>
    <w:rsid w:val="00336AAD"/>
    <w:rsid w:val="00336B1E"/>
    <w:rsid w:val="00337192"/>
    <w:rsid w:val="00337962"/>
    <w:rsid w:val="00337F18"/>
    <w:rsid w:val="00340138"/>
    <w:rsid w:val="00340E93"/>
    <w:rsid w:val="00341C3D"/>
    <w:rsid w:val="00341CCE"/>
    <w:rsid w:val="0034281B"/>
    <w:rsid w:val="00342A5F"/>
    <w:rsid w:val="00342BD3"/>
    <w:rsid w:val="003434D6"/>
    <w:rsid w:val="003450A6"/>
    <w:rsid w:val="003452F8"/>
    <w:rsid w:val="00347D3F"/>
    <w:rsid w:val="00351928"/>
    <w:rsid w:val="00351D29"/>
    <w:rsid w:val="0035262F"/>
    <w:rsid w:val="00352C28"/>
    <w:rsid w:val="00353D9A"/>
    <w:rsid w:val="00354403"/>
    <w:rsid w:val="00355715"/>
    <w:rsid w:val="00357226"/>
    <w:rsid w:val="0035783A"/>
    <w:rsid w:val="00360B7C"/>
    <w:rsid w:val="00361CD4"/>
    <w:rsid w:val="0036226C"/>
    <w:rsid w:val="0036352E"/>
    <w:rsid w:val="0036389A"/>
    <w:rsid w:val="003638D6"/>
    <w:rsid w:val="00363B20"/>
    <w:rsid w:val="00363F59"/>
    <w:rsid w:val="003642DA"/>
    <w:rsid w:val="003652C4"/>
    <w:rsid w:val="00365650"/>
    <w:rsid w:val="00367BC4"/>
    <w:rsid w:val="00370F6A"/>
    <w:rsid w:val="003717E1"/>
    <w:rsid w:val="00371E0F"/>
    <w:rsid w:val="00372272"/>
    <w:rsid w:val="00372A17"/>
    <w:rsid w:val="00372E94"/>
    <w:rsid w:val="00372F31"/>
    <w:rsid w:val="00373F57"/>
    <w:rsid w:val="00374F58"/>
    <w:rsid w:val="003759D6"/>
    <w:rsid w:val="00376282"/>
    <w:rsid w:val="003763C3"/>
    <w:rsid w:val="00376B5D"/>
    <w:rsid w:val="00382B1B"/>
    <w:rsid w:val="00382CF6"/>
    <w:rsid w:val="00382FBA"/>
    <w:rsid w:val="003831C6"/>
    <w:rsid w:val="0038398E"/>
    <w:rsid w:val="00384698"/>
    <w:rsid w:val="00384D3A"/>
    <w:rsid w:val="00385257"/>
    <w:rsid w:val="00385566"/>
    <w:rsid w:val="00387265"/>
    <w:rsid w:val="0039153A"/>
    <w:rsid w:val="0039161B"/>
    <w:rsid w:val="003922A0"/>
    <w:rsid w:val="003941E6"/>
    <w:rsid w:val="00394AC3"/>
    <w:rsid w:val="003966FD"/>
    <w:rsid w:val="00396D06"/>
    <w:rsid w:val="00396E0E"/>
    <w:rsid w:val="0039740C"/>
    <w:rsid w:val="00397597"/>
    <w:rsid w:val="00397903"/>
    <w:rsid w:val="003A020E"/>
    <w:rsid w:val="003A1527"/>
    <w:rsid w:val="003A213D"/>
    <w:rsid w:val="003A2AFE"/>
    <w:rsid w:val="003A4231"/>
    <w:rsid w:val="003A6B52"/>
    <w:rsid w:val="003B0DD7"/>
    <w:rsid w:val="003B1AEF"/>
    <w:rsid w:val="003B1E7D"/>
    <w:rsid w:val="003B2D25"/>
    <w:rsid w:val="003B318F"/>
    <w:rsid w:val="003B44CA"/>
    <w:rsid w:val="003B4956"/>
    <w:rsid w:val="003B5039"/>
    <w:rsid w:val="003B5D72"/>
    <w:rsid w:val="003B7084"/>
    <w:rsid w:val="003B7316"/>
    <w:rsid w:val="003C034B"/>
    <w:rsid w:val="003C1728"/>
    <w:rsid w:val="003C2949"/>
    <w:rsid w:val="003C2D69"/>
    <w:rsid w:val="003C404C"/>
    <w:rsid w:val="003C57D7"/>
    <w:rsid w:val="003C5BC8"/>
    <w:rsid w:val="003D023C"/>
    <w:rsid w:val="003D05CB"/>
    <w:rsid w:val="003D1383"/>
    <w:rsid w:val="003D2C50"/>
    <w:rsid w:val="003D36C6"/>
    <w:rsid w:val="003D520F"/>
    <w:rsid w:val="003D6A61"/>
    <w:rsid w:val="003E00C5"/>
    <w:rsid w:val="003E04E4"/>
    <w:rsid w:val="003E14BF"/>
    <w:rsid w:val="003E3BE8"/>
    <w:rsid w:val="003E3C1D"/>
    <w:rsid w:val="003E4EE6"/>
    <w:rsid w:val="003E7B48"/>
    <w:rsid w:val="003F0183"/>
    <w:rsid w:val="003F0BC5"/>
    <w:rsid w:val="003F16F3"/>
    <w:rsid w:val="003F1A8D"/>
    <w:rsid w:val="003F1B3D"/>
    <w:rsid w:val="003F2B8B"/>
    <w:rsid w:val="003F364E"/>
    <w:rsid w:val="003F41D1"/>
    <w:rsid w:val="003F4F3C"/>
    <w:rsid w:val="003F55C7"/>
    <w:rsid w:val="003F57B8"/>
    <w:rsid w:val="003F5B9E"/>
    <w:rsid w:val="003F6A4E"/>
    <w:rsid w:val="00402372"/>
    <w:rsid w:val="00402740"/>
    <w:rsid w:val="00402DD3"/>
    <w:rsid w:val="004039C1"/>
    <w:rsid w:val="00404CCB"/>
    <w:rsid w:val="00406F04"/>
    <w:rsid w:val="00407612"/>
    <w:rsid w:val="0041248D"/>
    <w:rsid w:val="00413F5D"/>
    <w:rsid w:val="004151F1"/>
    <w:rsid w:val="00415941"/>
    <w:rsid w:val="00415C1D"/>
    <w:rsid w:val="004174DD"/>
    <w:rsid w:val="00417577"/>
    <w:rsid w:val="00420D9E"/>
    <w:rsid w:val="00423196"/>
    <w:rsid w:val="0042391D"/>
    <w:rsid w:val="00424C5E"/>
    <w:rsid w:val="00424C92"/>
    <w:rsid w:val="00424C9F"/>
    <w:rsid w:val="00425BF2"/>
    <w:rsid w:val="00430160"/>
    <w:rsid w:val="00430D18"/>
    <w:rsid w:val="00431807"/>
    <w:rsid w:val="004318D8"/>
    <w:rsid w:val="00431CC0"/>
    <w:rsid w:val="00432DB2"/>
    <w:rsid w:val="004333C8"/>
    <w:rsid w:val="00433D9D"/>
    <w:rsid w:val="0043438D"/>
    <w:rsid w:val="00434A8D"/>
    <w:rsid w:val="00434C78"/>
    <w:rsid w:val="00435ED9"/>
    <w:rsid w:val="004366DF"/>
    <w:rsid w:val="0043671D"/>
    <w:rsid w:val="004403E5"/>
    <w:rsid w:val="00440D43"/>
    <w:rsid w:val="00441B11"/>
    <w:rsid w:val="00441D7E"/>
    <w:rsid w:val="004429EE"/>
    <w:rsid w:val="00442AB5"/>
    <w:rsid w:val="00442F76"/>
    <w:rsid w:val="00444C84"/>
    <w:rsid w:val="0044558A"/>
    <w:rsid w:val="00447527"/>
    <w:rsid w:val="0045018E"/>
    <w:rsid w:val="00451EB0"/>
    <w:rsid w:val="004532FB"/>
    <w:rsid w:val="00453975"/>
    <w:rsid w:val="00454133"/>
    <w:rsid w:val="004544E7"/>
    <w:rsid w:val="0045589C"/>
    <w:rsid w:val="00455C90"/>
    <w:rsid w:val="00456BEC"/>
    <w:rsid w:val="00457444"/>
    <w:rsid w:val="0045795A"/>
    <w:rsid w:val="004603B6"/>
    <w:rsid w:val="004612E5"/>
    <w:rsid w:val="0046167E"/>
    <w:rsid w:val="00461ABA"/>
    <w:rsid w:val="00463A1C"/>
    <w:rsid w:val="00463AB7"/>
    <w:rsid w:val="00464862"/>
    <w:rsid w:val="00464C17"/>
    <w:rsid w:val="004657C6"/>
    <w:rsid w:val="00465AE0"/>
    <w:rsid w:val="00465E3E"/>
    <w:rsid w:val="00466386"/>
    <w:rsid w:val="00471CEF"/>
    <w:rsid w:val="0047251A"/>
    <w:rsid w:val="00472E9F"/>
    <w:rsid w:val="00473DD9"/>
    <w:rsid w:val="00475B1B"/>
    <w:rsid w:val="00475B4F"/>
    <w:rsid w:val="004802BE"/>
    <w:rsid w:val="0048157B"/>
    <w:rsid w:val="00481C2D"/>
    <w:rsid w:val="00484A9D"/>
    <w:rsid w:val="00485D78"/>
    <w:rsid w:val="00485FAB"/>
    <w:rsid w:val="0048696C"/>
    <w:rsid w:val="004870DB"/>
    <w:rsid w:val="00490D92"/>
    <w:rsid w:val="00491823"/>
    <w:rsid w:val="00491B38"/>
    <w:rsid w:val="004921DE"/>
    <w:rsid w:val="00495159"/>
    <w:rsid w:val="00495510"/>
    <w:rsid w:val="00495CB5"/>
    <w:rsid w:val="00496436"/>
    <w:rsid w:val="00497517"/>
    <w:rsid w:val="004A0434"/>
    <w:rsid w:val="004A277E"/>
    <w:rsid w:val="004A3A9A"/>
    <w:rsid w:val="004A4927"/>
    <w:rsid w:val="004A50C7"/>
    <w:rsid w:val="004A7CC9"/>
    <w:rsid w:val="004B009D"/>
    <w:rsid w:val="004B0599"/>
    <w:rsid w:val="004B09DC"/>
    <w:rsid w:val="004B1AF2"/>
    <w:rsid w:val="004B208E"/>
    <w:rsid w:val="004B240D"/>
    <w:rsid w:val="004B2682"/>
    <w:rsid w:val="004B3064"/>
    <w:rsid w:val="004B3767"/>
    <w:rsid w:val="004B3A3E"/>
    <w:rsid w:val="004B454C"/>
    <w:rsid w:val="004B4865"/>
    <w:rsid w:val="004B4AB5"/>
    <w:rsid w:val="004B5FFC"/>
    <w:rsid w:val="004B6CE1"/>
    <w:rsid w:val="004B6E4F"/>
    <w:rsid w:val="004B7D06"/>
    <w:rsid w:val="004C0534"/>
    <w:rsid w:val="004C0F59"/>
    <w:rsid w:val="004C1129"/>
    <w:rsid w:val="004C1790"/>
    <w:rsid w:val="004C3B7C"/>
    <w:rsid w:val="004C4188"/>
    <w:rsid w:val="004C4314"/>
    <w:rsid w:val="004C6187"/>
    <w:rsid w:val="004C7EEA"/>
    <w:rsid w:val="004D076A"/>
    <w:rsid w:val="004D1313"/>
    <w:rsid w:val="004D1A4D"/>
    <w:rsid w:val="004D3568"/>
    <w:rsid w:val="004D3E2E"/>
    <w:rsid w:val="004D435A"/>
    <w:rsid w:val="004D5906"/>
    <w:rsid w:val="004D6021"/>
    <w:rsid w:val="004D62B7"/>
    <w:rsid w:val="004D62D9"/>
    <w:rsid w:val="004D6C6F"/>
    <w:rsid w:val="004D7073"/>
    <w:rsid w:val="004D74A3"/>
    <w:rsid w:val="004D7718"/>
    <w:rsid w:val="004E18AE"/>
    <w:rsid w:val="004E3C2A"/>
    <w:rsid w:val="004E75C8"/>
    <w:rsid w:val="004E76FD"/>
    <w:rsid w:val="004F0320"/>
    <w:rsid w:val="004F03A5"/>
    <w:rsid w:val="004F1538"/>
    <w:rsid w:val="004F249F"/>
    <w:rsid w:val="004F4615"/>
    <w:rsid w:val="004F4A2B"/>
    <w:rsid w:val="004F521D"/>
    <w:rsid w:val="004F5462"/>
    <w:rsid w:val="004F5816"/>
    <w:rsid w:val="004F63D4"/>
    <w:rsid w:val="004F6B20"/>
    <w:rsid w:val="004F6FB5"/>
    <w:rsid w:val="004F722A"/>
    <w:rsid w:val="004F7992"/>
    <w:rsid w:val="005002D0"/>
    <w:rsid w:val="00500FFB"/>
    <w:rsid w:val="0050115D"/>
    <w:rsid w:val="0050461E"/>
    <w:rsid w:val="00506477"/>
    <w:rsid w:val="00506F9D"/>
    <w:rsid w:val="00507413"/>
    <w:rsid w:val="00507B9C"/>
    <w:rsid w:val="005122D7"/>
    <w:rsid w:val="00512307"/>
    <w:rsid w:val="0051271A"/>
    <w:rsid w:val="00512A40"/>
    <w:rsid w:val="005144C8"/>
    <w:rsid w:val="00515B1A"/>
    <w:rsid w:val="00516066"/>
    <w:rsid w:val="005161EA"/>
    <w:rsid w:val="0051640A"/>
    <w:rsid w:val="00516438"/>
    <w:rsid w:val="005175B4"/>
    <w:rsid w:val="00517D7B"/>
    <w:rsid w:val="00520CAC"/>
    <w:rsid w:val="00520DEF"/>
    <w:rsid w:val="0052102D"/>
    <w:rsid w:val="005212AB"/>
    <w:rsid w:val="005212FD"/>
    <w:rsid w:val="00523983"/>
    <w:rsid w:val="005256D9"/>
    <w:rsid w:val="00525806"/>
    <w:rsid w:val="0052589C"/>
    <w:rsid w:val="00525A90"/>
    <w:rsid w:val="00526562"/>
    <w:rsid w:val="00526ED0"/>
    <w:rsid w:val="0052779F"/>
    <w:rsid w:val="005332C8"/>
    <w:rsid w:val="00534FCC"/>
    <w:rsid w:val="00535627"/>
    <w:rsid w:val="00535FEA"/>
    <w:rsid w:val="0053622B"/>
    <w:rsid w:val="00537823"/>
    <w:rsid w:val="005378FC"/>
    <w:rsid w:val="00537D58"/>
    <w:rsid w:val="00540108"/>
    <w:rsid w:val="005417F2"/>
    <w:rsid w:val="00541F93"/>
    <w:rsid w:val="00542346"/>
    <w:rsid w:val="005426E2"/>
    <w:rsid w:val="0054348B"/>
    <w:rsid w:val="00543BE4"/>
    <w:rsid w:val="00544215"/>
    <w:rsid w:val="00544241"/>
    <w:rsid w:val="005442D3"/>
    <w:rsid w:val="00545EF4"/>
    <w:rsid w:val="005470FA"/>
    <w:rsid w:val="00550550"/>
    <w:rsid w:val="005512C8"/>
    <w:rsid w:val="005525CE"/>
    <w:rsid w:val="005531BE"/>
    <w:rsid w:val="00553B85"/>
    <w:rsid w:val="005541EF"/>
    <w:rsid w:val="005552E5"/>
    <w:rsid w:val="00555514"/>
    <w:rsid w:val="00555E15"/>
    <w:rsid w:val="00555EB0"/>
    <w:rsid w:val="00556290"/>
    <w:rsid w:val="00556C49"/>
    <w:rsid w:val="005578A6"/>
    <w:rsid w:val="00557B59"/>
    <w:rsid w:val="0056116A"/>
    <w:rsid w:val="00561257"/>
    <w:rsid w:val="00562563"/>
    <w:rsid w:val="00563797"/>
    <w:rsid w:val="00563AF7"/>
    <w:rsid w:val="00563D81"/>
    <w:rsid w:val="005642F1"/>
    <w:rsid w:val="005657EA"/>
    <w:rsid w:val="0056646C"/>
    <w:rsid w:val="0056670C"/>
    <w:rsid w:val="005674F3"/>
    <w:rsid w:val="00570002"/>
    <w:rsid w:val="00570462"/>
    <w:rsid w:val="00573B2C"/>
    <w:rsid w:val="005758CB"/>
    <w:rsid w:val="00577066"/>
    <w:rsid w:val="00577F6B"/>
    <w:rsid w:val="00580234"/>
    <w:rsid w:val="0058048F"/>
    <w:rsid w:val="005815E0"/>
    <w:rsid w:val="00582308"/>
    <w:rsid w:val="00582701"/>
    <w:rsid w:val="00583A5A"/>
    <w:rsid w:val="00583DCA"/>
    <w:rsid w:val="00584362"/>
    <w:rsid w:val="0058510F"/>
    <w:rsid w:val="0058782E"/>
    <w:rsid w:val="00587E9B"/>
    <w:rsid w:val="00590775"/>
    <w:rsid w:val="00590B1F"/>
    <w:rsid w:val="00591209"/>
    <w:rsid w:val="0059128B"/>
    <w:rsid w:val="00591DCA"/>
    <w:rsid w:val="0059353A"/>
    <w:rsid w:val="00593688"/>
    <w:rsid w:val="00595DF4"/>
    <w:rsid w:val="00596AD2"/>
    <w:rsid w:val="00596D05"/>
    <w:rsid w:val="00597BC6"/>
    <w:rsid w:val="005A0890"/>
    <w:rsid w:val="005A0CE4"/>
    <w:rsid w:val="005A15D5"/>
    <w:rsid w:val="005A1871"/>
    <w:rsid w:val="005A1EC4"/>
    <w:rsid w:val="005A2B43"/>
    <w:rsid w:val="005A3E55"/>
    <w:rsid w:val="005A4068"/>
    <w:rsid w:val="005A4798"/>
    <w:rsid w:val="005A4946"/>
    <w:rsid w:val="005A57AE"/>
    <w:rsid w:val="005A6087"/>
    <w:rsid w:val="005A74D5"/>
    <w:rsid w:val="005A79A1"/>
    <w:rsid w:val="005B095E"/>
    <w:rsid w:val="005B1B38"/>
    <w:rsid w:val="005B1BD0"/>
    <w:rsid w:val="005B240B"/>
    <w:rsid w:val="005B2981"/>
    <w:rsid w:val="005B2F20"/>
    <w:rsid w:val="005B3B66"/>
    <w:rsid w:val="005B3F84"/>
    <w:rsid w:val="005B430B"/>
    <w:rsid w:val="005B4CEB"/>
    <w:rsid w:val="005B585B"/>
    <w:rsid w:val="005B58D5"/>
    <w:rsid w:val="005B5DC0"/>
    <w:rsid w:val="005B6A2F"/>
    <w:rsid w:val="005B74AF"/>
    <w:rsid w:val="005B7B8A"/>
    <w:rsid w:val="005B7C59"/>
    <w:rsid w:val="005B7EE5"/>
    <w:rsid w:val="005B7F56"/>
    <w:rsid w:val="005C2436"/>
    <w:rsid w:val="005C2F94"/>
    <w:rsid w:val="005C49BF"/>
    <w:rsid w:val="005C4EB0"/>
    <w:rsid w:val="005C510F"/>
    <w:rsid w:val="005C542F"/>
    <w:rsid w:val="005C5F37"/>
    <w:rsid w:val="005C683F"/>
    <w:rsid w:val="005C72CF"/>
    <w:rsid w:val="005D0439"/>
    <w:rsid w:val="005D0AAC"/>
    <w:rsid w:val="005D113C"/>
    <w:rsid w:val="005D1837"/>
    <w:rsid w:val="005D1CE1"/>
    <w:rsid w:val="005D280C"/>
    <w:rsid w:val="005D2F1D"/>
    <w:rsid w:val="005D2FFD"/>
    <w:rsid w:val="005D3668"/>
    <w:rsid w:val="005D3748"/>
    <w:rsid w:val="005D4E8B"/>
    <w:rsid w:val="005D50E1"/>
    <w:rsid w:val="005D5B97"/>
    <w:rsid w:val="005D5C93"/>
    <w:rsid w:val="005D5F11"/>
    <w:rsid w:val="005D6D6D"/>
    <w:rsid w:val="005D7CF5"/>
    <w:rsid w:val="005E0365"/>
    <w:rsid w:val="005E0A6B"/>
    <w:rsid w:val="005E2FC8"/>
    <w:rsid w:val="005F00CD"/>
    <w:rsid w:val="005F0B29"/>
    <w:rsid w:val="005F0F55"/>
    <w:rsid w:val="005F1766"/>
    <w:rsid w:val="005F188F"/>
    <w:rsid w:val="005F199C"/>
    <w:rsid w:val="005F1D23"/>
    <w:rsid w:val="005F1F46"/>
    <w:rsid w:val="005F2047"/>
    <w:rsid w:val="005F2526"/>
    <w:rsid w:val="005F56E8"/>
    <w:rsid w:val="00600891"/>
    <w:rsid w:val="00601E23"/>
    <w:rsid w:val="00602C25"/>
    <w:rsid w:val="00604048"/>
    <w:rsid w:val="00604313"/>
    <w:rsid w:val="006068E3"/>
    <w:rsid w:val="00606968"/>
    <w:rsid w:val="006070DB"/>
    <w:rsid w:val="00610729"/>
    <w:rsid w:val="006107EF"/>
    <w:rsid w:val="00610960"/>
    <w:rsid w:val="00613CB8"/>
    <w:rsid w:val="0061739C"/>
    <w:rsid w:val="00617DEE"/>
    <w:rsid w:val="00617F7E"/>
    <w:rsid w:val="006201A7"/>
    <w:rsid w:val="00621708"/>
    <w:rsid w:val="00623576"/>
    <w:rsid w:val="00623843"/>
    <w:rsid w:val="00624244"/>
    <w:rsid w:val="00624EB2"/>
    <w:rsid w:val="006275F2"/>
    <w:rsid w:val="00631144"/>
    <w:rsid w:val="0063116F"/>
    <w:rsid w:val="006313AA"/>
    <w:rsid w:val="00631AC9"/>
    <w:rsid w:val="00631D7E"/>
    <w:rsid w:val="00633ACA"/>
    <w:rsid w:val="00634197"/>
    <w:rsid w:val="00635ABF"/>
    <w:rsid w:val="00636F67"/>
    <w:rsid w:val="00640161"/>
    <w:rsid w:val="00640F10"/>
    <w:rsid w:val="00640F9E"/>
    <w:rsid w:val="00641617"/>
    <w:rsid w:val="00643956"/>
    <w:rsid w:val="006443E2"/>
    <w:rsid w:val="006444A0"/>
    <w:rsid w:val="00646799"/>
    <w:rsid w:val="006504C9"/>
    <w:rsid w:val="00651E19"/>
    <w:rsid w:val="0065262C"/>
    <w:rsid w:val="00652696"/>
    <w:rsid w:val="00652A9E"/>
    <w:rsid w:val="00652B53"/>
    <w:rsid w:val="00653CEC"/>
    <w:rsid w:val="00654169"/>
    <w:rsid w:val="006545DB"/>
    <w:rsid w:val="00656822"/>
    <w:rsid w:val="00657C75"/>
    <w:rsid w:val="00657EDE"/>
    <w:rsid w:val="006600B4"/>
    <w:rsid w:val="00660F61"/>
    <w:rsid w:val="00662CEA"/>
    <w:rsid w:val="0066301E"/>
    <w:rsid w:val="00663271"/>
    <w:rsid w:val="00663DA1"/>
    <w:rsid w:val="0066464A"/>
    <w:rsid w:val="0066630D"/>
    <w:rsid w:val="00670E25"/>
    <w:rsid w:val="00671468"/>
    <w:rsid w:val="0067269E"/>
    <w:rsid w:val="00672C45"/>
    <w:rsid w:val="006742A2"/>
    <w:rsid w:val="0067448B"/>
    <w:rsid w:val="00674A40"/>
    <w:rsid w:val="00675246"/>
    <w:rsid w:val="00676034"/>
    <w:rsid w:val="00676908"/>
    <w:rsid w:val="00677A5B"/>
    <w:rsid w:val="00680545"/>
    <w:rsid w:val="006821BA"/>
    <w:rsid w:val="006837A2"/>
    <w:rsid w:val="00686266"/>
    <w:rsid w:val="006914F3"/>
    <w:rsid w:val="00692EAD"/>
    <w:rsid w:val="006933C5"/>
    <w:rsid w:val="00693797"/>
    <w:rsid w:val="00694F00"/>
    <w:rsid w:val="0069614B"/>
    <w:rsid w:val="006966CF"/>
    <w:rsid w:val="0069776E"/>
    <w:rsid w:val="006A16BE"/>
    <w:rsid w:val="006A2316"/>
    <w:rsid w:val="006A3745"/>
    <w:rsid w:val="006A3B04"/>
    <w:rsid w:val="006A4D79"/>
    <w:rsid w:val="006A5F88"/>
    <w:rsid w:val="006A6814"/>
    <w:rsid w:val="006A7FD1"/>
    <w:rsid w:val="006B3D78"/>
    <w:rsid w:val="006B41D4"/>
    <w:rsid w:val="006B44AE"/>
    <w:rsid w:val="006B5153"/>
    <w:rsid w:val="006B7E39"/>
    <w:rsid w:val="006C0740"/>
    <w:rsid w:val="006C11DA"/>
    <w:rsid w:val="006C1959"/>
    <w:rsid w:val="006C20EC"/>
    <w:rsid w:val="006C3431"/>
    <w:rsid w:val="006C5684"/>
    <w:rsid w:val="006C65E3"/>
    <w:rsid w:val="006C74D5"/>
    <w:rsid w:val="006C7A8F"/>
    <w:rsid w:val="006D019D"/>
    <w:rsid w:val="006D0D80"/>
    <w:rsid w:val="006D2597"/>
    <w:rsid w:val="006D3148"/>
    <w:rsid w:val="006D4672"/>
    <w:rsid w:val="006D7770"/>
    <w:rsid w:val="006E0999"/>
    <w:rsid w:val="006E1569"/>
    <w:rsid w:val="006E195E"/>
    <w:rsid w:val="006E1BE6"/>
    <w:rsid w:val="006E3309"/>
    <w:rsid w:val="006E39D0"/>
    <w:rsid w:val="006E3CC9"/>
    <w:rsid w:val="006E4DBF"/>
    <w:rsid w:val="006E7934"/>
    <w:rsid w:val="006F0B6E"/>
    <w:rsid w:val="006F1A85"/>
    <w:rsid w:val="006F2A20"/>
    <w:rsid w:val="006F3377"/>
    <w:rsid w:val="006F34B6"/>
    <w:rsid w:val="006F3F08"/>
    <w:rsid w:val="006F5499"/>
    <w:rsid w:val="006F6151"/>
    <w:rsid w:val="006F7FF7"/>
    <w:rsid w:val="00700C5A"/>
    <w:rsid w:val="0070103B"/>
    <w:rsid w:val="00701F84"/>
    <w:rsid w:val="0070277D"/>
    <w:rsid w:val="00702896"/>
    <w:rsid w:val="007029D6"/>
    <w:rsid w:val="0070311F"/>
    <w:rsid w:val="007036A5"/>
    <w:rsid w:val="007048CA"/>
    <w:rsid w:val="0070662D"/>
    <w:rsid w:val="00712117"/>
    <w:rsid w:val="007128C2"/>
    <w:rsid w:val="00714AEF"/>
    <w:rsid w:val="00715532"/>
    <w:rsid w:val="00715B79"/>
    <w:rsid w:val="0071710B"/>
    <w:rsid w:val="007200D6"/>
    <w:rsid w:val="00720B35"/>
    <w:rsid w:val="0072122A"/>
    <w:rsid w:val="00722164"/>
    <w:rsid w:val="007227D5"/>
    <w:rsid w:val="00723B87"/>
    <w:rsid w:val="00723BC6"/>
    <w:rsid w:val="007241C5"/>
    <w:rsid w:val="00726566"/>
    <w:rsid w:val="00726BDC"/>
    <w:rsid w:val="00731076"/>
    <w:rsid w:val="00731129"/>
    <w:rsid w:val="007315B0"/>
    <w:rsid w:val="007316F7"/>
    <w:rsid w:val="00732142"/>
    <w:rsid w:val="00734801"/>
    <w:rsid w:val="007356B0"/>
    <w:rsid w:val="00735837"/>
    <w:rsid w:val="00735D3A"/>
    <w:rsid w:val="0073626E"/>
    <w:rsid w:val="007362FC"/>
    <w:rsid w:val="007370D6"/>
    <w:rsid w:val="00737B06"/>
    <w:rsid w:val="00737D0B"/>
    <w:rsid w:val="007401F5"/>
    <w:rsid w:val="0074035E"/>
    <w:rsid w:val="00740415"/>
    <w:rsid w:val="007405D3"/>
    <w:rsid w:val="00740D99"/>
    <w:rsid w:val="00740F8A"/>
    <w:rsid w:val="0074159D"/>
    <w:rsid w:val="007423AE"/>
    <w:rsid w:val="00742B67"/>
    <w:rsid w:val="00745EB0"/>
    <w:rsid w:val="00747538"/>
    <w:rsid w:val="007517E5"/>
    <w:rsid w:val="00751D21"/>
    <w:rsid w:val="0075203C"/>
    <w:rsid w:val="0075336C"/>
    <w:rsid w:val="007546E8"/>
    <w:rsid w:val="00756533"/>
    <w:rsid w:val="0076153B"/>
    <w:rsid w:val="00761656"/>
    <w:rsid w:val="007617E7"/>
    <w:rsid w:val="00763EE7"/>
    <w:rsid w:val="00764482"/>
    <w:rsid w:val="00764CE4"/>
    <w:rsid w:val="00765037"/>
    <w:rsid w:val="007650FF"/>
    <w:rsid w:val="0076588D"/>
    <w:rsid w:val="0076720F"/>
    <w:rsid w:val="00770558"/>
    <w:rsid w:val="00772B68"/>
    <w:rsid w:val="00772E3B"/>
    <w:rsid w:val="007739AE"/>
    <w:rsid w:val="00773D8A"/>
    <w:rsid w:val="00773E94"/>
    <w:rsid w:val="00774037"/>
    <w:rsid w:val="0077705E"/>
    <w:rsid w:val="007807CB"/>
    <w:rsid w:val="0078089B"/>
    <w:rsid w:val="0078192F"/>
    <w:rsid w:val="00783F73"/>
    <w:rsid w:val="00785797"/>
    <w:rsid w:val="007858BF"/>
    <w:rsid w:val="007869DC"/>
    <w:rsid w:val="00787113"/>
    <w:rsid w:val="00787128"/>
    <w:rsid w:val="00787A77"/>
    <w:rsid w:val="00787E9E"/>
    <w:rsid w:val="00790226"/>
    <w:rsid w:val="00790CB4"/>
    <w:rsid w:val="00790E94"/>
    <w:rsid w:val="00791308"/>
    <w:rsid w:val="00791F61"/>
    <w:rsid w:val="007921F7"/>
    <w:rsid w:val="007933DE"/>
    <w:rsid w:val="007937EC"/>
    <w:rsid w:val="00794403"/>
    <w:rsid w:val="00794CAD"/>
    <w:rsid w:val="00794E55"/>
    <w:rsid w:val="00795FC6"/>
    <w:rsid w:val="007A10D1"/>
    <w:rsid w:val="007A4B58"/>
    <w:rsid w:val="007A5047"/>
    <w:rsid w:val="007A6427"/>
    <w:rsid w:val="007A6B51"/>
    <w:rsid w:val="007A6C63"/>
    <w:rsid w:val="007A6CEE"/>
    <w:rsid w:val="007A6D48"/>
    <w:rsid w:val="007A6D54"/>
    <w:rsid w:val="007A78B7"/>
    <w:rsid w:val="007B0F28"/>
    <w:rsid w:val="007B0F86"/>
    <w:rsid w:val="007B10E2"/>
    <w:rsid w:val="007B1723"/>
    <w:rsid w:val="007B27AD"/>
    <w:rsid w:val="007B2DF3"/>
    <w:rsid w:val="007B38E4"/>
    <w:rsid w:val="007B38FC"/>
    <w:rsid w:val="007B3ACA"/>
    <w:rsid w:val="007B3AEB"/>
    <w:rsid w:val="007B3EC8"/>
    <w:rsid w:val="007B5280"/>
    <w:rsid w:val="007B5296"/>
    <w:rsid w:val="007B6182"/>
    <w:rsid w:val="007B6F79"/>
    <w:rsid w:val="007B7110"/>
    <w:rsid w:val="007B7913"/>
    <w:rsid w:val="007B7DEA"/>
    <w:rsid w:val="007C1CA9"/>
    <w:rsid w:val="007C1D70"/>
    <w:rsid w:val="007C2FC4"/>
    <w:rsid w:val="007C3444"/>
    <w:rsid w:val="007C5225"/>
    <w:rsid w:val="007C52BA"/>
    <w:rsid w:val="007C55CC"/>
    <w:rsid w:val="007C5977"/>
    <w:rsid w:val="007C61B9"/>
    <w:rsid w:val="007C73BF"/>
    <w:rsid w:val="007C74E4"/>
    <w:rsid w:val="007C7969"/>
    <w:rsid w:val="007D0226"/>
    <w:rsid w:val="007D07E9"/>
    <w:rsid w:val="007D08D4"/>
    <w:rsid w:val="007D0B40"/>
    <w:rsid w:val="007D1EA6"/>
    <w:rsid w:val="007D23A3"/>
    <w:rsid w:val="007D252E"/>
    <w:rsid w:val="007D2742"/>
    <w:rsid w:val="007D2866"/>
    <w:rsid w:val="007D3ADD"/>
    <w:rsid w:val="007D3DA6"/>
    <w:rsid w:val="007D4033"/>
    <w:rsid w:val="007D418F"/>
    <w:rsid w:val="007E0022"/>
    <w:rsid w:val="007E1337"/>
    <w:rsid w:val="007E1E73"/>
    <w:rsid w:val="007E2132"/>
    <w:rsid w:val="007E3629"/>
    <w:rsid w:val="007E3BAF"/>
    <w:rsid w:val="007E7056"/>
    <w:rsid w:val="007E75C1"/>
    <w:rsid w:val="007F2267"/>
    <w:rsid w:val="007F2308"/>
    <w:rsid w:val="007F246C"/>
    <w:rsid w:val="007F2BC3"/>
    <w:rsid w:val="007F317B"/>
    <w:rsid w:val="007F360C"/>
    <w:rsid w:val="007F3F5E"/>
    <w:rsid w:val="007F4BA7"/>
    <w:rsid w:val="007F5447"/>
    <w:rsid w:val="007F596C"/>
    <w:rsid w:val="007F6610"/>
    <w:rsid w:val="007F7087"/>
    <w:rsid w:val="007F78D4"/>
    <w:rsid w:val="00800289"/>
    <w:rsid w:val="00801CB0"/>
    <w:rsid w:val="00801DC3"/>
    <w:rsid w:val="008040DA"/>
    <w:rsid w:val="00804A02"/>
    <w:rsid w:val="00804EFE"/>
    <w:rsid w:val="00805658"/>
    <w:rsid w:val="00805694"/>
    <w:rsid w:val="008062D9"/>
    <w:rsid w:val="008066F0"/>
    <w:rsid w:val="00806977"/>
    <w:rsid w:val="00806C46"/>
    <w:rsid w:val="00806F8F"/>
    <w:rsid w:val="00812E3F"/>
    <w:rsid w:val="008137A3"/>
    <w:rsid w:val="0081563A"/>
    <w:rsid w:val="0081655C"/>
    <w:rsid w:val="008179B7"/>
    <w:rsid w:val="00820519"/>
    <w:rsid w:val="00821A82"/>
    <w:rsid w:val="00821DE4"/>
    <w:rsid w:val="00822562"/>
    <w:rsid w:val="00824912"/>
    <w:rsid w:val="00826188"/>
    <w:rsid w:val="008262BD"/>
    <w:rsid w:val="00826795"/>
    <w:rsid w:val="00826856"/>
    <w:rsid w:val="00826909"/>
    <w:rsid w:val="0083123B"/>
    <w:rsid w:val="008335CF"/>
    <w:rsid w:val="00833AB8"/>
    <w:rsid w:val="00833BE9"/>
    <w:rsid w:val="0083564F"/>
    <w:rsid w:val="008364C7"/>
    <w:rsid w:val="008404F4"/>
    <w:rsid w:val="008410C1"/>
    <w:rsid w:val="0084159E"/>
    <w:rsid w:val="0084188F"/>
    <w:rsid w:val="00842698"/>
    <w:rsid w:val="00842E77"/>
    <w:rsid w:val="00843564"/>
    <w:rsid w:val="00844B0C"/>
    <w:rsid w:val="00844CD8"/>
    <w:rsid w:val="00845446"/>
    <w:rsid w:val="00845980"/>
    <w:rsid w:val="00845D6F"/>
    <w:rsid w:val="00845F26"/>
    <w:rsid w:val="00845FB2"/>
    <w:rsid w:val="008463EE"/>
    <w:rsid w:val="00852AEF"/>
    <w:rsid w:val="00852EC9"/>
    <w:rsid w:val="00853FDF"/>
    <w:rsid w:val="00854891"/>
    <w:rsid w:val="008548E8"/>
    <w:rsid w:val="008552AA"/>
    <w:rsid w:val="008553F3"/>
    <w:rsid w:val="008559C3"/>
    <w:rsid w:val="008561E5"/>
    <w:rsid w:val="00856424"/>
    <w:rsid w:val="008572BC"/>
    <w:rsid w:val="00857BC7"/>
    <w:rsid w:val="00860B0F"/>
    <w:rsid w:val="00862598"/>
    <w:rsid w:val="008629AC"/>
    <w:rsid w:val="00865907"/>
    <w:rsid w:val="0086616A"/>
    <w:rsid w:val="008709C1"/>
    <w:rsid w:val="008718E0"/>
    <w:rsid w:val="00873586"/>
    <w:rsid w:val="00873FCD"/>
    <w:rsid w:val="00874DBF"/>
    <w:rsid w:val="00874FA4"/>
    <w:rsid w:val="00875E1F"/>
    <w:rsid w:val="008765C2"/>
    <w:rsid w:val="008777D2"/>
    <w:rsid w:val="008801A3"/>
    <w:rsid w:val="0088061B"/>
    <w:rsid w:val="008837A4"/>
    <w:rsid w:val="00884A21"/>
    <w:rsid w:val="00885306"/>
    <w:rsid w:val="00885342"/>
    <w:rsid w:val="00886358"/>
    <w:rsid w:val="00886CD1"/>
    <w:rsid w:val="00890616"/>
    <w:rsid w:val="008910E2"/>
    <w:rsid w:val="008915CB"/>
    <w:rsid w:val="00892103"/>
    <w:rsid w:val="00893E25"/>
    <w:rsid w:val="00893EF8"/>
    <w:rsid w:val="00895CDC"/>
    <w:rsid w:val="00895EED"/>
    <w:rsid w:val="00896632"/>
    <w:rsid w:val="008A0CFA"/>
    <w:rsid w:val="008A0F26"/>
    <w:rsid w:val="008A2972"/>
    <w:rsid w:val="008A3744"/>
    <w:rsid w:val="008A3E6D"/>
    <w:rsid w:val="008A4009"/>
    <w:rsid w:val="008A586D"/>
    <w:rsid w:val="008A66C4"/>
    <w:rsid w:val="008A6933"/>
    <w:rsid w:val="008B047A"/>
    <w:rsid w:val="008B0CC4"/>
    <w:rsid w:val="008B1305"/>
    <w:rsid w:val="008B20D7"/>
    <w:rsid w:val="008B213A"/>
    <w:rsid w:val="008B2218"/>
    <w:rsid w:val="008B29B5"/>
    <w:rsid w:val="008B2CEC"/>
    <w:rsid w:val="008B3357"/>
    <w:rsid w:val="008B3AC1"/>
    <w:rsid w:val="008B3CDD"/>
    <w:rsid w:val="008B412A"/>
    <w:rsid w:val="008B44F5"/>
    <w:rsid w:val="008B4A43"/>
    <w:rsid w:val="008B51BC"/>
    <w:rsid w:val="008B51CE"/>
    <w:rsid w:val="008B52BD"/>
    <w:rsid w:val="008B5C66"/>
    <w:rsid w:val="008B5CE6"/>
    <w:rsid w:val="008B6726"/>
    <w:rsid w:val="008B6A8C"/>
    <w:rsid w:val="008B6BCB"/>
    <w:rsid w:val="008B777A"/>
    <w:rsid w:val="008B7930"/>
    <w:rsid w:val="008B7CE6"/>
    <w:rsid w:val="008C0D73"/>
    <w:rsid w:val="008C1AD6"/>
    <w:rsid w:val="008C1F54"/>
    <w:rsid w:val="008C441F"/>
    <w:rsid w:val="008C4D5D"/>
    <w:rsid w:val="008C64FE"/>
    <w:rsid w:val="008C7FE0"/>
    <w:rsid w:val="008D13DA"/>
    <w:rsid w:val="008D1E17"/>
    <w:rsid w:val="008D2B46"/>
    <w:rsid w:val="008D3B48"/>
    <w:rsid w:val="008D5DEC"/>
    <w:rsid w:val="008D5E6B"/>
    <w:rsid w:val="008D753D"/>
    <w:rsid w:val="008E01AD"/>
    <w:rsid w:val="008E0B77"/>
    <w:rsid w:val="008E0D60"/>
    <w:rsid w:val="008E1CFE"/>
    <w:rsid w:val="008E39A6"/>
    <w:rsid w:val="008E55F9"/>
    <w:rsid w:val="008E610F"/>
    <w:rsid w:val="008F0ACA"/>
    <w:rsid w:val="008F2F9E"/>
    <w:rsid w:val="008F64A8"/>
    <w:rsid w:val="008F6681"/>
    <w:rsid w:val="008F76AD"/>
    <w:rsid w:val="008F76E2"/>
    <w:rsid w:val="00900BA9"/>
    <w:rsid w:val="009013B5"/>
    <w:rsid w:val="009037A0"/>
    <w:rsid w:val="00903C53"/>
    <w:rsid w:val="00903C73"/>
    <w:rsid w:val="00905350"/>
    <w:rsid w:val="00906B28"/>
    <w:rsid w:val="0090746C"/>
    <w:rsid w:val="00910E14"/>
    <w:rsid w:val="00913FBC"/>
    <w:rsid w:val="0091453A"/>
    <w:rsid w:val="00914A36"/>
    <w:rsid w:val="00914FE1"/>
    <w:rsid w:val="009157F3"/>
    <w:rsid w:val="00916D34"/>
    <w:rsid w:val="009211B2"/>
    <w:rsid w:val="009219CD"/>
    <w:rsid w:val="00923B5B"/>
    <w:rsid w:val="0092462F"/>
    <w:rsid w:val="0092706D"/>
    <w:rsid w:val="0092799D"/>
    <w:rsid w:val="00931992"/>
    <w:rsid w:val="009340EF"/>
    <w:rsid w:val="00934D3B"/>
    <w:rsid w:val="0093533D"/>
    <w:rsid w:val="009400F6"/>
    <w:rsid w:val="00940DF8"/>
    <w:rsid w:val="00940F8D"/>
    <w:rsid w:val="00941059"/>
    <w:rsid w:val="00941B72"/>
    <w:rsid w:val="00941FBF"/>
    <w:rsid w:val="00943B6D"/>
    <w:rsid w:val="00944A27"/>
    <w:rsid w:val="00947276"/>
    <w:rsid w:val="00947B38"/>
    <w:rsid w:val="00953906"/>
    <w:rsid w:val="00954072"/>
    <w:rsid w:val="00954D9E"/>
    <w:rsid w:val="00954F52"/>
    <w:rsid w:val="0095517B"/>
    <w:rsid w:val="009552FA"/>
    <w:rsid w:val="00955452"/>
    <w:rsid w:val="00955488"/>
    <w:rsid w:val="009557EA"/>
    <w:rsid w:val="009579C9"/>
    <w:rsid w:val="00960582"/>
    <w:rsid w:val="0096059A"/>
    <w:rsid w:val="00960E68"/>
    <w:rsid w:val="009630F8"/>
    <w:rsid w:val="00963F7C"/>
    <w:rsid w:val="00964856"/>
    <w:rsid w:val="009648A2"/>
    <w:rsid w:val="00964FD6"/>
    <w:rsid w:val="00965493"/>
    <w:rsid w:val="00966488"/>
    <w:rsid w:val="00966B6C"/>
    <w:rsid w:val="00967565"/>
    <w:rsid w:val="00971834"/>
    <w:rsid w:val="00972C1D"/>
    <w:rsid w:val="00972EDB"/>
    <w:rsid w:val="0097459C"/>
    <w:rsid w:val="00974B44"/>
    <w:rsid w:val="00977C21"/>
    <w:rsid w:val="0098094C"/>
    <w:rsid w:val="009811BB"/>
    <w:rsid w:val="0098150B"/>
    <w:rsid w:val="00981B95"/>
    <w:rsid w:val="00982C62"/>
    <w:rsid w:val="00982C6F"/>
    <w:rsid w:val="0098451D"/>
    <w:rsid w:val="00985179"/>
    <w:rsid w:val="009854CB"/>
    <w:rsid w:val="009855E3"/>
    <w:rsid w:val="00987511"/>
    <w:rsid w:val="00990D27"/>
    <w:rsid w:val="00991D74"/>
    <w:rsid w:val="0099345F"/>
    <w:rsid w:val="0099406A"/>
    <w:rsid w:val="00995566"/>
    <w:rsid w:val="00995FF2"/>
    <w:rsid w:val="00996E9C"/>
    <w:rsid w:val="00997439"/>
    <w:rsid w:val="009979EB"/>
    <w:rsid w:val="00997C0C"/>
    <w:rsid w:val="009A042E"/>
    <w:rsid w:val="009A11A4"/>
    <w:rsid w:val="009A2E7B"/>
    <w:rsid w:val="009A2FDD"/>
    <w:rsid w:val="009A309E"/>
    <w:rsid w:val="009A424E"/>
    <w:rsid w:val="009A6770"/>
    <w:rsid w:val="009A7268"/>
    <w:rsid w:val="009B1704"/>
    <w:rsid w:val="009B2EBE"/>
    <w:rsid w:val="009B49E4"/>
    <w:rsid w:val="009B4EDE"/>
    <w:rsid w:val="009B503C"/>
    <w:rsid w:val="009B5564"/>
    <w:rsid w:val="009B5F6A"/>
    <w:rsid w:val="009B7AE3"/>
    <w:rsid w:val="009B7D23"/>
    <w:rsid w:val="009C1FE1"/>
    <w:rsid w:val="009C20E7"/>
    <w:rsid w:val="009C409D"/>
    <w:rsid w:val="009C49E9"/>
    <w:rsid w:val="009C5ADA"/>
    <w:rsid w:val="009C64EA"/>
    <w:rsid w:val="009D0FA2"/>
    <w:rsid w:val="009D2EE6"/>
    <w:rsid w:val="009D4D9B"/>
    <w:rsid w:val="009D6609"/>
    <w:rsid w:val="009D7073"/>
    <w:rsid w:val="009D7C9E"/>
    <w:rsid w:val="009E06F6"/>
    <w:rsid w:val="009E0730"/>
    <w:rsid w:val="009E2DBD"/>
    <w:rsid w:val="009E4366"/>
    <w:rsid w:val="009E5B76"/>
    <w:rsid w:val="009F0403"/>
    <w:rsid w:val="009F0BBF"/>
    <w:rsid w:val="009F1C47"/>
    <w:rsid w:val="009F21A8"/>
    <w:rsid w:val="009F2371"/>
    <w:rsid w:val="009F23C1"/>
    <w:rsid w:val="009F43C7"/>
    <w:rsid w:val="009F465D"/>
    <w:rsid w:val="009F4F70"/>
    <w:rsid w:val="009F5053"/>
    <w:rsid w:val="009F58C9"/>
    <w:rsid w:val="009F678A"/>
    <w:rsid w:val="009F6DBC"/>
    <w:rsid w:val="00A006A5"/>
    <w:rsid w:val="00A017CF"/>
    <w:rsid w:val="00A03371"/>
    <w:rsid w:val="00A03EEB"/>
    <w:rsid w:val="00A05320"/>
    <w:rsid w:val="00A1062E"/>
    <w:rsid w:val="00A10766"/>
    <w:rsid w:val="00A147A7"/>
    <w:rsid w:val="00A14FC8"/>
    <w:rsid w:val="00A172C6"/>
    <w:rsid w:val="00A20E01"/>
    <w:rsid w:val="00A21935"/>
    <w:rsid w:val="00A229E6"/>
    <w:rsid w:val="00A248F4"/>
    <w:rsid w:val="00A25799"/>
    <w:rsid w:val="00A26886"/>
    <w:rsid w:val="00A27838"/>
    <w:rsid w:val="00A316F1"/>
    <w:rsid w:val="00A321B7"/>
    <w:rsid w:val="00A32D7C"/>
    <w:rsid w:val="00A36132"/>
    <w:rsid w:val="00A36406"/>
    <w:rsid w:val="00A368FA"/>
    <w:rsid w:val="00A37922"/>
    <w:rsid w:val="00A4039A"/>
    <w:rsid w:val="00A40C2E"/>
    <w:rsid w:val="00A42276"/>
    <w:rsid w:val="00A431FE"/>
    <w:rsid w:val="00A43BEB"/>
    <w:rsid w:val="00A444A3"/>
    <w:rsid w:val="00A4570D"/>
    <w:rsid w:val="00A5285D"/>
    <w:rsid w:val="00A531DA"/>
    <w:rsid w:val="00A53553"/>
    <w:rsid w:val="00A535A2"/>
    <w:rsid w:val="00A54B34"/>
    <w:rsid w:val="00A55384"/>
    <w:rsid w:val="00A55F4E"/>
    <w:rsid w:val="00A5644F"/>
    <w:rsid w:val="00A56ADF"/>
    <w:rsid w:val="00A56EDA"/>
    <w:rsid w:val="00A5746D"/>
    <w:rsid w:val="00A60CD4"/>
    <w:rsid w:val="00A61103"/>
    <w:rsid w:val="00A61E86"/>
    <w:rsid w:val="00A62370"/>
    <w:rsid w:val="00A625D5"/>
    <w:rsid w:val="00A6374E"/>
    <w:rsid w:val="00A6378A"/>
    <w:rsid w:val="00A63909"/>
    <w:rsid w:val="00A64B8E"/>
    <w:rsid w:val="00A64DC7"/>
    <w:rsid w:val="00A65268"/>
    <w:rsid w:val="00A66360"/>
    <w:rsid w:val="00A66361"/>
    <w:rsid w:val="00A66384"/>
    <w:rsid w:val="00A66513"/>
    <w:rsid w:val="00A67488"/>
    <w:rsid w:val="00A67721"/>
    <w:rsid w:val="00A71397"/>
    <w:rsid w:val="00A72219"/>
    <w:rsid w:val="00A724CA"/>
    <w:rsid w:val="00A72801"/>
    <w:rsid w:val="00A739B7"/>
    <w:rsid w:val="00A749F7"/>
    <w:rsid w:val="00A755E1"/>
    <w:rsid w:val="00A756AD"/>
    <w:rsid w:val="00A75C02"/>
    <w:rsid w:val="00A77542"/>
    <w:rsid w:val="00A82572"/>
    <w:rsid w:val="00A830F9"/>
    <w:rsid w:val="00A8394E"/>
    <w:rsid w:val="00A84739"/>
    <w:rsid w:val="00A84899"/>
    <w:rsid w:val="00A85F93"/>
    <w:rsid w:val="00A8610F"/>
    <w:rsid w:val="00A862F6"/>
    <w:rsid w:val="00A8686F"/>
    <w:rsid w:val="00A9016A"/>
    <w:rsid w:val="00A91325"/>
    <w:rsid w:val="00A92326"/>
    <w:rsid w:val="00A92FB3"/>
    <w:rsid w:val="00A93092"/>
    <w:rsid w:val="00A938BF"/>
    <w:rsid w:val="00A9391D"/>
    <w:rsid w:val="00A94249"/>
    <w:rsid w:val="00A944B0"/>
    <w:rsid w:val="00A9541E"/>
    <w:rsid w:val="00A967B2"/>
    <w:rsid w:val="00A96C4E"/>
    <w:rsid w:val="00A96F38"/>
    <w:rsid w:val="00A97BC9"/>
    <w:rsid w:val="00AA0628"/>
    <w:rsid w:val="00AA1496"/>
    <w:rsid w:val="00AA1B63"/>
    <w:rsid w:val="00AA2F48"/>
    <w:rsid w:val="00AA3E6E"/>
    <w:rsid w:val="00AA4F55"/>
    <w:rsid w:val="00AA538C"/>
    <w:rsid w:val="00AA5CE0"/>
    <w:rsid w:val="00AA77FB"/>
    <w:rsid w:val="00AA7D4E"/>
    <w:rsid w:val="00AB0FC2"/>
    <w:rsid w:val="00AB12C9"/>
    <w:rsid w:val="00AB14F4"/>
    <w:rsid w:val="00AB1BEF"/>
    <w:rsid w:val="00AB1C22"/>
    <w:rsid w:val="00AB3200"/>
    <w:rsid w:val="00AB3F37"/>
    <w:rsid w:val="00AB4897"/>
    <w:rsid w:val="00AB5DC3"/>
    <w:rsid w:val="00AB7474"/>
    <w:rsid w:val="00AC1B1A"/>
    <w:rsid w:val="00AC3ACE"/>
    <w:rsid w:val="00AC5897"/>
    <w:rsid w:val="00AC6D99"/>
    <w:rsid w:val="00AD0075"/>
    <w:rsid w:val="00AD0F19"/>
    <w:rsid w:val="00AD137C"/>
    <w:rsid w:val="00AD166B"/>
    <w:rsid w:val="00AD24C8"/>
    <w:rsid w:val="00AD2955"/>
    <w:rsid w:val="00AD2EE6"/>
    <w:rsid w:val="00AD3C58"/>
    <w:rsid w:val="00AD3EE9"/>
    <w:rsid w:val="00AD53FC"/>
    <w:rsid w:val="00AD5446"/>
    <w:rsid w:val="00AE084C"/>
    <w:rsid w:val="00AE0D90"/>
    <w:rsid w:val="00AE0F64"/>
    <w:rsid w:val="00AE1CA1"/>
    <w:rsid w:val="00AE39AA"/>
    <w:rsid w:val="00AE3DD9"/>
    <w:rsid w:val="00AE4A2C"/>
    <w:rsid w:val="00AE5D46"/>
    <w:rsid w:val="00AF1147"/>
    <w:rsid w:val="00AF1906"/>
    <w:rsid w:val="00AF269C"/>
    <w:rsid w:val="00AF3D25"/>
    <w:rsid w:val="00AF4343"/>
    <w:rsid w:val="00AF472B"/>
    <w:rsid w:val="00AF4ECE"/>
    <w:rsid w:val="00AF59A5"/>
    <w:rsid w:val="00AF64A7"/>
    <w:rsid w:val="00AF78B5"/>
    <w:rsid w:val="00AF79BD"/>
    <w:rsid w:val="00B00483"/>
    <w:rsid w:val="00B0110D"/>
    <w:rsid w:val="00B01AA1"/>
    <w:rsid w:val="00B037B8"/>
    <w:rsid w:val="00B041C9"/>
    <w:rsid w:val="00B04E07"/>
    <w:rsid w:val="00B055D0"/>
    <w:rsid w:val="00B06373"/>
    <w:rsid w:val="00B07046"/>
    <w:rsid w:val="00B077BB"/>
    <w:rsid w:val="00B11967"/>
    <w:rsid w:val="00B11FCA"/>
    <w:rsid w:val="00B127E9"/>
    <w:rsid w:val="00B12842"/>
    <w:rsid w:val="00B12E30"/>
    <w:rsid w:val="00B14AD9"/>
    <w:rsid w:val="00B156FD"/>
    <w:rsid w:val="00B1675F"/>
    <w:rsid w:val="00B17C9F"/>
    <w:rsid w:val="00B215E8"/>
    <w:rsid w:val="00B25922"/>
    <w:rsid w:val="00B276C8"/>
    <w:rsid w:val="00B27FB2"/>
    <w:rsid w:val="00B307F0"/>
    <w:rsid w:val="00B31A23"/>
    <w:rsid w:val="00B31CFA"/>
    <w:rsid w:val="00B31EAF"/>
    <w:rsid w:val="00B32B82"/>
    <w:rsid w:val="00B3341A"/>
    <w:rsid w:val="00B339D6"/>
    <w:rsid w:val="00B33C32"/>
    <w:rsid w:val="00B33CA1"/>
    <w:rsid w:val="00B34326"/>
    <w:rsid w:val="00B34538"/>
    <w:rsid w:val="00B34F27"/>
    <w:rsid w:val="00B366CA"/>
    <w:rsid w:val="00B37955"/>
    <w:rsid w:val="00B3799D"/>
    <w:rsid w:val="00B40618"/>
    <w:rsid w:val="00B40B4B"/>
    <w:rsid w:val="00B40B8F"/>
    <w:rsid w:val="00B41281"/>
    <w:rsid w:val="00B41568"/>
    <w:rsid w:val="00B41809"/>
    <w:rsid w:val="00B41E54"/>
    <w:rsid w:val="00B41F18"/>
    <w:rsid w:val="00B42BED"/>
    <w:rsid w:val="00B43793"/>
    <w:rsid w:val="00B442B8"/>
    <w:rsid w:val="00B44558"/>
    <w:rsid w:val="00B446C9"/>
    <w:rsid w:val="00B453CC"/>
    <w:rsid w:val="00B46672"/>
    <w:rsid w:val="00B4772C"/>
    <w:rsid w:val="00B500C6"/>
    <w:rsid w:val="00B50661"/>
    <w:rsid w:val="00B50A77"/>
    <w:rsid w:val="00B50CBD"/>
    <w:rsid w:val="00B517D4"/>
    <w:rsid w:val="00B51CA1"/>
    <w:rsid w:val="00B5213C"/>
    <w:rsid w:val="00B527A9"/>
    <w:rsid w:val="00B53527"/>
    <w:rsid w:val="00B53C40"/>
    <w:rsid w:val="00B5550F"/>
    <w:rsid w:val="00B57974"/>
    <w:rsid w:val="00B5797F"/>
    <w:rsid w:val="00B6230F"/>
    <w:rsid w:val="00B6422A"/>
    <w:rsid w:val="00B6559E"/>
    <w:rsid w:val="00B66577"/>
    <w:rsid w:val="00B676A5"/>
    <w:rsid w:val="00B67990"/>
    <w:rsid w:val="00B70562"/>
    <w:rsid w:val="00B7172F"/>
    <w:rsid w:val="00B71E1A"/>
    <w:rsid w:val="00B72E71"/>
    <w:rsid w:val="00B72EF3"/>
    <w:rsid w:val="00B73416"/>
    <w:rsid w:val="00B74FB5"/>
    <w:rsid w:val="00B7544A"/>
    <w:rsid w:val="00B756CD"/>
    <w:rsid w:val="00B77F9B"/>
    <w:rsid w:val="00B8034C"/>
    <w:rsid w:val="00B82034"/>
    <w:rsid w:val="00B825CC"/>
    <w:rsid w:val="00B8264B"/>
    <w:rsid w:val="00B83604"/>
    <w:rsid w:val="00B840B6"/>
    <w:rsid w:val="00B859A8"/>
    <w:rsid w:val="00B8655A"/>
    <w:rsid w:val="00B870C4"/>
    <w:rsid w:val="00B87304"/>
    <w:rsid w:val="00B87DF2"/>
    <w:rsid w:val="00B87E66"/>
    <w:rsid w:val="00B9094B"/>
    <w:rsid w:val="00B916F6"/>
    <w:rsid w:val="00B9278A"/>
    <w:rsid w:val="00B95ADC"/>
    <w:rsid w:val="00B95CE0"/>
    <w:rsid w:val="00B97D64"/>
    <w:rsid w:val="00BA025E"/>
    <w:rsid w:val="00BA0737"/>
    <w:rsid w:val="00BA0E58"/>
    <w:rsid w:val="00BA1231"/>
    <w:rsid w:val="00BA1B2D"/>
    <w:rsid w:val="00BA1E7F"/>
    <w:rsid w:val="00BA2E3C"/>
    <w:rsid w:val="00BA335C"/>
    <w:rsid w:val="00BA59BB"/>
    <w:rsid w:val="00BA612B"/>
    <w:rsid w:val="00BA73D4"/>
    <w:rsid w:val="00BA74FE"/>
    <w:rsid w:val="00BA7716"/>
    <w:rsid w:val="00BB0559"/>
    <w:rsid w:val="00BB165E"/>
    <w:rsid w:val="00BB1CB3"/>
    <w:rsid w:val="00BB2A39"/>
    <w:rsid w:val="00BB3323"/>
    <w:rsid w:val="00BB40AD"/>
    <w:rsid w:val="00BB5808"/>
    <w:rsid w:val="00BB6667"/>
    <w:rsid w:val="00BB67A2"/>
    <w:rsid w:val="00BB68DF"/>
    <w:rsid w:val="00BB714D"/>
    <w:rsid w:val="00BB7331"/>
    <w:rsid w:val="00BB792F"/>
    <w:rsid w:val="00BC0164"/>
    <w:rsid w:val="00BC06F4"/>
    <w:rsid w:val="00BC1009"/>
    <w:rsid w:val="00BC1D11"/>
    <w:rsid w:val="00BC2A13"/>
    <w:rsid w:val="00BC418F"/>
    <w:rsid w:val="00BC56EA"/>
    <w:rsid w:val="00BC5776"/>
    <w:rsid w:val="00BC6243"/>
    <w:rsid w:val="00BC6588"/>
    <w:rsid w:val="00BC768C"/>
    <w:rsid w:val="00BD07DA"/>
    <w:rsid w:val="00BD5360"/>
    <w:rsid w:val="00BD546C"/>
    <w:rsid w:val="00BD626F"/>
    <w:rsid w:val="00BD7248"/>
    <w:rsid w:val="00BE1509"/>
    <w:rsid w:val="00BE2C12"/>
    <w:rsid w:val="00BE3330"/>
    <w:rsid w:val="00BE3463"/>
    <w:rsid w:val="00BE3BC9"/>
    <w:rsid w:val="00BE4746"/>
    <w:rsid w:val="00BE4CEE"/>
    <w:rsid w:val="00BE53CE"/>
    <w:rsid w:val="00BE5555"/>
    <w:rsid w:val="00BE5EC9"/>
    <w:rsid w:val="00BE66B1"/>
    <w:rsid w:val="00BE6950"/>
    <w:rsid w:val="00BE7327"/>
    <w:rsid w:val="00BE79C9"/>
    <w:rsid w:val="00BE7B06"/>
    <w:rsid w:val="00BE7EF5"/>
    <w:rsid w:val="00BE7F16"/>
    <w:rsid w:val="00BF1814"/>
    <w:rsid w:val="00BF1C90"/>
    <w:rsid w:val="00BF5284"/>
    <w:rsid w:val="00BF60B6"/>
    <w:rsid w:val="00BF73EF"/>
    <w:rsid w:val="00BF7592"/>
    <w:rsid w:val="00BF7CBF"/>
    <w:rsid w:val="00C0134E"/>
    <w:rsid w:val="00C0231B"/>
    <w:rsid w:val="00C02A12"/>
    <w:rsid w:val="00C03267"/>
    <w:rsid w:val="00C03FCA"/>
    <w:rsid w:val="00C0458D"/>
    <w:rsid w:val="00C0556B"/>
    <w:rsid w:val="00C058A8"/>
    <w:rsid w:val="00C0721C"/>
    <w:rsid w:val="00C10885"/>
    <w:rsid w:val="00C10991"/>
    <w:rsid w:val="00C10BD1"/>
    <w:rsid w:val="00C10E39"/>
    <w:rsid w:val="00C121BD"/>
    <w:rsid w:val="00C14540"/>
    <w:rsid w:val="00C14A2F"/>
    <w:rsid w:val="00C1500F"/>
    <w:rsid w:val="00C15151"/>
    <w:rsid w:val="00C22A24"/>
    <w:rsid w:val="00C22E74"/>
    <w:rsid w:val="00C23E08"/>
    <w:rsid w:val="00C258FA"/>
    <w:rsid w:val="00C25F42"/>
    <w:rsid w:val="00C267A3"/>
    <w:rsid w:val="00C26ACD"/>
    <w:rsid w:val="00C27E4E"/>
    <w:rsid w:val="00C305A7"/>
    <w:rsid w:val="00C33046"/>
    <w:rsid w:val="00C3458A"/>
    <w:rsid w:val="00C346D5"/>
    <w:rsid w:val="00C35F56"/>
    <w:rsid w:val="00C3614C"/>
    <w:rsid w:val="00C3714E"/>
    <w:rsid w:val="00C374E5"/>
    <w:rsid w:val="00C40E20"/>
    <w:rsid w:val="00C4216E"/>
    <w:rsid w:val="00C429C3"/>
    <w:rsid w:val="00C43271"/>
    <w:rsid w:val="00C43BC4"/>
    <w:rsid w:val="00C4492F"/>
    <w:rsid w:val="00C45986"/>
    <w:rsid w:val="00C4641B"/>
    <w:rsid w:val="00C4651A"/>
    <w:rsid w:val="00C513AE"/>
    <w:rsid w:val="00C52E93"/>
    <w:rsid w:val="00C53165"/>
    <w:rsid w:val="00C5329A"/>
    <w:rsid w:val="00C5538F"/>
    <w:rsid w:val="00C56EFE"/>
    <w:rsid w:val="00C57662"/>
    <w:rsid w:val="00C6081E"/>
    <w:rsid w:val="00C61D43"/>
    <w:rsid w:val="00C64534"/>
    <w:rsid w:val="00C647BB"/>
    <w:rsid w:val="00C6535C"/>
    <w:rsid w:val="00C6578B"/>
    <w:rsid w:val="00C66F96"/>
    <w:rsid w:val="00C67042"/>
    <w:rsid w:val="00C671E2"/>
    <w:rsid w:val="00C751C1"/>
    <w:rsid w:val="00C75200"/>
    <w:rsid w:val="00C75206"/>
    <w:rsid w:val="00C77DFE"/>
    <w:rsid w:val="00C80ABA"/>
    <w:rsid w:val="00C81963"/>
    <w:rsid w:val="00C819B4"/>
    <w:rsid w:val="00C82149"/>
    <w:rsid w:val="00C85CE9"/>
    <w:rsid w:val="00C8648A"/>
    <w:rsid w:val="00C8769E"/>
    <w:rsid w:val="00C9099F"/>
    <w:rsid w:val="00C90C9B"/>
    <w:rsid w:val="00C91199"/>
    <w:rsid w:val="00C93593"/>
    <w:rsid w:val="00C944AD"/>
    <w:rsid w:val="00C94A91"/>
    <w:rsid w:val="00C94D06"/>
    <w:rsid w:val="00C9519F"/>
    <w:rsid w:val="00C96AD8"/>
    <w:rsid w:val="00C97DF2"/>
    <w:rsid w:val="00CA09EC"/>
    <w:rsid w:val="00CA143D"/>
    <w:rsid w:val="00CA21EA"/>
    <w:rsid w:val="00CA2BE9"/>
    <w:rsid w:val="00CA3224"/>
    <w:rsid w:val="00CA3843"/>
    <w:rsid w:val="00CA5D40"/>
    <w:rsid w:val="00CA60CD"/>
    <w:rsid w:val="00CA7085"/>
    <w:rsid w:val="00CA7981"/>
    <w:rsid w:val="00CA7A12"/>
    <w:rsid w:val="00CB0970"/>
    <w:rsid w:val="00CB0BF9"/>
    <w:rsid w:val="00CB1213"/>
    <w:rsid w:val="00CB152C"/>
    <w:rsid w:val="00CB1E31"/>
    <w:rsid w:val="00CB2124"/>
    <w:rsid w:val="00CB26B6"/>
    <w:rsid w:val="00CB2856"/>
    <w:rsid w:val="00CB2C91"/>
    <w:rsid w:val="00CB37EA"/>
    <w:rsid w:val="00CB482F"/>
    <w:rsid w:val="00CB4F59"/>
    <w:rsid w:val="00CB5FC8"/>
    <w:rsid w:val="00CB60DA"/>
    <w:rsid w:val="00CB7A23"/>
    <w:rsid w:val="00CC0434"/>
    <w:rsid w:val="00CC0F01"/>
    <w:rsid w:val="00CC4C9B"/>
    <w:rsid w:val="00CC5273"/>
    <w:rsid w:val="00CC5725"/>
    <w:rsid w:val="00CC6EE5"/>
    <w:rsid w:val="00CC6FE1"/>
    <w:rsid w:val="00CC75A1"/>
    <w:rsid w:val="00CD040C"/>
    <w:rsid w:val="00CD3ACA"/>
    <w:rsid w:val="00CD4407"/>
    <w:rsid w:val="00CD67E3"/>
    <w:rsid w:val="00CE241E"/>
    <w:rsid w:val="00CE26EF"/>
    <w:rsid w:val="00CE2C34"/>
    <w:rsid w:val="00CE3A0D"/>
    <w:rsid w:val="00CE3E53"/>
    <w:rsid w:val="00CE3F94"/>
    <w:rsid w:val="00CE4E0C"/>
    <w:rsid w:val="00CE511B"/>
    <w:rsid w:val="00CE5BA9"/>
    <w:rsid w:val="00CE5FC8"/>
    <w:rsid w:val="00CE5FEB"/>
    <w:rsid w:val="00CF0D15"/>
    <w:rsid w:val="00CF2312"/>
    <w:rsid w:val="00CF25B2"/>
    <w:rsid w:val="00CF45FB"/>
    <w:rsid w:val="00CF499B"/>
    <w:rsid w:val="00CF5680"/>
    <w:rsid w:val="00CF5A13"/>
    <w:rsid w:val="00CF6809"/>
    <w:rsid w:val="00D00F5A"/>
    <w:rsid w:val="00D03172"/>
    <w:rsid w:val="00D03C71"/>
    <w:rsid w:val="00D04036"/>
    <w:rsid w:val="00D04513"/>
    <w:rsid w:val="00D05440"/>
    <w:rsid w:val="00D0657E"/>
    <w:rsid w:val="00D0748D"/>
    <w:rsid w:val="00D077C1"/>
    <w:rsid w:val="00D1006E"/>
    <w:rsid w:val="00D11576"/>
    <w:rsid w:val="00D11923"/>
    <w:rsid w:val="00D11C94"/>
    <w:rsid w:val="00D137B7"/>
    <w:rsid w:val="00D138FD"/>
    <w:rsid w:val="00D13B44"/>
    <w:rsid w:val="00D13CAE"/>
    <w:rsid w:val="00D1509A"/>
    <w:rsid w:val="00D15B3C"/>
    <w:rsid w:val="00D160CF"/>
    <w:rsid w:val="00D162A6"/>
    <w:rsid w:val="00D1699C"/>
    <w:rsid w:val="00D169CD"/>
    <w:rsid w:val="00D1771B"/>
    <w:rsid w:val="00D17CE0"/>
    <w:rsid w:val="00D17D2D"/>
    <w:rsid w:val="00D2200A"/>
    <w:rsid w:val="00D2260F"/>
    <w:rsid w:val="00D227C2"/>
    <w:rsid w:val="00D22A74"/>
    <w:rsid w:val="00D22C97"/>
    <w:rsid w:val="00D2572A"/>
    <w:rsid w:val="00D25D03"/>
    <w:rsid w:val="00D26827"/>
    <w:rsid w:val="00D275C9"/>
    <w:rsid w:val="00D27A01"/>
    <w:rsid w:val="00D33014"/>
    <w:rsid w:val="00D331BD"/>
    <w:rsid w:val="00D33A6F"/>
    <w:rsid w:val="00D37290"/>
    <w:rsid w:val="00D416DE"/>
    <w:rsid w:val="00D44612"/>
    <w:rsid w:val="00D4489C"/>
    <w:rsid w:val="00D4650F"/>
    <w:rsid w:val="00D46954"/>
    <w:rsid w:val="00D51581"/>
    <w:rsid w:val="00D53589"/>
    <w:rsid w:val="00D53AB9"/>
    <w:rsid w:val="00D53B3B"/>
    <w:rsid w:val="00D54E10"/>
    <w:rsid w:val="00D556FE"/>
    <w:rsid w:val="00D561FF"/>
    <w:rsid w:val="00D60D0A"/>
    <w:rsid w:val="00D615CB"/>
    <w:rsid w:val="00D61A1C"/>
    <w:rsid w:val="00D61B2C"/>
    <w:rsid w:val="00D62949"/>
    <w:rsid w:val="00D657B3"/>
    <w:rsid w:val="00D65823"/>
    <w:rsid w:val="00D678F1"/>
    <w:rsid w:val="00D70FF7"/>
    <w:rsid w:val="00D72AE8"/>
    <w:rsid w:val="00D733D1"/>
    <w:rsid w:val="00D73484"/>
    <w:rsid w:val="00D740E8"/>
    <w:rsid w:val="00D740ED"/>
    <w:rsid w:val="00D74A32"/>
    <w:rsid w:val="00D7513F"/>
    <w:rsid w:val="00D76DE4"/>
    <w:rsid w:val="00D77B16"/>
    <w:rsid w:val="00D8073D"/>
    <w:rsid w:val="00D81B07"/>
    <w:rsid w:val="00D8258B"/>
    <w:rsid w:val="00D828F9"/>
    <w:rsid w:val="00D82C00"/>
    <w:rsid w:val="00D82EAA"/>
    <w:rsid w:val="00D83BD4"/>
    <w:rsid w:val="00D83F1D"/>
    <w:rsid w:val="00D84643"/>
    <w:rsid w:val="00D857E0"/>
    <w:rsid w:val="00D85AB4"/>
    <w:rsid w:val="00D86DAC"/>
    <w:rsid w:val="00D87401"/>
    <w:rsid w:val="00D87657"/>
    <w:rsid w:val="00D87B58"/>
    <w:rsid w:val="00D91B94"/>
    <w:rsid w:val="00D92289"/>
    <w:rsid w:val="00D92851"/>
    <w:rsid w:val="00D936A9"/>
    <w:rsid w:val="00D93C7B"/>
    <w:rsid w:val="00D947F3"/>
    <w:rsid w:val="00D949BC"/>
    <w:rsid w:val="00D96B19"/>
    <w:rsid w:val="00D97011"/>
    <w:rsid w:val="00DA0DC3"/>
    <w:rsid w:val="00DA31B2"/>
    <w:rsid w:val="00DA3D5F"/>
    <w:rsid w:val="00DA4C9D"/>
    <w:rsid w:val="00DA4DF9"/>
    <w:rsid w:val="00DA5956"/>
    <w:rsid w:val="00DA65F4"/>
    <w:rsid w:val="00DA6D9F"/>
    <w:rsid w:val="00DA6E01"/>
    <w:rsid w:val="00DA6FA4"/>
    <w:rsid w:val="00DA7755"/>
    <w:rsid w:val="00DB15A6"/>
    <w:rsid w:val="00DB17A5"/>
    <w:rsid w:val="00DB1A83"/>
    <w:rsid w:val="00DB27A4"/>
    <w:rsid w:val="00DB56B7"/>
    <w:rsid w:val="00DB5D98"/>
    <w:rsid w:val="00DB6108"/>
    <w:rsid w:val="00DB654C"/>
    <w:rsid w:val="00DC0F2A"/>
    <w:rsid w:val="00DC14D6"/>
    <w:rsid w:val="00DC2064"/>
    <w:rsid w:val="00DC21D1"/>
    <w:rsid w:val="00DC2302"/>
    <w:rsid w:val="00DC2586"/>
    <w:rsid w:val="00DC3458"/>
    <w:rsid w:val="00DC3648"/>
    <w:rsid w:val="00DC4DAF"/>
    <w:rsid w:val="00DC7FDB"/>
    <w:rsid w:val="00DD0D7E"/>
    <w:rsid w:val="00DD0E8E"/>
    <w:rsid w:val="00DD16F8"/>
    <w:rsid w:val="00DD1E5C"/>
    <w:rsid w:val="00DD4154"/>
    <w:rsid w:val="00DD4CBA"/>
    <w:rsid w:val="00DD6731"/>
    <w:rsid w:val="00DD6753"/>
    <w:rsid w:val="00DD7D92"/>
    <w:rsid w:val="00DE1800"/>
    <w:rsid w:val="00DE2298"/>
    <w:rsid w:val="00DE26E9"/>
    <w:rsid w:val="00DE2B8D"/>
    <w:rsid w:val="00DE5512"/>
    <w:rsid w:val="00DE5B44"/>
    <w:rsid w:val="00DE67FE"/>
    <w:rsid w:val="00DE6848"/>
    <w:rsid w:val="00DE712B"/>
    <w:rsid w:val="00DE7E1B"/>
    <w:rsid w:val="00DF09B2"/>
    <w:rsid w:val="00DF0DEC"/>
    <w:rsid w:val="00DF20C6"/>
    <w:rsid w:val="00DF2B01"/>
    <w:rsid w:val="00DF4606"/>
    <w:rsid w:val="00DF4E9D"/>
    <w:rsid w:val="00DF543F"/>
    <w:rsid w:val="00DF54C7"/>
    <w:rsid w:val="00DF5654"/>
    <w:rsid w:val="00DF635E"/>
    <w:rsid w:val="00DF7E11"/>
    <w:rsid w:val="00E00D5C"/>
    <w:rsid w:val="00E00E7A"/>
    <w:rsid w:val="00E027F3"/>
    <w:rsid w:val="00E03BF5"/>
    <w:rsid w:val="00E04390"/>
    <w:rsid w:val="00E04732"/>
    <w:rsid w:val="00E049E0"/>
    <w:rsid w:val="00E05162"/>
    <w:rsid w:val="00E05354"/>
    <w:rsid w:val="00E06266"/>
    <w:rsid w:val="00E111A0"/>
    <w:rsid w:val="00E11A8E"/>
    <w:rsid w:val="00E126C8"/>
    <w:rsid w:val="00E127F3"/>
    <w:rsid w:val="00E12966"/>
    <w:rsid w:val="00E1396B"/>
    <w:rsid w:val="00E16F1C"/>
    <w:rsid w:val="00E170E1"/>
    <w:rsid w:val="00E176AE"/>
    <w:rsid w:val="00E179F6"/>
    <w:rsid w:val="00E219A3"/>
    <w:rsid w:val="00E21F51"/>
    <w:rsid w:val="00E2361D"/>
    <w:rsid w:val="00E2444F"/>
    <w:rsid w:val="00E2474C"/>
    <w:rsid w:val="00E249ED"/>
    <w:rsid w:val="00E24C6D"/>
    <w:rsid w:val="00E26005"/>
    <w:rsid w:val="00E26FB0"/>
    <w:rsid w:val="00E30DDD"/>
    <w:rsid w:val="00E31886"/>
    <w:rsid w:val="00E32391"/>
    <w:rsid w:val="00E3265A"/>
    <w:rsid w:val="00E32F6B"/>
    <w:rsid w:val="00E33EC5"/>
    <w:rsid w:val="00E3516C"/>
    <w:rsid w:val="00E3763F"/>
    <w:rsid w:val="00E37C51"/>
    <w:rsid w:val="00E40A71"/>
    <w:rsid w:val="00E417DE"/>
    <w:rsid w:val="00E41B84"/>
    <w:rsid w:val="00E42EB0"/>
    <w:rsid w:val="00E43B52"/>
    <w:rsid w:val="00E44A18"/>
    <w:rsid w:val="00E44B6E"/>
    <w:rsid w:val="00E454E0"/>
    <w:rsid w:val="00E45866"/>
    <w:rsid w:val="00E46B25"/>
    <w:rsid w:val="00E47273"/>
    <w:rsid w:val="00E50C07"/>
    <w:rsid w:val="00E5105A"/>
    <w:rsid w:val="00E511B2"/>
    <w:rsid w:val="00E514EE"/>
    <w:rsid w:val="00E51822"/>
    <w:rsid w:val="00E51F03"/>
    <w:rsid w:val="00E52134"/>
    <w:rsid w:val="00E53670"/>
    <w:rsid w:val="00E53E68"/>
    <w:rsid w:val="00E5440C"/>
    <w:rsid w:val="00E54447"/>
    <w:rsid w:val="00E548AD"/>
    <w:rsid w:val="00E54E32"/>
    <w:rsid w:val="00E555E4"/>
    <w:rsid w:val="00E5665E"/>
    <w:rsid w:val="00E569E8"/>
    <w:rsid w:val="00E60624"/>
    <w:rsid w:val="00E62D00"/>
    <w:rsid w:val="00E64BBF"/>
    <w:rsid w:val="00E64ED3"/>
    <w:rsid w:val="00E651CF"/>
    <w:rsid w:val="00E662F2"/>
    <w:rsid w:val="00E70E1F"/>
    <w:rsid w:val="00E718D0"/>
    <w:rsid w:val="00E72179"/>
    <w:rsid w:val="00E7314D"/>
    <w:rsid w:val="00E73DB8"/>
    <w:rsid w:val="00E74B39"/>
    <w:rsid w:val="00E75183"/>
    <w:rsid w:val="00E756A9"/>
    <w:rsid w:val="00E76BFA"/>
    <w:rsid w:val="00E779D1"/>
    <w:rsid w:val="00E77FE0"/>
    <w:rsid w:val="00E80045"/>
    <w:rsid w:val="00E801DB"/>
    <w:rsid w:val="00E80CBB"/>
    <w:rsid w:val="00E8231C"/>
    <w:rsid w:val="00E82CBC"/>
    <w:rsid w:val="00E82E53"/>
    <w:rsid w:val="00E8479B"/>
    <w:rsid w:val="00E85AB4"/>
    <w:rsid w:val="00E8696B"/>
    <w:rsid w:val="00E8789E"/>
    <w:rsid w:val="00E916CD"/>
    <w:rsid w:val="00E92790"/>
    <w:rsid w:val="00E94151"/>
    <w:rsid w:val="00E946EE"/>
    <w:rsid w:val="00E94D95"/>
    <w:rsid w:val="00E94FEE"/>
    <w:rsid w:val="00E97E88"/>
    <w:rsid w:val="00EA0C6A"/>
    <w:rsid w:val="00EA0D11"/>
    <w:rsid w:val="00EA0DFC"/>
    <w:rsid w:val="00EA264B"/>
    <w:rsid w:val="00EA4771"/>
    <w:rsid w:val="00EA47A9"/>
    <w:rsid w:val="00EA5C33"/>
    <w:rsid w:val="00EA61B0"/>
    <w:rsid w:val="00EB48D1"/>
    <w:rsid w:val="00EB4B88"/>
    <w:rsid w:val="00EB5E9B"/>
    <w:rsid w:val="00EB6911"/>
    <w:rsid w:val="00EC1B8C"/>
    <w:rsid w:val="00EC37C5"/>
    <w:rsid w:val="00EC3E9F"/>
    <w:rsid w:val="00EC4B98"/>
    <w:rsid w:val="00EC5356"/>
    <w:rsid w:val="00EC645A"/>
    <w:rsid w:val="00EC64F9"/>
    <w:rsid w:val="00EC75E2"/>
    <w:rsid w:val="00EC79FB"/>
    <w:rsid w:val="00ED0234"/>
    <w:rsid w:val="00ED0C72"/>
    <w:rsid w:val="00ED238F"/>
    <w:rsid w:val="00ED4893"/>
    <w:rsid w:val="00ED65FD"/>
    <w:rsid w:val="00ED70CF"/>
    <w:rsid w:val="00ED7542"/>
    <w:rsid w:val="00ED77B9"/>
    <w:rsid w:val="00ED77FB"/>
    <w:rsid w:val="00ED7E37"/>
    <w:rsid w:val="00EE02D5"/>
    <w:rsid w:val="00EE037F"/>
    <w:rsid w:val="00EE1529"/>
    <w:rsid w:val="00EE2EFF"/>
    <w:rsid w:val="00EE5122"/>
    <w:rsid w:val="00EE5B78"/>
    <w:rsid w:val="00EE711E"/>
    <w:rsid w:val="00EF1800"/>
    <w:rsid w:val="00EF3156"/>
    <w:rsid w:val="00EF50E1"/>
    <w:rsid w:val="00EF51EC"/>
    <w:rsid w:val="00EF53A6"/>
    <w:rsid w:val="00EF68C4"/>
    <w:rsid w:val="00EF72C8"/>
    <w:rsid w:val="00EF7AF3"/>
    <w:rsid w:val="00F00A9C"/>
    <w:rsid w:val="00F0127B"/>
    <w:rsid w:val="00F0214B"/>
    <w:rsid w:val="00F02270"/>
    <w:rsid w:val="00F0266D"/>
    <w:rsid w:val="00F02DBB"/>
    <w:rsid w:val="00F04DDA"/>
    <w:rsid w:val="00F065CE"/>
    <w:rsid w:val="00F06C66"/>
    <w:rsid w:val="00F06D2A"/>
    <w:rsid w:val="00F06DDD"/>
    <w:rsid w:val="00F0798A"/>
    <w:rsid w:val="00F07CBD"/>
    <w:rsid w:val="00F10690"/>
    <w:rsid w:val="00F11CEA"/>
    <w:rsid w:val="00F1258B"/>
    <w:rsid w:val="00F12EF1"/>
    <w:rsid w:val="00F16793"/>
    <w:rsid w:val="00F17707"/>
    <w:rsid w:val="00F210AD"/>
    <w:rsid w:val="00F21584"/>
    <w:rsid w:val="00F21A3F"/>
    <w:rsid w:val="00F22374"/>
    <w:rsid w:val="00F23D87"/>
    <w:rsid w:val="00F24382"/>
    <w:rsid w:val="00F24D0A"/>
    <w:rsid w:val="00F24D44"/>
    <w:rsid w:val="00F24F2F"/>
    <w:rsid w:val="00F251A5"/>
    <w:rsid w:val="00F25D8D"/>
    <w:rsid w:val="00F25E90"/>
    <w:rsid w:val="00F30B7A"/>
    <w:rsid w:val="00F3126B"/>
    <w:rsid w:val="00F3295A"/>
    <w:rsid w:val="00F343FA"/>
    <w:rsid w:val="00F348DE"/>
    <w:rsid w:val="00F36BFD"/>
    <w:rsid w:val="00F36C84"/>
    <w:rsid w:val="00F37225"/>
    <w:rsid w:val="00F37963"/>
    <w:rsid w:val="00F37FE6"/>
    <w:rsid w:val="00F40AEA"/>
    <w:rsid w:val="00F420F4"/>
    <w:rsid w:val="00F44941"/>
    <w:rsid w:val="00F4528B"/>
    <w:rsid w:val="00F47E18"/>
    <w:rsid w:val="00F50F28"/>
    <w:rsid w:val="00F51801"/>
    <w:rsid w:val="00F5190C"/>
    <w:rsid w:val="00F53049"/>
    <w:rsid w:val="00F5334B"/>
    <w:rsid w:val="00F5647C"/>
    <w:rsid w:val="00F56A35"/>
    <w:rsid w:val="00F56AC3"/>
    <w:rsid w:val="00F62951"/>
    <w:rsid w:val="00F64CF6"/>
    <w:rsid w:val="00F655EF"/>
    <w:rsid w:val="00F658EE"/>
    <w:rsid w:val="00F6678B"/>
    <w:rsid w:val="00F667D6"/>
    <w:rsid w:val="00F67736"/>
    <w:rsid w:val="00F70E22"/>
    <w:rsid w:val="00F72618"/>
    <w:rsid w:val="00F72F29"/>
    <w:rsid w:val="00F7397A"/>
    <w:rsid w:val="00F73C68"/>
    <w:rsid w:val="00F751E2"/>
    <w:rsid w:val="00F77451"/>
    <w:rsid w:val="00F82123"/>
    <w:rsid w:val="00F825D3"/>
    <w:rsid w:val="00F82D53"/>
    <w:rsid w:val="00F837EB"/>
    <w:rsid w:val="00F83B0C"/>
    <w:rsid w:val="00F83FC2"/>
    <w:rsid w:val="00F844EA"/>
    <w:rsid w:val="00F85CD1"/>
    <w:rsid w:val="00F86056"/>
    <w:rsid w:val="00F876A3"/>
    <w:rsid w:val="00F87B29"/>
    <w:rsid w:val="00F909AA"/>
    <w:rsid w:val="00F94DDB"/>
    <w:rsid w:val="00F94ED7"/>
    <w:rsid w:val="00F9593D"/>
    <w:rsid w:val="00F961AE"/>
    <w:rsid w:val="00F9705B"/>
    <w:rsid w:val="00F9713A"/>
    <w:rsid w:val="00FA014D"/>
    <w:rsid w:val="00FA2A29"/>
    <w:rsid w:val="00FA3690"/>
    <w:rsid w:val="00FA39B3"/>
    <w:rsid w:val="00FA5B3E"/>
    <w:rsid w:val="00FA6371"/>
    <w:rsid w:val="00FA688F"/>
    <w:rsid w:val="00FA7417"/>
    <w:rsid w:val="00FB0F47"/>
    <w:rsid w:val="00FB32DC"/>
    <w:rsid w:val="00FB5498"/>
    <w:rsid w:val="00FB569E"/>
    <w:rsid w:val="00FB5A2A"/>
    <w:rsid w:val="00FB602C"/>
    <w:rsid w:val="00FB613F"/>
    <w:rsid w:val="00FC06CD"/>
    <w:rsid w:val="00FC1B00"/>
    <w:rsid w:val="00FC22B4"/>
    <w:rsid w:val="00FC2364"/>
    <w:rsid w:val="00FC44DE"/>
    <w:rsid w:val="00FC4599"/>
    <w:rsid w:val="00FC61C5"/>
    <w:rsid w:val="00FD0705"/>
    <w:rsid w:val="00FD190E"/>
    <w:rsid w:val="00FD2EE7"/>
    <w:rsid w:val="00FD6369"/>
    <w:rsid w:val="00FD64F8"/>
    <w:rsid w:val="00FE06D7"/>
    <w:rsid w:val="00FE0AF1"/>
    <w:rsid w:val="00FE18CB"/>
    <w:rsid w:val="00FE2E08"/>
    <w:rsid w:val="00FE3E9E"/>
    <w:rsid w:val="00FE4E12"/>
    <w:rsid w:val="00FE511E"/>
    <w:rsid w:val="00FE51CC"/>
    <w:rsid w:val="00FE55E8"/>
    <w:rsid w:val="00FE56B2"/>
    <w:rsid w:val="00FE5796"/>
    <w:rsid w:val="00FE7FF3"/>
    <w:rsid w:val="00FF010B"/>
    <w:rsid w:val="00FF03E6"/>
    <w:rsid w:val="00FF0E05"/>
    <w:rsid w:val="00FF12F8"/>
    <w:rsid w:val="00FF48F3"/>
    <w:rsid w:val="00FF54D5"/>
    <w:rsid w:val="00FF5DEE"/>
    <w:rsid w:val="00FF5FA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65127"/>
    <w:pPr>
      <w:widowControl w:val="0"/>
    </w:pPr>
    <w:rPr>
      <w:rFonts w:eastAsia="標楷體"/>
      <w:kern w:val="2"/>
      <w:sz w:val="32"/>
    </w:rPr>
  </w:style>
  <w:style w:type="paragraph" w:styleId="10">
    <w:name w:val="heading 1"/>
    <w:basedOn w:val="a1"/>
    <w:link w:val="11"/>
    <w:uiPriority w:val="9"/>
    <w:qFormat/>
    <w:rsid w:val="00065127"/>
    <w:pPr>
      <w:numPr>
        <w:numId w:val="17"/>
      </w:numPr>
      <w:kinsoku w:val="0"/>
      <w:jc w:val="both"/>
      <w:outlineLvl w:val="0"/>
    </w:pPr>
    <w:rPr>
      <w:rFonts w:ascii="標楷體" w:hAnsi="Arial"/>
      <w:bCs/>
      <w:kern w:val="0"/>
      <w:szCs w:val="52"/>
    </w:rPr>
  </w:style>
  <w:style w:type="paragraph" w:styleId="20">
    <w:name w:val="heading 2"/>
    <w:basedOn w:val="a1"/>
    <w:link w:val="21"/>
    <w:qFormat/>
    <w:rsid w:val="00065127"/>
    <w:pPr>
      <w:numPr>
        <w:ilvl w:val="1"/>
        <w:numId w:val="17"/>
      </w:numPr>
      <w:kinsoku w:val="0"/>
      <w:jc w:val="both"/>
      <w:outlineLvl w:val="1"/>
    </w:pPr>
    <w:rPr>
      <w:rFonts w:ascii="標楷體" w:hAnsi="Arial"/>
      <w:bCs/>
      <w:kern w:val="0"/>
      <w:szCs w:val="48"/>
    </w:rPr>
  </w:style>
  <w:style w:type="paragraph" w:styleId="3">
    <w:name w:val="heading 3"/>
    <w:basedOn w:val="a1"/>
    <w:link w:val="30"/>
    <w:qFormat/>
    <w:rsid w:val="00065127"/>
    <w:pPr>
      <w:numPr>
        <w:ilvl w:val="2"/>
        <w:numId w:val="17"/>
      </w:numPr>
      <w:kinsoku w:val="0"/>
      <w:jc w:val="both"/>
      <w:outlineLvl w:val="2"/>
    </w:pPr>
    <w:rPr>
      <w:rFonts w:ascii="標楷體" w:hAnsi="Arial"/>
      <w:bCs/>
      <w:kern w:val="0"/>
      <w:szCs w:val="36"/>
    </w:rPr>
  </w:style>
  <w:style w:type="paragraph" w:styleId="4">
    <w:name w:val="heading 4"/>
    <w:basedOn w:val="a1"/>
    <w:link w:val="40"/>
    <w:qFormat/>
    <w:rsid w:val="00065127"/>
    <w:pPr>
      <w:numPr>
        <w:ilvl w:val="3"/>
        <w:numId w:val="17"/>
      </w:numPr>
      <w:jc w:val="both"/>
      <w:outlineLvl w:val="3"/>
    </w:pPr>
    <w:rPr>
      <w:rFonts w:ascii="標楷體" w:hAnsi="Arial"/>
      <w:szCs w:val="36"/>
    </w:rPr>
  </w:style>
  <w:style w:type="paragraph" w:styleId="5">
    <w:name w:val="heading 5"/>
    <w:basedOn w:val="a1"/>
    <w:link w:val="50"/>
    <w:qFormat/>
    <w:rsid w:val="00065127"/>
    <w:pPr>
      <w:numPr>
        <w:ilvl w:val="4"/>
        <w:numId w:val="17"/>
      </w:numPr>
      <w:kinsoku w:val="0"/>
      <w:ind w:left="2685"/>
      <w:jc w:val="both"/>
      <w:outlineLvl w:val="4"/>
    </w:pPr>
    <w:rPr>
      <w:rFonts w:ascii="標楷體" w:hAnsi="Arial"/>
      <w:bCs/>
      <w:szCs w:val="36"/>
    </w:rPr>
  </w:style>
  <w:style w:type="paragraph" w:styleId="6">
    <w:name w:val="heading 6"/>
    <w:basedOn w:val="a1"/>
    <w:link w:val="60"/>
    <w:qFormat/>
    <w:rsid w:val="00065127"/>
    <w:pPr>
      <w:numPr>
        <w:ilvl w:val="5"/>
        <w:numId w:val="17"/>
      </w:numPr>
      <w:tabs>
        <w:tab w:val="left" w:pos="2094"/>
      </w:tabs>
      <w:kinsoku w:val="0"/>
      <w:jc w:val="both"/>
      <w:outlineLvl w:val="5"/>
    </w:pPr>
    <w:rPr>
      <w:rFonts w:ascii="標楷體" w:hAnsi="Arial"/>
      <w:szCs w:val="36"/>
    </w:rPr>
  </w:style>
  <w:style w:type="paragraph" w:styleId="7">
    <w:name w:val="heading 7"/>
    <w:basedOn w:val="a1"/>
    <w:link w:val="70"/>
    <w:qFormat/>
    <w:rsid w:val="00065127"/>
    <w:pPr>
      <w:numPr>
        <w:ilvl w:val="6"/>
        <w:numId w:val="17"/>
      </w:numPr>
      <w:kinsoku w:val="0"/>
      <w:jc w:val="both"/>
      <w:outlineLvl w:val="6"/>
    </w:pPr>
    <w:rPr>
      <w:rFonts w:ascii="標楷體" w:hAnsi="Arial"/>
      <w:bCs/>
      <w:szCs w:val="36"/>
    </w:rPr>
  </w:style>
  <w:style w:type="paragraph" w:styleId="8">
    <w:name w:val="heading 8"/>
    <w:basedOn w:val="a1"/>
    <w:link w:val="80"/>
    <w:qFormat/>
    <w:rsid w:val="00065127"/>
    <w:pPr>
      <w:numPr>
        <w:ilvl w:val="7"/>
        <w:numId w:val="17"/>
      </w:numPr>
      <w:kinsoku w:val="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link w:val="a6"/>
    <w:semiHidden/>
    <w:rsid w:val="00065127"/>
    <w:pPr>
      <w:spacing w:before="720" w:after="720"/>
      <w:ind w:left="7371"/>
    </w:pPr>
    <w:rPr>
      <w:rFonts w:ascii="標楷體"/>
      <w:b/>
      <w:snapToGrid w:val="0"/>
      <w:spacing w:val="10"/>
      <w:sz w:val="36"/>
    </w:rPr>
  </w:style>
  <w:style w:type="paragraph" w:styleId="a7">
    <w:name w:val="endnote text"/>
    <w:basedOn w:val="a1"/>
    <w:semiHidden/>
    <w:rsid w:val="00065127"/>
    <w:pPr>
      <w:spacing w:before="240"/>
      <w:ind w:left="1021" w:hanging="1021"/>
      <w:jc w:val="both"/>
    </w:pPr>
    <w:rPr>
      <w:rFonts w:ascii="標楷體"/>
      <w:snapToGrid w:val="0"/>
      <w:spacing w:val="10"/>
    </w:rPr>
  </w:style>
  <w:style w:type="paragraph" w:styleId="51">
    <w:name w:val="toc 5"/>
    <w:basedOn w:val="a1"/>
    <w:next w:val="a1"/>
    <w:autoRedefine/>
    <w:uiPriority w:val="39"/>
    <w:rsid w:val="00065127"/>
    <w:pPr>
      <w:ind w:leftChars="400" w:left="600" w:rightChars="200" w:right="200" w:hangingChars="200" w:hanging="200"/>
    </w:pPr>
    <w:rPr>
      <w:rFonts w:ascii="標楷體"/>
    </w:rPr>
  </w:style>
  <w:style w:type="character" w:styleId="a8">
    <w:name w:val="page number"/>
    <w:basedOn w:val="a2"/>
    <w:rsid w:val="00065127"/>
    <w:rPr>
      <w:rFonts w:ascii="標楷體" w:eastAsia="標楷體"/>
      <w:sz w:val="20"/>
    </w:rPr>
  </w:style>
  <w:style w:type="paragraph" w:styleId="61">
    <w:name w:val="toc 6"/>
    <w:basedOn w:val="a1"/>
    <w:next w:val="a1"/>
    <w:autoRedefine/>
    <w:uiPriority w:val="39"/>
    <w:rsid w:val="00065127"/>
    <w:pPr>
      <w:ind w:leftChars="500" w:left="500"/>
    </w:pPr>
    <w:rPr>
      <w:rFonts w:ascii="標楷體"/>
    </w:rPr>
  </w:style>
  <w:style w:type="paragraph" w:customStyle="1" w:styleId="12">
    <w:name w:val="段落樣式1"/>
    <w:basedOn w:val="a1"/>
    <w:rsid w:val="00065127"/>
    <w:pPr>
      <w:tabs>
        <w:tab w:val="left" w:pos="567"/>
      </w:tabs>
      <w:kinsoku w:val="0"/>
      <w:ind w:leftChars="200" w:left="200" w:firstLineChars="200" w:firstLine="200"/>
      <w:jc w:val="both"/>
    </w:pPr>
    <w:rPr>
      <w:rFonts w:ascii="標楷體"/>
      <w:kern w:val="0"/>
    </w:rPr>
  </w:style>
  <w:style w:type="paragraph" w:customStyle="1" w:styleId="22">
    <w:name w:val="段落樣式2"/>
    <w:basedOn w:val="a1"/>
    <w:rsid w:val="00065127"/>
    <w:pPr>
      <w:tabs>
        <w:tab w:val="left" w:pos="567"/>
      </w:tabs>
      <w:ind w:leftChars="300" w:left="300" w:firstLineChars="200" w:firstLine="200"/>
      <w:jc w:val="both"/>
    </w:pPr>
    <w:rPr>
      <w:rFonts w:ascii="標楷體"/>
      <w:kern w:val="0"/>
    </w:rPr>
  </w:style>
  <w:style w:type="paragraph" w:styleId="13">
    <w:name w:val="toc 1"/>
    <w:basedOn w:val="a1"/>
    <w:next w:val="a1"/>
    <w:autoRedefine/>
    <w:uiPriority w:val="39"/>
    <w:qFormat/>
    <w:rsid w:val="00065127"/>
    <w:pPr>
      <w:kinsoku w:val="0"/>
      <w:ind w:left="2443" w:rightChars="200" w:right="698" w:hangingChars="700" w:hanging="2443"/>
      <w:jc w:val="both"/>
    </w:pPr>
    <w:rPr>
      <w:rFonts w:ascii="標楷體"/>
      <w:noProof/>
      <w:szCs w:val="32"/>
    </w:rPr>
  </w:style>
  <w:style w:type="paragraph" w:styleId="23">
    <w:name w:val="toc 2"/>
    <w:basedOn w:val="a1"/>
    <w:next w:val="a1"/>
    <w:autoRedefine/>
    <w:uiPriority w:val="39"/>
    <w:qFormat/>
    <w:rsid w:val="003A1527"/>
    <w:pPr>
      <w:tabs>
        <w:tab w:val="right" w:leader="dot" w:pos="8789"/>
      </w:tabs>
      <w:kinsoku w:val="0"/>
      <w:ind w:leftChars="100" w:left="1020" w:rightChars="-25" w:right="-85" w:hangingChars="200" w:hanging="680"/>
    </w:pPr>
    <w:rPr>
      <w:rFonts w:ascii="標楷體"/>
      <w:noProof/>
    </w:rPr>
  </w:style>
  <w:style w:type="paragraph" w:styleId="31">
    <w:name w:val="toc 3"/>
    <w:basedOn w:val="a1"/>
    <w:next w:val="a1"/>
    <w:autoRedefine/>
    <w:uiPriority w:val="39"/>
    <w:qFormat/>
    <w:rsid w:val="00065127"/>
    <w:pPr>
      <w:kinsoku w:val="0"/>
      <w:ind w:leftChars="200" w:left="400" w:rightChars="200" w:right="200" w:hangingChars="200" w:hanging="200"/>
      <w:jc w:val="both"/>
    </w:pPr>
    <w:rPr>
      <w:rFonts w:ascii="標楷體"/>
      <w:noProof/>
    </w:rPr>
  </w:style>
  <w:style w:type="paragraph" w:styleId="41">
    <w:name w:val="toc 4"/>
    <w:basedOn w:val="a1"/>
    <w:next w:val="a1"/>
    <w:autoRedefine/>
    <w:uiPriority w:val="39"/>
    <w:rsid w:val="00065127"/>
    <w:pPr>
      <w:kinsoku w:val="0"/>
      <w:ind w:leftChars="300" w:left="500" w:rightChars="200" w:right="200" w:hangingChars="200" w:hanging="200"/>
      <w:jc w:val="both"/>
    </w:pPr>
    <w:rPr>
      <w:rFonts w:ascii="標楷體"/>
    </w:rPr>
  </w:style>
  <w:style w:type="paragraph" w:styleId="71">
    <w:name w:val="toc 7"/>
    <w:basedOn w:val="a1"/>
    <w:next w:val="a1"/>
    <w:autoRedefine/>
    <w:uiPriority w:val="39"/>
    <w:rsid w:val="00065127"/>
    <w:pPr>
      <w:ind w:leftChars="600" w:left="800" w:hangingChars="200" w:hanging="200"/>
    </w:pPr>
    <w:rPr>
      <w:rFonts w:ascii="標楷體"/>
    </w:rPr>
  </w:style>
  <w:style w:type="paragraph" w:styleId="81">
    <w:name w:val="toc 8"/>
    <w:basedOn w:val="a1"/>
    <w:next w:val="a1"/>
    <w:autoRedefine/>
    <w:uiPriority w:val="39"/>
    <w:rsid w:val="00065127"/>
    <w:pPr>
      <w:ind w:leftChars="700" w:left="900" w:hangingChars="200" w:hanging="200"/>
    </w:pPr>
    <w:rPr>
      <w:rFonts w:ascii="標楷體"/>
    </w:rPr>
  </w:style>
  <w:style w:type="paragraph" w:styleId="9">
    <w:name w:val="toc 9"/>
    <w:basedOn w:val="a1"/>
    <w:next w:val="a1"/>
    <w:autoRedefine/>
    <w:uiPriority w:val="39"/>
    <w:rsid w:val="00065127"/>
    <w:pPr>
      <w:ind w:leftChars="1600" w:left="3840"/>
    </w:pPr>
  </w:style>
  <w:style w:type="paragraph" w:styleId="a9">
    <w:name w:val="header"/>
    <w:basedOn w:val="a1"/>
    <w:link w:val="aa"/>
    <w:uiPriority w:val="99"/>
    <w:rsid w:val="00065127"/>
    <w:pPr>
      <w:tabs>
        <w:tab w:val="center" w:pos="4153"/>
        <w:tab w:val="right" w:pos="8306"/>
      </w:tabs>
      <w:snapToGrid w:val="0"/>
    </w:pPr>
    <w:rPr>
      <w:sz w:val="20"/>
    </w:rPr>
  </w:style>
  <w:style w:type="paragraph" w:customStyle="1" w:styleId="32">
    <w:name w:val="段落樣式3"/>
    <w:basedOn w:val="22"/>
    <w:rsid w:val="00065127"/>
    <w:pPr>
      <w:ind w:leftChars="400" w:left="400"/>
    </w:pPr>
  </w:style>
  <w:style w:type="character" w:styleId="ab">
    <w:name w:val="Hyperlink"/>
    <w:basedOn w:val="a2"/>
    <w:uiPriority w:val="99"/>
    <w:rsid w:val="00065127"/>
    <w:rPr>
      <w:color w:val="0000FF"/>
      <w:u w:val="single"/>
    </w:rPr>
  </w:style>
  <w:style w:type="paragraph" w:customStyle="1" w:styleId="ac">
    <w:name w:val="簽名日期"/>
    <w:basedOn w:val="a1"/>
    <w:rsid w:val="00065127"/>
    <w:pPr>
      <w:kinsoku w:val="0"/>
      <w:jc w:val="distribute"/>
    </w:pPr>
    <w:rPr>
      <w:kern w:val="0"/>
    </w:rPr>
  </w:style>
  <w:style w:type="paragraph" w:customStyle="1" w:styleId="0">
    <w:name w:val="段落樣式0"/>
    <w:basedOn w:val="22"/>
    <w:rsid w:val="00065127"/>
    <w:pPr>
      <w:ind w:leftChars="200" w:left="200" w:firstLineChars="0" w:firstLine="0"/>
    </w:pPr>
  </w:style>
  <w:style w:type="paragraph" w:customStyle="1" w:styleId="ad">
    <w:name w:val="附件"/>
    <w:basedOn w:val="a7"/>
    <w:rsid w:val="00065127"/>
    <w:pPr>
      <w:kinsoku w:val="0"/>
      <w:spacing w:before="0"/>
      <w:ind w:left="1047" w:hangingChars="300" w:hanging="1047"/>
    </w:pPr>
    <w:rPr>
      <w:snapToGrid/>
      <w:spacing w:val="0"/>
      <w:kern w:val="0"/>
    </w:rPr>
  </w:style>
  <w:style w:type="paragraph" w:customStyle="1" w:styleId="42">
    <w:name w:val="段落樣式4"/>
    <w:basedOn w:val="32"/>
    <w:rsid w:val="00065127"/>
    <w:pPr>
      <w:ind w:leftChars="500" w:left="500"/>
    </w:pPr>
  </w:style>
  <w:style w:type="paragraph" w:customStyle="1" w:styleId="52">
    <w:name w:val="段落樣式5"/>
    <w:basedOn w:val="42"/>
    <w:rsid w:val="00065127"/>
    <w:pPr>
      <w:ind w:leftChars="600" w:left="600"/>
    </w:pPr>
  </w:style>
  <w:style w:type="paragraph" w:customStyle="1" w:styleId="62">
    <w:name w:val="段落樣式6"/>
    <w:basedOn w:val="52"/>
    <w:rsid w:val="00065127"/>
    <w:pPr>
      <w:ind w:leftChars="700" w:left="700"/>
    </w:pPr>
  </w:style>
  <w:style w:type="paragraph" w:customStyle="1" w:styleId="72">
    <w:name w:val="段落樣式7"/>
    <w:basedOn w:val="62"/>
    <w:rsid w:val="00065127"/>
  </w:style>
  <w:style w:type="paragraph" w:customStyle="1" w:styleId="82">
    <w:name w:val="段落樣式8"/>
    <w:basedOn w:val="72"/>
    <w:rsid w:val="00065127"/>
    <w:pPr>
      <w:ind w:leftChars="800" w:left="800"/>
    </w:pPr>
  </w:style>
  <w:style w:type="paragraph" w:customStyle="1" w:styleId="a0">
    <w:name w:val="表樣式"/>
    <w:basedOn w:val="a1"/>
    <w:next w:val="a1"/>
    <w:rsid w:val="00065127"/>
    <w:pPr>
      <w:numPr>
        <w:numId w:val="1"/>
      </w:numPr>
      <w:jc w:val="both"/>
    </w:pPr>
    <w:rPr>
      <w:rFonts w:ascii="標楷體"/>
      <w:kern w:val="0"/>
    </w:rPr>
  </w:style>
  <w:style w:type="paragraph" w:styleId="ae">
    <w:name w:val="Body Text Indent"/>
    <w:basedOn w:val="a1"/>
    <w:rsid w:val="00065127"/>
    <w:pPr>
      <w:ind w:left="698" w:hangingChars="200" w:hanging="698"/>
    </w:pPr>
  </w:style>
  <w:style w:type="paragraph" w:customStyle="1" w:styleId="af">
    <w:name w:val="調查報告"/>
    <w:basedOn w:val="a7"/>
    <w:rsid w:val="00065127"/>
    <w:pPr>
      <w:kinsoku w:val="0"/>
      <w:spacing w:before="0"/>
      <w:ind w:left="1701" w:firstLine="0"/>
    </w:pPr>
    <w:rPr>
      <w:b/>
      <w:snapToGrid/>
      <w:spacing w:val="200"/>
      <w:kern w:val="0"/>
      <w:sz w:val="36"/>
    </w:rPr>
  </w:style>
  <w:style w:type="paragraph" w:customStyle="1" w:styleId="90">
    <w:name w:val="標題9"/>
    <w:basedOn w:val="a1"/>
    <w:rsid w:val="00D138FD"/>
    <w:pPr>
      <w:tabs>
        <w:tab w:val="num" w:pos="6195"/>
      </w:tabs>
      <w:ind w:left="5015" w:hanging="1700"/>
    </w:pPr>
  </w:style>
  <w:style w:type="paragraph" w:customStyle="1" w:styleId="a">
    <w:name w:val="圖樣式"/>
    <w:basedOn w:val="a1"/>
    <w:next w:val="a1"/>
    <w:rsid w:val="00065127"/>
    <w:pPr>
      <w:numPr>
        <w:numId w:val="2"/>
      </w:numPr>
      <w:tabs>
        <w:tab w:val="clear" w:pos="1440"/>
      </w:tabs>
      <w:ind w:left="400" w:hangingChars="400" w:hanging="400"/>
      <w:jc w:val="both"/>
    </w:pPr>
    <w:rPr>
      <w:rFonts w:ascii="標楷體"/>
    </w:rPr>
  </w:style>
  <w:style w:type="paragraph" w:styleId="af0">
    <w:name w:val="footer"/>
    <w:basedOn w:val="a1"/>
    <w:link w:val="af1"/>
    <w:rsid w:val="00065127"/>
    <w:pPr>
      <w:tabs>
        <w:tab w:val="center" w:pos="4153"/>
        <w:tab w:val="right" w:pos="8306"/>
      </w:tabs>
      <w:snapToGrid w:val="0"/>
    </w:pPr>
    <w:rPr>
      <w:sz w:val="20"/>
    </w:rPr>
  </w:style>
  <w:style w:type="paragraph" w:styleId="af2">
    <w:name w:val="table of figures"/>
    <w:basedOn w:val="a1"/>
    <w:next w:val="a1"/>
    <w:semiHidden/>
    <w:rsid w:val="00065127"/>
    <w:pPr>
      <w:ind w:left="400" w:hangingChars="400" w:hanging="400"/>
    </w:pPr>
  </w:style>
  <w:style w:type="character" w:customStyle="1" w:styleId="21">
    <w:name w:val="標題 2 字元"/>
    <w:basedOn w:val="a2"/>
    <w:link w:val="20"/>
    <w:rsid w:val="00D138FD"/>
    <w:rPr>
      <w:rFonts w:ascii="標楷體" w:eastAsia="標楷體" w:hAnsi="Arial"/>
      <w:bCs/>
      <w:sz w:val="32"/>
      <w:szCs w:val="48"/>
    </w:rPr>
  </w:style>
  <w:style w:type="paragraph" w:styleId="af3">
    <w:name w:val="List Paragraph"/>
    <w:basedOn w:val="a1"/>
    <w:uiPriority w:val="34"/>
    <w:qFormat/>
    <w:rsid w:val="00D138FD"/>
    <w:pPr>
      <w:ind w:leftChars="200" w:left="480"/>
    </w:pPr>
  </w:style>
  <w:style w:type="table" w:styleId="af4">
    <w:name w:val="Table Grid"/>
    <w:basedOn w:val="a3"/>
    <w:rsid w:val="00A96C4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footnote text"/>
    <w:basedOn w:val="a1"/>
    <w:link w:val="af6"/>
    <w:uiPriority w:val="99"/>
    <w:rsid w:val="00C0134E"/>
    <w:pPr>
      <w:snapToGrid w:val="0"/>
    </w:pPr>
    <w:rPr>
      <w:rFonts w:eastAsia="新細明體"/>
      <w:sz w:val="20"/>
    </w:rPr>
  </w:style>
  <w:style w:type="character" w:customStyle="1" w:styleId="af6">
    <w:name w:val="註腳文字 字元"/>
    <w:basedOn w:val="a2"/>
    <w:link w:val="af5"/>
    <w:uiPriority w:val="99"/>
    <w:rsid w:val="00C0134E"/>
    <w:rPr>
      <w:kern w:val="2"/>
    </w:rPr>
  </w:style>
  <w:style w:type="character" w:styleId="af7">
    <w:name w:val="footnote reference"/>
    <w:basedOn w:val="a2"/>
    <w:uiPriority w:val="99"/>
    <w:semiHidden/>
    <w:rsid w:val="00C0134E"/>
    <w:rPr>
      <w:vertAlign w:val="superscript"/>
    </w:rPr>
  </w:style>
  <w:style w:type="paragraph" w:styleId="af8">
    <w:name w:val="Body Text"/>
    <w:basedOn w:val="a1"/>
    <w:link w:val="af9"/>
    <w:uiPriority w:val="99"/>
    <w:semiHidden/>
    <w:unhideWhenUsed/>
    <w:rsid w:val="000931D7"/>
    <w:pPr>
      <w:spacing w:after="120"/>
    </w:pPr>
  </w:style>
  <w:style w:type="character" w:customStyle="1" w:styleId="af9">
    <w:name w:val="本文 字元"/>
    <w:basedOn w:val="a2"/>
    <w:link w:val="af8"/>
    <w:uiPriority w:val="99"/>
    <w:semiHidden/>
    <w:rsid w:val="000931D7"/>
    <w:rPr>
      <w:rFonts w:eastAsia="標楷體"/>
      <w:kern w:val="2"/>
      <w:sz w:val="32"/>
    </w:rPr>
  </w:style>
  <w:style w:type="paragraph" w:customStyle="1" w:styleId="afa">
    <w:name w:val="大項"/>
    <w:basedOn w:val="a1"/>
    <w:rsid w:val="000931D7"/>
    <w:pPr>
      <w:kinsoku w:val="0"/>
      <w:adjustRightInd w:val="0"/>
      <w:spacing w:line="440" w:lineRule="atLeast"/>
      <w:ind w:left="1260" w:hanging="644"/>
      <w:textAlignment w:val="baseline"/>
    </w:pPr>
    <w:rPr>
      <w:rFonts w:ascii="標楷體"/>
      <w:kern w:val="0"/>
    </w:rPr>
  </w:style>
  <w:style w:type="paragraph" w:customStyle="1" w:styleId="24">
    <w:name w:val="字元 字元2 字元"/>
    <w:basedOn w:val="a1"/>
    <w:semiHidden/>
    <w:rsid w:val="00B156FD"/>
    <w:pPr>
      <w:widowControl/>
      <w:spacing w:after="160" w:line="240" w:lineRule="exact"/>
    </w:pPr>
    <w:rPr>
      <w:rFonts w:ascii="Tahoma" w:eastAsia="新細明體" w:hAnsi="Tahoma" w:cs="Tahoma"/>
      <w:kern w:val="0"/>
      <w:sz w:val="20"/>
      <w:lang w:eastAsia="en-US"/>
    </w:rPr>
  </w:style>
  <w:style w:type="paragraph" w:styleId="afb">
    <w:name w:val="Plain Text"/>
    <w:basedOn w:val="a1"/>
    <w:link w:val="afc"/>
    <w:unhideWhenUsed/>
    <w:rsid w:val="00643956"/>
    <w:rPr>
      <w:rFonts w:ascii="Calibri" w:eastAsia="新細明體" w:hAnsi="Courier New" w:cs="Courier New"/>
      <w:sz w:val="24"/>
      <w:szCs w:val="24"/>
    </w:rPr>
  </w:style>
  <w:style w:type="character" w:customStyle="1" w:styleId="afc">
    <w:name w:val="純文字 字元"/>
    <w:basedOn w:val="a2"/>
    <w:link w:val="afb"/>
    <w:uiPriority w:val="99"/>
    <w:rsid w:val="00643956"/>
    <w:rPr>
      <w:rFonts w:ascii="Calibri" w:hAnsi="Courier New" w:cs="Courier New"/>
      <w:kern w:val="2"/>
      <w:sz w:val="24"/>
      <w:szCs w:val="24"/>
    </w:rPr>
  </w:style>
  <w:style w:type="paragraph" w:styleId="afd">
    <w:name w:val="Balloon Text"/>
    <w:basedOn w:val="a1"/>
    <w:link w:val="afe"/>
    <w:uiPriority w:val="99"/>
    <w:semiHidden/>
    <w:unhideWhenUsed/>
    <w:rsid w:val="005256D9"/>
    <w:rPr>
      <w:rFonts w:ascii="Cambria" w:eastAsia="新細明體" w:hAnsi="Cambria"/>
      <w:sz w:val="18"/>
      <w:szCs w:val="18"/>
    </w:rPr>
  </w:style>
  <w:style w:type="character" w:customStyle="1" w:styleId="afe">
    <w:name w:val="註解方塊文字 字元"/>
    <w:basedOn w:val="a2"/>
    <w:link w:val="afd"/>
    <w:uiPriority w:val="99"/>
    <w:semiHidden/>
    <w:rsid w:val="005256D9"/>
    <w:rPr>
      <w:rFonts w:ascii="Cambria" w:eastAsia="新細明體" w:hAnsi="Cambria" w:cs="Times New Roman"/>
      <w:kern w:val="2"/>
      <w:sz w:val="18"/>
      <w:szCs w:val="18"/>
    </w:rPr>
  </w:style>
  <w:style w:type="paragraph" w:styleId="HTML">
    <w:name w:val="HTML Preformatted"/>
    <w:basedOn w:val="a1"/>
    <w:link w:val="HTML0"/>
    <w:uiPriority w:val="99"/>
    <w:rsid w:val="004955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 w:val="24"/>
      <w:szCs w:val="24"/>
    </w:rPr>
  </w:style>
  <w:style w:type="character" w:customStyle="1" w:styleId="HTML0">
    <w:name w:val="HTML 預設格式 字元"/>
    <w:basedOn w:val="a2"/>
    <w:link w:val="HTML"/>
    <w:uiPriority w:val="99"/>
    <w:rsid w:val="00495510"/>
    <w:rPr>
      <w:rFonts w:ascii="細明體" w:eastAsia="細明體" w:hAnsi="細明體" w:cs="細明體"/>
      <w:sz w:val="24"/>
      <w:szCs w:val="24"/>
    </w:rPr>
  </w:style>
  <w:style w:type="character" w:customStyle="1" w:styleId="30">
    <w:name w:val="標題 3 字元"/>
    <w:basedOn w:val="a2"/>
    <w:link w:val="3"/>
    <w:rsid w:val="00806977"/>
    <w:rPr>
      <w:rFonts w:ascii="標楷體" w:eastAsia="標楷體" w:hAnsi="Arial"/>
      <w:bCs/>
      <w:sz w:val="32"/>
      <w:szCs w:val="36"/>
    </w:rPr>
  </w:style>
  <w:style w:type="character" w:customStyle="1" w:styleId="af1">
    <w:name w:val="頁尾 字元"/>
    <w:basedOn w:val="a2"/>
    <w:link w:val="af0"/>
    <w:rsid w:val="00C03267"/>
    <w:rPr>
      <w:rFonts w:eastAsia="標楷體"/>
      <w:kern w:val="2"/>
    </w:rPr>
  </w:style>
  <w:style w:type="character" w:customStyle="1" w:styleId="w-13c-en1">
    <w:name w:val="w-13c-en1"/>
    <w:basedOn w:val="a2"/>
    <w:rsid w:val="00F94ED7"/>
    <w:rPr>
      <w:rFonts w:ascii="Arial" w:hAnsi="Arial" w:cs="Arial" w:hint="default"/>
      <w:sz w:val="20"/>
      <w:szCs w:val="20"/>
    </w:rPr>
  </w:style>
  <w:style w:type="character" w:customStyle="1" w:styleId="st">
    <w:name w:val="st"/>
    <w:basedOn w:val="a2"/>
    <w:rsid w:val="009B7D23"/>
  </w:style>
  <w:style w:type="character" w:customStyle="1" w:styleId="user5">
    <w:name w:val="user_5"/>
    <w:basedOn w:val="a2"/>
    <w:rsid w:val="00903C53"/>
  </w:style>
  <w:style w:type="paragraph" w:styleId="Web">
    <w:name w:val="Normal (Web)"/>
    <w:basedOn w:val="a1"/>
    <w:uiPriority w:val="99"/>
    <w:unhideWhenUsed/>
    <w:rsid w:val="00903C53"/>
    <w:pPr>
      <w:widowControl/>
      <w:spacing w:before="100" w:beforeAutospacing="1" w:after="100" w:afterAutospacing="1"/>
    </w:pPr>
    <w:rPr>
      <w:rFonts w:ascii="新細明體" w:eastAsia="新細明體" w:hAnsi="新細明體" w:cs="新細明體"/>
      <w:kern w:val="0"/>
      <w:sz w:val="24"/>
      <w:szCs w:val="24"/>
    </w:rPr>
  </w:style>
  <w:style w:type="character" w:styleId="aff">
    <w:name w:val="endnote reference"/>
    <w:basedOn w:val="a2"/>
    <w:uiPriority w:val="99"/>
    <w:semiHidden/>
    <w:unhideWhenUsed/>
    <w:rsid w:val="008C0D73"/>
    <w:rPr>
      <w:vertAlign w:val="superscript"/>
    </w:rPr>
  </w:style>
  <w:style w:type="paragraph" w:styleId="aff0">
    <w:name w:val="Date"/>
    <w:basedOn w:val="a1"/>
    <w:next w:val="a1"/>
    <w:link w:val="aff1"/>
    <w:uiPriority w:val="99"/>
    <w:semiHidden/>
    <w:unhideWhenUsed/>
    <w:rsid w:val="00F82D53"/>
    <w:pPr>
      <w:jc w:val="right"/>
    </w:pPr>
  </w:style>
  <w:style w:type="character" w:customStyle="1" w:styleId="aff1">
    <w:name w:val="日期 字元"/>
    <w:basedOn w:val="a2"/>
    <w:link w:val="aff0"/>
    <w:uiPriority w:val="99"/>
    <w:semiHidden/>
    <w:rsid w:val="00F82D53"/>
    <w:rPr>
      <w:rFonts w:eastAsia="標楷體"/>
      <w:kern w:val="2"/>
      <w:sz w:val="32"/>
    </w:rPr>
  </w:style>
  <w:style w:type="character" w:customStyle="1" w:styleId="highlight">
    <w:name w:val="highlight"/>
    <w:basedOn w:val="a2"/>
    <w:rsid w:val="00FE0AF1"/>
  </w:style>
  <w:style w:type="paragraph" w:customStyle="1" w:styleId="14">
    <w:name w:val="純文字1"/>
    <w:basedOn w:val="a1"/>
    <w:rsid w:val="000423B3"/>
    <w:pPr>
      <w:adjustRightInd w:val="0"/>
      <w:spacing w:line="360" w:lineRule="atLeast"/>
      <w:textAlignment w:val="baseline"/>
    </w:pPr>
    <w:rPr>
      <w:rFonts w:ascii="細明體" w:eastAsia="細明體" w:hAnsi="Courier New"/>
      <w:kern w:val="0"/>
      <w:sz w:val="24"/>
    </w:rPr>
  </w:style>
  <w:style w:type="character" w:customStyle="1" w:styleId="highlight1">
    <w:name w:val="highlight1"/>
    <w:basedOn w:val="a2"/>
    <w:rsid w:val="006E7934"/>
    <w:rPr>
      <w:color w:val="FF0000"/>
    </w:rPr>
  </w:style>
  <w:style w:type="character" w:styleId="aff2">
    <w:name w:val="Placeholder Text"/>
    <w:basedOn w:val="a2"/>
    <w:uiPriority w:val="99"/>
    <w:semiHidden/>
    <w:rsid w:val="006E7934"/>
    <w:rPr>
      <w:color w:val="808080"/>
    </w:rPr>
  </w:style>
  <w:style w:type="paragraph" w:customStyle="1" w:styleId="15">
    <w:name w:val="清單段落1"/>
    <w:basedOn w:val="a1"/>
    <w:rsid w:val="006E7934"/>
    <w:pPr>
      <w:ind w:leftChars="200" w:left="480"/>
    </w:pPr>
    <w:rPr>
      <w:rFonts w:ascii="Calibri" w:eastAsia="新細明體" w:hAnsi="Calibri"/>
      <w:sz w:val="24"/>
      <w:szCs w:val="22"/>
    </w:rPr>
  </w:style>
  <w:style w:type="paragraph" w:customStyle="1" w:styleId="aff3">
    <w:name w:val="字元 字元"/>
    <w:basedOn w:val="a1"/>
    <w:rsid w:val="006E7934"/>
    <w:pPr>
      <w:widowControl/>
      <w:spacing w:after="160" w:line="240" w:lineRule="exact"/>
    </w:pPr>
    <w:rPr>
      <w:rFonts w:ascii="Tahoma" w:eastAsia="新細明體" w:hAnsi="Tahoma"/>
      <w:kern w:val="0"/>
      <w:sz w:val="20"/>
      <w:lang w:eastAsia="en-US"/>
    </w:rPr>
  </w:style>
  <w:style w:type="character" w:customStyle="1" w:styleId="ft">
    <w:name w:val="ft"/>
    <w:basedOn w:val="a2"/>
    <w:rsid w:val="006E7934"/>
  </w:style>
  <w:style w:type="character" w:styleId="aff4">
    <w:name w:val="Emphasis"/>
    <w:basedOn w:val="a2"/>
    <w:uiPriority w:val="20"/>
    <w:qFormat/>
    <w:rsid w:val="006E7934"/>
    <w:rPr>
      <w:b w:val="0"/>
      <w:bCs w:val="0"/>
      <w:i w:val="0"/>
      <w:iCs w:val="0"/>
      <w:color w:val="CC0033"/>
    </w:rPr>
  </w:style>
  <w:style w:type="paragraph" w:styleId="aff5">
    <w:name w:val="TOC Heading"/>
    <w:basedOn w:val="10"/>
    <w:next w:val="a1"/>
    <w:uiPriority w:val="39"/>
    <w:unhideWhenUsed/>
    <w:qFormat/>
    <w:rsid w:val="006E7934"/>
    <w:pPr>
      <w:keepNext/>
      <w:keepLines/>
      <w:widowControl/>
      <w:numPr>
        <w:numId w:val="0"/>
      </w:numPr>
      <w:kinsoku/>
      <w:spacing w:before="480" w:line="276" w:lineRule="auto"/>
      <w:jc w:val="left"/>
      <w:outlineLvl w:val="9"/>
    </w:pPr>
    <w:rPr>
      <w:rFonts w:asciiTheme="majorHAnsi" w:eastAsiaTheme="majorEastAsia" w:hAnsiTheme="majorHAnsi" w:cstheme="majorBidi"/>
      <w:b/>
      <w:color w:val="365F91" w:themeColor="accent1" w:themeShade="BF"/>
      <w:sz w:val="28"/>
      <w:szCs w:val="28"/>
    </w:rPr>
  </w:style>
  <w:style w:type="paragraph" w:customStyle="1" w:styleId="Default">
    <w:name w:val="Default"/>
    <w:uiPriority w:val="99"/>
    <w:rsid w:val="006E7934"/>
    <w:pPr>
      <w:widowControl w:val="0"/>
      <w:autoSpaceDE w:val="0"/>
      <w:autoSpaceDN w:val="0"/>
      <w:adjustRightInd w:val="0"/>
    </w:pPr>
    <w:rPr>
      <w:rFonts w:ascii="標楷體" w:hAnsi="標楷體" w:cs="標楷體"/>
      <w:color w:val="000000"/>
      <w:sz w:val="24"/>
      <w:szCs w:val="24"/>
    </w:rPr>
  </w:style>
  <w:style w:type="character" w:customStyle="1" w:styleId="aa">
    <w:name w:val="頁首 字元"/>
    <w:basedOn w:val="a2"/>
    <w:link w:val="a9"/>
    <w:uiPriority w:val="99"/>
    <w:rsid w:val="00EA264B"/>
    <w:rPr>
      <w:rFonts w:eastAsia="標楷體"/>
      <w:kern w:val="2"/>
    </w:rPr>
  </w:style>
  <w:style w:type="character" w:customStyle="1" w:styleId="st1">
    <w:name w:val="st1"/>
    <w:basedOn w:val="a2"/>
    <w:rsid w:val="00FE55E8"/>
  </w:style>
  <w:style w:type="table" w:customStyle="1" w:styleId="16">
    <w:name w:val="表格格線1"/>
    <w:basedOn w:val="a3"/>
    <w:uiPriority w:val="59"/>
    <w:rsid w:val="00096159"/>
    <w:rPr>
      <w:rFonts w:asciiTheme="minorHAnsi" w:eastAsiaTheme="minorEastAsia" w:hAnsiTheme="minorHAnsi" w:cstheme="minorBid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48">
    <w:name w:val="xl48"/>
    <w:basedOn w:val="a1"/>
    <w:rsid w:val="003F2B8B"/>
    <w:pPr>
      <w:widowControl/>
      <w:pBdr>
        <w:left w:val="single" w:sz="4" w:space="0" w:color="auto"/>
      </w:pBdr>
      <w:spacing w:before="100" w:beforeAutospacing="1" w:after="100" w:afterAutospacing="1"/>
      <w:jc w:val="right"/>
      <w:textAlignment w:val="center"/>
    </w:pPr>
    <w:rPr>
      <w:rFonts w:eastAsia="Arial Unicode MS"/>
      <w:kern w:val="0"/>
      <w:sz w:val="24"/>
      <w:szCs w:val="24"/>
    </w:rPr>
  </w:style>
  <w:style w:type="paragraph" w:customStyle="1" w:styleId="1">
    <w:name w:val="樣式1"/>
    <w:basedOn w:val="a1"/>
    <w:qFormat/>
    <w:rsid w:val="00AE0D90"/>
    <w:pPr>
      <w:numPr>
        <w:numId w:val="14"/>
      </w:numPr>
      <w:spacing w:beforeLines="50" w:line="460" w:lineRule="exact"/>
      <w:outlineLvl w:val="0"/>
    </w:pPr>
    <w:rPr>
      <w:rFonts w:ascii="標楷體" w:hAnsi="標楷體"/>
      <w:b/>
      <w:sz w:val="28"/>
      <w:szCs w:val="28"/>
    </w:rPr>
  </w:style>
  <w:style w:type="paragraph" w:customStyle="1" w:styleId="2">
    <w:name w:val="樣式2"/>
    <w:basedOn w:val="3"/>
    <w:qFormat/>
    <w:rsid w:val="00AE0D90"/>
    <w:pPr>
      <w:numPr>
        <w:ilvl w:val="1"/>
        <w:numId w:val="14"/>
      </w:numPr>
      <w:spacing w:beforeLines="50" w:line="440" w:lineRule="exact"/>
    </w:pPr>
    <w:rPr>
      <w:rFonts w:hAnsi="標楷體"/>
      <w:b/>
      <w:kern w:val="2"/>
      <w:sz w:val="28"/>
      <w:szCs w:val="28"/>
    </w:rPr>
  </w:style>
  <w:style w:type="character" w:customStyle="1" w:styleId="11">
    <w:name w:val="標題 1 字元"/>
    <w:link w:val="10"/>
    <w:uiPriority w:val="9"/>
    <w:rsid w:val="00AE0D90"/>
    <w:rPr>
      <w:rFonts w:ascii="標楷體" w:eastAsia="標楷體" w:hAnsi="Arial"/>
      <w:bCs/>
      <w:sz w:val="32"/>
      <w:szCs w:val="52"/>
    </w:rPr>
  </w:style>
  <w:style w:type="character" w:customStyle="1" w:styleId="40">
    <w:name w:val="標題 4 字元"/>
    <w:link w:val="4"/>
    <w:rsid w:val="00AE0D90"/>
    <w:rPr>
      <w:rFonts w:ascii="標楷體" w:eastAsia="標楷體" w:hAnsi="Arial"/>
      <w:kern w:val="2"/>
      <w:sz w:val="32"/>
      <w:szCs w:val="36"/>
    </w:rPr>
  </w:style>
  <w:style w:type="character" w:customStyle="1" w:styleId="50">
    <w:name w:val="標題 5 字元"/>
    <w:link w:val="5"/>
    <w:rsid w:val="00AE0D90"/>
    <w:rPr>
      <w:rFonts w:ascii="標楷體" w:eastAsia="標楷體" w:hAnsi="Arial"/>
      <w:bCs/>
      <w:kern w:val="2"/>
      <w:sz w:val="32"/>
      <w:szCs w:val="36"/>
    </w:rPr>
  </w:style>
  <w:style w:type="character" w:customStyle="1" w:styleId="60">
    <w:name w:val="標題 6 字元"/>
    <w:link w:val="6"/>
    <w:rsid w:val="00AE0D90"/>
    <w:rPr>
      <w:rFonts w:ascii="標楷體" w:eastAsia="標楷體" w:hAnsi="Arial"/>
      <w:kern w:val="2"/>
      <w:sz w:val="32"/>
      <w:szCs w:val="36"/>
    </w:rPr>
  </w:style>
  <w:style w:type="character" w:customStyle="1" w:styleId="70">
    <w:name w:val="標題 7 字元"/>
    <w:link w:val="7"/>
    <w:rsid w:val="00AE0D90"/>
    <w:rPr>
      <w:rFonts w:ascii="標楷體" w:eastAsia="標楷體" w:hAnsi="Arial"/>
      <w:bCs/>
      <w:kern w:val="2"/>
      <w:sz w:val="32"/>
      <w:szCs w:val="36"/>
    </w:rPr>
  </w:style>
  <w:style w:type="character" w:customStyle="1" w:styleId="80">
    <w:name w:val="標題 8 字元"/>
    <w:link w:val="8"/>
    <w:rsid w:val="00AE0D90"/>
    <w:rPr>
      <w:rFonts w:ascii="標楷體" w:eastAsia="標楷體" w:hAnsi="Arial"/>
      <w:kern w:val="2"/>
      <w:sz w:val="32"/>
      <w:szCs w:val="36"/>
    </w:rPr>
  </w:style>
  <w:style w:type="paragraph" w:styleId="33">
    <w:name w:val="Body Text Indent 3"/>
    <w:basedOn w:val="a1"/>
    <w:link w:val="34"/>
    <w:rsid w:val="00AE0D90"/>
    <w:pPr>
      <w:spacing w:after="120"/>
      <w:ind w:leftChars="200" w:left="480"/>
    </w:pPr>
    <w:rPr>
      <w:rFonts w:eastAsia="新細明體"/>
      <w:sz w:val="16"/>
      <w:szCs w:val="16"/>
    </w:rPr>
  </w:style>
  <w:style w:type="character" w:customStyle="1" w:styleId="34">
    <w:name w:val="本文縮排 3 字元"/>
    <w:basedOn w:val="a2"/>
    <w:link w:val="33"/>
    <w:rsid w:val="00AE0D90"/>
    <w:rPr>
      <w:kern w:val="2"/>
      <w:sz w:val="16"/>
      <w:szCs w:val="16"/>
    </w:rPr>
  </w:style>
  <w:style w:type="paragraph" w:customStyle="1" w:styleId="font5">
    <w:name w:val="font5"/>
    <w:basedOn w:val="a1"/>
    <w:uiPriority w:val="99"/>
    <w:rsid w:val="00AE0D90"/>
    <w:pPr>
      <w:widowControl/>
      <w:spacing w:before="100" w:beforeAutospacing="1" w:after="100" w:afterAutospacing="1"/>
    </w:pPr>
    <w:rPr>
      <w:rFonts w:ascii="細明體" w:eastAsia="細明體" w:hAnsi="細明體" w:cs="新細明體"/>
      <w:kern w:val="0"/>
      <w:sz w:val="18"/>
      <w:szCs w:val="18"/>
    </w:rPr>
  </w:style>
  <w:style w:type="paragraph" w:customStyle="1" w:styleId="font6">
    <w:name w:val="font6"/>
    <w:basedOn w:val="a1"/>
    <w:uiPriority w:val="99"/>
    <w:rsid w:val="00AE0D90"/>
    <w:pPr>
      <w:widowControl/>
      <w:spacing w:before="100" w:beforeAutospacing="1" w:after="100" w:afterAutospacing="1"/>
    </w:pPr>
    <w:rPr>
      <w:rFonts w:ascii="標楷體" w:hAnsi="標楷體" w:cs="新細明體"/>
      <w:kern w:val="0"/>
      <w:sz w:val="24"/>
      <w:szCs w:val="24"/>
    </w:rPr>
  </w:style>
  <w:style w:type="paragraph" w:customStyle="1" w:styleId="xl63">
    <w:name w:val="xl63"/>
    <w:basedOn w:val="a1"/>
    <w:uiPriority w:val="99"/>
    <w:rsid w:val="00AE0D9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新細明體"/>
      <w:kern w:val="0"/>
      <w:sz w:val="24"/>
      <w:szCs w:val="24"/>
    </w:rPr>
  </w:style>
  <w:style w:type="paragraph" w:customStyle="1" w:styleId="xl64">
    <w:name w:val="xl64"/>
    <w:basedOn w:val="a1"/>
    <w:uiPriority w:val="99"/>
    <w:rsid w:val="00AE0D9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新細明體"/>
      <w:kern w:val="0"/>
      <w:sz w:val="24"/>
      <w:szCs w:val="24"/>
    </w:rPr>
  </w:style>
  <w:style w:type="paragraph" w:customStyle="1" w:styleId="xl65">
    <w:name w:val="xl65"/>
    <w:basedOn w:val="a1"/>
    <w:uiPriority w:val="99"/>
    <w:rsid w:val="00AE0D9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新細明體"/>
      <w:kern w:val="0"/>
      <w:sz w:val="24"/>
      <w:szCs w:val="24"/>
    </w:rPr>
  </w:style>
  <w:style w:type="paragraph" w:customStyle="1" w:styleId="17">
    <w:name w:val="字元 字元 字元 字元 字元1 字元 字元 字元 字元 字元 字元 字元"/>
    <w:basedOn w:val="a1"/>
    <w:rsid w:val="00AE0D90"/>
    <w:pPr>
      <w:widowControl/>
      <w:spacing w:after="160" w:line="240" w:lineRule="exact"/>
    </w:pPr>
    <w:rPr>
      <w:rFonts w:ascii="Tahoma" w:eastAsia="新細明體" w:hAnsi="Tahoma" w:cs="Tahoma"/>
      <w:kern w:val="0"/>
      <w:sz w:val="20"/>
      <w:lang w:eastAsia="en-US"/>
    </w:rPr>
  </w:style>
  <w:style w:type="paragraph" w:customStyle="1" w:styleId="18">
    <w:name w:val="字元 字元1 字元 字元 字元 字元 字元 字元 字元"/>
    <w:basedOn w:val="a1"/>
    <w:rsid w:val="00211DC2"/>
    <w:pPr>
      <w:widowControl/>
      <w:spacing w:after="160" w:line="240" w:lineRule="exact"/>
    </w:pPr>
    <w:rPr>
      <w:rFonts w:ascii="Verdana" w:eastAsia="新細明體" w:hAnsi="Verdana"/>
      <w:kern w:val="0"/>
      <w:sz w:val="20"/>
      <w:lang w:eastAsia="en-US"/>
    </w:rPr>
  </w:style>
  <w:style w:type="paragraph" w:customStyle="1" w:styleId="h1txt1">
    <w:name w:val="h1_txt1"/>
    <w:basedOn w:val="a1"/>
    <w:rsid w:val="00D46954"/>
    <w:pPr>
      <w:widowControl/>
      <w:spacing w:before="120" w:after="120"/>
      <w:ind w:left="750" w:right="600" w:firstLine="390"/>
    </w:pPr>
    <w:rPr>
      <w:rFonts w:ascii="新細明體" w:eastAsia="新細明體" w:hAnsi="新細明體" w:cs="新細明體"/>
      <w:kern w:val="0"/>
      <w:sz w:val="24"/>
      <w:szCs w:val="24"/>
    </w:rPr>
  </w:style>
  <w:style w:type="character" w:customStyle="1" w:styleId="a6">
    <w:name w:val="簽名 字元"/>
    <w:basedOn w:val="a2"/>
    <w:link w:val="a5"/>
    <w:semiHidden/>
    <w:rsid w:val="00D46954"/>
    <w:rPr>
      <w:rFonts w:ascii="標楷體" w:eastAsia="標楷體"/>
      <w:b/>
      <w:snapToGrid w:val="0"/>
      <w:spacing w:val="10"/>
      <w:kern w:val="2"/>
      <w:sz w:val="36"/>
    </w:rPr>
  </w:style>
  <w:style w:type="character" w:styleId="aff6">
    <w:name w:val="Strong"/>
    <w:basedOn w:val="a2"/>
    <w:uiPriority w:val="22"/>
    <w:qFormat/>
    <w:rsid w:val="00124003"/>
    <w:rPr>
      <w:b/>
      <w:bCs/>
    </w:rPr>
  </w:style>
  <w:style w:type="character" w:styleId="aff7">
    <w:name w:val="FollowedHyperlink"/>
    <w:basedOn w:val="a2"/>
    <w:uiPriority w:val="99"/>
    <w:semiHidden/>
    <w:unhideWhenUsed/>
    <w:rsid w:val="00ED754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6860159">
      <w:bodyDiv w:val="1"/>
      <w:marLeft w:val="0"/>
      <w:marRight w:val="0"/>
      <w:marTop w:val="0"/>
      <w:marBottom w:val="0"/>
      <w:divBdr>
        <w:top w:val="none" w:sz="0" w:space="0" w:color="auto"/>
        <w:left w:val="none" w:sz="0" w:space="0" w:color="auto"/>
        <w:bottom w:val="none" w:sz="0" w:space="0" w:color="auto"/>
        <w:right w:val="none" w:sz="0" w:space="0" w:color="auto"/>
      </w:divBdr>
      <w:divsChild>
        <w:div w:id="325329028">
          <w:marLeft w:val="446"/>
          <w:marRight w:val="0"/>
          <w:marTop w:val="0"/>
          <w:marBottom w:val="0"/>
          <w:divBdr>
            <w:top w:val="none" w:sz="0" w:space="0" w:color="auto"/>
            <w:left w:val="none" w:sz="0" w:space="0" w:color="auto"/>
            <w:bottom w:val="none" w:sz="0" w:space="0" w:color="auto"/>
            <w:right w:val="none" w:sz="0" w:space="0" w:color="auto"/>
          </w:divBdr>
        </w:div>
        <w:div w:id="436144109">
          <w:marLeft w:val="446"/>
          <w:marRight w:val="0"/>
          <w:marTop w:val="0"/>
          <w:marBottom w:val="0"/>
          <w:divBdr>
            <w:top w:val="none" w:sz="0" w:space="0" w:color="auto"/>
            <w:left w:val="none" w:sz="0" w:space="0" w:color="auto"/>
            <w:bottom w:val="none" w:sz="0" w:space="0" w:color="auto"/>
            <w:right w:val="none" w:sz="0" w:space="0" w:color="auto"/>
          </w:divBdr>
        </w:div>
      </w:divsChild>
    </w:div>
    <w:div w:id="89937951">
      <w:bodyDiv w:val="1"/>
      <w:marLeft w:val="0"/>
      <w:marRight w:val="0"/>
      <w:marTop w:val="0"/>
      <w:marBottom w:val="0"/>
      <w:divBdr>
        <w:top w:val="none" w:sz="0" w:space="0" w:color="auto"/>
        <w:left w:val="none" w:sz="0" w:space="0" w:color="auto"/>
        <w:bottom w:val="none" w:sz="0" w:space="0" w:color="auto"/>
        <w:right w:val="none" w:sz="0" w:space="0" w:color="auto"/>
      </w:divBdr>
    </w:div>
    <w:div w:id="223106231">
      <w:bodyDiv w:val="1"/>
      <w:marLeft w:val="0"/>
      <w:marRight w:val="0"/>
      <w:marTop w:val="0"/>
      <w:marBottom w:val="0"/>
      <w:divBdr>
        <w:top w:val="none" w:sz="0" w:space="0" w:color="auto"/>
        <w:left w:val="none" w:sz="0" w:space="0" w:color="auto"/>
        <w:bottom w:val="none" w:sz="0" w:space="0" w:color="auto"/>
        <w:right w:val="none" w:sz="0" w:space="0" w:color="auto"/>
      </w:divBdr>
    </w:div>
    <w:div w:id="255673596">
      <w:bodyDiv w:val="1"/>
      <w:marLeft w:val="0"/>
      <w:marRight w:val="0"/>
      <w:marTop w:val="0"/>
      <w:marBottom w:val="0"/>
      <w:divBdr>
        <w:top w:val="none" w:sz="0" w:space="0" w:color="auto"/>
        <w:left w:val="none" w:sz="0" w:space="0" w:color="auto"/>
        <w:bottom w:val="none" w:sz="0" w:space="0" w:color="auto"/>
        <w:right w:val="none" w:sz="0" w:space="0" w:color="auto"/>
      </w:divBdr>
    </w:div>
    <w:div w:id="390622019">
      <w:bodyDiv w:val="1"/>
      <w:marLeft w:val="0"/>
      <w:marRight w:val="0"/>
      <w:marTop w:val="0"/>
      <w:marBottom w:val="0"/>
      <w:divBdr>
        <w:top w:val="none" w:sz="0" w:space="0" w:color="auto"/>
        <w:left w:val="none" w:sz="0" w:space="0" w:color="auto"/>
        <w:bottom w:val="none" w:sz="0" w:space="0" w:color="auto"/>
        <w:right w:val="none" w:sz="0" w:space="0" w:color="auto"/>
      </w:divBdr>
    </w:div>
    <w:div w:id="422267215">
      <w:bodyDiv w:val="1"/>
      <w:marLeft w:val="0"/>
      <w:marRight w:val="0"/>
      <w:marTop w:val="0"/>
      <w:marBottom w:val="0"/>
      <w:divBdr>
        <w:top w:val="none" w:sz="0" w:space="0" w:color="auto"/>
        <w:left w:val="none" w:sz="0" w:space="0" w:color="auto"/>
        <w:bottom w:val="none" w:sz="0" w:space="0" w:color="auto"/>
        <w:right w:val="none" w:sz="0" w:space="0" w:color="auto"/>
      </w:divBdr>
    </w:div>
    <w:div w:id="660617134">
      <w:bodyDiv w:val="1"/>
      <w:marLeft w:val="0"/>
      <w:marRight w:val="0"/>
      <w:marTop w:val="0"/>
      <w:marBottom w:val="0"/>
      <w:divBdr>
        <w:top w:val="none" w:sz="0" w:space="0" w:color="auto"/>
        <w:left w:val="none" w:sz="0" w:space="0" w:color="auto"/>
        <w:bottom w:val="none" w:sz="0" w:space="0" w:color="auto"/>
        <w:right w:val="none" w:sz="0" w:space="0" w:color="auto"/>
      </w:divBdr>
    </w:div>
    <w:div w:id="824518528">
      <w:bodyDiv w:val="1"/>
      <w:marLeft w:val="0"/>
      <w:marRight w:val="0"/>
      <w:marTop w:val="0"/>
      <w:marBottom w:val="0"/>
      <w:divBdr>
        <w:top w:val="none" w:sz="0" w:space="0" w:color="auto"/>
        <w:left w:val="none" w:sz="0" w:space="0" w:color="auto"/>
        <w:bottom w:val="none" w:sz="0" w:space="0" w:color="auto"/>
        <w:right w:val="none" w:sz="0" w:space="0" w:color="auto"/>
      </w:divBdr>
    </w:div>
    <w:div w:id="874774925">
      <w:bodyDiv w:val="1"/>
      <w:marLeft w:val="0"/>
      <w:marRight w:val="0"/>
      <w:marTop w:val="0"/>
      <w:marBottom w:val="0"/>
      <w:divBdr>
        <w:top w:val="none" w:sz="0" w:space="0" w:color="auto"/>
        <w:left w:val="none" w:sz="0" w:space="0" w:color="auto"/>
        <w:bottom w:val="none" w:sz="0" w:space="0" w:color="auto"/>
        <w:right w:val="none" w:sz="0" w:space="0" w:color="auto"/>
      </w:divBdr>
    </w:div>
    <w:div w:id="880481564">
      <w:bodyDiv w:val="1"/>
      <w:marLeft w:val="0"/>
      <w:marRight w:val="0"/>
      <w:marTop w:val="0"/>
      <w:marBottom w:val="0"/>
      <w:divBdr>
        <w:top w:val="none" w:sz="0" w:space="0" w:color="auto"/>
        <w:left w:val="none" w:sz="0" w:space="0" w:color="auto"/>
        <w:bottom w:val="none" w:sz="0" w:space="0" w:color="auto"/>
        <w:right w:val="none" w:sz="0" w:space="0" w:color="auto"/>
      </w:divBdr>
    </w:div>
    <w:div w:id="995693113">
      <w:bodyDiv w:val="1"/>
      <w:marLeft w:val="0"/>
      <w:marRight w:val="0"/>
      <w:marTop w:val="0"/>
      <w:marBottom w:val="0"/>
      <w:divBdr>
        <w:top w:val="none" w:sz="0" w:space="0" w:color="auto"/>
        <w:left w:val="none" w:sz="0" w:space="0" w:color="auto"/>
        <w:bottom w:val="none" w:sz="0" w:space="0" w:color="auto"/>
        <w:right w:val="none" w:sz="0" w:space="0" w:color="auto"/>
      </w:divBdr>
    </w:div>
    <w:div w:id="1032072158">
      <w:bodyDiv w:val="1"/>
      <w:marLeft w:val="0"/>
      <w:marRight w:val="0"/>
      <w:marTop w:val="0"/>
      <w:marBottom w:val="0"/>
      <w:divBdr>
        <w:top w:val="none" w:sz="0" w:space="0" w:color="auto"/>
        <w:left w:val="none" w:sz="0" w:space="0" w:color="auto"/>
        <w:bottom w:val="none" w:sz="0" w:space="0" w:color="auto"/>
        <w:right w:val="none" w:sz="0" w:space="0" w:color="auto"/>
      </w:divBdr>
    </w:div>
    <w:div w:id="1155561065">
      <w:bodyDiv w:val="1"/>
      <w:marLeft w:val="0"/>
      <w:marRight w:val="0"/>
      <w:marTop w:val="0"/>
      <w:marBottom w:val="0"/>
      <w:divBdr>
        <w:top w:val="none" w:sz="0" w:space="0" w:color="auto"/>
        <w:left w:val="none" w:sz="0" w:space="0" w:color="auto"/>
        <w:bottom w:val="none" w:sz="0" w:space="0" w:color="auto"/>
        <w:right w:val="none" w:sz="0" w:space="0" w:color="auto"/>
      </w:divBdr>
    </w:div>
    <w:div w:id="1200169785">
      <w:bodyDiv w:val="1"/>
      <w:marLeft w:val="0"/>
      <w:marRight w:val="0"/>
      <w:marTop w:val="0"/>
      <w:marBottom w:val="0"/>
      <w:divBdr>
        <w:top w:val="none" w:sz="0" w:space="0" w:color="auto"/>
        <w:left w:val="none" w:sz="0" w:space="0" w:color="auto"/>
        <w:bottom w:val="none" w:sz="0" w:space="0" w:color="auto"/>
        <w:right w:val="none" w:sz="0" w:space="0" w:color="auto"/>
      </w:divBdr>
    </w:div>
    <w:div w:id="1206914124">
      <w:bodyDiv w:val="1"/>
      <w:marLeft w:val="0"/>
      <w:marRight w:val="0"/>
      <w:marTop w:val="0"/>
      <w:marBottom w:val="0"/>
      <w:divBdr>
        <w:top w:val="none" w:sz="0" w:space="0" w:color="auto"/>
        <w:left w:val="none" w:sz="0" w:space="0" w:color="auto"/>
        <w:bottom w:val="none" w:sz="0" w:space="0" w:color="auto"/>
        <w:right w:val="none" w:sz="0" w:space="0" w:color="auto"/>
      </w:divBdr>
    </w:div>
    <w:div w:id="1300186992">
      <w:bodyDiv w:val="1"/>
      <w:marLeft w:val="0"/>
      <w:marRight w:val="0"/>
      <w:marTop w:val="0"/>
      <w:marBottom w:val="0"/>
      <w:divBdr>
        <w:top w:val="none" w:sz="0" w:space="0" w:color="auto"/>
        <w:left w:val="none" w:sz="0" w:space="0" w:color="auto"/>
        <w:bottom w:val="none" w:sz="0" w:space="0" w:color="auto"/>
        <w:right w:val="none" w:sz="0" w:space="0" w:color="auto"/>
      </w:divBdr>
    </w:div>
    <w:div w:id="1306081549">
      <w:bodyDiv w:val="1"/>
      <w:marLeft w:val="0"/>
      <w:marRight w:val="0"/>
      <w:marTop w:val="0"/>
      <w:marBottom w:val="0"/>
      <w:divBdr>
        <w:top w:val="none" w:sz="0" w:space="0" w:color="auto"/>
        <w:left w:val="none" w:sz="0" w:space="0" w:color="auto"/>
        <w:bottom w:val="none" w:sz="0" w:space="0" w:color="auto"/>
        <w:right w:val="none" w:sz="0" w:space="0" w:color="auto"/>
      </w:divBdr>
    </w:div>
    <w:div w:id="1391080507">
      <w:bodyDiv w:val="1"/>
      <w:marLeft w:val="0"/>
      <w:marRight w:val="0"/>
      <w:marTop w:val="0"/>
      <w:marBottom w:val="0"/>
      <w:divBdr>
        <w:top w:val="none" w:sz="0" w:space="0" w:color="auto"/>
        <w:left w:val="none" w:sz="0" w:space="0" w:color="auto"/>
        <w:bottom w:val="none" w:sz="0" w:space="0" w:color="auto"/>
        <w:right w:val="none" w:sz="0" w:space="0" w:color="auto"/>
      </w:divBdr>
    </w:div>
    <w:div w:id="1481580774">
      <w:bodyDiv w:val="1"/>
      <w:marLeft w:val="0"/>
      <w:marRight w:val="0"/>
      <w:marTop w:val="0"/>
      <w:marBottom w:val="0"/>
      <w:divBdr>
        <w:top w:val="none" w:sz="0" w:space="0" w:color="auto"/>
        <w:left w:val="none" w:sz="0" w:space="0" w:color="auto"/>
        <w:bottom w:val="none" w:sz="0" w:space="0" w:color="auto"/>
        <w:right w:val="none" w:sz="0" w:space="0" w:color="auto"/>
      </w:divBdr>
    </w:div>
    <w:div w:id="1759135389">
      <w:bodyDiv w:val="1"/>
      <w:marLeft w:val="0"/>
      <w:marRight w:val="0"/>
      <w:marTop w:val="0"/>
      <w:marBottom w:val="0"/>
      <w:divBdr>
        <w:top w:val="none" w:sz="0" w:space="0" w:color="auto"/>
        <w:left w:val="none" w:sz="0" w:space="0" w:color="auto"/>
        <w:bottom w:val="none" w:sz="0" w:space="0" w:color="auto"/>
        <w:right w:val="none" w:sz="0" w:space="0" w:color="auto"/>
      </w:divBdr>
    </w:div>
    <w:div w:id="1824658461">
      <w:bodyDiv w:val="1"/>
      <w:marLeft w:val="0"/>
      <w:marRight w:val="0"/>
      <w:marTop w:val="0"/>
      <w:marBottom w:val="0"/>
      <w:divBdr>
        <w:top w:val="none" w:sz="0" w:space="0" w:color="auto"/>
        <w:left w:val="none" w:sz="0" w:space="0" w:color="auto"/>
        <w:bottom w:val="none" w:sz="0" w:space="0" w:color="auto"/>
        <w:right w:val="none" w:sz="0" w:space="0" w:color="auto"/>
      </w:divBdr>
    </w:div>
    <w:div w:id="1991784303">
      <w:bodyDiv w:val="1"/>
      <w:marLeft w:val="0"/>
      <w:marRight w:val="0"/>
      <w:marTop w:val="0"/>
      <w:marBottom w:val="0"/>
      <w:divBdr>
        <w:top w:val="none" w:sz="0" w:space="0" w:color="auto"/>
        <w:left w:val="none" w:sz="0" w:space="0" w:color="auto"/>
        <w:bottom w:val="none" w:sz="0" w:space="0" w:color="auto"/>
        <w:right w:val="none" w:sz="0" w:space="0" w:color="auto"/>
      </w:divBdr>
    </w:div>
    <w:div w:id="201618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ebrush.net/chua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at.gov.tw/public/Data/31225164554N4GQ42N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tat.gov.tw/public/Data/31225164554N4GQ42NS.pdf" TargetMode="External"/><Relationship Id="rId4" Type="http://schemas.openxmlformats.org/officeDocument/2006/relationships/settings" Target="settings.xml"/><Relationship Id="rId9" Type="http://schemas.openxmlformats.org/officeDocument/2006/relationships/hyperlink" Target="http://www.dgbas.gov.tw/np.asp?ctNode=2829"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sa\AppData\Roaming\Microsoft\Templates\&#27243;&#24335;&#35519;&#26597;&#34920;&#21934;\C000A&#35519;&#26597;&#35336;&#30059;(&#24517;&#35201;&#26178;).dot"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20489;&#23433;\&#30435;&#23519;&#38498;\&#21332;&#26597;\&#38738;&#24180;&#22833;&#26989;&#20302;&#34218;&#21839;&#38988;\&#35519;&#26597;&#21443;&#32771;\&#31185;&#27589;&#24847;&#35211;\103.4\&#22833;&#26989;&#29575;&#22294;-&#24037;&#20316;&#24213;&#31295;.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TW"/>
  <c:chart>
    <c:autoTitleDeleted val="1"/>
    <c:plotArea>
      <c:layout>
        <c:manualLayout>
          <c:layoutTarget val="inner"/>
          <c:xMode val="edge"/>
          <c:yMode val="edge"/>
          <c:x val="0.10383063044271792"/>
          <c:y val="8.6548526981671176E-2"/>
          <c:w val="0.83484395369420938"/>
          <c:h val="0.65928565857994781"/>
        </c:manualLayout>
      </c:layout>
      <c:lineChart>
        <c:grouping val="standard"/>
        <c:ser>
          <c:idx val="0"/>
          <c:order val="0"/>
          <c:tx>
            <c:strRef>
              <c:f>圖2!$B$1</c:f>
              <c:strCache>
                <c:ptCount val="1"/>
                <c:pt idx="0">
                  <c:v>整體失業</c:v>
                </c:pt>
              </c:strCache>
            </c:strRef>
          </c:tx>
          <c:spPr>
            <a:ln>
              <a:prstDash val="sysDash"/>
            </a:ln>
          </c:spPr>
          <c:marker>
            <c:symbol val="none"/>
          </c:marker>
          <c:dPt>
            <c:idx val="0"/>
            <c:marker>
              <c:symbol val="circle"/>
              <c:size val="5"/>
            </c:marker>
          </c:dPt>
          <c:dLbls>
            <c:dLbl>
              <c:idx val="0"/>
              <c:layout>
                <c:manualLayout>
                  <c:x val="0"/>
                  <c:y val="3.4726684586000485E-2"/>
                </c:manualLayout>
              </c:layout>
              <c:showVal val="1"/>
            </c:dLbl>
            <c:dLbl>
              <c:idx val="31"/>
              <c:showVal val="1"/>
            </c:dLbl>
            <c:dLbl>
              <c:idx val="36"/>
              <c:showVal val="1"/>
            </c:dLbl>
            <c:delete val="1"/>
          </c:dLbls>
          <c:cat>
            <c:strRef>
              <c:f>圖2!$A$2:$A$38</c:f>
              <c:strCache>
                <c:ptCount val="37"/>
                <c:pt idx="0">
                  <c:v>67</c:v>
                </c:pt>
                <c:pt idx="1">
                  <c:v>68</c:v>
                </c:pt>
                <c:pt idx="2">
                  <c:v>69</c:v>
                </c:pt>
                <c:pt idx="3">
                  <c:v>70</c:v>
                </c:pt>
                <c:pt idx="4">
                  <c:v>71</c:v>
                </c:pt>
                <c:pt idx="5">
                  <c:v>72</c:v>
                </c:pt>
                <c:pt idx="6">
                  <c:v>73</c:v>
                </c:pt>
                <c:pt idx="7">
                  <c:v>74</c:v>
                </c:pt>
                <c:pt idx="8">
                  <c:v>75</c:v>
                </c:pt>
                <c:pt idx="9">
                  <c:v>76</c:v>
                </c:pt>
                <c:pt idx="10">
                  <c:v>77</c:v>
                </c:pt>
                <c:pt idx="11">
                  <c:v>78</c:v>
                </c:pt>
                <c:pt idx="12">
                  <c:v>79</c:v>
                </c:pt>
                <c:pt idx="13">
                  <c:v>80</c:v>
                </c:pt>
                <c:pt idx="14">
                  <c:v>81</c:v>
                </c:pt>
                <c:pt idx="15">
                  <c:v>82</c:v>
                </c:pt>
                <c:pt idx="16">
                  <c:v>83</c:v>
                </c:pt>
                <c:pt idx="17">
                  <c:v>84</c:v>
                </c:pt>
                <c:pt idx="18">
                  <c:v>85</c:v>
                </c:pt>
                <c:pt idx="19">
                  <c:v>86</c:v>
                </c:pt>
                <c:pt idx="20">
                  <c:v>87</c:v>
                </c:pt>
                <c:pt idx="21">
                  <c:v>88</c:v>
                </c:pt>
                <c:pt idx="22">
                  <c:v>89</c:v>
                </c:pt>
                <c:pt idx="23">
                  <c:v>90</c:v>
                </c:pt>
                <c:pt idx="24">
                  <c:v>91</c:v>
                </c:pt>
                <c:pt idx="25">
                  <c:v>92</c:v>
                </c:pt>
                <c:pt idx="26">
                  <c:v>93</c:v>
                </c:pt>
                <c:pt idx="27">
                  <c:v>94</c:v>
                </c:pt>
                <c:pt idx="28">
                  <c:v>95</c:v>
                </c:pt>
                <c:pt idx="29">
                  <c:v>96</c:v>
                </c:pt>
                <c:pt idx="30">
                  <c:v>97</c:v>
                </c:pt>
                <c:pt idx="31">
                  <c:v>98</c:v>
                </c:pt>
                <c:pt idx="32">
                  <c:v>99</c:v>
                </c:pt>
                <c:pt idx="33">
                  <c:v>100</c:v>
                </c:pt>
                <c:pt idx="34">
                  <c:v>101</c:v>
                </c:pt>
                <c:pt idx="35">
                  <c:v>102</c:v>
                </c:pt>
                <c:pt idx="36">
                  <c:v>103年1至4月</c:v>
                </c:pt>
              </c:strCache>
            </c:strRef>
          </c:cat>
          <c:val>
            <c:numRef>
              <c:f>圖2!$B$2:$B$38</c:f>
              <c:numCache>
                <c:formatCode>_-* #,##0.00_-;\-* #,##0.00_-;_-* "-"??_-;_-@_-</c:formatCode>
                <c:ptCount val="37"/>
                <c:pt idx="0">
                  <c:v>1.6700000000000021</c:v>
                </c:pt>
                <c:pt idx="1">
                  <c:v>1.27</c:v>
                </c:pt>
                <c:pt idx="2">
                  <c:v>1.23</c:v>
                </c:pt>
                <c:pt idx="3">
                  <c:v>1.36</c:v>
                </c:pt>
                <c:pt idx="4">
                  <c:v>2.14</c:v>
                </c:pt>
                <c:pt idx="5">
                  <c:v>2.71</c:v>
                </c:pt>
                <c:pt idx="6">
                  <c:v>2.4499999999999997</c:v>
                </c:pt>
                <c:pt idx="7">
                  <c:v>2.9099999999999997</c:v>
                </c:pt>
                <c:pt idx="8">
                  <c:v>2.66</c:v>
                </c:pt>
                <c:pt idx="9">
                  <c:v>1.970000000000012</c:v>
                </c:pt>
                <c:pt idx="10">
                  <c:v>1.6900000000000119</c:v>
                </c:pt>
                <c:pt idx="11">
                  <c:v>1.57</c:v>
                </c:pt>
                <c:pt idx="12">
                  <c:v>1.6700000000000021</c:v>
                </c:pt>
                <c:pt idx="13">
                  <c:v>1.51</c:v>
                </c:pt>
                <c:pt idx="14">
                  <c:v>1.51</c:v>
                </c:pt>
                <c:pt idx="15">
                  <c:v>1.45</c:v>
                </c:pt>
                <c:pt idx="16">
                  <c:v>1.56</c:v>
                </c:pt>
                <c:pt idx="17">
                  <c:v>1.79</c:v>
                </c:pt>
                <c:pt idx="18">
                  <c:v>2.6</c:v>
                </c:pt>
                <c:pt idx="19">
                  <c:v>2.72</c:v>
                </c:pt>
                <c:pt idx="20">
                  <c:v>2.69</c:v>
                </c:pt>
                <c:pt idx="21">
                  <c:v>2.92</c:v>
                </c:pt>
                <c:pt idx="22">
                  <c:v>2.9899999999999998</c:v>
                </c:pt>
                <c:pt idx="23">
                  <c:v>4.57</c:v>
                </c:pt>
                <c:pt idx="24">
                  <c:v>5.17</c:v>
                </c:pt>
                <c:pt idx="25">
                  <c:v>4.99</c:v>
                </c:pt>
                <c:pt idx="26">
                  <c:v>4.4400000000000004</c:v>
                </c:pt>
                <c:pt idx="27">
                  <c:v>4.13</c:v>
                </c:pt>
                <c:pt idx="28">
                  <c:v>3.9099999999999997</c:v>
                </c:pt>
                <c:pt idx="29">
                  <c:v>3.9099999999999997</c:v>
                </c:pt>
                <c:pt idx="30">
                  <c:v>4.1399999999999997</c:v>
                </c:pt>
                <c:pt idx="31">
                  <c:v>5.85</c:v>
                </c:pt>
                <c:pt idx="32">
                  <c:v>5.21</c:v>
                </c:pt>
                <c:pt idx="33">
                  <c:v>4.3899999999999997</c:v>
                </c:pt>
                <c:pt idx="34">
                  <c:v>4.24</c:v>
                </c:pt>
                <c:pt idx="35">
                  <c:v>4.18</c:v>
                </c:pt>
                <c:pt idx="36">
                  <c:v>4.01</c:v>
                </c:pt>
              </c:numCache>
            </c:numRef>
          </c:val>
        </c:ser>
        <c:ser>
          <c:idx val="1"/>
          <c:order val="1"/>
          <c:tx>
            <c:strRef>
              <c:f>圖2!$C$1</c:f>
              <c:strCache>
                <c:ptCount val="1"/>
                <c:pt idx="0">
                  <c:v>15-24歲青年失業</c:v>
                </c:pt>
              </c:strCache>
            </c:strRef>
          </c:tx>
          <c:marker>
            <c:symbol val="none"/>
          </c:marker>
          <c:dPt>
            <c:idx val="0"/>
            <c:marker>
              <c:symbol val="circle"/>
              <c:size val="5"/>
              <c:spPr>
                <a:solidFill>
                  <a:schemeClr val="accent1"/>
                </a:solidFill>
              </c:spPr>
            </c:marker>
          </c:dPt>
          <c:dLbls>
            <c:dLbl>
              <c:idx val="0"/>
              <c:showVal val="1"/>
            </c:dLbl>
            <c:dLbl>
              <c:idx val="31"/>
              <c:showVal val="1"/>
            </c:dLbl>
            <c:dLbl>
              <c:idx val="36"/>
              <c:showVal val="1"/>
            </c:dLbl>
            <c:delete val="1"/>
          </c:dLbls>
          <c:cat>
            <c:strRef>
              <c:f>圖2!$A$2:$A$38</c:f>
              <c:strCache>
                <c:ptCount val="37"/>
                <c:pt idx="0">
                  <c:v>67</c:v>
                </c:pt>
                <c:pt idx="1">
                  <c:v>68</c:v>
                </c:pt>
                <c:pt idx="2">
                  <c:v>69</c:v>
                </c:pt>
                <c:pt idx="3">
                  <c:v>70</c:v>
                </c:pt>
                <c:pt idx="4">
                  <c:v>71</c:v>
                </c:pt>
                <c:pt idx="5">
                  <c:v>72</c:v>
                </c:pt>
                <c:pt idx="6">
                  <c:v>73</c:v>
                </c:pt>
                <c:pt idx="7">
                  <c:v>74</c:v>
                </c:pt>
                <c:pt idx="8">
                  <c:v>75</c:v>
                </c:pt>
                <c:pt idx="9">
                  <c:v>76</c:v>
                </c:pt>
                <c:pt idx="10">
                  <c:v>77</c:v>
                </c:pt>
                <c:pt idx="11">
                  <c:v>78</c:v>
                </c:pt>
                <c:pt idx="12">
                  <c:v>79</c:v>
                </c:pt>
                <c:pt idx="13">
                  <c:v>80</c:v>
                </c:pt>
                <c:pt idx="14">
                  <c:v>81</c:v>
                </c:pt>
                <c:pt idx="15">
                  <c:v>82</c:v>
                </c:pt>
                <c:pt idx="16">
                  <c:v>83</c:v>
                </c:pt>
                <c:pt idx="17">
                  <c:v>84</c:v>
                </c:pt>
                <c:pt idx="18">
                  <c:v>85</c:v>
                </c:pt>
                <c:pt idx="19">
                  <c:v>86</c:v>
                </c:pt>
                <c:pt idx="20">
                  <c:v>87</c:v>
                </c:pt>
                <c:pt idx="21">
                  <c:v>88</c:v>
                </c:pt>
                <c:pt idx="22">
                  <c:v>89</c:v>
                </c:pt>
                <c:pt idx="23">
                  <c:v>90</c:v>
                </c:pt>
                <c:pt idx="24">
                  <c:v>91</c:v>
                </c:pt>
                <c:pt idx="25">
                  <c:v>92</c:v>
                </c:pt>
                <c:pt idx="26">
                  <c:v>93</c:v>
                </c:pt>
                <c:pt idx="27">
                  <c:v>94</c:v>
                </c:pt>
                <c:pt idx="28">
                  <c:v>95</c:v>
                </c:pt>
                <c:pt idx="29">
                  <c:v>96</c:v>
                </c:pt>
                <c:pt idx="30">
                  <c:v>97</c:v>
                </c:pt>
                <c:pt idx="31">
                  <c:v>98</c:v>
                </c:pt>
                <c:pt idx="32">
                  <c:v>99</c:v>
                </c:pt>
                <c:pt idx="33">
                  <c:v>100</c:v>
                </c:pt>
                <c:pt idx="34">
                  <c:v>101</c:v>
                </c:pt>
                <c:pt idx="35">
                  <c:v>102</c:v>
                </c:pt>
                <c:pt idx="36">
                  <c:v>103年1至4月</c:v>
                </c:pt>
              </c:strCache>
            </c:strRef>
          </c:cat>
          <c:val>
            <c:numRef>
              <c:f>圖2!$C$2:$C$38</c:f>
              <c:numCache>
                <c:formatCode>General</c:formatCode>
                <c:ptCount val="37"/>
                <c:pt idx="0">
                  <c:v>3.86</c:v>
                </c:pt>
                <c:pt idx="1">
                  <c:v>3.25</c:v>
                </c:pt>
                <c:pt idx="2">
                  <c:v>3.17</c:v>
                </c:pt>
                <c:pt idx="3">
                  <c:v>3.61</c:v>
                </c:pt>
                <c:pt idx="4">
                  <c:v>5.33</c:v>
                </c:pt>
                <c:pt idx="5">
                  <c:v>6.54</c:v>
                </c:pt>
                <c:pt idx="6">
                  <c:v>6.09</c:v>
                </c:pt>
                <c:pt idx="7">
                  <c:v>7.2700000000000014</c:v>
                </c:pt>
                <c:pt idx="8">
                  <c:v>6.78</c:v>
                </c:pt>
                <c:pt idx="9">
                  <c:v>5.45</c:v>
                </c:pt>
                <c:pt idx="10">
                  <c:v>4.8599999999999985</c:v>
                </c:pt>
                <c:pt idx="11">
                  <c:v>4.5999999999999996</c:v>
                </c:pt>
                <c:pt idx="12">
                  <c:v>5.05</c:v>
                </c:pt>
                <c:pt idx="13">
                  <c:v>4.5599999999999996</c:v>
                </c:pt>
                <c:pt idx="14" formatCode="_-* #,##0.00_-;\-* #,##0.00_-;_-* &quot;-&quot;??_-;_-@_-">
                  <c:v>4.78</c:v>
                </c:pt>
                <c:pt idx="15" formatCode="_-* #,##0.00_-;\-* #,##0.00_-;_-* &quot;-&quot;??_-;_-@_-">
                  <c:v>4.6499999999999995</c:v>
                </c:pt>
                <c:pt idx="16" formatCode="_-* #,##0.00_-;\-* #,##0.00_-;_-* &quot;-&quot;??_-;_-@_-">
                  <c:v>4.75</c:v>
                </c:pt>
                <c:pt idx="17" formatCode="_-* #,##0.00_-;\-* #,##0.00_-;_-* &quot;-&quot;??_-;_-@_-">
                  <c:v>5.28</c:v>
                </c:pt>
                <c:pt idx="18" formatCode="_-* #,##0.00_-;\-* #,##0.00_-;_-* &quot;-&quot;??_-;_-@_-">
                  <c:v>6.9300000000000024</c:v>
                </c:pt>
                <c:pt idx="19" formatCode="_-* #,##0.00_-;\-* #,##0.00_-;_-* &quot;-&quot;??_-;_-@_-">
                  <c:v>6.92</c:v>
                </c:pt>
                <c:pt idx="20" formatCode="_-* #,##0.00_-;\-* #,##0.00_-;_-* &quot;-&quot;??_-;_-@_-">
                  <c:v>7.3199999999999985</c:v>
                </c:pt>
                <c:pt idx="21" formatCode="_-* #,##0.00_-;\-* #,##0.00_-;_-* &quot;-&quot;??_-;_-@_-">
                  <c:v>7.34</c:v>
                </c:pt>
                <c:pt idx="22" formatCode="_-* #,##0.00_-;\-* #,##0.00_-;_-* &quot;-&quot;??_-;_-@_-">
                  <c:v>7.3599999999999985</c:v>
                </c:pt>
                <c:pt idx="23" formatCode="_-* #,##0.00_-;\-* #,##0.00_-;_-* &quot;-&quot;??_-;_-@_-">
                  <c:v>10.44</c:v>
                </c:pt>
                <c:pt idx="24" formatCode="_-* #,##0.00_-;\-* #,##0.00_-;_-* &quot;-&quot;??_-;_-@_-">
                  <c:v>11.91</c:v>
                </c:pt>
                <c:pt idx="25" formatCode="_-* #,##0.00_-;\-* #,##0.00_-;_-* &quot;-&quot;??_-;_-@_-">
                  <c:v>11.44</c:v>
                </c:pt>
                <c:pt idx="26" formatCode="_-* #,##0.00_-;\-* #,##0.00_-;_-* &quot;-&quot;??_-;_-@_-">
                  <c:v>10.850000000000026</c:v>
                </c:pt>
                <c:pt idx="27" formatCode="_-* #,##0.00_-;\-* #,##0.00_-;_-* &quot;-&quot;??_-;_-@_-">
                  <c:v>10.59</c:v>
                </c:pt>
                <c:pt idx="28" formatCode="_-* #,##0.00_-;\-* #,##0.00_-;_-* &quot;-&quot;??_-;_-@_-">
                  <c:v>10.31</c:v>
                </c:pt>
                <c:pt idx="29" formatCode="_-* #,##0.00_-;\-* #,##0.00_-;_-* &quot;-&quot;??_-;_-@_-">
                  <c:v>10.65</c:v>
                </c:pt>
                <c:pt idx="30" formatCode="_-* #,##0.00_-;\-* #,##0.00_-;_-* &quot;-&quot;??_-;_-@_-">
                  <c:v>11.81</c:v>
                </c:pt>
                <c:pt idx="31" formatCode="_-* #,##0.00_-;\-* #,##0.00_-;_-* &quot;-&quot;??_-;_-@_-">
                  <c:v>14.49</c:v>
                </c:pt>
                <c:pt idx="32" formatCode="_-* #,##0.00_-;\-* #,##0.00_-;_-* &quot;-&quot;??_-;_-@_-">
                  <c:v>13.09</c:v>
                </c:pt>
                <c:pt idx="33" formatCode="_-* #,##0.00_-;\-* #,##0.00_-;_-* &quot;-&quot;??_-;_-@_-">
                  <c:v>12.47</c:v>
                </c:pt>
                <c:pt idx="34" formatCode="_-* #,##0.00_-;\-* #,##0.00_-;_-* &quot;-&quot;??_-;_-@_-">
                  <c:v>12.66</c:v>
                </c:pt>
                <c:pt idx="35" formatCode="_-* #,##0.00_-;\-* #,##0.00_-;_-* &quot;-&quot;??_-;_-@_-">
                  <c:v>13.17</c:v>
                </c:pt>
                <c:pt idx="36" formatCode="_-* #,##0.00_-;\-* #,##0.00_-;_-* &quot;-&quot;??_-;_-@_-">
                  <c:v>12.61</c:v>
                </c:pt>
              </c:numCache>
            </c:numRef>
          </c:val>
        </c:ser>
        <c:ser>
          <c:idx val="2"/>
          <c:order val="2"/>
          <c:tx>
            <c:strRef>
              <c:f>圖2!$D$1</c:f>
              <c:strCache>
                <c:ptCount val="1"/>
                <c:pt idx="0">
                  <c:v>差異</c:v>
                </c:pt>
              </c:strCache>
            </c:strRef>
          </c:tx>
          <c:marker>
            <c:symbol val="none"/>
          </c:marker>
          <c:dLbls>
            <c:dLbl>
              <c:idx val="0"/>
              <c:showVal val="1"/>
            </c:dLbl>
            <c:dLbl>
              <c:idx val="31"/>
              <c:showVal val="1"/>
            </c:dLbl>
            <c:dLbl>
              <c:idx val="36"/>
              <c:showVal val="1"/>
            </c:dLbl>
            <c:delete val="1"/>
          </c:dLbls>
          <c:cat>
            <c:strRef>
              <c:f>圖2!$A$2:$A$38</c:f>
              <c:strCache>
                <c:ptCount val="37"/>
                <c:pt idx="0">
                  <c:v>67</c:v>
                </c:pt>
                <c:pt idx="1">
                  <c:v>68</c:v>
                </c:pt>
                <c:pt idx="2">
                  <c:v>69</c:v>
                </c:pt>
                <c:pt idx="3">
                  <c:v>70</c:v>
                </c:pt>
                <c:pt idx="4">
                  <c:v>71</c:v>
                </c:pt>
                <c:pt idx="5">
                  <c:v>72</c:v>
                </c:pt>
                <c:pt idx="6">
                  <c:v>73</c:v>
                </c:pt>
                <c:pt idx="7">
                  <c:v>74</c:v>
                </c:pt>
                <c:pt idx="8">
                  <c:v>75</c:v>
                </c:pt>
                <c:pt idx="9">
                  <c:v>76</c:v>
                </c:pt>
                <c:pt idx="10">
                  <c:v>77</c:v>
                </c:pt>
                <c:pt idx="11">
                  <c:v>78</c:v>
                </c:pt>
                <c:pt idx="12">
                  <c:v>79</c:v>
                </c:pt>
                <c:pt idx="13">
                  <c:v>80</c:v>
                </c:pt>
                <c:pt idx="14">
                  <c:v>81</c:v>
                </c:pt>
                <c:pt idx="15">
                  <c:v>82</c:v>
                </c:pt>
                <c:pt idx="16">
                  <c:v>83</c:v>
                </c:pt>
                <c:pt idx="17">
                  <c:v>84</c:v>
                </c:pt>
                <c:pt idx="18">
                  <c:v>85</c:v>
                </c:pt>
                <c:pt idx="19">
                  <c:v>86</c:v>
                </c:pt>
                <c:pt idx="20">
                  <c:v>87</c:v>
                </c:pt>
                <c:pt idx="21">
                  <c:v>88</c:v>
                </c:pt>
                <c:pt idx="22">
                  <c:v>89</c:v>
                </c:pt>
                <c:pt idx="23">
                  <c:v>90</c:v>
                </c:pt>
                <c:pt idx="24">
                  <c:v>91</c:v>
                </c:pt>
                <c:pt idx="25">
                  <c:v>92</c:v>
                </c:pt>
                <c:pt idx="26">
                  <c:v>93</c:v>
                </c:pt>
                <c:pt idx="27">
                  <c:v>94</c:v>
                </c:pt>
                <c:pt idx="28">
                  <c:v>95</c:v>
                </c:pt>
                <c:pt idx="29">
                  <c:v>96</c:v>
                </c:pt>
                <c:pt idx="30">
                  <c:v>97</c:v>
                </c:pt>
                <c:pt idx="31">
                  <c:v>98</c:v>
                </c:pt>
                <c:pt idx="32">
                  <c:v>99</c:v>
                </c:pt>
                <c:pt idx="33">
                  <c:v>100</c:v>
                </c:pt>
                <c:pt idx="34">
                  <c:v>101</c:v>
                </c:pt>
                <c:pt idx="35">
                  <c:v>102</c:v>
                </c:pt>
                <c:pt idx="36">
                  <c:v>103年1至4月</c:v>
                </c:pt>
              </c:strCache>
            </c:strRef>
          </c:cat>
          <c:val>
            <c:numRef>
              <c:f>圖2!$D$2:$D$38</c:f>
              <c:numCache>
                <c:formatCode>_-* #,##0.00_-;\-* #,##0.00_-;_-* "-"??_-;_-@_-</c:formatCode>
                <c:ptCount val="37"/>
                <c:pt idx="0">
                  <c:v>2.19</c:v>
                </c:pt>
                <c:pt idx="1">
                  <c:v>1.9800000000000133</c:v>
                </c:pt>
                <c:pt idx="2">
                  <c:v>1.9400000000000119</c:v>
                </c:pt>
                <c:pt idx="3">
                  <c:v>2.25</c:v>
                </c:pt>
                <c:pt idx="4">
                  <c:v>3.19</c:v>
                </c:pt>
                <c:pt idx="5">
                  <c:v>3.8299999999999987</c:v>
                </c:pt>
                <c:pt idx="6">
                  <c:v>3.6399999999999997</c:v>
                </c:pt>
                <c:pt idx="7">
                  <c:v>4.3599999999999985</c:v>
                </c:pt>
                <c:pt idx="8">
                  <c:v>4.1199999999999966</c:v>
                </c:pt>
                <c:pt idx="9">
                  <c:v>3.4800000000000004</c:v>
                </c:pt>
                <c:pt idx="10">
                  <c:v>3.1700000000000004</c:v>
                </c:pt>
                <c:pt idx="11">
                  <c:v>3.0299999999999994</c:v>
                </c:pt>
                <c:pt idx="12">
                  <c:v>3.38</c:v>
                </c:pt>
                <c:pt idx="13">
                  <c:v>3.05</c:v>
                </c:pt>
                <c:pt idx="14">
                  <c:v>3.2700000000000005</c:v>
                </c:pt>
                <c:pt idx="15">
                  <c:v>3.2</c:v>
                </c:pt>
                <c:pt idx="16">
                  <c:v>3.19</c:v>
                </c:pt>
                <c:pt idx="17">
                  <c:v>3.4899999999999998</c:v>
                </c:pt>
                <c:pt idx="18">
                  <c:v>4.33</c:v>
                </c:pt>
                <c:pt idx="19">
                  <c:v>4.1999999999999975</c:v>
                </c:pt>
                <c:pt idx="20">
                  <c:v>4.6300000000000008</c:v>
                </c:pt>
                <c:pt idx="21">
                  <c:v>4.42</c:v>
                </c:pt>
                <c:pt idx="22">
                  <c:v>4.37</c:v>
                </c:pt>
                <c:pt idx="23">
                  <c:v>5.8699999999999966</c:v>
                </c:pt>
                <c:pt idx="24">
                  <c:v>6.74</c:v>
                </c:pt>
                <c:pt idx="25">
                  <c:v>6.4499999999999993</c:v>
                </c:pt>
                <c:pt idx="26">
                  <c:v>6.4099999999999993</c:v>
                </c:pt>
                <c:pt idx="27">
                  <c:v>6.46</c:v>
                </c:pt>
                <c:pt idx="28">
                  <c:v>6.4</c:v>
                </c:pt>
                <c:pt idx="29">
                  <c:v>6.74</c:v>
                </c:pt>
                <c:pt idx="30">
                  <c:v>7.6700000000000008</c:v>
                </c:pt>
                <c:pt idx="31">
                  <c:v>8.64</c:v>
                </c:pt>
                <c:pt idx="32">
                  <c:v>7.88</c:v>
                </c:pt>
                <c:pt idx="33">
                  <c:v>8.0800000000000018</c:v>
                </c:pt>
                <c:pt idx="34">
                  <c:v>8.42</c:v>
                </c:pt>
                <c:pt idx="35">
                  <c:v>9.65</c:v>
                </c:pt>
                <c:pt idx="36">
                  <c:v>8.6</c:v>
                </c:pt>
              </c:numCache>
            </c:numRef>
          </c:val>
        </c:ser>
        <c:marker val="1"/>
        <c:axId val="95061888"/>
        <c:axId val="95084544"/>
      </c:lineChart>
      <c:catAx>
        <c:axId val="95061888"/>
        <c:scaling>
          <c:orientation val="minMax"/>
        </c:scaling>
        <c:axPos val="b"/>
        <c:title>
          <c:tx>
            <c:rich>
              <a:bodyPr/>
              <a:lstStyle/>
              <a:p>
                <a:pPr>
                  <a:defRPr/>
                </a:pPr>
                <a:r>
                  <a:rPr lang="zh-TW" altLang="en-US">
                    <a:latin typeface="標楷體" pitchFamily="65" charset="-120"/>
                    <a:ea typeface="標楷體" pitchFamily="65" charset="-120"/>
                  </a:rPr>
                  <a:t>年度</a:t>
                </a:r>
              </a:p>
            </c:rich>
          </c:tx>
          <c:layout>
            <c:manualLayout>
              <c:xMode val="edge"/>
              <c:yMode val="edge"/>
              <c:x val="0.93863214239207171"/>
              <c:y val="0.7697417252204819"/>
            </c:manualLayout>
          </c:layout>
          <c:spPr>
            <a:noFill/>
            <a:ln w="25400">
              <a:noFill/>
            </a:ln>
          </c:spPr>
        </c:title>
        <c:numFmt formatCode="General" sourceLinked="1"/>
        <c:tickLblPos val="nextTo"/>
        <c:txPr>
          <a:bodyPr/>
          <a:lstStyle/>
          <a:p>
            <a:pPr>
              <a:defRPr sz="1050" b="1"/>
            </a:pPr>
            <a:endParaRPr lang="zh-TW"/>
          </a:p>
        </c:txPr>
        <c:crossAx val="95084544"/>
        <c:crosses val="autoZero"/>
        <c:auto val="1"/>
        <c:lblAlgn val="ctr"/>
        <c:lblOffset val="100"/>
        <c:tickLblSkip val="2"/>
      </c:catAx>
      <c:valAx>
        <c:axId val="95084544"/>
        <c:scaling>
          <c:orientation val="minMax"/>
        </c:scaling>
        <c:axPos val="l"/>
        <c:title>
          <c:tx>
            <c:rich>
              <a:bodyPr rot="0" vert="horz"/>
              <a:lstStyle/>
              <a:p>
                <a:pPr>
                  <a:defRPr/>
                </a:pPr>
                <a:r>
                  <a:rPr lang="zh-TW" altLang="en-US"/>
                  <a:t>％</a:t>
                </a:r>
              </a:p>
            </c:rich>
          </c:tx>
          <c:layout>
            <c:manualLayout>
              <c:xMode val="edge"/>
              <c:yMode val="edge"/>
              <c:x val="2.5156342182890892E-2"/>
              <c:y val="6.7639790640205534E-3"/>
            </c:manualLayout>
          </c:layout>
          <c:spPr>
            <a:noFill/>
            <a:ln w="25400">
              <a:noFill/>
            </a:ln>
          </c:spPr>
        </c:title>
        <c:numFmt formatCode="_-* #,##0.00_-;\-* #,##0.00_-;_-* &quot;-&quot;??_-;_-@_-" sourceLinked="1"/>
        <c:tickLblPos val="nextTo"/>
        <c:txPr>
          <a:bodyPr/>
          <a:lstStyle/>
          <a:p>
            <a:pPr>
              <a:defRPr b="1"/>
            </a:pPr>
            <a:endParaRPr lang="zh-TW"/>
          </a:p>
        </c:txPr>
        <c:crossAx val="95061888"/>
        <c:crosses val="autoZero"/>
        <c:crossBetween val="midCat"/>
      </c:valAx>
    </c:plotArea>
    <c:legend>
      <c:legendPos val="r"/>
      <c:layout>
        <c:manualLayout>
          <c:xMode val="edge"/>
          <c:yMode val="edge"/>
          <c:x val="0.23008868139270244"/>
          <c:y val="1.461988304093568E-2"/>
          <c:w val="0.26465395673178377"/>
          <c:h val="0.18405142830580271"/>
        </c:manualLayout>
      </c:layout>
      <c:spPr>
        <a:noFill/>
        <a:ln w="25400">
          <a:noFill/>
        </a:ln>
      </c:spPr>
      <c:txPr>
        <a:bodyPr/>
        <a:lstStyle/>
        <a:p>
          <a:pPr rtl="0">
            <a:defRPr>
              <a:latin typeface="標楷體" pitchFamily="65" charset="-120"/>
              <a:ea typeface="標楷體" pitchFamily="65" charset="-120"/>
            </a:defRPr>
          </a:pPr>
          <a:endParaRPr lang="zh-TW"/>
        </a:p>
      </c:txPr>
    </c:legend>
    <c:plotVisOnly val="1"/>
    <c:dispBlanksAs val="gap"/>
  </c:chart>
  <c:spPr>
    <a:ln>
      <a:solidFill>
        <a:schemeClr val="accent1"/>
      </a:solidFill>
    </a:ln>
  </c:spPr>
  <c:externalData r:id="rId1"/>
  <c:userShapes r:id="rId2"/>
</c:chartSpace>
</file>

<file path=word/drawings/drawing1.xml><?xml version="1.0" encoding="utf-8"?>
<c:userShapes xmlns:c="http://schemas.openxmlformats.org/drawingml/2006/chart">
  <cdr:relSizeAnchor xmlns:cdr="http://schemas.openxmlformats.org/drawingml/2006/chartDrawing">
    <cdr:from>
      <cdr:x>0.02199</cdr:x>
      <cdr:y>0.92042</cdr:y>
    </cdr:from>
    <cdr:to>
      <cdr:x>0.68655</cdr:x>
      <cdr:y>0.97478</cdr:y>
    </cdr:to>
    <cdr:sp macro="" textlink="">
      <cdr:nvSpPr>
        <cdr:cNvPr id="3" name="文字方塊 1"/>
        <cdr:cNvSpPr txBox="1"/>
      </cdr:nvSpPr>
      <cdr:spPr>
        <a:xfrm xmlns:a="http://schemas.openxmlformats.org/drawingml/2006/main">
          <a:off x="122476" y="2972415"/>
          <a:ext cx="3700901" cy="17555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a:r>
            <a:rPr lang="zh-TW" altLang="en-US" sz="900">
              <a:latin typeface="標楷體" pitchFamily="65" charset="-120"/>
              <a:ea typeface="標楷體" pitchFamily="65" charset="-120"/>
            </a:rPr>
            <a:t>資料來源：審計部依行政院主計總處公布資料整理。</a:t>
          </a:r>
        </a:p>
      </cdr:txBody>
    </cdr:sp>
  </cdr:relSizeAnchor>
</c:userShape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39246D8-0484-402E-BE93-D645D0D71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C000A調查計畫(必要時).dot</Template>
  <TotalTime>10</TotalTime>
  <Pages>62</Pages>
  <Words>6361</Words>
  <Characters>36263</Characters>
  <Application>Microsoft Office Word</Application>
  <DocSecurity>0</DocSecurity>
  <Lines>302</Lines>
  <Paragraphs>85</Paragraphs>
  <ScaleCrop>false</ScaleCrop>
  <Company>cy</Company>
  <LinksUpToDate>false</LinksUpToDate>
  <CharactersWithSpaces>42539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Administrator</cp:lastModifiedBy>
  <cp:revision>3</cp:revision>
  <cp:lastPrinted>2014-07-21T00:53:00Z</cp:lastPrinted>
  <dcterms:created xsi:type="dcterms:W3CDTF">2014-07-22T06:23:00Z</dcterms:created>
  <dcterms:modified xsi:type="dcterms:W3CDTF">2014-07-22T06:44:00Z</dcterms:modified>
</cp:coreProperties>
</file>